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F4D69" w14:textId="584EB71B" w:rsidR="00D42596" w:rsidRDefault="00535584">
      <w:r w:rsidRPr="00535584">
        <w:t>Does what God wills become good, or does God only will good things?</w:t>
      </w:r>
    </w:p>
    <w:p w14:paraId="4D3C74AC" w14:textId="1C3C8364" w:rsidR="00AA372D" w:rsidRDefault="00AA372D">
      <w:r>
        <w:t xml:space="preserve">In the book of Luke in the New Testament </w:t>
      </w:r>
      <w:r w:rsidR="0041040D">
        <w:t xml:space="preserve">of the Bible, </w:t>
      </w:r>
      <w:r w:rsidR="0081126F">
        <w:t>Jesus is recorded as saying;</w:t>
      </w:r>
    </w:p>
    <w:p w14:paraId="35E988F1" w14:textId="7D3DF193" w:rsidR="000970EF" w:rsidRDefault="00E91629" w:rsidP="00B516A2">
      <w:pPr>
        <w:ind w:left="720"/>
      </w:pPr>
      <w:r>
        <w:t>No g</w:t>
      </w:r>
      <w:r w:rsidR="00667D98">
        <w:t xml:space="preserve">ood tree bears bad fruit, </w:t>
      </w:r>
      <w:r>
        <w:t xml:space="preserve">nor again does a bad tree bear good fruit; for each tree is known by its own fruit. For people do not gather figs form thorns, nor do they pick </w:t>
      </w:r>
      <w:r w:rsidR="0090355B">
        <w:t xml:space="preserve">grapes form a bramble bush. The good person out of the good </w:t>
      </w:r>
      <w:r w:rsidR="00D3568A">
        <w:t>treasure of the heart produces good, and the evil person out of evil treasure produces evil</w:t>
      </w:r>
      <w:r w:rsidR="000970EF">
        <w:t>, for it is out of the abundance of the heart that the mouth speaks.</w:t>
      </w:r>
      <w:r w:rsidR="00C170DD">
        <w:rPr>
          <w:rStyle w:val="FootnoteReference"/>
        </w:rPr>
        <w:footnoteReference w:id="1"/>
      </w:r>
    </w:p>
    <w:p w14:paraId="49C49083" w14:textId="7666C56A" w:rsidR="00DC4915" w:rsidRDefault="00843F67" w:rsidP="00DC4915">
      <w:r>
        <w:t>What then can be said of the good</w:t>
      </w:r>
      <w:r w:rsidR="00547BF7">
        <w:t>ness of God, does Gods will become good, or does God only will good things?</w:t>
      </w:r>
      <w:r w:rsidR="003D714C">
        <w:t xml:space="preserve"> </w:t>
      </w:r>
      <w:r w:rsidR="00DC4915">
        <w:t xml:space="preserve">To come to a reasonable answer, </w:t>
      </w:r>
      <w:r w:rsidR="00C87F73">
        <w:t xml:space="preserve">the </w:t>
      </w:r>
      <w:r w:rsidR="00786E82">
        <w:t>understanding</w:t>
      </w:r>
      <w:r w:rsidR="00DC4915">
        <w:t xml:space="preserve"> in respect of a</w:t>
      </w:r>
      <w:r w:rsidR="00786E82">
        <w:t xml:space="preserve"> ‘will</w:t>
      </w:r>
      <w:r w:rsidR="006A19E5">
        <w:t>’</w:t>
      </w:r>
      <w:r w:rsidR="00C87F73">
        <w:t xml:space="preserve"> of a being or agent</w:t>
      </w:r>
      <w:r w:rsidR="00786E82">
        <w:t xml:space="preserve"> </w:t>
      </w:r>
      <w:r w:rsidR="00DC4915">
        <w:t xml:space="preserve">needs to be </w:t>
      </w:r>
      <w:r w:rsidR="008A4DDC">
        <w:t>established</w:t>
      </w:r>
      <w:r w:rsidR="00786E82">
        <w:t xml:space="preserve">, along with what can be considered </w:t>
      </w:r>
      <w:r w:rsidR="00F17F00">
        <w:t xml:space="preserve">or classed as </w:t>
      </w:r>
      <w:r w:rsidR="00103F95">
        <w:t>‘</w:t>
      </w:r>
      <w:r w:rsidR="00786E82">
        <w:t>good</w:t>
      </w:r>
      <w:r w:rsidR="00103F95">
        <w:t>’</w:t>
      </w:r>
      <w:r w:rsidR="003D714C">
        <w:t xml:space="preserve">. </w:t>
      </w:r>
      <w:r w:rsidR="00DC4915">
        <w:t xml:space="preserve">In having an understanding </w:t>
      </w:r>
      <w:r w:rsidR="00F17F00">
        <w:t>of both the separate entities combining these will provide a suitable answer for a good will.</w:t>
      </w:r>
      <w:r w:rsidR="00DC4915">
        <w:t xml:space="preserve"> </w:t>
      </w:r>
      <w:r w:rsidR="00103F95">
        <w:t xml:space="preserve">Having established what a good will may be, </w:t>
      </w:r>
      <w:r w:rsidR="00512E8E">
        <w:t>determining is this good will is something that becomes, or something that can only be form the outset will be explored. Along with whether pe</w:t>
      </w:r>
      <w:r w:rsidR="004464FA">
        <w:t>ople can impose our understanding of a good will on God based on the biblical scriptures</w:t>
      </w:r>
      <w:r w:rsidR="00624EA5">
        <w:t xml:space="preserve"> regarding God and His nature</w:t>
      </w:r>
      <w:r w:rsidR="004464FA">
        <w:t>.</w:t>
      </w:r>
      <w:r w:rsidR="00DC4915">
        <w:t xml:space="preserve"> </w:t>
      </w:r>
    </w:p>
    <w:p w14:paraId="39D8BBBE" w14:textId="547DF52D" w:rsidR="00DC4915" w:rsidRDefault="00B42F6B" w:rsidP="00DC4915">
      <w:r>
        <w:t xml:space="preserve">A persons </w:t>
      </w:r>
      <w:r w:rsidR="00C24450">
        <w:t xml:space="preserve">will, can simply </w:t>
      </w:r>
      <w:r w:rsidR="00624EA5">
        <w:t xml:space="preserve">be </w:t>
      </w:r>
      <w:r w:rsidR="00C24450">
        <w:t xml:space="preserve">described as </w:t>
      </w:r>
      <w:r w:rsidR="008A4DDC">
        <w:t xml:space="preserve">a person </w:t>
      </w:r>
      <w:r w:rsidR="00C24450">
        <w:t xml:space="preserve">choosing to do what </w:t>
      </w:r>
      <w:r w:rsidR="008A4DDC">
        <w:t>they</w:t>
      </w:r>
      <w:r w:rsidR="00C24450">
        <w:t xml:space="preserve"> want. </w:t>
      </w:r>
      <w:r w:rsidR="00CB6D70">
        <w:t xml:space="preserve">A persons will is expressed through the way they live their lives </w:t>
      </w:r>
      <w:r w:rsidR="002D4A22">
        <w:t>simply doing what they want through everyday actions</w:t>
      </w:r>
      <w:r w:rsidR="00C24450">
        <w:t>, and decisions that are made without contemplating the decisions.</w:t>
      </w:r>
      <w:r w:rsidR="00071A60">
        <w:t xml:space="preserve"> </w:t>
      </w:r>
      <w:r w:rsidR="0047008A">
        <w:t>People make decisions on a daily basis, more than what they realise, d</w:t>
      </w:r>
      <w:r w:rsidR="00C24450">
        <w:t xml:space="preserve">ecisions for example such as, what to eat? Where to eat? </w:t>
      </w:r>
      <w:r w:rsidR="001B0454">
        <w:t xml:space="preserve">Or </w:t>
      </w:r>
      <w:r w:rsidR="00C24450">
        <w:t>What to wear</w:t>
      </w:r>
      <w:r w:rsidR="001B0454">
        <w:t>?</w:t>
      </w:r>
      <w:r w:rsidR="00C24450">
        <w:t xml:space="preserve"> All of the outcomes of these decisions are an expression of </w:t>
      </w:r>
      <w:r w:rsidR="00CC6D77">
        <w:t xml:space="preserve">a persons </w:t>
      </w:r>
      <w:r w:rsidR="00C24450">
        <w:t>will</w:t>
      </w:r>
      <w:r w:rsidR="00DC0835">
        <w:t xml:space="preserve"> and only the person </w:t>
      </w:r>
      <w:r w:rsidR="00CC6D77">
        <w:t>making the decisions can know their will</w:t>
      </w:r>
      <w:r w:rsidR="00F8141C">
        <w:t>, along with whether the decision they choose was their will</w:t>
      </w:r>
      <w:r w:rsidR="00C24450">
        <w:t>.</w:t>
      </w:r>
      <w:r w:rsidR="00C24450">
        <w:rPr>
          <w:rStyle w:val="FootnoteReference"/>
        </w:rPr>
        <w:footnoteReference w:id="2"/>
      </w:r>
      <w:r w:rsidR="00C24450">
        <w:t xml:space="preserve"> </w:t>
      </w:r>
      <w:r w:rsidR="00786E82">
        <w:t xml:space="preserve">These questions are however </w:t>
      </w:r>
      <w:r w:rsidR="00E92EC6">
        <w:t>do not consider the outcomes</w:t>
      </w:r>
      <w:r w:rsidR="001D759C">
        <w:t xml:space="preserve">. Questions which do consider the outcomes may be ones worded such as </w:t>
      </w:r>
      <w:r w:rsidR="00786E82">
        <w:t xml:space="preserve">what </w:t>
      </w:r>
      <w:r w:rsidR="00563EFF">
        <w:t>a person</w:t>
      </w:r>
      <w:r w:rsidR="00786E82">
        <w:t xml:space="preserve"> ‘ought’ to eat, or where </w:t>
      </w:r>
      <w:r w:rsidR="00563EFF">
        <w:t xml:space="preserve">a person </w:t>
      </w:r>
      <w:r w:rsidR="00786E82">
        <w:t>‘ought’</w:t>
      </w:r>
      <w:r w:rsidR="00563EFF">
        <w:t xml:space="preserve"> to </w:t>
      </w:r>
      <w:r w:rsidR="007F09A9">
        <w:t>go</w:t>
      </w:r>
      <w:r w:rsidR="00786E82">
        <w:t>. Questions that contemplate the outcome</w:t>
      </w:r>
      <w:r w:rsidR="0007284A">
        <w:t xml:space="preserve"> and the impact of the decisions being made</w:t>
      </w:r>
      <w:r w:rsidR="007F09A9">
        <w:t xml:space="preserve"> </w:t>
      </w:r>
      <w:r w:rsidR="00786E82">
        <w:t>are ones engaging with moral thinking</w:t>
      </w:r>
      <w:r w:rsidR="00DC4915">
        <w:t xml:space="preserve"> and reasoning</w:t>
      </w:r>
      <w:r w:rsidR="00786E82">
        <w:t xml:space="preserve">, </w:t>
      </w:r>
      <w:r w:rsidR="0065574B">
        <w:t xml:space="preserve">such as </w:t>
      </w:r>
      <w:r w:rsidR="00786E82">
        <w:t xml:space="preserve">what is good for </w:t>
      </w:r>
      <w:r w:rsidR="0065574B">
        <w:t>that person</w:t>
      </w:r>
      <w:r w:rsidR="00786E82">
        <w:t xml:space="preserve">, or what </w:t>
      </w:r>
      <w:r w:rsidR="005D4310">
        <w:t>might be</w:t>
      </w:r>
      <w:r w:rsidR="00786E82">
        <w:t xml:space="preserve"> better for</w:t>
      </w:r>
      <w:r w:rsidR="0065574B">
        <w:t xml:space="preserve"> them</w:t>
      </w:r>
      <w:r w:rsidR="00786E82">
        <w:t>.</w:t>
      </w:r>
      <w:r w:rsidR="00786E82">
        <w:rPr>
          <w:rStyle w:val="FootnoteReference"/>
        </w:rPr>
        <w:footnoteReference w:id="3"/>
      </w:r>
      <w:r w:rsidR="00786E82">
        <w:t xml:space="preserve"> </w:t>
      </w:r>
    </w:p>
    <w:p w14:paraId="769365BF" w14:textId="0946FB47" w:rsidR="00DC4915" w:rsidRDefault="00DC4915" w:rsidP="00DC4915">
      <w:r>
        <w:t>The idea of something being good for someone necessitates that one must understand what the term good means. For this purpose, term ‘good’ will be understood in a broad sense along with its linguistic relative such as better</w:t>
      </w:r>
      <w:r w:rsidR="0065574B">
        <w:t>,</w:t>
      </w:r>
      <w:r>
        <w:t xml:space="preserve"> best and well.</w:t>
      </w:r>
      <w:r>
        <w:rPr>
          <w:rStyle w:val="FootnoteReference"/>
        </w:rPr>
        <w:footnoteReference w:id="4"/>
      </w:r>
      <w:r>
        <w:t xml:space="preserve"> The term is to be used in understanding the difference between something that is, and something that is good. For example, not just to have plans but to have good plans.</w:t>
      </w:r>
      <w:r>
        <w:rPr>
          <w:rStyle w:val="FootnoteReference"/>
        </w:rPr>
        <w:footnoteReference w:id="5"/>
      </w:r>
      <w:r>
        <w:t xml:space="preserve"> </w:t>
      </w:r>
      <w:r w:rsidR="000361EF">
        <w:t xml:space="preserve">The difference between plans and good plans are the end result in which the way someone feels about their plans, a </w:t>
      </w:r>
      <w:r w:rsidR="006D4AFD">
        <w:t>person’s</w:t>
      </w:r>
      <w:r w:rsidR="000361EF">
        <w:t xml:space="preserve"> resulted ‘wellbeing’</w:t>
      </w:r>
      <w:r w:rsidR="009A53EC">
        <w:t xml:space="preserve"> is often associated with determining </w:t>
      </w:r>
      <w:r w:rsidR="000F4611">
        <w:t>a positive outcome</w:t>
      </w:r>
      <w:r w:rsidR="000361EF">
        <w:t>.</w:t>
      </w:r>
      <w:r w:rsidR="006D4AFD">
        <w:rPr>
          <w:rStyle w:val="FootnoteReference"/>
        </w:rPr>
        <w:footnoteReference w:id="6"/>
      </w:r>
      <w:r w:rsidR="000361EF">
        <w:t xml:space="preserve"> </w:t>
      </w:r>
      <w:r>
        <w:t>Utilising the term</w:t>
      </w:r>
      <w:r w:rsidR="000F4611">
        <w:t xml:space="preserve"> ‘good’</w:t>
      </w:r>
      <w:r>
        <w:t xml:space="preserve"> in </w:t>
      </w:r>
      <w:r w:rsidR="000F4611">
        <w:t>a</w:t>
      </w:r>
      <w:r>
        <w:t xml:space="preserve"> broader sense saves arguments regarding what might be good for one, but not another</w:t>
      </w:r>
      <w:r w:rsidR="00D30611">
        <w:t xml:space="preserve"> as the t</w:t>
      </w:r>
      <w:r w:rsidR="00F3792D">
        <w:t>wo may not always be the same</w:t>
      </w:r>
      <w:r>
        <w:t>.</w:t>
      </w:r>
      <w:r>
        <w:rPr>
          <w:rStyle w:val="FootnoteReference"/>
        </w:rPr>
        <w:footnoteReference w:id="7"/>
      </w:r>
      <w:r>
        <w:t xml:space="preserve"> </w:t>
      </w:r>
    </w:p>
    <w:p w14:paraId="4767A6EA" w14:textId="79033B16" w:rsidR="00A355FC" w:rsidRDefault="00DC4915" w:rsidP="00DC4915">
      <w:r>
        <w:lastRenderedPageBreak/>
        <w:t>When considering both the will and good, to summarise, a good will is something that when acted upon does some good for someone even i</w:t>
      </w:r>
      <w:r w:rsidR="00F3792D">
        <w:t>f</w:t>
      </w:r>
      <w:r>
        <w:t xml:space="preserve"> that be the person themself, and</w:t>
      </w:r>
      <w:r w:rsidR="002052A3">
        <w:t xml:space="preserve"> the good will</w:t>
      </w:r>
      <w:r>
        <w:t xml:space="preserve"> has no cost to them or another, or negative impact on themselves or another.</w:t>
      </w:r>
      <w:r>
        <w:rPr>
          <w:rStyle w:val="FootnoteReference"/>
        </w:rPr>
        <w:footnoteReference w:id="8"/>
      </w:r>
      <w:r>
        <w:t xml:space="preserve"> </w:t>
      </w:r>
    </w:p>
    <w:p w14:paraId="05915AD3" w14:textId="390EA5A5" w:rsidR="00D85220" w:rsidRDefault="002052A3" w:rsidP="00DC4915">
      <w:r>
        <w:t>Having defined a good will, i</w:t>
      </w:r>
      <w:r w:rsidR="00FC3F57">
        <w:t xml:space="preserve">s it </w:t>
      </w:r>
      <w:r>
        <w:t xml:space="preserve">then </w:t>
      </w:r>
      <w:r w:rsidR="00FC3F57">
        <w:t>possible to consider the will of God?</w:t>
      </w:r>
      <w:r w:rsidR="00D33F82">
        <w:t xml:space="preserve"> </w:t>
      </w:r>
      <w:r w:rsidR="0077438D">
        <w:t xml:space="preserve">Carl Jung for example theorises that </w:t>
      </w:r>
      <w:r w:rsidR="002D365A">
        <w:t xml:space="preserve">the mind can not </w:t>
      </w:r>
      <w:r w:rsidR="00A02048">
        <w:t xml:space="preserve">understand anything outside of itself. </w:t>
      </w:r>
      <w:r w:rsidR="00C91F10">
        <w:t>Therefore</w:t>
      </w:r>
      <w:r w:rsidR="00293F48">
        <w:t xml:space="preserve"> in respect of God</w:t>
      </w:r>
      <w:r w:rsidR="00BF78DC">
        <w:t xml:space="preserve"> and his will this would</w:t>
      </w:r>
      <w:r w:rsidR="00A02048">
        <w:t xml:space="preserve"> limit</w:t>
      </w:r>
      <w:r w:rsidR="00BF78DC">
        <w:t xml:space="preserve"> a person’s</w:t>
      </w:r>
      <w:r w:rsidR="00A02048">
        <w:t xml:space="preserve"> understanding.</w:t>
      </w:r>
      <w:r w:rsidR="00A02048">
        <w:rPr>
          <w:rStyle w:val="FootnoteReference"/>
        </w:rPr>
        <w:footnoteReference w:id="9"/>
      </w:r>
      <w:r w:rsidR="00C91F10">
        <w:t xml:space="preserve"> The idea of people not truly being able to understand God </w:t>
      </w:r>
      <w:r w:rsidR="00BD2FCC">
        <w:t xml:space="preserve">truly </w:t>
      </w:r>
      <w:r w:rsidR="00C91F10">
        <w:t xml:space="preserve">is </w:t>
      </w:r>
      <w:r w:rsidR="0037525D">
        <w:t xml:space="preserve">supported by John Calvin, who explains that </w:t>
      </w:r>
      <w:r w:rsidR="008F45EB">
        <w:t xml:space="preserve">people have a tendency to </w:t>
      </w:r>
      <w:r w:rsidR="008446E2">
        <w:t xml:space="preserve">imagine God and </w:t>
      </w:r>
      <w:r w:rsidR="00BA1F1A">
        <w:t>H</w:t>
      </w:r>
      <w:r w:rsidR="008446E2">
        <w:t>is nature based on their own rashness and ideas</w:t>
      </w:r>
      <w:r w:rsidR="00AC071D">
        <w:t>. This</w:t>
      </w:r>
      <w:r w:rsidR="008446E2">
        <w:t xml:space="preserve"> prevent</w:t>
      </w:r>
      <w:r w:rsidR="00AC071D">
        <w:t xml:space="preserve">s people </w:t>
      </w:r>
      <w:r w:rsidR="008446E2">
        <w:t xml:space="preserve">from </w:t>
      </w:r>
      <w:r w:rsidR="0045422F">
        <w:t xml:space="preserve">conceiving God in the character </w:t>
      </w:r>
      <w:r w:rsidR="00AC071D">
        <w:t>which</w:t>
      </w:r>
      <w:r w:rsidR="0045422F">
        <w:t xml:space="preserve"> </w:t>
      </w:r>
      <w:r w:rsidR="00AC071D">
        <w:t>H</w:t>
      </w:r>
      <w:r w:rsidR="0045422F">
        <w:t>e is manifested.</w:t>
      </w:r>
      <w:r w:rsidR="0045422F">
        <w:rPr>
          <w:rStyle w:val="FootnoteReference"/>
        </w:rPr>
        <w:footnoteReference w:id="10"/>
      </w:r>
      <w:r w:rsidR="00A02048">
        <w:t xml:space="preserve"> </w:t>
      </w:r>
      <w:r w:rsidR="00EC76F2">
        <w:t xml:space="preserve">If Jung were to be correct in his </w:t>
      </w:r>
      <w:r w:rsidR="00C91F10">
        <w:t>understanding</w:t>
      </w:r>
      <w:r w:rsidR="00BA1F1A">
        <w:t xml:space="preserve"> when reading</w:t>
      </w:r>
      <w:r w:rsidR="00EC76F2">
        <w:t xml:space="preserve"> the biblical texts </w:t>
      </w:r>
      <w:r w:rsidR="00BA1F1A">
        <w:t xml:space="preserve">it would </w:t>
      </w:r>
      <w:r w:rsidR="00EC76F2">
        <w:t xml:space="preserve">cause </w:t>
      </w:r>
      <w:r w:rsidR="0072627E">
        <w:t xml:space="preserve">further issues </w:t>
      </w:r>
      <w:r w:rsidR="00CA036C">
        <w:t xml:space="preserve">for </w:t>
      </w:r>
      <w:r w:rsidR="000D08CD">
        <w:t>people</w:t>
      </w:r>
      <w:r w:rsidR="00BA1F1A">
        <w:t xml:space="preserve"> with</w:t>
      </w:r>
      <w:r w:rsidR="0072627E">
        <w:t xml:space="preserve"> Jesus</w:t>
      </w:r>
      <w:r w:rsidR="000D6D19">
        <w:t xml:space="preserve"> informs </w:t>
      </w:r>
      <w:r w:rsidR="00BA1F1A">
        <w:t>people</w:t>
      </w:r>
      <w:r w:rsidR="000D6D19">
        <w:t xml:space="preserve"> that God alone is good.</w:t>
      </w:r>
      <w:r w:rsidR="000D6D19">
        <w:rPr>
          <w:rStyle w:val="FootnoteReference"/>
        </w:rPr>
        <w:footnoteReference w:id="11"/>
      </w:r>
      <w:r w:rsidR="000D6D19">
        <w:t xml:space="preserve"> </w:t>
      </w:r>
      <w:r w:rsidR="00BC27FA">
        <w:t xml:space="preserve">If </w:t>
      </w:r>
      <w:r w:rsidR="003454C8">
        <w:t xml:space="preserve">all of the aforementioned is true then </w:t>
      </w:r>
      <w:r w:rsidR="00F74228">
        <w:t xml:space="preserve">a person’s </w:t>
      </w:r>
      <w:r w:rsidR="00EB76BC">
        <w:t xml:space="preserve">understanding of the will of God would not be possible, and if </w:t>
      </w:r>
      <w:r w:rsidR="00737036">
        <w:t xml:space="preserve">only God is good then do people </w:t>
      </w:r>
      <w:r w:rsidR="00F74228">
        <w:t xml:space="preserve">truly </w:t>
      </w:r>
      <w:r w:rsidR="00737036">
        <w:t>understand what good is?</w:t>
      </w:r>
      <w:r w:rsidR="00CA036C">
        <w:t xml:space="preserve"> </w:t>
      </w:r>
      <w:r w:rsidR="00F0126E">
        <w:t>To further compound the problem i</w:t>
      </w:r>
      <w:r w:rsidR="00485C85">
        <w:t xml:space="preserve">t is reasonable to suggest that our understanding of the </w:t>
      </w:r>
      <w:r w:rsidR="00B15F21">
        <w:t xml:space="preserve">Bible varies as does our culture, </w:t>
      </w:r>
      <w:r w:rsidR="00EE5ADA">
        <w:t xml:space="preserve">as Christianity has spread from being a traditionally western religion </w:t>
      </w:r>
      <w:r w:rsidR="006C7958">
        <w:t>to other cultures, the scriptures open up in n</w:t>
      </w:r>
      <w:r w:rsidR="00D047A1">
        <w:t>ew ways in respect to morale life and traditions.</w:t>
      </w:r>
      <w:r w:rsidR="00D047A1">
        <w:rPr>
          <w:rStyle w:val="FootnoteReference"/>
        </w:rPr>
        <w:footnoteReference w:id="12"/>
      </w:r>
      <w:r w:rsidR="00F278F3">
        <w:t xml:space="preserve"> The Bible has been</w:t>
      </w:r>
      <w:r w:rsidR="00381310">
        <w:t xml:space="preserve"> recorded in different languages, over different time periods</w:t>
      </w:r>
      <w:r w:rsidR="00D85220">
        <w:t xml:space="preserve">. With </w:t>
      </w:r>
      <w:r w:rsidR="00381310">
        <w:t>our period of technological advances</w:t>
      </w:r>
      <w:r w:rsidR="00BC4A45">
        <w:t xml:space="preserve"> that we are currently in and with the discovery of new manuscripts</w:t>
      </w:r>
      <w:r w:rsidR="00381310">
        <w:t xml:space="preserve">, the Bible is </w:t>
      </w:r>
      <w:r w:rsidR="00BC4A45">
        <w:t xml:space="preserve">still </w:t>
      </w:r>
      <w:r w:rsidR="00381310">
        <w:t xml:space="preserve">a book which is to be read, </w:t>
      </w:r>
      <w:r w:rsidR="002A67A4">
        <w:t>interpreted</w:t>
      </w:r>
      <w:r w:rsidR="00381310">
        <w:t>, and appropriated to life</w:t>
      </w:r>
      <w:r w:rsidR="00D85220">
        <w:t xml:space="preserve"> to try and bring understanding</w:t>
      </w:r>
      <w:r w:rsidR="00381310">
        <w:t>.</w:t>
      </w:r>
      <w:r w:rsidR="002A67A4">
        <w:rPr>
          <w:rStyle w:val="FootnoteReference"/>
        </w:rPr>
        <w:footnoteReference w:id="13"/>
      </w:r>
      <w:r w:rsidR="00381310">
        <w:t xml:space="preserve"> </w:t>
      </w:r>
    </w:p>
    <w:p w14:paraId="13338C92" w14:textId="77777777" w:rsidR="006A7386" w:rsidRDefault="006A5790" w:rsidP="00DC4915">
      <w:r>
        <w:t xml:space="preserve">Calvin </w:t>
      </w:r>
      <w:r w:rsidR="00381310">
        <w:t xml:space="preserve">is someone </w:t>
      </w:r>
      <w:r w:rsidR="002A67A4">
        <w:t xml:space="preserve">who </w:t>
      </w:r>
      <w:r w:rsidR="002873E0">
        <w:t xml:space="preserve">has attempted to bring a grounding with his book Institutes of the Christian religion, although highlighting our </w:t>
      </w:r>
      <w:r w:rsidR="006A7386">
        <w:t xml:space="preserve">human problem with imposing our own ideas, </w:t>
      </w:r>
      <w:r w:rsidR="002873E0">
        <w:t xml:space="preserve">Calvin </w:t>
      </w:r>
      <w:r>
        <w:t>would disagree with Jung in respect of the limitations of our mind</w:t>
      </w:r>
      <w:r w:rsidR="006A7386">
        <w:t xml:space="preserve"> and </w:t>
      </w:r>
      <w:r w:rsidR="0081242F">
        <w:t xml:space="preserve">would resort to the Bible to seek answers. </w:t>
      </w:r>
    </w:p>
    <w:p w14:paraId="3D8B6AF0" w14:textId="2078D5FA" w:rsidR="0088196F" w:rsidRDefault="00664CDF" w:rsidP="00DC4915">
      <w:r>
        <w:t>B</w:t>
      </w:r>
      <w:r w:rsidR="00C66D91">
        <w:t xml:space="preserve">iblical texts provide answers in respect of knowing the mind </w:t>
      </w:r>
      <w:r w:rsidR="0001477C">
        <w:t xml:space="preserve">of God, and his will. In 1 Corinthians </w:t>
      </w:r>
      <w:r w:rsidR="009F0045">
        <w:t xml:space="preserve">chapter 2, </w:t>
      </w:r>
      <w:r w:rsidR="0001477C">
        <w:t xml:space="preserve">the author </w:t>
      </w:r>
      <w:r w:rsidR="00A52906">
        <w:t xml:space="preserve">is discussing </w:t>
      </w:r>
      <w:r w:rsidR="00B51B44">
        <w:t xml:space="preserve">how only a human can truly know what is human, and only God can comprehend God, </w:t>
      </w:r>
      <w:r w:rsidR="009C7DB5">
        <w:t>supporting the earlier idea that only the person can determine their own will. D</w:t>
      </w:r>
      <w:r w:rsidR="00B15A34">
        <w:t>espite this, the author explains that people are able to understand Gods nature, because they have been gifted the mind of Jesus Christ</w:t>
      </w:r>
      <w:r w:rsidR="00FA3DB3">
        <w:t xml:space="preserve"> through His Spirit</w:t>
      </w:r>
      <w:r w:rsidR="00B15A34">
        <w:t>.</w:t>
      </w:r>
      <w:r w:rsidR="00B15A34">
        <w:rPr>
          <w:rStyle w:val="FootnoteReference"/>
        </w:rPr>
        <w:footnoteReference w:id="14"/>
      </w:r>
      <w:r w:rsidR="005C24A5">
        <w:t xml:space="preserve"> </w:t>
      </w:r>
      <w:r w:rsidR="00B14E2F">
        <w:t>This</w:t>
      </w:r>
      <w:r w:rsidR="00955A09">
        <w:t xml:space="preserve"> scripture</w:t>
      </w:r>
      <w:r w:rsidR="00B14E2F">
        <w:t xml:space="preserve"> supports the idea of natural </w:t>
      </w:r>
      <w:r w:rsidR="00B14E2F">
        <w:lastRenderedPageBreak/>
        <w:t>law</w:t>
      </w:r>
      <w:r w:rsidR="003F0B3B">
        <w:t xml:space="preserve"> </w:t>
      </w:r>
      <w:r w:rsidR="00B14E2F">
        <w:t>in that</w:t>
      </w:r>
      <w:r w:rsidR="00DB5996">
        <w:t xml:space="preserve">, </w:t>
      </w:r>
      <w:r w:rsidR="00955A09">
        <w:t xml:space="preserve">what </w:t>
      </w:r>
      <w:r w:rsidR="003F0B3B">
        <w:t>people</w:t>
      </w:r>
      <w:r w:rsidR="00955A09">
        <w:t xml:space="preserve"> observe from </w:t>
      </w:r>
      <w:r w:rsidR="003F0B3B">
        <w:t>their</w:t>
      </w:r>
      <w:r w:rsidR="00955A09">
        <w:t xml:space="preserve"> </w:t>
      </w:r>
      <w:r w:rsidR="005D7965">
        <w:t xml:space="preserve">surroundings assists </w:t>
      </w:r>
      <w:r w:rsidR="003F0B3B">
        <w:t xml:space="preserve">them </w:t>
      </w:r>
      <w:r w:rsidR="005D7965">
        <w:t>in forming</w:t>
      </w:r>
      <w:r w:rsidR="00955A09">
        <w:t xml:space="preserve"> </w:t>
      </w:r>
      <w:r w:rsidR="00AF0A99">
        <w:t>a part of our</w:t>
      </w:r>
      <w:r w:rsidR="00955A09">
        <w:t xml:space="preserve"> understanding of good and evil</w:t>
      </w:r>
      <w:r w:rsidR="00B14E2F">
        <w:t>, the</w:t>
      </w:r>
      <w:r w:rsidR="00AF0A99">
        <w:t xml:space="preserve"> remainder imposed on </w:t>
      </w:r>
      <w:r w:rsidR="00971B30">
        <w:t>people</w:t>
      </w:r>
      <w:r w:rsidR="00AF0A99">
        <w:t xml:space="preserve"> by morales from</w:t>
      </w:r>
      <w:r w:rsidR="00B14E2F">
        <w:t xml:space="preserve"> God.</w:t>
      </w:r>
      <w:r w:rsidR="00B14E2F">
        <w:rPr>
          <w:rStyle w:val="FootnoteReference"/>
        </w:rPr>
        <w:footnoteReference w:id="15"/>
      </w:r>
      <w:r w:rsidR="00B14E2F">
        <w:t xml:space="preserve"> </w:t>
      </w:r>
    </w:p>
    <w:p w14:paraId="54947A2E" w14:textId="18AF787B" w:rsidR="005E38A0" w:rsidRDefault="005E38A0" w:rsidP="00DC4915">
      <w:r>
        <w:t xml:space="preserve">Elsewhere in the </w:t>
      </w:r>
      <w:r w:rsidR="0025528C">
        <w:t>New Testament</w:t>
      </w:r>
      <w:r>
        <w:t xml:space="preserve"> there is further evidence to suggest that people are able to learn or understand the will of God. </w:t>
      </w:r>
      <w:r w:rsidR="000B1AE2">
        <w:t>Ephesians 5:17 commands readers to understand the will of God</w:t>
      </w:r>
      <w:r w:rsidR="00971B30">
        <w:t xml:space="preserve"> suggesting that it is possible to obtain Gods will</w:t>
      </w:r>
      <w:r w:rsidR="00416DA7">
        <w:t>.</w:t>
      </w:r>
      <w:r w:rsidR="00416DA7">
        <w:rPr>
          <w:rStyle w:val="FootnoteReference"/>
        </w:rPr>
        <w:footnoteReference w:id="16"/>
      </w:r>
      <w:r w:rsidR="00416DA7">
        <w:t xml:space="preserve"> </w:t>
      </w:r>
      <w:r w:rsidR="00F04720">
        <w:t>1 John 4 advises people to test the spirits to ensure that they are from God.</w:t>
      </w:r>
      <w:r w:rsidR="0025528C">
        <w:rPr>
          <w:rStyle w:val="FootnoteReference"/>
        </w:rPr>
        <w:footnoteReference w:id="17"/>
      </w:r>
      <w:r w:rsidR="00F04720">
        <w:t xml:space="preserve"> Further more</w:t>
      </w:r>
      <w:r w:rsidR="00590097">
        <w:t xml:space="preserve"> when understanding Gods will </w:t>
      </w:r>
      <w:r w:rsidR="00F00F98">
        <w:t xml:space="preserve">in 1 John 5 </w:t>
      </w:r>
      <w:r w:rsidR="005F58DB">
        <w:t>readers are advised that those who ask in accordance to Gods will, are not only heard, but granted the requests</w:t>
      </w:r>
      <w:r w:rsidR="00D4302A">
        <w:t>. The significance regarding this is that those requests appear to have to be in accordance with Gods will</w:t>
      </w:r>
      <w:r w:rsidR="000B2971">
        <w:t xml:space="preserve"> in order for them to be granted</w:t>
      </w:r>
      <w:r w:rsidR="00BB20BE">
        <w:t>.</w:t>
      </w:r>
      <w:r w:rsidR="00BB20BE">
        <w:rPr>
          <w:rStyle w:val="FootnoteReference"/>
        </w:rPr>
        <w:footnoteReference w:id="18"/>
      </w:r>
      <w:r w:rsidR="00BB20BE">
        <w:t xml:space="preserve"> </w:t>
      </w:r>
    </w:p>
    <w:p w14:paraId="104A8712" w14:textId="17E8335D" w:rsidR="00A454E0" w:rsidRDefault="00A454E0" w:rsidP="00DC4915">
      <w:r>
        <w:t xml:space="preserve">There is </w:t>
      </w:r>
      <w:r w:rsidR="008857B0">
        <w:t>of course</w:t>
      </w:r>
      <w:r>
        <w:t xml:space="preserve"> the </w:t>
      </w:r>
      <w:r w:rsidR="0094510B">
        <w:t>problem of evil.</w:t>
      </w:r>
      <w:r w:rsidR="000E0D47">
        <w:t xml:space="preserve"> </w:t>
      </w:r>
      <w:r w:rsidR="00AE60AC">
        <w:t>Evils existence is impossible to deny or ignore when discussing the will of God and his goodness.</w:t>
      </w:r>
      <w:r w:rsidR="00AE60AC">
        <w:rPr>
          <w:rStyle w:val="FootnoteReference"/>
        </w:rPr>
        <w:footnoteReference w:id="19"/>
      </w:r>
    </w:p>
    <w:p w14:paraId="64AD6498" w14:textId="77777777" w:rsidR="00636DFB" w:rsidRDefault="00AE60AC" w:rsidP="00DC4915">
      <w:r>
        <w:t xml:space="preserve">Scholars have attempted to counter this argument with reason. </w:t>
      </w:r>
      <w:r w:rsidR="003B0442">
        <w:t xml:space="preserve">Most notably Richard Swinburne </w:t>
      </w:r>
      <w:r w:rsidR="003D536F">
        <w:t>who provides many thoughts on why there may be evil in the world</w:t>
      </w:r>
      <w:r w:rsidR="00AA3AC0">
        <w:t>. The prominent theory throughout is the argument of free will. It is impossible for agents as Swinburne calls people to have freewill for them to always choose the good, and not at some points to choose evil.</w:t>
      </w:r>
      <w:r w:rsidR="00AA3AC0">
        <w:rPr>
          <w:rStyle w:val="FootnoteReference"/>
        </w:rPr>
        <w:footnoteReference w:id="20"/>
      </w:r>
      <w:r w:rsidR="005763ED">
        <w:t xml:space="preserve"> Swinburne argues that evil is necessary sometimes to feel emotions and feelings which would be classed as good, such as empathy.</w:t>
      </w:r>
      <w:r w:rsidR="005763ED">
        <w:rPr>
          <w:rStyle w:val="FootnoteReference"/>
        </w:rPr>
        <w:footnoteReference w:id="21"/>
      </w:r>
      <w:r w:rsidR="005763ED">
        <w:t xml:space="preserve"> These emotions would be impossible to feel without the presence of evil. </w:t>
      </w:r>
      <w:r w:rsidR="002A02DF">
        <w:t xml:space="preserve"> </w:t>
      </w:r>
    </w:p>
    <w:p w14:paraId="3D3D307B" w14:textId="1E92A22B" w:rsidR="004855E8" w:rsidRDefault="00636DFB" w:rsidP="00DC4915">
      <w:r>
        <w:t>Furthermore,</w:t>
      </w:r>
      <w:r w:rsidR="002A02DF">
        <w:t xml:space="preserve"> Swinburne provides another case where it may not be classed as evil, but impossible for two </w:t>
      </w:r>
      <w:r w:rsidR="005147FC">
        <w:t>to be good at the same time</w:t>
      </w:r>
      <w:r w:rsidR="00945EB9">
        <w:t xml:space="preserve"> as stated earlier, good for one but not another</w:t>
      </w:r>
      <w:r w:rsidR="005147FC">
        <w:t xml:space="preserve">. He provides the case of it may be good for president A to be in power at 2000 AD, but it may also be good for president B to be in power at 2000 AD, it is logically impossible for both to </w:t>
      </w:r>
      <w:r w:rsidR="00973F1B">
        <w:t xml:space="preserve">be in power of the </w:t>
      </w:r>
      <w:r w:rsidR="007D1FB1">
        <w:t>U</w:t>
      </w:r>
      <w:r w:rsidR="00973F1B">
        <w:t>nited states at the same time.</w:t>
      </w:r>
      <w:r w:rsidR="00C31FD6">
        <w:rPr>
          <w:rStyle w:val="FootnoteReference"/>
        </w:rPr>
        <w:footnoteReference w:id="22"/>
      </w:r>
      <w:r w:rsidR="00973F1B">
        <w:t xml:space="preserve"> Very similar to the earlier description, that what might be good for one, may not be good for another. This however </w:t>
      </w:r>
      <w:r w:rsidR="00C31FD6">
        <w:t xml:space="preserve">does not mean that’s Gods will is not good. </w:t>
      </w:r>
    </w:p>
    <w:p w14:paraId="41A6F7D9" w14:textId="0BCD40C1" w:rsidR="004855E8" w:rsidRDefault="004855E8" w:rsidP="00DC4915">
      <w:r>
        <w:lastRenderedPageBreak/>
        <w:t xml:space="preserve">The presence of evil does not prevent Gods will from being good. John Calvin </w:t>
      </w:r>
      <w:r w:rsidR="005D46CB">
        <w:t xml:space="preserve">explains that the hope </w:t>
      </w:r>
      <w:r w:rsidR="00A13CCB">
        <w:t xml:space="preserve">Christians have </w:t>
      </w:r>
      <w:r w:rsidR="005D46CB">
        <w:t>as a result of having a just God, is that the evils</w:t>
      </w:r>
      <w:r w:rsidR="00A13CCB">
        <w:t xml:space="preserve"> which are</w:t>
      </w:r>
      <w:r w:rsidR="005D46CB">
        <w:t xml:space="preserve"> witnessed in the world, will not go unpunished in the eternal state. </w:t>
      </w:r>
      <w:r w:rsidR="00956C6F">
        <w:rPr>
          <w:rStyle w:val="FootnoteReference"/>
        </w:rPr>
        <w:footnoteReference w:id="23"/>
      </w:r>
    </w:p>
    <w:p w14:paraId="66FDCFDC" w14:textId="7CD23C2F" w:rsidR="008A4DDC" w:rsidRDefault="00101F28" w:rsidP="00DC4915">
      <w:r>
        <w:t xml:space="preserve">To conclude, </w:t>
      </w:r>
      <w:r w:rsidR="008A4DDC">
        <w:t xml:space="preserve">‘Good’ </w:t>
      </w:r>
      <w:r w:rsidR="00947DBE">
        <w:t xml:space="preserve">when considering </w:t>
      </w:r>
      <w:r w:rsidR="00A8075A">
        <w:t>the earlier definition</w:t>
      </w:r>
      <w:r w:rsidR="00947DBE">
        <w:t xml:space="preserve"> </w:t>
      </w:r>
      <w:r w:rsidR="00A8075A">
        <w:t xml:space="preserve">is </w:t>
      </w:r>
      <w:r w:rsidR="008A4DDC">
        <w:t xml:space="preserve">an outside agent that imposes itself upon the decisions people make. To determine something as a good decision is to impose morales upon that decision. Morales established elsewhere. These morales </w:t>
      </w:r>
      <w:r w:rsidR="001149DA">
        <w:t xml:space="preserve">as Aquinas </w:t>
      </w:r>
      <w:r w:rsidR="00957C6A">
        <w:t>informs are established by God.</w:t>
      </w:r>
      <w:r w:rsidR="008A4DDC">
        <w:rPr>
          <w:rStyle w:val="FootnoteReference"/>
        </w:rPr>
        <w:footnoteReference w:id="24"/>
      </w:r>
      <w:r w:rsidR="008A4DDC">
        <w:t xml:space="preserve"> </w:t>
      </w:r>
    </w:p>
    <w:p w14:paraId="0DEF331F" w14:textId="3837D964" w:rsidR="008A4DDC" w:rsidRDefault="008A4DDC" w:rsidP="00DC4915">
      <w:r>
        <w:t xml:space="preserve">The question then asked </w:t>
      </w:r>
      <w:r w:rsidR="000E0463">
        <w:t>whether</w:t>
      </w:r>
      <w:r>
        <w:t xml:space="preserve"> what God wills becomes good, suggest that there are morales which themselves are defined as obligatory. In that rather than doing what one wills, the morales intervene to determine </w:t>
      </w:r>
      <w:r w:rsidR="000E0463">
        <w:t>to provide a good outcome for fear of being punished or ostracised by others within the culture.</w:t>
      </w:r>
      <w:r w:rsidR="000E0463">
        <w:rPr>
          <w:rStyle w:val="FootnoteReference"/>
        </w:rPr>
        <w:footnoteReference w:id="25"/>
      </w:r>
      <w:r w:rsidR="000E0463">
        <w:t xml:space="preserve"> With the understanding of morales and what is right to infer that Gods will becomes good, infers that God is not omnipotent form the outset, in that there is some external morale compass that leads to his will becoming good. </w:t>
      </w:r>
    </w:p>
    <w:p w14:paraId="105E1E17" w14:textId="42B85BD4" w:rsidR="00162633" w:rsidRDefault="00155810" w:rsidP="00DC4915">
      <w:r>
        <w:t>William of Ockham summarises well in that God is not subject to the slightest degree of any superior will, law or logical necessity.</w:t>
      </w:r>
      <w:r>
        <w:rPr>
          <w:rStyle w:val="FootnoteReference"/>
        </w:rPr>
        <w:footnoteReference w:id="26"/>
      </w:r>
      <w:r>
        <w:t xml:space="preserve"> Therefore Gods will cannot become good, but God must only will good things</w:t>
      </w:r>
      <w:r w:rsidR="001040B1">
        <w:t xml:space="preserve">. </w:t>
      </w:r>
      <w:r w:rsidR="007277D3">
        <w:t xml:space="preserve"> </w:t>
      </w:r>
      <w:r w:rsidR="000A0007">
        <w:t xml:space="preserve">An analogy </w:t>
      </w:r>
      <w:r w:rsidR="00277655">
        <w:t xml:space="preserve">for </w:t>
      </w:r>
      <w:r w:rsidR="0028031C">
        <w:t xml:space="preserve">trying to </w:t>
      </w:r>
      <w:r w:rsidR="00277655">
        <w:t xml:space="preserve">understand Gods will </w:t>
      </w:r>
      <w:r w:rsidR="0028031C">
        <w:t>and whether it is good or becomes good</w:t>
      </w:r>
      <w:r w:rsidR="00277655">
        <w:t>, is in respect of a baker.</w:t>
      </w:r>
      <w:r w:rsidR="006D37F3">
        <w:t xml:space="preserve"> The idea of a baker taken from R Kraut, when establishing the difference between right and wrong.</w:t>
      </w:r>
      <w:r w:rsidR="00277655">
        <w:t xml:space="preserve"> A baker </w:t>
      </w:r>
      <w:r w:rsidR="00920872">
        <w:t xml:space="preserve">may follow good instructions to make a good cake, however </w:t>
      </w:r>
      <w:r w:rsidR="00A8302A">
        <w:t xml:space="preserve">if </w:t>
      </w:r>
      <w:r w:rsidR="00920872">
        <w:t>once cooked</w:t>
      </w:r>
      <w:r w:rsidR="00A8302A">
        <w:t xml:space="preserve"> the cake</w:t>
      </w:r>
      <w:r w:rsidR="00920872">
        <w:t xml:space="preserve"> was burnt</w:t>
      </w:r>
      <w:r w:rsidR="00A8302A">
        <w:t xml:space="preserve"> it be plausible to say t</w:t>
      </w:r>
      <w:r w:rsidR="00920872">
        <w:t xml:space="preserve">he baker </w:t>
      </w:r>
      <w:r w:rsidR="004249FC">
        <w:t>would ha</w:t>
      </w:r>
      <w:r w:rsidR="00A8302A">
        <w:t xml:space="preserve">d </w:t>
      </w:r>
      <w:r w:rsidR="004249FC">
        <w:t>done something wrong.</w:t>
      </w:r>
      <w:r w:rsidR="00B37155">
        <w:rPr>
          <w:rStyle w:val="FootnoteReference"/>
        </w:rPr>
        <w:footnoteReference w:id="27"/>
      </w:r>
      <w:r w:rsidR="004249FC">
        <w:t xml:space="preserve"> </w:t>
      </w:r>
      <w:r w:rsidR="006E1FFA">
        <w:t xml:space="preserve">Gods will can be compared to those instructions for the cake, they are good instructions, by introducing a baker, a free agent </w:t>
      </w:r>
      <w:r w:rsidR="00AA26F7">
        <w:t xml:space="preserve">with free will </w:t>
      </w:r>
      <w:r w:rsidR="006E1FFA">
        <w:t xml:space="preserve">to make free choices </w:t>
      </w:r>
      <w:r w:rsidR="00E156E0">
        <w:t>the end result may not be as God intended it</w:t>
      </w:r>
      <w:r w:rsidR="00AA26F7">
        <w:t xml:space="preserve"> and may result in the final product being burnt. </w:t>
      </w:r>
      <w:r w:rsidR="00A42542">
        <w:t>Therefore,</w:t>
      </w:r>
      <w:r w:rsidR="00AA26F7">
        <w:t xml:space="preserve"> distorting the original image and intention of the creator. </w:t>
      </w:r>
      <w:r w:rsidR="00162633">
        <w:t xml:space="preserve">This is counter to the idea of God willing, and then becoming good, </w:t>
      </w:r>
      <w:r w:rsidR="00F931E1">
        <w:t>where God asks a free agent to make a cake, the cake is good</w:t>
      </w:r>
      <w:r w:rsidR="00215D2E">
        <w:t xml:space="preserve"> as Gods</w:t>
      </w:r>
      <w:r w:rsidR="00F931E1">
        <w:t xml:space="preserve"> good. </w:t>
      </w:r>
      <w:r w:rsidR="00956C6F">
        <w:t xml:space="preserve">The onus of the good is transferred from God to the free agent. </w:t>
      </w:r>
    </w:p>
    <w:p w14:paraId="64AF63F0" w14:textId="3E37700A" w:rsidR="00101F28" w:rsidRDefault="00101F28" w:rsidP="00DC4915">
      <w:r>
        <w:t>Considering the earlier scripture from the book of Luke</w:t>
      </w:r>
      <w:r w:rsidR="005C3BD1">
        <w:t>, whereby</w:t>
      </w:r>
      <w:r>
        <w:t xml:space="preserve"> out of the abundance of the heart the mouth speaks</w:t>
      </w:r>
      <w:r w:rsidR="00AD60FB">
        <w:t xml:space="preserve">. </w:t>
      </w:r>
      <w:r w:rsidR="00EB6355">
        <w:t xml:space="preserve">God in Genesis </w:t>
      </w:r>
      <w:r w:rsidR="00FC2AFF">
        <w:t xml:space="preserve">chapter 1 is the creator of all </w:t>
      </w:r>
      <w:r w:rsidR="005C3BD1">
        <w:t>things;</w:t>
      </w:r>
      <w:r w:rsidR="00FC2AFF">
        <w:t xml:space="preserve"> </w:t>
      </w:r>
      <w:r w:rsidR="005C3BD1">
        <w:t>H</w:t>
      </w:r>
      <w:r w:rsidR="00FC2AFF">
        <w:t xml:space="preserve">e spoke creation into </w:t>
      </w:r>
      <w:r w:rsidR="00AD60FB">
        <w:t>existence</w:t>
      </w:r>
      <w:r w:rsidR="00FC2AFF">
        <w:t xml:space="preserve"> and on reflecting determined that they were good. </w:t>
      </w:r>
      <w:r w:rsidR="00AD60FB">
        <w:t xml:space="preserve">The goodness displayed is as a result of the goodness already within. </w:t>
      </w:r>
      <w:r w:rsidR="005C3BD1">
        <w:t>Therefore,</w:t>
      </w:r>
      <w:r w:rsidR="00AD60FB">
        <w:t xml:space="preserve"> there is a stronger case to suggest that God only wills good things. </w:t>
      </w:r>
    </w:p>
    <w:p w14:paraId="07CC4A9D" w14:textId="4AF2C042" w:rsidR="00F32443" w:rsidRDefault="00F32443" w:rsidP="00DC4915">
      <w:r>
        <w:t xml:space="preserve">During the writing of this essay, I have not used AI. All sources are recorded within the bibliography. </w:t>
      </w:r>
    </w:p>
    <w:p w14:paraId="02F8F10C" w14:textId="77777777" w:rsidR="00F32443" w:rsidRDefault="005C72D8">
      <w:pPr>
        <w:rPr>
          <w:i/>
          <w:iCs/>
        </w:rPr>
      </w:pPr>
      <w:r>
        <w:tab/>
      </w:r>
      <w:r>
        <w:tab/>
      </w:r>
      <w:r>
        <w:tab/>
      </w:r>
      <w:r>
        <w:tab/>
      </w:r>
      <w:r>
        <w:tab/>
      </w:r>
      <w:r>
        <w:tab/>
      </w:r>
      <w:r>
        <w:tab/>
      </w:r>
      <w:r>
        <w:tab/>
      </w:r>
      <w:r>
        <w:tab/>
      </w:r>
      <w:r>
        <w:tab/>
      </w:r>
      <w:r>
        <w:rPr>
          <w:i/>
          <w:iCs/>
        </w:rPr>
        <w:t xml:space="preserve">Word count </w:t>
      </w:r>
      <w:r w:rsidR="00C97F7F">
        <w:rPr>
          <w:i/>
          <w:iCs/>
        </w:rPr>
        <w:t>18</w:t>
      </w:r>
      <w:r w:rsidR="00F32443">
        <w:rPr>
          <w:i/>
          <w:iCs/>
        </w:rPr>
        <w:t>32</w:t>
      </w:r>
      <w:r w:rsidR="00C97F7F">
        <w:rPr>
          <w:i/>
          <w:iCs/>
        </w:rPr>
        <w:t>.</w:t>
      </w:r>
    </w:p>
    <w:p w14:paraId="6F078772" w14:textId="406F255B" w:rsidR="00837A4F" w:rsidRPr="00F32443" w:rsidRDefault="00361843">
      <w:pPr>
        <w:rPr>
          <w:i/>
          <w:iCs/>
        </w:rPr>
      </w:pPr>
      <w:r>
        <w:lastRenderedPageBreak/>
        <w:t>Bibliography:</w:t>
      </w:r>
    </w:p>
    <w:p w14:paraId="41F5739A" w14:textId="77777777" w:rsidR="00F92CD1" w:rsidRDefault="00F92CD1"/>
    <w:p w14:paraId="3D9573EF" w14:textId="28E99DA9" w:rsidR="00F92CD1" w:rsidRDefault="00F92CD1">
      <w:r w:rsidRPr="0076310F">
        <w:t>BIRCH,</w:t>
      </w:r>
      <w:r>
        <w:t xml:space="preserve"> C. Bruce,</w:t>
      </w:r>
      <w:r w:rsidRPr="0076310F">
        <w:t xml:space="preserve"> et al. </w:t>
      </w:r>
      <w:r>
        <w:t>‘</w:t>
      </w:r>
      <w:r w:rsidRPr="0076310F">
        <w:t>Introduction: A New Conversation</w:t>
      </w:r>
      <w:r>
        <w:t>’,</w:t>
      </w:r>
      <w:r w:rsidRPr="0076310F">
        <w:t xml:space="preserve"> </w:t>
      </w:r>
      <w:r w:rsidRPr="0076310F">
        <w:rPr>
          <w:i/>
          <w:iCs/>
        </w:rPr>
        <w:t>Bible and Ethics in the Christian Life: A New Conversation</w:t>
      </w:r>
      <w:r w:rsidRPr="0076310F">
        <w:t xml:space="preserve">, 3rd ed., </w:t>
      </w:r>
      <w:r>
        <w:t>(</w:t>
      </w:r>
      <w:r w:rsidRPr="0076310F">
        <w:t>Augsburg Fortress, 2018</w:t>
      </w:r>
      <w:r>
        <w:t>)</w:t>
      </w:r>
      <w:r w:rsidRPr="0076310F">
        <w:t>,</w:t>
      </w:r>
    </w:p>
    <w:p w14:paraId="6017A6E7" w14:textId="77777777" w:rsidR="00837A4F" w:rsidRDefault="00837A4F"/>
    <w:p w14:paraId="068F5844" w14:textId="3745C0D3" w:rsidR="00837A4F" w:rsidRDefault="00577477">
      <w:r>
        <w:t>Calvin,</w:t>
      </w:r>
      <w:r>
        <w:t xml:space="preserve"> John,</w:t>
      </w:r>
      <w:r>
        <w:t xml:space="preserve"> ‘Institutes of the Christian Religion’, (Wm. B Eerdmans Publishing Co. 255 Jefferson Ave. SE, Grand Rapids, MI 49503 1989)</w:t>
      </w:r>
    </w:p>
    <w:p w14:paraId="58F58315" w14:textId="77777777" w:rsidR="00F92CD1" w:rsidRDefault="00F92CD1"/>
    <w:p w14:paraId="3310F652" w14:textId="52327CD9" w:rsidR="00F92CD1" w:rsidRDefault="00F92CD1">
      <w:r w:rsidRPr="00786E82">
        <w:t>Gill,</w:t>
      </w:r>
      <w:r>
        <w:t xml:space="preserve"> R.,</w:t>
      </w:r>
      <w:r w:rsidRPr="00786E82">
        <w:t xml:space="preserve"> </w:t>
      </w:r>
      <w:r w:rsidRPr="00786E82">
        <w:rPr>
          <w:i/>
          <w:iCs/>
        </w:rPr>
        <w:t>The Cambridge companion to Christian ethics</w:t>
      </w:r>
      <w:r w:rsidRPr="00786E82">
        <w:t xml:space="preserve">. Second edition. </w:t>
      </w:r>
      <w:r>
        <w:t>(</w:t>
      </w:r>
      <w:r w:rsidRPr="00786E82">
        <w:t>Cambridge: Cambridge University Press</w:t>
      </w:r>
      <w:r>
        <w:t>, 2012)</w:t>
      </w:r>
    </w:p>
    <w:p w14:paraId="458C4347" w14:textId="77777777" w:rsidR="00F92CD1" w:rsidRDefault="00F92CD1"/>
    <w:p w14:paraId="122CBB0C" w14:textId="1B89E3CE" w:rsidR="00F92CD1" w:rsidRDefault="00F92CD1">
      <w:r w:rsidRPr="0093720C">
        <w:t>JUNG</w:t>
      </w:r>
      <w:r>
        <w:t xml:space="preserve">, C. G., </w:t>
      </w:r>
      <w:r>
        <w:t>‘</w:t>
      </w:r>
      <w:r w:rsidRPr="0093720C">
        <w:t>PSYCHOLOGICAL COMMENTARY ON THE TIBETAN BOOK OF THE GREAT LIBERATION</w:t>
      </w:r>
      <w:r>
        <w:t>’,</w:t>
      </w:r>
      <w:r w:rsidRPr="0093720C">
        <w:t xml:space="preserve"> </w:t>
      </w:r>
      <w:r w:rsidRPr="0093720C">
        <w:rPr>
          <w:i/>
          <w:iCs/>
        </w:rPr>
        <w:t>Collected Works of C. G. Jung, Volume 11: Psychology and Religion: West and East</w:t>
      </w:r>
      <w:r w:rsidRPr="0093720C">
        <w:t>, edited by GERHARD ADLER and R. F. C. HULL,</w:t>
      </w:r>
      <w:r>
        <w:t xml:space="preserve"> (</w:t>
      </w:r>
      <w:r w:rsidRPr="0093720C">
        <w:t>Princeton University Press, 1969</w:t>
      </w:r>
    </w:p>
    <w:p w14:paraId="334EAAA9" w14:textId="77777777" w:rsidR="00F92CD1" w:rsidRDefault="00F92CD1"/>
    <w:p w14:paraId="55BC58E6" w14:textId="3C922440" w:rsidR="00F92CD1" w:rsidRDefault="00F92CD1">
      <w:r w:rsidRPr="00DF7239">
        <w:t>KELLENBERGER,</w:t>
      </w:r>
      <w:r>
        <w:t xml:space="preserve"> </w:t>
      </w:r>
      <w:r>
        <w:t xml:space="preserve">James, </w:t>
      </w:r>
      <w:r w:rsidRPr="00DF7239">
        <w:t xml:space="preserve">“God’s goodness and God’s evil,” </w:t>
      </w:r>
      <w:r w:rsidRPr="00DF7239">
        <w:rPr>
          <w:i/>
          <w:iCs/>
        </w:rPr>
        <w:t>Religious studies</w:t>
      </w:r>
      <w:r w:rsidRPr="00DF7239">
        <w:t>, 41(1),</w:t>
      </w:r>
      <w:r>
        <w:t xml:space="preserve"> ( Cambridge University Press, 2005)</w:t>
      </w:r>
      <w:r w:rsidRPr="00DF7239">
        <w:t>.</w:t>
      </w:r>
    </w:p>
    <w:p w14:paraId="3EB58891" w14:textId="77777777" w:rsidR="00F92CD1" w:rsidRDefault="00F92CD1"/>
    <w:p w14:paraId="29121672" w14:textId="50F502B0" w:rsidR="00F92CD1" w:rsidRDefault="00F92CD1">
      <w:r w:rsidRPr="00DF7239">
        <w:t>Kraut</w:t>
      </w:r>
      <w:r>
        <w:t xml:space="preserve">, R., </w:t>
      </w:r>
      <w:r w:rsidRPr="00DF7239">
        <w:rPr>
          <w:i/>
          <w:iCs/>
        </w:rPr>
        <w:t>What is good and why : the ethics of well-being</w:t>
      </w:r>
      <w:r w:rsidRPr="00DF7239">
        <w:t xml:space="preserve">. </w:t>
      </w:r>
      <w:r>
        <w:t>(</w:t>
      </w:r>
      <w:r w:rsidRPr="00DF7239">
        <w:t xml:space="preserve">Harvard University Press. </w:t>
      </w:r>
      <w:r>
        <w:t>2007)</w:t>
      </w:r>
    </w:p>
    <w:p w14:paraId="4C3BCB64" w14:textId="77777777" w:rsidR="00F92CD1" w:rsidRDefault="00F92CD1"/>
    <w:p w14:paraId="0A07ACD5" w14:textId="6C85D744" w:rsidR="00F92CD1" w:rsidRDefault="00F92CD1">
      <w:r w:rsidRPr="006650B9">
        <w:t xml:space="preserve">Swinburne, </w:t>
      </w:r>
      <w:r>
        <w:t xml:space="preserve">Richard, </w:t>
      </w:r>
      <w:r w:rsidRPr="006650B9">
        <w:rPr>
          <w:i/>
          <w:iCs/>
        </w:rPr>
        <w:t>Providence and the problem of evil</w:t>
      </w:r>
      <w:r w:rsidRPr="006650B9">
        <w:t xml:space="preserve">. </w:t>
      </w:r>
      <w:r>
        <w:t>(</w:t>
      </w:r>
      <w:r w:rsidRPr="006650B9">
        <w:t>Oxford: Clarendon Press</w:t>
      </w:r>
      <w:r>
        <w:t xml:space="preserve"> 1998)</w:t>
      </w:r>
    </w:p>
    <w:p w14:paraId="1A71FC87" w14:textId="77777777" w:rsidR="00F92CD1" w:rsidRDefault="00F92CD1"/>
    <w:p w14:paraId="48EA66FF" w14:textId="778994D4" w:rsidR="00F92CD1" w:rsidRDefault="00F92CD1">
      <w:r w:rsidRPr="004B5841">
        <w:rPr>
          <w:lang w:val="en-US"/>
        </w:rPr>
        <w:t xml:space="preserve">Swinburne, </w:t>
      </w:r>
      <w:r>
        <w:rPr>
          <w:lang w:val="en-US"/>
        </w:rPr>
        <w:t xml:space="preserve">Richard </w:t>
      </w:r>
      <w:r w:rsidRPr="004B5841">
        <w:rPr>
          <w:i/>
          <w:iCs/>
          <w:lang w:val="en-US"/>
        </w:rPr>
        <w:t>The Existence of God</w:t>
      </w:r>
      <w:r w:rsidRPr="004B5841">
        <w:rPr>
          <w:lang w:val="en-US"/>
        </w:rPr>
        <w:t>, 2nd ed. (Oxford: Clarendon Press, 2004</w:t>
      </w:r>
      <w:r>
        <w:rPr>
          <w:lang w:val="en-US"/>
        </w:rPr>
        <w:t>)</w:t>
      </w:r>
    </w:p>
    <w:p w14:paraId="4F39CC6C" w14:textId="77777777" w:rsidR="00F92CD1" w:rsidRDefault="00F92CD1"/>
    <w:p w14:paraId="681E5C96" w14:textId="0FB99939" w:rsidR="00F92CD1" w:rsidRDefault="00F92CD1">
      <w:r>
        <w:t>The Holy Bible, NRSV, &lt;</w:t>
      </w:r>
      <w:r w:rsidRPr="00F92CD1">
        <w:t>https://www.biblegateway.com/versions/New-Revised-Standard-Version-Updated-Edition-NRSVue-Bible/</w:t>
      </w:r>
      <w:r>
        <w:t>&gt;</w:t>
      </w:r>
    </w:p>
    <w:p w14:paraId="1F919216" w14:textId="77777777" w:rsidR="00F92CD1" w:rsidRDefault="00F92CD1"/>
    <w:p w14:paraId="2835B567" w14:textId="4FD25B58" w:rsidR="00F92CD1" w:rsidRDefault="00F92CD1">
      <w:r>
        <w:t xml:space="preserve">Young, </w:t>
      </w:r>
      <w:r>
        <w:t xml:space="preserve">E.D., </w:t>
      </w:r>
      <w:r>
        <w:t>‘God’s moral goodness and supererogation’, International journal for philosophy of religion, 73(2), (2013)</w:t>
      </w:r>
    </w:p>
    <w:sectPr w:rsidR="00F92C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61E32" w14:textId="77777777" w:rsidR="00393627" w:rsidRDefault="00393627" w:rsidP="00A73D1F">
      <w:pPr>
        <w:spacing w:after="0" w:line="240" w:lineRule="auto"/>
      </w:pPr>
      <w:r>
        <w:separator/>
      </w:r>
    </w:p>
  </w:endnote>
  <w:endnote w:type="continuationSeparator" w:id="0">
    <w:p w14:paraId="38BF2E72" w14:textId="77777777" w:rsidR="00393627" w:rsidRDefault="00393627" w:rsidP="00A73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F095E" w14:textId="77777777" w:rsidR="00393627" w:rsidRDefault="00393627" w:rsidP="00A73D1F">
      <w:pPr>
        <w:spacing w:after="0" w:line="240" w:lineRule="auto"/>
      </w:pPr>
      <w:r>
        <w:separator/>
      </w:r>
    </w:p>
  </w:footnote>
  <w:footnote w:type="continuationSeparator" w:id="0">
    <w:p w14:paraId="59EC52DA" w14:textId="77777777" w:rsidR="00393627" w:rsidRDefault="00393627" w:rsidP="00A73D1F">
      <w:pPr>
        <w:spacing w:after="0" w:line="240" w:lineRule="auto"/>
      </w:pPr>
      <w:r>
        <w:continuationSeparator/>
      </w:r>
    </w:p>
  </w:footnote>
  <w:footnote w:id="1">
    <w:p w14:paraId="0BDAE6BB" w14:textId="49860A7E" w:rsidR="00C170DD" w:rsidRDefault="00C170DD">
      <w:pPr>
        <w:pStyle w:val="FootnoteText"/>
      </w:pPr>
      <w:r>
        <w:rPr>
          <w:rStyle w:val="FootnoteReference"/>
        </w:rPr>
        <w:footnoteRef/>
      </w:r>
      <w:r>
        <w:t xml:space="preserve"> </w:t>
      </w:r>
      <w:r>
        <w:t xml:space="preserve">The Holy Bible, </w:t>
      </w:r>
      <w:r>
        <w:t>Luke 6: 43-45</w:t>
      </w:r>
      <w:r>
        <w:t>, NRSV</w:t>
      </w:r>
      <w:r w:rsidR="00915393">
        <w:t>, &lt;</w:t>
      </w:r>
      <w:r w:rsidR="00915393" w:rsidRPr="00915393">
        <w:t>https://www.biblegateway.com/passage/?search=luke%206%3A43-45&amp;version=NRSVUE</w:t>
      </w:r>
      <w:r w:rsidR="00915393">
        <w:t>&gt; [Accessed 16</w:t>
      </w:r>
      <w:r w:rsidR="00915393" w:rsidRPr="00915393">
        <w:rPr>
          <w:vertAlign w:val="superscript"/>
        </w:rPr>
        <w:t>th</w:t>
      </w:r>
      <w:r w:rsidR="00915393">
        <w:t xml:space="preserve"> March 2026]. </w:t>
      </w:r>
    </w:p>
  </w:footnote>
  <w:footnote w:id="2">
    <w:p w14:paraId="27A09115" w14:textId="14AD7402" w:rsidR="00C24450" w:rsidRDefault="00C24450">
      <w:pPr>
        <w:pStyle w:val="FootnoteText"/>
      </w:pPr>
      <w:r>
        <w:rPr>
          <w:rStyle w:val="FootnoteReference"/>
        </w:rPr>
        <w:footnoteRef/>
      </w:r>
      <w:r>
        <w:t xml:space="preserve"> </w:t>
      </w:r>
      <w:r w:rsidR="00B47D82">
        <w:t xml:space="preserve">R. </w:t>
      </w:r>
      <w:r w:rsidR="00786E82" w:rsidRPr="00786E82">
        <w:t xml:space="preserve">Gill, </w:t>
      </w:r>
      <w:r w:rsidR="00786E82" w:rsidRPr="00786E82">
        <w:rPr>
          <w:i/>
          <w:iCs/>
        </w:rPr>
        <w:t>The Cambridge companion to Christian ethics</w:t>
      </w:r>
      <w:r w:rsidR="00786E82" w:rsidRPr="00786E82">
        <w:t xml:space="preserve">. Second edition. </w:t>
      </w:r>
      <w:r w:rsidR="00B47D82">
        <w:t>(</w:t>
      </w:r>
      <w:r w:rsidR="00786E82" w:rsidRPr="00786E82">
        <w:t>Cambridge: Cambridge University Press</w:t>
      </w:r>
      <w:r w:rsidR="00786E82">
        <w:t xml:space="preserve">, </w:t>
      </w:r>
      <w:r w:rsidR="00B47D82">
        <w:t xml:space="preserve">2012) </w:t>
      </w:r>
      <w:r w:rsidR="00786E82">
        <w:t xml:space="preserve">P.3. </w:t>
      </w:r>
    </w:p>
  </w:footnote>
  <w:footnote w:id="3">
    <w:p w14:paraId="7807D818" w14:textId="0220EEB5" w:rsidR="00786E82" w:rsidRDefault="00786E82">
      <w:pPr>
        <w:pStyle w:val="FootnoteText"/>
      </w:pPr>
      <w:r>
        <w:rPr>
          <w:rStyle w:val="FootnoteReference"/>
        </w:rPr>
        <w:footnoteRef/>
      </w:r>
      <w:r>
        <w:t xml:space="preserve"> </w:t>
      </w:r>
      <w:r w:rsidR="00B47D82">
        <w:t xml:space="preserve">R. </w:t>
      </w:r>
      <w:r w:rsidRPr="00786E82">
        <w:t xml:space="preserve">Gill, </w:t>
      </w:r>
      <w:r w:rsidRPr="00786E82">
        <w:rPr>
          <w:i/>
          <w:iCs/>
        </w:rPr>
        <w:t>The Cambridge companion to Christian ethics</w:t>
      </w:r>
      <w:r w:rsidR="00B47D82">
        <w:t>, p</w:t>
      </w:r>
      <w:r>
        <w:t xml:space="preserve">.4. </w:t>
      </w:r>
    </w:p>
  </w:footnote>
  <w:footnote w:id="4">
    <w:p w14:paraId="6C166ED0" w14:textId="565A6494" w:rsidR="00DC4915" w:rsidRDefault="00DC4915" w:rsidP="00DC4915">
      <w:pPr>
        <w:pStyle w:val="FootnoteText"/>
      </w:pPr>
      <w:r>
        <w:rPr>
          <w:rStyle w:val="FootnoteReference"/>
        </w:rPr>
        <w:footnoteRef/>
      </w:r>
      <w:r>
        <w:t xml:space="preserve"> </w:t>
      </w:r>
      <w:r w:rsidR="00427192">
        <w:t xml:space="preserve">R. </w:t>
      </w:r>
      <w:r w:rsidRPr="00DF7239">
        <w:t>Kraut,</w:t>
      </w:r>
      <w:r w:rsidR="00427192">
        <w:t xml:space="preserve"> </w:t>
      </w:r>
      <w:r w:rsidRPr="00DF7239">
        <w:rPr>
          <w:i/>
          <w:iCs/>
        </w:rPr>
        <w:t>What is good and why : the ethics of well-being</w:t>
      </w:r>
      <w:r w:rsidRPr="00DF7239">
        <w:t xml:space="preserve">. </w:t>
      </w:r>
      <w:r w:rsidR="00427192">
        <w:t>(</w:t>
      </w:r>
      <w:r w:rsidRPr="00DF7239">
        <w:t xml:space="preserve">Harvard University Press. </w:t>
      </w:r>
      <w:r w:rsidR="00774E4F">
        <w:t xml:space="preserve">2007) </w:t>
      </w:r>
      <w:r>
        <w:t>p.1</w:t>
      </w:r>
      <w:r w:rsidR="00774E4F">
        <w:t>.</w:t>
      </w:r>
    </w:p>
  </w:footnote>
  <w:footnote w:id="5">
    <w:p w14:paraId="33A602D2" w14:textId="37BCD09C" w:rsidR="00DC4915" w:rsidRDefault="00DC4915" w:rsidP="00DC4915">
      <w:r>
        <w:rPr>
          <w:rStyle w:val="FootnoteReference"/>
        </w:rPr>
        <w:footnoteRef/>
      </w:r>
      <w:r>
        <w:t xml:space="preserve"> </w:t>
      </w:r>
      <w:r w:rsidR="00DD5B7D">
        <w:t xml:space="preserve">R. </w:t>
      </w:r>
      <w:r w:rsidRPr="00DF7239">
        <w:t>Kraut</w:t>
      </w:r>
      <w:r w:rsidR="00DD5B7D">
        <w:t xml:space="preserve">, </w:t>
      </w:r>
      <w:r w:rsidRPr="00DF7239">
        <w:rPr>
          <w:i/>
          <w:iCs/>
        </w:rPr>
        <w:t>What is good and why : the ethics of well-being</w:t>
      </w:r>
      <w:r w:rsidRPr="00DF7239">
        <w:t xml:space="preserve">. </w:t>
      </w:r>
      <w:r>
        <w:t>p.1</w:t>
      </w:r>
    </w:p>
  </w:footnote>
  <w:footnote w:id="6">
    <w:p w14:paraId="1F11FA96" w14:textId="23FC3FF2" w:rsidR="006D4AFD" w:rsidRDefault="006D4AFD">
      <w:pPr>
        <w:pStyle w:val="FootnoteText"/>
      </w:pPr>
      <w:r>
        <w:rPr>
          <w:rStyle w:val="FootnoteReference"/>
        </w:rPr>
        <w:footnoteRef/>
      </w:r>
      <w:r>
        <w:t xml:space="preserve"> </w:t>
      </w:r>
      <w:r w:rsidR="00B47D82">
        <w:t xml:space="preserve">R. </w:t>
      </w:r>
      <w:r w:rsidR="0097611A" w:rsidRPr="00DF7239">
        <w:t>Kraut,</w:t>
      </w:r>
      <w:r w:rsidR="00B47D82">
        <w:t xml:space="preserve"> </w:t>
      </w:r>
      <w:r w:rsidR="0097611A" w:rsidRPr="00DF7239">
        <w:rPr>
          <w:i/>
          <w:iCs/>
        </w:rPr>
        <w:t>What is good and why : the ethics of well-being</w:t>
      </w:r>
      <w:r w:rsidR="0097611A">
        <w:t>, p</w:t>
      </w:r>
      <w:r w:rsidR="0097611A">
        <w:t>.55-56.</w:t>
      </w:r>
    </w:p>
  </w:footnote>
  <w:footnote w:id="7">
    <w:p w14:paraId="02C70371" w14:textId="041E5B24" w:rsidR="00DC4915" w:rsidRDefault="00DC4915" w:rsidP="00DC4915">
      <w:pPr>
        <w:pStyle w:val="FootnoteText"/>
      </w:pPr>
      <w:r>
        <w:rPr>
          <w:rStyle w:val="FootnoteReference"/>
        </w:rPr>
        <w:footnoteRef/>
      </w:r>
      <w:r>
        <w:t xml:space="preserve"> </w:t>
      </w:r>
      <w:r w:rsidR="00B47D82">
        <w:t>Ibid.</w:t>
      </w:r>
      <w:r>
        <w:t xml:space="preserve"> p.4.</w:t>
      </w:r>
    </w:p>
  </w:footnote>
  <w:footnote w:id="8">
    <w:p w14:paraId="786FAFAF" w14:textId="6F9FE739" w:rsidR="00DC4915" w:rsidRDefault="00DC4915" w:rsidP="008A4DDC">
      <w:r>
        <w:rPr>
          <w:rStyle w:val="FootnoteReference"/>
        </w:rPr>
        <w:footnoteRef/>
      </w:r>
      <w:r>
        <w:t xml:space="preserve"> </w:t>
      </w:r>
      <w:r w:rsidR="00B47D82">
        <w:t>Ibid.</w:t>
      </w:r>
      <w:r>
        <w:t xml:space="preserve"> p.57.</w:t>
      </w:r>
    </w:p>
  </w:footnote>
  <w:footnote w:id="9">
    <w:p w14:paraId="6EC1379D" w14:textId="19738066" w:rsidR="00A02048" w:rsidRDefault="00A02048">
      <w:pPr>
        <w:pStyle w:val="FootnoteText"/>
      </w:pPr>
      <w:r>
        <w:rPr>
          <w:rStyle w:val="FootnoteReference"/>
        </w:rPr>
        <w:footnoteRef/>
      </w:r>
      <w:r>
        <w:t xml:space="preserve"> </w:t>
      </w:r>
      <w:r w:rsidR="00852E1B" w:rsidRPr="0093720C">
        <w:t xml:space="preserve">C. G., JUNG. </w:t>
      </w:r>
      <w:r w:rsidR="00D926BB">
        <w:t>‘</w:t>
      </w:r>
      <w:r w:rsidR="00852E1B" w:rsidRPr="0093720C">
        <w:t>PSYCHOLOGICAL COMMENTARY ON THE TIBETAN BOOK OF THE GREAT LIBERATION</w:t>
      </w:r>
      <w:r w:rsidR="00D926BB">
        <w:t>’,</w:t>
      </w:r>
      <w:r w:rsidR="00852E1B" w:rsidRPr="0093720C">
        <w:t xml:space="preserve"> </w:t>
      </w:r>
      <w:r w:rsidR="00852E1B" w:rsidRPr="0093720C">
        <w:rPr>
          <w:i/>
          <w:iCs/>
        </w:rPr>
        <w:t>Collected Works of C. G. Jung, Volume 11: Psychology and Religion: West and East</w:t>
      </w:r>
      <w:r w:rsidR="00852E1B" w:rsidRPr="0093720C">
        <w:t>, edited by GERHARD ADLER and R. F. C. HULL,</w:t>
      </w:r>
      <w:r w:rsidR="00D926BB">
        <w:t xml:space="preserve"> (</w:t>
      </w:r>
      <w:r w:rsidR="00852E1B" w:rsidRPr="0093720C">
        <w:t>Princeton University Press, 1969</w:t>
      </w:r>
      <w:r w:rsidR="00A565E0">
        <w:t>)</w:t>
      </w:r>
      <w:r w:rsidR="00852E1B" w:rsidRPr="0093720C">
        <w:t>, p. 47</w:t>
      </w:r>
      <w:r w:rsidR="00852E1B" w:rsidRPr="00D50D5B">
        <w:t>6</w:t>
      </w:r>
      <w:r w:rsidR="00A565E0">
        <w:t>.</w:t>
      </w:r>
    </w:p>
  </w:footnote>
  <w:footnote w:id="10">
    <w:p w14:paraId="756E7352" w14:textId="3FDEC4D8" w:rsidR="0045422F" w:rsidRDefault="0045422F">
      <w:pPr>
        <w:pStyle w:val="FootnoteText"/>
      </w:pPr>
      <w:r>
        <w:rPr>
          <w:rStyle w:val="FootnoteReference"/>
        </w:rPr>
        <w:footnoteRef/>
      </w:r>
      <w:r>
        <w:t xml:space="preserve"> </w:t>
      </w:r>
      <w:r w:rsidR="00BC27FA">
        <w:t>John Calvin, ‘Institutes of the Christian Religion’, (Wm. B Eerdmans Publishing Co. 255 Jefferson Ave. SE, Grand Rapids, MI 49503 1989) p.46.</w:t>
      </w:r>
    </w:p>
  </w:footnote>
  <w:footnote w:id="11">
    <w:p w14:paraId="20999DA8" w14:textId="77C8A432" w:rsidR="000D6D19" w:rsidRDefault="000D6D19">
      <w:pPr>
        <w:pStyle w:val="FootnoteText"/>
      </w:pPr>
      <w:r>
        <w:rPr>
          <w:rStyle w:val="FootnoteReference"/>
        </w:rPr>
        <w:footnoteRef/>
      </w:r>
      <w:r>
        <w:t xml:space="preserve"> </w:t>
      </w:r>
      <w:r w:rsidR="00C91F10">
        <w:t xml:space="preserve">The Holy Bible, Mark 10:18, NRSV, </w:t>
      </w:r>
      <w:r w:rsidR="00D926BB">
        <w:t>&lt;</w:t>
      </w:r>
      <w:hyperlink r:id="rId1" w:history="1">
        <w:r w:rsidR="00D926BB" w:rsidRPr="009807AB">
          <w:rPr>
            <w:rStyle w:val="Hyperlink"/>
          </w:rPr>
          <w:t>https://www.biblegateway.com/passage/?search=Mark%2010%3A18&amp;version=NRSVUE</w:t>
        </w:r>
      </w:hyperlink>
      <w:r w:rsidR="00D926BB">
        <w:t>&gt;</w:t>
      </w:r>
      <w:r w:rsidR="00C91F10">
        <w:t xml:space="preserve"> [Accessed 12</w:t>
      </w:r>
      <w:r w:rsidR="00C91F10" w:rsidRPr="00C91F10">
        <w:rPr>
          <w:vertAlign w:val="superscript"/>
        </w:rPr>
        <w:t>th</w:t>
      </w:r>
      <w:r w:rsidR="00C91F10">
        <w:t xml:space="preserve"> March 2026]. </w:t>
      </w:r>
    </w:p>
  </w:footnote>
  <w:footnote w:id="12">
    <w:p w14:paraId="664D0311" w14:textId="0CCE314F" w:rsidR="00D047A1" w:rsidRDefault="00D047A1">
      <w:pPr>
        <w:pStyle w:val="FootnoteText"/>
      </w:pPr>
      <w:r>
        <w:rPr>
          <w:rStyle w:val="FootnoteReference"/>
        </w:rPr>
        <w:footnoteRef/>
      </w:r>
      <w:r>
        <w:t xml:space="preserve"> </w:t>
      </w:r>
      <w:r w:rsidR="00D926BB">
        <w:t xml:space="preserve">C. Bruce </w:t>
      </w:r>
      <w:r w:rsidRPr="0076310F">
        <w:t xml:space="preserve">BIRCH, et al. </w:t>
      </w:r>
      <w:r w:rsidR="00D926BB">
        <w:t>‘</w:t>
      </w:r>
      <w:r w:rsidRPr="0076310F">
        <w:t>Introduction: A New Conversation</w:t>
      </w:r>
      <w:r w:rsidR="00D926BB">
        <w:t>’,</w:t>
      </w:r>
      <w:r w:rsidRPr="0076310F">
        <w:t xml:space="preserve"> </w:t>
      </w:r>
      <w:r w:rsidRPr="0076310F">
        <w:rPr>
          <w:i/>
          <w:iCs/>
        </w:rPr>
        <w:t>Bible and Ethics in the Christian Life: A New Conversation</w:t>
      </w:r>
      <w:r w:rsidRPr="0076310F">
        <w:t xml:space="preserve">, 3rd ed., </w:t>
      </w:r>
      <w:r w:rsidR="00227753">
        <w:t>(</w:t>
      </w:r>
      <w:r w:rsidRPr="0076310F">
        <w:t>Augsburg Fortress, 2018</w:t>
      </w:r>
      <w:r w:rsidR="00D926BB">
        <w:t>)</w:t>
      </w:r>
      <w:r w:rsidRPr="0076310F">
        <w:t>,</w:t>
      </w:r>
      <w:r>
        <w:t xml:space="preserve"> p. xix – xx. </w:t>
      </w:r>
    </w:p>
  </w:footnote>
  <w:footnote w:id="13">
    <w:p w14:paraId="6ECEECB2" w14:textId="55F8136B" w:rsidR="002A67A4" w:rsidRDefault="002A67A4">
      <w:pPr>
        <w:pStyle w:val="FootnoteText"/>
      </w:pPr>
      <w:r>
        <w:rPr>
          <w:rStyle w:val="FootnoteReference"/>
        </w:rPr>
        <w:footnoteRef/>
      </w:r>
      <w:r w:rsidR="00227753">
        <w:t>C. Bruce</w:t>
      </w:r>
      <w:r>
        <w:t xml:space="preserve"> </w:t>
      </w:r>
      <w:r w:rsidRPr="0076310F">
        <w:t xml:space="preserve">BIRCH, et al. “Introduction: A New Conversation.” </w:t>
      </w:r>
      <w:r w:rsidRPr="0076310F">
        <w:rPr>
          <w:i/>
          <w:iCs/>
        </w:rPr>
        <w:t>Bible and Ethics in the Christian Life: A New Conversation</w:t>
      </w:r>
      <w:r w:rsidRPr="0076310F">
        <w:t xml:space="preserve">, </w:t>
      </w:r>
      <w:r>
        <w:t>p.</w:t>
      </w:r>
      <w:r>
        <w:t xml:space="preserve">4. </w:t>
      </w:r>
    </w:p>
  </w:footnote>
  <w:footnote w:id="14">
    <w:p w14:paraId="7BF35A8A" w14:textId="228D4E02" w:rsidR="00B15A34" w:rsidRDefault="00B15A34">
      <w:pPr>
        <w:pStyle w:val="FootnoteText"/>
      </w:pPr>
      <w:r>
        <w:rPr>
          <w:rStyle w:val="FootnoteReference"/>
        </w:rPr>
        <w:footnoteRef/>
      </w:r>
      <w:r>
        <w:t xml:space="preserve"> The Holy Bible, 1 Corinthians 2, NRSV, </w:t>
      </w:r>
      <w:r w:rsidR="00227753">
        <w:t>&lt;</w:t>
      </w:r>
      <w:r w:rsidR="005C24A5" w:rsidRPr="005C24A5">
        <w:t>https://www.biblegateway.com/passage/?search=1%20corinthians%202&amp;version=NRSVUE</w:t>
      </w:r>
      <w:r w:rsidR="00227753">
        <w:t>&gt;</w:t>
      </w:r>
      <w:r w:rsidR="00487646">
        <w:t>,</w:t>
      </w:r>
      <w:r>
        <w:t xml:space="preserve"> [Accessed 12</w:t>
      </w:r>
      <w:r w:rsidRPr="00C91F10">
        <w:rPr>
          <w:vertAlign w:val="superscript"/>
        </w:rPr>
        <w:t>th</w:t>
      </w:r>
      <w:r>
        <w:t xml:space="preserve"> March 2026].</w:t>
      </w:r>
    </w:p>
  </w:footnote>
  <w:footnote w:id="15">
    <w:p w14:paraId="078E8B3D" w14:textId="6D7E7AC4" w:rsidR="00B14E2F" w:rsidRDefault="00B14E2F" w:rsidP="00B14E2F">
      <w:r>
        <w:rPr>
          <w:rStyle w:val="FootnoteReference"/>
        </w:rPr>
        <w:footnoteRef/>
      </w:r>
      <w:r>
        <w:t xml:space="preserve"> </w:t>
      </w:r>
      <w:r w:rsidR="00487646">
        <w:t xml:space="preserve">R. </w:t>
      </w:r>
      <w:r>
        <w:t xml:space="preserve">Gill, The Cambridge companion to Christian ethics. Second edition. </w:t>
      </w:r>
      <w:r w:rsidR="00487646">
        <w:t>(</w:t>
      </w:r>
      <w:r>
        <w:t>Cambridge: Cambridge University Press</w:t>
      </w:r>
      <w:r w:rsidR="00487646">
        <w:t xml:space="preserve"> 2012), p.</w:t>
      </w:r>
      <w:r>
        <w:t xml:space="preserve">71-72. </w:t>
      </w:r>
    </w:p>
  </w:footnote>
  <w:footnote w:id="16">
    <w:p w14:paraId="779833BB" w14:textId="38957C74" w:rsidR="00416DA7" w:rsidRDefault="00416DA7">
      <w:pPr>
        <w:pStyle w:val="FootnoteText"/>
      </w:pPr>
      <w:r>
        <w:rPr>
          <w:rStyle w:val="FootnoteReference"/>
        </w:rPr>
        <w:footnoteRef/>
      </w:r>
      <w:r>
        <w:t xml:space="preserve"> The Holy Bible, Ephesians </w:t>
      </w:r>
      <w:r w:rsidR="0025528C">
        <w:t>1</w:t>
      </w:r>
      <w:r w:rsidR="00E517AD">
        <w:t>:17</w:t>
      </w:r>
      <w:r w:rsidR="0025528C">
        <w:t xml:space="preserve">, NRSV, </w:t>
      </w:r>
      <w:r w:rsidR="00487646">
        <w:t>&lt;</w:t>
      </w:r>
      <w:hyperlink r:id="rId2" w:history="1">
        <w:r w:rsidR="00487646" w:rsidRPr="009807AB">
          <w:rPr>
            <w:rStyle w:val="Hyperlink"/>
          </w:rPr>
          <w:t>https://www.biblegateway.com/passage/?search=Ephesians%205&amp;version=NRSVUE</w:t>
        </w:r>
      </w:hyperlink>
      <w:r w:rsidR="00487646">
        <w:t>&gt;</w:t>
      </w:r>
      <w:r w:rsidR="0025528C">
        <w:t>, [Accessed 12</w:t>
      </w:r>
      <w:r w:rsidR="0025528C" w:rsidRPr="0025528C">
        <w:rPr>
          <w:vertAlign w:val="superscript"/>
        </w:rPr>
        <w:t>th</w:t>
      </w:r>
      <w:r w:rsidR="0025528C">
        <w:t xml:space="preserve"> March 2026]. </w:t>
      </w:r>
    </w:p>
  </w:footnote>
  <w:footnote w:id="17">
    <w:p w14:paraId="5405D8BF" w14:textId="724D1BB5" w:rsidR="0025528C" w:rsidRDefault="0025528C">
      <w:pPr>
        <w:pStyle w:val="FootnoteText"/>
      </w:pPr>
      <w:r>
        <w:rPr>
          <w:rStyle w:val="FootnoteReference"/>
        </w:rPr>
        <w:footnoteRef/>
      </w:r>
      <w:r>
        <w:t xml:space="preserve"> </w:t>
      </w:r>
      <w:r w:rsidR="00F3669B">
        <w:t>The Holy Bible, 1 John 4: 1-3</w:t>
      </w:r>
      <w:r w:rsidR="00837417">
        <w:t xml:space="preserve">, NRSV, </w:t>
      </w:r>
      <w:r w:rsidR="00487646">
        <w:t>&lt;</w:t>
      </w:r>
      <w:hyperlink r:id="rId3" w:history="1">
        <w:r w:rsidR="00487646" w:rsidRPr="009807AB">
          <w:rPr>
            <w:rStyle w:val="Hyperlink"/>
          </w:rPr>
          <w:t>https://www.biblegateway.com/passage/?search=1%20john%204&amp;version=NRSVUE</w:t>
        </w:r>
      </w:hyperlink>
      <w:r w:rsidR="00487646">
        <w:t>&gt;,</w:t>
      </w:r>
      <w:r w:rsidR="00837417">
        <w:t xml:space="preserve"> [Accessed 12</w:t>
      </w:r>
      <w:r w:rsidR="00837417" w:rsidRPr="00837417">
        <w:rPr>
          <w:vertAlign w:val="superscript"/>
        </w:rPr>
        <w:t>th</w:t>
      </w:r>
      <w:r w:rsidR="00837417">
        <w:t xml:space="preserve"> March 2026]. </w:t>
      </w:r>
    </w:p>
  </w:footnote>
  <w:footnote w:id="18">
    <w:p w14:paraId="061295BD" w14:textId="5E102660" w:rsidR="00BB20BE" w:rsidRDefault="00574917">
      <w:pPr>
        <w:pStyle w:val="FootnoteText"/>
      </w:pPr>
      <w:r>
        <w:rPr>
          <w:rStyle w:val="FootnoteReference"/>
        </w:rPr>
        <w:footnoteRef/>
      </w:r>
      <w:r w:rsidR="00BB20BE">
        <w:t xml:space="preserve"> </w:t>
      </w:r>
      <w:r>
        <w:t>The Holy Bible, 1 John 5: 14 – 15, NRSV</w:t>
      </w:r>
      <w:r w:rsidR="0011017D">
        <w:t xml:space="preserve">, </w:t>
      </w:r>
      <w:r w:rsidR="00487646">
        <w:t>&lt;</w:t>
      </w:r>
      <w:r w:rsidR="0011017D" w:rsidRPr="0011017D">
        <w:t>https://www.biblegateway.com/passage/?search=1%20john%205&amp;version=NRSVUE</w:t>
      </w:r>
      <w:r w:rsidR="00487646">
        <w:t>&gt;</w:t>
      </w:r>
      <w:r w:rsidR="0011017D">
        <w:t>, [Accessed 12</w:t>
      </w:r>
      <w:r w:rsidR="0011017D" w:rsidRPr="0011017D">
        <w:rPr>
          <w:vertAlign w:val="superscript"/>
        </w:rPr>
        <w:t>th</w:t>
      </w:r>
      <w:r w:rsidR="0011017D">
        <w:t xml:space="preserve"> March 2026]. </w:t>
      </w:r>
    </w:p>
  </w:footnote>
  <w:footnote w:id="19">
    <w:p w14:paraId="41020663" w14:textId="7D94D399" w:rsidR="00AE60AC" w:rsidRDefault="00AE60AC" w:rsidP="00C006BD">
      <w:r>
        <w:rPr>
          <w:rStyle w:val="FootnoteReference"/>
        </w:rPr>
        <w:footnoteRef/>
      </w:r>
      <w:r>
        <w:t xml:space="preserve"> </w:t>
      </w:r>
      <w:r w:rsidR="00487646">
        <w:t>J</w:t>
      </w:r>
      <w:r w:rsidR="0035668C">
        <w:t>ames</w:t>
      </w:r>
      <w:r w:rsidR="00487646">
        <w:t xml:space="preserve"> </w:t>
      </w:r>
      <w:r w:rsidRPr="00DF7239">
        <w:t>KELLENBERGER,</w:t>
      </w:r>
      <w:r w:rsidR="00487646">
        <w:t xml:space="preserve"> </w:t>
      </w:r>
      <w:r w:rsidRPr="00DF7239">
        <w:t xml:space="preserve">“God’s goodness and God’s evil,” </w:t>
      </w:r>
      <w:r w:rsidRPr="00DF7239">
        <w:rPr>
          <w:i/>
          <w:iCs/>
        </w:rPr>
        <w:t>Religious studies</w:t>
      </w:r>
      <w:r w:rsidRPr="00DF7239">
        <w:t>, 41(1),</w:t>
      </w:r>
      <w:r w:rsidR="00487646">
        <w:t xml:space="preserve"> (</w:t>
      </w:r>
      <w:r w:rsidR="00A81877">
        <w:t xml:space="preserve"> Cambridge University Press, </w:t>
      </w:r>
      <w:r w:rsidR="00487646">
        <w:t>2005)</w:t>
      </w:r>
      <w:r w:rsidRPr="00DF7239">
        <w:t>.</w:t>
      </w:r>
      <w:r>
        <w:t xml:space="preserve"> P. 23. </w:t>
      </w:r>
    </w:p>
  </w:footnote>
  <w:footnote w:id="20">
    <w:p w14:paraId="64E7A4F5" w14:textId="0805C947" w:rsidR="006650B9" w:rsidRPr="006650B9" w:rsidRDefault="00AA3AC0" w:rsidP="006650B9">
      <w:pPr>
        <w:pStyle w:val="FootnoteText"/>
      </w:pPr>
      <w:r>
        <w:rPr>
          <w:rStyle w:val="FootnoteReference"/>
        </w:rPr>
        <w:footnoteRef/>
      </w:r>
      <w:r>
        <w:t xml:space="preserve"> </w:t>
      </w:r>
      <w:r w:rsidR="00FF4A59">
        <w:t xml:space="preserve">Richard </w:t>
      </w:r>
      <w:r w:rsidR="006650B9" w:rsidRPr="006650B9">
        <w:t xml:space="preserve">Swinburne, </w:t>
      </w:r>
      <w:r w:rsidR="006650B9" w:rsidRPr="006650B9">
        <w:rPr>
          <w:i/>
          <w:iCs/>
        </w:rPr>
        <w:t>Providence and the problem of evil</w:t>
      </w:r>
      <w:r w:rsidR="006650B9" w:rsidRPr="006650B9">
        <w:t xml:space="preserve">. </w:t>
      </w:r>
      <w:r w:rsidR="00FF4A59">
        <w:t>(</w:t>
      </w:r>
      <w:r w:rsidR="006650B9" w:rsidRPr="006650B9">
        <w:t>Oxford: Clarendon Press</w:t>
      </w:r>
      <w:r w:rsidR="00FF4A59">
        <w:t xml:space="preserve"> 1998), p.</w:t>
      </w:r>
      <w:r w:rsidR="006650B9">
        <w:t xml:space="preserve">127. </w:t>
      </w:r>
    </w:p>
    <w:p w14:paraId="6B7CA808" w14:textId="25B03E18" w:rsidR="00AA3AC0" w:rsidRDefault="00AA3AC0">
      <w:pPr>
        <w:pStyle w:val="FootnoteText"/>
      </w:pPr>
    </w:p>
  </w:footnote>
  <w:footnote w:id="21">
    <w:p w14:paraId="08DA36A7" w14:textId="196366DD" w:rsidR="004B5841" w:rsidRPr="004B5841" w:rsidRDefault="005763ED" w:rsidP="004B5841">
      <w:pPr>
        <w:pStyle w:val="FootnoteText"/>
      </w:pPr>
      <w:r>
        <w:rPr>
          <w:rStyle w:val="FootnoteReference"/>
        </w:rPr>
        <w:footnoteRef/>
      </w:r>
      <w:r>
        <w:t xml:space="preserve"> </w:t>
      </w:r>
      <w:r w:rsidR="004B5841" w:rsidRPr="004B5841">
        <w:rPr>
          <w:lang w:val="en-US"/>
        </w:rPr>
        <w:t xml:space="preserve">Richard Swinburne, </w:t>
      </w:r>
      <w:r w:rsidR="004B5841" w:rsidRPr="004B5841">
        <w:rPr>
          <w:i/>
          <w:iCs/>
          <w:lang w:val="en-US"/>
        </w:rPr>
        <w:t>The Existence of God</w:t>
      </w:r>
      <w:r w:rsidR="004B5841" w:rsidRPr="004B5841">
        <w:rPr>
          <w:lang w:val="en-US"/>
        </w:rPr>
        <w:t>, 2nd ed. (Oxford: Clarendon Press, 2004)</w:t>
      </w:r>
      <w:r w:rsidR="00FF4A59">
        <w:rPr>
          <w:b/>
          <w:bCs/>
        </w:rPr>
        <w:t xml:space="preserve">, </w:t>
      </w:r>
      <w:r w:rsidR="00FF4A59">
        <w:t>p.</w:t>
      </w:r>
      <w:r w:rsidR="004B5841" w:rsidRPr="004B5841">
        <w:t>241</w:t>
      </w:r>
      <w:r w:rsidR="004B5841">
        <w:rPr>
          <w:b/>
          <w:bCs/>
        </w:rPr>
        <w:t>.</w:t>
      </w:r>
    </w:p>
    <w:p w14:paraId="32903163" w14:textId="366F4723" w:rsidR="005763ED" w:rsidRDefault="005763ED">
      <w:pPr>
        <w:pStyle w:val="FootnoteText"/>
      </w:pPr>
    </w:p>
  </w:footnote>
  <w:footnote w:id="22">
    <w:p w14:paraId="67B953F7" w14:textId="0ED1F9D5" w:rsidR="00C31FD6" w:rsidRDefault="00C31FD6">
      <w:pPr>
        <w:pStyle w:val="FootnoteText"/>
      </w:pPr>
      <w:r>
        <w:rPr>
          <w:rStyle w:val="FootnoteReference"/>
        </w:rPr>
        <w:footnoteRef/>
      </w:r>
      <w:r>
        <w:t xml:space="preserve"> </w:t>
      </w:r>
      <w:r w:rsidR="008B0C21">
        <w:t xml:space="preserve">Richard </w:t>
      </w:r>
      <w:r w:rsidR="007D1FB1" w:rsidRPr="006650B9">
        <w:t xml:space="preserve">Swinburne, </w:t>
      </w:r>
      <w:r w:rsidR="007D1FB1" w:rsidRPr="006650B9">
        <w:rPr>
          <w:i/>
          <w:iCs/>
        </w:rPr>
        <w:t>Providence and the problem of evil</w:t>
      </w:r>
      <w:r w:rsidR="008B0C21">
        <w:t>,</w:t>
      </w:r>
      <w:r w:rsidR="007D1FB1">
        <w:t xml:space="preserve"> </w:t>
      </w:r>
      <w:r w:rsidR="008B0C21">
        <w:t>p.</w:t>
      </w:r>
      <w:r w:rsidR="007D1FB1">
        <w:t xml:space="preserve">125 – 126. </w:t>
      </w:r>
    </w:p>
  </w:footnote>
  <w:footnote w:id="23">
    <w:p w14:paraId="5D67629C" w14:textId="6099EEDF" w:rsidR="00956C6F" w:rsidRDefault="00956C6F">
      <w:pPr>
        <w:pStyle w:val="FootnoteText"/>
      </w:pPr>
      <w:r>
        <w:rPr>
          <w:rStyle w:val="FootnoteReference"/>
        </w:rPr>
        <w:footnoteRef/>
      </w:r>
      <w:r>
        <w:t xml:space="preserve"> John Calvin, ‘Institutes of the Christian Religion’, (Wm. B Eerdmans Publishing Co. 255 Jefferson Ave. SE, Grand Rapids, MI 49503 1989) p.</w:t>
      </w:r>
      <w:r w:rsidR="00ED1332">
        <w:t xml:space="preserve">44-45. </w:t>
      </w:r>
    </w:p>
  </w:footnote>
  <w:footnote w:id="24">
    <w:p w14:paraId="12E49B46" w14:textId="633EC469" w:rsidR="008A4DDC" w:rsidRDefault="008A4DDC" w:rsidP="00C91F10">
      <w:r>
        <w:rPr>
          <w:rStyle w:val="FootnoteReference"/>
        </w:rPr>
        <w:footnoteRef/>
      </w:r>
      <w:r>
        <w:t xml:space="preserve"> </w:t>
      </w:r>
      <w:r w:rsidR="008B0C21">
        <w:t xml:space="preserve">R. </w:t>
      </w:r>
      <w:r>
        <w:t xml:space="preserve">Gill, </w:t>
      </w:r>
      <w:r w:rsidR="007C214D">
        <w:t>‘</w:t>
      </w:r>
      <w:r>
        <w:t>The Cambridge companion to Christian ethics</w:t>
      </w:r>
      <w:r w:rsidR="007C214D">
        <w:t>’,</w:t>
      </w:r>
      <w:r>
        <w:t xml:space="preserve"> Second edition</w:t>
      </w:r>
      <w:r w:rsidR="007C214D">
        <w:t>, (</w:t>
      </w:r>
      <w:r>
        <w:t>Cambridge: Cambridge University Press</w:t>
      </w:r>
      <w:r w:rsidR="007C214D">
        <w:t xml:space="preserve"> 2012),</w:t>
      </w:r>
      <w:r>
        <w:t xml:space="preserve"> </w:t>
      </w:r>
      <w:r w:rsidR="007C214D">
        <w:t>p.</w:t>
      </w:r>
      <w:r>
        <w:t xml:space="preserve">71-72. </w:t>
      </w:r>
    </w:p>
  </w:footnote>
  <w:footnote w:id="25">
    <w:p w14:paraId="3D936FB8" w14:textId="0AC2BFD0" w:rsidR="000E0463" w:rsidRDefault="000E0463" w:rsidP="00155810">
      <w:r>
        <w:rPr>
          <w:rStyle w:val="FootnoteReference"/>
        </w:rPr>
        <w:footnoteRef/>
      </w:r>
      <w:r>
        <w:t xml:space="preserve"> </w:t>
      </w:r>
      <w:r w:rsidR="007C214D">
        <w:t xml:space="preserve">E.D. </w:t>
      </w:r>
      <w:r>
        <w:t>Young,</w:t>
      </w:r>
      <w:r w:rsidR="007C214D">
        <w:t xml:space="preserve"> ‘</w:t>
      </w:r>
      <w:r>
        <w:t>God’s moral goodness and supererogation</w:t>
      </w:r>
      <w:r w:rsidR="007C214D">
        <w:t>’,</w:t>
      </w:r>
      <w:r>
        <w:t xml:space="preserve"> International journal for philosophy of religion, 73(2),</w:t>
      </w:r>
      <w:r w:rsidR="007C214D">
        <w:t xml:space="preserve"> (2013) </w:t>
      </w:r>
      <w:r>
        <w:t xml:space="preserve">p.85. </w:t>
      </w:r>
    </w:p>
  </w:footnote>
  <w:footnote w:id="26">
    <w:p w14:paraId="04A69706" w14:textId="537C69FA" w:rsidR="00155810" w:rsidRDefault="00155810" w:rsidP="00E71B20">
      <w:r>
        <w:rPr>
          <w:rStyle w:val="FootnoteReference"/>
        </w:rPr>
        <w:footnoteRef/>
      </w:r>
      <w:r>
        <w:t xml:space="preserve"> </w:t>
      </w:r>
      <w:r w:rsidR="007C214D">
        <w:t xml:space="preserve">R. </w:t>
      </w:r>
      <w:r>
        <w:t>Gill, The Cambridge companion to Christian ethics</w:t>
      </w:r>
      <w:r w:rsidR="007C214D">
        <w:t>, p</w:t>
      </w:r>
      <w:r>
        <w:t xml:space="preserve">.72.  </w:t>
      </w:r>
    </w:p>
  </w:footnote>
  <w:footnote w:id="27">
    <w:p w14:paraId="12CF6199" w14:textId="70A27EE5" w:rsidR="00B37155" w:rsidRDefault="00B37155" w:rsidP="00B37155">
      <w:r>
        <w:rPr>
          <w:rStyle w:val="FootnoteReference"/>
        </w:rPr>
        <w:footnoteRef/>
      </w:r>
      <w:r>
        <w:t xml:space="preserve"> </w:t>
      </w:r>
      <w:r w:rsidR="00361843">
        <w:t xml:space="preserve">R. </w:t>
      </w:r>
      <w:r w:rsidRPr="00DF7239">
        <w:t>Kraut,</w:t>
      </w:r>
      <w:r w:rsidR="00361843">
        <w:t xml:space="preserve"> </w:t>
      </w:r>
      <w:r w:rsidRPr="00DF7239">
        <w:rPr>
          <w:i/>
          <w:iCs/>
        </w:rPr>
        <w:t>What is good and why : the ethics of well-being</w:t>
      </w:r>
      <w:r w:rsidR="00361843">
        <w:t>, p</w:t>
      </w:r>
      <w:r>
        <w:t>.25</w:t>
      </w:r>
    </w:p>
    <w:p w14:paraId="7B3B9E1F" w14:textId="38DFE1A8" w:rsidR="00B37155" w:rsidRDefault="00B3715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584"/>
    <w:rsid w:val="0001477C"/>
    <w:rsid w:val="00025620"/>
    <w:rsid w:val="000361EF"/>
    <w:rsid w:val="000646FA"/>
    <w:rsid w:val="00071A60"/>
    <w:rsid w:val="0007284A"/>
    <w:rsid w:val="000912B8"/>
    <w:rsid w:val="000970EF"/>
    <w:rsid w:val="000A0007"/>
    <w:rsid w:val="000B1AE2"/>
    <w:rsid w:val="000B2971"/>
    <w:rsid w:val="000D08CD"/>
    <w:rsid w:val="000D6D19"/>
    <w:rsid w:val="000E0463"/>
    <w:rsid w:val="000E0D47"/>
    <w:rsid w:val="000F4611"/>
    <w:rsid w:val="00101F28"/>
    <w:rsid w:val="00103F95"/>
    <w:rsid w:val="001040B1"/>
    <w:rsid w:val="0011017D"/>
    <w:rsid w:val="001149DA"/>
    <w:rsid w:val="001420BA"/>
    <w:rsid w:val="0014741C"/>
    <w:rsid w:val="00155810"/>
    <w:rsid w:val="00162633"/>
    <w:rsid w:val="001B0454"/>
    <w:rsid w:val="001D759C"/>
    <w:rsid w:val="002052A3"/>
    <w:rsid w:val="00215D2E"/>
    <w:rsid w:val="00227753"/>
    <w:rsid w:val="00227EC8"/>
    <w:rsid w:val="0025528C"/>
    <w:rsid w:val="00266EA3"/>
    <w:rsid w:val="00277655"/>
    <w:rsid w:val="0028031C"/>
    <w:rsid w:val="002873E0"/>
    <w:rsid w:val="00290E3C"/>
    <w:rsid w:val="00293F48"/>
    <w:rsid w:val="002A02DF"/>
    <w:rsid w:val="002A67A4"/>
    <w:rsid w:val="002D365A"/>
    <w:rsid w:val="002D4A22"/>
    <w:rsid w:val="003454C8"/>
    <w:rsid w:val="0035668C"/>
    <w:rsid w:val="00361843"/>
    <w:rsid w:val="0037525D"/>
    <w:rsid w:val="00381310"/>
    <w:rsid w:val="00393627"/>
    <w:rsid w:val="003B0442"/>
    <w:rsid w:val="003D536F"/>
    <w:rsid w:val="003D714C"/>
    <w:rsid w:val="003F0B3B"/>
    <w:rsid w:val="0041040D"/>
    <w:rsid w:val="00416DA7"/>
    <w:rsid w:val="004249FC"/>
    <w:rsid w:val="00427192"/>
    <w:rsid w:val="004464FA"/>
    <w:rsid w:val="0045422F"/>
    <w:rsid w:val="00466B79"/>
    <w:rsid w:val="0047008A"/>
    <w:rsid w:val="004855E8"/>
    <w:rsid w:val="00485C85"/>
    <w:rsid w:val="00487646"/>
    <w:rsid w:val="004B5841"/>
    <w:rsid w:val="004C4549"/>
    <w:rsid w:val="004C57D8"/>
    <w:rsid w:val="004D1CA5"/>
    <w:rsid w:val="00512E8E"/>
    <w:rsid w:val="005147FC"/>
    <w:rsid w:val="00535584"/>
    <w:rsid w:val="00544AF1"/>
    <w:rsid w:val="00547BF7"/>
    <w:rsid w:val="00563EFF"/>
    <w:rsid w:val="00574917"/>
    <w:rsid w:val="005763ED"/>
    <w:rsid w:val="00577477"/>
    <w:rsid w:val="005830A6"/>
    <w:rsid w:val="00590097"/>
    <w:rsid w:val="005C24A5"/>
    <w:rsid w:val="005C3BD1"/>
    <w:rsid w:val="005C72D8"/>
    <w:rsid w:val="005D4310"/>
    <w:rsid w:val="005D46CB"/>
    <w:rsid w:val="005D7965"/>
    <w:rsid w:val="005E38A0"/>
    <w:rsid w:val="005F58DB"/>
    <w:rsid w:val="00624EA5"/>
    <w:rsid w:val="00636DFB"/>
    <w:rsid w:val="0065574B"/>
    <w:rsid w:val="00657BC7"/>
    <w:rsid w:val="00664CDF"/>
    <w:rsid w:val="006650B9"/>
    <w:rsid w:val="00667D98"/>
    <w:rsid w:val="00690801"/>
    <w:rsid w:val="0069469A"/>
    <w:rsid w:val="006A19E5"/>
    <w:rsid w:val="006A5790"/>
    <w:rsid w:val="006A7386"/>
    <w:rsid w:val="006C7958"/>
    <w:rsid w:val="006D37F3"/>
    <w:rsid w:val="006D4AFD"/>
    <w:rsid w:val="006E1FFA"/>
    <w:rsid w:val="006F6336"/>
    <w:rsid w:val="0072627E"/>
    <w:rsid w:val="007277D3"/>
    <w:rsid w:val="00737036"/>
    <w:rsid w:val="0076310F"/>
    <w:rsid w:val="0077438D"/>
    <w:rsid w:val="00774617"/>
    <w:rsid w:val="00774E4F"/>
    <w:rsid w:val="00786E82"/>
    <w:rsid w:val="00796C4B"/>
    <w:rsid w:val="007C214D"/>
    <w:rsid w:val="007D1FB1"/>
    <w:rsid w:val="007F09A9"/>
    <w:rsid w:val="00802C3D"/>
    <w:rsid w:val="0081126F"/>
    <w:rsid w:val="0081242F"/>
    <w:rsid w:val="00837417"/>
    <w:rsid w:val="00837A4F"/>
    <w:rsid w:val="00843F67"/>
    <w:rsid w:val="008446E2"/>
    <w:rsid w:val="00852E1B"/>
    <w:rsid w:val="0088196F"/>
    <w:rsid w:val="008857B0"/>
    <w:rsid w:val="008A4DDC"/>
    <w:rsid w:val="008B0C21"/>
    <w:rsid w:val="008E6248"/>
    <w:rsid w:val="008F45EB"/>
    <w:rsid w:val="0090355B"/>
    <w:rsid w:val="0091207B"/>
    <w:rsid w:val="00915393"/>
    <w:rsid w:val="00920872"/>
    <w:rsid w:val="0094510B"/>
    <w:rsid w:val="00945EB9"/>
    <w:rsid w:val="00947DBE"/>
    <w:rsid w:val="00955A09"/>
    <w:rsid w:val="00956C6F"/>
    <w:rsid w:val="00957C6A"/>
    <w:rsid w:val="00971B30"/>
    <w:rsid w:val="00973F1B"/>
    <w:rsid w:val="0097611A"/>
    <w:rsid w:val="009A53EC"/>
    <w:rsid w:val="009C7DB5"/>
    <w:rsid w:val="009F0045"/>
    <w:rsid w:val="00A02048"/>
    <w:rsid w:val="00A02FF9"/>
    <w:rsid w:val="00A13CCB"/>
    <w:rsid w:val="00A15060"/>
    <w:rsid w:val="00A1726D"/>
    <w:rsid w:val="00A27906"/>
    <w:rsid w:val="00A355FC"/>
    <w:rsid w:val="00A42542"/>
    <w:rsid w:val="00A454E0"/>
    <w:rsid w:val="00A4588A"/>
    <w:rsid w:val="00A52906"/>
    <w:rsid w:val="00A565E0"/>
    <w:rsid w:val="00A613DF"/>
    <w:rsid w:val="00A73D1F"/>
    <w:rsid w:val="00A8075A"/>
    <w:rsid w:val="00A81877"/>
    <w:rsid w:val="00A8302A"/>
    <w:rsid w:val="00AA26F7"/>
    <w:rsid w:val="00AA372D"/>
    <w:rsid w:val="00AA3AC0"/>
    <w:rsid w:val="00AC071D"/>
    <w:rsid w:val="00AD60FB"/>
    <w:rsid w:val="00AE60AC"/>
    <w:rsid w:val="00AF0A99"/>
    <w:rsid w:val="00B0659B"/>
    <w:rsid w:val="00B14E2F"/>
    <w:rsid w:val="00B15A34"/>
    <w:rsid w:val="00B15F21"/>
    <w:rsid w:val="00B37155"/>
    <w:rsid w:val="00B42F6B"/>
    <w:rsid w:val="00B47D82"/>
    <w:rsid w:val="00B516A2"/>
    <w:rsid w:val="00B51B44"/>
    <w:rsid w:val="00B57932"/>
    <w:rsid w:val="00BA1F1A"/>
    <w:rsid w:val="00BB20BE"/>
    <w:rsid w:val="00BC27FA"/>
    <w:rsid w:val="00BC4A45"/>
    <w:rsid w:val="00BD2FCC"/>
    <w:rsid w:val="00BD56A5"/>
    <w:rsid w:val="00BF78DC"/>
    <w:rsid w:val="00C006BD"/>
    <w:rsid w:val="00C170DD"/>
    <w:rsid w:val="00C24450"/>
    <w:rsid w:val="00C31FD6"/>
    <w:rsid w:val="00C37E35"/>
    <w:rsid w:val="00C66D91"/>
    <w:rsid w:val="00C87F73"/>
    <w:rsid w:val="00C91F10"/>
    <w:rsid w:val="00C97F7F"/>
    <w:rsid w:val="00CA036C"/>
    <w:rsid w:val="00CB6D70"/>
    <w:rsid w:val="00CC6D77"/>
    <w:rsid w:val="00CC7D0D"/>
    <w:rsid w:val="00CD278F"/>
    <w:rsid w:val="00D047A1"/>
    <w:rsid w:val="00D23FB0"/>
    <w:rsid w:val="00D30611"/>
    <w:rsid w:val="00D33F82"/>
    <w:rsid w:val="00D3568A"/>
    <w:rsid w:val="00D35DBA"/>
    <w:rsid w:val="00D42596"/>
    <w:rsid w:val="00D4302A"/>
    <w:rsid w:val="00D85220"/>
    <w:rsid w:val="00D8720F"/>
    <w:rsid w:val="00D926BB"/>
    <w:rsid w:val="00DB5996"/>
    <w:rsid w:val="00DB7292"/>
    <w:rsid w:val="00DC06C5"/>
    <w:rsid w:val="00DC0835"/>
    <w:rsid w:val="00DC4915"/>
    <w:rsid w:val="00DD5B7D"/>
    <w:rsid w:val="00DD7185"/>
    <w:rsid w:val="00DF7239"/>
    <w:rsid w:val="00E156E0"/>
    <w:rsid w:val="00E517AD"/>
    <w:rsid w:val="00E71B20"/>
    <w:rsid w:val="00E91629"/>
    <w:rsid w:val="00E92EC6"/>
    <w:rsid w:val="00EB6355"/>
    <w:rsid w:val="00EB76BC"/>
    <w:rsid w:val="00EC76F2"/>
    <w:rsid w:val="00ED1332"/>
    <w:rsid w:val="00EE5ADA"/>
    <w:rsid w:val="00F00F98"/>
    <w:rsid w:val="00F0126E"/>
    <w:rsid w:val="00F04720"/>
    <w:rsid w:val="00F17F00"/>
    <w:rsid w:val="00F278F3"/>
    <w:rsid w:val="00F32443"/>
    <w:rsid w:val="00F3669B"/>
    <w:rsid w:val="00F3792D"/>
    <w:rsid w:val="00F450B7"/>
    <w:rsid w:val="00F74228"/>
    <w:rsid w:val="00F8141C"/>
    <w:rsid w:val="00F82322"/>
    <w:rsid w:val="00F92CD1"/>
    <w:rsid w:val="00F931E1"/>
    <w:rsid w:val="00FA3DB3"/>
    <w:rsid w:val="00FC0473"/>
    <w:rsid w:val="00FC2AFF"/>
    <w:rsid w:val="00FC3F57"/>
    <w:rsid w:val="00FF4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F53EC"/>
  <w15:chartTrackingRefBased/>
  <w15:docId w15:val="{B89B1429-D5D5-49BA-BA31-7EF057C1D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5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55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55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55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55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5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5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55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55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55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55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5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584"/>
    <w:rPr>
      <w:rFonts w:eastAsiaTheme="majorEastAsia" w:cstheme="majorBidi"/>
      <w:color w:val="272727" w:themeColor="text1" w:themeTint="D8"/>
    </w:rPr>
  </w:style>
  <w:style w:type="paragraph" w:styleId="Title">
    <w:name w:val="Title"/>
    <w:basedOn w:val="Normal"/>
    <w:next w:val="Normal"/>
    <w:link w:val="TitleChar"/>
    <w:uiPriority w:val="10"/>
    <w:qFormat/>
    <w:rsid w:val="00535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584"/>
    <w:pPr>
      <w:spacing w:before="160"/>
      <w:jc w:val="center"/>
    </w:pPr>
    <w:rPr>
      <w:i/>
      <w:iCs/>
      <w:color w:val="404040" w:themeColor="text1" w:themeTint="BF"/>
    </w:rPr>
  </w:style>
  <w:style w:type="character" w:customStyle="1" w:styleId="QuoteChar">
    <w:name w:val="Quote Char"/>
    <w:basedOn w:val="DefaultParagraphFont"/>
    <w:link w:val="Quote"/>
    <w:uiPriority w:val="29"/>
    <w:rsid w:val="00535584"/>
    <w:rPr>
      <w:i/>
      <w:iCs/>
      <w:color w:val="404040" w:themeColor="text1" w:themeTint="BF"/>
    </w:rPr>
  </w:style>
  <w:style w:type="paragraph" w:styleId="ListParagraph">
    <w:name w:val="List Paragraph"/>
    <w:basedOn w:val="Normal"/>
    <w:uiPriority w:val="34"/>
    <w:qFormat/>
    <w:rsid w:val="00535584"/>
    <w:pPr>
      <w:ind w:left="720"/>
      <w:contextualSpacing/>
    </w:pPr>
  </w:style>
  <w:style w:type="character" w:styleId="IntenseEmphasis">
    <w:name w:val="Intense Emphasis"/>
    <w:basedOn w:val="DefaultParagraphFont"/>
    <w:uiPriority w:val="21"/>
    <w:qFormat/>
    <w:rsid w:val="00535584"/>
    <w:rPr>
      <w:i/>
      <w:iCs/>
      <w:color w:val="2F5496" w:themeColor="accent1" w:themeShade="BF"/>
    </w:rPr>
  </w:style>
  <w:style w:type="paragraph" w:styleId="IntenseQuote">
    <w:name w:val="Intense Quote"/>
    <w:basedOn w:val="Normal"/>
    <w:next w:val="Normal"/>
    <w:link w:val="IntenseQuoteChar"/>
    <w:uiPriority w:val="30"/>
    <w:qFormat/>
    <w:rsid w:val="005355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5584"/>
    <w:rPr>
      <w:i/>
      <w:iCs/>
      <w:color w:val="2F5496" w:themeColor="accent1" w:themeShade="BF"/>
    </w:rPr>
  </w:style>
  <w:style w:type="character" w:styleId="IntenseReference">
    <w:name w:val="Intense Reference"/>
    <w:basedOn w:val="DefaultParagraphFont"/>
    <w:uiPriority w:val="32"/>
    <w:qFormat/>
    <w:rsid w:val="00535584"/>
    <w:rPr>
      <w:b/>
      <w:bCs/>
      <w:smallCaps/>
      <w:color w:val="2F5496" w:themeColor="accent1" w:themeShade="BF"/>
      <w:spacing w:val="5"/>
    </w:rPr>
  </w:style>
  <w:style w:type="character" w:styleId="Hyperlink">
    <w:name w:val="Hyperlink"/>
    <w:basedOn w:val="DefaultParagraphFont"/>
    <w:uiPriority w:val="99"/>
    <w:unhideWhenUsed/>
    <w:rsid w:val="00A73D1F"/>
    <w:rPr>
      <w:color w:val="0563C1" w:themeColor="hyperlink"/>
      <w:u w:val="single"/>
    </w:rPr>
  </w:style>
  <w:style w:type="character" w:styleId="UnresolvedMention">
    <w:name w:val="Unresolved Mention"/>
    <w:basedOn w:val="DefaultParagraphFont"/>
    <w:uiPriority w:val="99"/>
    <w:semiHidden/>
    <w:unhideWhenUsed/>
    <w:rsid w:val="00A73D1F"/>
    <w:rPr>
      <w:color w:val="605E5C"/>
      <w:shd w:val="clear" w:color="auto" w:fill="E1DFDD"/>
    </w:rPr>
  </w:style>
  <w:style w:type="paragraph" w:styleId="FootnoteText">
    <w:name w:val="footnote text"/>
    <w:basedOn w:val="Normal"/>
    <w:link w:val="FootnoteTextChar"/>
    <w:uiPriority w:val="99"/>
    <w:semiHidden/>
    <w:unhideWhenUsed/>
    <w:rsid w:val="00A73D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3D1F"/>
    <w:rPr>
      <w:sz w:val="20"/>
      <w:szCs w:val="20"/>
    </w:rPr>
  </w:style>
  <w:style w:type="character" w:styleId="FootnoteReference">
    <w:name w:val="footnote reference"/>
    <w:basedOn w:val="DefaultParagraphFont"/>
    <w:uiPriority w:val="99"/>
    <w:semiHidden/>
    <w:unhideWhenUsed/>
    <w:rsid w:val="00A73D1F"/>
    <w:rPr>
      <w:vertAlign w:val="superscript"/>
    </w:rPr>
  </w:style>
  <w:style w:type="paragraph" w:styleId="NormalWeb">
    <w:name w:val="Normal (Web)"/>
    <w:basedOn w:val="Normal"/>
    <w:uiPriority w:val="99"/>
    <w:semiHidden/>
    <w:unhideWhenUsed/>
    <w:rsid w:val="004B58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biblegateway.com/passage/?search=1%20john%204&amp;version=NRSVUE" TargetMode="External"/><Relationship Id="rId2" Type="http://schemas.openxmlformats.org/officeDocument/2006/relationships/hyperlink" Target="https://www.biblegateway.com/passage/?search=Ephesians%205&amp;version=NRSVUE" TargetMode="External"/><Relationship Id="rId1" Type="http://schemas.openxmlformats.org/officeDocument/2006/relationships/hyperlink" Target="https://www.biblegateway.com/passage/?search=Mark%2010%3A18&amp;version=NRSV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5</Pages>
  <Words>1870</Words>
  <Characters>9877</Characters>
  <Application>Microsoft Office Word</Application>
  <DocSecurity>0</DocSecurity>
  <Lines>170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229</cp:revision>
  <dcterms:created xsi:type="dcterms:W3CDTF">2026-03-10T20:10:00Z</dcterms:created>
  <dcterms:modified xsi:type="dcterms:W3CDTF">2026-03-16T21:51:00Z</dcterms:modified>
</cp:coreProperties>
</file>