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A0483A" w14:textId="2D0D90B8" w:rsidR="00050565" w:rsidRPr="00330AB7" w:rsidRDefault="00050565" w:rsidP="00EC13D7">
      <w:pPr>
        <w:rPr>
          <w:rFonts w:ascii="Times New Roman" w:hAnsi="Times New Roman" w:cs="Times New Roman"/>
          <w:b/>
          <w:bCs/>
        </w:rPr>
      </w:pPr>
      <w:r w:rsidRPr="00330AB7">
        <w:rPr>
          <w:rFonts w:ascii="Times New Roman" w:hAnsi="Times New Roman" w:cs="Times New Roman"/>
          <w:b/>
          <w:bCs/>
        </w:rPr>
        <w:t>Introduction:</w:t>
      </w:r>
      <w:r w:rsidR="00EC13D7" w:rsidRPr="00330AB7">
        <w:rPr>
          <w:rFonts w:ascii="Times New Roman" w:hAnsi="Times New Roman" w:cs="Times New Roman"/>
          <w:b/>
          <w:bCs/>
        </w:rPr>
        <w:t xml:space="preserve"> </w:t>
      </w:r>
      <w:r w:rsidRPr="00330AB7">
        <w:rPr>
          <w:rFonts w:ascii="Times New Roman" w:hAnsi="Times New Roman" w:cs="Times New Roman"/>
          <w:color w:val="000000"/>
        </w:rPr>
        <w:t xml:space="preserve">This reflective essay </w:t>
      </w:r>
      <w:r w:rsidR="007C6381" w:rsidRPr="00330AB7">
        <w:rPr>
          <w:rFonts w:ascii="Times New Roman" w:hAnsi="Times New Roman" w:cs="Times New Roman"/>
          <w:color w:val="000000"/>
        </w:rPr>
        <w:t xml:space="preserve">will demonstrate </w:t>
      </w:r>
      <w:r w:rsidRPr="00330AB7">
        <w:rPr>
          <w:rFonts w:ascii="Times New Roman" w:hAnsi="Times New Roman" w:cs="Times New Roman"/>
          <w:color w:val="000000"/>
        </w:rPr>
        <w:t>my experience of using Person-Centred counselling skills during a simulated role play. It is structured around Gibbs’ (1988) reflective cycle, which involves describing, feelings, evaluating, analysing, and concluding, and creating an action plan for future improvement. (</w:t>
      </w:r>
      <w:bookmarkStart w:id="0" w:name="OLE_LINK5"/>
      <w:r w:rsidRPr="00330AB7">
        <w:rPr>
          <w:rFonts w:ascii="Times New Roman" w:hAnsi="Times New Roman" w:cs="Times New Roman"/>
          <w:color w:val="000000"/>
        </w:rPr>
        <w:t xml:space="preserve">Schön, </w:t>
      </w:r>
      <w:bookmarkEnd w:id="0"/>
      <w:r w:rsidRPr="00330AB7">
        <w:rPr>
          <w:rFonts w:ascii="Times New Roman" w:hAnsi="Times New Roman" w:cs="Times New Roman"/>
          <w:color w:val="000000"/>
        </w:rPr>
        <w:t>1983) Self-reflection is a vital component of professional development in counselling, as it enhances self-awareness, improves interpersonal effectiveness, and strengthens the ability to apply counselling skills more effectively. By reflecting on this simulated session, I gained a deeper insight into my communication style, understood how I respond to clients’ needs, and recognised the strengths and areas for improvement in my counselling approach. This process not only allows me to assess my performance critically but also supports the development of strategies to enhance my competence, empathy, and effectiveness as a counsellor. Using Gibbs’ cycle ensures that my reflection is structured, thorough, and action-oriented, ultimately contributing to my growth and professional developme</w:t>
      </w:r>
      <w:r w:rsidR="007C6381" w:rsidRPr="00330AB7">
        <w:rPr>
          <w:rFonts w:ascii="Times New Roman" w:hAnsi="Times New Roman" w:cs="Times New Roman"/>
          <w:color w:val="000000"/>
        </w:rPr>
        <w:t>nt</w:t>
      </w:r>
      <w:r w:rsidR="00B87EA8" w:rsidRPr="00330AB7">
        <w:rPr>
          <w:rFonts w:ascii="Times New Roman" w:hAnsi="Times New Roman" w:cs="Times New Roman"/>
          <w:color w:val="000000"/>
        </w:rPr>
        <w:t>.</w:t>
      </w:r>
    </w:p>
    <w:p w14:paraId="1DDF048B" w14:textId="2102AA04" w:rsidR="000B4C03" w:rsidRDefault="000B4C03" w:rsidP="00050565">
      <w:pPr>
        <w:pStyle w:val="NormalWeb"/>
      </w:pPr>
      <w:r w:rsidRPr="00330AB7">
        <w:rPr>
          <w:b/>
          <w:bCs/>
        </w:rPr>
        <w:t>Description:</w:t>
      </w:r>
      <w:r w:rsidR="007C6381" w:rsidRPr="00330AB7">
        <w:rPr>
          <w:b/>
          <w:bCs/>
        </w:rPr>
        <w:t xml:space="preserve"> </w:t>
      </w:r>
      <w:r w:rsidR="00BE33E8" w:rsidRPr="00330AB7">
        <w:t>In</w:t>
      </w:r>
      <w:r w:rsidR="00BE33E8" w:rsidRPr="00330AB7">
        <w:rPr>
          <w:b/>
          <w:bCs/>
        </w:rPr>
        <w:t xml:space="preserve"> </w:t>
      </w:r>
      <w:r w:rsidR="00AD1768">
        <w:t>this</w:t>
      </w:r>
      <w:r w:rsidR="00BE33E8" w:rsidRPr="00330AB7">
        <w:t xml:space="preserve"> role-play, I am a healthcare worker using person-centred counselling skills to support a client who is having difficulty with her daily routine and managing her diet, particularly her</w:t>
      </w:r>
      <w:r w:rsidRPr="00330AB7">
        <w:t xml:space="preserve"> consumption of sugary foods, which has adversely impacted her health. She has recently been diagnosed with diabetes, and she finds it challenging to adjust her diet and exercise routines, as well as cope with life pressures and family expectations. She experiences frustration and a sense of being overwhelmed because she feels that her life has been </w:t>
      </w:r>
      <w:r w:rsidR="00AD1768">
        <w:t>taken away from her.</w:t>
      </w:r>
      <w:r w:rsidRPr="00330AB7">
        <w:t xml:space="preserve"> </w:t>
      </w:r>
      <w:r w:rsidR="00AD1768">
        <w:t>F</w:t>
      </w:r>
      <w:r w:rsidRPr="00330AB7">
        <w:t>or example, she struggles to manage her blood sugar levels and feels unable to go to the gym by herself without facing judgment. Since she lacks knowledge about how to begin her gym journey and what to do there, it doesn't feel very sensible. Furthermore, not having a support network adds to her stress and overw</w:t>
      </w:r>
      <w:r w:rsidR="00050565" w:rsidRPr="00330AB7">
        <w:t>helms her.</w:t>
      </w:r>
      <w:r w:rsidRPr="00330AB7">
        <w:t xml:space="preserve"> </w:t>
      </w:r>
    </w:p>
    <w:p w14:paraId="3BAB9FBB" w14:textId="0EB2AD79" w:rsidR="0041647C" w:rsidRPr="0041647C" w:rsidRDefault="0041647C" w:rsidP="0041647C">
      <w:pPr>
        <w:rPr>
          <w:rFonts w:ascii="Times New Roman" w:hAnsi="Times New Roman" w:cs="Times New Roman"/>
        </w:rPr>
      </w:pPr>
      <w:r w:rsidRPr="0041647C">
        <w:rPr>
          <w:rFonts w:ascii="Times New Roman" w:hAnsi="Times New Roman" w:cs="Times New Roman"/>
          <w:b/>
          <w:bCs/>
        </w:rPr>
        <w:t>Feeling</w:t>
      </w:r>
      <w:r w:rsidRPr="0041647C">
        <w:rPr>
          <w:rFonts w:ascii="Times New Roman" w:hAnsi="Times New Roman" w:cs="Times New Roman"/>
        </w:rPr>
        <w:t xml:space="preserve">: Lazarus and Folkman </w:t>
      </w:r>
      <w:r w:rsidR="00E510FB">
        <w:rPr>
          <w:rFonts w:ascii="Times New Roman" w:hAnsi="Times New Roman" w:cs="Times New Roman"/>
        </w:rPr>
        <w:t>(</w:t>
      </w:r>
      <w:r w:rsidRPr="0041647C">
        <w:rPr>
          <w:rFonts w:ascii="Times New Roman" w:hAnsi="Times New Roman" w:cs="Times New Roman"/>
        </w:rPr>
        <w:t xml:space="preserve">1984) </w:t>
      </w:r>
      <w:r w:rsidR="00E510FB">
        <w:rPr>
          <w:rFonts w:ascii="Times New Roman" w:hAnsi="Times New Roman" w:cs="Times New Roman"/>
        </w:rPr>
        <w:t xml:space="preserve">support </w:t>
      </w:r>
      <w:r w:rsidRPr="0041647C">
        <w:rPr>
          <w:rFonts w:ascii="Times New Roman" w:hAnsi="Times New Roman" w:cs="Times New Roman"/>
        </w:rPr>
        <w:t xml:space="preserve">that feeling anxious, nervous, or worried is a normal response to perceived threat or high-pressure situations. I felt so uneasy, tense, on the edge, and concerned at the beginning of the role-play, being the first to role-play. Also, I had never used counselling skills before the role play, and I had to be observed, which made me feel so anxious. However, as I began with the role-play and remained actively present in the session, I felt more involved by listening attentively, which enabled me to interact more and demonstrate my counselling skills. Showing empathy towards my client would make my client feel heard and hopeful. My full engagement in the role-play provided meaningful insights into how to address every area that needed improvement, resulting in better outcomes. </w:t>
      </w:r>
      <w:r w:rsidRPr="0041647C">
        <w:rPr>
          <w:rFonts w:ascii="Times New Roman" w:hAnsi="Times New Roman" w:cs="Times New Roman"/>
          <w:kern w:val="0"/>
          <w14:ligatures w14:val="none"/>
        </w:rPr>
        <w:t>Rogers (1967) emphasise</w:t>
      </w:r>
      <w:r w:rsidR="00E510FB">
        <w:rPr>
          <w:rFonts w:ascii="Times New Roman" w:hAnsi="Times New Roman" w:cs="Times New Roman"/>
          <w:kern w:val="0"/>
          <w14:ligatures w14:val="none"/>
        </w:rPr>
        <w:t xml:space="preserve">s </w:t>
      </w:r>
      <w:r w:rsidRPr="0041647C">
        <w:rPr>
          <w:rFonts w:ascii="Times New Roman" w:hAnsi="Times New Roman" w:cs="Times New Roman"/>
          <w:kern w:val="0"/>
          <w14:ligatures w14:val="none"/>
        </w:rPr>
        <w:t>that empathic understanding allows clients to feel accepted and valued, thereby encouraging deeper emotional expression and reducing defensiveness. I used counselling skills throughout, and to the end, because they are significant and crucial to use them to promote my clients ' well-being and build a supportive, safe, and respectful therapeutic relationship. I felt more cheerful, courageous, impactful, strong, brave, and independent after the role-play.</w:t>
      </w:r>
    </w:p>
    <w:p w14:paraId="072968A6" w14:textId="77777777" w:rsidR="0041647C" w:rsidRPr="00330AB7" w:rsidRDefault="0041647C" w:rsidP="00050565">
      <w:pPr>
        <w:pStyle w:val="NormalWeb"/>
        <w:rPr>
          <w:color w:val="000000"/>
        </w:rPr>
      </w:pPr>
    </w:p>
    <w:p w14:paraId="191E1F76" w14:textId="77777777" w:rsidR="007B5532" w:rsidRDefault="007B5532" w:rsidP="007B5532">
      <w:pPr>
        <w:rPr>
          <w:rFonts w:ascii="Times New Roman" w:hAnsi="Times New Roman" w:cs="Times New Roman"/>
          <w:b/>
          <w:bCs/>
        </w:rPr>
      </w:pPr>
    </w:p>
    <w:p w14:paraId="33A99DED" w14:textId="25CB6855" w:rsidR="007B5532" w:rsidRDefault="007B5532" w:rsidP="007B5532">
      <w:pPr>
        <w:pStyle w:val="p1"/>
        <w:rPr>
          <w:rStyle w:val="s1"/>
          <w:rFonts w:ascii="Times New Roman" w:eastAsiaTheme="majorEastAsia" w:hAnsi="Times New Roman"/>
          <w:sz w:val="24"/>
          <w:szCs w:val="24"/>
        </w:rPr>
      </w:pPr>
      <w:r w:rsidRPr="007B5532">
        <w:rPr>
          <w:rFonts w:ascii="Times New Roman" w:hAnsi="Times New Roman"/>
          <w:b/>
          <w:bCs/>
          <w:sz w:val="24"/>
          <w:szCs w:val="24"/>
        </w:rPr>
        <w:t xml:space="preserve">Evaluation: </w:t>
      </w:r>
      <w:r w:rsidRPr="007B5532">
        <w:rPr>
          <w:rFonts w:ascii="Times New Roman" w:hAnsi="Times New Roman"/>
          <w:sz w:val="24"/>
          <w:szCs w:val="24"/>
        </w:rPr>
        <w:t xml:space="preserve">The role-play aspects that went well were the active use of body language and eye contact to demonstrate listening skills, which I used to support the client in expressing her concerns and to show my engagement in the session. </w:t>
      </w:r>
      <w:r w:rsidR="00E510FB" w:rsidRPr="007B5532">
        <w:rPr>
          <w:rFonts w:ascii="Times New Roman" w:hAnsi="Times New Roman"/>
          <w:sz w:val="24"/>
          <w:szCs w:val="24"/>
        </w:rPr>
        <w:t>Burnard (</w:t>
      </w:r>
      <w:r w:rsidRPr="007B5532">
        <w:rPr>
          <w:rFonts w:ascii="Times New Roman" w:hAnsi="Times New Roman"/>
          <w:sz w:val="24"/>
          <w:szCs w:val="24"/>
        </w:rPr>
        <w:t xml:space="preserve">2013) supports the idea that counselling techniques such as active listening, empathy, and emotional reflection enable people to share their emotions in a safe, judgement-free environment. I felt confident in my counselling skills by actively listening to my client, maintaining eye contact, encouraging </w:t>
      </w:r>
      <w:r w:rsidRPr="007B5532">
        <w:rPr>
          <w:rFonts w:ascii="Times New Roman" w:hAnsi="Times New Roman"/>
          <w:sz w:val="24"/>
          <w:szCs w:val="24"/>
        </w:rPr>
        <w:lastRenderedPageBreak/>
        <w:t xml:space="preserve">body language, sitting comfortably, nodding, and keeping an open posture throughout. I used questioning skills. </w:t>
      </w:r>
      <w:r w:rsidRPr="007B5532">
        <w:rPr>
          <w:rStyle w:val="s1"/>
          <w:rFonts w:ascii="Times New Roman" w:eastAsiaTheme="majorEastAsia" w:hAnsi="Times New Roman"/>
          <w:sz w:val="24"/>
          <w:szCs w:val="24"/>
        </w:rPr>
        <w:t>Questioning skills can be understood as the intentional application of varied questioning techniques, including open, closed, probing and clarifying forms to elicit relevant information, promote deeper comprehension, and stimulate critical reflection in interpersonal exchanges. When employed effectively, these skills enhance the quality of dialogue and support the development of insight in professional helping contexts (Egan, 2014). I used questioning skills in the role-play, including closed questions like “Are you stressed?” and open questions such as “Can you tell me more about how this affects your daily life?”  Socratic questions that I used were “How did the choice-making affect her recovery or well-being? “Also, probing question: ‘You said you have been feeling overwhelmed, what do you think is contributing to you feeling overwhelmed?” The clarifying question I used was “What do you mean that everything has been taken away from you?”, and a solution-focused question that was discussed was “What step can you start now to make a difference?” By employing questioning techniques /I aimed to gain insight into my clients’ concerns. I paraphrased and repeated what I heard in my words to validate my comprehension of my client’s statements, clarify her messages, and assure her that her thoughts were being acknowledged. I also summarised everything discussed at the session to provide a platform for viewing and planning. What did not go well was that I relied more on closed questions than open-ended questions, so my client did not feel free to express herself. I looked down so much that I could have come across as uninterested.</w:t>
      </w:r>
    </w:p>
    <w:p w14:paraId="03C6223B" w14:textId="77777777" w:rsidR="00EE0615" w:rsidRDefault="00EE0615" w:rsidP="007B5532">
      <w:pPr>
        <w:pStyle w:val="p1"/>
        <w:rPr>
          <w:rStyle w:val="s1"/>
          <w:rFonts w:ascii="Times New Roman" w:eastAsiaTheme="majorEastAsia" w:hAnsi="Times New Roman"/>
          <w:sz w:val="24"/>
          <w:szCs w:val="24"/>
        </w:rPr>
      </w:pPr>
    </w:p>
    <w:p w14:paraId="3F775856" w14:textId="77777777" w:rsidR="00EE0615" w:rsidRDefault="00EE0615" w:rsidP="007B5532">
      <w:pPr>
        <w:pStyle w:val="p1"/>
        <w:rPr>
          <w:rStyle w:val="s1"/>
          <w:rFonts w:ascii="Times New Roman" w:eastAsiaTheme="majorEastAsia" w:hAnsi="Times New Roman"/>
          <w:sz w:val="24"/>
          <w:szCs w:val="24"/>
        </w:rPr>
      </w:pPr>
    </w:p>
    <w:p w14:paraId="5C1E4F94" w14:textId="77777777" w:rsidR="00EE0615" w:rsidRDefault="00EE0615" w:rsidP="007B5532">
      <w:pPr>
        <w:pStyle w:val="p1"/>
        <w:rPr>
          <w:rStyle w:val="s1"/>
          <w:rFonts w:ascii="Times New Roman" w:eastAsiaTheme="majorEastAsia" w:hAnsi="Times New Roman"/>
          <w:sz w:val="24"/>
          <w:szCs w:val="24"/>
        </w:rPr>
      </w:pPr>
    </w:p>
    <w:p w14:paraId="50E3C883" w14:textId="77777777" w:rsidR="00EE0615" w:rsidRPr="007B5532" w:rsidRDefault="00EE0615" w:rsidP="007B5532">
      <w:pPr>
        <w:pStyle w:val="p1"/>
        <w:rPr>
          <w:rStyle w:val="s1"/>
          <w:rFonts w:ascii="Times New Roman" w:eastAsiaTheme="majorEastAsia" w:hAnsi="Times New Roman"/>
          <w:sz w:val="24"/>
          <w:szCs w:val="24"/>
        </w:rPr>
      </w:pPr>
    </w:p>
    <w:p w14:paraId="4B42E54D" w14:textId="77777777" w:rsidR="00EE0615" w:rsidRPr="00EE0615" w:rsidRDefault="00EE0615" w:rsidP="00EE0615">
      <w:pPr>
        <w:rPr>
          <w:rFonts w:ascii="Times New Roman" w:hAnsi="Times New Roman" w:cs="Times New Roman"/>
          <w:kern w:val="0"/>
          <w14:ligatures w14:val="none"/>
        </w:rPr>
      </w:pPr>
      <w:r w:rsidRPr="00EE0615">
        <w:rPr>
          <w:rFonts w:ascii="Times New Roman" w:hAnsi="Times New Roman" w:cs="Times New Roman"/>
          <w:b/>
          <w:bCs/>
          <w:kern w:val="0"/>
          <w14:ligatures w14:val="none"/>
        </w:rPr>
        <w:t xml:space="preserve">Analysis: </w:t>
      </w:r>
      <w:r w:rsidRPr="00EE0615">
        <w:rPr>
          <w:rFonts w:ascii="Times New Roman" w:hAnsi="Times New Roman" w:cs="Times New Roman"/>
          <w:kern w:val="0"/>
          <w14:ligatures w14:val="none"/>
        </w:rPr>
        <w:t xml:space="preserve">Reflect on the experience that shows me that being an empathetic listener often builds rapport and trust in the session. Mearns and Thorne (2013) emphasise that one of the central dimensions of the therapeutic relationship is empathy. My reflective statement was” How has the diagnosis affected your day-to-day lifestyle?” This has helped me to demonstrate how my client has been affected by her diagnosis and how much it has contributed to her well-being. Cottrell (2021) supports the idea that reflective processes strengthen critical thinking by encouraging analysis, evaluation and questioning of assumptions. It requires therapists to listen not only to the words spoken but also to the underlying emotions, needs, and concerns (Egan, 2018). Using Carl Rogers’ core conditions, unconditional positive regard gave me, as a therapist, a full acceptance of my client regardless of her behaviours and choices, validated my client's feelings, empowered my client, built trust and rapport, and built self-worth.  The use of a summarising statement was used (“Let me recap our discussion in the session today. My client shared that she has been feeling overwhelmed because of her new diagnosis, which makes her feel stressed and frustrated). This helped my client reach an agreement to move more by going for a walk, considering joining gym classes, and making her own breakfast. Rogers (1967) stated that summarising allows clients to feel genuinely understood, strengthens empathy, and promotes clarity during the session. </w:t>
      </w:r>
    </w:p>
    <w:p w14:paraId="60639F86" w14:textId="69CE2EF5" w:rsidR="00EE0615" w:rsidRPr="00EE0615" w:rsidRDefault="00EE0615" w:rsidP="00EE0615">
      <w:pPr>
        <w:rPr>
          <w:rStyle w:val="s1"/>
          <w:rFonts w:ascii="Times New Roman" w:eastAsiaTheme="majorEastAsia" w:hAnsi="Times New Roman" w:cs="Times New Roman"/>
        </w:rPr>
      </w:pPr>
      <w:r w:rsidRPr="00EE0615">
        <w:rPr>
          <w:rFonts w:ascii="Times New Roman" w:hAnsi="Times New Roman" w:cs="Times New Roman"/>
          <w:kern w:val="0"/>
          <w14:ligatures w14:val="none"/>
        </w:rPr>
        <w:t>However, my tendency to jump in and fix is a problem health care trap who want to provide solutions; this response may have reduced the patient’s opportunity for self-exploration and emotional processing</w:t>
      </w:r>
      <w:r w:rsidRPr="00EE0615">
        <w:rPr>
          <w:rFonts w:ascii="Times New Roman" w:hAnsi="Times New Roman" w:cs="Times New Roman"/>
        </w:rPr>
        <w:t xml:space="preserve"> (Miller and Rollnick 2013).</w:t>
      </w:r>
      <w:r w:rsidRPr="00EE0615">
        <w:rPr>
          <w:rStyle w:val="s1"/>
          <w:rFonts w:ascii="Times New Roman" w:eastAsiaTheme="majorEastAsia" w:hAnsi="Times New Roman" w:cs="Times New Roman"/>
        </w:rPr>
        <w:t xml:space="preserve"> In future sessions, it will be important for me to employ a range of questioning techniques, as this approach can encourage my clients to express themselves more freely, enhance their sense of being understood, and promote </w:t>
      </w:r>
      <w:r w:rsidRPr="00EE0615">
        <w:rPr>
          <w:rStyle w:val="s1"/>
          <w:rFonts w:ascii="Times New Roman" w:eastAsiaTheme="majorEastAsia" w:hAnsi="Times New Roman" w:cs="Times New Roman"/>
        </w:rPr>
        <w:lastRenderedPageBreak/>
        <w:t>feelings of acceptance and inclusion within the therapeutic relationship (Egan,2014). I also applied beneficence ethics to promote my clients’ well-being during the session. To make my client feel heard, I acted in their best interest to achieve better outcomes in the session. Beauchamp and Childress (2019) describe beneficence as the ethical responsibility to prevent harm, eliminate it, and promote a person’s welfare by acting in the best interest of the person-centred approach, by supporting physical and mental well-being, and improvin</w:t>
      </w:r>
      <w:r>
        <w:rPr>
          <w:rStyle w:val="s1"/>
          <w:rFonts w:ascii="Times New Roman" w:eastAsiaTheme="majorEastAsia" w:hAnsi="Times New Roman" w:cs="Times New Roman"/>
        </w:rPr>
        <w:t xml:space="preserve">g </w:t>
      </w:r>
      <w:r w:rsidRPr="00EE0615">
        <w:rPr>
          <w:rStyle w:val="s1"/>
          <w:rFonts w:ascii="Times New Roman" w:eastAsiaTheme="majorEastAsia" w:hAnsi="Times New Roman" w:cs="Times New Roman"/>
        </w:rPr>
        <w:t>quality of life. When beneficence is consistently applied, it builds trust, strengthens therapeutic relationships, and enhances overall care outcomes, thereby improving my performance, such as questioning.</w:t>
      </w:r>
    </w:p>
    <w:p w14:paraId="7AE8F534" w14:textId="77777777" w:rsidR="00EC13D7" w:rsidRPr="007B5532" w:rsidRDefault="00EC13D7" w:rsidP="00EC13D7">
      <w:pPr>
        <w:rPr>
          <w:rFonts w:ascii="Times New Roman" w:hAnsi="Times New Roman" w:cs="Times New Roman"/>
        </w:rPr>
      </w:pPr>
    </w:p>
    <w:p w14:paraId="507CA762" w14:textId="77777777" w:rsidR="00EE0615" w:rsidRDefault="00EE0615" w:rsidP="005D5547">
      <w:pPr>
        <w:pStyle w:val="p1"/>
        <w:rPr>
          <w:rFonts w:ascii="Times New Roman" w:hAnsi="Times New Roman"/>
          <w:sz w:val="24"/>
          <w:szCs w:val="24"/>
        </w:rPr>
      </w:pPr>
    </w:p>
    <w:p w14:paraId="51F0EA43" w14:textId="406567EE" w:rsidR="00050565" w:rsidRPr="00EE0615" w:rsidRDefault="005D5547" w:rsidP="005D5547">
      <w:pPr>
        <w:pStyle w:val="p1"/>
        <w:rPr>
          <w:rFonts w:ascii="Times New Roman" w:hAnsi="Times New Roman"/>
          <w:color w:val="000000"/>
          <w:sz w:val="24"/>
          <w:szCs w:val="24"/>
        </w:rPr>
      </w:pPr>
      <w:r w:rsidRPr="00330AB7">
        <w:rPr>
          <w:rFonts w:ascii="Times New Roman" w:hAnsi="Times New Roman"/>
          <w:b/>
          <w:bCs/>
          <w:color w:val="000000"/>
          <w:sz w:val="24"/>
          <w:szCs w:val="24"/>
        </w:rPr>
        <w:t>Conclus</w:t>
      </w:r>
      <w:r w:rsidR="00EE0615">
        <w:rPr>
          <w:rFonts w:ascii="Times New Roman" w:hAnsi="Times New Roman"/>
          <w:b/>
          <w:bCs/>
          <w:color w:val="000000"/>
          <w:sz w:val="24"/>
          <w:szCs w:val="24"/>
        </w:rPr>
        <w:t>i</w:t>
      </w:r>
      <w:r w:rsidRPr="00330AB7">
        <w:rPr>
          <w:rFonts w:ascii="Times New Roman" w:hAnsi="Times New Roman"/>
          <w:b/>
          <w:bCs/>
          <w:color w:val="000000"/>
          <w:sz w:val="24"/>
          <w:szCs w:val="24"/>
        </w:rPr>
        <w:t>on:</w:t>
      </w:r>
      <w:r w:rsidR="00EE0615">
        <w:rPr>
          <w:rFonts w:ascii="Times New Roman" w:hAnsi="Times New Roman"/>
          <w:b/>
          <w:bCs/>
          <w:color w:val="000000"/>
          <w:sz w:val="24"/>
          <w:szCs w:val="24"/>
        </w:rPr>
        <w:t xml:space="preserve"> </w:t>
      </w:r>
      <w:r w:rsidRPr="00330AB7">
        <w:rPr>
          <w:rFonts w:ascii="Times New Roman" w:hAnsi="Times New Roman"/>
          <w:color w:val="000000"/>
          <w:sz w:val="24"/>
          <w:szCs w:val="24"/>
        </w:rPr>
        <w:t xml:space="preserve">After reflecting on the role-play, I identified several other skills I could have used to improve my performance. For instance, </w:t>
      </w:r>
      <w:r w:rsidR="00905028" w:rsidRPr="00330AB7">
        <w:rPr>
          <w:rFonts w:ascii="Times New Roman" w:hAnsi="Times New Roman"/>
          <w:color w:val="000000"/>
          <w:sz w:val="24"/>
          <w:szCs w:val="24"/>
        </w:rPr>
        <w:t xml:space="preserve">questioning skills will give </w:t>
      </w:r>
      <w:r w:rsidRPr="00330AB7">
        <w:rPr>
          <w:rFonts w:ascii="Times New Roman" w:hAnsi="Times New Roman"/>
          <w:color w:val="000000"/>
          <w:sz w:val="24"/>
          <w:szCs w:val="24"/>
        </w:rPr>
        <w:t xml:space="preserve">me </w:t>
      </w:r>
      <w:r w:rsidR="00905028" w:rsidRPr="00330AB7">
        <w:rPr>
          <w:rFonts w:ascii="Times New Roman" w:hAnsi="Times New Roman"/>
          <w:color w:val="000000"/>
          <w:sz w:val="24"/>
          <w:szCs w:val="24"/>
        </w:rPr>
        <w:t>insight into</w:t>
      </w:r>
      <w:r w:rsidR="00905028" w:rsidRPr="00330AB7">
        <w:rPr>
          <w:rFonts w:ascii="Times New Roman" w:hAnsi="Times New Roman"/>
          <w:color w:val="000000"/>
          <w:sz w:val="24"/>
          <w:szCs w:val="24"/>
        </w:rPr>
        <w:t xml:space="preserve"> what the client is saying and how to support </w:t>
      </w:r>
      <w:r w:rsidRPr="00330AB7">
        <w:rPr>
          <w:rFonts w:ascii="Times New Roman" w:hAnsi="Times New Roman"/>
          <w:color w:val="000000"/>
          <w:sz w:val="24"/>
          <w:szCs w:val="24"/>
        </w:rPr>
        <w:t>her.</w:t>
      </w:r>
      <w:r w:rsidR="00905028" w:rsidRPr="00330AB7">
        <w:rPr>
          <w:rFonts w:ascii="Times New Roman" w:hAnsi="Times New Roman"/>
          <w:color w:val="000000"/>
          <w:sz w:val="24"/>
          <w:szCs w:val="24"/>
        </w:rPr>
        <w:t xml:space="preserve"> </w:t>
      </w:r>
      <w:r w:rsidR="00050565" w:rsidRPr="00330AB7">
        <w:rPr>
          <w:rFonts w:ascii="Times New Roman" w:hAnsi="Times New Roman"/>
          <w:color w:val="000000"/>
          <w:sz w:val="24"/>
          <w:szCs w:val="24"/>
        </w:rPr>
        <w:t xml:space="preserve">Also, demonstrated the key essential value of applying person-centred counselling skills when helping a client struggling with changes after a diabetes diagnosis. </w:t>
      </w:r>
      <w:r w:rsidR="000F240F" w:rsidRPr="00330AB7">
        <w:rPr>
          <w:rFonts w:ascii="Times New Roman" w:hAnsi="Times New Roman"/>
          <w:color w:val="000000"/>
          <w:sz w:val="24"/>
          <w:szCs w:val="24"/>
        </w:rPr>
        <w:t xml:space="preserve">I therefore encouraged her to use the gym classes to build her strength and allow her to meet people with the same diagnosis to share ideas and support each other, discuss the way forward, and care for herself emotionally while seeking help. </w:t>
      </w:r>
      <w:r w:rsidR="00AD77DD" w:rsidRPr="00330AB7">
        <w:rPr>
          <w:rFonts w:ascii="Times New Roman" w:hAnsi="Times New Roman"/>
          <w:color w:val="000000"/>
          <w:sz w:val="24"/>
          <w:szCs w:val="24"/>
        </w:rPr>
        <w:t>T</w:t>
      </w:r>
      <w:r w:rsidR="00050565" w:rsidRPr="00330AB7">
        <w:rPr>
          <w:rFonts w:ascii="Times New Roman" w:hAnsi="Times New Roman"/>
          <w:color w:val="000000"/>
          <w:sz w:val="24"/>
          <w:szCs w:val="24"/>
        </w:rPr>
        <w:t xml:space="preserve">he session included acting in the client's best interest by building </w:t>
      </w:r>
      <w:r w:rsidR="00AD77DD" w:rsidRPr="00330AB7">
        <w:rPr>
          <w:rFonts w:ascii="Times New Roman" w:hAnsi="Times New Roman"/>
          <w:color w:val="000000"/>
          <w:sz w:val="24"/>
          <w:szCs w:val="24"/>
        </w:rPr>
        <w:t xml:space="preserve">a </w:t>
      </w:r>
      <w:r w:rsidR="00AD77DD" w:rsidRPr="00330AB7">
        <w:rPr>
          <w:rFonts w:ascii="Times New Roman" w:hAnsi="Times New Roman"/>
          <w:color w:val="000000"/>
          <w:sz w:val="24"/>
          <w:szCs w:val="24"/>
        </w:rPr>
        <w:t>strong rapport, engaging in reflective communication, validating the client’s experiences, and providing a supportive environment that helped her</w:t>
      </w:r>
      <w:r w:rsidR="00050565" w:rsidRPr="00330AB7">
        <w:rPr>
          <w:rFonts w:ascii="Times New Roman" w:hAnsi="Times New Roman"/>
          <w:color w:val="000000"/>
          <w:sz w:val="24"/>
          <w:szCs w:val="24"/>
        </w:rPr>
        <w:t xml:space="preserve"> feel heard with her recent diagnosis. </w:t>
      </w:r>
    </w:p>
    <w:p w14:paraId="4C42CE74" w14:textId="395123B5" w:rsidR="005B6772" w:rsidRDefault="00050565" w:rsidP="00050565">
      <w:pPr>
        <w:pStyle w:val="NormalWeb"/>
        <w:rPr>
          <w:color w:val="000000"/>
        </w:rPr>
      </w:pPr>
      <w:r w:rsidRPr="00330AB7">
        <w:rPr>
          <w:b/>
          <w:bCs/>
          <w:color w:val="000000"/>
        </w:rPr>
        <w:t xml:space="preserve"> Action Plan:</w:t>
      </w:r>
      <w:r w:rsidRPr="00330AB7">
        <w:rPr>
          <w:color w:val="000000"/>
        </w:rPr>
        <w:t xml:space="preserve"> </w:t>
      </w:r>
      <w:r w:rsidR="00AD77DD" w:rsidRPr="00330AB7">
        <w:rPr>
          <w:color w:val="000000"/>
        </w:rPr>
        <w:t xml:space="preserve">Moving </w:t>
      </w:r>
      <w:r w:rsidR="00AD77DD" w:rsidRPr="00330AB7">
        <w:rPr>
          <w:color w:val="000000"/>
        </w:rPr>
        <w:t xml:space="preserve">forward, I will refrain from interrupting </w:t>
      </w:r>
      <w:r w:rsidR="004E0902" w:rsidRPr="00330AB7">
        <w:rPr>
          <w:color w:val="000000"/>
        </w:rPr>
        <w:t>to allow</w:t>
      </w:r>
      <w:r w:rsidR="00AD77DD" w:rsidRPr="00330AB7">
        <w:rPr>
          <w:color w:val="000000"/>
        </w:rPr>
        <w:t xml:space="preserve"> clients the space to express themselves.</w:t>
      </w:r>
      <w:r w:rsidR="004E0902" w:rsidRPr="00330AB7">
        <w:rPr>
          <w:color w:val="000000"/>
        </w:rPr>
        <w:t xml:space="preserve"> </w:t>
      </w:r>
      <w:r w:rsidR="004E0902" w:rsidRPr="00330AB7">
        <w:rPr>
          <w:color w:val="000000"/>
        </w:rPr>
        <w:t>I aim to deepen my empathy and emotional awareness. I will improve my questioning techniques, particularly by asking more open-ended questions that invite clients to explore their thoughts and feelings. This will ensure that I refrain from using leading or closed questions unless necessary</w:t>
      </w:r>
      <w:r w:rsidR="004E0902" w:rsidRPr="00330AB7">
        <w:rPr>
          <w:color w:val="000000"/>
        </w:rPr>
        <w:t>,</w:t>
      </w:r>
      <w:r w:rsidR="00AD77DD" w:rsidRPr="00330AB7">
        <w:rPr>
          <w:color w:val="000000"/>
        </w:rPr>
        <w:t xml:space="preserve"> summarise effectively to check </w:t>
      </w:r>
      <w:r w:rsidR="004E0902" w:rsidRPr="00330AB7">
        <w:rPr>
          <w:color w:val="000000"/>
        </w:rPr>
        <w:t>understanding, and</w:t>
      </w:r>
      <w:r w:rsidR="00AD77DD" w:rsidRPr="00330AB7">
        <w:rPr>
          <w:color w:val="000000"/>
        </w:rPr>
        <w:t xml:space="preserve"> continue to reflect after patient</w:t>
      </w:r>
      <w:r w:rsidR="00AD77DD" w:rsidRPr="00330AB7">
        <w:rPr>
          <w:color w:val="000000"/>
        </w:rPr>
        <w:t xml:space="preserve"> encounters. </w:t>
      </w:r>
      <w:r w:rsidR="004E0902" w:rsidRPr="00330AB7">
        <w:rPr>
          <w:color w:val="000000"/>
        </w:rPr>
        <w:t xml:space="preserve">I will </w:t>
      </w:r>
      <w:r w:rsidRPr="00330AB7">
        <w:rPr>
          <w:color w:val="000000"/>
        </w:rPr>
        <w:t>watch more videos on counselling skills and understand their importance.</w:t>
      </w:r>
      <w:r w:rsidR="004E0902" w:rsidRPr="00330AB7">
        <w:rPr>
          <w:color w:val="000000"/>
        </w:rPr>
        <w:t xml:space="preserve"> </w:t>
      </w:r>
      <w:r w:rsidRPr="00330AB7">
        <w:rPr>
          <w:color w:val="000000"/>
        </w:rPr>
        <w:t xml:space="preserve">Furthermore, I will increase my self-reflection, which will facilitate my overall development and continually refine counselling skills by practising them more. </w:t>
      </w:r>
    </w:p>
    <w:p w14:paraId="55232F3B" w14:textId="77777777" w:rsidR="005B6772" w:rsidRDefault="005B6772" w:rsidP="00050565">
      <w:pPr>
        <w:pStyle w:val="NormalWeb"/>
        <w:rPr>
          <w:color w:val="000000"/>
        </w:rPr>
      </w:pPr>
    </w:p>
    <w:p w14:paraId="11B073A4" w14:textId="6DC87644" w:rsidR="005B6772" w:rsidRDefault="005B6772" w:rsidP="00050565">
      <w:pPr>
        <w:pStyle w:val="NormalWeb"/>
        <w:rPr>
          <w:color w:val="000000"/>
        </w:rPr>
      </w:pPr>
      <w:r>
        <w:rPr>
          <w:noProof/>
          <w:color w:val="000000"/>
          <w14:ligatures w14:val="standardContextual"/>
        </w:rPr>
        <w:lastRenderedPageBreak/>
        <w:drawing>
          <wp:inline distT="0" distB="0" distL="0" distR="0" wp14:anchorId="3E6DFC79" wp14:editId="17B9CC23">
            <wp:extent cx="7642225" cy="5731510"/>
            <wp:effectExtent l="2858" t="0" r="6032" b="6033"/>
            <wp:docPr id="231190409" name="Picture 2"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190409" name="Picture 2" descr="A piece of paper with writing on it&#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12B97BEF" w14:textId="77777777" w:rsidR="005B6772" w:rsidRDefault="005B6772" w:rsidP="00050565">
      <w:pPr>
        <w:pStyle w:val="NormalWeb"/>
        <w:rPr>
          <w:color w:val="000000"/>
        </w:rPr>
      </w:pPr>
    </w:p>
    <w:p w14:paraId="1787653C" w14:textId="77777777" w:rsidR="005B6772" w:rsidRDefault="005B6772" w:rsidP="00050565">
      <w:pPr>
        <w:pStyle w:val="NormalWeb"/>
        <w:rPr>
          <w:color w:val="000000"/>
        </w:rPr>
      </w:pPr>
    </w:p>
    <w:p w14:paraId="74E7200C" w14:textId="77777777" w:rsidR="005B6772" w:rsidRDefault="005B6772" w:rsidP="00050565">
      <w:pPr>
        <w:pStyle w:val="NormalWeb"/>
        <w:rPr>
          <w:color w:val="000000"/>
        </w:rPr>
      </w:pPr>
    </w:p>
    <w:p w14:paraId="6AD4C53C" w14:textId="50B7D701" w:rsidR="005B6772" w:rsidRDefault="005B6772" w:rsidP="00050565">
      <w:pPr>
        <w:pStyle w:val="NormalWeb"/>
        <w:rPr>
          <w:color w:val="000000"/>
        </w:rPr>
      </w:pPr>
      <w:r>
        <w:rPr>
          <w:noProof/>
          <w:color w:val="000000"/>
          <w14:ligatures w14:val="standardContextual"/>
        </w:rPr>
        <w:lastRenderedPageBreak/>
        <w:drawing>
          <wp:inline distT="0" distB="0" distL="0" distR="0" wp14:anchorId="37C02518" wp14:editId="594A700F">
            <wp:extent cx="7642225" cy="5731510"/>
            <wp:effectExtent l="2858" t="0" r="6032" b="6033"/>
            <wp:docPr id="2113815518" name="Picture 3"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815518" name="Picture 3" descr="A piece of paper with writing on it&#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52F74BBF" w14:textId="77777777" w:rsidR="005B6772" w:rsidRDefault="005B6772" w:rsidP="00050565">
      <w:pPr>
        <w:pStyle w:val="NormalWeb"/>
        <w:rPr>
          <w:color w:val="000000"/>
        </w:rPr>
      </w:pPr>
    </w:p>
    <w:p w14:paraId="4C1B60F3" w14:textId="77777777" w:rsidR="005B6772" w:rsidRDefault="005B6772" w:rsidP="00050565">
      <w:pPr>
        <w:pStyle w:val="NormalWeb"/>
        <w:rPr>
          <w:color w:val="000000"/>
        </w:rPr>
      </w:pPr>
    </w:p>
    <w:p w14:paraId="64421B00" w14:textId="77777777" w:rsidR="005B6772" w:rsidRDefault="005B6772" w:rsidP="00050565">
      <w:pPr>
        <w:pStyle w:val="NormalWeb"/>
        <w:rPr>
          <w:color w:val="000000"/>
        </w:rPr>
      </w:pPr>
    </w:p>
    <w:p w14:paraId="021D8F32" w14:textId="1C9DC3DC" w:rsidR="005B6772" w:rsidRDefault="005B6772" w:rsidP="00050565">
      <w:pPr>
        <w:pStyle w:val="NormalWeb"/>
        <w:rPr>
          <w:color w:val="000000"/>
        </w:rPr>
      </w:pPr>
      <w:r>
        <w:rPr>
          <w:noProof/>
          <w:color w:val="000000"/>
          <w14:ligatures w14:val="standardContextual"/>
        </w:rPr>
        <w:lastRenderedPageBreak/>
        <w:drawing>
          <wp:inline distT="0" distB="0" distL="0" distR="0" wp14:anchorId="6B6F919B" wp14:editId="78C283E2">
            <wp:extent cx="7642225" cy="5731510"/>
            <wp:effectExtent l="2858" t="0" r="6032" b="6033"/>
            <wp:docPr id="1770826514" name="Picture 4" descr="A white paper with black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826514" name="Picture 4" descr="A white paper with black writing on it&#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2F15000A" w14:textId="77777777" w:rsidR="005B6772" w:rsidRDefault="005B6772" w:rsidP="00050565">
      <w:pPr>
        <w:pStyle w:val="NormalWeb"/>
        <w:rPr>
          <w:color w:val="000000"/>
        </w:rPr>
      </w:pPr>
    </w:p>
    <w:p w14:paraId="06EEC0D1" w14:textId="787CED0B" w:rsidR="005B6772" w:rsidRDefault="005B6772" w:rsidP="00050565">
      <w:pPr>
        <w:pStyle w:val="NormalWeb"/>
        <w:rPr>
          <w:color w:val="000000"/>
        </w:rPr>
      </w:pPr>
      <w:r>
        <w:rPr>
          <w:noProof/>
          <w:color w:val="000000"/>
          <w14:ligatures w14:val="standardContextual"/>
        </w:rPr>
        <w:lastRenderedPageBreak/>
        <w:drawing>
          <wp:inline distT="0" distB="0" distL="0" distR="0" wp14:anchorId="6B9EB77A" wp14:editId="3697CDE4">
            <wp:extent cx="7642225" cy="5731510"/>
            <wp:effectExtent l="2858" t="0" r="6032" b="6033"/>
            <wp:docPr id="1933634197" name="Picture 5"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634197" name="Picture 5" descr="A white paper with black tex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73D66384" w14:textId="77777777" w:rsidR="005B6772" w:rsidRDefault="005B6772" w:rsidP="00050565">
      <w:pPr>
        <w:pStyle w:val="NormalWeb"/>
        <w:rPr>
          <w:color w:val="000000"/>
        </w:rPr>
      </w:pPr>
    </w:p>
    <w:p w14:paraId="69A08417" w14:textId="14376EDB" w:rsidR="005B6772" w:rsidRDefault="005B6772" w:rsidP="00050565">
      <w:pPr>
        <w:pStyle w:val="NormalWeb"/>
        <w:rPr>
          <w:color w:val="000000"/>
        </w:rPr>
      </w:pPr>
    </w:p>
    <w:p w14:paraId="23BA0D27" w14:textId="1BABE773" w:rsidR="005B6772" w:rsidRDefault="005B6772" w:rsidP="00050565">
      <w:pPr>
        <w:pStyle w:val="NormalWeb"/>
        <w:rPr>
          <w:color w:val="000000"/>
        </w:rPr>
      </w:pPr>
      <w:r>
        <w:rPr>
          <w:noProof/>
          <w:color w:val="000000"/>
          <w14:ligatures w14:val="standardContextual"/>
        </w:rPr>
        <w:lastRenderedPageBreak/>
        <w:drawing>
          <wp:inline distT="0" distB="0" distL="0" distR="0" wp14:anchorId="2CDAF24E" wp14:editId="668C7CAC">
            <wp:extent cx="7642225" cy="5731510"/>
            <wp:effectExtent l="2858" t="0" r="6032" b="6033"/>
            <wp:docPr id="429829557" name="Picture 7"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829557" name="Picture 7" descr="A piece of paper with writing on i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2CD931E6" w14:textId="77777777" w:rsidR="005B6772" w:rsidRDefault="005B6772" w:rsidP="00050565">
      <w:pPr>
        <w:pStyle w:val="NormalWeb"/>
        <w:rPr>
          <w:color w:val="000000"/>
        </w:rPr>
      </w:pPr>
    </w:p>
    <w:p w14:paraId="3B02B5CA" w14:textId="77777777" w:rsidR="005B6772" w:rsidRDefault="005B6772" w:rsidP="00050565">
      <w:pPr>
        <w:pStyle w:val="NormalWeb"/>
        <w:rPr>
          <w:color w:val="000000"/>
        </w:rPr>
      </w:pPr>
    </w:p>
    <w:p w14:paraId="41FDA6A7" w14:textId="63634E0E" w:rsidR="005B6772" w:rsidRDefault="005B6772" w:rsidP="00050565">
      <w:pPr>
        <w:pStyle w:val="NormalWeb"/>
        <w:rPr>
          <w:color w:val="000000"/>
        </w:rPr>
      </w:pPr>
      <w:r>
        <w:rPr>
          <w:noProof/>
          <w:color w:val="000000"/>
          <w14:ligatures w14:val="standardContextual"/>
        </w:rPr>
        <w:lastRenderedPageBreak/>
        <w:drawing>
          <wp:inline distT="0" distB="0" distL="0" distR="0" wp14:anchorId="73B657C3" wp14:editId="7C04FDE0">
            <wp:extent cx="7642225" cy="5731510"/>
            <wp:effectExtent l="2858" t="0" r="6032" b="6033"/>
            <wp:docPr id="909307240" name="Picture 8" descr="A white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307240" name="Picture 8" descr="A white paper with writing on i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0481C6C8" w14:textId="77777777" w:rsidR="005B6772" w:rsidRDefault="005B6772" w:rsidP="00050565">
      <w:pPr>
        <w:pStyle w:val="NormalWeb"/>
        <w:rPr>
          <w:color w:val="000000"/>
        </w:rPr>
      </w:pPr>
    </w:p>
    <w:p w14:paraId="072967D8" w14:textId="5A817EF7" w:rsidR="005B6772" w:rsidRDefault="00C81D9D" w:rsidP="000B5F4C">
      <w:pPr>
        <w:pStyle w:val="NormalWeb"/>
        <w:rPr>
          <w:color w:val="000000"/>
        </w:rPr>
      </w:pPr>
      <w:r w:rsidRPr="00C81D9D">
        <w:rPr>
          <w:b/>
          <w:bCs/>
          <w:color w:val="000000"/>
        </w:rPr>
        <w:t>References</w:t>
      </w:r>
      <w:r>
        <w:rPr>
          <w:color w:val="000000"/>
        </w:rPr>
        <w:t>:</w:t>
      </w:r>
    </w:p>
    <w:p w14:paraId="7149F9B8" w14:textId="4B6E346E" w:rsidR="000B5F4C" w:rsidRPr="000D0067" w:rsidRDefault="000B5F4C" w:rsidP="000D0067">
      <w:pPr>
        <w:pStyle w:val="NormalWeb"/>
        <w:rPr>
          <w:rStyle w:val="Strong"/>
          <w:b w:val="0"/>
          <w:bCs w:val="0"/>
          <w:color w:val="000000"/>
        </w:rPr>
      </w:pPr>
      <w:r w:rsidRPr="00330AB7">
        <w:rPr>
          <w:rStyle w:val="Strong"/>
          <w:rFonts w:eastAsiaTheme="majorEastAsia"/>
          <w:b w:val="0"/>
          <w:bCs w:val="0"/>
          <w:color w:val="000000"/>
        </w:rPr>
        <w:lastRenderedPageBreak/>
        <w:t>Beauchamp, T.L.&amp; Childress, J.F. (2019) Principles of Biomedical Ethics</w:t>
      </w:r>
      <w:r w:rsidR="00C81D9D">
        <w:rPr>
          <w:rStyle w:val="Strong"/>
          <w:rFonts w:eastAsiaTheme="majorEastAsia"/>
          <w:b w:val="0"/>
          <w:bCs w:val="0"/>
          <w:color w:val="000000"/>
        </w:rPr>
        <w:t xml:space="preserve">. </w:t>
      </w:r>
      <w:r w:rsidRPr="00330AB7">
        <w:rPr>
          <w:rStyle w:val="Strong"/>
          <w:rFonts w:eastAsiaTheme="majorEastAsia"/>
          <w:b w:val="0"/>
          <w:bCs w:val="0"/>
          <w:color w:val="000000"/>
        </w:rPr>
        <w:t>8</w:t>
      </w:r>
      <w:r w:rsidR="00A9777E">
        <w:rPr>
          <w:rStyle w:val="Strong"/>
          <w:rFonts w:eastAsiaTheme="majorEastAsia"/>
          <w:b w:val="0"/>
          <w:bCs w:val="0"/>
          <w:color w:val="000000"/>
        </w:rPr>
        <w:t xml:space="preserve">th </w:t>
      </w:r>
      <w:r w:rsidRPr="00330AB7">
        <w:rPr>
          <w:rStyle w:val="Strong"/>
          <w:rFonts w:eastAsiaTheme="majorEastAsia"/>
          <w:b w:val="0"/>
          <w:bCs w:val="0"/>
          <w:color w:val="000000"/>
        </w:rPr>
        <w:t>ed</w:t>
      </w:r>
      <w:r w:rsidR="00BC230C">
        <w:rPr>
          <w:rStyle w:val="Strong"/>
          <w:rFonts w:eastAsiaTheme="majorEastAsia"/>
          <w:b w:val="0"/>
          <w:bCs w:val="0"/>
          <w:color w:val="000000"/>
        </w:rPr>
        <w:t>n.</w:t>
      </w:r>
      <w:r w:rsidRPr="00330AB7">
        <w:rPr>
          <w:rStyle w:val="Strong"/>
          <w:rFonts w:eastAsiaTheme="majorEastAsia"/>
          <w:b w:val="0"/>
          <w:bCs w:val="0"/>
          <w:color w:val="000000"/>
        </w:rPr>
        <w:t xml:space="preserve"> Oxford: Oxford University Press.</w:t>
      </w:r>
    </w:p>
    <w:p w14:paraId="53290151" w14:textId="5DDE4B08" w:rsidR="000B5F4C" w:rsidRPr="00330AB7" w:rsidRDefault="000B5F4C" w:rsidP="000D0067">
      <w:pPr>
        <w:pStyle w:val="NormalWeb"/>
        <w:rPr>
          <w:rStyle w:val="Strong"/>
          <w:rFonts w:eastAsiaTheme="majorEastAsia"/>
          <w:b w:val="0"/>
          <w:bCs w:val="0"/>
          <w:color w:val="000000"/>
        </w:rPr>
      </w:pPr>
      <w:r w:rsidRPr="00330AB7">
        <w:rPr>
          <w:rStyle w:val="Strong"/>
          <w:rFonts w:eastAsiaTheme="majorEastAsia"/>
          <w:b w:val="0"/>
          <w:bCs w:val="0"/>
          <w:color w:val="000000"/>
        </w:rPr>
        <w:t>Burnard, P. (2013) Counselling Skills Training: A Practical Guide for Counsellors</w:t>
      </w:r>
      <w:r w:rsidR="00C81D9D">
        <w:rPr>
          <w:rStyle w:val="Strong"/>
          <w:rFonts w:eastAsiaTheme="majorEastAsia"/>
          <w:b w:val="0"/>
          <w:bCs w:val="0"/>
          <w:color w:val="000000"/>
        </w:rPr>
        <w:t xml:space="preserve">. </w:t>
      </w:r>
      <w:r w:rsidRPr="00330AB7">
        <w:rPr>
          <w:rStyle w:val="Strong"/>
          <w:rFonts w:eastAsiaTheme="majorEastAsia"/>
          <w:b w:val="0"/>
          <w:bCs w:val="0"/>
          <w:color w:val="000000"/>
        </w:rPr>
        <w:t>3</w:t>
      </w:r>
      <w:r w:rsidR="00A9777E">
        <w:rPr>
          <w:rStyle w:val="Strong"/>
          <w:rFonts w:eastAsiaTheme="majorEastAsia"/>
          <w:b w:val="0"/>
          <w:bCs w:val="0"/>
          <w:color w:val="000000"/>
        </w:rPr>
        <w:t xml:space="preserve">rd </w:t>
      </w:r>
      <w:r w:rsidRPr="00330AB7">
        <w:rPr>
          <w:rStyle w:val="Strong"/>
          <w:rFonts w:eastAsiaTheme="majorEastAsia"/>
          <w:b w:val="0"/>
          <w:bCs w:val="0"/>
          <w:color w:val="000000"/>
        </w:rPr>
        <w:t>ed</w:t>
      </w:r>
      <w:r w:rsidR="00BC230C">
        <w:rPr>
          <w:rStyle w:val="Strong"/>
          <w:rFonts w:eastAsiaTheme="majorEastAsia"/>
          <w:b w:val="0"/>
          <w:bCs w:val="0"/>
          <w:color w:val="000000"/>
        </w:rPr>
        <w:t>n.</w:t>
      </w:r>
      <w:r w:rsidRPr="00330AB7">
        <w:rPr>
          <w:rStyle w:val="Strong"/>
          <w:rFonts w:eastAsiaTheme="majorEastAsia"/>
          <w:b w:val="0"/>
          <w:bCs w:val="0"/>
          <w:color w:val="000000"/>
        </w:rPr>
        <w:t xml:space="preserve"> London: Routledge.</w:t>
      </w:r>
    </w:p>
    <w:p w14:paraId="6724735D" w14:textId="33F16167" w:rsidR="000B5F4C" w:rsidRPr="00330AB7" w:rsidRDefault="000B5F4C" w:rsidP="000D0067">
      <w:pPr>
        <w:pStyle w:val="NormalWeb"/>
        <w:rPr>
          <w:rStyle w:val="Strong"/>
          <w:rFonts w:eastAsiaTheme="majorEastAsia"/>
          <w:b w:val="0"/>
          <w:bCs w:val="0"/>
          <w:color w:val="000000"/>
        </w:rPr>
      </w:pPr>
      <w:r w:rsidRPr="00330AB7">
        <w:rPr>
          <w:rStyle w:val="Strong"/>
          <w:rFonts w:eastAsiaTheme="majorEastAsia"/>
          <w:b w:val="0"/>
          <w:bCs w:val="0"/>
          <w:color w:val="000000"/>
        </w:rPr>
        <w:t>Cottrell, S. (2021) Critical Thinking Skills: Effective Analysis, Argument and Reflection. 4</w:t>
      </w:r>
      <w:r w:rsidR="00BC230C">
        <w:rPr>
          <w:rStyle w:val="Strong"/>
          <w:rFonts w:eastAsiaTheme="majorEastAsia"/>
          <w:b w:val="0"/>
          <w:bCs w:val="0"/>
          <w:color w:val="000000"/>
        </w:rPr>
        <w:t xml:space="preserve">th </w:t>
      </w:r>
      <w:r w:rsidRPr="00330AB7">
        <w:rPr>
          <w:rStyle w:val="Strong"/>
          <w:rFonts w:eastAsiaTheme="majorEastAsia"/>
          <w:b w:val="0"/>
          <w:bCs w:val="0"/>
          <w:color w:val="000000"/>
        </w:rPr>
        <w:t>ed</w:t>
      </w:r>
      <w:r w:rsidR="00BC230C">
        <w:rPr>
          <w:rStyle w:val="Strong"/>
          <w:rFonts w:eastAsiaTheme="majorEastAsia"/>
          <w:b w:val="0"/>
          <w:bCs w:val="0"/>
          <w:color w:val="000000"/>
        </w:rPr>
        <w:t>n.</w:t>
      </w:r>
      <w:r w:rsidRPr="00330AB7">
        <w:rPr>
          <w:rStyle w:val="Strong"/>
          <w:rFonts w:eastAsiaTheme="majorEastAsia"/>
          <w:b w:val="0"/>
          <w:bCs w:val="0"/>
          <w:color w:val="000000"/>
        </w:rPr>
        <w:t xml:space="preserve"> London: Bloomsbury.</w:t>
      </w:r>
    </w:p>
    <w:p w14:paraId="7C6AA90C" w14:textId="7F33933D" w:rsidR="000B5F4C" w:rsidRPr="00330AB7" w:rsidRDefault="000B5F4C" w:rsidP="000D0067">
      <w:pPr>
        <w:pStyle w:val="NormalWeb"/>
        <w:rPr>
          <w:rStyle w:val="Strong"/>
          <w:rFonts w:eastAsiaTheme="majorEastAsia"/>
          <w:b w:val="0"/>
          <w:bCs w:val="0"/>
          <w:color w:val="000000"/>
        </w:rPr>
      </w:pPr>
      <w:r w:rsidRPr="00330AB7">
        <w:rPr>
          <w:rStyle w:val="Strong"/>
          <w:rFonts w:eastAsiaTheme="majorEastAsia"/>
          <w:b w:val="0"/>
          <w:bCs w:val="0"/>
          <w:color w:val="000000"/>
        </w:rPr>
        <w:t>Egan, G. (2014) The Skilled Helper: A Problem-Management and Opportunity-Development Approach to Helping. 10</w:t>
      </w:r>
      <w:r w:rsidR="00BC230C">
        <w:rPr>
          <w:rStyle w:val="Strong"/>
          <w:rFonts w:eastAsiaTheme="majorEastAsia"/>
          <w:b w:val="0"/>
          <w:bCs w:val="0"/>
          <w:color w:val="000000"/>
        </w:rPr>
        <w:t xml:space="preserve">th </w:t>
      </w:r>
      <w:r w:rsidRPr="00330AB7">
        <w:rPr>
          <w:rStyle w:val="Strong"/>
          <w:rFonts w:eastAsiaTheme="majorEastAsia"/>
          <w:b w:val="0"/>
          <w:bCs w:val="0"/>
          <w:color w:val="000000"/>
        </w:rPr>
        <w:t>ed</w:t>
      </w:r>
      <w:r w:rsidR="00BC230C">
        <w:rPr>
          <w:rStyle w:val="Strong"/>
          <w:rFonts w:eastAsiaTheme="majorEastAsia"/>
          <w:b w:val="0"/>
          <w:bCs w:val="0"/>
          <w:color w:val="000000"/>
        </w:rPr>
        <w:t>n.</w:t>
      </w:r>
      <w:r w:rsidRPr="00330AB7">
        <w:rPr>
          <w:rStyle w:val="Strong"/>
          <w:rFonts w:eastAsiaTheme="majorEastAsia"/>
          <w:b w:val="0"/>
          <w:bCs w:val="0"/>
          <w:color w:val="000000"/>
        </w:rPr>
        <w:t xml:space="preserve"> Belmont, CA: Brooks/Cole.</w:t>
      </w:r>
    </w:p>
    <w:p w14:paraId="22E431A4" w14:textId="58C02058" w:rsidR="000B5F4C" w:rsidRPr="00330AB7" w:rsidRDefault="000B5F4C" w:rsidP="000D0067">
      <w:pPr>
        <w:pStyle w:val="NormalWeb"/>
        <w:rPr>
          <w:rStyle w:val="Strong"/>
          <w:rFonts w:eastAsiaTheme="majorEastAsia"/>
          <w:b w:val="0"/>
          <w:bCs w:val="0"/>
          <w:color w:val="000000"/>
        </w:rPr>
      </w:pPr>
      <w:r w:rsidRPr="00330AB7">
        <w:rPr>
          <w:rStyle w:val="Strong"/>
          <w:rFonts w:eastAsiaTheme="majorEastAsia"/>
          <w:b w:val="0"/>
          <w:bCs w:val="0"/>
          <w:color w:val="000000"/>
        </w:rPr>
        <w:t>Egan, G. (2018) The Skilled Helper: A Client-Centred Approach. 11</w:t>
      </w:r>
      <w:r w:rsidR="00BC230C">
        <w:rPr>
          <w:rStyle w:val="Strong"/>
          <w:rFonts w:eastAsiaTheme="majorEastAsia"/>
          <w:b w:val="0"/>
          <w:bCs w:val="0"/>
          <w:color w:val="000000"/>
        </w:rPr>
        <w:t xml:space="preserve">th </w:t>
      </w:r>
      <w:r w:rsidRPr="00330AB7">
        <w:rPr>
          <w:rStyle w:val="Strong"/>
          <w:rFonts w:eastAsiaTheme="majorEastAsia"/>
          <w:b w:val="0"/>
          <w:bCs w:val="0"/>
          <w:color w:val="000000"/>
        </w:rPr>
        <w:t>ed</w:t>
      </w:r>
      <w:r w:rsidR="00BC230C">
        <w:rPr>
          <w:rStyle w:val="Strong"/>
          <w:rFonts w:eastAsiaTheme="majorEastAsia"/>
          <w:b w:val="0"/>
          <w:bCs w:val="0"/>
          <w:color w:val="000000"/>
        </w:rPr>
        <w:t>n.</w:t>
      </w:r>
      <w:r w:rsidRPr="00330AB7">
        <w:rPr>
          <w:rStyle w:val="Strong"/>
          <w:rFonts w:eastAsiaTheme="majorEastAsia"/>
          <w:b w:val="0"/>
          <w:bCs w:val="0"/>
          <w:color w:val="000000"/>
        </w:rPr>
        <w:t xml:space="preserve"> Boston: Cengage Learning.</w:t>
      </w:r>
    </w:p>
    <w:p w14:paraId="275112DB" w14:textId="5DA5C0BC" w:rsidR="000B5F4C" w:rsidRPr="00330AB7" w:rsidRDefault="00183512" w:rsidP="000B5F4C">
      <w:pPr>
        <w:pStyle w:val="NormalWeb"/>
        <w:rPr>
          <w:rStyle w:val="Strong"/>
          <w:rFonts w:eastAsiaTheme="majorEastAsia"/>
          <w:b w:val="0"/>
          <w:bCs w:val="0"/>
          <w:color w:val="000000"/>
        </w:rPr>
      </w:pPr>
      <w:r>
        <w:rPr>
          <w:rStyle w:val="Strong"/>
          <w:rFonts w:eastAsiaTheme="majorEastAsia"/>
          <w:b w:val="0"/>
          <w:bCs w:val="0"/>
          <w:color w:val="000000"/>
        </w:rPr>
        <w:t xml:space="preserve"> </w:t>
      </w:r>
      <w:r w:rsidR="000B5F4C" w:rsidRPr="00330AB7">
        <w:rPr>
          <w:rStyle w:val="Strong"/>
          <w:rFonts w:eastAsiaTheme="majorEastAsia"/>
          <w:b w:val="0"/>
          <w:bCs w:val="0"/>
          <w:color w:val="000000"/>
        </w:rPr>
        <w:t>Gibbs, G. (1988) Learning by Doing: A Guide to Teaching and Learning Methods. Oxford: Oxford Polytechnic.</w:t>
      </w:r>
    </w:p>
    <w:p w14:paraId="6C4D30D3" w14:textId="37E045F2" w:rsidR="000B5F4C" w:rsidRPr="00330AB7" w:rsidRDefault="000B5F4C" w:rsidP="000B5F4C">
      <w:pPr>
        <w:pStyle w:val="NormalWeb"/>
        <w:rPr>
          <w:rStyle w:val="Strong"/>
          <w:rFonts w:eastAsiaTheme="majorEastAsia"/>
          <w:b w:val="0"/>
          <w:bCs w:val="0"/>
          <w:color w:val="000000"/>
        </w:rPr>
      </w:pPr>
      <w:r w:rsidRPr="00330AB7">
        <w:rPr>
          <w:rStyle w:val="Strong"/>
          <w:rFonts w:eastAsiaTheme="majorEastAsia"/>
          <w:b w:val="0"/>
          <w:bCs w:val="0"/>
          <w:color w:val="000000"/>
        </w:rPr>
        <w:t>Lazarus, R.S.&amp; Folkman, S. (1984) Stress, Appraisal and Coping. New York: Springer.</w:t>
      </w:r>
    </w:p>
    <w:p w14:paraId="6857039D" w14:textId="31E822B1" w:rsidR="000B5F4C" w:rsidRDefault="00C81D9D" w:rsidP="000B5F4C">
      <w:pPr>
        <w:pStyle w:val="NormalWeb"/>
        <w:rPr>
          <w:rStyle w:val="Strong"/>
          <w:rFonts w:eastAsiaTheme="majorEastAsia"/>
          <w:b w:val="0"/>
          <w:bCs w:val="0"/>
          <w:color w:val="000000"/>
        </w:rPr>
      </w:pPr>
      <w:r>
        <w:rPr>
          <w:rStyle w:val="Strong"/>
          <w:rFonts w:eastAsiaTheme="majorEastAsia"/>
          <w:b w:val="0"/>
          <w:bCs w:val="0"/>
          <w:color w:val="000000"/>
        </w:rPr>
        <w:t xml:space="preserve"> </w:t>
      </w:r>
      <w:r w:rsidR="000B5F4C" w:rsidRPr="00330AB7">
        <w:rPr>
          <w:rStyle w:val="Strong"/>
          <w:rFonts w:eastAsiaTheme="majorEastAsia"/>
          <w:b w:val="0"/>
          <w:bCs w:val="0"/>
          <w:color w:val="000000"/>
        </w:rPr>
        <w:t>Mearns, D. &amp; Thorne, B. (2013) Person-Centred Counselling in Action. 4</w:t>
      </w:r>
      <w:r w:rsidR="00BC230C">
        <w:rPr>
          <w:rStyle w:val="Strong"/>
          <w:rFonts w:eastAsiaTheme="majorEastAsia"/>
          <w:b w:val="0"/>
          <w:bCs w:val="0"/>
          <w:color w:val="000000"/>
        </w:rPr>
        <w:t>th edn. London:</w:t>
      </w:r>
      <w:r w:rsidR="000B5F4C" w:rsidRPr="00330AB7">
        <w:rPr>
          <w:rStyle w:val="Strong"/>
          <w:rFonts w:eastAsiaTheme="majorEastAsia"/>
          <w:b w:val="0"/>
          <w:bCs w:val="0"/>
          <w:color w:val="000000"/>
        </w:rPr>
        <w:t xml:space="preserve"> SAGE.</w:t>
      </w:r>
    </w:p>
    <w:p w14:paraId="3D7F48B1" w14:textId="3187A89C" w:rsidR="003C0DBA" w:rsidRPr="003C0DBA" w:rsidRDefault="00183512" w:rsidP="003C0DBA">
      <w:pPr>
        <w:rPr>
          <w:rStyle w:val="Strong"/>
          <w:rFonts w:ascii="Times New Roman" w:hAnsi="Times New Roman" w:cs="Times New Roman"/>
          <w:b w:val="0"/>
          <w:bCs w:val="0"/>
        </w:rPr>
      </w:pPr>
      <w:r>
        <w:rPr>
          <w:rFonts w:ascii="Times New Roman" w:hAnsi="Times New Roman" w:cs="Times New Roman"/>
        </w:rPr>
        <w:t xml:space="preserve"> </w:t>
      </w:r>
      <w:r w:rsidR="00E80CB0" w:rsidRPr="00E80CB0">
        <w:rPr>
          <w:rFonts w:ascii="Times New Roman" w:hAnsi="Times New Roman" w:cs="Times New Roman"/>
        </w:rPr>
        <w:t>Miller, W.R. and Rollnick, S. (2013) Motivational Interviewing: Helping People Change. 3</w:t>
      </w:r>
      <w:r w:rsidR="00BC230C">
        <w:rPr>
          <w:rFonts w:ascii="Times New Roman" w:hAnsi="Times New Roman" w:cs="Times New Roman"/>
        </w:rPr>
        <w:t xml:space="preserve">rd </w:t>
      </w:r>
      <w:r w:rsidR="00E80CB0" w:rsidRPr="00E80CB0">
        <w:rPr>
          <w:rFonts w:ascii="Times New Roman" w:hAnsi="Times New Roman" w:cs="Times New Roman"/>
        </w:rPr>
        <w:t>ed</w:t>
      </w:r>
      <w:r w:rsidR="00BC230C">
        <w:rPr>
          <w:rFonts w:ascii="Times New Roman" w:hAnsi="Times New Roman" w:cs="Times New Roman"/>
        </w:rPr>
        <w:t>n.</w:t>
      </w:r>
      <w:r w:rsidR="00E80CB0" w:rsidRPr="00E80CB0">
        <w:rPr>
          <w:rFonts w:ascii="Times New Roman" w:hAnsi="Times New Roman" w:cs="Times New Roman"/>
        </w:rPr>
        <w:t xml:space="preserve"> New York: Guilford Press.</w:t>
      </w:r>
    </w:p>
    <w:p w14:paraId="484FAB58" w14:textId="36517CBA" w:rsidR="000B5F4C" w:rsidRPr="00330AB7" w:rsidRDefault="00183512" w:rsidP="000D0067">
      <w:pPr>
        <w:pStyle w:val="NormalWeb"/>
        <w:rPr>
          <w:rStyle w:val="Strong"/>
          <w:rFonts w:eastAsiaTheme="majorEastAsia"/>
          <w:b w:val="0"/>
          <w:bCs w:val="0"/>
          <w:color w:val="000000"/>
        </w:rPr>
      </w:pPr>
      <w:r>
        <w:rPr>
          <w:rStyle w:val="Strong"/>
          <w:rFonts w:eastAsiaTheme="majorEastAsia"/>
          <w:b w:val="0"/>
          <w:bCs w:val="0"/>
          <w:color w:val="000000"/>
        </w:rPr>
        <w:t xml:space="preserve"> </w:t>
      </w:r>
      <w:r w:rsidR="000B5F4C" w:rsidRPr="00330AB7">
        <w:rPr>
          <w:rStyle w:val="Strong"/>
          <w:rFonts w:eastAsiaTheme="majorEastAsia"/>
          <w:b w:val="0"/>
          <w:bCs w:val="0"/>
          <w:color w:val="000000"/>
        </w:rPr>
        <w:t>Rogers, C.R. (1951) Client-Centred Therapy: Its Current Practice, Implications and Theory. Boston: Houghton Mifflin.</w:t>
      </w:r>
    </w:p>
    <w:p w14:paraId="336D2D28" w14:textId="5382E5BE" w:rsidR="000B5F4C" w:rsidRPr="00330AB7" w:rsidRDefault="000B5F4C" w:rsidP="000B5F4C">
      <w:pPr>
        <w:pStyle w:val="NormalWeb"/>
        <w:rPr>
          <w:rStyle w:val="Strong"/>
          <w:rFonts w:eastAsiaTheme="majorEastAsia"/>
          <w:b w:val="0"/>
          <w:bCs w:val="0"/>
          <w:color w:val="000000"/>
        </w:rPr>
      </w:pPr>
      <w:r w:rsidRPr="00330AB7">
        <w:rPr>
          <w:rStyle w:val="Strong"/>
          <w:rFonts w:eastAsiaTheme="majorEastAsia"/>
          <w:b w:val="0"/>
          <w:bCs w:val="0"/>
          <w:color w:val="000000"/>
        </w:rPr>
        <w:t>Rogers, C.R. (1967) On Becoming a Person: A Therapist’s View of Psychotherapy. London: Constable.</w:t>
      </w:r>
    </w:p>
    <w:p w14:paraId="7E6A175E" w14:textId="2D10B17E" w:rsidR="000B5F4C" w:rsidRPr="00330AB7" w:rsidRDefault="003C0DBA" w:rsidP="000B5F4C">
      <w:pPr>
        <w:pStyle w:val="NormalWeb"/>
        <w:rPr>
          <w:rStyle w:val="Strong"/>
          <w:rFonts w:eastAsiaTheme="majorEastAsia"/>
          <w:b w:val="0"/>
          <w:bCs w:val="0"/>
          <w:color w:val="000000"/>
        </w:rPr>
      </w:pPr>
      <w:r w:rsidRPr="00330AB7">
        <w:rPr>
          <w:color w:val="000000"/>
        </w:rPr>
        <w:t xml:space="preserve">Schön, </w:t>
      </w:r>
      <w:r w:rsidR="000B5F4C" w:rsidRPr="00330AB7">
        <w:rPr>
          <w:rStyle w:val="Strong"/>
          <w:rFonts w:eastAsiaTheme="majorEastAsia"/>
          <w:b w:val="0"/>
          <w:bCs w:val="0"/>
          <w:color w:val="000000"/>
        </w:rPr>
        <w:t>D.A. (1983) The Reflective Practitioner: How Professionals Think in Action. New York: Basic Books.</w:t>
      </w:r>
    </w:p>
    <w:p w14:paraId="0B873F67" w14:textId="54170AF0" w:rsidR="00050565" w:rsidRDefault="00050565" w:rsidP="00050565">
      <w:pPr>
        <w:pStyle w:val="NormalWeb"/>
        <w:rPr>
          <w:color w:val="000000"/>
        </w:rPr>
      </w:pPr>
    </w:p>
    <w:p w14:paraId="66097076" w14:textId="77777777" w:rsidR="00050565" w:rsidRPr="00050565" w:rsidRDefault="00050565" w:rsidP="000B4C03">
      <w:pPr>
        <w:pStyle w:val="NormalWeb"/>
        <w:rPr>
          <w:color w:val="000000"/>
        </w:rPr>
      </w:pPr>
    </w:p>
    <w:sectPr w:rsidR="00050565" w:rsidRPr="000505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Ginto Copilot Variable">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715D0"/>
    <w:multiLevelType w:val="hybridMultilevel"/>
    <w:tmpl w:val="B9E62BB4"/>
    <w:lvl w:ilvl="0" w:tplc="6080A182">
      <w:start w:val="1"/>
      <w:numFmt w:val="bullet"/>
      <w:lvlText w:val=""/>
      <w:lvlJc w:val="left"/>
      <w:pPr>
        <w:ind w:left="680" w:hanging="68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682849"/>
    <w:multiLevelType w:val="hybridMultilevel"/>
    <w:tmpl w:val="6F02382A"/>
    <w:lvl w:ilvl="0" w:tplc="08090001">
      <w:start w:val="1"/>
      <w:numFmt w:val="bullet"/>
      <w:lvlText w:val=""/>
      <w:lvlJc w:val="left"/>
      <w:pPr>
        <w:ind w:left="782" w:hanging="360"/>
      </w:pPr>
      <w:rPr>
        <w:rFonts w:ascii="Symbol" w:hAnsi="Symbol" w:hint="default"/>
      </w:rPr>
    </w:lvl>
    <w:lvl w:ilvl="1" w:tplc="08090003" w:tentative="1">
      <w:start w:val="1"/>
      <w:numFmt w:val="bullet"/>
      <w:lvlText w:val="o"/>
      <w:lvlJc w:val="left"/>
      <w:pPr>
        <w:ind w:left="1502" w:hanging="360"/>
      </w:pPr>
      <w:rPr>
        <w:rFonts w:ascii="Courier New" w:hAnsi="Courier New" w:cs="Courier New" w:hint="default"/>
      </w:rPr>
    </w:lvl>
    <w:lvl w:ilvl="2" w:tplc="08090005" w:tentative="1">
      <w:start w:val="1"/>
      <w:numFmt w:val="bullet"/>
      <w:lvlText w:val=""/>
      <w:lvlJc w:val="left"/>
      <w:pPr>
        <w:ind w:left="2222" w:hanging="360"/>
      </w:pPr>
      <w:rPr>
        <w:rFonts w:ascii="Wingdings" w:hAnsi="Wingdings" w:hint="default"/>
      </w:rPr>
    </w:lvl>
    <w:lvl w:ilvl="3" w:tplc="08090001" w:tentative="1">
      <w:start w:val="1"/>
      <w:numFmt w:val="bullet"/>
      <w:lvlText w:val=""/>
      <w:lvlJc w:val="left"/>
      <w:pPr>
        <w:ind w:left="2942" w:hanging="360"/>
      </w:pPr>
      <w:rPr>
        <w:rFonts w:ascii="Symbol" w:hAnsi="Symbol" w:hint="default"/>
      </w:rPr>
    </w:lvl>
    <w:lvl w:ilvl="4" w:tplc="08090003" w:tentative="1">
      <w:start w:val="1"/>
      <w:numFmt w:val="bullet"/>
      <w:lvlText w:val="o"/>
      <w:lvlJc w:val="left"/>
      <w:pPr>
        <w:ind w:left="3662" w:hanging="360"/>
      </w:pPr>
      <w:rPr>
        <w:rFonts w:ascii="Courier New" w:hAnsi="Courier New" w:cs="Courier New" w:hint="default"/>
      </w:rPr>
    </w:lvl>
    <w:lvl w:ilvl="5" w:tplc="08090005" w:tentative="1">
      <w:start w:val="1"/>
      <w:numFmt w:val="bullet"/>
      <w:lvlText w:val=""/>
      <w:lvlJc w:val="left"/>
      <w:pPr>
        <w:ind w:left="4382" w:hanging="360"/>
      </w:pPr>
      <w:rPr>
        <w:rFonts w:ascii="Wingdings" w:hAnsi="Wingdings" w:hint="default"/>
      </w:rPr>
    </w:lvl>
    <w:lvl w:ilvl="6" w:tplc="08090001" w:tentative="1">
      <w:start w:val="1"/>
      <w:numFmt w:val="bullet"/>
      <w:lvlText w:val=""/>
      <w:lvlJc w:val="left"/>
      <w:pPr>
        <w:ind w:left="5102" w:hanging="360"/>
      </w:pPr>
      <w:rPr>
        <w:rFonts w:ascii="Symbol" w:hAnsi="Symbol" w:hint="default"/>
      </w:rPr>
    </w:lvl>
    <w:lvl w:ilvl="7" w:tplc="08090003" w:tentative="1">
      <w:start w:val="1"/>
      <w:numFmt w:val="bullet"/>
      <w:lvlText w:val="o"/>
      <w:lvlJc w:val="left"/>
      <w:pPr>
        <w:ind w:left="5822" w:hanging="360"/>
      </w:pPr>
      <w:rPr>
        <w:rFonts w:ascii="Courier New" w:hAnsi="Courier New" w:cs="Courier New" w:hint="default"/>
      </w:rPr>
    </w:lvl>
    <w:lvl w:ilvl="8" w:tplc="08090005" w:tentative="1">
      <w:start w:val="1"/>
      <w:numFmt w:val="bullet"/>
      <w:lvlText w:val=""/>
      <w:lvlJc w:val="left"/>
      <w:pPr>
        <w:ind w:left="6542" w:hanging="360"/>
      </w:pPr>
      <w:rPr>
        <w:rFonts w:ascii="Wingdings" w:hAnsi="Wingdings" w:hint="default"/>
      </w:rPr>
    </w:lvl>
  </w:abstractNum>
  <w:abstractNum w:abstractNumId="2" w15:restartNumberingAfterBreak="0">
    <w:nsid w:val="70A35C2E"/>
    <w:multiLevelType w:val="hybridMultilevel"/>
    <w:tmpl w:val="5B46E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007B1A"/>
    <w:multiLevelType w:val="hybridMultilevel"/>
    <w:tmpl w:val="5566C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CB2621"/>
    <w:multiLevelType w:val="hybridMultilevel"/>
    <w:tmpl w:val="FF4E2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0794935">
    <w:abstractNumId w:val="4"/>
  </w:num>
  <w:num w:numId="2" w16cid:durableId="1653094770">
    <w:abstractNumId w:val="3"/>
  </w:num>
  <w:num w:numId="3" w16cid:durableId="957446653">
    <w:abstractNumId w:val="1"/>
  </w:num>
  <w:num w:numId="4" w16cid:durableId="1692106193">
    <w:abstractNumId w:val="0"/>
  </w:num>
  <w:num w:numId="5" w16cid:durableId="14342831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C03"/>
    <w:rsid w:val="00050565"/>
    <w:rsid w:val="000A5F28"/>
    <w:rsid w:val="000B4C03"/>
    <w:rsid w:val="000B5F4C"/>
    <w:rsid w:val="000D0067"/>
    <w:rsid w:val="000F240F"/>
    <w:rsid w:val="00183512"/>
    <w:rsid w:val="001E3F0A"/>
    <w:rsid w:val="003261E0"/>
    <w:rsid w:val="00330AB7"/>
    <w:rsid w:val="00334BF5"/>
    <w:rsid w:val="003950CE"/>
    <w:rsid w:val="003C0DBA"/>
    <w:rsid w:val="003E6993"/>
    <w:rsid w:val="0041647C"/>
    <w:rsid w:val="0043170D"/>
    <w:rsid w:val="004E0902"/>
    <w:rsid w:val="0050352B"/>
    <w:rsid w:val="005A22FE"/>
    <w:rsid w:val="005B6772"/>
    <w:rsid w:val="005D5547"/>
    <w:rsid w:val="006506F2"/>
    <w:rsid w:val="0067484D"/>
    <w:rsid w:val="007B5532"/>
    <w:rsid w:val="007C6381"/>
    <w:rsid w:val="00823582"/>
    <w:rsid w:val="00832A0E"/>
    <w:rsid w:val="00905028"/>
    <w:rsid w:val="0090561B"/>
    <w:rsid w:val="009503B1"/>
    <w:rsid w:val="0095325B"/>
    <w:rsid w:val="00987102"/>
    <w:rsid w:val="00A02E6D"/>
    <w:rsid w:val="00A12650"/>
    <w:rsid w:val="00A62D76"/>
    <w:rsid w:val="00A9777E"/>
    <w:rsid w:val="00AD1768"/>
    <w:rsid w:val="00AD77DD"/>
    <w:rsid w:val="00B87EA8"/>
    <w:rsid w:val="00B9716F"/>
    <w:rsid w:val="00BA17EB"/>
    <w:rsid w:val="00BC230C"/>
    <w:rsid w:val="00BE33E8"/>
    <w:rsid w:val="00BE53DA"/>
    <w:rsid w:val="00C81D9D"/>
    <w:rsid w:val="00C830C8"/>
    <w:rsid w:val="00CB619F"/>
    <w:rsid w:val="00CB7761"/>
    <w:rsid w:val="00D34454"/>
    <w:rsid w:val="00E0301E"/>
    <w:rsid w:val="00E2045D"/>
    <w:rsid w:val="00E510FB"/>
    <w:rsid w:val="00E80CB0"/>
    <w:rsid w:val="00EC13D7"/>
    <w:rsid w:val="00EC6D68"/>
    <w:rsid w:val="00EE0615"/>
    <w:rsid w:val="00F0531A"/>
    <w:rsid w:val="00F25168"/>
    <w:rsid w:val="00F571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EB9D6"/>
  <w15:chartTrackingRefBased/>
  <w15:docId w15:val="{1E49B891-6CAE-8242-8D97-44BD69972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4C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4C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4C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4C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4C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4C0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4C0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4C0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4C0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4C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4C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4C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4C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4C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4C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4C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4C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4C03"/>
    <w:rPr>
      <w:rFonts w:eastAsiaTheme="majorEastAsia" w:cstheme="majorBidi"/>
      <w:color w:val="272727" w:themeColor="text1" w:themeTint="D8"/>
    </w:rPr>
  </w:style>
  <w:style w:type="paragraph" w:styleId="Title">
    <w:name w:val="Title"/>
    <w:basedOn w:val="Normal"/>
    <w:next w:val="Normal"/>
    <w:link w:val="TitleChar"/>
    <w:uiPriority w:val="10"/>
    <w:qFormat/>
    <w:rsid w:val="000B4C0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4C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4C0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4C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4C0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B4C03"/>
    <w:rPr>
      <w:i/>
      <w:iCs/>
      <w:color w:val="404040" w:themeColor="text1" w:themeTint="BF"/>
    </w:rPr>
  </w:style>
  <w:style w:type="paragraph" w:styleId="ListParagraph">
    <w:name w:val="List Paragraph"/>
    <w:basedOn w:val="Normal"/>
    <w:uiPriority w:val="34"/>
    <w:qFormat/>
    <w:rsid w:val="000B4C03"/>
    <w:pPr>
      <w:ind w:left="720"/>
      <w:contextualSpacing/>
    </w:pPr>
  </w:style>
  <w:style w:type="character" w:styleId="IntenseEmphasis">
    <w:name w:val="Intense Emphasis"/>
    <w:basedOn w:val="DefaultParagraphFont"/>
    <w:uiPriority w:val="21"/>
    <w:qFormat/>
    <w:rsid w:val="000B4C03"/>
    <w:rPr>
      <w:i/>
      <w:iCs/>
      <w:color w:val="0F4761" w:themeColor="accent1" w:themeShade="BF"/>
    </w:rPr>
  </w:style>
  <w:style w:type="paragraph" w:styleId="IntenseQuote">
    <w:name w:val="Intense Quote"/>
    <w:basedOn w:val="Normal"/>
    <w:next w:val="Normal"/>
    <w:link w:val="IntenseQuoteChar"/>
    <w:uiPriority w:val="30"/>
    <w:qFormat/>
    <w:rsid w:val="000B4C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4C03"/>
    <w:rPr>
      <w:i/>
      <w:iCs/>
      <w:color w:val="0F4761" w:themeColor="accent1" w:themeShade="BF"/>
    </w:rPr>
  </w:style>
  <w:style w:type="character" w:styleId="IntenseReference">
    <w:name w:val="Intense Reference"/>
    <w:basedOn w:val="DefaultParagraphFont"/>
    <w:uiPriority w:val="32"/>
    <w:qFormat/>
    <w:rsid w:val="000B4C03"/>
    <w:rPr>
      <w:b/>
      <w:bCs/>
      <w:smallCaps/>
      <w:color w:val="0F4761" w:themeColor="accent1" w:themeShade="BF"/>
      <w:spacing w:val="5"/>
    </w:rPr>
  </w:style>
  <w:style w:type="character" w:customStyle="1" w:styleId="apple-converted-space">
    <w:name w:val="apple-converted-space"/>
    <w:basedOn w:val="DefaultParagraphFont"/>
    <w:rsid w:val="000B4C03"/>
  </w:style>
  <w:style w:type="character" w:styleId="Emphasis">
    <w:name w:val="Emphasis"/>
    <w:basedOn w:val="DefaultParagraphFont"/>
    <w:uiPriority w:val="20"/>
    <w:qFormat/>
    <w:rsid w:val="000B4C03"/>
    <w:rPr>
      <w:i/>
      <w:iCs/>
    </w:rPr>
  </w:style>
  <w:style w:type="paragraph" w:styleId="NormalWeb">
    <w:name w:val="Normal (Web)"/>
    <w:basedOn w:val="Normal"/>
    <w:uiPriority w:val="99"/>
    <w:unhideWhenUsed/>
    <w:rsid w:val="000B4C03"/>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0B4C03"/>
    <w:rPr>
      <w:b/>
      <w:bCs/>
    </w:rPr>
  </w:style>
  <w:style w:type="paragraph" w:customStyle="1" w:styleId="p1">
    <w:name w:val="p1"/>
    <w:basedOn w:val="Normal"/>
    <w:rsid w:val="001E3F0A"/>
    <w:pPr>
      <w:spacing w:after="180"/>
    </w:pPr>
    <w:rPr>
      <w:rFonts w:ascii="Ginto Copilot Variable" w:eastAsia="Times New Roman" w:hAnsi="Ginto Copilot Variable" w:cs="Times New Roman"/>
      <w:color w:val="26221F"/>
      <w:kern w:val="0"/>
      <w:sz w:val="23"/>
      <w:szCs w:val="23"/>
      <w:lang w:eastAsia="en-GB"/>
      <w14:ligatures w14:val="none"/>
    </w:rPr>
  </w:style>
  <w:style w:type="character" w:customStyle="1" w:styleId="s1">
    <w:name w:val="s1"/>
    <w:basedOn w:val="DefaultParagraphFont"/>
    <w:rsid w:val="001E3F0A"/>
    <w:rPr>
      <w:spacing w:val="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1674</Words>
  <Characters>9730</Characters>
  <Application>Microsoft Office Word</Application>
  <DocSecurity>0</DocSecurity>
  <Lines>147</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Obadare</dc:creator>
  <cp:keywords/>
  <dc:description/>
  <cp:lastModifiedBy>Daniel Obadare</cp:lastModifiedBy>
  <cp:revision>2</cp:revision>
  <dcterms:created xsi:type="dcterms:W3CDTF">2025-12-05T18:18:00Z</dcterms:created>
  <dcterms:modified xsi:type="dcterms:W3CDTF">2025-12-05T18:18:00Z</dcterms:modified>
</cp:coreProperties>
</file>