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1A0B3F" w14:textId="77777777" w:rsidR="003805F3" w:rsidRPr="00441B4E" w:rsidRDefault="003805F3" w:rsidP="003805F3">
      <w:pPr>
        <w:spacing w:after="160" w:line="259" w:lineRule="auto"/>
        <w:jc w:val="center"/>
        <w:rPr>
          <w:rFonts w:ascii="Arial" w:hAnsi="Arial" w:cs="Arial"/>
          <w:b/>
          <w:bCs/>
          <w:szCs w:val="24"/>
        </w:rPr>
      </w:pPr>
      <w:r w:rsidRPr="00441B4E">
        <w:rPr>
          <w:rFonts w:ascii="Arial" w:hAnsi="Arial" w:cs="Arial"/>
          <w:noProof/>
          <w:szCs w:val="24"/>
        </w:rPr>
        <w:drawing>
          <wp:inline distT="0" distB="0" distL="0" distR="0" wp14:anchorId="11D8C389" wp14:editId="23E39108">
            <wp:extent cx="5020885" cy="2089150"/>
            <wp:effectExtent l="0" t="0" r="8890" b="6350"/>
            <wp:docPr id="1718206506"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46849" cy="2099953"/>
                    </a:xfrm>
                    <a:prstGeom prst="rect">
                      <a:avLst/>
                    </a:prstGeom>
                    <a:noFill/>
                    <a:ln>
                      <a:noFill/>
                    </a:ln>
                  </pic:spPr>
                </pic:pic>
              </a:graphicData>
            </a:graphic>
          </wp:inline>
        </w:drawing>
      </w:r>
    </w:p>
    <w:p w14:paraId="3D393A70" w14:textId="77777777" w:rsidR="003805F3" w:rsidRPr="00441B4E" w:rsidRDefault="003805F3" w:rsidP="003805F3">
      <w:pPr>
        <w:spacing w:after="160" w:line="259" w:lineRule="auto"/>
        <w:jc w:val="center"/>
        <w:rPr>
          <w:rFonts w:ascii="Arial" w:hAnsi="Arial" w:cs="Arial"/>
          <w:b/>
          <w:bCs/>
          <w:szCs w:val="24"/>
        </w:rPr>
      </w:pPr>
    </w:p>
    <w:p w14:paraId="3279776B" w14:textId="702E59D5" w:rsidR="003805F3" w:rsidRPr="00441B4E" w:rsidRDefault="003805F3" w:rsidP="003805F3">
      <w:pPr>
        <w:spacing w:after="160" w:line="259" w:lineRule="auto"/>
        <w:jc w:val="center"/>
        <w:rPr>
          <w:rFonts w:ascii="Arial" w:hAnsi="Arial" w:cs="Arial"/>
          <w:b/>
          <w:bCs/>
          <w:szCs w:val="24"/>
        </w:rPr>
      </w:pPr>
      <w:r w:rsidRPr="00441B4E">
        <w:rPr>
          <w:rFonts w:ascii="Arial" w:hAnsi="Arial" w:cs="Arial"/>
          <w:b/>
          <w:bCs/>
          <w:szCs w:val="24"/>
        </w:rPr>
        <w:t>Strategic CFO Challenge: Saving a Failing Global Firm</w:t>
      </w:r>
    </w:p>
    <w:p w14:paraId="523C791D" w14:textId="77777777" w:rsidR="003805F3" w:rsidRPr="00441B4E" w:rsidRDefault="003805F3" w:rsidP="003805F3">
      <w:pPr>
        <w:spacing w:after="160" w:line="259" w:lineRule="auto"/>
        <w:rPr>
          <w:rFonts w:ascii="Arial" w:hAnsi="Arial" w:cs="Arial"/>
          <w:szCs w:val="24"/>
        </w:rPr>
      </w:pPr>
    </w:p>
    <w:p w14:paraId="7B00E645" w14:textId="77777777" w:rsidR="003805F3" w:rsidRPr="00441B4E" w:rsidRDefault="003805F3" w:rsidP="003805F3">
      <w:pPr>
        <w:spacing w:after="160" w:line="259" w:lineRule="auto"/>
        <w:rPr>
          <w:rFonts w:ascii="Arial" w:hAnsi="Arial" w:cs="Arial"/>
          <w:szCs w:val="24"/>
        </w:rPr>
      </w:pPr>
    </w:p>
    <w:p w14:paraId="30060B74" w14:textId="77777777" w:rsidR="00441B4E" w:rsidRDefault="00441B4E" w:rsidP="00441B4E">
      <w:pPr>
        <w:jc w:val="center"/>
        <w:rPr>
          <w:rFonts w:ascii="Arial" w:hAnsi="Arial" w:cs="Arial"/>
          <w:b/>
          <w:bCs/>
        </w:rPr>
      </w:pPr>
      <w:r>
        <w:rPr>
          <w:rFonts w:ascii="Arial" w:hAnsi="Arial" w:cs="Arial"/>
          <w:b/>
          <w:bCs/>
        </w:rPr>
        <w:t>Student Name: Rahulkumar Vipulkumar Panchal</w:t>
      </w:r>
    </w:p>
    <w:p w14:paraId="72F22AF1" w14:textId="77777777" w:rsidR="00441B4E" w:rsidRDefault="00441B4E" w:rsidP="00441B4E">
      <w:pPr>
        <w:jc w:val="center"/>
        <w:rPr>
          <w:rFonts w:ascii="Arial" w:hAnsi="Arial" w:cs="Arial"/>
          <w:b/>
          <w:bCs/>
        </w:rPr>
      </w:pPr>
      <w:r>
        <w:rPr>
          <w:rFonts w:ascii="Arial" w:hAnsi="Arial" w:cs="Arial"/>
          <w:b/>
          <w:bCs/>
        </w:rPr>
        <w:t>Student ID: 2503884</w:t>
      </w:r>
    </w:p>
    <w:p w14:paraId="4F665C88" w14:textId="77777777" w:rsidR="00441B4E" w:rsidRDefault="00441B4E" w:rsidP="00441B4E">
      <w:pPr>
        <w:jc w:val="center"/>
        <w:rPr>
          <w:rFonts w:ascii="Arial" w:hAnsi="Arial" w:cs="Arial"/>
        </w:rPr>
      </w:pPr>
    </w:p>
    <w:p w14:paraId="24F8A659" w14:textId="54C6375E" w:rsidR="00441B4E" w:rsidRDefault="00441B4E" w:rsidP="00441B4E">
      <w:pPr>
        <w:jc w:val="center"/>
        <w:rPr>
          <w:rFonts w:ascii="Arial" w:hAnsi="Arial" w:cs="Arial"/>
          <w:b/>
          <w:bCs/>
        </w:rPr>
      </w:pPr>
      <w:r>
        <w:rPr>
          <w:rFonts w:ascii="Arial" w:hAnsi="Arial" w:cs="Arial"/>
          <w:b/>
          <w:bCs/>
        </w:rPr>
        <w:t xml:space="preserve">Module Name: </w:t>
      </w:r>
      <w:r w:rsidR="00102B8E">
        <w:rPr>
          <w:rFonts w:ascii="Arial" w:hAnsi="Arial" w:cs="Arial"/>
          <w:b/>
          <w:bCs/>
        </w:rPr>
        <w:t>Financial Management</w:t>
      </w:r>
    </w:p>
    <w:p w14:paraId="72126F1C" w14:textId="48E843EA" w:rsidR="00441B4E" w:rsidRDefault="00441B4E" w:rsidP="00441B4E">
      <w:pPr>
        <w:jc w:val="center"/>
        <w:rPr>
          <w:rFonts w:ascii="Arial" w:hAnsi="Arial" w:cs="Arial"/>
          <w:b/>
          <w:bCs/>
        </w:rPr>
      </w:pPr>
      <w:r>
        <w:rPr>
          <w:rFonts w:ascii="Arial" w:hAnsi="Arial" w:cs="Arial"/>
          <w:b/>
          <w:bCs/>
        </w:rPr>
        <w:t>Module Code: LCMB</w:t>
      </w:r>
      <w:r w:rsidR="00102B8E">
        <w:rPr>
          <w:rFonts w:ascii="Arial" w:hAnsi="Arial" w:cs="Arial"/>
          <w:b/>
          <w:bCs/>
        </w:rPr>
        <w:t>7002</w:t>
      </w:r>
    </w:p>
    <w:p w14:paraId="483D69A7" w14:textId="77777777" w:rsidR="00441B4E" w:rsidRDefault="00441B4E" w:rsidP="00441B4E">
      <w:pPr>
        <w:jc w:val="center"/>
        <w:rPr>
          <w:rFonts w:ascii="Arial" w:hAnsi="Arial" w:cs="Arial"/>
          <w:b/>
          <w:bCs/>
        </w:rPr>
      </w:pPr>
    </w:p>
    <w:p w14:paraId="770AF578" w14:textId="1F421BA6" w:rsidR="00441B4E" w:rsidRDefault="00441B4E" w:rsidP="00441B4E">
      <w:pPr>
        <w:jc w:val="center"/>
        <w:rPr>
          <w:rFonts w:ascii="Arial" w:hAnsi="Arial" w:cs="Arial"/>
          <w:b/>
          <w:bCs/>
        </w:rPr>
      </w:pPr>
      <w:r>
        <w:rPr>
          <w:rFonts w:ascii="Arial" w:hAnsi="Arial" w:cs="Arial"/>
          <w:b/>
          <w:bCs/>
        </w:rPr>
        <w:t xml:space="preserve">Lecturer’s Name: </w:t>
      </w:r>
      <w:r w:rsidR="00102B8E">
        <w:rPr>
          <w:rFonts w:ascii="Arial" w:hAnsi="Arial" w:cs="Arial"/>
          <w:b/>
          <w:bCs/>
        </w:rPr>
        <w:t xml:space="preserve">Dr Shengfeng Mei </w:t>
      </w:r>
    </w:p>
    <w:p w14:paraId="7A77F992" w14:textId="77777777" w:rsidR="00441B4E" w:rsidRDefault="00441B4E" w:rsidP="00441B4E">
      <w:pPr>
        <w:jc w:val="center"/>
        <w:rPr>
          <w:rFonts w:ascii="Arial" w:hAnsi="Arial" w:cs="Arial"/>
          <w:b/>
          <w:bCs/>
        </w:rPr>
      </w:pPr>
    </w:p>
    <w:p w14:paraId="67AE5557" w14:textId="71BC2638" w:rsidR="00441B4E" w:rsidRDefault="00441B4E" w:rsidP="00441B4E">
      <w:pPr>
        <w:jc w:val="center"/>
        <w:rPr>
          <w:rFonts w:ascii="Arial" w:hAnsi="Arial" w:cs="Arial"/>
          <w:b/>
          <w:bCs/>
        </w:rPr>
      </w:pPr>
      <w:r>
        <w:rPr>
          <w:rFonts w:ascii="Arial" w:hAnsi="Arial" w:cs="Arial"/>
          <w:b/>
          <w:bCs/>
        </w:rPr>
        <w:t xml:space="preserve">Work Count: </w:t>
      </w:r>
      <w:r w:rsidR="00102B8E">
        <w:rPr>
          <w:rFonts w:ascii="Arial" w:hAnsi="Arial" w:cs="Arial"/>
          <w:b/>
          <w:bCs/>
        </w:rPr>
        <w:t>5399</w:t>
      </w:r>
      <w:r>
        <w:rPr>
          <w:rFonts w:ascii="Arial" w:hAnsi="Arial" w:cs="Arial"/>
          <w:b/>
          <w:bCs/>
        </w:rPr>
        <w:t xml:space="preserve"> words</w:t>
      </w:r>
    </w:p>
    <w:p w14:paraId="5A133325" w14:textId="048CFC10" w:rsidR="004936F9" w:rsidRDefault="004936F9" w:rsidP="00441B4E">
      <w:pPr>
        <w:jc w:val="center"/>
        <w:rPr>
          <w:rFonts w:ascii="Arial" w:hAnsi="Arial" w:cs="Arial"/>
          <w:b/>
          <w:bCs/>
        </w:rPr>
      </w:pPr>
    </w:p>
    <w:p w14:paraId="2FAEAE6E" w14:textId="77777777" w:rsidR="004936F9" w:rsidRDefault="004936F9" w:rsidP="00441B4E">
      <w:pPr>
        <w:jc w:val="center"/>
        <w:rPr>
          <w:rFonts w:ascii="Arial" w:hAnsi="Arial" w:cs="Arial"/>
          <w:b/>
          <w:bCs/>
        </w:rPr>
      </w:pPr>
    </w:p>
    <w:p w14:paraId="5A1783D9" w14:textId="77777777" w:rsidR="004936F9" w:rsidRDefault="004936F9" w:rsidP="004936F9">
      <w:pPr>
        <w:jc w:val="center"/>
        <w:rPr>
          <w:rFonts w:ascii="Arial" w:hAnsi="Arial" w:cs="Arial"/>
          <w:b/>
          <w:bCs/>
        </w:rPr>
      </w:pPr>
      <w:r>
        <w:rPr>
          <w:rFonts w:ascii="Arial" w:hAnsi="Arial" w:cs="Arial"/>
          <w:b/>
          <w:bCs/>
        </w:rPr>
        <w:t>Term 1</w:t>
      </w:r>
    </w:p>
    <w:p w14:paraId="1FE2C7CB" w14:textId="77777777" w:rsidR="004936F9" w:rsidRDefault="004936F9" w:rsidP="00441B4E">
      <w:pPr>
        <w:jc w:val="center"/>
        <w:rPr>
          <w:rFonts w:ascii="Arial" w:hAnsi="Arial" w:cs="Arial"/>
          <w:b/>
          <w:bCs/>
        </w:rPr>
      </w:pPr>
    </w:p>
    <w:p w14:paraId="7F11F1E6" w14:textId="07DE47A5" w:rsidR="003E73C6" w:rsidRPr="00441B4E" w:rsidRDefault="003E73C6" w:rsidP="003805F3">
      <w:pPr>
        <w:spacing w:after="160" w:line="259" w:lineRule="auto"/>
        <w:jc w:val="center"/>
        <w:rPr>
          <w:rFonts w:ascii="Arial" w:hAnsi="Arial" w:cs="Arial"/>
          <w:b/>
          <w:bCs/>
          <w:szCs w:val="24"/>
        </w:rPr>
      </w:pPr>
      <w:r w:rsidRPr="00441B4E">
        <w:rPr>
          <w:rFonts w:ascii="Arial" w:hAnsi="Arial" w:cs="Arial"/>
          <w:b/>
          <w:bCs/>
          <w:szCs w:val="24"/>
        </w:rPr>
        <w:br w:type="page"/>
      </w:r>
    </w:p>
    <w:sdt>
      <w:sdtPr>
        <w:rPr>
          <w:rFonts w:ascii="Arial" w:hAnsi="Arial" w:cs="Arial"/>
          <w:szCs w:val="24"/>
        </w:rPr>
        <w:id w:val="-1876841990"/>
        <w:docPartObj>
          <w:docPartGallery w:val="Table of Contents"/>
          <w:docPartUnique/>
        </w:docPartObj>
      </w:sdtPr>
      <w:sdtEndPr>
        <w:rPr>
          <w:b/>
          <w:bCs/>
          <w:noProof/>
        </w:rPr>
      </w:sdtEndPr>
      <w:sdtContent>
        <w:p w14:paraId="5227DD5B" w14:textId="77777777" w:rsidR="00102B8E" w:rsidRDefault="00102B8E" w:rsidP="00102B8E">
          <w:pPr>
            <w:spacing w:line="278" w:lineRule="auto"/>
            <w:jc w:val="center"/>
            <w:rPr>
              <w:b/>
              <w:bCs/>
            </w:rPr>
          </w:pPr>
          <w:r>
            <w:rPr>
              <w:rFonts w:ascii="Arial" w:hAnsi="Arial" w:cs="Arial"/>
              <w:szCs w:val="24"/>
            </w:rPr>
            <w:t xml:space="preserve">  </w:t>
          </w:r>
        </w:p>
        <w:p w14:paraId="5E63CF7D" w14:textId="77777777" w:rsidR="00102B8E" w:rsidRDefault="00102B8E" w:rsidP="00102B8E">
          <w:pPr>
            <w:jc w:val="center"/>
            <w:rPr>
              <w:b/>
              <w:bCs/>
              <w:u w:val="single"/>
            </w:rPr>
          </w:pPr>
          <w:r w:rsidRPr="008B04C8">
            <w:rPr>
              <w:b/>
              <w:bCs/>
              <w:u w:val="single"/>
            </w:rPr>
            <w:t>Table of contents</w:t>
          </w:r>
        </w:p>
        <w:p w14:paraId="54C62408" w14:textId="361BC9AC" w:rsidR="00441B4E" w:rsidRPr="00441B4E" w:rsidRDefault="003E73C6" w:rsidP="00441B4E">
          <w:pPr>
            <w:pStyle w:val="TOCHeading"/>
            <w:numPr>
              <w:ilvl w:val="0"/>
              <w:numId w:val="0"/>
            </w:numPr>
            <w:spacing w:line="360" w:lineRule="auto"/>
            <w:ind w:left="432" w:hanging="432"/>
            <w:rPr>
              <w:rFonts w:ascii="Arial" w:hAnsi="Arial" w:cs="Arial"/>
              <w:sz w:val="24"/>
              <w:szCs w:val="24"/>
            </w:rPr>
          </w:pPr>
          <w:r w:rsidRPr="00441B4E">
            <w:rPr>
              <w:rFonts w:ascii="Arial" w:hAnsi="Arial" w:cs="Arial"/>
              <w:sz w:val="24"/>
              <w:szCs w:val="24"/>
            </w:rPr>
            <w:fldChar w:fldCharType="begin"/>
          </w:r>
          <w:r w:rsidRPr="00441B4E">
            <w:rPr>
              <w:rFonts w:ascii="Arial" w:hAnsi="Arial" w:cs="Arial"/>
              <w:sz w:val="24"/>
              <w:szCs w:val="24"/>
            </w:rPr>
            <w:instrText xml:space="preserve"> TOC \o "1-3" \h \z \u </w:instrText>
          </w:r>
          <w:r w:rsidRPr="00441B4E">
            <w:rPr>
              <w:rFonts w:ascii="Arial" w:hAnsi="Arial" w:cs="Arial"/>
              <w:sz w:val="24"/>
              <w:szCs w:val="24"/>
            </w:rPr>
            <w:fldChar w:fldCharType="separate"/>
          </w:r>
        </w:p>
        <w:p w14:paraId="5061368C" w14:textId="481F52CA" w:rsidR="00441B4E" w:rsidRPr="00441B4E" w:rsidRDefault="00384CA1">
          <w:pPr>
            <w:pStyle w:val="TOC1"/>
            <w:tabs>
              <w:tab w:val="left" w:pos="480"/>
            </w:tabs>
            <w:rPr>
              <w:rFonts w:ascii="Arial" w:hAnsi="Arial" w:cs="Arial"/>
              <w:noProof/>
              <w:szCs w:val="24"/>
            </w:rPr>
          </w:pPr>
          <w:hyperlink w:anchor="_Toc216962426" w:history="1">
            <w:r w:rsidR="00441B4E" w:rsidRPr="00441B4E">
              <w:rPr>
                <w:rStyle w:val="Hyperlink"/>
                <w:rFonts w:ascii="Arial" w:hAnsi="Arial" w:cs="Arial"/>
                <w:noProof/>
                <w:szCs w:val="24"/>
              </w:rPr>
              <w:t>1</w:t>
            </w:r>
            <w:r w:rsidR="00441B4E" w:rsidRPr="00441B4E">
              <w:rPr>
                <w:rFonts w:ascii="Arial" w:hAnsi="Arial" w:cs="Arial"/>
                <w:noProof/>
                <w:szCs w:val="24"/>
              </w:rPr>
              <w:tab/>
            </w:r>
            <w:r w:rsidR="00441B4E" w:rsidRPr="00441B4E">
              <w:rPr>
                <w:rStyle w:val="Hyperlink"/>
                <w:rFonts w:ascii="Arial" w:hAnsi="Arial" w:cs="Arial"/>
                <w:noProof/>
                <w:szCs w:val="24"/>
              </w:rPr>
              <w:t>Introduction</w:t>
            </w:r>
            <w:r w:rsidR="00441B4E" w:rsidRPr="00441B4E">
              <w:rPr>
                <w:rFonts w:ascii="Arial" w:hAnsi="Arial" w:cs="Arial"/>
                <w:noProof/>
                <w:webHidden/>
                <w:szCs w:val="24"/>
              </w:rPr>
              <w:tab/>
            </w:r>
            <w:r w:rsidR="00441B4E" w:rsidRPr="00441B4E">
              <w:rPr>
                <w:rFonts w:ascii="Arial" w:hAnsi="Arial" w:cs="Arial"/>
                <w:noProof/>
                <w:webHidden/>
                <w:szCs w:val="24"/>
              </w:rPr>
              <w:fldChar w:fldCharType="begin"/>
            </w:r>
            <w:r w:rsidR="00441B4E" w:rsidRPr="00441B4E">
              <w:rPr>
                <w:rFonts w:ascii="Arial" w:hAnsi="Arial" w:cs="Arial"/>
                <w:noProof/>
                <w:webHidden/>
                <w:szCs w:val="24"/>
              </w:rPr>
              <w:instrText xml:space="preserve"> PAGEREF _Toc216962426 \h </w:instrText>
            </w:r>
            <w:r w:rsidR="00441B4E" w:rsidRPr="00441B4E">
              <w:rPr>
                <w:rFonts w:ascii="Arial" w:hAnsi="Arial" w:cs="Arial"/>
                <w:noProof/>
                <w:webHidden/>
                <w:szCs w:val="24"/>
              </w:rPr>
            </w:r>
            <w:r w:rsidR="00441B4E" w:rsidRPr="00441B4E">
              <w:rPr>
                <w:rFonts w:ascii="Arial" w:hAnsi="Arial" w:cs="Arial"/>
                <w:noProof/>
                <w:webHidden/>
                <w:szCs w:val="24"/>
              </w:rPr>
              <w:fldChar w:fldCharType="separate"/>
            </w:r>
            <w:r w:rsidR="00441B4E" w:rsidRPr="00441B4E">
              <w:rPr>
                <w:rFonts w:ascii="Arial" w:hAnsi="Arial" w:cs="Arial"/>
                <w:noProof/>
                <w:webHidden/>
                <w:szCs w:val="24"/>
              </w:rPr>
              <w:t>4</w:t>
            </w:r>
            <w:r w:rsidR="00441B4E" w:rsidRPr="00441B4E">
              <w:rPr>
                <w:rFonts w:ascii="Arial" w:hAnsi="Arial" w:cs="Arial"/>
                <w:noProof/>
                <w:webHidden/>
                <w:szCs w:val="24"/>
              </w:rPr>
              <w:fldChar w:fldCharType="end"/>
            </w:r>
          </w:hyperlink>
        </w:p>
        <w:p w14:paraId="3C768B6D" w14:textId="6A9E1FC6" w:rsidR="00441B4E" w:rsidRPr="00441B4E" w:rsidRDefault="00384CA1">
          <w:pPr>
            <w:pStyle w:val="TOC1"/>
            <w:tabs>
              <w:tab w:val="left" w:pos="480"/>
            </w:tabs>
            <w:rPr>
              <w:rFonts w:ascii="Arial" w:hAnsi="Arial" w:cs="Arial"/>
              <w:noProof/>
              <w:szCs w:val="24"/>
            </w:rPr>
          </w:pPr>
          <w:hyperlink w:anchor="_Toc216962427" w:history="1">
            <w:r w:rsidR="00441B4E" w:rsidRPr="00441B4E">
              <w:rPr>
                <w:rStyle w:val="Hyperlink"/>
                <w:rFonts w:ascii="Arial" w:hAnsi="Arial" w:cs="Arial"/>
                <w:noProof/>
                <w:szCs w:val="24"/>
              </w:rPr>
              <w:t>2</w:t>
            </w:r>
            <w:r w:rsidR="00441B4E" w:rsidRPr="00441B4E">
              <w:rPr>
                <w:rFonts w:ascii="Arial" w:hAnsi="Arial" w:cs="Arial"/>
                <w:noProof/>
                <w:szCs w:val="24"/>
              </w:rPr>
              <w:tab/>
            </w:r>
            <w:r w:rsidR="00441B4E" w:rsidRPr="00441B4E">
              <w:rPr>
                <w:rStyle w:val="Hyperlink"/>
                <w:rFonts w:ascii="Arial" w:hAnsi="Arial" w:cs="Arial"/>
                <w:noProof/>
                <w:szCs w:val="24"/>
              </w:rPr>
              <w:t>Ratio Analysis</w:t>
            </w:r>
            <w:r w:rsidR="00441B4E" w:rsidRPr="00441B4E">
              <w:rPr>
                <w:rFonts w:ascii="Arial" w:hAnsi="Arial" w:cs="Arial"/>
                <w:noProof/>
                <w:webHidden/>
                <w:szCs w:val="24"/>
              </w:rPr>
              <w:tab/>
            </w:r>
            <w:r w:rsidR="00441B4E" w:rsidRPr="00441B4E">
              <w:rPr>
                <w:rFonts w:ascii="Arial" w:hAnsi="Arial" w:cs="Arial"/>
                <w:noProof/>
                <w:webHidden/>
                <w:szCs w:val="24"/>
              </w:rPr>
              <w:fldChar w:fldCharType="begin"/>
            </w:r>
            <w:r w:rsidR="00441B4E" w:rsidRPr="00441B4E">
              <w:rPr>
                <w:rFonts w:ascii="Arial" w:hAnsi="Arial" w:cs="Arial"/>
                <w:noProof/>
                <w:webHidden/>
                <w:szCs w:val="24"/>
              </w:rPr>
              <w:instrText xml:space="preserve"> PAGEREF _Toc216962427 \h </w:instrText>
            </w:r>
            <w:r w:rsidR="00441B4E" w:rsidRPr="00441B4E">
              <w:rPr>
                <w:rFonts w:ascii="Arial" w:hAnsi="Arial" w:cs="Arial"/>
                <w:noProof/>
                <w:webHidden/>
                <w:szCs w:val="24"/>
              </w:rPr>
            </w:r>
            <w:r w:rsidR="00441B4E" w:rsidRPr="00441B4E">
              <w:rPr>
                <w:rFonts w:ascii="Arial" w:hAnsi="Arial" w:cs="Arial"/>
                <w:noProof/>
                <w:webHidden/>
                <w:szCs w:val="24"/>
              </w:rPr>
              <w:fldChar w:fldCharType="separate"/>
            </w:r>
            <w:r w:rsidR="00441B4E" w:rsidRPr="00441B4E">
              <w:rPr>
                <w:rFonts w:ascii="Arial" w:hAnsi="Arial" w:cs="Arial"/>
                <w:noProof/>
                <w:webHidden/>
                <w:szCs w:val="24"/>
              </w:rPr>
              <w:t>4</w:t>
            </w:r>
            <w:r w:rsidR="00441B4E" w:rsidRPr="00441B4E">
              <w:rPr>
                <w:rFonts w:ascii="Arial" w:hAnsi="Arial" w:cs="Arial"/>
                <w:noProof/>
                <w:webHidden/>
                <w:szCs w:val="24"/>
              </w:rPr>
              <w:fldChar w:fldCharType="end"/>
            </w:r>
          </w:hyperlink>
        </w:p>
        <w:p w14:paraId="2ACFA406" w14:textId="300F5A5F" w:rsidR="00441B4E" w:rsidRPr="00441B4E" w:rsidRDefault="00384CA1">
          <w:pPr>
            <w:pStyle w:val="TOC2"/>
            <w:tabs>
              <w:tab w:val="left" w:pos="880"/>
              <w:tab w:val="right" w:leader="dot" w:pos="9350"/>
            </w:tabs>
            <w:rPr>
              <w:rFonts w:ascii="Arial" w:hAnsi="Arial" w:cs="Arial"/>
              <w:noProof/>
              <w:szCs w:val="24"/>
            </w:rPr>
          </w:pPr>
          <w:hyperlink w:anchor="_Toc216962428" w:history="1">
            <w:r w:rsidR="00441B4E" w:rsidRPr="00441B4E">
              <w:rPr>
                <w:rStyle w:val="Hyperlink"/>
                <w:rFonts w:ascii="Arial" w:hAnsi="Arial" w:cs="Arial"/>
                <w:noProof/>
                <w:szCs w:val="24"/>
              </w:rPr>
              <w:t>2.1</w:t>
            </w:r>
            <w:r w:rsidR="00441B4E" w:rsidRPr="00441B4E">
              <w:rPr>
                <w:rFonts w:ascii="Arial" w:hAnsi="Arial" w:cs="Arial"/>
                <w:noProof/>
                <w:szCs w:val="24"/>
              </w:rPr>
              <w:tab/>
            </w:r>
            <w:r w:rsidR="00441B4E" w:rsidRPr="00441B4E">
              <w:rPr>
                <w:rStyle w:val="Hyperlink"/>
                <w:rFonts w:ascii="Arial" w:hAnsi="Arial" w:cs="Arial"/>
                <w:noProof/>
                <w:szCs w:val="24"/>
              </w:rPr>
              <w:t>Profitability Analysis</w:t>
            </w:r>
            <w:r w:rsidR="00441B4E" w:rsidRPr="00441B4E">
              <w:rPr>
                <w:rFonts w:ascii="Arial" w:hAnsi="Arial" w:cs="Arial"/>
                <w:noProof/>
                <w:webHidden/>
                <w:szCs w:val="24"/>
              </w:rPr>
              <w:tab/>
            </w:r>
            <w:r w:rsidR="00441B4E" w:rsidRPr="00441B4E">
              <w:rPr>
                <w:rFonts w:ascii="Arial" w:hAnsi="Arial" w:cs="Arial"/>
                <w:noProof/>
                <w:webHidden/>
                <w:szCs w:val="24"/>
              </w:rPr>
              <w:fldChar w:fldCharType="begin"/>
            </w:r>
            <w:r w:rsidR="00441B4E" w:rsidRPr="00441B4E">
              <w:rPr>
                <w:rFonts w:ascii="Arial" w:hAnsi="Arial" w:cs="Arial"/>
                <w:noProof/>
                <w:webHidden/>
                <w:szCs w:val="24"/>
              </w:rPr>
              <w:instrText xml:space="preserve"> PAGEREF _Toc216962428 \h </w:instrText>
            </w:r>
            <w:r w:rsidR="00441B4E" w:rsidRPr="00441B4E">
              <w:rPr>
                <w:rFonts w:ascii="Arial" w:hAnsi="Arial" w:cs="Arial"/>
                <w:noProof/>
                <w:webHidden/>
                <w:szCs w:val="24"/>
              </w:rPr>
            </w:r>
            <w:r w:rsidR="00441B4E" w:rsidRPr="00441B4E">
              <w:rPr>
                <w:rFonts w:ascii="Arial" w:hAnsi="Arial" w:cs="Arial"/>
                <w:noProof/>
                <w:webHidden/>
                <w:szCs w:val="24"/>
              </w:rPr>
              <w:fldChar w:fldCharType="separate"/>
            </w:r>
            <w:r w:rsidR="00441B4E" w:rsidRPr="00441B4E">
              <w:rPr>
                <w:rFonts w:ascii="Arial" w:hAnsi="Arial" w:cs="Arial"/>
                <w:noProof/>
                <w:webHidden/>
                <w:szCs w:val="24"/>
              </w:rPr>
              <w:t>5</w:t>
            </w:r>
            <w:r w:rsidR="00441B4E" w:rsidRPr="00441B4E">
              <w:rPr>
                <w:rFonts w:ascii="Arial" w:hAnsi="Arial" w:cs="Arial"/>
                <w:noProof/>
                <w:webHidden/>
                <w:szCs w:val="24"/>
              </w:rPr>
              <w:fldChar w:fldCharType="end"/>
            </w:r>
          </w:hyperlink>
        </w:p>
        <w:p w14:paraId="7AD44255" w14:textId="53376B2E" w:rsidR="00441B4E" w:rsidRPr="00441B4E" w:rsidRDefault="00384CA1">
          <w:pPr>
            <w:pStyle w:val="TOC2"/>
            <w:tabs>
              <w:tab w:val="left" w:pos="880"/>
              <w:tab w:val="right" w:leader="dot" w:pos="9350"/>
            </w:tabs>
            <w:rPr>
              <w:rFonts w:ascii="Arial" w:hAnsi="Arial" w:cs="Arial"/>
              <w:noProof/>
              <w:szCs w:val="24"/>
            </w:rPr>
          </w:pPr>
          <w:hyperlink w:anchor="_Toc216962429" w:history="1">
            <w:r w:rsidR="00441B4E" w:rsidRPr="00441B4E">
              <w:rPr>
                <w:rStyle w:val="Hyperlink"/>
                <w:rFonts w:ascii="Arial" w:hAnsi="Arial" w:cs="Arial"/>
                <w:noProof/>
                <w:szCs w:val="24"/>
              </w:rPr>
              <w:t>2.2</w:t>
            </w:r>
            <w:r w:rsidR="00441B4E" w:rsidRPr="00441B4E">
              <w:rPr>
                <w:rFonts w:ascii="Arial" w:hAnsi="Arial" w:cs="Arial"/>
                <w:noProof/>
                <w:szCs w:val="24"/>
              </w:rPr>
              <w:tab/>
            </w:r>
            <w:r w:rsidR="00441B4E" w:rsidRPr="00441B4E">
              <w:rPr>
                <w:rStyle w:val="Hyperlink"/>
                <w:rFonts w:ascii="Arial" w:hAnsi="Arial" w:cs="Arial"/>
                <w:noProof/>
                <w:szCs w:val="24"/>
              </w:rPr>
              <w:t>Liquidity Analysis</w:t>
            </w:r>
            <w:r w:rsidR="00441B4E" w:rsidRPr="00441B4E">
              <w:rPr>
                <w:rFonts w:ascii="Arial" w:hAnsi="Arial" w:cs="Arial"/>
                <w:noProof/>
                <w:webHidden/>
                <w:szCs w:val="24"/>
              </w:rPr>
              <w:tab/>
            </w:r>
            <w:r w:rsidR="00441B4E" w:rsidRPr="00441B4E">
              <w:rPr>
                <w:rFonts w:ascii="Arial" w:hAnsi="Arial" w:cs="Arial"/>
                <w:noProof/>
                <w:webHidden/>
                <w:szCs w:val="24"/>
              </w:rPr>
              <w:fldChar w:fldCharType="begin"/>
            </w:r>
            <w:r w:rsidR="00441B4E" w:rsidRPr="00441B4E">
              <w:rPr>
                <w:rFonts w:ascii="Arial" w:hAnsi="Arial" w:cs="Arial"/>
                <w:noProof/>
                <w:webHidden/>
                <w:szCs w:val="24"/>
              </w:rPr>
              <w:instrText xml:space="preserve"> PAGEREF _Toc216962429 \h </w:instrText>
            </w:r>
            <w:r w:rsidR="00441B4E" w:rsidRPr="00441B4E">
              <w:rPr>
                <w:rFonts w:ascii="Arial" w:hAnsi="Arial" w:cs="Arial"/>
                <w:noProof/>
                <w:webHidden/>
                <w:szCs w:val="24"/>
              </w:rPr>
            </w:r>
            <w:r w:rsidR="00441B4E" w:rsidRPr="00441B4E">
              <w:rPr>
                <w:rFonts w:ascii="Arial" w:hAnsi="Arial" w:cs="Arial"/>
                <w:noProof/>
                <w:webHidden/>
                <w:szCs w:val="24"/>
              </w:rPr>
              <w:fldChar w:fldCharType="separate"/>
            </w:r>
            <w:r w:rsidR="00441B4E" w:rsidRPr="00441B4E">
              <w:rPr>
                <w:rFonts w:ascii="Arial" w:hAnsi="Arial" w:cs="Arial"/>
                <w:noProof/>
                <w:webHidden/>
                <w:szCs w:val="24"/>
              </w:rPr>
              <w:t>6</w:t>
            </w:r>
            <w:r w:rsidR="00441B4E" w:rsidRPr="00441B4E">
              <w:rPr>
                <w:rFonts w:ascii="Arial" w:hAnsi="Arial" w:cs="Arial"/>
                <w:noProof/>
                <w:webHidden/>
                <w:szCs w:val="24"/>
              </w:rPr>
              <w:fldChar w:fldCharType="end"/>
            </w:r>
          </w:hyperlink>
        </w:p>
        <w:p w14:paraId="3C01B402" w14:textId="379680B0" w:rsidR="00441B4E" w:rsidRPr="00441B4E" w:rsidRDefault="00384CA1">
          <w:pPr>
            <w:pStyle w:val="TOC2"/>
            <w:tabs>
              <w:tab w:val="left" w:pos="880"/>
              <w:tab w:val="right" w:leader="dot" w:pos="9350"/>
            </w:tabs>
            <w:rPr>
              <w:rFonts w:ascii="Arial" w:hAnsi="Arial" w:cs="Arial"/>
              <w:noProof/>
              <w:szCs w:val="24"/>
            </w:rPr>
          </w:pPr>
          <w:hyperlink w:anchor="_Toc216962430" w:history="1">
            <w:r w:rsidR="00441B4E" w:rsidRPr="00441B4E">
              <w:rPr>
                <w:rStyle w:val="Hyperlink"/>
                <w:rFonts w:ascii="Arial" w:hAnsi="Arial" w:cs="Arial"/>
                <w:noProof/>
                <w:szCs w:val="24"/>
              </w:rPr>
              <w:t>2.3</w:t>
            </w:r>
            <w:r w:rsidR="00441B4E" w:rsidRPr="00441B4E">
              <w:rPr>
                <w:rFonts w:ascii="Arial" w:hAnsi="Arial" w:cs="Arial"/>
                <w:noProof/>
                <w:szCs w:val="24"/>
              </w:rPr>
              <w:tab/>
            </w:r>
            <w:r w:rsidR="00441B4E" w:rsidRPr="00441B4E">
              <w:rPr>
                <w:rStyle w:val="Hyperlink"/>
                <w:rFonts w:ascii="Arial" w:hAnsi="Arial" w:cs="Arial"/>
                <w:noProof/>
                <w:szCs w:val="24"/>
              </w:rPr>
              <w:t>Efficiency Analysis</w:t>
            </w:r>
            <w:r w:rsidR="00441B4E" w:rsidRPr="00441B4E">
              <w:rPr>
                <w:rFonts w:ascii="Arial" w:hAnsi="Arial" w:cs="Arial"/>
                <w:noProof/>
                <w:webHidden/>
                <w:szCs w:val="24"/>
              </w:rPr>
              <w:tab/>
            </w:r>
            <w:r w:rsidR="00441B4E" w:rsidRPr="00441B4E">
              <w:rPr>
                <w:rFonts w:ascii="Arial" w:hAnsi="Arial" w:cs="Arial"/>
                <w:noProof/>
                <w:webHidden/>
                <w:szCs w:val="24"/>
              </w:rPr>
              <w:fldChar w:fldCharType="begin"/>
            </w:r>
            <w:r w:rsidR="00441B4E" w:rsidRPr="00441B4E">
              <w:rPr>
                <w:rFonts w:ascii="Arial" w:hAnsi="Arial" w:cs="Arial"/>
                <w:noProof/>
                <w:webHidden/>
                <w:szCs w:val="24"/>
              </w:rPr>
              <w:instrText xml:space="preserve"> PAGEREF _Toc216962430 \h </w:instrText>
            </w:r>
            <w:r w:rsidR="00441B4E" w:rsidRPr="00441B4E">
              <w:rPr>
                <w:rFonts w:ascii="Arial" w:hAnsi="Arial" w:cs="Arial"/>
                <w:noProof/>
                <w:webHidden/>
                <w:szCs w:val="24"/>
              </w:rPr>
            </w:r>
            <w:r w:rsidR="00441B4E" w:rsidRPr="00441B4E">
              <w:rPr>
                <w:rFonts w:ascii="Arial" w:hAnsi="Arial" w:cs="Arial"/>
                <w:noProof/>
                <w:webHidden/>
                <w:szCs w:val="24"/>
              </w:rPr>
              <w:fldChar w:fldCharType="separate"/>
            </w:r>
            <w:r w:rsidR="00441B4E" w:rsidRPr="00441B4E">
              <w:rPr>
                <w:rFonts w:ascii="Arial" w:hAnsi="Arial" w:cs="Arial"/>
                <w:noProof/>
                <w:webHidden/>
                <w:szCs w:val="24"/>
              </w:rPr>
              <w:t>7</w:t>
            </w:r>
            <w:r w:rsidR="00441B4E" w:rsidRPr="00441B4E">
              <w:rPr>
                <w:rFonts w:ascii="Arial" w:hAnsi="Arial" w:cs="Arial"/>
                <w:noProof/>
                <w:webHidden/>
                <w:szCs w:val="24"/>
              </w:rPr>
              <w:fldChar w:fldCharType="end"/>
            </w:r>
          </w:hyperlink>
        </w:p>
        <w:p w14:paraId="286397C1" w14:textId="6DEFD1D5" w:rsidR="00441B4E" w:rsidRPr="00441B4E" w:rsidRDefault="00384CA1">
          <w:pPr>
            <w:pStyle w:val="TOC2"/>
            <w:tabs>
              <w:tab w:val="left" w:pos="880"/>
              <w:tab w:val="right" w:leader="dot" w:pos="9350"/>
            </w:tabs>
            <w:rPr>
              <w:rFonts w:ascii="Arial" w:hAnsi="Arial" w:cs="Arial"/>
              <w:noProof/>
              <w:szCs w:val="24"/>
            </w:rPr>
          </w:pPr>
          <w:hyperlink w:anchor="_Toc216962431" w:history="1">
            <w:r w:rsidR="00441B4E" w:rsidRPr="00441B4E">
              <w:rPr>
                <w:rStyle w:val="Hyperlink"/>
                <w:rFonts w:ascii="Arial" w:hAnsi="Arial" w:cs="Arial"/>
                <w:noProof/>
                <w:szCs w:val="24"/>
              </w:rPr>
              <w:t>2.4</w:t>
            </w:r>
            <w:r w:rsidR="00441B4E" w:rsidRPr="00441B4E">
              <w:rPr>
                <w:rFonts w:ascii="Arial" w:hAnsi="Arial" w:cs="Arial"/>
                <w:noProof/>
                <w:szCs w:val="24"/>
              </w:rPr>
              <w:tab/>
            </w:r>
            <w:r w:rsidR="00441B4E" w:rsidRPr="00441B4E">
              <w:rPr>
                <w:rStyle w:val="Hyperlink"/>
                <w:rFonts w:ascii="Arial" w:hAnsi="Arial" w:cs="Arial"/>
                <w:noProof/>
                <w:szCs w:val="24"/>
              </w:rPr>
              <w:t>Gearing (Leverage) Analysis</w:t>
            </w:r>
            <w:r w:rsidR="00441B4E" w:rsidRPr="00441B4E">
              <w:rPr>
                <w:rFonts w:ascii="Arial" w:hAnsi="Arial" w:cs="Arial"/>
                <w:noProof/>
                <w:webHidden/>
                <w:szCs w:val="24"/>
              </w:rPr>
              <w:tab/>
            </w:r>
            <w:r w:rsidR="00441B4E" w:rsidRPr="00441B4E">
              <w:rPr>
                <w:rFonts w:ascii="Arial" w:hAnsi="Arial" w:cs="Arial"/>
                <w:noProof/>
                <w:webHidden/>
                <w:szCs w:val="24"/>
              </w:rPr>
              <w:fldChar w:fldCharType="begin"/>
            </w:r>
            <w:r w:rsidR="00441B4E" w:rsidRPr="00441B4E">
              <w:rPr>
                <w:rFonts w:ascii="Arial" w:hAnsi="Arial" w:cs="Arial"/>
                <w:noProof/>
                <w:webHidden/>
                <w:szCs w:val="24"/>
              </w:rPr>
              <w:instrText xml:space="preserve"> PAGEREF _Toc216962431 \h </w:instrText>
            </w:r>
            <w:r w:rsidR="00441B4E" w:rsidRPr="00441B4E">
              <w:rPr>
                <w:rFonts w:ascii="Arial" w:hAnsi="Arial" w:cs="Arial"/>
                <w:noProof/>
                <w:webHidden/>
                <w:szCs w:val="24"/>
              </w:rPr>
            </w:r>
            <w:r w:rsidR="00441B4E" w:rsidRPr="00441B4E">
              <w:rPr>
                <w:rFonts w:ascii="Arial" w:hAnsi="Arial" w:cs="Arial"/>
                <w:noProof/>
                <w:webHidden/>
                <w:szCs w:val="24"/>
              </w:rPr>
              <w:fldChar w:fldCharType="separate"/>
            </w:r>
            <w:r w:rsidR="00441B4E" w:rsidRPr="00441B4E">
              <w:rPr>
                <w:rFonts w:ascii="Arial" w:hAnsi="Arial" w:cs="Arial"/>
                <w:noProof/>
                <w:webHidden/>
                <w:szCs w:val="24"/>
              </w:rPr>
              <w:t>8</w:t>
            </w:r>
            <w:r w:rsidR="00441B4E" w:rsidRPr="00441B4E">
              <w:rPr>
                <w:rFonts w:ascii="Arial" w:hAnsi="Arial" w:cs="Arial"/>
                <w:noProof/>
                <w:webHidden/>
                <w:szCs w:val="24"/>
              </w:rPr>
              <w:fldChar w:fldCharType="end"/>
            </w:r>
          </w:hyperlink>
        </w:p>
        <w:p w14:paraId="0FC19797" w14:textId="5C64A4FC" w:rsidR="00441B4E" w:rsidRPr="00441B4E" w:rsidRDefault="00384CA1">
          <w:pPr>
            <w:pStyle w:val="TOC2"/>
            <w:tabs>
              <w:tab w:val="left" w:pos="880"/>
              <w:tab w:val="right" w:leader="dot" w:pos="9350"/>
            </w:tabs>
            <w:rPr>
              <w:rFonts w:ascii="Arial" w:hAnsi="Arial" w:cs="Arial"/>
              <w:noProof/>
              <w:szCs w:val="24"/>
            </w:rPr>
          </w:pPr>
          <w:hyperlink w:anchor="_Toc216962432" w:history="1">
            <w:r w:rsidR="00441B4E" w:rsidRPr="00441B4E">
              <w:rPr>
                <w:rStyle w:val="Hyperlink"/>
                <w:rFonts w:ascii="Arial" w:hAnsi="Arial" w:cs="Arial"/>
                <w:noProof/>
                <w:szCs w:val="24"/>
              </w:rPr>
              <w:t>2.5</w:t>
            </w:r>
            <w:r w:rsidR="00441B4E" w:rsidRPr="00441B4E">
              <w:rPr>
                <w:rFonts w:ascii="Arial" w:hAnsi="Arial" w:cs="Arial"/>
                <w:noProof/>
                <w:szCs w:val="24"/>
              </w:rPr>
              <w:tab/>
            </w:r>
            <w:r w:rsidR="00441B4E" w:rsidRPr="00441B4E">
              <w:rPr>
                <w:rStyle w:val="Hyperlink"/>
                <w:rFonts w:ascii="Arial" w:hAnsi="Arial" w:cs="Arial"/>
                <w:noProof/>
                <w:szCs w:val="24"/>
              </w:rPr>
              <w:t>Investment and Cash Flow Analysis</w:t>
            </w:r>
            <w:r w:rsidR="00441B4E" w:rsidRPr="00441B4E">
              <w:rPr>
                <w:rFonts w:ascii="Arial" w:hAnsi="Arial" w:cs="Arial"/>
                <w:noProof/>
                <w:webHidden/>
                <w:szCs w:val="24"/>
              </w:rPr>
              <w:tab/>
            </w:r>
            <w:r w:rsidR="00441B4E" w:rsidRPr="00441B4E">
              <w:rPr>
                <w:rFonts w:ascii="Arial" w:hAnsi="Arial" w:cs="Arial"/>
                <w:noProof/>
                <w:webHidden/>
                <w:szCs w:val="24"/>
              </w:rPr>
              <w:fldChar w:fldCharType="begin"/>
            </w:r>
            <w:r w:rsidR="00441B4E" w:rsidRPr="00441B4E">
              <w:rPr>
                <w:rFonts w:ascii="Arial" w:hAnsi="Arial" w:cs="Arial"/>
                <w:noProof/>
                <w:webHidden/>
                <w:szCs w:val="24"/>
              </w:rPr>
              <w:instrText xml:space="preserve"> PAGEREF _Toc216962432 \h </w:instrText>
            </w:r>
            <w:r w:rsidR="00441B4E" w:rsidRPr="00441B4E">
              <w:rPr>
                <w:rFonts w:ascii="Arial" w:hAnsi="Arial" w:cs="Arial"/>
                <w:noProof/>
                <w:webHidden/>
                <w:szCs w:val="24"/>
              </w:rPr>
            </w:r>
            <w:r w:rsidR="00441B4E" w:rsidRPr="00441B4E">
              <w:rPr>
                <w:rFonts w:ascii="Arial" w:hAnsi="Arial" w:cs="Arial"/>
                <w:noProof/>
                <w:webHidden/>
                <w:szCs w:val="24"/>
              </w:rPr>
              <w:fldChar w:fldCharType="separate"/>
            </w:r>
            <w:r w:rsidR="00441B4E" w:rsidRPr="00441B4E">
              <w:rPr>
                <w:rFonts w:ascii="Arial" w:hAnsi="Arial" w:cs="Arial"/>
                <w:noProof/>
                <w:webHidden/>
                <w:szCs w:val="24"/>
              </w:rPr>
              <w:t>8</w:t>
            </w:r>
            <w:r w:rsidR="00441B4E" w:rsidRPr="00441B4E">
              <w:rPr>
                <w:rFonts w:ascii="Arial" w:hAnsi="Arial" w:cs="Arial"/>
                <w:noProof/>
                <w:webHidden/>
                <w:szCs w:val="24"/>
              </w:rPr>
              <w:fldChar w:fldCharType="end"/>
            </w:r>
          </w:hyperlink>
        </w:p>
        <w:p w14:paraId="10E1327B" w14:textId="33762500" w:rsidR="00441B4E" w:rsidRPr="00441B4E" w:rsidRDefault="00384CA1">
          <w:pPr>
            <w:pStyle w:val="TOC2"/>
            <w:tabs>
              <w:tab w:val="left" w:pos="880"/>
              <w:tab w:val="right" w:leader="dot" w:pos="9350"/>
            </w:tabs>
            <w:rPr>
              <w:rFonts w:ascii="Arial" w:hAnsi="Arial" w:cs="Arial"/>
              <w:noProof/>
              <w:szCs w:val="24"/>
            </w:rPr>
          </w:pPr>
          <w:hyperlink w:anchor="_Toc216962433" w:history="1">
            <w:r w:rsidR="00441B4E" w:rsidRPr="00441B4E">
              <w:rPr>
                <w:rStyle w:val="Hyperlink"/>
                <w:rFonts w:ascii="Arial" w:hAnsi="Arial" w:cs="Arial"/>
                <w:noProof/>
                <w:szCs w:val="24"/>
              </w:rPr>
              <w:t>2.6</w:t>
            </w:r>
            <w:r w:rsidR="00441B4E" w:rsidRPr="00441B4E">
              <w:rPr>
                <w:rFonts w:ascii="Arial" w:hAnsi="Arial" w:cs="Arial"/>
                <w:noProof/>
                <w:szCs w:val="24"/>
              </w:rPr>
              <w:tab/>
            </w:r>
            <w:r w:rsidR="00441B4E" w:rsidRPr="00441B4E">
              <w:rPr>
                <w:rStyle w:val="Hyperlink"/>
                <w:rFonts w:ascii="Arial" w:hAnsi="Arial" w:cs="Arial"/>
                <w:noProof/>
                <w:szCs w:val="24"/>
                <w:shd w:val="clear" w:color="auto" w:fill="FFFFFF"/>
              </w:rPr>
              <w:t>Altman Z-Score</w:t>
            </w:r>
            <w:r w:rsidR="00441B4E" w:rsidRPr="00441B4E">
              <w:rPr>
                <w:rFonts w:ascii="Arial" w:hAnsi="Arial" w:cs="Arial"/>
                <w:noProof/>
                <w:webHidden/>
                <w:szCs w:val="24"/>
              </w:rPr>
              <w:tab/>
            </w:r>
            <w:r w:rsidR="00441B4E" w:rsidRPr="00441B4E">
              <w:rPr>
                <w:rFonts w:ascii="Arial" w:hAnsi="Arial" w:cs="Arial"/>
                <w:noProof/>
                <w:webHidden/>
                <w:szCs w:val="24"/>
              </w:rPr>
              <w:fldChar w:fldCharType="begin"/>
            </w:r>
            <w:r w:rsidR="00441B4E" w:rsidRPr="00441B4E">
              <w:rPr>
                <w:rFonts w:ascii="Arial" w:hAnsi="Arial" w:cs="Arial"/>
                <w:noProof/>
                <w:webHidden/>
                <w:szCs w:val="24"/>
              </w:rPr>
              <w:instrText xml:space="preserve"> PAGEREF _Toc216962433 \h </w:instrText>
            </w:r>
            <w:r w:rsidR="00441B4E" w:rsidRPr="00441B4E">
              <w:rPr>
                <w:rFonts w:ascii="Arial" w:hAnsi="Arial" w:cs="Arial"/>
                <w:noProof/>
                <w:webHidden/>
                <w:szCs w:val="24"/>
              </w:rPr>
            </w:r>
            <w:r w:rsidR="00441B4E" w:rsidRPr="00441B4E">
              <w:rPr>
                <w:rFonts w:ascii="Arial" w:hAnsi="Arial" w:cs="Arial"/>
                <w:noProof/>
                <w:webHidden/>
                <w:szCs w:val="24"/>
              </w:rPr>
              <w:fldChar w:fldCharType="separate"/>
            </w:r>
            <w:r w:rsidR="00441B4E" w:rsidRPr="00441B4E">
              <w:rPr>
                <w:rFonts w:ascii="Arial" w:hAnsi="Arial" w:cs="Arial"/>
                <w:noProof/>
                <w:webHidden/>
                <w:szCs w:val="24"/>
              </w:rPr>
              <w:t>9</w:t>
            </w:r>
            <w:r w:rsidR="00441B4E" w:rsidRPr="00441B4E">
              <w:rPr>
                <w:rFonts w:ascii="Arial" w:hAnsi="Arial" w:cs="Arial"/>
                <w:noProof/>
                <w:webHidden/>
                <w:szCs w:val="24"/>
              </w:rPr>
              <w:fldChar w:fldCharType="end"/>
            </w:r>
          </w:hyperlink>
        </w:p>
        <w:p w14:paraId="2A5A5C1F" w14:textId="69B9C8D1" w:rsidR="00441B4E" w:rsidRPr="00441B4E" w:rsidRDefault="00384CA1">
          <w:pPr>
            <w:pStyle w:val="TOC1"/>
            <w:tabs>
              <w:tab w:val="left" w:pos="480"/>
            </w:tabs>
            <w:rPr>
              <w:rFonts w:ascii="Arial" w:hAnsi="Arial" w:cs="Arial"/>
              <w:noProof/>
              <w:szCs w:val="24"/>
            </w:rPr>
          </w:pPr>
          <w:hyperlink w:anchor="_Toc216962434" w:history="1">
            <w:r w:rsidR="00441B4E" w:rsidRPr="00441B4E">
              <w:rPr>
                <w:rStyle w:val="Hyperlink"/>
                <w:rFonts w:ascii="Arial" w:hAnsi="Arial" w:cs="Arial"/>
                <w:noProof/>
                <w:szCs w:val="24"/>
              </w:rPr>
              <w:t>3</w:t>
            </w:r>
            <w:r w:rsidR="00441B4E" w:rsidRPr="00441B4E">
              <w:rPr>
                <w:rFonts w:ascii="Arial" w:hAnsi="Arial" w:cs="Arial"/>
                <w:noProof/>
                <w:szCs w:val="24"/>
              </w:rPr>
              <w:tab/>
            </w:r>
            <w:r w:rsidR="00441B4E" w:rsidRPr="00441B4E">
              <w:rPr>
                <w:rStyle w:val="Hyperlink"/>
                <w:rFonts w:ascii="Arial" w:hAnsi="Arial" w:cs="Arial"/>
                <w:noProof/>
                <w:szCs w:val="24"/>
              </w:rPr>
              <w:t>Working Capital Management Analysis.</w:t>
            </w:r>
            <w:r w:rsidR="00441B4E" w:rsidRPr="00441B4E">
              <w:rPr>
                <w:rFonts w:ascii="Arial" w:hAnsi="Arial" w:cs="Arial"/>
                <w:noProof/>
                <w:webHidden/>
                <w:szCs w:val="24"/>
              </w:rPr>
              <w:tab/>
            </w:r>
            <w:r w:rsidR="00441B4E" w:rsidRPr="00441B4E">
              <w:rPr>
                <w:rFonts w:ascii="Arial" w:hAnsi="Arial" w:cs="Arial"/>
                <w:noProof/>
                <w:webHidden/>
                <w:szCs w:val="24"/>
              </w:rPr>
              <w:fldChar w:fldCharType="begin"/>
            </w:r>
            <w:r w:rsidR="00441B4E" w:rsidRPr="00441B4E">
              <w:rPr>
                <w:rFonts w:ascii="Arial" w:hAnsi="Arial" w:cs="Arial"/>
                <w:noProof/>
                <w:webHidden/>
                <w:szCs w:val="24"/>
              </w:rPr>
              <w:instrText xml:space="preserve"> PAGEREF _Toc216962434 \h </w:instrText>
            </w:r>
            <w:r w:rsidR="00441B4E" w:rsidRPr="00441B4E">
              <w:rPr>
                <w:rFonts w:ascii="Arial" w:hAnsi="Arial" w:cs="Arial"/>
                <w:noProof/>
                <w:webHidden/>
                <w:szCs w:val="24"/>
              </w:rPr>
            </w:r>
            <w:r w:rsidR="00441B4E" w:rsidRPr="00441B4E">
              <w:rPr>
                <w:rFonts w:ascii="Arial" w:hAnsi="Arial" w:cs="Arial"/>
                <w:noProof/>
                <w:webHidden/>
                <w:szCs w:val="24"/>
              </w:rPr>
              <w:fldChar w:fldCharType="separate"/>
            </w:r>
            <w:r w:rsidR="00441B4E" w:rsidRPr="00441B4E">
              <w:rPr>
                <w:rFonts w:ascii="Arial" w:hAnsi="Arial" w:cs="Arial"/>
                <w:noProof/>
                <w:webHidden/>
                <w:szCs w:val="24"/>
              </w:rPr>
              <w:t>9</w:t>
            </w:r>
            <w:r w:rsidR="00441B4E" w:rsidRPr="00441B4E">
              <w:rPr>
                <w:rFonts w:ascii="Arial" w:hAnsi="Arial" w:cs="Arial"/>
                <w:noProof/>
                <w:webHidden/>
                <w:szCs w:val="24"/>
              </w:rPr>
              <w:fldChar w:fldCharType="end"/>
            </w:r>
          </w:hyperlink>
        </w:p>
        <w:p w14:paraId="678CD705" w14:textId="7E260BD4" w:rsidR="00441B4E" w:rsidRPr="00441B4E" w:rsidRDefault="00384CA1">
          <w:pPr>
            <w:pStyle w:val="TOC2"/>
            <w:tabs>
              <w:tab w:val="left" w:pos="880"/>
              <w:tab w:val="right" w:leader="dot" w:pos="9350"/>
            </w:tabs>
            <w:rPr>
              <w:rFonts w:ascii="Arial" w:hAnsi="Arial" w:cs="Arial"/>
              <w:noProof/>
              <w:szCs w:val="24"/>
            </w:rPr>
          </w:pPr>
          <w:hyperlink w:anchor="_Toc216962435" w:history="1">
            <w:r w:rsidR="00441B4E" w:rsidRPr="00441B4E">
              <w:rPr>
                <w:rStyle w:val="Hyperlink"/>
                <w:rFonts w:ascii="Arial" w:hAnsi="Arial" w:cs="Arial"/>
                <w:noProof/>
                <w:szCs w:val="24"/>
              </w:rPr>
              <w:t>3.1</w:t>
            </w:r>
            <w:r w:rsidR="00441B4E" w:rsidRPr="00441B4E">
              <w:rPr>
                <w:rFonts w:ascii="Arial" w:hAnsi="Arial" w:cs="Arial"/>
                <w:noProof/>
                <w:szCs w:val="24"/>
              </w:rPr>
              <w:tab/>
            </w:r>
            <w:r w:rsidR="00441B4E" w:rsidRPr="00441B4E">
              <w:rPr>
                <w:rStyle w:val="Hyperlink"/>
                <w:rFonts w:ascii="Arial" w:hAnsi="Arial" w:cs="Arial"/>
                <w:noProof/>
                <w:szCs w:val="24"/>
              </w:rPr>
              <w:t>Evaluation of the Cash Operating Cycle</w:t>
            </w:r>
            <w:r w:rsidR="00441B4E" w:rsidRPr="00441B4E">
              <w:rPr>
                <w:rFonts w:ascii="Arial" w:hAnsi="Arial" w:cs="Arial"/>
                <w:noProof/>
                <w:webHidden/>
                <w:szCs w:val="24"/>
              </w:rPr>
              <w:tab/>
            </w:r>
            <w:r w:rsidR="00441B4E" w:rsidRPr="00441B4E">
              <w:rPr>
                <w:rFonts w:ascii="Arial" w:hAnsi="Arial" w:cs="Arial"/>
                <w:noProof/>
                <w:webHidden/>
                <w:szCs w:val="24"/>
              </w:rPr>
              <w:fldChar w:fldCharType="begin"/>
            </w:r>
            <w:r w:rsidR="00441B4E" w:rsidRPr="00441B4E">
              <w:rPr>
                <w:rFonts w:ascii="Arial" w:hAnsi="Arial" w:cs="Arial"/>
                <w:noProof/>
                <w:webHidden/>
                <w:szCs w:val="24"/>
              </w:rPr>
              <w:instrText xml:space="preserve"> PAGEREF _Toc216962435 \h </w:instrText>
            </w:r>
            <w:r w:rsidR="00441B4E" w:rsidRPr="00441B4E">
              <w:rPr>
                <w:rFonts w:ascii="Arial" w:hAnsi="Arial" w:cs="Arial"/>
                <w:noProof/>
                <w:webHidden/>
                <w:szCs w:val="24"/>
              </w:rPr>
            </w:r>
            <w:r w:rsidR="00441B4E" w:rsidRPr="00441B4E">
              <w:rPr>
                <w:rFonts w:ascii="Arial" w:hAnsi="Arial" w:cs="Arial"/>
                <w:noProof/>
                <w:webHidden/>
                <w:szCs w:val="24"/>
              </w:rPr>
              <w:fldChar w:fldCharType="separate"/>
            </w:r>
            <w:r w:rsidR="00441B4E" w:rsidRPr="00441B4E">
              <w:rPr>
                <w:rFonts w:ascii="Arial" w:hAnsi="Arial" w:cs="Arial"/>
                <w:noProof/>
                <w:webHidden/>
                <w:szCs w:val="24"/>
              </w:rPr>
              <w:t>9</w:t>
            </w:r>
            <w:r w:rsidR="00441B4E" w:rsidRPr="00441B4E">
              <w:rPr>
                <w:rFonts w:ascii="Arial" w:hAnsi="Arial" w:cs="Arial"/>
                <w:noProof/>
                <w:webHidden/>
                <w:szCs w:val="24"/>
              </w:rPr>
              <w:fldChar w:fldCharType="end"/>
            </w:r>
          </w:hyperlink>
        </w:p>
        <w:p w14:paraId="2121B8C7" w14:textId="1387CED6" w:rsidR="00441B4E" w:rsidRPr="00441B4E" w:rsidRDefault="00384CA1">
          <w:pPr>
            <w:pStyle w:val="TOC2"/>
            <w:tabs>
              <w:tab w:val="left" w:pos="880"/>
              <w:tab w:val="right" w:leader="dot" w:pos="9350"/>
            </w:tabs>
            <w:rPr>
              <w:rFonts w:ascii="Arial" w:hAnsi="Arial" w:cs="Arial"/>
              <w:noProof/>
              <w:szCs w:val="24"/>
            </w:rPr>
          </w:pPr>
          <w:hyperlink w:anchor="_Toc216962436" w:history="1">
            <w:r w:rsidR="00441B4E" w:rsidRPr="00441B4E">
              <w:rPr>
                <w:rStyle w:val="Hyperlink"/>
                <w:rFonts w:ascii="Arial" w:hAnsi="Arial" w:cs="Arial"/>
                <w:noProof/>
                <w:szCs w:val="24"/>
              </w:rPr>
              <w:t>3.2</w:t>
            </w:r>
            <w:r w:rsidR="00441B4E" w:rsidRPr="00441B4E">
              <w:rPr>
                <w:rFonts w:ascii="Arial" w:hAnsi="Arial" w:cs="Arial"/>
                <w:noProof/>
                <w:szCs w:val="24"/>
              </w:rPr>
              <w:tab/>
            </w:r>
            <w:r w:rsidR="00441B4E" w:rsidRPr="00441B4E">
              <w:rPr>
                <w:rStyle w:val="Hyperlink"/>
                <w:rFonts w:ascii="Arial" w:hAnsi="Arial" w:cs="Arial"/>
                <w:noProof/>
                <w:szCs w:val="24"/>
              </w:rPr>
              <w:t>Suggested Measures to enhance Liquidity by Working Capital Reforms.</w:t>
            </w:r>
            <w:r w:rsidR="00441B4E" w:rsidRPr="00441B4E">
              <w:rPr>
                <w:rFonts w:ascii="Arial" w:hAnsi="Arial" w:cs="Arial"/>
                <w:noProof/>
                <w:webHidden/>
                <w:szCs w:val="24"/>
              </w:rPr>
              <w:tab/>
            </w:r>
            <w:r w:rsidR="00441B4E" w:rsidRPr="00441B4E">
              <w:rPr>
                <w:rFonts w:ascii="Arial" w:hAnsi="Arial" w:cs="Arial"/>
                <w:noProof/>
                <w:webHidden/>
                <w:szCs w:val="24"/>
              </w:rPr>
              <w:fldChar w:fldCharType="begin"/>
            </w:r>
            <w:r w:rsidR="00441B4E" w:rsidRPr="00441B4E">
              <w:rPr>
                <w:rFonts w:ascii="Arial" w:hAnsi="Arial" w:cs="Arial"/>
                <w:noProof/>
                <w:webHidden/>
                <w:szCs w:val="24"/>
              </w:rPr>
              <w:instrText xml:space="preserve"> PAGEREF _Toc216962436 \h </w:instrText>
            </w:r>
            <w:r w:rsidR="00441B4E" w:rsidRPr="00441B4E">
              <w:rPr>
                <w:rFonts w:ascii="Arial" w:hAnsi="Arial" w:cs="Arial"/>
                <w:noProof/>
                <w:webHidden/>
                <w:szCs w:val="24"/>
              </w:rPr>
            </w:r>
            <w:r w:rsidR="00441B4E" w:rsidRPr="00441B4E">
              <w:rPr>
                <w:rFonts w:ascii="Arial" w:hAnsi="Arial" w:cs="Arial"/>
                <w:noProof/>
                <w:webHidden/>
                <w:szCs w:val="24"/>
              </w:rPr>
              <w:fldChar w:fldCharType="separate"/>
            </w:r>
            <w:r w:rsidR="00441B4E" w:rsidRPr="00441B4E">
              <w:rPr>
                <w:rFonts w:ascii="Arial" w:hAnsi="Arial" w:cs="Arial"/>
                <w:noProof/>
                <w:webHidden/>
                <w:szCs w:val="24"/>
              </w:rPr>
              <w:t>10</w:t>
            </w:r>
            <w:r w:rsidR="00441B4E" w:rsidRPr="00441B4E">
              <w:rPr>
                <w:rFonts w:ascii="Arial" w:hAnsi="Arial" w:cs="Arial"/>
                <w:noProof/>
                <w:webHidden/>
                <w:szCs w:val="24"/>
              </w:rPr>
              <w:fldChar w:fldCharType="end"/>
            </w:r>
          </w:hyperlink>
        </w:p>
        <w:p w14:paraId="25BA7B98" w14:textId="6AE5C084" w:rsidR="00441B4E" w:rsidRPr="00441B4E" w:rsidRDefault="00384CA1">
          <w:pPr>
            <w:pStyle w:val="TOC2"/>
            <w:tabs>
              <w:tab w:val="left" w:pos="880"/>
              <w:tab w:val="right" w:leader="dot" w:pos="9350"/>
            </w:tabs>
            <w:rPr>
              <w:rFonts w:ascii="Arial" w:hAnsi="Arial" w:cs="Arial"/>
              <w:noProof/>
              <w:szCs w:val="24"/>
            </w:rPr>
          </w:pPr>
          <w:hyperlink w:anchor="_Toc216962437" w:history="1">
            <w:r w:rsidR="00441B4E" w:rsidRPr="00441B4E">
              <w:rPr>
                <w:rStyle w:val="Hyperlink"/>
                <w:rFonts w:ascii="Arial" w:hAnsi="Arial" w:cs="Arial"/>
                <w:noProof/>
                <w:szCs w:val="24"/>
              </w:rPr>
              <w:t>3.3</w:t>
            </w:r>
            <w:r w:rsidR="00441B4E" w:rsidRPr="00441B4E">
              <w:rPr>
                <w:rFonts w:ascii="Arial" w:hAnsi="Arial" w:cs="Arial"/>
                <w:noProof/>
                <w:szCs w:val="24"/>
              </w:rPr>
              <w:tab/>
            </w:r>
            <w:r w:rsidR="00441B4E" w:rsidRPr="00441B4E">
              <w:rPr>
                <w:rStyle w:val="Hyperlink"/>
                <w:rFonts w:ascii="Arial" w:hAnsi="Arial" w:cs="Arial"/>
                <w:noProof/>
                <w:szCs w:val="24"/>
              </w:rPr>
              <w:t>Short-term and Long-term Financing.</w:t>
            </w:r>
            <w:r w:rsidR="00441B4E" w:rsidRPr="00441B4E">
              <w:rPr>
                <w:rFonts w:ascii="Arial" w:hAnsi="Arial" w:cs="Arial"/>
                <w:noProof/>
                <w:webHidden/>
                <w:szCs w:val="24"/>
              </w:rPr>
              <w:tab/>
            </w:r>
            <w:r w:rsidR="00441B4E" w:rsidRPr="00441B4E">
              <w:rPr>
                <w:rFonts w:ascii="Arial" w:hAnsi="Arial" w:cs="Arial"/>
                <w:noProof/>
                <w:webHidden/>
                <w:szCs w:val="24"/>
              </w:rPr>
              <w:fldChar w:fldCharType="begin"/>
            </w:r>
            <w:r w:rsidR="00441B4E" w:rsidRPr="00441B4E">
              <w:rPr>
                <w:rFonts w:ascii="Arial" w:hAnsi="Arial" w:cs="Arial"/>
                <w:noProof/>
                <w:webHidden/>
                <w:szCs w:val="24"/>
              </w:rPr>
              <w:instrText xml:space="preserve"> PAGEREF _Toc216962437 \h </w:instrText>
            </w:r>
            <w:r w:rsidR="00441B4E" w:rsidRPr="00441B4E">
              <w:rPr>
                <w:rFonts w:ascii="Arial" w:hAnsi="Arial" w:cs="Arial"/>
                <w:noProof/>
                <w:webHidden/>
                <w:szCs w:val="24"/>
              </w:rPr>
            </w:r>
            <w:r w:rsidR="00441B4E" w:rsidRPr="00441B4E">
              <w:rPr>
                <w:rFonts w:ascii="Arial" w:hAnsi="Arial" w:cs="Arial"/>
                <w:noProof/>
                <w:webHidden/>
                <w:szCs w:val="24"/>
              </w:rPr>
              <w:fldChar w:fldCharType="separate"/>
            </w:r>
            <w:r w:rsidR="00441B4E" w:rsidRPr="00441B4E">
              <w:rPr>
                <w:rFonts w:ascii="Arial" w:hAnsi="Arial" w:cs="Arial"/>
                <w:noProof/>
                <w:webHidden/>
                <w:szCs w:val="24"/>
              </w:rPr>
              <w:t>10</w:t>
            </w:r>
            <w:r w:rsidR="00441B4E" w:rsidRPr="00441B4E">
              <w:rPr>
                <w:rFonts w:ascii="Arial" w:hAnsi="Arial" w:cs="Arial"/>
                <w:noProof/>
                <w:webHidden/>
                <w:szCs w:val="24"/>
              </w:rPr>
              <w:fldChar w:fldCharType="end"/>
            </w:r>
          </w:hyperlink>
        </w:p>
        <w:p w14:paraId="7E242CC3" w14:textId="5EF9DB52" w:rsidR="00441B4E" w:rsidRPr="00441B4E" w:rsidRDefault="00384CA1">
          <w:pPr>
            <w:pStyle w:val="TOC1"/>
            <w:tabs>
              <w:tab w:val="left" w:pos="480"/>
            </w:tabs>
            <w:rPr>
              <w:rFonts w:ascii="Arial" w:hAnsi="Arial" w:cs="Arial"/>
              <w:noProof/>
              <w:szCs w:val="24"/>
            </w:rPr>
          </w:pPr>
          <w:hyperlink w:anchor="_Toc216962438" w:history="1">
            <w:r w:rsidR="00441B4E" w:rsidRPr="00441B4E">
              <w:rPr>
                <w:rStyle w:val="Hyperlink"/>
                <w:rFonts w:ascii="Arial" w:hAnsi="Arial" w:cs="Arial"/>
                <w:noProof/>
                <w:szCs w:val="24"/>
              </w:rPr>
              <w:t>4</w:t>
            </w:r>
            <w:r w:rsidR="00441B4E" w:rsidRPr="00441B4E">
              <w:rPr>
                <w:rFonts w:ascii="Arial" w:hAnsi="Arial" w:cs="Arial"/>
                <w:noProof/>
                <w:szCs w:val="24"/>
              </w:rPr>
              <w:tab/>
            </w:r>
            <w:r w:rsidR="00441B4E" w:rsidRPr="00441B4E">
              <w:rPr>
                <w:rStyle w:val="Hyperlink"/>
                <w:rFonts w:ascii="Arial" w:hAnsi="Arial" w:cs="Arial"/>
                <w:noProof/>
                <w:szCs w:val="24"/>
              </w:rPr>
              <w:t>Strategic Financial Restructuring Plan.</w:t>
            </w:r>
            <w:r w:rsidR="00441B4E" w:rsidRPr="00441B4E">
              <w:rPr>
                <w:rFonts w:ascii="Arial" w:hAnsi="Arial" w:cs="Arial"/>
                <w:noProof/>
                <w:webHidden/>
                <w:szCs w:val="24"/>
              </w:rPr>
              <w:tab/>
            </w:r>
            <w:r w:rsidR="00441B4E" w:rsidRPr="00441B4E">
              <w:rPr>
                <w:rFonts w:ascii="Arial" w:hAnsi="Arial" w:cs="Arial"/>
                <w:noProof/>
                <w:webHidden/>
                <w:szCs w:val="24"/>
              </w:rPr>
              <w:fldChar w:fldCharType="begin"/>
            </w:r>
            <w:r w:rsidR="00441B4E" w:rsidRPr="00441B4E">
              <w:rPr>
                <w:rFonts w:ascii="Arial" w:hAnsi="Arial" w:cs="Arial"/>
                <w:noProof/>
                <w:webHidden/>
                <w:szCs w:val="24"/>
              </w:rPr>
              <w:instrText xml:space="preserve"> PAGEREF _Toc216962438 \h </w:instrText>
            </w:r>
            <w:r w:rsidR="00441B4E" w:rsidRPr="00441B4E">
              <w:rPr>
                <w:rFonts w:ascii="Arial" w:hAnsi="Arial" w:cs="Arial"/>
                <w:noProof/>
                <w:webHidden/>
                <w:szCs w:val="24"/>
              </w:rPr>
            </w:r>
            <w:r w:rsidR="00441B4E" w:rsidRPr="00441B4E">
              <w:rPr>
                <w:rFonts w:ascii="Arial" w:hAnsi="Arial" w:cs="Arial"/>
                <w:noProof/>
                <w:webHidden/>
                <w:szCs w:val="24"/>
              </w:rPr>
              <w:fldChar w:fldCharType="separate"/>
            </w:r>
            <w:r w:rsidR="00441B4E" w:rsidRPr="00441B4E">
              <w:rPr>
                <w:rFonts w:ascii="Arial" w:hAnsi="Arial" w:cs="Arial"/>
                <w:noProof/>
                <w:webHidden/>
                <w:szCs w:val="24"/>
              </w:rPr>
              <w:t>11</w:t>
            </w:r>
            <w:r w:rsidR="00441B4E" w:rsidRPr="00441B4E">
              <w:rPr>
                <w:rFonts w:ascii="Arial" w:hAnsi="Arial" w:cs="Arial"/>
                <w:noProof/>
                <w:webHidden/>
                <w:szCs w:val="24"/>
              </w:rPr>
              <w:fldChar w:fldCharType="end"/>
            </w:r>
          </w:hyperlink>
        </w:p>
        <w:p w14:paraId="4CD63E08" w14:textId="5FC15116" w:rsidR="00441B4E" w:rsidRPr="00441B4E" w:rsidRDefault="00384CA1">
          <w:pPr>
            <w:pStyle w:val="TOC2"/>
            <w:tabs>
              <w:tab w:val="left" w:pos="880"/>
              <w:tab w:val="right" w:leader="dot" w:pos="9350"/>
            </w:tabs>
            <w:rPr>
              <w:rFonts w:ascii="Arial" w:hAnsi="Arial" w:cs="Arial"/>
              <w:noProof/>
              <w:szCs w:val="24"/>
            </w:rPr>
          </w:pPr>
          <w:hyperlink w:anchor="_Toc216962439" w:history="1">
            <w:r w:rsidR="00441B4E" w:rsidRPr="00441B4E">
              <w:rPr>
                <w:rStyle w:val="Hyperlink"/>
                <w:rFonts w:ascii="Arial" w:hAnsi="Arial" w:cs="Arial"/>
                <w:noProof/>
                <w:szCs w:val="24"/>
              </w:rPr>
              <w:t>4.1</w:t>
            </w:r>
            <w:r w:rsidR="00441B4E" w:rsidRPr="00441B4E">
              <w:rPr>
                <w:rFonts w:ascii="Arial" w:hAnsi="Arial" w:cs="Arial"/>
                <w:noProof/>
                <w:szCs w:val="24"/>
              </w:rPr>
              <w:tab/>
            </w:r>
            <w:r w:rsidR="00441B4E" w:rsidRPr="00441B4E">
              <w:rPr>
                <w:rStyle w:val="Hyperlink"/>
                <w:rFonts w:ascii="Arial" w:hAnsi="Arial" w:cs="Arial"/>
                <w:noProof/>
                <w:szCs w:val="24"/>
              </w:rPr>
              <w:t>Suggested Financial Restructuring Alternatives.</w:t>
            </w:r>
            <w:r w:rsidR="00441B4E" w:rsidRPr="00441B4E">
              <w:rPr>
                <w:rFonts w:ascii="Arial" w:hAnsi="Arial" w:cs="Arial"/>
                <w:noProof/>
                <w:webHidden/>
                <w:szCs w:val="24"/>
              </w:rPr>
              <w:tab/>
            </w:r>
            <w:r w:rsidR="00441B4E" w:rsidRPr="00441B4E">
              <w:rPr>
                <w:rFonts w:ascii="Arial" w:hAnsi="Arial" w:cs="Arial"/>
                <w:noProof/>
                <w:webHidden/>
                <w:szCs w:val="24"/>
              </w:rPr>
              <w:fldChar w:fldCharType="begin"/>
            </w:r>
            <w:r w:rsidR="00441B4E" w:rsidRPr="00441B4E">
              <w:rPr>
                <w:rFonts w:ascii="Arial" w:hAnsi="Arial" w:cs="Arial"/>
                <w:noProof/>
                <w:webHidden/>
                <w:szCs w:val="24"/>
              </w:rPr>
              <w:instrText xml:space="preserve"> PAGEREF _Toc216962439 \h </w:instrText>
            </w:r>
            <w:r w:rsidR="00441B4E" w:rsidRPr="00441B4E">
              <w:rPr>
                <w:rFonts w:ascii="Arial" w:hAnsi="Arial" w:cs="Arial"/>
                <w:noProof/>
                <w:webHidden/>
                <w:szCs w:val="24"/>
              </w:rPr>
            </w:r>
            <w:r w:rsidR="00441B4E" w:rsidRPr="00441B4E">
              <w:rPr>
                <w:rFonts w:ascii="Arial" w:hAnsi="Arial" w:cs="Arial"/>
                <w:noProof/>
                <w:webHidden/>
                <w:szCs w:val="24"/>
              </w:rPr>
              <w:fldChar w:fldCharType="separate"/>
            </w:r>
            <w:r w:rsidR="00441B4E" w:rsidRPr="00441B4E">
              <w:rPr>
                <w:rFonts w:ascii="Arial" w:hAnsi="Arial" w:cs="Arial"/>
                <w:noProof/>
                <w:webHidden/>
                <w:szCs w:val="24"/>
              </w:rPr>
              <w:t>11</w:t>
            </w:r>
            <w:r w:rsidR="00441B4E" w:rsidRPr="00441B4E">
              <w:rPr>
                <w:rFonts w:ascii="Arial" w:hAnsi="Arial" w:cs="Arial"/>
                <w:noProof/>
                <w:webHidden/>
                <w:szCs w:val="24"/>
              </w:rPr>
              <w:fldChar w:fldCharType="end"/>
            </w:r>
          </w:hyperlink>
        </w:p>
        <w:p w14:paraId="5216A939" w14:textId="7A90A106" w:rsidR="00441B4E" w:rsidRPr="00441B4E" w:rsidRDefault="00384CA1">
          <w:pPr>
            <w:pStyle w:val="TOC3"/>
            <w:tabs>
              <w:tab w:val="left" w:pos="1320"/>
              <w:tab w:val="right" w:leader="dot" w:pos="9350"/>
            </w:tabs>
            <w:rPr>
              <w:rFonts w:ascii="Arial" w:hAnsi="Arial" w:cs="Arial"/>
              <w:noProof/>
              <w:szCs w:val="24"/>
            </w:rPr>
          </w:pPr>
          <w:hyperlink w:anchor="_Toc216962440" w:history="1">
            <w:r w:rsidR="00441B4E" w:rsidRPr="00441B4E">
              <w:rPr>
                <w:rStyle w:val="Hyperlink"/>
                <w:rFonts w:ascii="Arial" w:hAnsi="Arial" w:cs="Arial"/>
                <w:noProof/>
                <w:szCs w:val="24"/>
              </w:rPr>
              <w:t>4.1.1</w:t>
            </w:r>
            <w:r w:rsidR="00441B4E" w:rsidRPr="00441B4E">
              <w:rPr>
                <w:rFonts w:ascii="Arial" w:hAnsi="Arial" w:cs="Arial"/>
                <w:noProof/>
                <w:szCs w:val="24"/>
              </w:rPr>
              <w:tab/>
            </w:r>
            <w:r w:rsidR="00441B4E" w:rsidRPr="00441B4E">
              <w:rPr>
                <w:rStyle w:val="Hyperlink"/>
                <w:rFonts w:ascii="Arial" w:hAnsi="Arial" w:cs="Arial"/>
                <w:noProof/>
                <w:szCs w:val="24"/>
              </w:rPr>
              <w:t>Non-Core and Underperforming Business Unit Strategic Divestiture.</w:t>
            </w:r>
            <w:r w:rsidR="00441B4E" w:rsidRPr="00441B4E">
              <w:rPr>
                <w:rFonts w:ascii="Arial" w:hAnsi="Arial" w:cs="Arial"/>
                <w:noProof/>
                <w:webHidden/>
                <w:szCs w:val="24"/>
              </w:rPr>
              <w:tab/>
            </w:r>
            <w:r w:rsidR="00441B4E" w:rsidRPr="00441B4E">
              <w:rPr>
                <w:rFonts w:ascii="Arial" w:hAnsi="Arial" w:cs="Arial"/>
                <w:noProof/>
                <w:webHidden/>
                <w:szCs w:val="24"/>
              </w:rPr>
              <w:fldChar w:fldCharType="begin"/>
            </w:r>
            <w:r w:rsidR="00441B4E" w:rsidRPr="00441B4E">
              <w:rPr>
                <w:rFonts w:ascii="Arial" w:hAnsi="Arial" w:cs="Arial"/>
                <w:noProof/>
                <w:webHidden/>
                <w:szCs w:val="24"/>
              </w:rPr>
              <w:instrText xml:space="preserve"> PAGEREF _Toc216962440 \h </w:instrText>
            </w:r>
            <w:r w:rsidR="00441B4E" w:rsidRPr="00441B4E">
              <w:rPr>
                <w:rFonts w:ascii="Arial" w:hAnsi="Arial" w:cs="Arial"/>
                <w:noProof/>
                <w:webHidden/>
                <w:szCs w:val="24"/>
              </w:rPr>
            </w:r>
            <w:r w:rsidR="00441B4E" w:rsidRPr="00441B4E">
              <w:rPr>
                <w:rFonts w:ascii="Arial" w:hAnsi="Arial" w:cs="Arial"/>
                <w:noProof/>
                <w:webHidden/>
                <w:szCs w:val="24"/>
              </w:rPr>
              <w:fldChar w:fldCharType="separate"/>
            </w:r>
            <w:r w:rsidR="00441B4E" w:rsidRPr="00441B4E">
              <w:rPr>
                <w:rFonts w:ascii="Arial" w:hAnsi="Arial" w:cs="Arial"/>
                <w:noProof/>
                <w:webHidden/>
                <w:szCs w:val="24"/>
              </w:rPr>
              <w:t>11</w:t>
            </w:r>
            <w:r w:rsidR="00441B4E" w:rsidRPr="00441B4E">
              <w:rPr>
                <w:rFonts w:ascii="Arial" w:hAnsi="Arial" w:cs="Arial"/>
                <w:noProof/>
                <w:webHidden/>
                <w:szCs w:val="24"/>
              </w:rPr>
              <w:fldChar w:fldCharType="end"/>
            </w:r>
          </w:hyperlink>
        </w:p>
        <w:p w14:paraId="4A66D443" w14:textId="6594A98D" w:rsidR="00441B4E" w:rsidRPr="00441B4E" w:rsidRDefault="00384CA1">
          <w:pPr>
            <w:pStyle w:val="TOC3"/>
            <w:tabs>
              <w:tab w:val="left" w:pos="1320"/>
              <w:tab w:val="right" w:leader="dot" w:pos="9350"/>
            </w:tabs>
            <w:rPr>
              <w:rFonts w:ascii="Arial" w:hAnsi="Arial" w:cs="Arial"/>
              <w:noProof/>
              <w:szCs w:val="24"/>
            </w:rPr>
          </w:pPr>
          <w:hyperlink w:anchor="_Toc216962441" w:history="1">
            <w:r w:rsidR="00441B4E" w:rsidRPr="00441B4E">
              <w:rPr>
                <w:rStyle w:val="Hyperlink"/>
                <w:rFonts w:ascii="Arial" w:hAnsi="Arial" w:cs="Arial"/>
                <w:noProof/>
                <w:szCs w:val="24"/>
              </w:rPr>
              <w:t>4.1.2</w:t>
            </w:r>
            <w:r w:rsidR="00441B4E" w:rsidRPr="00441B4E">
              <w:rPr>
                <w:rFonts w:ascii="Arial" w:hAnsi="Arial" w:cs="Arial"/>
                <w:noProof/>
                <w:szCs w:val="24"/>
              </w:rPr>
              <w:tab/>
            </w:r>
            <w:r w:rsidR="00441B4E" w:rsidRPr="00441B4E">
              <w:rPr>
                <w:rStyle w:val="Hyperlink"/>
                <w:rFonts w:ascii="Arial" w:hAnsi="Arial" w:cs="Arial"/>
                <w:noProof/>
                <w:szCs w:val="24"/>
              </w:rPr>
              <w:t>Recapitalisation of the Balance Sheet by Equity Injection through a Rights Issue.</w:t>
            </w:r>
            <w:r w:rsidR="00441B4E" w:rsidRPr="00441B4E">
              <w:rPr>
                <w:rFonts w:ascii="Arial" w:hAnsi="Arial" w:cs="Arial"/>
                <w:noProof/>
                <w:webHidden/>
                <w:szCs w:val="24"/>
              </w:rPr>
              <w:tab/>
            </w:r>
            <w:r w:rsidR="00441B4E" w:rsidRPr="00441B4E">
              <w:rPr>
                <w:rFonts w:ascii="Arial" w:hAnsi="Arial" w:cs="Arial"/>
                <w:noProof/>
                <w:webHidden/>
                <w:szCs w:val="24"/>
              </w:rPr>
              <w:fldChar w:fldCharType="begin"/>
            </w:r>
            <w:r w:rsidR="00441B4E" w:rsidRPr="00441B4E">
              <w:rPr>
                <w:rFonts w:ascii="Arial" w:hAnsi="Arial" w:cs="Arial"/>
                <w:noProof/>
                <w:webHidden/>
                <w:szCs w:val="24"/>
              </w:rPr>
              <w:instrText xml:space="preserve"> PAGEREF _Toc216962441 \h </w:instrText>
            </w:r>
            <w:r w:rsidR="00441B4E" w:rsidRPr="00441B4E">
              <w:rPr>
                <w:rFonts w:ascii="Arial" w:hAnsi="Arial" w:cs="Arial"/>
                <w:noProof/>
                <w:webHidden/>
                <w:szCs w:val="24"/>
              </w:rPr>
            </w:r>
            <w:r w:rsidR="00441B4E" w:rsidRPr="00441B4E">
              <w:rPr>
                <w:rFonts w:ascii="Arial" w:hAnsi="Arial" w:cs="Arial"/>
                <w:noProof/>
                <w:webHidden/>
                <w:szCs w:val="24"/>
              </w:rPr>
              <w:fldChar w:fldCharType="separate"/>
            </w:r>
            <w:r w:rsidR="00441B4E" w:rsidRPr="00441B4E">
              <w:rPr>
                <w:rFonts w:ascii="Arial" w:hAnsi="Arial" w:cs="Arial"/>
                <w:noProof/>
                <w:webHidden/>
                <w:szCs w:val="24"/>
              </w:rPr>
              <w:t>12</w:t>
            </w:r>
            <w:r w:rsidR="00441B4E" w:rsidRPr="00441B4E">
              <w:rPr>
                <w:rFonts w:ascii="Arial" w:hAnsi="Arial" w:cs="Arial"/>
                <w:noProof/>
                <w:webHidden/>
                <w:szCs w:val="24"/>
              </w:rPr>
              <w:fldChar w:fldCharType="end"/>
            </w:r>
          </w:hyperlink>
        </w:p>
        <w:p w14:paraId="65E9DF09" w14:textId="263F3A1A" w:rsidR="00441B4E" w:rsidRPr="00441B4E" w:rsidRDefault="00384CA1">
          <w:pPr>
            <w:pStyle w:val="TOC3"/>
            <w:tabs>
              <w:tab w:val="left" w:pos="1320"/>
              <w:tab w:val="right" w:leader="dot" w:pos="9350"/>
            </w:tabs>
            <w:rPr>
              <w:rFonts w:ascii="Arial" w:hAnsi="Arial" w:cs="Arial"/>
              <w:noProof/>
              <w:szCs w:val="24"/>
            </w:rPr>
          </w:pPr>
          <w:hyperlink w:anchor="_Toc216962442" w:history="1">
            <w:r w:rsidR="00441B4E" w:rsidRPr="00441B4E">
              <w:rPr>
                <w:rStyle w:val="Hyperlink"/>
                <w:rFonts w:ascii="Arial" w:hAnsi="Arial" w:cs="Arial"/>
                <w:noProof/>
                <w:szCs w:val="24"/>
              </w:rPr>
              <w:t>4.1.3</w:t>
            </w:r>
            <w:r w:rsidR="00441B4E" w:rsidRPr="00441B4E">
              <w:rPr>
                <w:rFonts w:ascii="Arial" w:hAnsi="Arial" w:cs="Arial"/>
                <w:noProof/>
                <w:szCs w:val="24"/>
              </w:rPr>
              <w:tab/>
            </w:r>
            <w:r w:rsidR="00441B4E" w:rsidRPr="00441B4E">
              <w:rPr>
                <w:rStyle w:val="Hyperlink"/>
                <w:rFonts w:ascii="Arial" w:hAnsi="Arial" w:cs="Arial"/>
                <w:noProof/>
                <w:szCs w:val="24"/>
              </w:rPr>
              <w:t>Agreement with Major Creditors on a Debt-for-Equity Swap.</w:t>
            </w:r>
            <w:r w:rsidR="00441B4E" w:rsidRPr="00441B4E">
              <w:rPr>
                <w:rFonts w:ascii="Arial" w:hAnsi="Arial" w:cs="Arial"/>
                <w:noProof/>
                <w:webHidden/>
                <w:szCs w:val="24"/>
              </w:rPr>
              <w:tab/>
            </w:r>
            <w:r w:rsidR="00441B4E" w:rsidRPr="00441B4E">
              <w:rPr>
                <w:rFonts w:ascii="Arial" w:hAnsi="Arial" w:cs="Arial"/>
                <w:noProof/>
                <w:webHidden/>
                <w:szCs w:val="24"/>
              </w:rPr>
              <w:fldChar w:fldCharType="begin"/>
            </w:r>
            <w:r w:rsidR="00441B4E" w:rsidRPr="00441B4E">
              <w:rPr>
                <w:rFonts w:ascii="Arial" w:hAnsi="Arial" w:cs="Arial"/>
                <w:noProof/>
                <w:webHidden/>
                <w:szCs w:val="24"/>
              </w:rPr>
              <w:instrText xml:space="preserve"> PAGEREF _Toc216962442 \h </w:instrText>
            </w:r>
            <w:r w:rsidR="00441B4E" w:rsidRPr="00441B4E">
              <w:rPr>
                <w:rFonts w:ascii="Arial" w:hAnsi="Arial" w:cs="Arial"/>
                <w:noProof/>
                <w:webHidden/>
                <w:szCs w:val="24"/>
              </w:rPr>
            </w:r>
            <w:r w:rsidR="00441B4E" w:rsidRPr="00441B4E">
              <w:rPr>
                <w:rFonts w:ascii="Arial" w:hAnsi="Arial" w:cs="Arial"/>
                <w:noProof/>
                <w:webHidden/>
                <w:szCs w:val="24"/>
              </w:rPr>
              <w:fldChar w:fldCharType="separate"/>
            </w:r>
            <w:r w:rsidR="00441B4E" w:rsidRPr="00441B4E">
              <w:rPr>
                <w:rFonts w:ascii="Arial" w:hAnsi="Arial" w:cs="Arial"/>
                <w:noProof/>
                <w:webHidden/>
                <w:szCs w:val="24"/>
              </w:rPr>
              <w:t>12</w:t>
            </w:r>
            <w:r w:rsidR="00441B4E" w:rsidRPr="00441B4E">
              <w:rPr>
                <w:rFonts w:ascii="Arial" w:hAnsi="Arial" w:cs="Arial"/>
                <w:noProof/>
                <w:webHidden/>
                <w:szCs w:val="24"/>
              </w:rPr>
              <w:fldChar w:fldCharType="end"/>
            </w:r>
          </w:hyperlink>
        </w:p>
        <w:p w14:paraId="581E4E29" w14:textId="5F899CC2" w:rsidR="00441B4E" w:rsidRPr="00441B4E" w:rsidRDefault="00384CA1">
          <w:pPr>
            <w:pStyle w:val="TOC2"/>
            <w:tabs>
              <w:tab w:val="left" w:pos="880"/>
              <w:tab w:val="right" w:leader="dot" w:pos="9350"/>
            </w:tabs>
            <w:rPr>
              <w:rFonts w:ascii="Arial" w:hAnsi="Arial" w:cs="Arial"/>
              <w:noProof/>
              <w:szCs w:val="24"/>
            </w:rPr>
          </w:pPr>
          <w:hyperlink w:anchor="_Toc216962443" w:history="1">
            <w:r w:rsidR="00441B4E" w:rsidRPr="00441B4E">
              <w:rPr>
                <w:rStyle w:val="Hyperlink"/>
                <w:rFonts w:ascii="Arial" w:hAnsi="Arial" w:cs="Arial"/>
                <w:noProof/>
                <w:szCs w:val="24"/>
              </w:rPr>
              <w:t>4.2</w:t>
            </w:r>
            <w:r w:rsidR="00441B4E" w:rsidRPr="00441B4E">
              <w:rPr>
                <w:rFonts w:ascii="Arial" w:hAnsi="Arial" w:cs="Arial"/>
                <w:noProof/>
                <w:szCs w:val="24"/>
              </w:rPr>
              <w:tab/>
            </w:r>
            <w:r w:rsidR="00441B4E" w:rsidRPr="00441B4E">
              <w:rPr>
                <w:rStyle w:val="Hyperlink"/>
                <w:rFonts w:ascii="Arial" w:hAnsi="Arial" w:cs="Arial"/>
                <w:noProof/>
                <w:szCs w:val="24"/>
              </w:rPr>
              <w:t>In-depth Assessment of Impact.</w:t>
            </w:r>
            <w:r w:rsidR="00441B4E" w:rsidRPr="00441B4E">
              <w:rPr>
                <w:rFonts w:ascii="Arial" w:hAnsi="Arial" w:cs="Arial"/>
                <w:noProof/>
                <w:webHidden/>
                <w:szCs w:val="24"/>
              </w:rPr>
              <w:tab/>
            </w:r>
            <w:r w:rsidR="00441B4E" w:rsidRPr="00441B4E">
              <w:rPr>
                <w:rFonts w:ascii="Arial" w:hAnsi="Arial" w:cs="Arial"/>
                <w:noProof/>
                <w:webHidden/>
                <w:szCs w:val="24"/>
              </w:rPr>
              <w:fldChar w:fldCharType="begin"/>
            </w:r>
            <w:r w:rsidR="00441B4E" w:rsidRPr="00441B4E">
              <w:rPr>
                <w:rFonts w:ascii="Arial" w:hAnsi="Arial" w:cs="Arial"/>
                <w:noProof/>
                <w:webHidden/>
                <w:szCs w:val="24"/>
              </w:rPr>
              <w:instrText xml:space="preserve"> PAGEREF _Toc216962443 \h </w:instrText>
            </w:r>
            <w:r w:rsidR="00441B4E" w:rsidRPr="00441B4E">
              <w:rPr>
                <w:rFonts w:ascii="Arial" w:hAnsi="Arial" w:cs="Arial"/>
                <w:noProof/>
                <w:webHidden/>
                <w:szCs w:val="24"/>
              </w:rPr>
            </w:r>
            <w:r w:rsidR="00441B4E" w:rsidRPr="00441B4E">
              <w:rPr>
                <w:rFonts w:ascii="Arial" w:hAnsi="Arial" w:cs="Arial"/>
                <w:noProof/>
                <w:webHidden/>
                <w:szCs w:val="24"/>
              </w:rPr>
              <w:fldChar w:fldCharType="separate"/>
            </w:r>
            <w:r w:rsidR="00441B4E" w:rsidRPr="00441B4E">
              <w:rPr>
                <w:rFonts w:ascii="Arial" w:hAnsi="Arial" w:cs="Arial"/>
                <w:noProof/>
                <w:webHidden/>
                <w:szCs w:val="24"/>
              </w:rPr>
              <w:t>12</w:t>
            </w:r>
            <w:r w:rsidR="00441B4E" w:rsidRPr="00441B4E">
              <w:rPr>
                <w:rFonts w:ascii="Arial" w:hAnsi="Arial" w:cs="Arial"/>
                <w:noProof/>
                <w:webHidden/>
                <w:szCs w:val="24"/>
              </w:rPr>
              <w:fldChar w:fldCharType="end"/>
            </w:r>
          </w:hyperlink>
        </w:p>
        <w:p w14:paraId="1DA95855" w14:textId="29A2109A" w:rsidR="00441B4E" w:rsidRPr="00441B4E" w:rsidRDefault="00384CA1">
          <w:pPr>
            <w:pStyle w:val="TOC3"/>
            <w:tabs>
              <w:tab w:val="left" w:pos="1320"/>
              <w:tab w:val="right" w:leader="dot" w:pos="9350"/>
            </w:tabs>
            <w:rPr>
              <w:rFonts w:ascii="Arial" w:hAnsi="Arial" w:cs="Arial"/>
              <w:noProof/>
              <w:szCs w:val="24"/>
            </w:rPr>
          </w:pPr>
          <w:hyperlink w:anchor="_Toc216962444" w:history="1">
            <w:r w:rsidR="00441B4E" w:rsidRPr="00441B4E">
              <w:rPr>
                <w:rStyle w:val="Hyperlink"/>
                <w:rFonts w:ascii="Arial" w:hAnsi="Arial" w:cs="Arial"/>
                <w:noProof/>
                <w:szCs w:val="24"/>
              </w:rPr>
              <w:t>4.2.1</w:t>
            </w:r>
            <w:r w:rsidR="00441B4E" w:rsidRPr="00441B4E">
              <w:rPr>
                <w:rFonts w:ascii="Arial" w:hAnsi="Arial" w:cs="Arial"/>
                <w:noProof/>
                <w:szCs w:val="24"/>
              </w:rPr>
              <w:tab/>
            </w:r>
            <w:r w:rsidR="00441B4E" w:rsidRPr="00441B4E">
              <w:rPr>
                <w:rStyle w:val="Hyperlink"/>
                <w:rFonts w:ascii="Arial" w:hAnsi="Arial" w:cs="Arial"/>
                <w:noProof/>
                <w:szCs w:val="24"/>
              </w:rPr>
              <w:t>Impact on Shareholder Value</w:t>
            </w:r>
            <w:r w:rsidR="00441B4E" w:rsidRPr="00441B4E">
              <w:rPr>
                <w:rFonts w:ascii="Arial" w:hAnsi="Arial" w:cs="Arial"/>
                <w:noProof/>
                <w:webHidden/>
                <w:szCs w:val="24"/>
              </w:rPr>
              <w:tab/>
            </w:r>
            <w:r w:rsidR="00441B4E" w:rsidRPr="00441B4E">
              <w:rPr>
                <w:rFonts w:ascii="Arial" w:hAnsi="Arial" w:cs="Arial"/>
                <w:noProof/>
                <w:webHidden/>
                <w:szCs w:val="24"/>
              </w:rPr>
              <w:fldChar w:fldCharType="begin"/>
            </w:r>
            <w:r w:rsidR="00441B4E" w:rsidRPr="00441B4E">
              <w:rPr>
                <w:rFonts w:ascii="Arial" w:hAnsi="Arial" w:cs="Arial"/>
                <w:noProof/>
                <w:webHidden/>
                <w:szCs w:val="24"/>
              </w:rPr>
              <w:instrText xml:space="preserve"> PAGEREF _Toc216962444 \h </w:instrText>
            </w:r>
            <w:r w:rsidR="00441B4E" w:rsidRPr="00441B4E">
              <w:rPr>
                <w:rFonts w:ascii="Arial" w:hAnsi="Arial" w:cs="Arial"/>
                <w:noProof/>
                <w:webHidden/>
                <w:szCs w:val="24"/>
              </w:rPr>
            </w:r>
            <w:r w:rsidR="00441B4E" w:rsidRPr="00441B4E">
              <w:rPr>
                <w:rFonts w:ascii="Arial" w:hAnsi="Arial" w:cs="Arial"/>
                <w:noProof/>
                <w:webHidden/>
                <w:szCs w:val="24"/>
              </w:rPr>
              <w:fldChar w:fldCharType="separate"/>
            </w:r>
            <w:r w:rsidR="00441B4E" w:rsidRPr="00441B4E">
              <w:rPr>
                <w:rFonts w:ascii="Arial" w:hAnsi="Arial" w:cs="Arial"/>
                <w:noProof/>
                <w:webHidden/>
                <w:szCs w:val="24"/>
              </w:rPr>
              <w:t>12</w:t>
            </w:r>
            <w:r w:rsidR="00441B4E" w:rsidRPr="00441B4E">
              <w:rPr>
                <w:rFonts w:ascii="Arial" w:hAnsi="Arial" w:cs="Arial"/>
                <w:noProof/>
                <w:webHidden/>
                <w:szCs w:val="24"/>
              </w:rPr>
              <w:fldChar w:fldCharType="end"/>
            </w:r>
          </w:hyperlink>
        </w:p>
        <w:p w14:paraId="04AE7BC4" w14:textId="58641255" w:rsidR="00441B4E" w:rsidRPr="00441B4E" w:rsidRDefault="00384CA1">
          <w:pPr>
            <w:pStyle w:val="TOC3"/>
            <w:tabs>
              <w:tab w:val="left" w:pos="1320"/>
              <w:tab w:val="right" w:leader="dot" w:pos="9350"/>
            </w:tabs>
            <w:rPr>
              <w:rFonts w:ascii="Arial" w:hAnsi="Arial" w:cs="Arial"/>
              <w:noProof/>
              <w:szCs w:val="24"/>
            </w:rPr>
          </w:pPr>
          <w:hyperlink w:anchor="_Toc216962445" w:history="1">
            <w:r w:rsidR="00441B4E" w:rsidRPr="00441B4E">
              <w:rPr>
                <w:rStyle w:val="Hyperlink"/>
                <w:rFonts w:ascii="Arial" w:hAnsi="Arial" w:cs="Arial"/>
                <w:noProof/>
                <w:szCs w:val="24"/>
              </w:rPr>
              <w:t>4.2.2</w:t>
            </w:r>
            <w:r w:rsidR="00441B4E" w:rsidRPr="00441B4E">
              <w:rPr>
                <w:rFonts w:ascii="Arial" w:hAnsi="Arial" w:cs="Arial"/>
                <w:noProof/>
                <w:szCs w:val="24"/>
              </w:rPr>
              <w:tab/>
            </w:r>
            <w:r w:rsidR="00441B4E" w:rsidRPr="00441B4E">
              <w:rPr>
                <w:rStyle w:val="Hyperlink"/>
                <w:rFonts w:ascii="Arial" w:hAnsi="Arial" w:cs="Arial"/>
                <w:noProof/>
                <w:szCs w:val="24"/>
              </w:rPr>
              <w:t>Impact on Debt Structure</w:t>
            </w:r>
            <w:r w:rsidR="00441B4E" w:rsidRPr="00441B4E">
              <w:rPr>
                <w:rFonts w:ascii="Arial" w:hAnsi="Arial" w:cs="Arial"/>
                <w:noProof/>
                <w:webHidden/>
                <w:szCs w:val="24"/>
              </w:rPr>
              <w:tab/>
            </w:r>
            <w:r w:rsidR="00441B4E" w:rsidRPr="00441B4E">
              <w:rPr>
                <w:rFonts w:ascii="Arial" w:hAnsi="Arial" w:cs="Arial"/>
                <w:noProof/>
                <w:webHidden/>
                <w:szCs w:val="24"/>
              </w:rPr>
              <w:fldChar w:fldCharType="begin"/>
            </w:r>
            <w:r w:rsidR="00441B4E" w:rsidRPr="00441B4E">
              <w:rPr>
                <w:rFonts w:ascii="Arial" w:hAnsi="Arial" w:cs="Arial"/>
                <w:noProof/>
                <w:webHidden/>
                <w:szCs w:val="24"/>
              </w:rPr>
              <w:instrText xml:space="preserve"> PAGEREF _Toc216962445 \h </w:instrText>
            </w:r>
            <w:r w:rsidR="00441B4E" w:rsidRPr="00441B4E">
              <w:rPr>
                <w:rFonts w:ascii="Arial" w:hAnsi="Arial" w:cs="Arial"/>
                <w:noProof/>
                <w:webHidden/>
                <w:szCs w:val="24"/>
              </w:rPr>
            </w:r>
            <w:r w:rsidR="00441B4E" w:rsidRPr="00441B4E">
              <w:rPr>
                <w:rFonts w:ascii="Arial" w:hAnsi="Arial" w:cs="Arial"/>
                <w:noProof/>
                <w:webHidden/>
                <w:szCs w:val="24"/>
              </w:rPr>
              <w:fldChar w:fldCharType="separate"/>
            </w:r>
            <w:r w:rsidR="00441B4E" w:rsidRPr="00441B4E">
              <w:rPr>
                <w:rFonts w:ascii="Arial" w:hAnsi="Arial" w:cs="Arial"/>
                <w:noProof/>
                <w:webHidden/>
                <w:szCs w:val="24"/>
              </w:rPr>
              <w:t>13</w:t>
            </w:r>
            <w:r w:rsidR="00441B4E" w:rsidRPr="00441B4E">
              <w:rPr>
                <w:rFonts w:ascii="Arial" w:hAnsi="Arial" w:cs="Arial"/>
                <w:noProof/>
                <w:webHidden/>
                <w:szCs w:val="24"/>
              </w:rPr>
              <w:fldChar w:fldCharType="end"/>
            </w:r>
          </w:hyperlink>
        </w:p>
        <w:p w14:paraId="34CEBB3C" w14:textId="51A91AE3" w:rsidR="00441B4E" w:rsidRPr="00441B4E" w:rsidRDefault="00384CA1">
          <w:pPr>
            <w:pStyle w:val="TOC3"/>
            <w:tabs>
              <w:tab w:val="left" w:pos="1320"/>
              <w:tab w:val="right" w:leader="dot" w:pos="9350"/>
            </w:tabs>
            <w:rPr>
              <w:rFonts w:ascii="Arial" w:hAnsi="Arial" w:cs="Arial"/>
              <w:noProof/>
              <w:szCs w:val="24"/>
            </w:rPr>
          </w:pPr>
          <w:hyperlink w:anchor="_Toc216962446" w:history="1">
            <w:r w:rsidR="00441B4E" w:rsidRPr="00441B4E">
              <w:rPr>
                <w:rStyle w:val="Hyperlink"/>
                <w:rFonts w:ascii="Arial" w:hAnsi="Arial" w:cs="Arial"/>
                <w:noProof/>
                <w:szCs w:val="24"/>
              </w:rPr>
              <w:t>4.2.3</w:t>
            </w:r>
            <w:r w:rsidR="00441B4E" w:rsidRPr="00441B4E">
              <w:rPr>
                <w:rFonts w:ascii="Arial" w:hAnsi="Arial" w:cs="Arial"/>
                <w:noProof/>
                <w:szCs w:val="24"/>
              </w:rPr>
              <w:tab/>
            </w:r>
            <w:r w:rsidR="00441B4E" w:rsidRPr="00441B4E">
              <w:rPr>
                <w:rStyle w:val="Hyperlink"/>
                <w:rFonts w:ascii="Arial" w:hAnsi="Arial" w:cs="Arial"/>
                <w:noProof/>
                <w:szCs w:val="24"/>
              </w:rPr>
              <w:t>Effects on Operational Elasticity.</w:t>
            </w:r>
            <w:r w:rsidR="00441B4E" w:rsidRPr="00441B4E">
              <w:rPr>
                <w:rFonts w:ascii="Arial" w:hAnsi="Arial" w:cs="Arial"/>
                <w:noProof/>
                <w:webHidden/>
                <w:szCs w:val="24"/>
              </w:rPr>
              <w:tab/>
            </w:r>
            <w:r w:rsidR="00441B4E" w:rsidRPr="00441B4E">
              <w:rPr>
                <w:rFonts w:ascii="Arial" w:hAnsi="Arial" w:cs="Arial"/>
                <w:noProof/>
                <w:webHidden/>
                <w:szCs w:val="24"/>
              </w:rPr>
              <w:fldChar w:fldCharType="begin"/>
            </w:r>
            <w:r w:rsidR="00441B4E" w:rsidRPr="00441B4E">
              <w:rPr>
                <w:rFonts w:ascii="Arial" w:hAnsi="Arial" w:cs="Arial"/>
                <w:noProof/>
                <w:webHidden/>
                <w:szCs w:val="24"/>
              </w:rPr>
              <w:instrText xml:space="preserve"> PAGEREF _Toc216962446 \h </w:instrText>
            </w:r>
            <w:r w:rsidR="00441B4E" w:rsidRPr="00441B4E">
              <w:rPr>
                <w:rFonts w:ascii="Arial" w:hAnsi="Arial" w:cs="Arial"/>
                <w:noProof/>
                <w:webHidden/>
                <w:szCs w:val="24"/>
              </w:rPr>
            </w:r>
            <w:r w:rsidR="00441B4E" w:rsidRPr="00441B4E">
              <w:rPr>
                <w:rFonts w:ascii="Arial" w:hAnsi="Arial" w:cs="Arial"/>
                <w:noProof/>
                <w:webHidden/>
                <w:szCs w:val="24"/>
              </w:rPr>
              <w:fldChar w:fldCharType="separate"/>
            </w:r>
            <w:r w:rsidR="00441B4E" w:rsidRPr="00441B4E">
              <w:rPr>
                <w:rFonts w:ascii="Arial" w:hAnsi="Arial" w:cs="Arial"/>
                <w:noProof/>
                <w:webHidden/>
                <w:szCs w:val="24"/>
              </w:rPr>
              <w:t>13</w:t>
            </w:r>
            <w:r w:rsidR="00441B4E" w:rsidRPr="00441B4E">
              <w:rPr>
                <w:rFonts w:ascii="Arial" w:hAnsi="Arial" w:cs="Arial"/>
                <w:noProof/>
                <w:webHidden/>
                <w:szCs w:val="24"/>
              </w:rPr>
              <w:fldChar w:fldCharType="end"/>
            </w:r>
          </w:hyperlink>
        </w:p>
        <w:p w14:paraId="79F1CD00" w14:textId="2259CFB3" w:rsidR="00441B4E" w:rsidRPr="00441B4E" w:rsidRDefault="00384CA1">
          <w:pPr>
            <w:pStyle w:val="TOC2"/>
            <w:tabs>
              <w:tab w:val="left" w:pos="880"/>
              <w:tab w:val="right" w:leader="dot" w:pos="9350"/>
            </w:tabs>
            <w:rPr>
              <w:rFonts w:ascii="Arial" w:hAnsi="Arial" w:cs="Arial"/>
              <w:noProof/>
              <w:szCs w:val="24"/>
            </w:rPr>
          </w:pPr>
          <w:hyperlink w:anchor="_Toc216962447" w:history="1">
            <w:r w:rsidR="00441B4E" w:rsidRPr="00441B4E">
              <w:rPr>
                <w:rStyle w:val="Hyperlink"/>
                <w:rFonts w:ascii="Arial" w:hAnsi="Arial" w:cs="Arial"/>
                <w:noProof/>
                <w:szCs w:val="24"/>
              </w:rPr>
              <w:t>4.3</w:t>
            </w:r>
            <w:r w:rsidR="00441B4E" w:rsidRPr="00441B4E">
              <w:rPr>
                <w:rFonts w:ascii="Arial" w:hAnsi="Arial" w:cs="Arial"/>
                <w:noProof/>
                <w:szCs w:val="24"/>
              </w:rPr>
              <w:tab/>
            </w:r>
            <w:r w:rsidR="00441B4E" w:rsidRPr="00441B4E">
              <w:rPr>
                <w:rStyle w:val="Hyperlink"/>
                <w:rFonts w:ascii="Arial" w:hAnsi="Arial" w:cs="Arial"/>
                <w:noProof/>
                <w:szCs w:val="24"/>
              </w:rPr>
              <w:t>International/Ethical/Considerations.</w:t>
            </w:r>
            <w:r w:rsidR="00441B4E" w:rsidRPr="00441B4E">
              <w:rPr>
                <w:rFonts w:ascii="Arial" w:hAnsi="Arial" w:cs="Arial"/>
                <w:noProof/>
                <w:webHidden/>
                <w:szCs w:val="24"/>
              </w:rPr>
              <w:tab/>
            </w:r>
            <w:r w:rsidR="00441B4E" w:rsidRPr="00441B4E">
              <w:rPr>
                <w:rFonts w:ascii="Arial" w:hAnsi="Arial" w:cs="Arial"/>
                <w:noProof/>
                <w:webHidden/>
                <w:szCs w:val="24"/>
              </w:rPr>
              <w:fldChar w:fldCharType="begin"/>
            </w:r>
            <w:r w:rsidR="00441B4E" w:rsidRPr="00441B4E">
              <w:rPr>
                <w:rFonts w:ascii="Arial" w:hAnsi="Arial" w:cs="Arial"/>
                <w:noProof/>
                <w:webHidden/>
                <w:szCs w:val="24"/>
              </w:rPr>
              <w:instrText xml:space="preserve"> PAGEREF _Toc216962447 \h </w:instrText>
            </w:r>
            <w:r w:rsidR="00441B4E" w:rsidRPr="00441B4E">
              <w:rPr>
                <w:rFonts w:ascii="Arial" w:hAnsi="Arial" w:cs="Arial"/>
                <w:noProof/>
                <w:webHidden/>
                <w:szCs w:val="24"/>
              </w:rPr>
            </w:r>
            <w:r w:rsidR="00441B4E" w:rsidRPr="00441B4E">
              <w:rPr>
                <w:rFonts w:ascii="Arial" w:hAnsi="Arial" w:cs="Arial"/>
                <w:noProof/>
                <w:webHidden/>
                <w:szCs w:val="24"/>
              </w:rPr>
              <w:fldChar w:fldCharType="separate"/>
            </w:r>
            <w:r w:rsidR="00441B4E" w:rsidRPr="00441B4E">
              <w:rPr>
                <w:rFonts w:ascii="Arial" w:hAnsi="Arial" w:cs="Arial"/>
                <w:noProof/>
                <w:webHidden/>
                <w:szCs w:val="24"/>
              </w:rPr>
              <w:t>14</w:t>
            </w:r>
            <w:r w:rsidR="00441B4E" w:rsidRPr="00441B4E">
              <w:rPr>
                <w:rFonts w:ascii="Arial" w:hAnsi="Arial" w:cs="Arial"/>
                <w:noProof/>
                <w:webHidden/>
                <w:szCs w:val="24"/>
              </w:rPr>
              <w:fldChar w:fldCharType="end"/>
            </w:r>
          </w:hyperlink>
        </w:p>
        <w:p w14:paraId="4C5281E5" w14:textId="1EEB573F" w:rsidR="00441B4E" w:rsidRPr="00441B4E" w:rsidRDefault="00384CA1">
          <w:pPr>
            <w:pStyle w:val="TOC3"/>
            <w:tabs>
              <w:tab w:val="left" w:pos="1320"/>
              <w:tab w:val="right" w:leader="dot" w:pos="9350"/>
            </w:tabs>
            <w:rPr>
              <w:rFonts w:ascii="Arial" w:hAnsi="Arial" w:cs="Arial"/>
              <w:noProof/>
              <w:szCs w:val="24"/>
            </w:rPr>
          </w:pPr>
          <w:hyperlink w:anchor="_Toc216962448" w:history="1">
            <w:r w:rsidR="00441B4E" w:rsidRPr="00441B4E">
              <w:rPr>
                <w:rStyle w:val="Hyperlink"/>
                <w:rFonts w:ascii="Arial" w:hAnsi="Arial" w:cs="Arial"/>
                <w:noProof/>
                <w:szCs w:val="24"/>
              </w:rPr>
              <w:t>4.3.1</w:t>
            </w:r>
            <w:r w:rsidR="00441B4E" w:rsidRPr="00441B4E">
              <w:rPr>
                <w:rFonts w:ascii="Arial" w:hAnsi="Arial" w:cs="Arial"/>
                <w:noProof/>
                <w:szCs w:val="24"/>
              </w:rPr>
              <w:tab/>
            </w:r>
            <w:r w:rsidR="00441B4E" w:rsidRPr="00441B4E">
              <w:rPr>
                <w:rStyle w:val="Hyperlink"/>
                <w:rFonts w:ascii="Arial" w:hAnsi="Arial" w:cs="Arial"/>
                <w:noProof/>
                <w:szCs w:val="24"/>
              </w:rPr>
              <w:t>Management of Currency Risk</w:t>
            </w:r>
            <w:r w:rsidR="00441B4E" w:rsidRPr="00441B4E">
              <w:rPr>
                <w:rFonts w:ascii="Arial" w:hAnsi="Arial" w:cs="Arial"/>
                <w:noProof/>
                <w:webHidden/>
                <w:szCs w:val="24"/>
              </w:rPr>
              <w:tab/>
            </w:r>
            <w:r w:rsidR="00441B4E" w:rsidRPr="00441B4E">
              <w:rPr>
                <w:rFonts w:ascii="Arial" w:hAnsi="Arial" w:cs="Arial"/>
                <w:noProof/>
                <w:webHidden/>
                <w:szCs w:val="24"/>
              </w:rPr>
              <w:fldChar w:fldCharType="begin"/>
            </w:r>
            <w:r w:rsidR="00441B4E" w:rsidRPr="00441B4E">
              <w:rPr>
                <w:rFonts w:ascii="Arial" w:hAnsi="Arial" w:cs="Arial"/>
                <w:noProof/>
                <w:webHidden/>
                <w:szCs w:val="24"/>
              </w:rPr>
              <w:instrText xml:space="preserve"> PAGEREF _Toc216962448 \h </w:instrText>
            </w:r>
            <w:r w:rsidR="00441B4E" w:rsidRPr="00441B4E">
              <w:rPr>
                <w:rFonts w:ascii="Arial" w:hAnsi="Arial" w:cs="Arial"/>
                <w:noProof/>
                <w:webHidden/>
                <w:szCs w:val="24"/>
              </w:rPr>
            </w:r>
            <w:r w:rsidR="00441B4E" w:rsidRPr="00441B4E">
              <w:rPr>
                <w:rFonts w:ascii="Arial" w:hAnsi="Arial" w:cs="Arial"/>
                <w:noProof/>
                <w:webHidden/>
                <w:szCs w:val="24"/>
              </w:rPr>
              <w:fldChar w:fldCharType="separate"/>
            </w:r>
            <w:r w:rsidR="00441B4E" w:rsidRPr="00441B4E">
              <w:rPr>
                <w:rFonts w:ascii="Arial" w:hAnsi="Arial" w:cs="Arial"/>
                <w:noProof/>
                <w:webHidden/>
                <w:szCs w:val="24"/>
              </w:rPr>
              <w:t>14</w:t>
            </w:r>
            <w:r w:rsidR="00441B4E" w:rsidRPr="00441B4E">
              <w:rPr>
                <w:rFonts w:ascii="Arial" w:hAnsi="Arial" w:cs="Arial"/>
                <w:noProof/>
                <w:webHidden/>
                <w:szCs w:val="24"/>
              </w:rPr>
              <w:fldChar w:fldCharType="end"/>
            </w:r>
          </w:hyperlink>
        </w:p>
        <w:p w14:paraId="144E02A3" w14:textId="75CBBD83" w:rsidR="00441B4E" w:rsidRPr="00441B4E" w:rsidRDefault="00384CA1">
          <w:pPr>
            <w:pStyle w:val="TOC3"/>
            <w:tabs>
              <w:tab w:val="left" w:pos="1320"/>
              <w:tab w:val="right" w:leader="dot" w:pos="9350"/>
            </w:tabs>
            <w:rPr>
              <w:rFonts w:ascii="Arial" w:hAnsi="Arial" w:cs="Arial"/>
              <w:noProof/>
              <w:szCs w:val="24"/>
            </w:rPr>
          </w:pPr>
          <w:hyperlink w:anchor="_Toc216962449" w:history="1">
            <w:r w:rsidR="00441B4E" w:rsidRPr="00441B4E">
              <w:rPr>
                <w:rStyle w:val="Hyperlink"/>
                <w:rFonts w:ascii="Arial" w:hAnsi="Arial" w:cs="Arial"/>
                <w:noProof/>
                <w:szCs w:val="24"/>
              </w:rPr>
              <w:t>4.3.2</w:t>
            </w:r>
            <w:r w:rsidR="00441B4E" w:rsidRPr="00441B4E">
              <w:rPr>
                <w:rFonts w:ascii="Arial" w:hAnsi="Arial" w:cs="Arial"/>
                <w:noProof/>
                <w:szCs w:val="24"/>
              </w:rPr>
              <w:tab/>
            </w:r>
            <w:r w:rsidR="00441B4E" w:rsidRPr="00441B4E">
              <w:rPr>
                <w:rStyle w:val="Hyperlink"/>
                <w:rFonts w:ascii="Arial" w:hAnsi="Arial" w:cs="Arial"/>
                <w:noProof/>
                <w:szCs w:val="24"/>
              </w:rPr>
              <w:t>Operating in a High-Inflation International Environment.</w:t>
            </w:r>
            <w:r w:rsidR="00441B4E" w:rsidRPr="00441B4E">
              <w:rPr>
                <w:rFonts w:ascii="Arial" w:hAnsi="Arial" w:cs="Arial"/>
                <w:noProof/>
                <w:webHidden/>
                <w:szCs w:val="24"/>
              </w:rPr>
              <w:tab/>
            </w:r>
            <w:r w:rsidR="00441B4E" w:rsidRPr="00441B4E">
              <w:rPr>
                <w:rFonts w:ascii="Arial" w:hAnsi="Arial" w:cs="Arial"/>
                <w:noProof/>
                <w:webHidden/>
                <w:szCs w:val="24"/>
              </w:rPr>
              <w:fldChar w:fldCharType="begin"/>
            </w:r>
            <w:r w:rsidR="00441B4E" w:rsidRPr="00441B4E">
              <w:rPr>
                <w:rFonts w:ascii="Arial" w:hAnsi="Arial" w:cs="Arial"/>
                <w:noProof/>
                <w:webHidden/>
                <w:szCs w:val="24"/>
              </w:rPr>
              <w:instrText xml:space="preserve"> PAGEREF _Toc216962449 \h </w:instrText>
            </w:r>
            <w:r w:rsidR="00441B4E" w:rsidRPr="00441B4E">
              <w:rPr>
                <w:rFonts w:ascii="Arial" w:hAnsi="Arial" w:cs="Arial"/>
                <w:noProof/>
                <w:webHidden/>
                <w:szCs w:val="24"/>
              </w:rPr>
            </w:r>
            <w:r w:rsidR="00441B4E" w:rsidRPr="00441B4E">
              <w:rPr>
                <w:rFonts w:ascii="Arial" w:hAnsi="Arial" w:cs="Arial"/>
                <w:noProof/>
                <w:webHidden/>
                <w:szCs w:val="24"/>
              </w:rPr>
              <w:fldChar w:fldCharType="separate"/>
            </w:r>
            <w:r w:rsidR="00441B4E" w:rsidRPr="00441B4E">
              <w:rPr>
                <w:rFonts w:ascii="Arial" w:hAnsi="Arial" w:cs="Arial"/>
                <w:noProof/>
                <w:webHidden/>
                <w:szCs w:val="24"/>
              </w:rPr>
              <w:t>14</w:t>
            </w:r>
            <w:r w:rsidR="00441B4E" w:rsidRPr="00441B4E">
              <w:rPr>
                <w:rFonts w:ascii="Arial" w:hAnsi="Arial" w:cs="Arial"/>
                <w:noProof/>
                <w:webHidden/>
                <w:szCs w:val="24"/>
              </w:rPr>
              <w:fldChar w:fldCharType="end"/>
            </w:r>
          </w:hyperlink>
        </w:p>
        <w:p w14:paraId="0FC7F5E5" w14:textId="1154B99B" w:rsidR="00441B4E" w:rsidRPr="00441B4E" w:rsidRDefault="00384CA1">
          <w:pPr>
            <w:pStyle w:val="TOC3"/>
            <w:tabs>
              <w:tab w:val="left" w:pos="1320"/>
              <w:tab w:val="right" w:leader="dot" w:pos="9350"/>
            </w:tabs>
            <w:rPr>
              <w:rFonts w:ascii="Arial" w:hAnsi="Arial" w:cs="Arial"/>
              <w:noProof/>
              <w:szCs w:val="24"/>
            </w:rPr>
          </w:pPr>
          <w:hyperlink w:anchor="_Toc216962450" w:history="1">
            <w:r w:rsidR="00441B4E" w:rsidRPr="00441B4E">
              <w:rPr>
                <w:rStyle w:val="Hyperlink"/>
                <w:rFonts w:ascii="Arial" w:hAnsi="Arial" w:cs="Arial"/>
                <w:noProof/>
                <w:szCs w:val="24"/>
              </w:rPr>
              <w:t>4.3.3</w:t>
            </w:r>
            <w:r w:rsidR="00441B4E" w:rsidRPr="00441B4E">
              <w:rPr>
                <w:rFonts w:ascii="Arial" w:hAnsi="Arial" w:cs="Arial"/>
                <w:noProof/>
                <w:szCs w:val="24"/>
              </w:rPr>
              <w:tab/>
            </w:r>
            <w:r w:rsidR="00441B4E" w:rsidRPr="00441B4E">
              <w:rPr>
                <w:rStyle w:val="Hyperlink"/>
                <w:rFonts w:ascii="Arial" w:hAnsi="Arial" w:cs="Arial"/>
                <w:noProof/>
                <w:szCs w:val="24"/>
              </w:rPr>
              <w:t>Fiscal efficiency and Taxation.</w:t>
            </w:r>
            <w:r w:rsidR="00441B4E" w:rsidRPr="00441B4E">
              <w:rPr>
                <w:rFonts w:ascii="Arial" w:hAnsi="Arial" w:cs="Arial"/>
                <w:noProof/>
                <w:webHidden/>
                <w:szCs w:val="24"/>
              </w:rPr>
              <w:tab/>
            </w:r>
            <w:r w:rsidR="00441B4E" w:rsidRPr="00441B4E">
              <w:rPr>
                <w:rFonts w:ascii="Arial" w:hAnsi="Arial" w:cs="Arial"/>
                <w:noProof/>
                <w:webHidden/>
                <w:szCs w:val="24"/>
              </w:rPr>
              <w:fldChar w:fldCharType="begin"/>
            </w:r>
            <w:r w:rsidR="00441B4E" w:rsidRPr="00441B4E">
              <w:rPr>
                <w:rFonts w:ascii="Arial" w:hAnsi="Arial" w:cs="Arial"/>
                <w:noProof/>
                <w:webHidden/>
                <w:szCs w:val="24"/>
              </w:rPr>
              <w:instrText xml:space="preserve"> PAGEREF _Toc216962450 \h </w:instrText>
            </w:r>
            <w:r w:rsidR="00441B4E" w:rsidRPr="00441B4E">
              <w:rPr>
                <w:rFonts w:ascii="Arial" w:hAnsi="Arial" w:cs="Arial"/>
                <w:noProof/>
                <w:webHidden/>
                <w:szCs w:val="24"/>
              </w:rPr>
            </w:r>
            <w:r w:rsidR="00441B4E" w:rsidRPr="00441B4E">
              <w:rPr>
                <w:rFonts w:ascii="Arial" w:hAnsi="Arial" w:cs="Arial"/>
                <w:noProof/>
                <w:webHidden/>
                <w:szCs w:val="24"/>
              </w:rPr>
              <w:fldChar w:fldCharType="separate"/>
            </w:r>
            <w:r w:rsidR="00441B4E" w:rsidRPr="00441B4E">
              <w:rPr>
                <w:rFonts w:ascii="Arial" w:hAnsi="Arial" w:cs="Arial"/>
                <w:noProof/>
                <w:webHidden/>
                <w:szCs w:val="24"/>
              </w:rPr>
              <w:t>14</w:t>
            </w:r>
            <w:r w:rsidR="00441B4E" w:rsidRPr="00441B4E">
              <w:rPr>
                <w:rFonts w:ascii="Arial" w:hAnsi="Arial" w:cs="Arial"/>
                <w:noProof/>
                <w:webHidden/>
                <w:szCs w:val="24"/>
              </w:rPr>
              <w:fldChar w:fldCharType="end"/>
            </w:r>
          </w:hyperlink>
        </w:p>
        <w:p w14:paraId="0530FB08" w14:textId="070BFD46" w:rsidR="00441B4E" w:rsidRPr="00441B4E" w:rsidRDefault="00384CA1">
          <w:pPr>
            <w:pStyle w:val="TOC3"/>
            <w:tabs>
              <w:tab w:val="left" w:pos="1320"/>
              <w:tab w:val="right" w:leader="dot" w:pos="9350"/>
            </w:tabs>
            <w:rPr>
              <w:rFonts w:ascii="Arial" w:hAnsi="Arial" w:cs="Arial"/>
              <w:noProof/>
              <w:szCs w:val="24"/>
            </w:rPr>
          </w:pPr>
          <w:hyperlink w:anchor="_Toc216962451" w:history="1">
            <w:r w:rsidR="00441B4E" w:rsidRPr="00441B4E">
              <w:rPr>
                <w:rStyle w:val="Hyperlink"/>
                <w:rFonts w:ascii="Arial" w:hAnsi="Arial" w:cs="Arial"/>
                <w:noProof/>
                <w:szCs w:val="24"/>
              </w:rPr>
              <w:t>4.3.4</w:t>
            </w:r>
            <w:r w:rsidR="00441B4E" w:rsidRPr="00441B4E">
              <w:rPr>
                <w:rFonts w:ascii="Arial" w:hAnsi="Arial" w:cs="Arial"/>
                <w:noProof/>
                <w:szCs w:val="24"/>
              </w:rPr>
              <w:tab/>
            </w:r>
            <w:r w:rsidR="00441B4E" w:rsidRPr="00441B4E">
              <w:rPr>
                <w:rStyle w:val="Hyperlink"/>
                <w:rFonts w:ascii="Arial" w:hAnsi="Arial" w:cs="Arial"/>
                <w:noProof/>
                <w:szCs w:val="24"/>
              </w:rPr>
              <w:t>Ethical Stewardship and Corporate Social Responsibility (CSR).</w:t>
            </w:r>
            <w:r w:rsidR="00441B4E" w:rsidRPr="00441B4E">
              <w:rPr>
                <w:rFonts w:ascii="Arial" w:hAnsi="Arial" w:cs="Arial"/>
                <w:noProof/>
                <w:webHidden/>
                <w:szCs w:val="24"/>
              </w:rPr>
              <w:tab/>
            </w:r>
            <w:r w:rsidR="00441B4E" w:rsidRPr="00441B4E">
              <w:rPr>
                <w:rFonts w:ascii="Arial" w:hAnsi="Arial" w:cs="Arial"/>
                <w:noProof/>
                <w:webHidden/>
                <w:szCs w:val="24"/>
              </w:rPr>
              <w:fldChar w:fldCharType="begin"/>
            </w:r>
            <w:r w:rsidR="00441B4E" w:rsidRPr="00441B4E">
              <w:rPr>
                <w:rFonts w:ascii="Arial" w:hAnsi="Arial" w:cs="Arial"/>
                <w:noProof/>
                <w:webHidden/>
                <w:szCs w:val="24"/>
              </w:rPr>
              <w:instrText xml:space="preserve"> PAGEREF _Toc216962451 \h </w:instrText>
            </w:r>
            <w:r w:rsidR="00441B4E" w:rsidRPr="00441B4E">
              <w:rPr>
                <w:rFonts w:ascii="Arial" w:hAnsi="Arial" w:cs="Arial"/>
                <w:noProof/>
                <w:webHidden/>
                <w:szCs w:val="24"/>
              </w:rPr>
            </w:r>
            <w:r w:rsidR="00441B4E" w:rsidRPr="00441B4E">
              <w:rPr>
                <w:rFonts w:ascii="Arial" w:hAnsi="Arial" w:cs="Arial"/>
                <w:noProof/>
                <w:webHidden/>
                <w:szCs w:val="24"/>
              </w:rPr>
              <w:fldChar w:fldCharType="separate"/>
            </w:r>
            <w:r w:rsidR="00441B4E" w:rsidRPr="00441B4E">
              <w:rPr>
                <w:rFonts w:ascii="Arial" w:hAnsi="Arial" w:cs="Arial"/>
                <w:noProof/>
                <w:webHidden/>
                <w:szCs w:val="24"/>
              </w:rPr>
              <w:t>15</w:t>
            </w:r>
            <w:r w:rsidR="00441B4E" w:rsidRPr="00441B4E">
              <w:rPr>
                <w:rFonts w:ascii="Arial" w:hAnsi="Arial" w:cs="Arial"/>
                <w:noProof/>
                <w:webHidden/>
                <w:szCs w:val="24"/>
              </w:rPr>
              <w:fldChar w:fldCharType="end"/>
            </w:r>
          </w:hyperlink>
        </w:p>
        <w:p w14:paraId="431B1528" w14:textId="09BFFD78" w:rsidR="00441B4E" w:rsidRPr="00441B4E" w:rsidRDefault="00384CA1">
          <w:pPr>
            <w:pStyle w:val="TOC1"/>
            <w:tabs>
              <w:tab w:val="left" w:pos="480"/>
            </w:tabs>
            <w:rPr>
              <w:rFonts w:ascii="Arial" w:hAnsi="Arial" w:cs="Arial"/>
              <w:noProof/>
              <w:szCs w:val="24"/>
            </w:rPr>
          </w:pPr>
          <w:hyperlink w:anchor="_Toc216962452" w:history="1">
            <w:r w:rsidR="00441B4E" w:rsidRPr="00441B4E">
              <w:rPr>
                <w:rStyle w:val="Hyperlink"/>
                <w:rFonts w:ascii="Arial" w:eastAsia="Times New Roman" w:hAnsi="Arial" w:cs="Arial"/>
                <w:noProof/>
                <w:szCs w:val="24"/>
              </w:rPr>
              <w:t>5</w:t>
            </w:r>
            <w:r w:rsidR="00441B4E" w:rsidRPr="00441B4E">
              <w:rPr>
                <w:rFonts w:ascii="Arial" w:hAnsi="Arial" w:cs="Arial"/>
                <w:noProof/>
                <w:szCs w:val="24"/>
              </w:rPr>
              <w:tab/>
            </w:r>
            <w:r w:rsidR="00441B4E" w:rsidRPr="00441B4E">
              <w:rPr>
                <w:rStyle w:val="Hyperlink"/>
                <w:rFonts w:ascii="Arial" w:hAnsi="Arial" w:cs="Arial"/>
                <w:noProof/>
                <w:szCs w:val="24"/>
              </w:rPr>
              <w:t>Investment Appraisal and Capital Budgeting Analysis</w:t>
            </w:r>
            <w:r w:rsidR="00441B4E" w:rsidRPr="00441B4E">
              <w:rPr>
                <w:rFonts w:ascii="Arial" w:hAnsi="Arial" w:cs="Arial"/>
                <w:noProof/>
                <w:webHidden/>
                <w:szCs w:val="24"/>
              </w:rPr>
              <w:tab/>
            </w:r>
            <w:r w:rsidR="00441B4E" w:rsidRPr="00441B4E">
              <w:rPr>
                <w:rFonts w:ascii="Arial" w:hAnsi="Arial" w:cs="Arial"/>
                <w:noProof/>
                <w:webHidden/>
                <w:szCs w:val="24"/>
              </w:rPr>
              <w:fldChar w:fldCharType="begin"/>
            </w:r>
            <w:r w:rsidR="00441B4E" w:rsidRPr="00441B4E">
              <w:rPr>
                <w:rFonts w:ascii="Arial" w:hAnsi="Arial" w:cs="Arial"/>
                <w:noProof/>
                <w:webHidden/>
                <w:szCs w:val="24"/>
              </w:rPr>
              <w:instrText xml:space="preserve"> PAGEREF _Toc216962452 \h </w:instrText>
            </w:r>
            <w:r w:rsidR="00441B4E" w:rsidRPr="00441B4E">
              <w:rPr>
                <w:rFonts w:ascii="Arial" w:hAnsi="Arial" w:cs="Arial"/>
                <w:noProof/>
                <w:webHidden/>
                <w:szCs w:val="24"/>
              </w:rPr>
            </w:r>
            <w:r w:rsidR="00441B4E" w:rsidRPr="00441B4E">
              <w:rPr>
                <w:rFonts w:ascii="Arial" w:hAnsi="Arial" w:cs="Arial"/>
                <w:noProof/>
                <w:webHidden/>
                <w:szCs w:val="24"/>
              </w:rPr>
              <w:fldChar w:fldCharType="separate"/>
            </w:r>
            <w:r w:rsidR="00441B4E" w:rsidRPr="00441B4E">
              <w:rPr>
                <w:rFonts w:ascii="Arial" w:hAnsi="Arial" w:cs="Arial"/>
                <w:noProof/>
                <w:webHidden/>
                <w:szCs w:val="24"/>
              </w:rPr>
              <w:t>15</w:t>
            </w:r>
            <w:r w:rsidR="00441B4E" w:rsidRPr="00441B4E">
              <w:rPr>
                <w:rFonts w:ascii="Arial" w:hAnsi="Arial" w:cs="Arial"/>
                <w:noProof/>
                <w:webHidden/>
                <w:szCs w:val="24"/>
              </w:rPr>
              <w:fldChar w:fldCharType="end"/>
            </w:r>
          </w:hyperlink>
        </w:p>
        <w:p w14:paraId="010782AA" w14:textId="50F1428A" w:rsidR="00441B4E" w:rsidRPr="00441B4E" w:rsidRDefault="00384CA1">
          <w:pPr>
            <w:pStyle w:val="TOC2"/>
            <w:tabs>
              <w:tab w:val="left" w:pos="880"/>
              <w:tab w:val="right" w:leader="dot" w:pos="9350"/>
            </w:tabs>
            <w:rPr>
              <w:rFonts w:ascii="Arial" w:hAnsi="Arial" w:cs="Arial"/>
              <w:noProof/>
              <w:szCs w:val="24"/>
            </w:rPr>
          </w:pPr>
          <w:hyperlink w:anchor="_Toc216962453" w:history="1">
            <w:r w:rsidR="00441B4E" w:rsidRPr="00441B4E">
              <w:rPr>
                <w:rStyle w:val="Hyperlink"/>
                <w:rFonts w:ascii="Arial" w:hAnsi="Arial" w:cs="Arial"/>
                <w:noProof/>
                <w:szCs w:val="24"/>
              </w:rPr>
              <w:t>5.1</w:t>
            </w:r>
            <w:r w:rsidR="00441B4E" w:rsidRPr="00441B4E">
              <w:rPr>
                <w:rFonts w:ascii="Arial" w:hAnsi="Arial" w:cs="Arial"/>
                <w:noProof/>
                <w:szCs w:val="24"/>
              </w:rPr>
              <w:tab/>
            </w:r>
            <w:r w:rsidR="00441B4E" w:rsidRPr="00441B4E">
              <w:rPr>
                <w:rStyle w:val="Hyperlink"/>
                <w:rFonts w:ascii="Arial" w:hAnsi="Arial" w:cs="Arial"/>
                <w:noProof/>
                <w:szCs w:val="24"/>
              </w:rPr>
              <w:t>Investment Appraisal</w:t>
            </w:r>
            <w:r w:rsidR="00441B4E" w:rsidRPr="00441B4E">
              <w:rPr>
                <w:rFonts w:ascii="Arial" w:hAnsi="Arial" w:cs="Arial"/>
                <w:noProof/>
                <w:webHidden/>
                <w:szCs w:val="24"/>
              </w:rPr>
              <w:tab/>
            </w:r>
            <w:r w:rsidR="00441B4E" w:rsidRPr="00441B4E">
              <w:rPr>
                <w:rFonts w:ascii="Arial" w:hAnsi="Arial" w:cs="Arial"/>
                <w:noProof/>
                <w:webHidden/>
                <w:szCs w:val="24"/>
              </w:rPr>
              <w:fldChar w:fldCharType="begin"/>
            </w:r>
            <w:r w:rsidR="00441B4E" w:rsidRPr="00441B4E">
              <w:rPr>
                <w:rFonts w:ascii="Arial" w:hAnsi="Arial" w:cs="Arial"/>
                <w:noProof/>
                <w:webHidden/>
                <w:szCs w:val="24"/>
              </w:rPr>
              <w:instrText xml:space="preserve"> PAGEREF _Toc216962453 \h </w:instrText>
            </w:r>
            <w:r w:rsidR="00441B4E" w:rsidRPr="00441B4E">
              <w:rPr>
                <w:rFonts w:ascii="Arial" w:hAnsi="Arial" w:cs="Arial"/>
                <w:noProof/>
                <w:webHidden/>
                <w:szCs w:val="24"/>
              </w:rPr>
            </w:r>
            <w:r w:rsidR="00441B4E" w:rsidRPr="00441B4E">
              <w:rPr>
                <w:rFonts w:ascii="Arial" w:hAnsi="Arial" w:cs="Arial"/>
                <w:noProof/>
                <w:webHidden/>
                <w:szCs w:val="24"/>
              </w:rPr>
              <w:fldChar w:fldCharType="separate"/>
            </w:r>
            <w:r w:rsidR="00441B4E" w:rsidRPr="00441B4E">
              <w:rPr>
                <w:rFonts w:ascii="Arial" w:hAnsi="Arial" w:cs="Arial"/>
                <w:noProof/>
                <w:webHidden/>
                <w:szCs w:val="24"/>
              </w:rPr>
              <w:t>16</w:t>
            </w:r>
            <w:r w:rsidR="00441B4E" w:rsidRPr="00441B4E">
              <w:rPr>
                <w:rFonts w:ascii="Arial" w:hAnsi="Arial" w:cs="Arial"/>
                <w:noProof/>
                <w:webHidden/>
                <w:szCs w:val="24"/>
              </w:rPr>
              <w:fldChar w:fldCharType="end"/>
            </w:r>
          </w:hyperlink>
        </w:p>
        <w:p w14:paraId="182C7326" w14:textId="1BEEDB8A" w:rsidR="00441B4E" w:rsidRPr="00441B4E" w:rsidRDefault="00384CA1">
          <w:pPr>
            <w:pStyle w:val="TOC2"/>
            <w:tabs>
              <w:tab w:val="left" w:pos="880"/>
              <w:tab w:val="right" w:leader="dot" w:pos="9350"/>
            </w:tabs>
            <w:rPr>
              <w:rFonts w:ascii="Arial" w:hAnsi="Arial" w:cs="Arial"/>
              <w:noProof/>
              <w:szCs w:val="24"/>
            </w:rPr>
          </w:pPr>
          <w:hyperlink w:anchor="_Toc216962454" w:history="1">
            <w:r w:rsidR="00441B4E" w:rsidRPr="00441B4E">
              <w:rPr>
                <w:rStyle w:val="Hyperlink"/>
                <w:rFonts w:ascii="Arial" w:hAnsi="Arial" w:cs="Arial"/>
                <w:noProof/>
                <w:szCs w:val="24"/>
              </w:rPr>
              <w:t>5.2</w:t>
            </w:r>
            <w:r w:rsidR="00441B4E" w:rsidRPr="00441B4E">
              <w:rPr>
                <w:rFonts w:ascii="Arial" w:hAnsi="Arial" w:cs="Arial"/>
                <w:noProof/>
                <w:szCs w:val="24"/>
              </w:rPr>
              <w:tab/>
            </w:r>
            <w:r w:rsidR="00441B4E" w:rsidRPr="00441B4E">
              <w:rPr>
                <w:rStyle w:val="Hyperlink"/>
                <w:rFonts w:ascii="Arial" w:hAnsi="Arial" w:cs="Arial"/>
                <w:noProof/>
                <w:szCs w:val="24"/>
              </w:rPr>
              <w:t>Analysis and Discussion</w:t>
            </w:r>
            <w:r w:rsidR="00441B4E" w:rsidRPr="00441B4E">
              <w:rPr>
                <w:rFonts w:ascii="Arial" w:hAnsi="Arial" w:cs="Arial"/>
                <w:noProof/>
                <w:webHidden/>
                <w:szCs w:val="24"/>
              </w:rPr>
              <w:tab/>
            </w:r>
            <w:r w:rsidR="00441B4E" w:rsidRPr="00441B4E">
              <w:rPr>
                <w:rFonts w:ascii="Arial" w:hAnsi="Arial" w:cs="Arial"/>
                <w:noProof/>
                <w:webHidden/>
                <w:szCs w:val="24"/>
              </w:rPr>
              <w:fldChar w:fldCharType="begin"/>
            </w:r>
            <w:r w:rsidR="00441B4E" w:rsidRPr="00441B4E">
              <w:rPr>
                <w:rFonts w:ascii="Arial" w:hAnsi="Arial" w:cs="Arial"/>
                <w:noProof/>
                <w:webHidden/>
                <w:szCs w:val="24"/>
              </w:rPr>
              <w:instrText xml:space="preserve"> PAGEREF _Toc216962454 \h </w:instrText>
            </w:r>
            <w:r w:rsidR="00441B4E" w:rsidRPr="00441B4E">
              <w:rPr>
                <w:rFonts w:ascii="Arial" w:hAnsi="Arial" w:cs="Arial"/>
                <w:noProof/>
                <w:webHidden/>
                <w:szCs w:val="24"/>
              </w:rPr>
            </w:r>
            <w:r w:rsidR="00441B4E" w:rsidRPr="00441B4E">
              <w:rPr>
                <w:rFonts w:ascii="Arial" w:hAnsi="Arial" w:cs="Arial"/>
                <w:noProof/>
                <w:webHidden/>
                <w:szCs w:val="24"/>
              </w:rPr>
              <w:fldChar w:fldCharType="separate"/>
            </w:r>
            <w:r w:rsidR="00441B4E" w:rsidRPr="00441B4E">
              <w:rPr>
                <w:rFonts w:ascii="Arial" w:hAnsi="Arial" w:cs="Arial"/>
                <w:noProof/>
                <w:webHidden/>
                <w:szCs w:val="24"/>
              </w:rPr>
              <w:t>18</w:t>
            </w:r>
            <w:r w:rsidR="00441B4E" w:rsidRPr="00441B4E">
              <w:rPr>
                <w:rFonts w:ascii="Arial" w:hAnsi="Arial" w:cs="Arial"/>
                <w:noProof/>
                <w:webHidden/>
                <w:szCs w:val="24"/>
              </w:rPr>
              <w:fldChar w:fldCharType="end"/>
            </w:r>
          </w:hyperlink>
        </w:p>
        <w:p w14:paraId="7C4A45E7" w14:textId="2EE71064" w:rsidR="00441B4E" w:rsidRPr="00441B4E" w:rsidRDefault="00384CA1">
          <w:pPr>
            <w:pStyle w:val="TOC3"/>
            <w:tabs>
              <w:tab w:val="left" w:pos="1320"/>
              <w:tab w:val="right" w:leader="dot" w:pos="9350"/>
            </w:tabs>
            <w:rPr>
              <w:rFonts w:ascii="Arial" w:hAnsi="Arial" w:cs="Arial"/>
              <w:noProof/>
              <w:szCs w:val="24"/>
            </w:rPr>
          </w:pPr>
          <w:hyperlink w:anchor="_Toc216962455" w:history="1">
            <w:r w:rsidR="00441B4E" w:rsidRPr="00441B4E">
              <w:rPr>
                <w:rStyle w:val="Hyperlink"/>
                <w:rFonts w:ascii="Arial" w:hAnsi="Arial" w:cs="Arial"/>
                <w:noProof/>
                <w:szCs w:val="24"/>
              </w:rPr>
              <w:t>5.2.1</w:t>
            </w:r>
            <w:r w:rsidR="00441B4E" w:rsidRPr="00441B4E">
              <w:rPr>
                <w:rFonts w:ascii="Arial" w:hAnsi="Arial" w:cs="Arial"/>
                <w:noProof/>
                <w:szCs w:val="24"/>
              </w:rPr>
              <w:tab/>
            </w:r>
            <w:r w:rsidR="00441B4E" w:rsidRPr="00441B4E">
              <w:rPr>
                <w:rStyle w:val="Hyperlink"/>
                <w:rFonts w:ascii="Arial" w:hAnsi="Arial" w:cs="Arial"/>
                <w:bCs/>
                <w:noProof/>
                <w:szCs w:val="24"/>
              </w:rPr>
              <w:t>Project Ranking and Viability</w:t>
            </w:r>
            <w:r w:rsidR="00441B4E" w:rsidRPr="00441B4E">
              <w:rPr>
                <w:rFonts w:ascii="Arial" w:hAnsi="Arial" w:cs="Arial"/>
                <w:noProof/>
                <w:webHidden/>
                <w:szCs w:val="24"/>
              </w:rPr>
              <w:tab/>
            </w:r>
            <w:r w:rsidR="00441B4E" w:rsidRPr="00441B4E">
              <w:rPr>
                <w:rFonts w:ascii="Arial" w:hAnsi="Arial" w:cs="Arial"/>
                <w:noProof/>
                <w:webHidden/>
                <w:szCs w:val="24"/>
              </w:rPr>
              <w:fldChar w:fldCharType="begin"/>
            </w:r>
            <w:r w:rsidR="00441B4E" w:rsidRPr="00441B4E">
              <w:rPr>
                <w:rFonts w:ascii="Arial" w:hAnsi="Arial" w:cs="Arial"/>
                <w:noProof/>
                <w:webHidden/>
                <w:szCs w:val="24"/>
              </w:rPr>
              <w:instrText xml:space="preserve"> PAGEREF _Toc216962455 \h </w:instrText>
            </w:r>
            <w:r w:rsidR="00441B4E" w:rsidRPr="00441B4E">
              <w:rPr>
                <w:rFonts w:ascii="Arial" w:hAnsi="Arial" w:cs="Arial"/>
                <w:noProof/>
                <w:webHidden/>
                <w:szCs w:val="24"/>
              </w:rPr>
            </w:r>
            <w:r w:rsidR="00441B4E" w:rsidRPr="00441B4E">
              <w:rPr>
                <w:rFonts w:ascii="Arial" w:hAnsi="Arial" w:cs="Arial"/>
                <w:noProof/>
                <w:webHidden/>
                <w:szCs w:val="24"/>
              </w:rPr>
              <w:fldChar w:fldCharType="separate"/>
            </w:r>
            <w:r w:rsidR="00441B4E" w:rsidRPr="00441B4E">
              <w:rPr>
                <w:rFonts w:ascii="Arial" w:hAnsi="Arial" w:cs="Arial"/>
                <w:noProof/>
                <w:webHidden/>
                <w:szCs w:val="24"/>
              </w:rPr>
              <w:t>18</w:t>
            </w:r>
            <w:r w:rsidR="00441B4E" w:rsidRPr="00441B4E">
              <w:rPr>
                <w:rFonts w:ascii="Arial" w:hAnsi="Arial" w:cs="Arial"/>
                <w:noProof/>
                <w:webHidden/>
                <w:szCs w:val="24"/>
              </w:rPr>
              <w:fldChar w:fldCharType="end"/>
            </w:r>
          </w:hyperlink>
        </w:p>
        <w:p w14:paraId="4868B71A" w14:textId="734017EB" w:rsidR="00441B4E" w:rsidRPr="00441B4E" w:rsidRDefault="00384CA1">
          <w:pPr>
            <w:pStyle w:val="TOC3"/>
            <w:tabs>
              <w:tab w:val="left" w:pos="1320"/>
              <w:tab w:val="right" w:leader="dot" w:pos="9350"/>
            </w:tabs>
            <w:rPr>
              <w:rFonts w:ascii="Arial" w:hAnsi="Arial" w:cs="Arial"/>
              <w:noProof/>
              <w:szCs w:val="24"/>
            </w:rPr>
          </w:pPr>
          <w:hyperlink w:anchor="_Toc216962456" w:history="1">
            <w:r w:rsidR="00441B4E" w:rsidRPr="00441B4E">
              <w:rPr>
                <w:rStyle w:val="Hyperlink"/>
                <w:rFonts w:ascii="Arial" w:hAnsi="Arial" w:cs="Arial"/>
                <w:noProof/>
                <w:szCs w:val="24"/>
              </w:rPr>
              <w:t>5.2.2</w:t>
            </w:r>
            <w:r w:rsidR="00441B4E" w:rsidRPr="00441B4E">
              <w:rPr>
                <w:rFonts w:ascii="Arial" w:hAnsi="Arial" w:cs="Arial"/>
                <w:noProof/>
                <w:szCs w:val="24"/>
              </w:rPr>
              <w:tab/>
            </w:r>
            <w:r w:rsidR="00441B4E" w:rsidRPr="00441B4E">
              <w:rPr>
                <w:rStyle w:val="Hyperlink"/>
                <w:rFonts w:ascii="Arial" w:hAnsi="Arial" w:cs="Arial"/>
                <w:bCs/>
                <w:noProof/>
                <w:szCs w:val="24"/>
              </w:rPr>
              <w:t>Justification with Reference to Company's Financial Performance</w:t>
            </w:r>
            <w:r w:rsidR="00441B4E" w:rsidRPr="00441B4E">
              <w:rPr>
                <w:rFonts w:ascii="Arial" w:hAnsi="Arial" w:cs="Arial"/>
                <w:noProof/>
                <w:webHidden/>
                <w:szCs w:val="24"/>
              </w:rPr>
              <w:tab/>
            </w:r>
            <w:r w:rsidR="00441B4E" w:rsidRPr="00441B4E">
              <w:rPr>
                <w:rFonts w:ascii="Arial" w:hAnsi="Arial" w:cs="Arial"/>
                <w:noProof/>
                <w:webHidden/>
                <w:szCs w:val="24"/>
              </w:rPr>
              <w:fldChar w:fldCharType="begin"/>
            </w:r>
            <w:r w:rsidR="00441B4E" w:rsidRPr="00441B4E">
              <w:rPr>
                <w:rFonts w:ascii="Arial" w:hAnsi="Arial" w:cs="Arial"/>
                <w:noProof/>
                <w:webHidden/>
                <w:szCs w:val="24"/>
              </w:rPr>
              <w:instrText xml:space="preserve"> PAGEREF _Toc216962456 \h </w:instrText>
            </w:r>
            <w:r w:rsidR="00441B4E" w:rsidRPr="00441B4E">
              <w:rPr>
                <w:rFonts w:ascii="Arial" w:hAnsi="Arial" w:cs="Arial"/>
                <w:noProof/>
                <w:webHidden/>
                <w:szCs w:val="24"/>
              </w:rPr>
            </w:r>
            <w:r w:rsidR="00441B4E" w:rsidRPr="00441B4E">
              <w:rPr>
                <w:rFonts w:ascii="Arial" w:hAnsi="Arial" w:cs="Arial"/>
                <w:noProof/>
                <w:webHidden/>
                <w:szCs w:val="24"/>
              </w:rPr>
              <w:fldChar w:fldCharType="separate"/>
            </w:r>
            <w:r w:rsidR="00441B4E" w:rsidRPr="00441B4E">
              <w:rPr>
                <w:rFonts w:ascii="Arial" w:hAnsi="Arial" w:cs="Arial"/>
                <w:noProof/>
                <w:webHidden/>
                <w:szCs w:val="24"/>
              </w:rPr>
              <w:t>19</w:t>
            </w:r>
            <w:r w:rsidR="00441B4E" w:rsidRPr="00441B4E">
              <w:rPr>
                <w:rFonts w:ascii="Arial" w:hAnsi="Arial" w:cs="Arial"/>
                <w:noProof/>
                <w:webHidden/>
                <w:szCs w:val="24"/>
              </w:rPr>
              <w:fldChar w:fldCharType="end"/>
            </w:r>
          </w:hyperlink>
        </w:p>
        <w:p w14:paraId="74452C32" w14:textId="6AA26962" w:rsidR="00441B4E" w:rsidRPr="00441B4E" w:rsidRDefault="00384CA1">
          <w:pPr>
            <w:pStyle w:val="TOC3"/>
            <w:tabs>
              <w:tab w:val="left" w:pos="1320"/>
              <w:tab w:val="right" w:leader="dot" w:pos="9350"/>
            </w:tabs>
            <w:rPr>
              <w:rFonts w:ascii="Arial" w:hAnsi="Arial" w:cs="Arial"/>
              <w:noProof/>
              <w:szCs w:val="24"/>
            </w:rPr>
          </w:pPr>
          <w:hyperlink w:anchor="_Toc216962457" w:history="1">
            <w:r w:rsidR="00441B4E" w:rsidRPr="00441B4E">
              <w:rPr>
                <w:rStyle w:val="Hyperlink"/>
                <w:rFonts w:ascii="Arial" w:hAnsi="Arial" w:cs="Arial"/>
                <w:noProof/>
                <w:szCs w:val="24"/>
              </w:rPr>
              <w:t>5.2.3</w:t>
            </w:r>
            <w:r w:rsidR="00441B4E" w:rsidRPr="00441B4E">
              <w:rPr>
                <w:rFonts w:ascii="Arial" w:hAnsi="Arial" w:cs="Arial"/>
                <w:noProof/>
                <w:szCs w:val="24"/>
              </w:rPr>
              <w:tab/>
            </w:r>
            <w:r w:rsidR="00441B4E" w:rsidRPr="00441B4E">
              <w:rPr>
                <w:rStyle w:val="Hyperlink"/>
                <w:rFonts w:ascii="Arial" w:hAnsi="Arial" w:cs="Arial"/>
                <w:bCs/>
                <w:noProof/>
                <w:szCs w:val="24"/>
              </w:rPr>
              <w:t>Project Risk Characteristics</w:t>
            </w:r>
            <w:r w:rsidR="00441B4E" w:rsidRPr="00441B4E">
              <w:rPr>
                <w:rFonts w:ascii="Arial" w:hAnsi="Arial" w:cs="Arial"/>
                <w:noProof/>
                <w:webHidden/>
                <w:szCs w:val="24"/>
              </w:rPr>
              <w:tab/>
            </w:r>
            <w:r w:rsidR="00441B4E" w:rsidRPr="00441B4E">
              <w:rPr>
                <w:rFonts w:ascii="Arial" w:hAnsi="Arial" w:cs="Arial"/>
                <w:noProof/>
                <w:webHidden/>
                <w:szCs w:val="24"/>
              </w:rPr>
              <w:fldChar w:fldCharType="begin"/>
            </w:r>
            <w:r w:rsidR="00441B4E" w:rsidRPr="00441B4E">
              <w:rPr>
                <w:rFonts w:ascii="Arial" w:hAnsi="Arial" w:cs="Arial"/>
                <w:noProof/>
                <w:webHidden/>
                <w:szCs w:val="24"/>
              </w:rPr>
              <w:instrText xml:space="preserve"> PAGEREF _Toc216962457 \h </w:instrText>
            </w:r>
            <w:r w:rsidR="00441B4E" w:rsidRPr="00441B4E">
              <w:rPr>
                <w:rFonts w:ascii="Arial" w:hAnsi="Arial" w:cs="Arial"/>
                <w:noProof/>
                <w:webHidden/>
                <w:szCs w:val="24"/>
              </w:rPr>
            </w:r>
            <w:r w:rsidR="00441B4E" w:rsidRPr="00441B4E">
              <w:rPr>
                <w:rFonts w:ascii="Arial" w:hAnsi="Arial" w:cs="Arial"/>
                <w:noProof/>
                <w:webHidden/>
                <w:szCs w:val="24"/>
              </w:rPr>
              <w:fldChar w:fldCharType="separate"/>
            </w:r>
            <w:r w:rsidR="00441B4E" w:rsidRPr="00441B4E">
              <w:rPr>
                <w:rFonts w:ascii="Arial" w:hAnsi="Arial" w:cs="Arial"/>
                <w:noProof/>
                <w:webHidden/>
                <w:szCs w:val="24"/>
              </w:rPr>
              <w:t>19</w:t>
            </w:r>
            <w:r w:rsidR="00441B4E" w:rsidRPr="00441B4E">
              <w:rPr>
                <w:rFonts w:ascii="Arial" w:hAnsi="Arial" w:cs="Arial"/>
                <w:noProof/>
                <w:webHidden/>
                <w:szCs w:val="24"/>
              </w:rPr>
              <w:fldChar w:fldCharType="end"/>
            </w:r>
          </w:hyperlink>
        </w:p>
        <w:p w14:paraId="1CBD6C82" w14:textId="407F657E" w:rsidR="00441B4E" w:rsidRPr="00441B4E" w:rsidRDefault="00384CA1">
          <w:pPr>
            <w:pStyle w:val="TOC2"/>
            <w:tabs>
              <w:tab w:val="left" w:pos="880"/>
              <w:tab w:val="right" w:leader="dot" w:pos="9350"/>
            </w:tabs>
            <w:rPr>
              <w:rFonts w:ascii="Arial" w:hAnsi="Arial" w:cs="Arial"/>
              <w:noProof/>
              <w:szCs w:val="24"/>
            </w:rPr>
          </w:pPr>
          <w:hyperlink w:anchor="_Toc216962458" w:history="1">
            <w:r w:rsidR="00441B4E" w:rsidRPr="00441B4E">
              <w:rPr>
                <w:rStyle w:val="Hyperlink"/>
                <w:rFonts w:ascii="Arial" w:hAnsi="Arial" w:cs="Arial"/>
                <w:noProof/>
                <w:szCs w:val="24"/>
              </w:rPr>
              <w:t>5.3</w:t>
            </w:r>
            <w:r w:rsidR="00441B4E" w:rsidRPr="00441B4E">
              <w:rPr>
                <w:rFonts w:ascii="Arial" w:hAnsi="Arial" w:cs="Arial"/>
                <w:noProof/>
                <w:szCs w:val="24"/>
              </w:rPr>
              <w:tab/>
            </w:r>
            <w:r w:rsidR="00441B4E" w:rsidRPr="00441B4E">
              <w:rPr>
                <w:rStyle w:val="Hyperlink"/>
                <w:rFonts w:ascii="Arial" w:hAnsi="Arial" w:cs="Arial"/>
                <w:noProof/>
                <w:szCs w:val="24"/>
              </w:rPr>
              <w:t>Investment Recommendation</w:t>
            </w:r>
            <w:r w:rsidR="00441B4E" w:rsidRPr="00441B4E">
              <w:rPr>
                <w:rFonts w:ascii="Arial" w:hAnsi="Arial" w:cs="Arial"/>
                <w:noProof/>
                <w:webHidden/>
                <w:szCs w:val="24"/>
              </w:rPr>
              <w:tab/>
            </w:r>
            <w:r w:rsidR="00441B4E" w:rsidRPr="00441B4E">
              <w:rPr>
                <w:rFonts w:ascii="Arial" w:hAnsi="Arial" w:cs="Arial"/>
                <w:noProof/>
                <w:webHidden/>
                <w:szCs w:val="24"/>
              </w:rPr>
              <w:fldChar w:fldCharType="begin"/>
            </w:r>
            <w:r w:rsidR="00441B4E" w:rsidRPr="00441B4E">
              <w:rPr>
                <w:rFonts w:ascii="Arial" w:hAnsi="Arial" w:cs="Arial"/>
                <w:noProof/>
                <w:webHidden/>
                <w:szCs w:val="24"/>
              </w:rPr>
              <w:instrText xml:space="preserve"> PAGEREF _Toc216962458 \h </w:instrText>
            </w:r>
            <w:r w:rsidR="00441B4E" w:rsidRPr="00441B4E">
              <w:rPr>
                <w:rFonts w:ascii="Arial" w:hAnsi="Arial" w:cs="Arial"/>
                <w:noProof/>
                <w:webHidden/>
                <w:szCs w:val="24"/>
              </w:rPr>
            </w:r>
            <w:r w:rsidR="00441B4E" w:rsidRPr="00441B4E">
              <w:rPr>
                <w:rFonts w:ascii="Arial" w:hAnsi="Arial" w:cs="Arial"/>
                <w:noProof/>
                <w:webHidden/>
                <w:szCs w:val="24"/>
              </w:rPr>
              <w:fldChar w:fldCharType="separate"/>
            </w:r>
            <w:r w:rsidR="00441B4E" w:rsidRPr="00441B4E">
              <w:rPr>
                <w:rFonts w:ascii="Arial" w:hAnsi="Arial" w:cs="Arial"/>
                <w:noProof/>
                <w:webHidden/>
                <w:szCs w:val="24"/>
              </w:rPr>
              <w:t>20</w:t>
            </w:r>
            <w:r w:rsidR="00441B4E" w:rsidRPr="00441B4E">
              <w:rPr>
                <w:rFonts w:ascii="Arial" w:hAnsi="Arial" w:cs="Arial"/>
                <w:noProof/>
                <w:webHidden/>
                <w:szCs w:val="24"/>
              </w:rPr>
              <w:fldChar w:fldCharType="end"/>
            </w:r>
          </w:hyperlink>
        </w:p>
        <w:p w14:paraId="29F871E6" w14:textId="54485630" w:rsidR="00441B4E" w:rsidRPr="00441B4E" w:rsidRDefault="00384CA1">
          <w:pPr>
            <w:pStyle w:val="TOC1"/>
            <w:tabs>
              <w:tab w:val="left" w:pos="480"/>
            </w:tabs>
            <w:rPr>
              <w:rFonts w:ascii="Arial" w:hAnsi="Arial" w:cs="Arial"/>
              <w:noProof/>
              <w:szCs w:val="24"/>
            </w:rPr>
          </w:pPr>
          <w:hyperlink w:anchor="_Toc216962459" w:history="1">
            <w:r w:rsidR="00441B4E" w:rsidRPr="00441B4E">
              <w:rPr>
                <w:rStyle w:val="Hyperlink"/>
                <w:rFonts w:ascii="Arial" w:hAnsi="Arial" w:cs="Arial"/>
                <w:noProof/>
                <w:szCs w:val="24"/>
              </w:rPr>
              <w:t>6</w:t>
            </w:r>
            <w:r w:rsidR="00441B4E" w:rsidRPr="00441B4E">
              <w:rPr>
                <w:rFonts w:ascii="Arial" w:hAnsi="Arial" w:cs="Arial"/>
                <w:noProof/>
                <w:szCs w:val="24"/>
              </w:rPr>
              <w:tab/>
            </w:r>
            <w:r w:rsidR="00441B4E" w:rsidRPr="00441B4E">
              <w:rPr>
                <w:rStyle w:val="Hyperlink"/>
                <w:rFonts w:ascii="Arial" w:hAnsi="Arial" w:cs="Arial"/>
                <w:noProof/>
                <w:szCs w:val="24"/>
              </w:rPr>
              <w:t>Conclusion</w:t>
            </w:r>
            <w:r w:rsidR="00441B4E" w:rsidRPr="00441B4E">
              <w:rPr>
                <w:rFonts w:ascii="Arial" w:hAnsi="Arial" w:cs="Arial"/>
                <w:noProof/>
                <w:webHidden/>
                <w:szCs w:val="24"/>
              </w:rPr>
              <w:tab/>
            </w:r>
            <w:r w:rsidR="00441B4E" w:rsidRPr="00441B4E">
              <w:rPr>
                <w:rFonts w:ascii="Arial" w:hAnsi="Arial" w:cs="Arial"/>
                <w:noProof/>
                <w:webHidden/>
                <w:szCs w:val="24"/>
              </w:rPr>
              <w:fldChar w:fldCharType="begin"/>
            </w:r>
            <w:r w:rsidR="00441B4E" w:rsidRPr="00441B4E">
              <w:rPr>
                <w:rFonts w:ascii="Arial" w:hAnsi="Arial" w:cs="Arial"/>
                <w:noProof/>
                <w:webHidden/>
                <w:szCs w:val="24"/>
              </w:rPr>
              <w:instrText xml:space="preserve"> PAGEREF _Toc216962459 \h </w:instrText>
            </w:r>
            <w:r w:rsidR="00441B4E" w:rsidRPr="00441B4E">
              <w:rPr>
                <w:rFonts w:ascii="Arial" w:hAnsi="Arial" w:cs="Arial"/>
                <w:noProof/>
                <w:webHidden/>
                <w:szCs w:val="24"/>
              </w:rPr>
            </w:r>
            <w:r w:rsidR="00441B4E" w:rsidRPr="00441B4E">
              <w:rPr>
                <w:rFonts w:ascii="Arial" w:hAnsi="Arial" w:cs="Arial"/>
                <w:noProof/>
                <w:webHidden/>
                <w:szCs w:val="24"/>
              </w:rPr>
              <w:fldChar w:fldCharType="separate"/>
            </w:r>
            <w:r w:rsidR="00441B4E" w:rsidRPr="00441B4E">
              <w:rPr>
                <w:rFonts w:ascii="Arial" w:hAnsi="Arial" w:cs="Arial"/>
                <w:noProof/>
                <w:webHidden/>
                <w:szCs w:val="24"/>
              </w:rPr>
              <w:t>21</w:t>
            </w:r>
            <w:r w:rsidR="00441B4E" w:rsidRPr="00441B4E">
              <w:rPr>
                <w:rFonts w:ascii="Arial" w:hAnsi="Arial" w:cs="Arial"/>
                <w:noProof/>
                <w:webHidden/>
                <w:szCs w:val="24"/>
              </w:rPr>
              <w:fldChar w:fldCharType="end"/>
            </w:r>
          </w:hyperlink>
        </w:p>
        <w:p w14:paraId="3B3640A6" w14:textId="2610526F" w:rsidR="00441B4E" w:rsidRPr="00441B4E" w:rsidRDefault="00384CA1">
          <w:pPr>
            <w:pStyle w:val="TOC1"/>
            <w:tabs>
              <w:tab w:val="left" w:pos="480"/>
            </w:tabs>
            <w:rPr>
              <w:rFonts w:ascii="Arial" w:hAnsi="Arial" w:cs="Arial"/>
              <w:noProof/>
              <w:szCs w:val="24"/>
            </w:rPr>
          </w:pPr>
          <w:hyperlink w:anchor="_Toc216962460" w:history="1">
            <w:r w:rsidR="00441B4E" w:rsidRPr="00441B4E">
              <w:rPr>
                <w:rStyle w:val="Hyperlink"/>
                <w:rFonts w:ascii="Arial" w:hAnsi="Arial" w:cs="Arial"/>
                <w:noProof/>
                <w:szCs w:val="24"/>
              </w:rPr>
              <w:t>7</w:t>
            </w:r>
            <w:r w:rsidR="00441B4E" w:rsidRPr="00441B4E">
              <w:rPr>
                <w:rFonts w:ascii="Arial" w:hAnsi="Arial" w:cs="Arial"/>
                <w:noProof/>
                <w:szCs w:val="24"/>
              </w:rPr>
              <w:tab/>
            </w:r>
            <w:r w:rsidR="00441B4E" w:rsidRPr="00441B4E">
              <w:rPr>
                <w:rStyle w:val="Hyperlink"/>
                <w:rFonts w:ascii="Arial" w:hAnsi="Arial" w:cs="Arial"/>
                <w:noProof/>
                <w:szCs w:val="24"/>
              </w:rPr>
              <w:t>References</w:t>
            </w:r>
            <w:r w:rsidR="00441B4E" w:rsidRPr="00441B4E">
              <w:rPr>
                <w:rFonts w:ascii="Arial" w:hAnsi="Arial" w:cs="Arial"/>
                <w:noProof/>
                <w:webHidden/>
                <w:szCs w:val="24"/>
              </w:rPr>
              <w:tab/>
            </w:r>
            <w:r w:rsidR="00441B4E" w:rsidRPr="00441B4E">
              <w:rPr>
                <w:rFonts w:ascii="Arial" w:hAnsi="Arial" w:cs="Arial"/>
                <w:noProof/>
                <w:webHidden/>
                <w:szCs w:val="24"/>
              </w:rPr>
              <w:fldChar w:fldCharType="begin"/>
            </w:r>
            <w:r w:rsidR="00441B4E" w:rsidRPr="00441B4E">
              <w:rPr>
                <w:rFonts w:ascii="Arial" w:hAnsi="Arial" w:cs="Arial"/>
                <w:noProof/>
                <w:webHidden/>
                <w:szCs w:val="24"/>
              </w:rPr>
              <w:instrText xml:space="preserve"> PAGEREF _Toc216962460 \h </w:instrText>
            </w:r>
            <w:r w:rsidR="00441B4E" w:rsidRPr="00441B4E">
              <w:rPr>
                <w:rFonts w:ascii="Arial" w:hAnsi="Arial" w:cs="Arial"/>
                <w:noProof/>
                <w:webHidden/>
                <w:szCs w:val="24"/>
              </w:rPr>
            </w:r>
            <w:r w:rsidR="00441B4E" w:rsidRPr="00441B4E">
              <w:rPr>
                <w:rFonts w:ascii="Arial" w:hAnsi="Arial" w:cs="Arial"/>
                <w:noProof/>
                <w:webHidden/>
                <w:szCs w:val="24"/>
              </w:rPr>
              <w:fldChar w:fldCharType="separate"/>
            </w:r>
            <w:r w:rsidR="00441B4E" w:rsidRPr="00441B4E">
              <w:rPr>
                <w:rFonts w:ascii="Arial" w:hAnsi="Arial" w:cs="Arial"/>
                <w:noProof/>
                <w:webHidden/>
                <w:szCs w:val="24"/>
              </w:rPr>
              <w:t>22</w:t>
            </w:r>
            <w:r w:rsidR="00441B4E" w:rsidRPr="00441B4E">
              <w:rPr>
                <w:rFonts w:ascii="Arial" w:hAnsi="Arial" w:cs="Arial"/>
                <w:noProof/>
                <w:webHidden/>
                <w:szCs w:val="24"/>
              </w:rPr>
              <w:fldChar w:fldCharType="end"/>
            </w:r>
          </w:hyperlink>
        </w:p>
        <w:p w14:paraId="2B5AEDB5" w14:textId="128F990C" w:rsidR="00441B4E" w:rsidRPr="00441B4E" w:rsidRDefault="00384CA1">
          <w:pPr>
            <w:pStyle w:val="TOC1"/>
            <w:tabs>
              <w:tab w:val="left" w:pos="480"/>
            </w:tabs>
            <w:rPr>
              <w:rFonts w:ascii="Arial" w:hAnsi="Arial" w:cs="Arial"/>
              <w:noProof/>
              <w:szCs w:val="24"/>
            </w:rPr>
          </w:pPr>
          <w:hyperlink w:anchor="_Toc216962461" w:history="1">
            <w:r w:rsidR="00441B4E" w:rsidRPr="00441B4E">
              <w:rPr>
                <w:rStyle w:val="Hyperlink"/>
                <w:rFonts w:ascii="Arial" w:hAnsi="Arial" w:cs="Arial"/>
                <w:noProof/>
                <w:szCs w:val="24"/>
              </w:rPr>
              <w:t>8</w:t>
            </w:r>
            <w:r w:rsidR="00441B4E" w:rsidRPr="00441B4E">
              <w:rPr>
                <w:rFonts w:ascii="Arial" w:hAnsi="Arial" w:cs="Arial"/>
                <w:noProof/>
                <w:szCs w:val="24"/>
              </w:rPr>
              <w:tab/>
            </w:r>
            <w:r w:rsidR="00441B4E" w:rsidRPr="00441B4E">
              <w:rPr>
                <w:rStyle w:val="Hyperlink"/>
                <w:rFonts w:ascii="Arial" w:hAnsi="Arial" w:cs="Arial"/>
                <w:noProof/>
                <w:szCs w:val="24"/>
              </w:rPr>
              <w:t>Appendix</w:t>
            </w:r>
            <w:r w:rsidR="00441B4E" w:rsidRPr="00441B4E">
              <w:rPr>
                <w:rFonts w:ascii="Arial" w:hAnsi="Arial" w:cs="Arial"/>
                <w:noProof/>
                <w:webHidden/>
                <w:szCs w:val="24"/>
              </w:rPr>
              <w:tab/>
            </w:r>
            <w:r w:rsidR="00441B4E" w:rsidRPr="00441B4E">
              <w:rPr>
                <w:rFonts w:ascii="Arial" w:hAnsi="Arial" w:cs="Arial"/>
                <w:noProof/>
                <w:webHidden/>
                <w:szCs w:val="24"/>
              </w:rPr>
              <w:fldChar w:fldCharType="begin"/>
            </w:r>
            <w:r w:rsidR="00441B4E" w:rsidRPr="00441B4E">
              <w:rPr>
                <w:rFonts w:ascii="Arial" w:hAnsi="Arial" w:cs="Arial"/>
                <w:noProof/>
                <w:webHidden/>
                <w:szCs w:val="24"/>
              </w:rPr>
              <w:instrText xml:space="preserve"> PAGEREF _Toc216962461 \h </w:instrText>
            </w:r>
            <w:r w:rsidR="00441B4E" w:rsidRPr="00441B4E">
              <w:rPr>
                <w:rFonts w:ascii="Arial" w:hAnsi="Arial" w:cs="Arial"/>
                <w:noProof/>
                <w:webHidden/>
                <w:szCs w:val="24"/>
              </w:rPr>
            </w:r>
            <w:r w:rsidR="00441B4E" w:rsidRPr="00441B4E">
              <w:rPr>
                <w:rFonts w:ascii="Arial" w:hAnsi="Arial" w:cs="Arial"/>
                <w:noProof/>
                <w:webHidden/>
                <w:szCs w:val="24"/>
              </w:rPr>
              <w:fldChar w:fldCharType="separate"/>
            </w:r>
            <w:r w:rsidR="00441B4E" w:rsidRPr="00441B4E">
              <w:rPr>
                <w:rFonts w:ascii="Arial" w:hAnsi="Arial" w:cs="Arial"/>
                <w:noProof/>
                <w:webHidden/>
                <w:szCs w:val="24"/>
              </w:rPr>
              <w:t>25</w:t>
            </w:r>
            <w:r w:rsidR="00441B4E" w:rsidRPr="00441B4E">
              <w:rPr>
                <w:rFonts w:ascii="Arial" w:hAnsi="Arial" w:cs="Arial"/>
                <w:noProof/>
                <w:webHidden/>
                <w:szCs w:val="24"/>
              </w:rPr>
              <w:fldChar w:fldCharType="end"/>
            </w:r>
          </w:hyperlink>
        </w:p>
        <w:p w14:paraId="42AA79F9" w14:textId="77777777" w:rsidR="003E73C6" w:rsidRPr="00441B4E" w:rsidRDefault="003E73C6" w:rsidP="003E73C6">
          <w:pPr>
            <w:spacing w:line="360" w:lineRule="auto"/>
            <w:rPr>
              <w:rFonts w:ascii="Arial" w:hAnsi="Arial" w:cs="Arial"/>
              <w:szCs w:val="24"/>
            </w:rPr>
          </w:pPr>
          <w:r w:rsidRPr="00441B4E">
            <w:rPr>
              <w:rFonts w:ascii="Arial" w:hAnsi="Arial" w:cs="Arial"/>
              <w:b/>
              <w:bCs/>
              <w:noProof/>
              <w:szCs w:val="24"/>
            </w:rPr>
            <w:fldChar w:fldCharType="end"/>
          </w:r>
        </w:p>
      </w:sdtContent>
    </w:sdt>
    <w:p w14:paraId="66B04FD1" w14:textId="07E8D427" w:rsidR="00EB7F65" w:rsidRPr="00441B4E" w:rsidRDefault="003E73C6" w:rsidP="003805F3">
      <w:pPr>
        <w:pStyle w:val="Heading1"/>
        <w:rPr>
          <w:sz w:val="24"/>
        </w:rPr>
      </w:pPr>
      <w:r w:rsidRPr="00441B4E">
        <w:rPr>
          <w:sz w:val="24"/>
        </w:rPr>
        <w:br w:type="page"/>
      </w:r>
      <w:bookmarkStart w:id="0" w:name="_Toc216962426"/>
      <w:r w:rsidR="00EB7F65" w:rsidRPr="00441B4E">
        <w:rPr>
          <w:sz w:val="24"/>
        </w:rPr>
        <w:lastRenderedPageBreak/>
        <w:t>Introduction</w:t>
      </w:r>
      <w:bookmarkEnd w:id="0"/>
      <w:r w:rsidR="00EB7F65" w:rsidRPr="00441B4E">
        <w:rPr>
          <w:sz w:val="24"/>
        </w:rPr>
        <w:t xml:space="preserve"> </w:t>
      </w:r>
    </w:p>
    <w:p w14:paraId="14F2F373" w14:textId="318D53DA" w:rsidR="00032037" w:rsidRPr="00441B4E" w:rsidRDefault="00032037" w:rsidP="00896F28">
      <w:pPr>
        <w:spacing w:line="360" w:lineRule="auto"/>
        <w:jc w:val="both"/>
        <w:rPr>
          <w:rFonts w:ascii="Arial" w:eastAsia="Times New Roman" w:hAnsi="Arial" w:cs="Arial"/>
          <w:color w:val="0F1115"/>
          <w:szCs w:val="24"/>
        </w:rPr>
      </w:pPr>
      <w:r w:rsidRPr="00441B4E">
        <w:rPr>
          <w:rFonts w:ascii="Arial" w:eastAsia="Times New Roman" w:hAnsi="Arial" w:cs="Arial"/>
          <w:color w:val="0F1115"/>
          <w:szCs w:val="24"/>
        </w:rPr>
        <w:t>It is an analytical examination of the financial environment and the strategic course of restoration of a multinational corporation of consumer electronics that is on the verge of corporate collapse, General Electronics. The report brings out the inherent flaws in the ratio of profitability, liquidity and solvency by modelling the corporate failure prediction by addressing the ratios, working capital and evaluation of solvency. The company analysis reveals that the company is experiencing pathetic declines in shareholder values, a cancerous liquidity crisis and unsustainable amounts of debt. Using this analytic, the report creates integrated strategic solutions which involve reforms in the working capital, financial restructuring options and rigid investment appraisal within the capital constraints. The recommendations not only focus on short-term survival concerns but also on long-term value creation that puts the company in a sustainable recovery and considers the complexities of the international environment and moral concerns of restructuring decisions in an international environment.</w:t>
      </w:r>
    </w:p>
    <w:p w14:paraId="15D6A9CB" w14:textId="77777777" w:rsidR="00441B4E" w:rsidRPr="00441B4E" w:rsidRDefault="00441B4E" w:rsidP="00896F28">
      <w:pPr>
        <w:spacing w:line="360" w:lineRule="auto"/>
        <w:jc w:val="both"/>
        <w:rPr>
          <w:rFonts w:ascii="Arial" w:eastAsia="Times New Roman" w:hAnsi="Arial" w:cs="Arial"/>
          <w:color w:val="0F1115"/>
          <w:szCs w:val="24"/>
        </w:rPr>
      </w:pPr>
    </w:p>
    <w:p w14:paraId="4772332E" w14:textId="5C5CE1C0" w:rsidR="00961DD8" w:rsidRPr="00441B4E" w:rsidRDefault="00961DD8" w:rsidP="00896F28">
      <w:pPr>
        <w:pStyle w:val="Heading1"/>
        <w:rPr>
          <w:sz w:val="24"/>
        </w:rPr>
      </w:pPr>
      <w:bookmarkStart w:id="1" w:name="_Toc216962427"/>
      <w:r w:rsidRPr="00441B4E">
        <w:rPr>
          <w:sz w:val="24"/>
        </w:rPr>
        <w:t>Ratio Analysis</w:t>
      </w:r>
      <w:bookmarkEnd w:id="1"/>
      <w:r w:rsidRPr="00441B4E">
        <w:rPr>
          <w:sz w:val="24"/>
        </w:rPr>
        <w:t xml:space="preserve"> </w:t>
      </w:r>
    </w:p>
    <w:p w14:paraId="03225297" w14:textId="673C81D2" w:rsidR="003F3653" w:rsidRPr="00441B4E" w:rsidRDefault="003F3653" w:rsidP="003F3653">
      <w:pPr>
        <w:spacing w:line="360" w:lineRule="auto"/>
        <w:jc w:val="both"/>
        <w:rPr>
          <w:rFonts w:ascii="Arial" w:eastAsia="Times New Roman" w:hAnsi="Arial" w:cs="Arial"/>
          <w:color w:val="0F1115"/>
          <w:szCs w:val="24"/>
        </w:rPr>
      </w:pPr>
      <w:r w:rsidRPr="00441B4E">
        <w:rPr>
          <w:rFonts w:ascii="Arial" w:eastAsia="Times New Roman" w:hAnsi="Arial" w:cs="Arial"/>
          <w:color w:val="0F1115"/>
          <w:szCs w:val="24"/>
        </w:rPr>
        <w:t xml:space="preserve">The analysis of financial ratios between the five years of 2020-24 provides a compelling understanding of the company and its experience in such a difficult period and how it has managed to recover. The liquidity ratios assess the ability of a company to pay short term obligations using the most liquid assets available to the company. The ratios are necessary to determine financial safety and operational stability (Welc, 2016). Assessing the capacity of a firm to meet short-term obligations, the stakeholders can determine its financial viability and insolvency (Dalayeen, 2016). Creditors and investors would find the analysis of liquidity particularly important to learn more about the short-term financial sustainability (Novyarni and Ningsih, 2020). Profitability ratios are used to measure the capability of a company to generate profits in comparison to its revenue, assets and equity. These ratios play an essential role in the assessment of the operational performance and financial performance (Shalini and Vijayalakshmi, 2021). They assist the stakeholders to identify the efficiency with which a company transforms the sales into profits and expenditures (Šestanj–Perica, Kozjak, and Kovšca, 2019). Profitability ratios and the analysis of financial ratios help to understand the economic performance of a </w:t>
      </w:r>
      <w:r w:rsidRPr="00441B4E">
        <w:rPr>
          <w:rFonts w:ascii="Arial" w:eastAsia="Times New Roman" w:hAnsi="Arial" w:cs="Arial"/>
          <w:color w:val="0F1115"/>
          <w:szCs w:val="24"/>
        </w:rPr>
        <w:lastRenderedPageBreak/>
        <w:t>company and its sustainability (Lubis, 2023). Gearing ratios or leverage ratios are closely related in the sense that they assess the financial structure of the company in the long term, in terms of the level of debt in comparison to the level of equity. These ratios aid in the determination of financial risk and efficiency of capital (Kowalik, 2018). A high gearing ratio can reflect increased financial risk whereas a low ratio reflects conservative financing (EE and Addai, 2015). Market value ratios, which are also referred to as investment ratios, are ratios that can be used by investors in order to determine the appeal of the stock of a company based on dividends, market performance and earnings. The ratios are essential in making sound investment choices (Singh, 2017). They give information about the returns of shareholders, price-to-earnings, and the dividend policy (Rusgowanto and Panggabean, 2021). Analysts greatly use investment ratios to compare companies operating in the same industry and determine their performance in the relative market (Krylov, 2021).</w:t>
      </w:r>
    </w:p>
    <w:p w14:paraId="174D5485" w14:textId="77777777" w:rsidR="00441B4E" w:rsidRPr="00441B4E" w:rsidRDefault="00441B4E" w:rsidP="003F3653">
      <w:pPr>
        <w:spacing w:line="360" w:lineRule="auto"/>
        <w:jc w:val="both"/>
        <w:rPr>
          <w:rFonts w:ascii="Arial" w:eastAsia="Times New Roman" w:hAnsi="Arial" w:cs="Arial"/>
          <w:color w:val="0F1115"/>
          <w:szCs w:val="24"/>
        </w:rPr>
      </w:pPr>
    </w:p>
    <w:p w14:paraId="56C72D64" w14:textId="64720208" w:rsidR="00961DD8" w:rsidRPr="00441B4E" w:rsidRDefault="00961DD8" w:rsidP="003805F3">
      <w:pPr>
        <w:pStyle w:val="Heading2"/>
        <w:rPr>
          <w:rFonts w:cs="Arial"/>
          <w:szCs w:val="24"/>
        </w:rPr>
      </w:pPr>
      <w:bookmarkStart w:id="2" w:name="_Toc216962428"/>
      <w:r w:rsidRPr="00441B4E">
        <w:rPr>
          <w:rFonts w:cs="Arial"/>
          <w:szCs w:val="24"/>
        </w:rPr>
        <w:t>Profitability Analysis</w:t>
      </w:r>
      <w:bookmarkEnd w:id="2"/>
    </w:p>
    <w:p w14:paraId="32253A8F" w14:textId="77777777" w:rsidR="003F3653" w:rsidRPr="00441B4E" w:rsidRDefault="003F3653" w:rsidP="003F3653">
      <w:pPr>
        <w:spacing w:line="360" w:lineRule="auto"/>
        <w:jc w:val="both"/>
        <w:rPr>
          <w:rFonts w:ascii="Arial" w:eastAsia="Times New Roman" w:hAnsi="Arial" w:cs="Arial"/>
          <w:color w:val="0F1115"/>
          <w:szCs w:val="24"/>
        </w:rPr>
      </w:pPr>
      <w:r w:rsidRPr="00441B4E">
        <w:rPr>
          <w:rFonts w:ascii="Arial" w:eastAsia="Times New Roman" w:hAnsi="Arial" w:cs="Arial"/>
          <w:color w:val="0F1115"/>
          <w:szCs w:val="24"/>
        </w:rPr>
        <w:t>Profitability ratios show the capacity of a company to earn income in relation to its revenues of the company, assets, and equity. The review shows a drastic and dramatic drop in the profitability of General Electronics within the five years. Gross Profit Margin decreased to a low of 23.20% in 2023, but later rebounded and stood at 28.87 in 2024. The 2023 decline is especially worrisome because Net Sales (420,457m) was high, whereas the Cost of Sales was relatively high (322,897m), so the pressure is on the costs of production or the impossibility to transfer the increase in input costs to the clientele. Operating Margin dropped down to 2023 to -</w:t>
      </w:r>
      <w:r w:rsidR="00032037" w:rsidRPr="00441B4E">
        <w:rPr>
          <w:rFonts w:ascii="Arial" w:eastAsia="Times New Roman" w:hAnsi="Arial" w:cs="Arial"/>
          <w:color w:val="0F1115"/>
          <w:szCs w:val="24"/>
        </w:rPr>
        <w:t>20.29 %</w:t>
      </w:r>
      <w:r w:rsidRPr="00441B4E">
        <w:rPr>
          <w:rFonts w:ascii="Arial" w:eastAsia="Times New Roman" w:hAnsi="Arial" w:cs="Arial"/>
          <w:color w:val="0F1115"/>
          <w:szCs w:val="24"/>
        </w:rPr>
        <w:t xml:space="preserve">compared to </w:t>
      </w:r>
      <w:r w:rsidR="00032037" w:rsidRPr="00441B4E">
        <w:rPr>
          <w:rFonts w:ascii="Arial" w:eastAsia="Times New Roman" w:hAnsi="Arial" w:cs="Arial"/>
          <w:color w:val="0F1115"/>
          <w:szCs w:val="24"/>
        </w:rPr>
        <w:t>6.06 %</w:t>
      </w:r>
      <w:r w:rsidRPr="00441B4E">
        <w:rPr>
          <w:rFonts w:ascii="Arial" w:eastAsia="Times New Roman" w:hAnsi="Arial" w:cs="Arial"/>
          <w:color w:val="0F1115"/>
          <w:szCs w:val="24"/>
        </w:rPr>
        <w:t xml:space="preserve">in 2020 and increased to </w:t>
      </w:r>
      <w:r w:rsidR="00032037" w:rsidRPr="00441B4E">
        <w:rPr>
          <w:rFonts w:ascii="Arial" w:eastAsia="Times New Roman" w:hAnsi="Arial" w:cs="Arial"/>
          <w:color w:val="0F1115"/>
          <w:szCs w:val="24"/>
        </w:rPr>
        <w:t xml:space="preserve">3.87 % </w:t>
      </w:r>
      <w:r w:rsidRPr="00441B4E">
        <w:rPr>
          <w:rFonts w:ascii="Arial" w:eastAsia="Times New Roman" w:hAnsi="Arial" w:cs="Arial"/>
          <w:color w:val="0F1115"/>
          <w:szCs w:val="24"/>
        </w:rPr>
        <w:t>in 2024. The impairment of goodwill of 49,075m in 2023 is an indicator that past acquisitions have been impaired by a considerable amount. The Net Profit Margin has fallen to -23.36% in 2023 and has stayed at -6.09% in 2024. In 2023, ROA dropped to -27.60% of the previous year 7.56 per cent, which means that 27 pence out of every pound of assets have been destroyed. ROE was destroyed, as it decreased to -54.91% in 2023, that is, the company lost more than half of its equity worth in one year. These losses have been disastrously increased by high financial leverage.</w:t>
      </w:r>
    </w:p>
    <w:p w14:paraId="3CD206C3" w14:textId="0410F9D0" w:rsidR="003805F3" w:rsidRPr="00441B4E" w:rsidRDefault="003805F3" w:rsidP="003F3653">
      <w:pPr>
        <w:spacing w:line="360" w:lineRule="auto"/>
        <w:jc w:val="both"/>
        <w:rPr>
          <w:rFonts w:ascii="Arial" w:eastAsia="Times New Roman" w:hAnsi="Arial" w:cs="Arial"/>
          <w:color w:val="0F1115"/>
          <w:szCs w:val="24"/>
        </w:rPr>
      </w:pPr>
      <w:r w:rsidRPr="00441B4E">
        <w:rPr>
          <w:rFonts w:ascii="Arial" w:hAnsi="Arial" w:cs="Arial"/>
          <w:noProof/>
          <w:szCs w:val="24"/>
        </w:rPr>
        <w:lastRenderedPageBreak/>
        <w:drawing>
          <wp:inline distT="0" distB="0" distL="0" distR="0" wp14:anchorId="1A4C5BD5" wp14:editId="2CEB6E9E">
            <wp:extent cx="5882640" cy="3101340"/>
            <wp:effectExtent l="0" t="0" r="3810" b="381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94459A3" w14:textId="7078A4C6" w:rsidR="00961DD8" w:rsidRPr="00441B4E" w:rsidRDefault="00961DD8" w:rsidP="00896F28">
      <w:pPr>
        <w:pStyle w:val="Heading2"/>
        <w:spacing w:line="360" w:lineRule="auto"/>
        <w:jc w:val="both"/>
        <w:rPr>
          <w:rFonts w:cs="Arial"/>
          <w:szCs w:val="24"/>
        </w:rPr>
      </w:pPr>
      <w:bookmarkStart w:id="3" w:name="_Toc216962429"/>
      <w:r w:rsidRPr="00441B4E">
        <w:rPr>
          <w:rFonts w:cs="Arial"/>
          <w:szCs w:val="24"/>
        </w:rPr>
        <w:t>Liquidity Analysis</w:t>
      </w:r>
      <w:bookmarkEnd w:id="3"/>
    </w:p>
    <w:p w14:paraId="2E2FAC51" w14:textId="01EA4530" w:rsidR="00961DD8" w:rsidRPr="00441B4E" w:rsidRDefault="00032037" w:rsidP="00032037">
      <w:pPr>
        <w:spacing w:line="360" w:lineRule="auto"/>
        <w:jc w:val="both"/>
        <w:rPr>
          <w:rFonts w:ascii="Arial" w:eastAsia="Times New Roman" w:hAnsi="Arial" w:cs="Arial"/>
          <w:color w:val="0F1115"/>
          <w:szCs w:val="24"/>
        </w:rPr>
      </w:pPr>
      <w:r w:rsidRPr="00441B4E">
        <w:rPr>
          <w:rFonts w:ascii="Arial" w:eastAsia="Times New Roman" w:hAnsi="Arial" w:cs="Arial"/>
          <w:color w:val="0F1115"/>
          <w:szCs w:val="24"/>
        </w:rPr>
        <w:t>Liquidity ratios indicate the capability of the company to pay its immediate payables. The trend behind the trend indicates that there is a liquidity squeeze that is of considerable magnitude and aggravated. The Current Ratio dropped to 1.61 in 2024, down to 1.82 in the year 2020. More disclosing is the Quick Ratio which declined to 0.96 as compared to 1.09. A current ratio lower than 1.0 also means that the most liquid assets in the company are not enough to finance its current obligations without the sale of inventory. The most serious indicator is the Cash Ratio, as it decreased twice, 0.32 up to 0.17 in 2020 and in 2024, respectively. This indicates a dramatic withdrawal of the cash buffer in the company, which has put General Electronics at a high risk of being solvent. The steady cash outflow of 66,740m in 2022 down to 26,783m in 2024 is something to worry about.</w:t>
      </w:r>
    </w:p>
    <w:p w14:paraId="554B4D61" w14:textId="44E474CE" w:rsidR="003805F3" w:rsidRPr="00441B4E" w:rsidRDefault="003805F3" w:rsidP="00032037">
      <w:pPr>
        <w:spacing w:line="360" w:lineRule="auto"/>
        <w:jc w:val="both"/>
        <w:rPr>
          <w:rFonts w:ascii="Arial" w:eastAsia="Times New Roman" w:hAnsi="Arial" w:cs="Arial"/>
          <w:color w:val="0F1115"/>
          <w:szCs w:val="24"/>
        </w:rPr>
      </w:pPr>
      <w:r w:rsidRPr="00441B4E">
        <w:rPr>
          <w:rFonts w:ascii="Arial" w:hAnsi="Arial" w:cs="Arial"/>
          <w:noProof/>
          <w:szCs w:val="24"/>
        </w:rPr>
        <w:lastRenderedPageBreak/>
        <w:drawing>
          <wp:inline distT="0" distB="0" distL="0" distR="0" wp14:anchorId="0B61D243" wp14:editId="14110EA4">
            <wp:extent cx="5753100" cy="3307080"/>
            <wp:effectExtent l="0" t="0" r="0" b="762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5F25AB1" w14:textId="7883E5F8" w:rsidR="00961DD8" w:rsidRPr="00441B4E" w:rsidRDefault="00961DD8" w:rsidP="00896F28">
      <w:pPr>
        <w:pStyle w:val="Heading2"/>
        <w:spacing w:line="360" w:lineRule="auto"/>
        <w:jc w:val="both"/>
        <w:rPr>
          <w:rFonts w:cs="Arial"/>
          <w:szCs w:val="24"/>
        </w:rPr>
      </w:pPr>
      <w:bookmarkStart w:id="4" w:name="_Toc216962430"/>
      <w:r w:rsidRPr="00441B4E">
        <w:rPr>
          <w:rFonts w:cs="Arial"/>
          <w:szCs w:val="24"/>
        </w:rPr>
        <w:t>Efficiency Analysis</w:t>
      </w:r>
      <w:bookmarkEnd w:id="4"/>
    </w:p>
    <w:p w14:paraId="6D8E2C23" w14:textId="5DC74115" w:rsidR="00961DD8" w:rsidRPr="00441B4E" w:rsidRDefault="00032037" w:rsidP="00896F28">
      <w:pPr>
        <w:shd w:val="clear" w:color="auto" w:fill="FFFFFF"/>
        <w:spacing w:line="360" w:lineRule="auto"/>
        <w:jc w:val="both"/>
        <w:rPr>
          <w:rFonts w:ascii="Arial" w:eastAsia="Times New Roman" w:hAnsi="Arial" w:cs="Arial"/>
          <w:color w:val="0F1115"/>
          <w:szCs w:val="24"/>
        </w:rPr>
      </w:pPr>
      <w:r w:rsidRPr="00441B4E">
        <w:rPr>
          <w:rFonts w:ascii="Arial" w:eastAsia="Times New Roman" w:hAnsi="Arial" w:cs="Arial"/>
          <w:color w:val="0F1115"/>
          <w:szCs w:val="24"/>
        </w:rPr>
        <w:t>The efficiencies ratios indicate a drastic failure in the working capital management which is a direct cause of the liquidity crisis. The highest level of inventory days were reached in 2022 with 131 days and in 2024 with 103 days, which is better than 100 days in 2020. The state of receivables days deteriorated significantly to 115 days. This is a high inventory coupled with high receivables, hence causing the cash to be locked up in longer periods crippling the cash flow of the company. The number of Payables Days had grown to 94 days in 2024 against 69 days in 2020 to indicate that the company is taking a long time to pay its due to conserve capital, an action that poses a risk to destroy important supplier relationships. The increased Cash Conversion Cycle is that the company is now taking a long time to translate investments made in inventory into cash.</w:t>
      </w:r>
    </w:p>
    <w:p w14:paraId="0DCC9B86" w14:textId="45C0E67A" w:rsidR="003805F3" w:rsidRPr="00441B4E" w:rsidRDefault="003805F3" w:rsidP="00896F28">
      <w:pPr>
        <w:shd w:val="clear" w:color="auto" w:fill="FFFFFF"/>
        <w:spacing w:line="360" w:lineRule="auto"/>
        <w:jc w:val="both"/>
        <w:rPr>
          <w:rFonts w:ascii="Arial" w:eastAsia="Times New Roman" w:hAnsi="Arial" w:cs="Arial"/>
          <w:color w:val="0F1115"/>
          <w:szCs w:val="24"/>
        </w:rPr>
      </w:pPr>
      <w:r w:rsidRPr="00441B4E">
        <w:rPr>
          <w:rFonts w:ascii="Arial" w:hAnsi="Arial" w:cs="Arial"/>
          <w:noProof/>
          <w:szCs w:val="24"/>
        </w:rPr>
        <w:lastRenderedPageBreak/>
        <w:drawing>
          <wp:inline distT="0" distB="0" distL="0" distR="0" wp14:anchorId="5E5E1894" wp14:editId="5B0E7816">
            <wp:extent cx="5875020" cy="275082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456AD9D" w14:textId="77777777" w:rsidR="00933640" w:rsidRPr="00441B4E" w:rsidRDefault="00933640" w:rsidP="00896F28">
      <w:pPr>
        <w:shd w:val="clear" w:color="auto" w:fill="FFFFFF"/>
        <w:spacing w:line="360" w:lineRule="auto"/>
        <w:jc w:val="both"/>
        <w:rPr>
          <w:rFonts w:ascii="Arial" w:eastAsia="Times New Roman" w:hAnsi="Arial" w:cs="Arial"/>
          <w:color w:val="0F1115"/>
          <w:szCs w:val="24"/>
        </w:rPr>
      </w:pPr>
    </w:p>
    <w:p w14:paraId="02403407" w14:textId="183EF851" w:rsidR="00961DD8" w:rsidRPr="00441B4E" w:rsidRDefault="00961DD8" w:rsidP="00896F28">
      <w:pPr>
        <w:pStyle w:val="Heading2"/>
        <w:spacing w:line="360" w:lineRule="auto"/>
        <w:jc w:val="both"/>
        <w:rPr>
          <w:rFonts w:cs="Arial"/>
          <w:szCs w:val="24"/>
        </w:rPr>
      </w:pPr>
      <w:bookmarkStart w:id="5" w:name="_Toc216962431"/>
      <w:r w:rsidRPr="00441B4E">
        <w:rPr>
          <w:rFonts w:cs="Arial"/>
          <w:szCs w:val="24"/>
        </w:rPr>
        <w:t>Gearing (Leverage) Analysis</w:t>
      </w:r>
      <w:bookmarkEnd w:id="5"/>
    </w:p>
    <w:p w14:paraId="7418A703" w14:textId="6974446C" w:rsidR="00961DD8" w:rsidRPr="00441B4E" w:rsidRDefault="00032037" w:rsidP="00896F28">
      <w:pPr>
        <w:shd w:val="clear" w:color="auto" w:fill="FFFFFF"/>
        <w:spacing w:line="360" w:lineRule="auto"/>
        <w:jc w:val="both"/>
        <w:rPr>
          <w:rFonts w:ascii="Arial" w:eastAsia="Times New Roman" w:hAnsi="Arial" w:cs="Arial"/>
          <w:color w:val="0F1115"/>
          <w:szCs w:val="24"/>
        </w:rPr>
      </w:pPr>
      <w:r w:rsidRPr="00441B4E">
        <w:rPr>
          <w:rFonts w:ascii="Arial" w:eastAsia="Times New Roman" w:hAnsi="Arial" w:cs="Arial"/>
          <w:color w:val="0F1115"/>
          <w:szCs w:val="24"/>
        </w:rPr>
        <w:t>Financial risk is represented by gearing ratios that are threatening to rise. The Gearing Ratio soared aggressive with 38.60% in 2020 progressing to 52.65 in 2024. More emphatically, the Debt-to-Equity ratio increased by 0.63 to 1.11 implying that the company is now more debting than equitized. This leveraged position was presumably employed to finance operation as cash flow worsens and catastrophically amplifies losses in case a company is not profitable. Interest Cover ratio fell significantly form a very comfortable 26.21 in 2020 to figures that are negative. A negative ratio is a red flag alert, the company is no longer operating at a profit, it does not have the profit to pay the mandatory interest, and is at a high risk of default.</w:t>
      </w:r>
    </w:p>
    <w:p w14:paraId="2C71DCC5" w14:textId="77777777" w:rsidR="00441B4E" w:rsidRPr="00441B4E" w:rsidRDefault="00441B4E" w:rsidP="00896F28">
      <w:pPr>
        <w:shd w:val="clear" w:color="auto" w:fill="FFFFFF"/>
        <w:spacing w:line="360" w:lineRule="auto"/>
        <w:jc w:val="both"/>
        <w:rPr>
          <w:rFonts w:ascii="Arial" w:eastAsia="Times New Roman" w:hAnsi="Arial" w:cs="Arial"/>
          <w:color w:val="0F1115"/>
          <w:szCs w:val="24"/>
        </w:rPr>
      </w:pPr>
    </w:p>
    <w:p w14:paraId="70CC2051" w14:textId="6E96CE00" w:rsidR="00961DD8" w:rsidRPr="00441B4E" w:rsidRDefault="00961DD8" w:rsidP="00896F28">
      <w:pPr>
        <w:pStyle w:val="Heading2"/>
        <w:spacing w:line="360" w:lineRule="auto"/>
        <w:jc w:val="both"/>
        <w:rPr>
          <w:rFonts w:cs="Arial"/>
          <w:szCs w:val="24"/>
        </w:rPr>
      </w:pPr>
      <w:bookmarkStart w:id="6" w:name="_Toc216962432"/>
      <w:r w:rsidRPr="00441B4E">
        <w:rPr>
          <w:rFonts w:cs="Arial"/>
          <w:szCs w:val="24"/>
        </w:rPr>
        <w:t>Investment and Cash Flow Analysis</w:t>
      </w:r>
      <w:bookmarkEnd w:id="6"/>
    </w:p>
    <w:p w14:paraId="6200A881" w14:textId="3DDE4ABE" w:rsidR="00961DD8" w:rsidRPr="00441B4E" w:rsidRDefault="00032037" w:rsidP="00896F28">
      <w:pPr>
        <w:shd w:val="clear" w:color="auto" w:fill="FFFFFF"/>
        <w:spacing w:line="360" w:lineRule="auto"/>
        <w:jc w:val="both"/>
        <w:rPr>
          <w:rFonts w:ascii="Arial" w:eastAsia="Times New Roman" w:hAnsi="Arial" w:cs="Arial"/>
          <w:color w:val="0F1115"/>
          <w:szCs w:val="24"/>
        </w:rPr>
      </w:pPr>
      <w:r w:rsidRPr="00441B4E">
        <w:rPr>
          <w:rFonts w:ascii="Arial" w:eastAsia="Times New Roman" w:hAnsi="Arial" w:cs="Arial"/>
          <w:color w:val="0F1115"/>
          <w:szCs w:val="24"/>
        </w:rPr>
        <w:t xml:space="preserve">The severity of the deterioration is supported by investment and cash flow measures. Basic EPS declined by a profit of PS2.78 per share in 2020 to an unimaginable loss of PS7.64 in 2023, to a loss of PS1.85 in 2024. The Operating Cash Flow Margin has fallen as the figure of 11.94% in 2020 to 3.75% in 2024, which means that a much smaller percentage of every pound of sales is turning into cash. The Free Cash Flow decreased significantly compared to PS56,530m in 2020 to PS10,250m in 2024, which implies that </w:t>
      </w:r>
      <w:r w:rsidRPr="00441B4E">
        <w:rPr>
          <w:rFonts w:ascii="Arial" w:eastAsia="Times New Roman" w:hAnsi="Arial" w:cs="Arial"/>
          <w:color w:val="0F1115"/>
          <w:szCs w:val="24"/>
        </w:rPr>
        <w:lastRenderedPageBreak/>
        <w:t xml:space="preserve">the company will have significantly fewer funds to pay dividends, reduce debt, or invest in strategic matters. </w:t>
      </w:r>
    </w:p>
    <w:p w14:paraId="13E62D4C" w14:textId="77777777" w:rsidR="00441B4E" w:rsidRPr="00441B4E" w:rsidRDefault="00441B4E" w:rsidP="00896F28">
      <w:pPr>
        <w:shd w:val="clear" w:color="auto" w:fill="FFFFFF"/>
        <w:spacing w:line="360" w:lineRule="auto"/>
        <w:jc w:val="both"/>
        <w:rPr>
          <w:rFonts w:ascii="Arial" w:eastAsia="Times New Roman" w:hAnsi="Arial" w:cs="Arial"/>
          <w:color w:val="0F1115"/>
          <w:szCs w:val="24"/>
        </w:rPr>
      </w:pPr>
    </w:p>
    <w:p w14:paraId="4E4D380D" w14:textId="3D0B9CF3" w:rsidR="00961DD8" w:rsidRPr="00441B4E" w:rsidRDefault="0044392D" w:rsidP="00896F28">
      <w:pPr>
        <w:pStyle w:val="Heading2"/>
        <w:spacing w:line="360" w:lineRule="auto"/>
        <w:jc w:val="both"/>
        <w:rPr>
          <w:rFonts w:cs="Arial"/>
          <w:szCs w:val="24"/>
        </w:rPr>
      </w:pPr>
      <w:bookmarkStart w:id="7" w:name="_Toc216962433"/>
      <w:r w:rsidRPr="00441B4E">
        <w:rPr>
          <w:rFonts w:cs="Arial"/>
          <w:szCs w:val="24"/>
          <w:shd w:val="clear" w:color="auto" w:fill="FFFFFF"/>
        </w:rPr>
        <w:t>Altman Z-Score</w:t>
      </w:r>
      <w:bookmarkEnd w:id="7"/>
    </w:p>
    <w:p w14:paraId="036C26BD" w14:textId="5C4F2AF6" w:rsidR="0044392D" w:rsidRPr="00441B4E" w:rsidRDefault="00032037" w:rsidP="00896F28">
      <w:pPr>
        <w:shd w:val="clear" w:color="auto" w:fill="FFFFFF"/>
        <w:spacing w:line="360" w:lineRule="auto"/>
        <w:jc w:val="both"/>
        <w:rPr>
          <w:rFonts w:ascii="Arial" w:eastAsia="Times New Roman" w:hAnsi="Arial" w:cs="Arial"/>
          <w:color w:val="0F1115"/>
          <w:szCs w:val="24"/>
        </w:rPr>
      </w:pPr>
      <w:r w:rsidRPr="00441B4E">
        <w:rPr>
          <w:rFonts w:ascii="Arial" w:eastAsia="Times New Roman" w:hAnsi="Arial" w:cs="Arial"/>
          <w:color w:val="0F1115"/>
          <w:szCs w:val="24"/>
        </w:rPr>
        <w:t>Altman Z-Score dropped to a dangerous 1.633 in 2023 after being a safe mark of 2.685 in 2020, only to go back to 2.280 in 2024, which is still under the safe mark. The worst indicator is the disastrous fall in the retained earnings section which portrays the accumulated huge losses that have drained the equity cushion of the company.</w:t>
      </w:r>
    </w:p>
    <w:p w14:paraId="643011C8" w14:textId="77777777" w:rsidR="00933640" w:rsidRPr="00441B4E" w:rsidRDefault="00933640" w:rsidP="00896F28">
      <w:pPr>
        <w:shd w:val="clear" w:color="auto" w:fill="FFFFFF"/>
        <w:spacing w:line="360" w:lineRule="auto"/>
        <w:jc w:val="both"/>
        <w:rPr>
          <w:rFonts w:ascii="Arial" w:eastAsia="Times New Roman" w:hAnsi="Arial" w:cs="Arial"/>
          <w:color w:val="0F1115"/>
          <w:szCs w:val="24"/>
        </w:rPr>
      </w:pPr>
    </w:p>
    <w:p w14:paraId="6716D63B" w14:textId="10068266" w:rsidR="00E91936" w:rsidRPr="00441B4E" w:rsidRDefault="00E91936" w:rsidP="00896F28">
      <w:pPr>
        <w:pStyle w:val="Heading1"/>
        <w:rPr>
          <w:sz w:val="24"/>
        </w:rPr>
      </w:pPr>
      <w:bookmarkStart w:id="8" w:name="_Toc216962434"/>
      <w:r w:rsidRPr="00441B4E">
        <w:rPr>
          <w:sz w:val="24"/>
        </w:rPr>
        <w:t>Working Capital Management Analysis.</w:t>
      </w:r>
      <w:bookmarkEnd w:id="8"/>
    </w:p>
    <w:p w14:paraId="722590C3" w14:textId="41F1C805" w:rsidR="00E91936" w:rsidRPr="00441B4E" w:rsidRDefault="00E91936" w:rsidP="00896F28">
      <w:pPr>
        <w:pStyle w:val="Heading2"/>
        <w:spacing w:line="360" w:lineRule="auto"/>
        <w:jc w:val="both"/>
        <w:rPr>
          <w:rFonts w:cs="Arial"/>
          <w:szCs w:val="24"/>
        </w:rPr>
      </w:pPr>
      <w:bookmarkStart w:id="9" w:name="_Toc216962435"/>
      <w:r w:rsidRPr="00441B4E">
        <w:rPr>
          <w:rFonts w:cs="Arial"/>
          <w:szCs w:val="24"/>
        </w:rPr>
        <w:t>Evaluation of the Cash Operating Cycle</w:t>
      </w:r>
      <w:bookmarkEnd w:id="9"/>
    </w:p>
    <w:p w14:paraId="262F884B" w14:textId="34044771" w:rsidR="00E91936" w:rsidRPr="00441B4E" w:rsidRDefault="00E91936" w:rsidP="00896F28">
      <w:pPr>
        <w:spacing w:line="360" w:lineRule="auto"/>
        <w:jc w:val="both"/>
        <w:rPr>
          <w:rFonts w:ascii="Arial" w:hAnsi="Arial" w:cs="Arial"/>
          <w:szCs w:val="24"/>
        </w:rPr>
      </w:pPr>
      <w:r w:rsidRPr="00441B4E">
        <w:rPr>
          <w:rFonts w:ascii="Arial" w:hAnsi="Arial" w:cs="Arial"/>
          <w:szCs w:val="24"/>
        </w:rPr>
        <w:t>Cash Operating Cycle (COC) is an important indicator of the efficiency of working capital and it shows how many days the company has the cash it has invested in operations tied up without being converted back into cash. In the case of General Electronics, a COC review conducted within the last five years shows that the company has a very acutely worsening working capital management issue, which is one of the main causes of its rising liquidity crisis. It has taken the cycle, which was at 114 days in 2020, a record high of 145 days in 2022 and a minor gain of 124 days in 2024. This implies that the company now requires more than four months to turn its inventory investment into cash which is not sustainable strain on its cash holdings. The deterioration is motivated by two major factors, the drastic rise of Receivables Days as 83 days in 2020 and 115 days in 2024, which shows the severely impaired collection work, a bold yet risky move to extend Payables Days aggressively to 69 days in 2020 and 94 days in 2024 in the effort to save cash. General Electric, in a nutshell, is subsidizing its customers on longer durations of purchases and at the same time deliberately withhold payments to its own suppliers, which is a vicious circle, which directly leads to the liquidity drain in the form of its shrinking cash balance.</w:t>
      </w:r>
    </w:p>
    <w:p w14:paraId="2335783E" w14:textId="35AFA43C" w:rsidR="00441B4E" w:rsidRPr="00441B4E" w:rsidRDefault="00441B4E" w:rsidP="00896F28">
      <w:pPr>
        <w:spacing w:line="360" w:lineRule="auto"/>
        <w:jc w:val="both"/>
        <w:rPr>
          <w:rFonts w:ascii="Arial" w:hAnsi="Arial" w:cs="Arial"/>
          <w:szCs w:val="24"/>
        </w:rPr>
      </w:pPr>
    </w:p>
    <w:p w14:paraId="2E3C58AE" w14:textId="77777777" w:rsidR="00441B4E" w:rsidRPr="00441B4E" w:rsidRDefault="00441B4E" w:rsidP="00896F28">
      <w:pPr>
        <w:spacing w:line="360" w:lineRule="auto"/>
        <w:jc w:val="both"/>
        <w:rPr>
          <w:rFonts w:ascii="Arial" w:hAnsi="Arial" w:cs="Arial"/>
          <w:szCs w:val="24"/>
        </w:rPr>
      </w:pPr>
    </w:p>
    <w:p w14:paraId="088C7E0A" w14:textId="7D54C24B" w:rsidR="00E91936" w:rsidRPr="00441B4E" w:rsidRDefault="00E91936" w:rsidP="00896F28">
      <w:pPr>
        <w:pStyle w:val="Heading2"/>
        <w:spacing w:line="360" w:lineRule="auto"/>
        <w:jc w:val="both"/>
        <w:rPr>
          <w:rFonts w:cs="Arial"/>
          <w:szCs w:val="24"/>
        </w:rPr>
      </w:pPr>
      <w:bookmarkStart w:id="10" w:name="_Toc216962436"/>
      <w:r w:rsidRPr="00441B4E">
        <w:rPr>
          <w:rFonts w:cs="Arial"/>
          <w:szCs w:val="24"/>
        </w:rPr>
        <w:lastRenderedPageBreak/>
        <w:t>Suggested Measures to enhance Liquidity by Working Capital Reforms.</w:t>
      </w:r>
      <w:bookmarkEnd w:id="10"/>
    </w:p>
    <w:p w14:paraId="10CC027A" w14:textId="0A606A7D" w:rsidR="00E91936" w:rsidRPr="00441B4E" w:rsidRDefault="00E91936" w:rsidP="00896F28">
      <w:pPr>
        <w:spacing w:line="360" w:lineRule="auto"/>
        <w:jc w:val="both"/>
        <w:rPr>
          <w:rFonts w:ascii="Arial" w:hAnsi="Arial" w:cs="Arial"/>
          <w:szCs w:val="24"/>
        </w:rPr>
      </w:pPr>
      <w:r w:rsidRPr="00441B4E">
        <w:rPr>
          <w:rFonts w:ascii="Arial" w:hAnsi="Arial" w:cs="Arial"/>
          <w:szCs w:val="24"/>
        </w:rPr>
        <w:t>A multi-layered reform plan that focuses on all elements of the COC is necessary to undo the liquidity crisis. To overcome the severe problem of receivables, the company will have to tighten its credit policy immediately through a detailed screening of the creditworthiness of customers and put more strict limits. Moreover, it needs to automate the collections process and have a special team, and dynamic discounts on early payments may encourage quick deliveries. In the case of inventory optimization, General Electronics would have to use Just-in-Time (JIT) system together with major suppliers to ensure holding levels are minimized and use ABC analysis to direct management energies on high value stock. The urgent direct measure is to clear any old or sluggish stock by vigorous promotions to turn dead money into cash. Concerning payables, the current policy of unilateral delays in the form of payment is risky and unsustainable. The company needs to move towards mending relationships with the suppliers by having open discussions to formalize the longer payment period in return of future commitments of ordering so as to have the supply chain stable in addition to managing the cash outflow. All these reforms will dramatically reduce the Cash Operating Cycle and release billions of pounds bound up in working capital and have a direct effect on liquidity.</w:t>
      </w:r>
    </w:p>
    <w:p w14:paraId="2FE1EB6B" w14:textId="77777777" w:rsidR="00441B4E" w:rsidRPr="00441B4E" w:rsidRDefault="00441B4E" w:rsidP="00896F28">
      <w:pPr>
        <w:spacing w:line="360" w:lineRule="auto"/>
        <w:jc w:val="both"/>
        <w:rPr>
          <w:rFonts w:ascii="Arial" w:hAnsi="Arial" w:cs="Arial"/>
          <w:szCs w:val="24"/>
        </w:rPr>
      </w:pPr>
    </w:p>
    <w:p w14:paraId="7D87C8AD" w14:textId="394AF21A" w:rsidR="00E91936" w:rsidRPr="00441B4E" w:rsidRDefault="00E91936" w:rsidP="00896F28">
      <w:pPr>
        <w:pStyle w:val="Heading2"/>
        <w:spacing w:line="360" w:lineRule="auto"/>
        <w:jc w:val="both"/>
        <w:rPr>
          <w:rFonts w:cs="Arial"/>
          <w:szCs w:val="24"/>
        </w:rPr>
      </w:pPr>
      <w:bookmarkStart w:id="11" w:name="_Toc216962437"/>
      <w:r w:rsidRPr="00441B4E">
        <w:rPr>
          <w:rFonts w:cs="Arial"/>
          <w:szCs w:val="24"/>
        </w:rPr>
        <w:t>Short-term and Long-term Financing.</w:t>
      </w:r>
      <w:bookmarkEnd w:id="11"/>
    </w:p>
    <w:p w14:paraId="5D2A8431" w14:textId="62444424" w:rsidR="00961DD8" w:rsidRPr="00441B4E" w:rsidRDefault="00E91936" w:rsidP="00896F28">
      <w:pPr>
        <w:spacing w:line="360" w:lineRule="auto"/>
        <w:jc w:val="both"/>
        <w:rPr>
          <w:rFonts w:ascii="Arial" w:hAnsi="Arial" w:cs="Arial"/>
          <w:szCs w:val="24"/>
        </w:rPr>
      </w:pPr>
      <w:r w:rsidRPr="00441B4E">
        <w:rPr>
          <w:rFonts w:ascii="Arial" w:hAnsi="Arial" w:cs="Arial"/>
          <w:szCs w:val="24"/>
        </w:rPr>
        <w:t xml:space="preserve">Considering the fact that the company has been operating at a loss and is also inefficient in terms of working capital, it is likely that General Electronics will also have to seek outside sources of finance to ease the current liquidity shortfall during the turnaround. It is crucial whether to make short-term or long-term decisions and determine how to correspond to the specifics of the crisis in the company. Short term loans, e.g. bank overdraft or short term loans, are intended to cover a temporary cash crunch and usually have low, though variable, interest rates. Nonetheless, it is a serious threat to General Electronics, as it means that it has to be renewed regularly and subject the business to the refinancing risk and the risk of credit being withdrawn by the lenders, an unfavorable stance of a business that has no easy way to earn profits. Long-term financing, such as corporate bonds, long-term loans or equity issue, on the other hand, is stipulated to be used in case of fundamental restructuring and offers stability of capital over a few years. </w:t>
      </w:r>
      <w:r w:rsidRPr="00441B4E">
        <w:rPr>
          <w:rFonts w:ascii="Arial" w:hAnsi="Arial" w:cs="Arial"/>
          <w:szCs w:val="24"/>
        </w:rPr>
        <w:lastRenderedPageBreak/>
        <w:t>Although it tends to be a more expensive approach in terms of interest or shareholder dilution, it will provide a smoother repayment profile and remove the dangerous refinancing risk. In the case of General Electronics, whose ills are not temporary but structural, additional short-term financing should not be perpetrated. The firm should rather focus on getting long-term funding to establish a steady platform to its turnaround strategy, and an injection of equity in the company would be a particularly wise choice in strengthening the balance sheet without contributing to its crushing debt repayment.</w:t>
      </w:r>
    </w:p>
    <w:p w14:paraId="6FF706FF" w14:textId="77777777" w:rsidR="00933640" w:rsidRPr="00441B4E" w:rsidRDefault="00933640" w:rsidP="00896F28">
      <w:pPr>
        <w:spacing w:line="360" w:lineRule="auto"/>
        <w:jc w:val="both"/>
        <w:rPr>
          <w:rFonts w:ascii="Arial" w:hAnsi="Arial" w:cs="Arial"/>
          <w:szCs w:val="24"/>
        </w:rPr>
      </w:pPr>
    </w:p>
    <w:p w14:paraId="431E22A5" w14:textId="5B327412" w:rsidR="00E91936" w:rsidRPr="00441B4E" w:rsidRDefault="00E91936" w:rsidP="00896F28">
      <w:pPr>
        <w:pStyle w:val="Heading1"/>
        <w:rPr>
          <w:sz w:val="24"/>
        </w:rPr>
      </w:pPr>
      <w:bookmarkStart w:id="12" w:name="_Toc216962438"/>
      <w:r w:rsidRPr="00441B4E">
        <w:rPr>
          <w:sz w:val="24"/>
        </w:rPr>
        <w:t>Strategic Financial Restructuring Plan.</w:t>
      </w:r>
      <w:bookmarkEnd w:id="12"/>
    </w:p>
    <w:p w14:paraId="7623DB6C" w14:textId="77777777" w:rsidR="00E91936" w:rsidRPr="00441B4E" w:rsidRDefault="00E91936" w:rsidP="00896F28">
      <w:pPr>
        <w:spacing w:line="360" w:lineRule="auto"/>
        <w:jc w:val="both"/>
        <w:rPr>
          <w:rFonts w:ascii="Arial" w:hAnsi="Arial" w:cs="Arial"/>
          <w:szCs w:val="24"/>
        </w:rPr>
      </w:pPr>
      <w:r w:rsidRPr="00441B4E">
        <w:rPr>
          <w:rFonts w:ascii="Arial" w:hAnsi="Arial" w:cs="Arial"/>
          <w:szCs w:val="24"/>
        </w:rPr>
        <w:t>Introduction and Rationale of comprehensive Restructuring.</w:t>
      </w:r>
    </w:p>
    <w:p w14:paraId="58A5A303" w14:textId="027F0443" w:rsidR="00E91936" w:rsidRPr="00441B4E" w:rsidRDefault="00E91936" w:rsidP="00896F28">
      <w:pPr>
        <w:spacing w:line="360" w:lineRule="auto"/>
        <w:jc w:val="both"/>
        <w:rPr>
          <w:rFonts w:ascii="Arial" w:hAnsi="Arial" w:cs="Arial"/>
          <w:szCs w:val="24"/>
        </w:rPr>
      </w:pPr>
      <w:r w:rsidRPr="00441B4E">
        <w:rPr>
          <w:rFonts w:ascii="Arial" w:hAnsi="Arial" w:cs="Arial"/>
          <w:szCs w:val="24"/>
        </w:rPr>
        <w:t>General Electronics has reached an existential crisis, with years of large net losses (PS98,238 million in 2023 and PS24,029 million in 2024), a critically low cash balance (depleted compared to PS66,740 million in 2022) and a dangerously long cash operating cycle (124 days) all contributing to the existential threat. The old way of operations of the company, based on unstable short-term credit on lines, and the strategic holding off of credits to its creditors, has been ultimately unsustainable and has been seen to merely defer a financial confrontation that was well on its way. The capital structure is no longer sustainable and the debt to equity ratio of 1.11 and negative interest turnover (-4.55) show that it is not able to meet current debt interest obligations through operational cash flow.</w:t>
      </w:r>
    </w:p>
    <w:p w14:paraId="5DD32740" w14:textId="77777777" w:rsidR="00933640" w:rsidRPr="00441B4E" w:rsidRDefault="00933640" w:rsidP="00896F28">
      <w:pPr>
        <w:spacing w:line="360" w:lineRule="auto"/>
        <w:jc w:val="both"/>
        <w:rPr>
          <w:rFonts w:ascii="Arial" w:hAnsi="Arial" w:cs="Arial"/>
          <w:szCs w:val="24"/>
        </w:rPr>
      </w:pPr>
    </w:p>
    <w:p w14:paraId="656B8FC4" w14:textId="119CB58E" w:rsidR="00E91936" w:rsidRPr="00441B4E" w:rsidRDefault="00E91936" w:rsidP="00896F28">
      <w:pPr>
        <w:pStyle w:val="Heading2"/>
        <w:spacing w:line="360" w:lineRule="auto"/>
        <w:jc w:val="both"/>
        <w:rPr>
          <w:rFonts w:cs="Arial"/>
          <w:szCs w:val="24"/>
        </w:rPr>
      </w:pPr>
      <w:bookmarkStart w:id="13" w:name="_Toc216962439"/>
      <w:r w:rsidRPr="00441B4E">
        <w:rPr>
          <w:rFonts w:cs="Arial"/>
          <w:szCs w:val="24"/>
        </w:rPr>
        <w:t>Suggested Financial Restructuring Alternatives.</w:t>
      </w:r>
      <w:bookmarkEnd w:id="13"/>
    </w:p>
    <w:p w14:paraId="6A773EB2" w14:textId="37E5C864" w:rsidR="00E91936" w:rsidRPr="00441B4E" w:rsidRDefault="00E91936" w:rsidP="00896F28">
      <w:pPr>
        <w:spacing w:line="360" w:lineRule="auto"/>
        <w:jc w:val="both"/>
        <w:rPr>
          <w:rFonts w:ascii="Arial" w:hAnsi="Arial" w:cs="Arial"/>
          <w:szCs w:val="24"/>
        </w:rPr>
      </w:pPr>
      <w:r w:rsidRPr="00441B4E">
        <w:rPr>
          <w:rFonts w:ascii="Arial" w:hAnsi="Arial" w:cs="Arial"/>
          <w:szCs w:val="24"/>
        </w:rPr>
        <w:t>Considering the scale and multi-dimensional character of the crisis, the adoption of a set of restructuring options as proposed below is suggested in order to have an overall financial recovery.</w:t>
      </w:r>
    </w:p>
    <w:p w14:paraId="05456EE3" w14:textId="77777777" w:rsidR="00933640" w:rsidRPr="00441B4E" w:rsidRDefault="00933640" w:rsidP="00896F28">
      <w:pPr>
        <w:spacing w:line="360" w:lineRule="auto"/>
        <w:jc w:val="both"/>
        <w:rPr>
          <w:rFonts w:ascii="Arial" w:hAnsi="Arial" w:cs="Arial"/>
          <w:szCs w:val="24"/>
        </w:rPr>
      </w:pPr>
    </w:p>
    <w:p w14:paraId="7BAD3376" w14:textId="5626AB23" w:rsidR="00E91936" w:rsidRPr="00441B4E" w:rsidRDefault="00E91936" w:rsidP="00896F28">
      <w:pPr>
        <w:pStyle w:val="Heading3"/>
        <w:spacing w:line="360" w:lineRule="auto"/>
      </w:pPr>
      <w:bookmarkStart w:id="14" w:name="_Toc216962440"/>
      <w:r w:rsidRPr="00441B4E">
        <w:t>Non-Core and Underperforming Business Unit Strategic Divestiture.</w:t>
      </w:r>
      <w:bookmarkEnd w:id="14"/>
    </w:p>
    <w:p w14:paraId="3E9C3F49" w14:textId="77777777" w:rsidR="00E91936" w:rsidRPr="00441B4E" w:rsidRDefault="00E91936" w:rsidP="00896F28">
      <w:pPr>
        <w:spacing w:line="360" w:lineRule="auto"/>
        <w:jc w:val="both"/>
        <w:rPr>
          <w:rFonts w:ascii="Arial" w:hAnsi="Arial" w:cs="Arial"/>
          <w:szCs w:val="24"/>
        </w:rPr>
      </w:pPr>
      <w:r w:rsidRPr="00441B4E">
        <w:rPr>
          <w:rFonts w:ascii="Arial" w:hAnsi="Arial" w:cs="Arial"/>
          <w:szCs w:val="24"/>
        </w:rPr>
        <w:t xml:space="preserve">A strictly implemented strategic divestiture programme would form the most immediate source of cash generation and a very strong indication of financial markets. General Electronics asset base and segment performance analysis indicates that the company is holding a lot of capital in non-core or poorly performing business units. The company ought to embark it on a detailed portfolio analysis to determine and plan to divest the </w:t>
      </w:r>
      <w:r w:rsidRPr="00441B4E">
        <w:rPr>
          <w:rFonts w:ascii="Arial" w:hAnsi="Arial" w:cs="Arial"/>
          <w:szCs w:val="24"/>
        </w:rPr>
        <w:lastRenderedPageBreak/>
        <w:t>product lines, geographic units or subsidiary companies that are either habitual to losses, are generating low returns on capital or no longer fit in the future core strategy of a lean and focused electronic business.</w:t>
      </w:r>
    </w:p>
    <w:p w14:paraId="0B34B275" w14:textId="77777777" w:rsidR="00E91936" w:rsidRPr="00441B4E" w:rsidRDefault="00E91936" w:rsidP="00896F28">
      <w:pPr>
        <w:spacing w:line="360" w:lineRule="auto"/>
        <w:jc w:val="both"/>
        <w:rPr>
          <w:rFonts w:ascii="Arial" w:hAnsi="Arial" w:cs="Arial"/>
          <w:szCs w:val="24"/>
        </w:rPr>
      </w:pPr>
    </w:p>
    <w:p w14:paraId="7FAEEB4C" w14:textId="689DFC90" w:rsidR="00E91936" w:rsidRPr="00441B4E" w:rsidRDefault="00E91936" w:rsidP="00896F28">
      <w:pPr>
        <w:pStyle w:val="Heading3"/>
        <w:spacing w:line="360" w:lineRule="auto"/>
      </w:pPr>
      <w:bookmarkStart w:id="15" w:name="_Toc216962441"/>
      <w:r w:rsidRPr="00441B4E">
        <w:t>Recapitalisation of the Balance Sheet by Equity Injection through a Rights Issue.</w:t>
      </w:r>
      <w:bookmarkEnd w:id="15"/>
    </w:p>
    <w:p w14:paraId="7485B6AC" w14:textId="77777777" w:rsidR="00E91936" w:rsidRPr="00441B4E" w:rsidRDefault="00E91936" w:rsidP="00896F28">
      <w:pPr>
        <w:spacing w:line="360" w:lineRule="auto"/>
        <w:jc w:val="both"/>
        <w:rPr>
          <w:rFonts w:ascii="Arial" w:hAnsi="Arial" w:cs="Arial"/>
          <w:szCs w:val="24"/>
        </w:rPr>
      </w:pPr>
      <w:r w:rsidRPr="00441B4E">
        <w:rPr>
          <w:rFonts w:ascii="Arial" w:hAnsi="Arial" w:cs="Arial"/>
          <w:szCs w:val="24"/>
        </w:rPr>
        <w:t>The main goal of the capital raised, which is expected to be about PS40-50 billion, would be the systematic elimination of total liabilities of the company that is PS170,249 million. This would not only instantly and drastically reduce the life threatening debt-to-equity ratio of 1.11 to a more manageable target of less than 0.7. In addition, it would substantially lower the annual interest payable on crushing, which was PS3,361 million in 2024 3 cash outlay that the company cannot afford. Although the concept of dilution of current shareholders is acknowledged, it is important to explain that such a temporary dilution is a strategic sacrifice against the much higher chance of loss of the entire capital through a state of insolvency. This is because the core requirement of any long-term value creation would be a stronger, deleveraged balance sheet.</w:t>
      </w:r>
    </w:p>
    <w:p w14:paraId="48BDCC43" w14:textId="77777777" w:rsidR="00E91936" w:rsidRPr="00441B4E" w:rsidRDefault="00E91936" w:rsidP="00896F28">
      <w:pPr>
        <w:spacing w:line="360" w:lineRule="auto"/>
        <w:jc w:val="both"/>
        <w:rPr>
          <w:rFonts w:ascii="Arial" w:hAnsi="Arial" w:cs="Arial"/>
          <w:szCs w:val="24"/>
        </w:rPr>
      </w:pPr>
    </w:p>
    <w:p w14:paraId="3451EFD8" w14:textId="62A46EAC" w:rsidR="00E91936" w:rsidRPr="00441B4E" w:rsidRDefault="00E91936" w:rsidP="00896F28">
      <w:pPr>
        <w:pStyle w:val="Heading3"/>
        <w:spacing w:line="360" w:lineRule="auto"/>
      </w:pPr>
      <w:bookmarkStart w:id="16" w:name="_Toc216962442"/>
      <w:r w:rsidRPr="00441B4E">
        <w:t>Agreement with Major Creditors on a Debt-for-Equity Swap.</w:t>
      </w:r>
      <w:bookmarkEnd w:id="16"/>
    </w:p>
    <w:p w14:paraId="466B1293" w14:textId="2362485A" w:rsidR="00E91936" w:rsidRPr="00441B4E" w:rsidRDefault="00E91936" w:rsidP="00896F28">
      <w:pPr>
        <w:spacing w:line="360" w:lineRule="auto"/>
        <w:jc w:val="both"/>
        <w:rPr>
          <w:rFonts w:ascii="Arial" w:hAnsi="Arial" w:cs="Arial"/>
          <w:szCs w:val="24"/>
        </w:rPr>
      </w:pPr>
      <w:r w:rsidRPr="00441B4E">
        <w:rPr>
          <w:rFonts w:ascii="Arial" w:hAnsi="Arial" w:cs="Arial"/>
          <w:szCs w:val="24"/>
        </w:rPr>
        <w:t>To the outstanding long-term debt, which cannot be liquidated by way of divestiture proceeds or the rights issue, a well negotiated debt-to-equity swap must be launched with the key financial creditors of the company. This is a financial engineering where lenders are persuaded to voluntarily wipe a large percentage of unpaid debt of the company as a condition to new equity shares of the company. This alternative is more relevant considering the fact that the interest cover is extremely negative, and this is a clear indication that the company would not be able to cover its current liabilities of debt servicing using its operating profits.</w:t>
      </w:r>
    </w:p>
    <w:p w14:paraId="0C7E5819" w14:textId="77777777" w:rsidR="00933640" w:rsidRPr="00441B4E" w:rsidRDefault="00933640" w:rsidP="00896F28">
      <w:pPr>
        <w:spacing w:line="360" w:lineRule="auto"/>
        <w:jc w:val="both"/>
        <w:rPr>
          <w:rFonts w:ascii="Arial" w:hAnsi="Arial" w:cs="Arial"/>
          <w:szCs w:val="24"/>
        </w:rPr>
      </w:pPr>
    </w:p>
    <w:p w14:paraId="14B47AD4" w14:textId="3FBF6D74" w:rsidR="00E91936" w:rsidRPr="00441B4E" w:rsidRDefault="00E91936" w:rsidP="00896F28">
      <w:pPr>
        <w:pStyle w:val="Heading2"/>
        <w:spacing w:line="360" w:lineRule="auto"/>
        <w:jc w:val="both"/>
        <w:rPr>
          <w:rFonts w:cs="Arial"/>
          <w:szCs w:val="24"/>
        </w:rPr>
      </w:pPr>
      <w:bookmarkStart w:id="17" w:name="_Toc216962443"/>
      <w:r w:rsidRPr="00441B4E">
        <w:rPr>
          <w:rFonts w:cs="Arial"/>
          <w:szCs w:val="24"/>
        </w:rPr>
        <w:t>In-depth Assessment of Impact.</w:t>
      </w:r>
      <w:bookmarkEnd w:id="17"/>
    </w:p>
    <w:p w14:paraId="6AD8E04B" w14:textId="728DB5FE" w:rsidR="00E91936" w:rsidRPr="00441B4E" w:rsidRDefault="00E91936" w:rsidP="00896F28">
      <w:pPr>
        <w:pStyle w:val="Heading3"/>
        <w:spacing w:line="360" w:lineRule="auto"/>
      </w:pPr>
      <w:bookmarkStart w:id="18" w:name="_Toc216962444"/>
      <w:r w:rsidRPr="00441B4E">
        <w:t>Impact on Shareholder Value</w:t>
      </w:r>
      <w:bookmarkEnd w:id="18"/>
    </w:p>
    <w:p w14:paraId="1D218FD0" w14:textId="77777777" w:rsidR="00E91936" w:rsidRPr="00441B4E" w:rsidRDefault="00E91936" w:rsidP="00896F28">
      <w:pPr>
        <w:spacing w:line="360" w:lineRule="auto"/>
        <w:jc w:val="both"/>
        <w:rPr>
          <w:rFonts w:ascii="Arial" w:hAnsi="Arial" w:cs="Arial"/>
          <w:szCs w:val="24"/>
        </w:rPr>
      </w:pPr>
      <w:r w:rsidRPr="00441B4E">
        <w:rPr>
          <w:rFonts w:ascii="Arial" w:hAnsi="Arial" w:cs="Arial"/>
          <w:szCs w:val="24"/>
        </w:rPr>
        <w:t xml:space="preserve">In the short run, the suggested restructuring will be unquestionably watery to the current shareholders. The rights issue, together with the debt-for-equity swap will cause a </w:t>
      </w:r>
      <w:r w:rsidRPr="00441B4E">
        <w:rPr>
          <w:rFonts w:ascii="Arial" w:hAnsi="Arial" w:cs="Arial"/>
          <w:szCs w:val="24"/>
        </w:rPr>
        <w:lastRenderedPageBreak/>
        <w:t>significant increase in the number of shares outstanding, which will automatically dilute the pre-restructuring shareholders in terms of Earnings Per Share (EPS), and will dilute the ownership percentage of these shareholders. Such financial engineering, along with the perception of distress that may arise in the market to the negative, is bound to have additional downward impact on share price in the immediate aftermath of the announcement.</w:t>
      </w:r>
    </w:p>
    <w:p w14:paraId="2B96EE10" w14:textId="7E8FDA9F" w:rsidR="00E91936" w:rsidRPr="00441B4E" w:rsidRDefault="00E91936" w:rsidP="00896F28">
      <w:pPr>
        <w:pStyle w:val="Heading3"/>
        <w:spacing w:line="360" w:lineRule="auto"/>
      </w:pPr>
      <w:bookmarkStart w:id="19" w:name="_Toc216962445"/>
      <w:r w:rsidRPr="00441B4E">
        <w:t>Impact on Debt Structure</w:t>
      </w:r>
      <w:bookmarkEnd w:id="19"/>
    </w:p>
    <w:p w14:paraId="5837AAF0" w14:textId="77777777" w:rsidR="00E91936" w:rsidRPr="00441B4E" w:rsidRDefault="00E91936" w:rsidP="00896F28">
      <w:pPr>
        <w:spacing w:line="360" w:lineRule="auto"/>
        <w:jc w:val="both"/>
        <w:rPr>
          <w:rFonts w:ascii="Arial" w:hAnsi="Arial" w:cs="Arial"/>
          <w:szCs w:val="24"/>
        </w:rPr>
      </w:pPr>
      <w:r w:rsidRPr="00441B4E">
        <w:rPr>
          <w:rFonts w:ascii="Arial" w:hAnsi="Arial" w:cs="Arial"/>
          <w:szCs w:val="24"/>
        </w:rPr>
        <w:t>The effect on the debt structure of General Electronics will be significantly positive and will be the main goal of this overall plan. The three programs collaborate to ensure that the liability side of the company is rehabilitated on a fundamental level.</w:t>
      </w:r>
    </w:p>
    <w:p w14:paraId="6AA58BD5" w14:textId="77777777" w:rsidR="00E91936" w:rsidRPr="00441B4E" w:rsidRDefault="00E91936" w:rsidP="00896F28">
      <w:pPr>
        <w:spacing w:line="360" w:lineRule="auto"/>
        <w:jc w:val="both"/>
        <w:rPr>
          <w:rFonts w:ascii="Arial" w:hAnsi="Arial" w:cs="Arial"/>
          <w:szCs w:val="24"/>
        </w:rPr>
      </w:pPr>
      <w:r w:rsidRPr="00441B4E">
        <w:rPr>
          <w:rFonts w:ascii="Arial" w:hAnsi="Arial" w:cs="Arial"/>
          <w:szCs w:val="24"/>
        </w:rPr>
        <w:t>Divestiture Proceeds Will give a non-dilutive cash inflow to directly and aggressively de-leverage the riskiest and most volatile short-term debt, namely, the Lines of Credit.</w:t>
      </w:r>
    </w:p>
    <w:p w14:paraId="6BF251A1" w14:textId="77777777" w:rsidR="00E91936" w:rsidRPr="00441B4E" w:rsidRDefault="00E91936" w:rsidP="00896F28">
      <w:pPr>
        <w:spacing w:line="360" w:lineRule="auto"/>
        <w:jc w:val="both"/>
        <w:rPr>
          <w:rFonts w:ascii="Arial" w:hAnsi="Arial" w:cs="Arial"/>
          <w:szCs w:val="24"/>
        </w:rPr>
      </w:pPr>
      <w:r w:rsidRPr="00441B4E">
        <w:rPr>
          <w:rFonts w:ascii="Arial" w:hAnsi="Arial" w:cs="Arial"/>
          <w:szCs w:val="24"/>
        </w:rPr>
        <w:t>Rights Issue Proceeds: The capital raised through equity will be used to reduce a significant part of the total liability burden and produce a step-change improvement in the debt-equity ratio and shift the company out of a risky position to one that projects a position of stability to creditors and investors.</w:t>
      </w:r>
    </w:p>
    <w:p w14:paraId="4A3272DE" w14:textId="1BBB6114" w:rsidR="00E91936" w:rsidRPr="00441B4E" w:rsidRDefault="00E91936" w:rsidP="00896F28">
      <w:pPr>
        <w:spacing w:line="360" w:lineRule="auto"/>
        <w:jc w:val="both"/>
        <w:rPr>
          <w:rFonts w:ascii="Arial" w:hAnsi="Arial" w:cs="Arial"/>
          <w:szCs w:val="24"/>
        </w:rPr>
      </w:pPr>
      <w:r w:rsidRPr="00441B4E">
        <w:rPr>
          <w:rFonts w:ascii="Arial" w:hAnsi="Arial" w:cs="Arial"/>
          <w:szCs w:val="24"/>
        </w:rPr>
        <w:t>Debt-for-Equity Swap: The transaction will straight away eliminate the debt as part of the liabilities of the balance sheet and convert a binding, burdensome financial commitment into an amorphous equity issuance which need not require consistent cash payments.</w:t>
      </w:r>
    </w:p>
    <w:p w14:paraId="7E87FD86" w14:textId="77777777" w:rsidR="00933640" w:rsidRPr="00441B4E" w:rsidRDefault="00933640" w:rsidP="00896F28">
      <w:pPr>
        <w:spacing w:line="360" w:lineRule="auto"/>
        <w:jc w:val="both"/>
        <w:rPr>
          <w:rFonts w:ascii="Arial" w:hAnsi="Arial" w:cs="Arial"/>
          <w:szCs w:val="24"/>
        </w:rPr>
      </w:pPr>
    </w:p>
    <w:p w14:paraId="0C6D7F5A" w14:textId="30349174" w:rsidR="00E91936" w:rsidRPr="00441B4E" w:rsidRDefault="00E91936" w:rsidP="00896F28">
      <w:pPr>
        <w:pStyle w:val="Heading3"/>
        <w:spacing w:line="360" w:lineRule="auto"/>
      </w:pPr>
      <w:bookmarkStart w:id="20" w:name="_Toc216962446"/>
      <w:r w:rsidRPr="00441B4E">
        <w:t>Effects on Operational Elasticity.</w:t>
      </w:r>
      <w:bookmarkEnd w:id="20"/>
    </w:p>
    <w:p w14:paraId="5FBB44DC" w14:textId="629ABF5C" w:rsidR="00E91936" w:rsidRPr="00441B4E" w:rsidRDefault="00E91936" w:rsidP="00896F28">
      <w:pPr>
        <w:spacing w:line="360" w:lineRule="auto"/>
        <w:jc w:val="both"/>
        <w:rPr>
          <w:rFonts w:ascii="Arial" w:hAnsi="Arial" w:cs="Arial"/>
          <w:szCs w:val="24"/>
        </w:rPr>
      </w:pPr>
      <w:r w:rsidRPr="00441B4E">
        <w:rPr>
          <w:rFonts w:ascii="Arial" w:hAnsi="Arial" w:cs="Arial"/>
          <w:szCs w:val="24"/>
        </w:rPr>
        <w:t>This restructuring plan has a vital, but seldom considered, advantage of restoring operational flexibility. To begin with, the dramatic decrease in the compulsory debt-servicing expenses will unfreeze a major part of operating cash flow. There is then the freedom to reallocate this freed-up capital not out of survival but strategically investing in such as necessary research and development, rolling out specific marketing campaigns and other necessary capital spending that has probably been shelved in the midst of the crisis. Second, the strategic divestiture programme will lead to a lean, nimble, and manageable organisation.</w:t>
      </w:r>
    </w:p>
    <w:p w14:paraId="65AC1A7D" w14:textId="77777777" w:rsidR="00933640" w:rsidRPr="00441B4E" w:rsidRDefault="00933640" w:rsidP="00896F28">
      <w:pPr>
        <w:spacing w:line="360" w:lineRule="auto"/>
        <w:jc w:val="both"/>
        <w:rPr>
          <w:rFonts w:ascii="Arial" w:hAnsi="Arial" w:cs="Arial"/>
          <w:szCs w:val="24"/>
        </w:rPr>
      </w:pPr>
    </w:p>
    <w:p w14:paraId="2E4D895C" w14:textId="6ED17A6B" w:rsidR="00E91936" w:rsidRPr="00441B4E" w:rsidRDefault="00E91936" w:rsidP="00896F28">
      <w:pPr>
        <w:pStyle w:val="Heading2"/>
        <w:spacing w:line="360" w:lineRule="auto"/>
        <w:jc w:val="both"/>
        <w:rPr>
          <w:rFonts w:cs="Arial"/>
          <w:szCs w:val="24"/>
        </w:rPr>
      </w:pPr>
      <w:bookmarkStart w:id="21" w:name="_Toc216962447"/>
      <w:r w:rsidRPr="00441B4E">
        <w:rPr>
          <w:rFonts w:cs="Arial"/>
          <w:szCs w:val="24"/>
        </w:rPr>
        <w:lastRenderedPageBreak/>
        <w:t>International/Ethical/Considerations.</w:t>
      </w:r>
      <w:bookmarkEnd w:id="21"/>
    </w:p>
    <w:p w14:paraId="6F9B554D" w14:textId="4F47C523" w:rsidR="00E91936" w:rsidRPr="00441B4E" w:rsidRDefault="00E91936" w:rsidP="00896F28">
      <w:pPr>
        <w:pStyle w:val="Heading3"/>
        <w:spacing w:line="360" w:lineRule="auto"/>
      </w:pPr>
      <w:bookmarkStart w:id="22" w:name="_Toc216962448"/>
      <w:r w:rsidRPr="00441B4E">
        <w:t>Management of Currency Risk</w:t>
      </w:r>
      <w:bookmarkEnd w:id="22"/>
    </w:p>
    <w:p w14:paraId="352464BB" w14:textId="77777777" w:rsidR="00E91936" w:rsidRPr="00441B4E" w:rsidRDefault="00E91936" w:rsidP="00896F28">
      <w:pPr>
        <w:spacing w:line="360" w:lineRule="auto"/>
        <w:jc w:val="both"/>
        <w:rPr>
          <w:rFonts w:ascii="Arial" w:hAnsi="Arial" w:cs="Arial"/>
          <w:szCs w:val="24"/>
        </w:rPr>
      </w:pPr>
      <w:r w:rsidRPr="00441B4E">
        <w:rPr>
          <w:rFonts w:ascii="Arial" w:hAnsi="Arial" w:cs="Arial"/>
          <w:szCs w:val="24"/>
        </w:rPr>
        <w:t>The restructuring process is therefore highly exposed to the currency risk given that General Electronics has a large presence overseas. The disposal of overseas assets will result in cash flows in various currencies, and the major cut in the liability will probably be necessary in Sterling. Cross-border financial transactions which involve large and one-off transactions may result in huge gains or losses depending on the changing exchange rates. The corporate treasury role, in its turn, will have to adopt a complex and active hedging policy. It is necessary to avoid the fact that due to unfavorable changes in the foreign exchange markets between the signing of the transaction agreement and its actual settlement, the value gained with lots of efforts on the sale of the assets will be gradually destroyed due to the forward contracts, currency options, and other derivative securities to fix the exchange rates on the expected cash flows in the future.</w:t>
      </w:r>
    </w:p>
    <w:p w14:paraId="50393A37" w14:textId="77777777" w:rsidR="00E91936" w:rsidRPr="00441B4E" w:rsidRDefault="00E91936" w:rsidP="00896F28">
      <w:pPr>
        <w:spacing w:line="360" w:lineRule="auto"/>
        <w:jc w:val="both"/>
        <w:rPr>
          <w:rFonts w:ascii="Arial" w:hAnsi="Arial" w:cs="Arial"/>
          <w:szCs w:val="24"/>
        </w:rPr>
      </w:pPr>
    </w:p>
    <w:p w14:paraId="3E7B397B" w14:textId="312E438B" w:rsidR="00E91936" w:rsidRPr="00441B4E" w:rsidRDefault="00E91936" w:rsidP="00896F28">
      <w:pPr>
        <w:pStyle w:val="Heading3"/>
        <w:spacing w:line="360" w:lineRule="auto"/>
      </w:pPr>
      <w:bookmarkStart w:id="23" w:name="_Toc216962449"/>
      <w:r w:rsidRPr="00441B4E">
        <w:t>Operating in a High-Inflation International Environment.</w:t>
      </w:r>
      <w:bookmarkEnd w:id="23"/>
    </w:p>
    <w:p w14:paraId="1858F3EF" w14:textId="7F2349A7" w:rsidR="00E91936" w:rsidRPr="00441B4E" w:rsidRDefault="00E91936" w:rsidP="00896F28">
      <w:pPr>
        <w:spacing w:line="360" w:lineRule="auto"/>
        <w:jc w:val="both"/>
        <w:rPr>
          <w:rFonts w:ascii="Arial" w:hAnsi="Arial" w:cs="Arial"/>
          <w:szCs w:val="24"/>
        </w:rPr>
      </w:pPr>
      <w:r w:rsidRPr="00441B4E">
        <w:rPr>
          <w:rFonts w:ascii="Arial" w:hAnsi="Arial" w:cs="Arial"/>
          <w:szCs w:val="24"/>
        </w:rPr>
        <w:t>The restructuring is faced with a complicated array of opportunities and challenges by the current period of high world inflation. On the one hand, there is inflation that makes the restructuring itself more expensive and raises the costs associated with professional fees, redundancies, and operation transition. It also strains the prices of inputs and salaries in the running business. Conversely, when a company has a large amount of fixed rate debt inflation may in effect lead to a reduction in the real value of the debt burden over time as long as the company is able to generate a nominal increase in revenue. The restructuring plan should be stress-tested to different inflation and interest rate conditions so that it can be resistant. Moreover, since General Electronics ultimately aims to refinance residual debt in future, it might be unwary of the potential application of inflation-linked bonds, which may provide a cheaper real cost of debt in the future in case the inflation continues.</w:t>
      </w:r>
    </w:p>
    <w:p w14:paraId="07CD862E" w14:textId="77777777" w:rsidR="00933640" w:rsidRPr="00441B4E" w:rsidRDefault="00933640" w:rsidP="00896F28">
      <w:pPr>
        <w:spacing w:line="360" w:lineRule="auto"/>
        <w:jc w:val="both"/>
        <w:rPr>
          <w:rFonts w:ascii="Arial" w:hAnsi="Arial" w:cs="Arial"/>
          <w:szCs w:val="24"/>
        </w:rPr>
      </w:pPr>
    </w:p>
    <w:p w14:paraId="2792DFE8" w14:textId="4C5103C1" w:rsidR="00896F28" w:rsidRPr="00441B4E" w:rsidRDefault="00896F28" w:rsidP="00896F28">
      <w:pPr>
        <w:pStyle w:val="Heading3"/>
        <w:spacing w:line="360" w:lineRule="auto"/>
      </w:pPr>
      <w:bookmarkStart w:id="24" w:name="_Toc216962450"/>
      <w:r w:rsidRPr="00441B4E">
        <w:t>Fiscal efficiency and Taxation.</w:t>
      </w:r>
      <w:bookmarkEnd w:id="24"/>
    </w:p>
    <w:p w14:paraId="48A49714" w14:textId="77777777" w:rsidR="00896F28" w:rsidRPr="00441B4E" w:rsidRDefault="00896F28" w:rsidP="00896F28">
      <w:pPr>
        <w:spacing w:line="360" w:lineRule="auto"/>
        <w:jc w:val="both"/>
        <w:rPr>
          <w:rFonts w:ascii="Arial" w:hAnsi="Arial" w:cs="Arial"/>
          <w:szCs w:val="24"/>
        </w:rPr>
      </w:pPr>
      <w:r w:rsidRPr="00441B4E">
        <w:rPr>
          <w:rFonts w:ascii="Arial" w:hAnsi="Arial" w:cs="Arial"/>
          <w:szCs w:val="24"/>
        </w:rPr>
        <w:t xml:space="preserve">The sale of foreign assets should be carefully designed under the advice of international tax experts to minimize the international tax liability and maximize on net proceeds to reduce debt. The domicile of the assets, the form the sale takes (is it an asset sale or a </w:t>
      </w:r>
      <w:r w:rsidRPr="00441B4E">
        <w:rPr>
          <w:rFonts w:ascii="Arial" w:hAnsi="Arial" w:cs="Arial"/>
          <w:szCs w:val="24"/>
        </w:rPr>
        <w:lastRenderedPageBreak/>
        <w:t>sale of shares), and the bilateral tax treaties that exist between jurisdictions will have a tremendous bearing on the occurrence of Capital Gains Tax, Value Added Tax (VAT) or Goods and Services Tax (GST) and the messy loss of transfer pricing regulations. The value achieved through divestitures may be greatly eliminated through an inefficient tax structure, which would hamper a major pillar of the restructuring. This is aimed at being fiscally efficient to the full extent that it meets all the requirements of the law and makes an arrangement of the transactions to maintain value to the surviving entity.</w:t>
      </w:r>
    </w:p>
    <w:p w14:paraId="6D44C543" w14:textId="55343BC2" w:rsidR="00E91936" w:rsidRPr="00441B4E" w:rsidRDefault="00E91936" w:rsidP="00896F28">
      <w:pPr>
        <w:pStyle w:val="Heading3"/>
        <w:spacing w:line="360" w:lineRule="auto"/>
      </w:pPr>
      <w:bookmarkStart w:id="25" w:name="_Toc216962451"/>
      <w:r w:rsidRPr="00441B4E">
        <w:t>Ethical Stewardship and Corporate Social Responsibility (CSR).</w:t>
      </w:r>
      <w:bookmarkEnd w:id="25"/>
    </w:p>
    <w:p w14:paraId="025083DE" w14:textId="42E2C996" w:rsidR="00961DD8" w:rsidRPr="00441B4E" w:rsidRDefault="00E91936" w:rsidP="00896F28">
      <w:pPr>
        <w:spacing w:line="360" w:lineRule="auto"/>
        <w:jc w:val="both"/>
        <w:rPr>
          <w:rFonts w:ascii="Arial" w:hAnsi="Arial" w:cs="Arial"/>
          <w:szCs w:val="24"/>
        </w:rPr>
      </w:pPr>
      <w:r w:rsidRPr="00441B4E">
        <w:rPr>
          <w:rFonts w:ascii="Arial" w:hAnsi="Arial" w:cs="Arial"/>
          <w:szCs w:val="24"/>
        </w:rPr>
        <w:t>This large-scale restructuring cannot be an afterthought and the ethical aspect should be incorporated into the middle core strategy of the execution. The business unit divestiture and the downsizing required in the business will inevitably result in high job losses and the ripple effect in the communities where businesses are closed down or sold. General Electronics has a deep ethical and social responsibility in ensuring that they make this process transparent, fair and full of compassion. This involves going the extra mile by offering decent and handsome redundancy packages, outplacement services to help employees settle in new job and open and candid communication with the employee representatives and trade unions as early as possible.</w:t>
      </w:r>
    </w:p>
    <w:p w14:paraId="115C58A9" w14:textId="77777777" w:rsidR="00933640" w:rsidRPr="00441B4E" w:rsidRDefault="00933640" w:rsidP="00896F28">
      <w:pPr>
        <w:spacing w:line="360" w:lineRule="auto"/>
        <w:jc w:val="both"/>
        <w:rPr>
          <w:rFonts w:ascii="Arial" w:hAnsi="Arial" w:cs="Arial"/>
          <w:szCs w:val="24"/>
        </w:rPr>
      </w:pPr>
    </w:p>
    <w:p w14:paraId="65DF9E1C" w14:textId="0D0BE2DC" w:rsidR="0087219D" w:rsidRPr="00441B4E" w:rsidRDefault="0087219D" w:rsidP="00896F28">
      <w:pPr>
        <w:pStyle w:val="Heading1"/>
        <w:rPr>
          <w:rFonts w:eastAsia="Times New Roman"/>
          <w:sz w:val="24"/>
        </w:rPr>
      </w:pPr>
      <w:bookmarkStart w:id="26" w:name="_Toc216962452"/>
      <w:r w:rsidRPr="00441B4E">
        <w:rPr>
          <w:rStyle w:val="Strong"/>
          <w:b/>
          <w:bCs/>
          <w:sz w:val="24"/>
        </w:rPr>
        <w:t>Investment Appraisal and Capital Budgeting Analysis</w:t>
      </w:r>
      <w:bookmarkEnd w:id="26"/>
    </w:p>
    <w:p w14:paraId="4EC1766F" w14:textId="77777777" w:rsidR="008F0D0B" w:rsidRPr="00441B4E" w:rsidRDefault="008F0D0B" w:rsidP="00896F28">
      <w:pPr>
        <w:spacing w:line="360" w:lineRule="auto"/>
        <w:jc w:val="both"/>
        <w:rPr>
          <w:rFonts w:ascii="Arial" w:hAnsi="Arial" w:cs="Arial"/>
          <w:szCs w:val="24"/>
        </w:rPr>
      </w:pPr>
      <w:r w:rsidRPr="00441B4E">
        <w:rPr>
          <w:rFonts w:ascii="Arial" w:hAnsi="Arial" w:cs="Arial"/>
          <w:szCs w:val="24"/>
        </w:rPr>
        <w:t xml:space="preserve">This section is critically examining some of the methodologies which can be applied in the process of appraising the economic viability of capital projects and explaining their theoretical and practical implications to corporate finance. The specified techniques tend to be categorized into traditional (non-discounted cash flow) and modern (discounted cash flow) techniques, and they present a varied perspective regarding the outlook of future returns and risks of an investment (Baheti and Thathera, 2022). The classical techniques tend to emphasise ease of calculations and speed of calculation but the newer techniques Net Present Value and Internal Rate of Return factor in the Cost of money to provide a more rounded picture on how profitable an undertaking will become and on the Capital budgeting decision (Wangchuk, 2022) (Sun, 2022). An appropriate mode of appraisal ranks at the top of the list as it will directly dictate the accuracy of the investment decisions as well as the eventual value optimization of the firm (Justice and Pious, 2020). </w:t>
      </w:r>
      <w:r w:rsidRPr="00441B4E">
        <w:rPr>
          <w:rFonts w:ascii="Arial" w:hAnsi="Arial" w:cs="Arial"/>
          <w:szCs w:val="24"/>
        </w:rPr>
        <w:lastRenderedPageBreak/>
        <w:t>In that regard, it is necessary that the financial analysts and decision-makers become familiar with the specifics of each of these techniques, their limitations, and advantages (Dai et al., 2022). Specifically, Cost-Benefit Analysis or Multi-Criteria Analysis is often applied to evaluate transport initiatives, and MCA has been especially successful due to its capacity to take into consideration a high number of parameters as opposed to just turning them into monetary representations (Anastasiadou, 2021).</w:t>
      </w:r>
    </w:p>
    <w:p w14:paraId="6EE95E22" w14:textId="539D9796" w:rsidR="0087219D" w:rsidRPr="00441B4E" w:rsidRDefault="0087219D" w:rsidP="00933640">
      <w:pPr>
        <w:pStyle w:val="Heading2"/>
        <w:rPr>
          <w:rFonts w:cs="Arial"/>
          <w:szCs w:val="24"/>
        </w:rPr>
      </w:pPr>
      <w:bookmarkStart w:id="27" w:name="_Toc216962453"/>
      <w:r w:rsidRPr="00441B4E">
        <w:rPr>
          <w:rStyle w:val="Strong"/>
          <w:rFonts w:cs="Arial"/>
          <w:b/>
          <w:bCs/>
          <w:szCs w:val="24"/>
        </w:rPr>
        <w:t>Investment</w:t>
      </w:r>
      <w:r w:rsidRPr="00441B4E">
        <w:rPr>
          <w:rStyle w:val="Strong"/>
          <w:rFonts w:cs="Arial"/>
          <w:b/>
          <w:bCs/>
          <w:color w:val="0F1115"/>
          <w:szCs w:val="24"/>
        </w:rPr>
        <w:t xml:space="preserve"> Appraisal</w:t>
      </w:r>
      <w:bookmarkEnd w:id="27"/>
      <w:r w:rsidRPr="00441B4E">
        <w:rPr>
          <w:rStyle w:val="Strong"/>
          <w:rFonts w:cs="Arial"/>
          <w:b/>
          <w:bCs/>
          <w:color w:val="0F1115"/>
          <w:szCs w:val="24"/>
        </w:rPr>
        <w:t xml:space="preserve"> </w:t>
      </w:r>
    </w:p>
    <w:p w14:paraId="09CD2814" w14:textId="77777777" w:rsidR="00431401" w:rsidRPr="00441B4E" w:rsidRDefault="00431401" w:rsidP="00896F28">
      <w:pPr>
        <w:pStyle w:val="ds-markdown-paragraph"/>
        <w:numPr>
          <w:ilvl w:val="0"/>
          <w:numId w:val="32"/>
        </w:numPr>
        <w:shd w:val="clear" w:color="auto" w:fill="FFFFFF"/>
        <w:spacing w:after="0" w:afterAutospacing="0" w:line="360" w:lineRule="auto"/>
        <w:jc w:val="both"/>
        <w:rPr>
          <w:rFonts w:ascii="Arial" w:hAnsi="Arial" w:cs="Arial"/>
          <w:color w:val="0F1115"/>
        </w:rPr>
      </w:pPr>
      <w:r w:rsidRPr="00441B4E">
        <w:rPr>
          <w:rStyle w:val="Strong"/>
          <w:rFonts w:ascii="Arial" w:eastAsia="DengXian" w:hAnsi="Arial" w:cs="Arial"/>
          <w:color w:val="0F1115"/>
        </w:rPr>
        <w:t>Discount Rate (Cost of Capital):</w:t>
      </w:r>
      <w:r w:rsidRPr="00441B4E">
        <w:rPr>
          <w:rFonts w:ascii="Arial" w:hAnsi="Arial" w:cs="Arial"/>
          <w:color w:val="0F1115"/>
        </w:rPr>
        <w:t> 10%</w:t>
      </w:r>
    </w:p>
    <w:p w14:paraId="1E874622" w14:textId="77777777" w:rsidR="00431401" w:rsidRPr="00441B4E" w:rsidRDefault="00431401" w:rsidP="00896F28">
      <w:pPr>
        <w:pStyle w:val="ds-markdown-paragraph"/>
        <w:numPr>
          <w:ilvl w:val="0"/>
          <w:numId w:val="32"/>
        </w:numPr>
        <w:shd w:val="clear" w:color="auto" w:fill="FFFFFF"/>
        <w:spacing w:after="0" w:afterAutospacing="0" w:line="360" w:lineRule="auto"/>
        <w:jc w:val="both"/>
        <w:rPr>
          <w:rFonts w:ascii="Arial" w:hAnsi="Arial" w:cs="Arial"/>
          <w:color w:val="0F1115"/>
        </w:rPr>
      </w:pPr>
      <w:r w:rsidRPr="00441B4E">
        <w:rPr>
          <w:rStyle w:val="Strong"/>
          <w:rFonts w:ascii="Arial" w:eastAsia="DengXian" w:hAnsi="Arial" w:cs="Arial"/>
          <w:color w:val="0F1115"/>
        </w:rPr>
        <w:t>Depreciation:</w:t>
      </w:r>
      <w:r w:rsidRPr="00441B4E">
        <w:rPr>
          <w:rFonts w:ascii="Arial" w:hAnsi="Arial" w:cs="Arial"/>
          <w:color w:val="0F1115"/>
        </w:rPr>
        <w:t> Straight-line over 5 years to zero salvage value.</w:t>
      </w:r>
    </w:p>
    <w:p w14:paraId="469A490A" w14:textId="77777777" w:rsidR="00431401" w:rsidRPr="00441B4E" w:rsidRDefault="00431401" w:rsidP="00896F28">
      <w:pPr>
        <w:pStyle w:val="ds-markdown-paragraph"/>
        <w:numPr>
          <w:ilvl w:val="0"/>
          <w:numId w:val="32"/>
        </w:numPr>
        <w:shd w:val="clear" w:color="auto" w:fill="FFFFFF"/>
        <w:spacing w:after="0" w:afterAutospacing="0" w:line="360" w:lineRule="auto"/>
        <w:jc w:val="both"/>
        <w:rPr>
          <w:rFonts w:ascii="Arial" w:hAnsi="Arial" w:cs="Arial"/>
          <w:color w:val="0F1115"/>
        </w:rPr>
      </w:pPr>
      <w:r w:rsidRPr="00441B4E">
        <w:rPr>
          <w:rStyle w:val="Strong"/>
          <w:rFonts w:ascii="Arial" w:eastAsia="DengXian" w:hAnsi="Arial" w:cs="Arial"/>
          <w:color w:val="0F1115"/>
        </w:rPr>
        <w:t>Capital Rationing Constraint:</w:t>
      </w:r>
      <w:r w:rsidRPr="00441B4E">
        <w:rPr>
          <w:rFonts w:ascii="Arial" w:hAnsi="Arial" w:cs="Arial"/>
          <w:color w:val="0F1115"/>
        </w:rPr>
        <w:t> Maximum investment of £60 million.</w:t>
      </w:r>
    </w:p>
    <w:p w14:paraId="27F0D170" w14:textId="77777777" w:rsidR="00431401" w:rsidRPr="00441B4E" w:rsidRDefault="00431401" w:rsidP="00896F28">
      <w:pPr>
        <w:pStyle w:val="ds-markdown-paragraph"/>
        <w:shd w:val="clear" w:color="auto" w:fill="FFFFFF"/>
        <w:spacing w:before="240" w:beforeAutospacing="0" w:after="240" w:afterAutospacing="0" w:line="360" w:lineRule="auto"/>
        <w:jc w:val="both"/>
        <w:rPr>
          <w:rFonts w:ascii="Arial" w:hAnsi="Arial" w:cs="Arial"/>
          <w:color w:val="0F1115"/>
        </w:rPr>
      </w:pPr>
      <w:r w:rsidRPr="00441B4E">
        <w:rPr>
          <w:rFonts w:ascii="Arial" w:hAnsi="Arial" w:cs="Arial"/>
          <w:color w:val="0F1115"/>
        </w:rPr>
        <w:t>The calculations for each project are summarized below.</w:t>
      </w:r>
    </w:p>
    <w:p w14:paraId="5C9F7021" w14:textId="77777777" w:rsidR="00431401" w:rsidRPr="00441B4E" w:rsidRDefault="00431401" w:rsidP="00896F28">
      <w:pPr>
        <w:pStyle w:val="ds-markdown-paragraph"/>
        <w:shd w:val="clear" w:color="auto" w:fill="FFFFFF"/>
        <w:spacing w:before="240" w:beforeAutospacing="0" w:after="240" w:afterAutospacing="0" w:line="360" w:lineRule="auto"/>
        <w:jc w:val="both"/>
        <w:rPr>
          <w:rFonts w:ascii="Arial" w:hAnsi="Arial" w:cs="Arial"/>
          <w:color w:val="0F1115"/>
        </w:rPr>
      </w:pPr>
      <w:r w:rsidRPr="00441B4E">
        <w:rPr>
          <w:rStyle w:val="Strong"/>
          <w:rFonts w:ascii="Arial" w:eastAsia="DengXian" w:hAnsi="Arial" w:cs="Arial"/>
          <w:color w:val="0F1115"/>
        </w:rPr>
        <w:t>Project A: Initial Investment = £40 million</w:t>
      </w:r>
    </w:p>
    <w:tbl>
      <w:tblPr>
        <w:tblStyle w:val="GridTable6Colorful"/>
        <w:tblW w:w="11966" w:type="dxa"/>
        <w:tblInd w:w="-1265" w:type="dxa"/>
        <w:tblLook w:val="04A0" w:firstRow="1" w:lastRow="0" w:firstColumn="1" w:lastColumn="0" w:noHBand="0" w:noVBand="1"/>
      </w:tblPr>
      <w:tblGrid>
        <w:gridCol w:w="750"/>
        <w:gridCol w:w="1470"/>
        <w:gridCol w:w="1949"/>
        <w:gridCol w:w="2153"/>
        <w:gridCol w:w="2405"/>
        <w:gridCol w:w="1519"/>
        <w:gridCol w:w="1720"/>
      </w:tblGrid>
      <w:tr w:rsidR="00431401" w:rsidRPr="00441B4E" w14:paraId="2D76A29D" w14:textId="77777777" w:rsidTr="00431401">
        <w:trPr>
          <w:cnfStyle w:val="100000000000" w:firstRow="1" w:lastRow="0" w:firstColumn="0" w:lastColumn="0" w:oddVBand="0" w:evenVBand="0" w:oddHBand="0" w:evenHBand="0" w:firstRowFirstColumn="0" w:firstRowLastColumn="0" w:lastRowFirstColumn="0" w:lastRowLastColumn="0"/>
          <w:trHeight w:val="799"/>
        </w:trPr>
        <w:tc>
          <w:tcPr>
            <w:cnfStyle w:val="001000000000" w:firstRow="0" w:lastRow="0" w:firstColumn="1" w:lastColumn="0" w:oddVBand="0" w:evenVBand="0" w:oddHBand="0" w:evenHBand="0" w:firstRowFirstColumn="0" w:firstRowLastColumn="0" w:lastRowFirstColumn="0" w:lastRowLastColumn="0"/>
            <w:tcW w:w="0" w:type="auto"/>
            <w:hideMark/>
          </w:tcPr>
          <w:p w14:paraId="6B9D95E6" w14:textId="77777777" w:rsidR="00431401" w:rsidRPr="00441B4E" w:rsidRDefault="00431401" w:rsidP="00896F28">
            <w:pPr>
              <w:spacing w:line="360" w:lineRule="auto"/>
              <w:jc w:val="both"/>
              <w:rPr>
                <w:rFonts w:ascii="Arial" w:hAnsi="Arial" w:cs="Arial"/>
                <w:color w:val="auto"/>
                <w:szCs w:val="24"/>
              </w:rPr>
            </w:pPr>
            <w:r w:rsidRPr="00441B4E">
              <w:rPr>
                <w:rFonts w:ascii="Arial" w:hAnsi="Arial" w:cs="Arial"/>
                <w:szCs w:val="24"/>
              </w:rPr>
              <w:t>Year</w:t>
            </w:r>
          </w:p>
        </w:tc>
        <w:tc>
          <w:tcPr>
            <w:tcW w:w="0" w:type="auto"/>
            <w:hideMark/>
          </w:tcPr>
          <w:p w14:paraId="178C98AF" w14:textId="77777777" w:rsidR="00431401" w:rsidRPr="00441B4E" w:rsidRDefault="00431401" w:rsidP="00896F2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Cash Flow (£m)</w:t>
            </w:r>
          </w:p>
        </w:tc>
        <w:tc>
          <w:tcPr>
            <w:tcW w:w="0" w:type="auto"/>
            <w:hideMark/>
          </w:tcPr>
          <w:p w14:paraId="07CA3C6E" w14:textId="77777777" w:rsidR="00431401" w:rsidRPr="00441B4E" w:rsidRDefault="00431401" w:rsidP="00896F2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Depreciation (£m)</w:t>
            </w:r>
          </w:p>
        </w:tc>
        <w:tc>
          <w:tcPr>
            <w:tcW w:w="0" w:type="auto"/>
            <w:hideMark/>
          </w:tcPr>
          <w:p w14:paraId="747D0D0B" w14:textId="77777777" w:rsidR="00431401" w:rsidRPr="00441B4E" w:rsidRDefault="00431401" w:rsidP="00896F2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Accounting Profit (£m)</w:t>
            </w:r>
          </w:p>
        </w:tc>
        <w:tc>
          <w:tcPr>
            <w:tcW w:w="0" w:type="auto"/>
            <w:hideMark/>
          </w:tcPr>
          <w:p w14:paraId="7C6A4AF7" w14:textId="77777777" w:rsidR="00431401" w:rsidRPr="00441B4E" w:rsidRDefault="00431401" w:rsidP="00896F2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Cumulative Cash Flow (£m)</w:t>
            </w:r>
          </w:p>
        </w:tc>
        <w:tc>
          <w:tcPr>
            <w:tcW w:w="0" w:type="auto"/>
            <w:hideMark/>
          </w:tcPr>
          <w:p w14:paraId="14CADC32" w14:textId="77777777" w:rsidR="00431401" w:rsidRPr="00441B4E" w:rsidRDefault="00431401" w:rsidP="00896F2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PV Factor @10%</w:t>
            </w:r>
          </w:p>
        </w:tc>
        <w:tc>
          <w:tcPr>
            <w:tcW w:w="0" w:type="auto"/>
            <w:hideMark/>
          </w:tcPr>
          <w:p w14:paraId="456E2462" w14:textId="77777777" w:rsidR="00431401" w:rsidRPr="00441B4E" w:rsidRDefault="00431401" w:rsidP="00896F2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Present Value (£m)</w:t>
            </w:r>
          </w:p>
        </w:tc>
      </w:tr>
      <w:tr w:rsidR="00431401" w:rsidRPr="00441B4E" w14:paraId="1D6EE810" w14:textId="77777777" w:rsidTr="00431401">
        <w:trPr>
          <w:cnfStyle w:val="000000100000" w:firstRow="0" w:lastRow="0" w:firstColumn="0" w:lastColumn="0" w:oddVBand="0" w:evenVBand="0" w:oddHBand="1" w:evenHBand="0" w:firstRowFirstColumn="0" w:firstRowLastColumn="0" w:lastRowFirstColumn="0" w:lastRowLastColumn="0"/>
          <w:trHeight w:val="266"/>
        </w:trPr>
        <w:tc>
          <w:tcPr>
            <w:cnfStyle w:val="001000000000" w:firstRow="0" w:lastRow="0" w:firstColumn="1" w:lastColumn="0" w:oddVBand="0" w:evenVBand="0" w:oddHBand="0" w:evenHBand="0" w:firstRowFirstColumn="0" w:firstRowLastColumn="0" w:lastRowFirstColumn="0" w:lastRowLastColumn="0"/>
            <w:tcW w:w="0" w:type="auto"/>
            <w:hideMark/>
          </w:tcPr>
          <w:p w14:paraId="3B4920CD" w14:textId="77777777" w:rsidR="00431401" w:rsidRPr="00441B4E" w:rsidRDefault="00431401" w:rsidP="00896F28">
            <w:pPr>
              <w:spacing w:line="360" w:lineRule="auto"/>
              <w:jc w:val="both"/>
              <w:rPr>
                <w:rFonts w:ascii="Arial" w:hAnsi="Arial" w:cs="Arial"/>
                <w:szCs w:val="24"/>
              </w:rPr>
            </w:pPr>
            <w:r w:rsidRPr="00441B4E">
              <w:rPr>
                <w:rFonts w:ascii="Arial" w:hAnsi="Arial" w:cs="Arial"/>
                <w:szCs w:val="24"/>
              </w:rPr>
              <w:t>0</w:t>
            </w:r>
          </w:p>
        </w:tc>
        <w:tc>
          <w:tcPr>
            <w:tcW w:w="0" w:type="auto"/>
            <w:hideMark/>
          </w:tcPr>
          <w:p w14:paraId="7F7C220C"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(40.00)</w:t>
            </w:r>
          </w:p>
        </w:tc>
        <w:tc>
          <w:tcPr>
            <w:tcW w:w="0" w:type="auto"/>
            <w:hideMark/>
          </w:tcPr>
          <w:p w14:paraId="583334CC"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w:t>
            </w:r>
          </w:p>
        </w:tc>
        <w:tc>
          <w:tcPr>
            <w:tcW w:w="0" w:type="auto"/>
            <w:hideMark/>
          </w:tcPr>
          <w:p w14:paraId="3F7D5B7D"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w:t>
            </w:r>
          </w:p>
        </w:tc>
        <w:tc>
          <w:tcPr>
            <w:tcW w:w="0" w:type="auto"/>
            <w:hideMark/>
          </w:tcPr>
          <w:p w14:paraId="472B9B08"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(40.00)</w:t>
            </w:r>
          </w:p>
        </w:tc>
        <w:tc>
          <w:tcPr>
            <w:tcW w:w="0" w:type="auto"/>
            <w:hideMark/>
          </w:tcPr>
          <w:p w14:paraId="6EE76CD4"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1.0000</w:t>
            </w:r>
          </w:p>
        </w:tc>
        <w:tc>
          <w:tcPr>
            <w:tcW w:w="0" w:type="auto"/>
            <w:hideMark/>
          </w:tcPr>
          <w:p w14:paraId="3F46E293"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(40.00)</w:t>
            </w:r>
          </w:p>
        </w:tc>
      </w:tr>
      <w:tr w:rsidR="00431401" w:rsidRPr="00441B4E" w14:paraId="127B4A2D" w14:textId="77777777" w:rsidTr="00431401">
        <w:trPr>
          <w:trHeight w:val="255"/>
        </w:trPr>
        <w:tc>
          <w:tcPr>
            <w:cnfStyle w:val="001000000000" w:firstRow="0" w:lastRow="0" w:firstColumn="1" w:lastColumn="0" w:oddVBand="0" w:evenVBand="0" w:oddHBand="0" w:evenHBand="0" w:firstRowFirstColumn="0" w:firstRowLastColumn="0" w:lastRowFirstColumn="0" w:lastRowLastColumn="0"/>
            <w:tcW w:w="0" w:type="auto"/>
            <w:hideMark/>
          </w:tcPr>
          <w:p w14:paraId="42C96C4E" w14:textId="77777777" w:rsidR="00431401" w:rsidRPr="00441B4E" w:rsidRDefault="00431401" w:rsidP="00896F28">
            <w:pPr>
              <w:spacing w:line="360" w:lineRule="auto"/>
              <w:jc w:val="both"/>
              <w:rPr>
                <w:rFonts w:ascii="Arial" w:hAnsi="Arial" w:cs="Arial"/>
                <w:szCs w:val="24"/>
              </w:rPr>
            </w:pPr>
            <w:r w:rsidRPr="00441B4E">
              <w:rPr>
                <w:rFonts w:ascii="Arial" w:hAnsi="Arial" w:cs="Arial"/>
                <w:szCs w:val="24"/>
              </w:rPr>
              <w:t>1</w:t>
            </w:r>
          </w:p>
        </w:tc>
        <w:tc>
          <w:tcPr>
            <w:tcW w:w="0" w:type="auto"/>
            <w:hideMark/>
          </w:tcPr>
          <w:p w14:paraId="444CB28B"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10.00</w:t>
            </w:r>
          </w:p>
        </w:tc>
        <w:tc>
          <w:tcPr>
            <w:tcW w:w="0" w:type="auto"/>
            <w:hideMark/>
          </w:tcPr>
          <w:p w14:paraId="4D6A5FE7"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8.00</w:t>
            </w:r>
          </w:p>
        </w:tc>
        <w:tc>
          <w:tcPr>
            <w:tcW w:w="0" w:type="auto"/>
            <w:hideMark/>
          </w:tcPr>
          <w:p w14:paraId="04EDFFDB"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2.00</w:t>
            </w:r>
          </w:p>
        </w:tc>
        <w:tc>
          <w:tcPr>
            <w:tcW w:w="0" w:type="auto"/>
            <w:hideMark/>
          </w:tcPr>
          <w:p w14:paraId="397D2D5B"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(30.00)</w:t>
            </w:r>
          </w:p>
        </w:tc>
        <w:tc>
          <w:tcPr>
            <w:tcW w:w="0" w:type="auto"/>
            <w:hideMark/>
          </w:tcPr>
          <w:p w14:paraId="1241C9C3"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0.9091</w:t>
            </w:r>
          </w:p>
        </w:tc>
        <w:tc>
          <w:tcPr>
            <w:tcW w:w="0" w:type="auto"/>
            <w:hideMark/>
          </w:tcPr>
          <w:p w14:paraId="00E5FF2E"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9.09</w:t>
            </w:r>
          </w:p>
        </w:tc>
      </w:tr>
      <w:tr w:rsidR="00431401" w:rsidRPr="00441B4E" w14:paraId="40B03CD9" w14:textId="77777777" w:rsidTr="00431401">
        <w:trPr>
          <w:cnfStyle w:val="000000100000" w:firstRow="0" w:lastRow="0" w:firstColumn="0" w:lastColumn="0" w:oddVBand="0" w:evenVBand="0" w:oddHBand="1" w:evenHBand="0" w:firstRowFirstColumn="0" w:firstRowLastColumn="0" w:lastRowFirstColumn="0" w:lastRowLastColumn="0"/>
          <w:trHeight w:val="266"/>
        </w:trPr>
        <w:tc>
          <w:tcPr>
            <w:cnfStyle w:val="001000000000" w:firstRow="0" w:lastRow="0" w:firstColumn="1" w:lastColumn="0" w:oddVBand="0" w:evenVBand="0" w:oddHBand="0" w:evenHBand="0" w:firstRowFirstColumn="0" w:firstRowLastColumn="0" w:lastRowFirstColumn="0" w:lastRowLastColumn="0"/>
            <w:tcW w:w="0" w:type="auto"/>
            <w:hideMark/>
          </w:tcPr>
          <w:p w14:paraId="1ED9583F" w14:textId="77777777" w:rsidR="00431401" w:rsidRPr="00441B4E" w:rsidRDefault="00431401" w:rsidP="00896F28">
            <w:pPr>
              <w:spacing w:line="360" w:lineRule="auto"/>
              <w:jc w:val="both"/>
              <w:rPr>
                <w:rFonts w:ascii="Arial" w:hAnsi="Arial" w:cs="Arial"/>
                <w:szCs w:val="24"/>
              </w:rPr>
            </w:pPr>
            <w:r w:rsidRPr="00441B4E">
              <w:rPr>
                <w:rFonts w:ascii="Arial" w:hAnsi="Arial" w:cs="Arial"/>
                <w:szCs w:val="24"/>
              </w:rPr>
              <w:t>2</w:t>
            </w:r>
          </w:p>
        </w:tc>
        <w:tc>
          <w:tcPr>
            <w:tcW w:w="0" w:type="auto"/>
            <w:hideMark/>
          </w:tcPr>
          <w:p w14:paraId="131B3B33"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12.00</w:t>
            </w:r>
          </w:p>
        </w:tc>
        <w:tc>
          <w:tcPr>
            <w:tcW w:w="0" w:type="auto"/>
            <w:hideMark/>
          </w:tcPr>
          <w:p w14:paraId="16BAC83E"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8.00</w:t>
            </w:r>
          </w:p>
        </w:tc>
        <w:tc>
          <w:tcPr>
            <w:tcW w:w="0" w:type="auto"/>
            <w:hideMark/>
          </w:tcPr>
          <w:p w14:paraId="16A0B0E7"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4.00</w:t>
            </w:r>
          </w:p>
        </w:tc>
        <w:tc>
          <w:tcPr>
            <w:tcW w:w="0" w:type="auto"/>
            <w:hideMark/>
          </w:tcPr>
          <w:p w14:paraId="2DAF5CDB"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(18.00)</w:t>
            </w:r>
          </w:p>
        </w:tc>
        <w:tc>
          <w:tcPr>
            <w:tcW w:w="0" w:type="auto"/>
            <w:hideMark/>
          </w:tcPr>
          <w:p w14:paraId="3B8A11F7"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0.8264</w:t>
            </w:r>
          </w:p>
        </w:tc>
        <w:tc>
          <w:tcPr>
            <w:tcW w:w="0" w:type="auto"/>
            <w:hideMark/>
          </w:tcPr>
          <w:p w14:paraId="3AE00F1A"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9.92</w:t>
            </w:r>
          </w:p>
        </w:tc>
      </w:tr>
      <w:tr w:rsidR="00431401" w:rsidRPr="00441B4E" w14:paraId="04D38DD5" w14:textId="77777777" w:rsidTr="00431401">
        <w:trPr>
          <w:trHeight w:val="266"/>
        </w:trPr>
        <w:tc>
          <w:tcPr>
            <w:cnfStyle w:val="001000000000" w:firstRow="0" w:lastRow="0" w:firstColumn="1" w:lastColumn="0" w:oddVBand="0" w:evenVBand="0" w:oddHBand="0" w:evenHBand="0" w:firstRowFirstColumn="0" w:firstRowLastColumn="0" w:lastRowFirstColumn="0" w:lastRowLastColumn="0"/>
            <w:tcW w:w="0" w:type="auto"/>
            <w:hideMark/>
          </w:tcPr>
          <w:p w14:paraId="441B39F5" w14:textId="77777777" w:rsidR="00431401" w:rsidRPr="00441B4E" w:rsidRDefault="00431401" w:rsidP="00896F28">
            <w:pPr>
              <w:spacing w:line="360" w:lineRule="auto"/>
              <w:jc w:val="both"/>
              <w:rPr>
                <w:rFonts w:ascii="Arial" w:hAnsi="Arial" w:cs="Arial"/>
                <w:szCs w:val="24"/>
              </w:rPr>
            </w:pPr>
            <w:r w:rsidRPr="00441B4E">
              <w:rPr>
                <w:rFonts w:ascii="Arial" w:hAnsi="Arial" w:cs="Arial"/>
                <w:szCs w:val="24"/>
              </w:rPr>
              <w:t>3</w:t>
            </w:r>
          </w:p>
        </w:tc>
        <w:tc>
          <w:tcPr>
            <w:tcW w:w="0" w:type="auto"/>
            <w:hideMark/>
          </w:tcPr>
          <w:p w14:paraId="638B3FC6"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14.00</w:t>
            </w:r>
          </w:p>
        </w:tc>
        <w:tc>
          <w:tcPr>
            <w:tcW w:w="0" w:type="auto"/>
            <w:hideMark/>
          </w:tcPr>
          <w:p w14:paraId="701A6B9D"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8.00</w:t>
            </w:r>
          </w:p>
        </w:tc>
        <w:tc>
          <w:tcPr>
            <w:tcW w:w="0" w:type="auto"/>
            <w:hideMark/>
          </w:tcPr>
          <w:p w14:paraId="409F5A53"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6.00</w:t>
            </w:r>
          </w:p>
        </w:tc>
        <w:tc>
          <w:tcPr>
            <w:tcW w:w="0" w:type="auto"/>
            <w:hideMark/>
          </w:tcPr>
          <w:p w14:paraId="3C58F865"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(4.00)</w:t>
            </w:r>
          </w:p>
        </w:tc>
        <w:tc>
          <w:tcPr>
            <w:tcW w:w="0" w:type="auto"/>
            <w:hideMark/>
          </w:tcPr>
          <w:p w14:paraId="3C3E1727"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0.7513</w:t>
            </w:r>
          </w:p>
        </w:tc>
        <w:tc>
          <w:tcPr>
            <w:tcW w:w="0" w:type="auto"/>
            <w:hideMark/>
          </w:tcPr>
          <w:p w14:paraId="350B128D"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10.52</w:t>
            </w:r>
          </w:p>
        </w:tc>
      </w:tr>
      <w:tr w:rsidR="00431401" w:rsidRPr="00441B4E" w14:paraId="445BF9D5" w14:textId="77777777" w:rsidTr="00431401">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0" w:type="auto"/>
            <w:hideMark/>
          </w:tcPr>
          <w:p w14:paraId="42F4D95A" w14:textId="77777777" w:rsidR="00431401" w:rsidRPr="00441B4E" w:rsidRDefault="00431401" w:rsidP="00896F28">
            <w:pPr>
              <w:spacing w:line="360" w:lineRule="auto"/>
              <w:jc w:val="both"/>
              <w:rPr>
                <w:rFonts w:ascii="Arial" w:hAnsi="Arial" w:cs="Arial"/>
                <w:szCs w:val="24"/>
              </w:rPr>
            </w:pPr>
            <w:r w:rsidRPr="00441B4E">
              <w:rPr>
                <w:rFonts w:ascii="Arial" w:hAnsi="Arial" w:cs="Arial"/>
                <w:szCs w:val="24"/>
              </w:rPr>
              <w:t>4</w:t>
            </w:r>
          </w:p>
        </w:tc>
        <w:tc>
          <w:tcPr>
            <w:tcW w:w="0" w:type="auto"/>
            <w:hideMark/>
          </w:tcPr>
          <w:p w14:paraId="46433BA5"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10.00</w:t>
            </w:r>
          </w:p>
        </w:tc>
        <w:tc>
          <w:tcPr>
            <w:tcW w:w="0" w:type="auto"/>
            <w:hideMark/>
          </w:tcPr>
          <w:p w14:paraId="1C53FCA4"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8.00</w:t>
            </w:r>
          </w:p>
        </w:tc>
        <w:tc>
          <w:tcPr>
            <w:tcW w:w="0" w:type="auto"/>
            <w:hideMark/>
          </w:tcPr>
          <w:p w14:paraId="5D0FCEEE"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2.00</w:t>
            </w:r>
          </w:p>
        </w:tc>
        <w:tc>
          <w:tcPr>
            <w:tcW w:w="0" w:type="auto"/>
            <w:hideMark/>
          </w:tcPr>
          <w:p w14:paraId="428278DF"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6.00</w:t>
            </w:r>
          </w:p>
        </w:tc>
        <w:tc>
          <w:tcPr>
            <w:tcW w:w="0" w:type="auto"/>
            <w:hideMark/>
          </w:tcPr>
          <w:p w14:paraId="2263D8E2"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0.6830</w:t>
            </w:r>
          </w:p>
        </w:tc>
        <w:tc>
          <w:tcPr>
            <w:tcW w:w="0" w:type="auto"/>
            <w:hideMark/>
          </w:tcPr>
          <w:p w14:paraId="6B840FB8"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6.83</w:t>
            </w:r>
          </w:p>
        </w:tc>
      </w:tr>
      <w:tr w:rsidR="00431401" w:rsidRPr="00441B4E" w14:paraId="611C34BA" w14:textId="77777777" w:rsidTr="00431401">
        <w:trPr>
          <w:trHeight w:val="266"/>
        </w:trPr>
        <w:tc>
          <w:tcPr>
            <w:cnfStyle w:val="001000000000" w:firstRow="0" w:lastRow="0" w:firstColumn="1" w:lastColumn="0" w:oddVBand="0" w:evenVBand="0" w:oddHBand="0" w:evenHBand="0" w:firstRowFirstColumn="0" w:firstRowLastColumn="0" w:lastRowFirstColumn="0" w:lastRowLastColumn="0"/>
            <w:tcW w:w="0" w:type="auto"/>
            <w:hideMark/>
          </w:tcPr>
          <w:p w14:paraId="178C411D" w14:textId="77777777" w:rsidR="00431401" w:rsidRPr="00441B4E" w:rsidRDefault="00431401" w:rsidP="00896F28">
            <w:pPr>
              <w:spacing w:line="360" w:lineRule="auto"/>
              <w:jc w:val="both"/>
              <w:rPr>
                <w:rFonts w:ascii="Arial" w:hAnsi="Arial" w:cs="Arial"/>
                <w:szCs w:val="24"/>
              </w:rPr>
            </w:pPr>
            <w:r w:rsidRPr="00441B4E">
              <w:rPr>
                <w:rFonts w:ascii="Arial" w:hAnsi="Arial" w:cs="Arial"/>
                <w:szCs w:val="24"/>
              </w:rPr>
              <w:t>5</w:t>
            </w:r>
          </w:p>
        </w:tc>
        <w:tc>
          <w:tcPr>
            <w:tcW w:w="0" w:type="auto"/>
            <w:hideMark/>
          </w:tcPr>
          <w:p w14:paraId="7AAABC1D"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8.00</w:t>
            </w:r>
          </w:p>
        </w:tc>
        <w:tc>
          <w:tcPr>
            <w:tcW w:w="0" w:type="auto"/>
            <w:hideMark/>
          </w:tcPr>
          <w:p w14:paraId="02FFA8CA"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8.00</w:t>
            </w:r>
          </w:p>
        </w:tc>
        <w:tc>
          <w:tcPr>
            <w:tcW w:w="0" w:type="auto"/>
            <w:hideMark/>
          </w:tcPr>
          <w:p w14:paraId="24FAF16D"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0.00</w:t>
            </w:r>
          </w:p>
        </w:tc>
        <w:tc>
          <w:tcPr>
            <w:tcW w:w="0" w:type="auto"/>
            <w:hideMark/>
          </w:tcPr>
          <w:p w14:paraId="4A0CA43D"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14.00</w:t>
            </w:r>
          </w:p>
        </w:tc>
        <w:tc>
          <w:tcPr>
            <w:tcW w:w="0" w:type="auto"/>
            <w:hideMark/>
          </w:tcPr>
          <w:p w14:paraId="62058722"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0.6209</w:t>
            </w:r>
          </w:p>
        </w:tc>
        <w:tc>
          <w:tcPr>
            <w:tcW w:w="0" w:type="auto"/>
            <w:hideMark/>
          </w:tcPr>
          <w:p w14:paraId="091E0E6E"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4.97</w:t>
            </w:r>
          </w:p>
        </w:tc>
      </w:tr>
      <w:tr w:rsidR="00431401" w:rsidRPr="00441B4E" w14:paraId="566CC2F2" w14:textId="77777777" w:rsidTr="00431401">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0" w:type="auto"/>
            <w:hideMark/>
          </w:tcPr>
          <w:p w14:paraId="121FA834" w14:textId="77777777" w:rsidR="00431401" w:rsidRPr="00441B4E" w:rsidRDefault="00431401" w:rsidP="00896F28">
            <w:pPr>
              <w:spacing w:line="360" w:lineRule="auto"/>
              <w:jc w:val="both"/>
              <w:rPr>
                <w:rFonts w:ascii="Arial" w:hAnsi="Arial" w:cs="Arial"/>
                <w:szCs w:val="24"/>
              </w:rPr>
            </w:pPr>
            <w:r w:rsidRPr="00441B4E">
              <w:rPr>
                <w:rStyle w:val="Strong"/>
                <w:rFonts w:ascii="Arial" w:hAnsi="Arial" w:cs="Arial"/>
                <w:szCs w:val="24"/>
              </w:rPr>
              <w:t>Total</w:t>
            </w:r>
          </w:p>
        </w:tc>
        <w:tc>
          <w:tcPr>
            <w:tcW w:w="0" w:type="auto"/>
            <w:hideMark/>
          </w:tcPr>
          <w:p w14:paraId="63848431"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Style w:val="Strong"/>
                <w:rFonts w:ascii="Arial" w:hAnsi="Arial" w:cs="Arial"/>
                <w:szCs w:val="24"/>
              </w:rPr>
              <w:t>54.00</w:t>
            </w:r>
          </w:p>
        </w:tc>
        <w:tc>
          <w:tcPr>
            <w:tcW w:w="0" w:type="auto"/>
            <w:hideMark/>
          </w:tcPr>
          <w:p w14:paraId="6DD03991"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Style w:val="Strong"/>
                <w:rFonts w:ascii="Arial" w:hAnsi="Arial" w:cs="Arial"/>
                <w:szCs w:val="24"/>
              </w:rPr>
              <w:t>40.00</w:t>
            </w:r>
          </w:p>
        </w:tc>
        <w:tc>
          <w:tcPr>
            <w:tcW w:w="0" w:type="auto"/>
            <w:hideMark/>
          </w:tcPr>
          <w:p w14:paraId="683D73D9"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Style w:val="Strong"/>
                <w:rFonts w:ascii="Arial" w:hAnsi="Arial" w:cs="Arial"/>
                <w:szCs w:val="24"/>
              </w:rPr>
              <w:t>14.00</w:t>
            </w:r>
          </w:p>
        </w:tc>
        <w:tc>
          <w:tcPr>
            <w:tcW w:w="0" w:type="auto"/>
            <w:hideMark/>
          </w:tcPr>
          <w:p w14:paraId="1892358F"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p>
        </w:tc>
        <w:tc>
          <w:tcPr>
            <w:tcW w:w="0" w:type="auto"/>
            <w:hideMark/>
          </w:tcPr>
          <w:p w14:paraId="3C1D6DBD"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p>
        </w:tc>
        <w:tc>
          <w:tcPr>
            <w:tcW w:w="0" w:type="auto"/>
            <w:hideMark/>
          </w:tcPr>
          <w:p w14:paraId="5007CDBE"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Style w:val="Strong"/>
                <w:rFonts w:ascii="Arial" w:hAnsi="Arial" w:cs="Arial"/>
                <w:szCs w:val="24"/>
              </w:rPr>
              <w:t>1.32</w:t>
            </w:r>
          </w:p>
        </w:tc>
      </w:tr>
    </w:tbl>
    <w:p w14:paraId="257F9E59" w14:textId="77777777" w:rsidR="00431401" w:rsidRPr="00441B4E" w:rsidRDefault="00431401" w:rsidP="00896F28">
      <w:pPr>
        <w:pStyle w:val="ds-markdown-paragraph"/>
        <w:numPr>
          <w:ilvl w:val="0"/>
          <w:numId w:val="33"/>
        </w:numPr>
        <w:shd w:val="clear" w:color="auto" w:fill="FFFFFF"/>
        <w:spacing w:after="0" w:afterAutospacing="0" w:line="360" w:lineRule="auto"/>
        <w:jc w:val="both"/>
        <w:rPr>
          <w:rFonts w:ascii="Arial" w:hAnsi="Arial" w:cs="Arial"/>
          <w:color w:val="0F1115"/>
        </w:rPr>
      </w:pPr>
      <w:r w:rsidRPr="00441B4E">
        <w:rPr>
          <w:rStyle w:val="Strong"/>
          <w:rFonts w:ascii="Arial" w:eastAsia="DengXian" w:hAnsi="Arial" w:cs="Arial"/>
          <w:color w:val="0F1115"/>
        </w:rPr>
        <w:t>Payback Period (PBP):</w:t>
      </w:r>
      <w:r w:rsidRPr="00441B4E">
        <w:rPr>
          <w:rFonts w:ascii="Arial" w:hAnsi="Arial" w:cs="Arial"/>
          <w:color w:val="0F1115"/>
        </w:rPr>
        <w:t> = 3 + (4.00 / 10.00) = </w:t>
      </w:r>
      <w:r w:rsidRPr="00441B4E">
        <w:rPr>
          <w:rStyle w:val="Strong"/>
          <w:rFonts w:ascii="Arial" w:eastAsia="DengXian" w:hAnsi="Arial" w:cs="Arial"/>
          <w:color w:val="0F1115"/>
        </w:rPr>
        <w:t>3.4 years</w:t>
      </w:r>
    </w:p>
    <w:p w14:paraId="2BEA8D68" w14:textId="77777777" w:rsidR="00431401" w:rsidRPr="00441B4E" w:rsidRDefault="00431401" w:rsidP="00896F28">
      <w:pPr>
        <w:pStyle w:val="ds-markdown-paragraph"/>
        <w:numPr>
          <w:ilvl w:val="0"/>
          <w:numId w:val="33"/>
        </w:numPr>
        <w:shd w:val="clear" w:color="auto" w:fill="FFFFFF"/>
        <w:spacing w:after="0" w:afterAutospacing="0" w:line="360" w:lineRule="auto"/>
        <w:jc w:val="both"/>
        <w:rPr>
          <w:rFonts w:ascii="Arial" w:hAnsi="Arial" w:cs="Arial"/>
          <w:color w:val="0F1115"/>
        </w:rPr>
      </w:pPr>
      <w:r w:rsidRPr="00441B4E">
        <w:rPr>
          <w:rStyle w:val="Strong"/>
          <w:rFonts w:ascii="Arial" w:eastAsia="DengXian" w:hAnsi="Arial" w:cs="Arial"/>
          <w:color w:val="0F1115"/>
        </w:rPr>
        <w:t>Accounting Rate of Return (ARR):</w:t>
      </w:r>
      <w:r w:rsidRPr="00441B4E">
        <w:rPr>
          <w:rFonts w:ascii="Arial" w:hAnsi="Arial" w:cs="Arial"/>
          <w:color w:val="0F1115"/>
        </w:rPr>
        <w:t> = (Average Annual Profit / Initial Investment). Average Profit = £14m / 5 = £2.8m. ARR = (£2.8m / £40m) = </w:t>
      </w:r>
      <w:r w:rsidRPr="00441B4E">
        <w:rPr>
          <w:rStyle w:val="Strong"/>
          <w:rFonts w:ascii="Arial" w:eastAsia="DengXian" w:hAnsi="Arial" w:cs="Arial"/>
          <w:color w:val="0F1115"/>
        </w:rPr>
        <w:t>7.00%</w:t>
      </w:r>
    </w:p>
    <w:p w14:paraId="603F96C9" w14:textId="77777777" w:rsidR="00431401" w:rsidRPr="00441B4E" w:rsidRDefault="00431401" w:rsidP="00896F28">
      <w:pPr>
        <w:pStyle w:val="ds-markdown-paragraph"/>
        <w:numPr>
          <w:ilvl w:val="0"/>
          <w:numId w:val="33"/>
        </w:numPr>
        <w:shd w:val="clear" w:color="auto" w:fill="FFFFFF"/>
        <w:spacing w:after="0" w:afterAutospacing="0" w:line="360" w:lineRule="auto"/>
        <w:jc w:val="both"/>
        <w:rPr>
          <w:rFonts w:ascii="Arial" w:hAnsi="Arial" w:cs="Arial"/>
          <w:color w:val="0F1115"/>
        </w:rPr>
      </w:pPr>
      <w:r w:rsidRPr="00441B4E">
        <w:rPr>
          <w:rStyle w:val="Strong"/>
          <w:rFonts w:ascii="Arial" w:eastAsia="DengXian" w:hAnsi="Arial" w:cs="Arial"/>
          <w:color w:val="0F1115"/>
        </w:rPr>
        <w:t>Net Present Value (NPV):</w:t>
      </w:r>
      <w:r w:rsidRPr="00441B4E">
        <w:rPr>
          <w:rFonts w:ascii="Arial" w:hAnsi="Arial" w:cs="Arial"/>
          <w:color w:val="0F1115"/>
        </w:rPr>
        <w:t> = </w:t>
      </w:r>
      <w:r w:rsidRPr="00441B4E">
        <w:rPr>
          <w:rStyle w:val="Strong"/>
          <w:rFonts w:ascii="Arial" w:eastAsia="DengXian" w:hAnsi="Arial" w:cs="Arial"/>
          <w:color w:val="0F1115"/>
        </w:rPr>
        <w:t>£1.32 million</w:t>
      </w:r>
    </w:p>
    <w:p w14:paraId="02888C38" w14:textId="77777777" w:rsidR="00431401" w:rsidRPr="00441B4E" w:rsidRDefault="00431401" w:rsidP="00896F28">
      <w:pPr>
        <w:pStyle w:val="ds-markdown-paragraph"/>
        <w:numPr>
          <w:ilvl w:val="0"/>
          <w:numId w:val="33"/>
        </w:numPr>
        <w:shd w:val="clear" w:color="auto" w:fill="FFFFFF"/>
        <w:spacing w:after="0" w:afterAutospacing="0" w:line="360" w:lineRule="auto"/>
        <w:jc w:val="both"/>
        <w:rPr>
          <w:rFonts w:ascii="Arial" w:hAnsi="Arial" w:cs="Arial"/>
          <w:color w:val="0F1115"/>
        </w:rPr>
      </w:pPr>
      <w:r w:rsidRPr="00441B4E">
        <w:rPr>
          <w:rStyle w:val="Strong"/>
          <w:rFonts w:ascii="Arial" w:eastAsia="DengXian" w:hAnsi="Arial" w:cs="Arial"/>
          <w:color w:val="0F1115"/>
        </w:rPr>
        <w:t>Profitability Index (PI):</w:t>
      </w:r>
      <w:r w:rsidRPr="00441B4E">
        <w:rPr>
          <w:rFonts w:ascii="Arial" w:hAnsi="Arial" w:cs="Arial"/>
          <w:color w:val="0F1115"/>
        </w:rPr>
        <w:t> = (PV of Future Cash Flows / Initial Investment) = (£41.32m / £40m) = </w:t>
      </w:r>
      <w:r w:rsidRPr="00441B4E">
        <w:rPr>
          <w:rStyle w:val="Strong"/>
          <w:rFonts w:ascii="Arial" w:eastAsia="DengXian" w:hAnsi="Arial" w:cs="Arial"/>
          <w:color w:val="0F1115"/>
        </w:rPr>
        <w:t>1.033</w:t>
      </w:r>
    </w:p>
    <w:p w14:paraId="4B77E2BC" w14:textId="77777777" w:rsidR="00431401" w:rsidRPr="00441B4E" w:rsidRDefault="00431401" w:rsidP="00896F28">
      <w:pPr>
        <w:pStyle w:val="ds-markdown-paragraph"/>
        <w:numPr>
          <w:ilvl w:val="0"/>
          <w:numId w:val="33"/>
        </w:numPr>
        <w:shd w:val="clear" w:color="auto" w:fill="FFFFFF"/>
        <w:spacing w:after="0" w:afterAutospacing="0" w:line="360" w:lineRule="auto"/>
        <w:jc w:val="both"/>
        <w:rPr>
          <w:rFonts w:ascii="Arial" w:hAnsi="Arial" w:cs="Arial"/>
          <w:color w:val="0F1115"/>
        </w:rPr>
      </w:pPr>
      <w:r w:rsidRPr="00441B4E">
        <w:rPr>
          <w:rStyle w:val="Strong"/>
          <w:rFonts w:ascii="Arial" w:eastAsia="DengXian" w:hAnsi="Arial" w:cs="Arial"/>
          <w:color w:val="0F1115"/>
        </w:rPr>
        <w:t>Internal Rate of Return (IRR):</w:t>
      </w:r>
      <w:r w:rsidRPr="00441B4E">
        <w:rPr>
          <w:rFonts w:ascii="Arial" w:hAnsi="Arial" w:cs="Arial"/>
          <w:color w:val="0F1115"/>
        </w:rPr>
        <w:t> = </w:t>
      </w:r>
      <w:r w:rsidRPr="00441B4E">
        <w:rPr>
          <w:rStyle w:val="Strong"/>
          <w:rFonts w:ascii="Arial" w:eastAsia="DengXian" w:hAnsi="Arial" w:cs="Arial"/>
          <w:color w:val="0F1115"/>
        </w:rPr>
        <w:t>11.33%</w:t>
      </w:r>
    </w:p>
    <w:p w14:paraId="51422E73" w14:textId="77777777" w:rsidR="00431401" w:rsidRPr="00441B4E" w:rsidRDefault="00431401" w:rsidP="00896F28">
      <w:pPr>
        <w:pStyle w:val="ds-markdown-paragraph"/>
        <w:shd w:val="clear" w:color="auto" w:fill="FFFFFF"/>
        <w:spacing w:before="240" w:beforeAutospacing="0" w:after="240" w:afterAutospacing="0" w:line="360" w:lineRule="auto"/>
        <w:jc w:val="both"/>
        <w:rPr>
          <w:rFonts w:ascii="Arial" w:hAnsi="Arial" w:cs="Arial"/>
          <w:color w:val="0F1115"/>
        </w:rPr>
      </w:pPr>
      <w:r w:rsidRPr="00441B4E">
        <w:rPr>
          <w:rStyle w:val="Strong"/>
          <w:rFonts w:ascii="Arial" w:eastAsia="DengXian" w:hAnsi="Arial" w:cs="Arial"/>
          <w:color w:val="0F1115"/>
        </w:rPr>
        <w:lastRenderedPageBreak/>
        <w:t>Project B: Initial Investment = £30 million</w:t>
      </w:r>
    </w:p>
    <w:tbl>
      <w:tblPr>
        <w:tblStyle w:val="GridTable6Colorful"/>
        <w:tblW w:w="12022" w:type="dxa"/>
        <w:tblInd w:w="-1355" w:type="dxa"/>
        <w:tblLook w:val="04A0" w:firstRow="1" w:lastRow="0" w:firstColumn="1" w:lastColumn="0" w:noHBand="0" w:noVBand="1"/>
      </w:tblPr>
      <w:tblGrid>
        <w:gridCol w:w="750"/>
        <w:gridCol w:w="1478"/>
        <w:gridCol w:w="1954"/>
        <w:gridCol w:w="2162"/>
        <w:gridCol w:w="2420"/>
        <w:gridCol w:w="1528"/>
        <w:gridCol w:w="1730"/>
      </w:tblGrid>
      <w:tr w:rsidR="00431401" w:rsidRPr="00441B4E" w14:paraId="3D043887" w14:textId="77777777" w:rsidTr="00431401">
        <w:trPr>
          <w:cnfStyle w:val="100000000000" w:firstRow="1" w:lastRow="0" w:firstColumn="0" w:lastColumn="0" w:oddVBand="0" w:evenVBand="0" w:oddHBand="0" w:evenHBand="0" w:firstRowFirstColumn="0" w:firstRowLastColumn="0" w:lastRowFirstColumn="0" w:lastRowLastColumn="0"/>
          <w:trHeight w:val="953"/>
        </w:trPr>
        <w:tc>
          <w:tcPr>
            <w:cnfStyle w:val="001000000000" w:firstRow="0" w:lastRow="0" w:firstColumn="1" w:lastColumn="0" w:oddVBand="0" w:evenVBand="0" w:oddHBand="0" w:evenHBand="0" w:firstRowFirstColumn="0" w:firstRowLastColumn="0" w:lastRowFirstColumn="0" w:lastRowLastColumn="0"/>
            <w:tcW w:w="0" w:type="auto"/>
            <w:hideMark/>
          </w:tcPr>
          <w:p w14:paraId="72FCCEB0" w14:textId="77777777" w:rsidR="00431401" w:rsidRPr="00441B4E" w:rsidRDefault="00431401" w:rsidP="00896F28">
            <w:pPr>
              <w:spacing w:line="360" w:lineRule="auto"/>
              <w:jc w:val="both"/>
              <w:rPr>
                <w:rFonts w:ascii="Arial" w:hAnsi="Arial" w:cs="Arial"/>
                <w:color w:val="auto"/>
                <w:szCs w:val="24"/>
              </w:rPr>
            </w:pPr>
            <w:r w:rsidRPr="00441B4E">
              <w:rPr>
                <w:rFonts w:ascii="Arial" w:hAnsi="Arial" w:cs="Arial"/>
                <w:szCs w:val="24"/>
              </w:rPr>
              <w:t>Year</w:t>
            </w:r>
          </w:p>
        </w:tc>
        <w:tc>
          <w:tcPr>
            <w:tcW w:w="0" w:type="auto"/>
            <w:hideMark/>
          </w:tcPr>
          <w:p w14:paraId="679218C4" w14:textId="77777777" w:rsidR="00431401" w:rsidRPr="00441B4E" w:rsidRDefault="00431401" w:rsidP="00896F2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Cash Flow (£m)</w:t>
            </w:r>
          </w:p>
        </w:tc>
        <w:tc>
          <w:tcPr>
            <w:tcW w:w="0" w:type="auto"/>
            <w:hideMark/>
          </w:tcPr>
          <w:p w14:paraId="6ACD0785" w14:textId="77777777" w:rsidR="00431401" w:rsidRPr="00441B4E" w:rsidRDefault="00431401" w:rsidP="00896F2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Depreciation (£m)</w:t>
            </w:r>
          </w:p>
        </w:tc>
        <w:tc>
          <w:tcPr>
            <w:tcW w:w="0" w:type="auto"/>
            <w:hideMark/>
          </w:tcPr>
          <w:p w14:paraId="56A65DDE" w14:textId="77777777" w:rsidR="00431401" w:rsidRPr="00441B4E" w:rsidRDefault="00431401" w:rsidP="00896F2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Accounting Profit (£m)</w:t>
            </w:r>
          </w:p>
        </w:tc>
        <w:tc>
          <w:tcPr>
            <w:tcW w:w="0" w:type="auto"/>
            <w:hideMark/>
          </w:tcPr>
          <w:p w14:paraId="476C04DC" w14:textId="77777777" w:rsidR="00431401" w:rsidRPr="00441B4E" w:rsidRDefault="00431401" w:rsidP="00896F2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Cumulative Cash Flow (£m)</w:t>
            </w:r>
          </w:p>
        </w:tc>
        <w:tc>
          <w:tcPr>
            <w:tcW w:w="0" w:type="auto"/>
            <w:hideMark/>
          </w:tcPr>
          <w:p w14:paraId="16034564" w14:textId="77777777" w:rsidR="00431401" w:rsidRPr="00441B4E" w:rsidRDefault="00431401" w:rsidP="00896F2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PV Factor @10%</w:t>
            </w:r>
          </w:p>
        </w:tc>
        <w:tc>
          <w:tcPr>
            <w:tcW w:w="0" w:type="auto"/>
            <w:hideMark/>
          </w:tcPr>
          <w:p w14:paraId="1689BC29" w14:textId="77777777" w:rsidR="00431401" w:rsidRPr="00441B4E" w:rsidRDefault="00431401" w:rsidP="00896F2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Present Value (£m)</w:t>
            </w:r>
          </w:p>
        </w:tc>
      </w:tr>
      <w:tr w:rsidR="00431401" w:rsidRPr="00441B4E" w14:paraId="0BFA43DD" w14:textId="77777777" w:rsidTr="00431401">
        <w:trPr>
          <w:cnfStyle w:val="000000100000" w:firstRow="0" w:lastRow="0" w:firstColumn="0" w:lastColumn="0" w:oddVBand="0" w:evenVBand="0" w:oddHBand="1" w:evenHBand="0" w:firstRowFirstColumn="0" w:firstRowLastColumn="0" w:lastRowFirstColumn="0" w:lastRowLastColumn="0"/>
          <w:trHeight w:val="317"/>
        </w:trPr>
        <w:tc>
          <w:tcPr>
            <w:cnfStyle w:val="001000000000" w:firstRow="0" w:lastRow="0" w:firstColumn="1" w:lastColumn="0" w:oddVBand="0" w:evenVBand="0" w:oddHBand="0" w:evenHBand="0" w:firstRowFirstColumn="0" w:firstRowLastColumn="0" w:lastRowFirstColumn="0" w:lastRowLastColumn="0"/>
            <w:tcW w:w="0" w:type="auto"/>
            <w:hideMark/>
          </w:tcPr>
          <w:p w14:paraId="65F95F65" w14:textId="77777777" w:rsidR="00431401" w:rsidRPr="00441B4E" w:rsidRDefault="00431401" w:rsidP="00896F28">
            <w:pPr>
              <w:spacing w:line="360" w:lineRule="auto"/>
              <w:jc w:val="both"/>
              <w:rPr>
                <w:rFonts w:ascii="Arial" w:hAnsi="Arial" w:cs="Arial"/>
                <w:szCs w:val="24"/>
              </w:rPr>
            </w:pPr>
            <w:r w:rsidRPr="00441B4E">
              <w:rPr>
                <w:rFonts w:ascii="Arial" w:hAnsi="Arial" w:cs="Arial"/>
                <w:szCs w:val="24"/>
              </w:rPr>
              <w:t>0</w:t>
            </w:r>
          </w:p>
        </w:tc>
        <w:tc>
          <w:tcPr>
            <w:tcW w:w="0" w:type="auto"/>
            <w:hideMark/>
          </w:tcPr>
          <w:p w14:paraId="2ACD830E"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(30.00)</w:t>
            </w:r>
          </w:p>
        </w:tc>
        <w:tc>
          <w:tcPr>
            <w:tcW w:w="0" w:type="auto"/>
            <w:hideMark/>
          </w:tcPr>
          <w:p w14:paraId="29297000"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w:t>
            </w:r>
          </w:p>
        </w:tc>
        <w:tc>
          <w:tcPr>
            <w:tcW w:w="0" w:type="auto"/>
            <w:hideMark/>
          </w:tcPr>
          <w:p w14:paraId="35BA8784"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w:t>
            </w:r>
          </w:p>
        </w:tc>
        <w:tc>
          <w:tcPr>
            <w:tcW w:w="0" w:type="auto"/>
            <w:hideMark/>
          </w:tcPr>
          <w:p w14:paraId="4FEDB2C9"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(30.00)</w:t>
            </w:r>
          </w:p>
        </w:tc>
        <w:tc>
          <w:tcPr>
            <w:tcW w:w="0" w:type="auto"/>
            <w:hideMark/>
          </w:tcPr>
          <w:p w14:paraId="6CF0AF12"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1.0000</w:t>
            </w:r>
          </w:p>
        </w:tc>
        <w:tc>
          <w:tcPr>
            <w:tcW w:w="0" w:type="auto"/>
            <w:hideMark/>
          </w:tcPr>
          <w:p w14:paraId="68792E83"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(30.00)</w:t>
            </w:r>
          </w:p>
        </w:tc>
      </w:tr>
      <w:tr w:rsidR="00431401" w:rsidRPr="00441B4E" w14:paraId="07DD2B9D" w14:textId="77777777" w:rsidTr="00431401">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1B0A3AD2" w14:textId="77777777" w:rsidR="00431401" w:rsidRPr="00441B4E" w:rsidRDefault="00431401" w:rsidP="00896F28">
            <w:pPr>
              <w:spacing w:line="360" w:lineRule="auto"/>
              <w:jc w:val="both"/>
              <w:rPr>
                <w:rFonts w:ascii="Arial" w:hAnsi="Arial" w:cs="Arial"/>
                <w:szCs w:val="24"/>
              </w:rPr>
            </w:pPr>
            <w:r w:rsidRPr="00441B4E">
              <w:rPr>
                <w:rFonts w:ascii="Arial" w:hAnsi="Arial" w:cs="Arial"/>
                <w:szCs w:val="24"/>
              </w:rPr>
              <w:t>1</w:t>
            </w:r>
          </w:p>
        </w:tc>
        <w:tc>
          <w:tcPr>
            <w:tcW w:w="0" w:type="auto"/>
            <w:hideMark/>
          </w:tcPr>
          <w:p w14:paraId="727F5357"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6.00</w:t>
            </w:r>
          </w:p>
        </w:tc>
        <w:tc>
          <w:tcPr>
            <w:tcW w:w="0" w:type="auto"/>
            <w:hideMark/>
          </w:tcPr>
          <w:p w14:paraId="19AD34A2"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6.00</w:t>
            </w:r>
          </w:p>
        </w:tc>
        <w:tc>
          <w:tcPr>
            <w:tcW w:w="0" w:type="auto"/>
            <w:hideMark/>
          </w:tcPr>
          <w:p w14:paraId="24C8E06D"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0.00</w:t>
            </w:r>
          </w:p>
        </w:tc>
        <w:tc>
          <w:tcPr>
            <w:tcW w:w="0" w:type="auto"/>
            <w:hideMark/>
          </w:tcPr>
          <w:p w14:paraId="49568A91"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(24.00)</w:t>
            </w:r>
          </w:p>
        </w:tc>
        <w:tc>
          <w:tcPr>
            <w:tcW w:w="0" w:type="auto"/>
            <w:hideMark/>
          </w:tcPr>
          <w:p w14:paraId="180EB5C5"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0.9091</w:t>
            </w:r>
          </w:p>
        </w:tc>
        <w:tc>
          <w:tcPr>
            <w:tcW w:w="0" w:type="auto"/>
            <w:hideMark/>
          </w:tcPr>
          <w:p w14:paraId="075FF8EC"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5.45</w:t>
            </w:r>
          </w:p>
        </w:tc>
      </w:tr>
      <w:tr w:rsidR="00431401" w:rsidRPr="00441B4E" w14:paraId="6449F8EA" w14:textId="77777777" w:rsidTr="00431401">
        <w:trPr>
          <w:cnfStyle w:val="000000100000" w:firstRow="0" w:lastRow="0" w:firstColumn="0" w:lastColumn="0" w:oddVBand="0" w:evenVBand="0" w:oddHBand="1" w:evenHBand="0" w:firstRowFirstColumn="0" w:firstRowLastColumn="0" w:lastRowFirstColumn="0" w:lastRowLastColumn="0"/>
          <w:trHeight w:val="317"/>
        </w:trPr>
        <w:tc>
          <w:tcPr>
            <w:cnfStyle w:val="001000000000" w:firstRow="0" w:lastRow="0" w:firstColumn="1" w:lastColumn="0" w:oddVBand="0" w:evenVBand="0" w:oddHBand="0" w:evenHBand="0" w:firstRowFirstColumn="0" w:firstRowLastColumn="0" w:lastRowFirstColumn="0" w:lastRowLastColumn="0"/>
            <w:tcW w:w="0" w:type="auto"/>
            <w:hideMark/>
          </w:tcPr>
          <w:p w14:paraId="4ADECA26" w14:textId="77777777" w:rsidR="00431401" w:rsidRPr="00441B4E" w:rsidRDefault="00431401" w:rsidP="00896F28">
            <w:pPr>
              <w:spacing w:line="360" w:lineRule="auto"/>
              <w:jc w:val="both"/>
              <w:rPr>
                <w:rFonts w:ascii="Arial" w:hAnsi="Arial" w:cs="Arial"/>
                <w:szCs w:val="24"/>
              </w:rPr>
            </w:pPr>
            <w:r w:rsidRPr="00441B4E">
              <w:rPr>
                <w:rFonts w:ascii="Arial" w:hAnsi="Arial" w:cs="Arial"/>
                <w:szCs w:val="24"/>
              </w:rPr>
              <w:t>2</w:t>
            </w:r>
          </w:p>
        </w:tc>
        <w:tc>
          <w:tcPr>
            <w:tcW w:w="0" w:type="auto"/>
            <w:hideMark/>
          </w:tcPr>
          <w:p w14:paraId="5FFE02C6"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6.00</w:t>
            </w:r>
          </w:p>
        </w:tc>
        <w:tc>
          <w:tcPr>
            <w:tcW w:w="0" w:type="auto"/>
            <w:hideMark/>
          </w:tcPr>
          <w:p w14:paraId="2EBD4025"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6.00</w:t>
            </w:r>
          </w:p>
        </w:tc>
        <w:tc>
          <w:tcPr>
            <w:tcW w:w="0" w:type="auto"/>
            <w:hideMark/>
          </w:tcPr>
          <w:p w14:paraId="2D529998"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0.00</w:t>
            </w:r>
          </w:p>
        </w:tc>
        <w:tc>
          <w:tcPr>
            <w:tcW w:w="0" w:type="auto"/>
            <w:hideMark/>
          </w:tcPr>
          <w:p w14:paraId="54DB2101"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(18.00)</w:t>
            </w:r>
          </w:p>
        </w:tc>
        <w:tc>
          <w:tcPr>
            <w:tcW w:w="0" w:type="auto"/>
            <w:hideMark/>
          </w:tcPr>
          <w:p w14:paraId="758DF375"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0.8264</w:t>
            </w:r>
          </w:p>
        </w:tc>
        <w:tc>
          <w:tcPr>
            <w:tcW w:w="0" w:type="auto"/>
            <w:hideMark/>
          </w:tcPr>
          <w:p w14:paraId="61C1D660"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4.96</w:t>
            </w:r>
          </w:p>
        </w:tc>
      </w:tr>
      <w:tr w:rsidR="00431401" w:rsidRPr="00441B4E" w14:paraId="4C610187" w14:textId="77777777" w:rsidTr="00431401">
        <w:trPr>
          <w:trHeight w:val="317"/>
        </w:trPr>
        <w:tc>
          <w:tcPr>
            <w:cnfStyle w:val="001000000000" w:firstRow="0" w:lastRow="0" w:firstColumn="1" w:lastColumn="0" w:oddVBand="0" w:evenVBand="0" w:oddHBand="0" w:evenHBand="0" w:firstRowFirstColumn="0" w:firstRowLastColumn="0" w:lastRowFirstColumn="0" w:lastRowLastColumn="0"/>
            <w:tcW w:w="0" w:type="auto"/>
            <w:hideMark/>
          </w:tcPr>
          <w:p w14:paraId="04DF1343" w14:textId="77777777" w:rsidR="00431401" w:rsidRPr="00441B4E" w:rsidRDefault="00431401" w:rsidP="00896F28">
            <w:pPr>
              <w:spacing w:line="360" w:lineRule="auto"/>
              <w:jc w:val="both"/>
              <w:rPr>
                <w:rFonts w:ascii="Arial" w:hAnsi="Arial" w:cs="Arial"/>
                <w:szCs w:val="24"/>
              </w:rPr>
            </w:pPr>
            <w:r w:rsidRPr="00441B4E">
              <w:rPr>
                <w:rFonts w:ascii="Arial" w:hAnsi="Arial" w:cs="Arial"/>
                <w:szCs w:val="24"/>
              </w:rPr>
              <w:t>3</w:t>
            </w:r>
          </w:p>
        </w:tc>
        <w:tc>
          <w:tcPr>
            <w:tcW w:w="0" w:type="auto"/>
            <w:hideMark/>
          </w:tcPr>
          <w:p w14:paraId="7CF2942E"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6.00</w:t>
            </w:r>
          </w:p>
        </w:tc>
        <w:tc>
          <w:tcPr>
            <w:tcW w:w="0" w:type="auto"/>
            <w:hideMark/>
          </w:tcPr>
          <w:p w14:paraId="012B9450"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6.00</w:t>
            </w:r>
          </w:p>
        </w:tc>
        <w:tc>
          <w:tcPr>
            <w:tcW w:w="0" w:type="auto"/>
            <w:hideMark/>
          </w:tcPr>
          <w:p w14:paraId="7FE56E3E"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0.00</w:t>
            </w:r>
          </w:p>
        </w:tc>
        <w:tc>
          <w:tcPr>
            <w:tcW w:w="0" w:type="auto"/>
            <w:hideMark/>
          </w:tcPr>
          <w:p w14:paraId="1FC32EAC"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(12.00)</w:t>
            </w:r>
          </w:p>
        </w:tc>
        <w:tc>
          <w:tcPr>
            <w:tcW w:w="0" w:type="auto"/>
            <w:hideMark/>
          </w:tcPr>
          <w:p w14:paraId="1DE23BF3"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0.7513</w:t>
            </w:r>
          </w:p>
        </w:tc>
        <w:tc>
          <w:tcPr>
            <w:tcW w:w="0" w:type="auto"/>
            <w:hideMark/>
          </w:tcPr>
          <w:p w14:paraId="0B22AD5A"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4.51</w:t>
            </w:r>
          </w:p>
        </w:tc>
      </w:tr>
      <w:tr w:rsidR="00431401" w:rsidRPr="00441B4E" w14:paraId="296369EC" w14:textId="77777777" w:rsidTr="00431401">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40847BD9" w14:textId="77777777" w:rsidR="00431401" w:rsidRPr="00441B4E" w:rsidRDefault="00431401" w:rsidP="00896F28">
            <w:pPr>
              <w:spacing w:line="360" w:lineRule="auto"/>
              <w:jc w:val="both"/>
              <w:rPr>
                <w:rFonts w:ascii="Arial" w:hAnsi="Arial" w:cs="Arial"/>
                <w:szCs w:val="24"/>
              </w:rPr>
            </w:pPr>
            <w:r w:rsidRPr="00441B4E">
              <w:rPr>
                <w:rFonts w:ascii="Arial" w:hAnsi="Arial" w:cs="Arial"/>
                <w:szCs w:val="24"/>
              </w:rPr>
              <w:t>4</w:t>
            </w:r>
          </w:p>
        </w:tc>
        <w:tc>
          <w:tcPr>
            <w:tcW w:w="0" w:type="auto"/>
            <w:hideMark/>
          </w:tcPr>
          <w:p w14:paraId="35900B93"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6.00</w:t>
            </w:r>
          </w:p>
        </w:tc>
        <w:tc>
          <w:tcPr>
            <w:tcW w:w="0" w:type="auto"/>
            <w:hideMark/>
          </w:tcPr>
          <w:p w14:paraId="7218D4C6"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6.00</w:t>
            </w:r>
          </w:p>
        </w:tc>
        <w:tc>
          <w:tcPr>
            <w:tcW w:w="0" w:type="auto"/>
            <w:hideMark/>
          </w:tcPr>
          <w:p w14:paraId="3DA7AFFC"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0.00</w:t>
            </w:r>
          </w:p>
        </w:tc>
        <w:tc>
          <w:tcPr>
            <w:tcW w:w="0" w:type="auto"/>
            <w:hideMark/>
          </w:tcPr>
          <w:p w14:paraId="65171A5B"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(6.00)</w:t>
            </w:r>
          </w:p>
        </w:tc>
        <w:tc>
          <w:tcPr>
            <w:tcW w:w="0" w:type="auto"/>
            <w:hideMark/>
          </w:tcPr>
          <w:p w14:paraId="425AFDA9"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0.6830</w:t>
            </w:r>
          </w:p>
        </w:tc>
        <w:tc>
          <w:tcPr>
            <w:tcW w:w="0" w:type="auto"/>
            <w:hideMark/>
          </w:tcPr>
          <w:p w14:paraId="37C205C0"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4.10</w:t>
            </w:r>
          </w:p>
        </w:tc>
      </w:tr>
      <w:tr w:rsidR="00431401" w:rsidRPr="00441B4E" w14:paraId="51C71762" w14:textId="77777777" w:rsidTr="00431401">
        <w:trPr>
          <w:trHeight w:val="317"/>
        </w:trPr>
        <w:tc>
          <w:tcPr>
            <w:cnfStyle w:val="001000000000" w:firstRow="0" w:lastRow="0" w:firstColumn="1" w:lastColumn="0" w:oddVBand="0" w:evenVBand="0" w:oddHBand="0" w:evenHBand="0" w:firstRowFirstColumn="0" w:firstRowLastColumn="0" w:lastRowFirstColumn="0" w:lastRowLastColumn="0"/>
            <w:tcW w:w="0" w:type="auto"/>
            <w:hideMark/>
          </w:tcPr>
          <w:p w14:paraId="65E34E09" w14:textId="77777777" w:rsidR="00431401" w:rsidRPr="00441B4E" w:rsidRDefault="00431401" w:rsidP="00896F28">
            <w:pPr>
              <w:spacing w:line="360" w:lineRule="auto"/>
              <w:jc w:val="both"/>
              <w:rPr>
                <w:rFonts w:ascii="Arial" w:hAnsi="Arial" w:cs="Arial"/>
                <w:szCs w:val="24"/>
              </w:rPr>
            </w:pPr>
            <w:r w:rsidRPr="00441B4E">
              <w:rPr>
                <w:rFonts w:ascii="Arial" w:hAnsi="Arial" w:cs="Arial"/>
                <w:szCs w:val="24"/>
              </w:rPr>
              <w:t>5</w:t>
            </w:r>
          </w:p>
        </w:tc>
        <w:tc>
          <w:tcPr>
            <w:tcW w:w="0" w:type="auto"/>
            <w:hideMark/>
          </w:tcPr>
          <w:p w14:paraId="5C359E29"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6.00</w:t>
            </w:r>
          </w:p>
        </w:tc>
        <w:tc>
          <w:tcPr>
            <w:tcW w:w="0" w:type="auto"/>
            <w:hideMark/>
          </w:tcPr>
          <w:p w14:paraId="10018482"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6.00</w:t>
            </w:r>
          </w:p>
        </w:tc>
        <w:tc>
          <w:tcPr>
            <w:tcW w:w="0" w:type="auto"/>
            <w:hideMark/>
          </w:tcPr>
          <w:p w14:paraId="25451B23"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0.00</w:t>
            </w:r>
          </w:p>
        </w:tc>
        <w:tc>
          <w:tcPr>
            <w:tcW w:w="0" w:type="auto"/>
            <w:hideMark/>
          </w:tcPr>
          <w:p w14:paraId="672ED21F"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0.00</w:t>
            </w:r>
          </w:p>
        </w:tc>
        <w:tc>
          <w:tcPr>
            <w:tcW w:w="0" w:type="auto"/>
            <w:hideMark/>
          </w:tcPr>
          <w:p w14:paraId="0A3FE940"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0.6209</w:t>
            </w:r>
          </w:p>
        </w:tc>
        <w:tc>
          <w:tcPr>
            <w:tcW w:w="0" w:type="auto"/>
            <w:hideMark/>
          </w:tcPr>
          <w:p w14:paraId="50E3E4A3"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3.73</w:t>
            </w:r>
          </w:p>
        </w:tc>
      </w:tr>
      <w:tr w:rsidR="00431401" w:rsidRPr="00441B4E" w14:paraId="39730607" w14:textId="77777777" w:rsidTr="00431401">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5DD8E018" w14:textId="77777777" w:rsidR="00431401" w:rsidRPr="00441B4E" w:rsidRDefault="00431401" w:rsidP="00896F28">
            <w:pPr>
              <w:spacing w:line="360" w:lineRule="auto"/>
              <w:jc w:val="both"/>
              <w:rPr>
                <w:rFonts w:ascii="Arial" w:hAnsi="Arial" w:cs="Arial"/>
                <w:szCs w:val="24"/>
              </w:rPr>
            </w:pPr>
            <w:r w:rsidRPr="00441B4E">
              <w:rPr>
                <w:rStyle w:val="Strong"/>
                <w:rFonts w:ascii="Arial" w:hAnsi="Arial" w:cs="Arial"/>
                <w:szCs w:val="24"/>
              </w:rPr>
              <w:t>Total</w:t>
            </w:r>
          </w:p>
        </w:tc>
        <w:tc>
          <w:tcPr>
            <w:tcW w:w="0" w:type="auto"/>
            <w:hideMark/>
          </w:tcPr>
          <w:p w14:paraId="6419DC39"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Style w:val="Strong"/>
                <w:rFonts w:ascii="Arial" w:hAnsi="Arial" w:cs="Arial"/>
                <w:szCs w:val="24"/>
              </w:rPr>
              <w:t>30.00</w:t>
            </w:r>
          </w:p>
        </w:tc>
        <w:tc>
          <w:tcPr>
            <w:tcW w:w="0" w:type="auto"/>
            <w:hideMark/>
          </w:tcPr>
          <w:p w14:paraId="4F2258F0"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Style w:val="Strong"/>
                <w:rFonts w:ascii="Arial" w:hAnsi="Arial" w:cs="Arial"/>
                <w:szCs w:val="24"/>
              </w:rPr>
              <w:t>30.00</w:t>
            </w:r>
          </w:p>
        </w:tc>
        <w:tc>
          <w:tcPr>
            <w:tcW w:w="0" w:type="auto"/>
            <w:hideMark/>
          </w:tcPr>
          <w:p w14:paraId="73BACE0B"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Style w:val="Strong"/>
                <w:rFonts w:ascii="Arial" w:hAnsi="Arial" w:cs="Arial"/>
                <w:szCs w:val="24"/>
              </w:rPr>
              <w:t>0.00</w:t>
            </w:r>
          </w:p>
        </w:tc>
        <w:tc>
          <w:tcPr>
            <w:tcW w:w="0" w:type="auto"/>
            <w:hideMark/>
          </w:tcPr>
          <w:p w14:paraId="607F7A8C"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p>
        </w:tc>
        <w:tc>
          <w:tcPr>
            <w:tcW w:w="0" w:type="auto"/>
            <w:hideMark/>
          </w:tcPr>
          <w:p w14:paraId="158D451F"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p>
        </w:tc>
        <w:tc>
          <w:tcPr>
            <w:tcW w:w="0" w:type="auto"/>
            <w:hideMark/>
          </w:tcPr>
          <w:p w14:paraId="67A17E31"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Style w:val="Strong"/>
                <w:rFonts w:ascii="Arial" w:hAnsi="Arial" w:cs="Arial"/>
                <w:szCs w:val="24"/>
              </w:rPr>
              <w:t>-7.26</w:t>
            </w:r>
          </w:p>
        </w:tc>
      </w:tr>
    </w:tbl>
    <w:p w14:paraId="0CBB076C" w14:textId="77777777" w:rsidR="00431401" w:rsidRPr="00441B4E" w:rsidRDefault="00431401" w:rsidP="00896F28">
      <w:pPr>
        <w:pStyle w:val="ds-markdown-paragraph"/>
        <w:numPr>
          <w:ilvl w:val="0"/>
          <w:numId w:val="34"/>
        </w:numPr>
        <w:shd w:val="clear" w:color="auto" w:fill="FFFFFF"/>
        <w:spacing w:after="0" w:afterAutospacing="0" w:line="360" w:lineRule="auto"/>
        <w:jc w:val="both"/>
        <w:rPr>
          <w:rFonts w:ascii="Arial" w:hAnsi="Arial" w:cs="Arial"/>
          <w:color w:val="0F1115"/>
        </w:rPr>
      </w:pPr>
      <w:r w:rsidRPr="00441B4E">
        <w:rPr>
          <w:rStyle w:val="Strong"/>
          <w:rFonts w:ascii="Arial" w:eastAsia="DengXian" w:hAnsi="Arial" w:cs="Arial"/>
          <w:color w:val="0F1115"/>
        </w:rPr>
        <w:t>Payback Period (PBP):</w:t>
      </w:r>
      <w:r w:rsidRPr="00441B4E">
        <w:rPr>
          <w:rFonts w:ascii="Arial" w:hAnsi="Arial" w:cs="Arial"/>
          <w:color w:val="0F1115"/>
        </w:rPr>
        <w:t> = </w:t>
      </w:r>
      <w:r w:rsidRPr="00441B4E">
        <w:rPr>
          <w:rStyle w:val="Strong"/>
          <w:rFonts w:ascii="Arial" w:eastAsia="DengXian" w:hAnsi="Arial" w:cs="Arial"/>
          <w:color w:val="0F1115"/>
        </w:rPr>
        <w:t>5.0 years</w:t>
      </w:r>
    </w:p>
    <w:p w14:paraId="7E187BA5" w14:textId="77777777" w:rsidR="00431401" w:rsidRPr="00441B4E" w:rsidRDefault="00431401" w:rsidP="00896F28">
      <w:pPr>
        <w:pStyle w:val="ds-markdown-paragraph"/>
        <w:numPr>
          <w:ilvl w:val="0"/>
          <w:numId w:val="34"/>
        </w:numPr>
        <w:shd w:val="clear" w:color="auto" w:fill="FFFFFF"/>
        <w:spacing w:after="0" w:afterAutospacing="0" w:line="360" w:lineRule="auto"/>
        <w:jc w:val="both"/>
        <w:rPr>
          <w:rFonts w:ascii="Arial" w:hAnsi="Arial" w:cs="Arial"/>
          <w:color w:val="0F1115"/>
        </w:rPr>
      </w:pPr>
      <w:r w:rsidRPr="00441B4E">
        <w:rPr>
          <w:rStyle w:val="Strong"/>
          <w:rFonts w:ascii="Arial" w:eastAsia="DengXian" w:hAnsi="Arial" w:cs="Arial"/>
          <w:color w:val="0F1115"/>
        </w:rPr>
        <w:t>Accounting Rate of Return (ARR):</w:t>
      </w:r>
      <w:r w:rsidRPr="00441B4E">
        <w:rPr>
          <w:rFonts w:ascii="Arial" w:hAnsi="Arial" w:cs="Arial"/>
          <w:color w:val="0F1115"/>
        </w:rPr>
        <w:t> Average Profit = £0m. ARR = </w:t>
      </w:r>
      <w:r w:rsidRPr="00441B4E">
        <w:rPr>
          <w:rStyle w:val="Strong"/>
          <w:rFonts w:ascii="Arial" w:eastAsia="DengXian" w:hAnsi="Arial" w:cs="Arial"/>
          <w:color w:val="0F1115"/>
        </w:rPr>
        <w:t>0.00%</w:t>
      </w:r>
    </w:p>
    <w:p w14:paraId="0C4C58BD" w14:textId="77777777" w:rsidR="00431401" w:rsidRPr="00441B4E" w:rsidRDefault="00431401" w:rsidP="00896F28">
      <w:pPr>
        <w:pStyle w:val="ds-markdown-paragraph"/>
        <w:numPr>
          <w:ilvl w:val="0"/>
          <w:numId w:val="34"/>
        </w:numPr>
        <w:shd w:val="clear" w:color="auto" w:fill="FFFFFF"/>
        <w:spacing w:after="0" w:afterAutospacing="0" w:line="360" w:lineRule="auto"/>
        <w:jc w:val="both"/>
        <w:rPr>
          <w:rFonts w:ascii="Arial" w:hAnsi="Arial" w:cs="Arial"/>
          <w:color w:val="0F1115"/>
        </w:rPr>
      </w:pPr>
      <w:r w:rsidRPr="00441B4E">
        <w:rPr>
          <w:rStyle w:val="Strong"/>
          <w:rFonts w:ascii="Arial" w:eastAsia="DengXian" w:hAnsi="Arial" w:cs="Arial"/>
          <w:color w:val="0F1115"/>
        </w:rPr>
        <w:t>Net Present Value (NPV):</w:t>
      </w:r>
      <w:r w:rsidRPr="00441B4E">
        <w:rPr>
          <w:rFonts w:ascii="Arial" w:hAnsi="Arial" w:cs="Arial"/>
          <w:color w:val="0F1115"/>
        </w:rPr>
        <w:t> = </w:t>
      </w:r>
      <w:r w:rsidRPr="00441B4E">
        <w:rPr>
          <w:rStyle w:val="Strong"/>
          <w:rFonts w:ascii="Arial" w:eastAsia="DengXian" w:hAnsi="Arial" w:cs="Arial"/>
          <w:color w:val="0F1115"/>
        </w:rPr>
        <w:t>-£7.26 million</w:t>
      </w:r>
    </w:p>
    <w:p w14:paraId="67F4FE6F" w14:textId="77777777" w:rsidR="00431401" w:rsidRPr="00441B4E" w:rsidRDefault="00431401" w:rsidP="00896F28">
      <w:pPr>
        <w:pStyle w:val="ds-markdown-paragraph"/>
        <w:numPr>
          <w:ilvl w:val="0"/>
          <w:numId w:val="34"/>
        </w:numPr>
        <w:shd w:val="clear" w:color="auto" w:fill="FFFFFF"/>
        <w:spacing w:after="0" w:afterAutospacing="0" w:line="360" w:lineRule="auto"/>
        <w:jc w:val="both"/>
        <w:rPr>
          <w:rFonts w:ascii="Arial" w:hAnsi="Arial" w:cs="Arial"/>
          <w:color w:val="0F1115"/>
        </w:rPr>
      </w:pPr>
      <w:r w:rsidRPr="00441B4E">
        <w:rPr>
          <w:rStyle w:val="Strong"/>
          <w:rFonts w:ascii="Arial" w:eastAsia="DengXian" w:hAnsi="Arial" w:cs="Arial"/>
          <w:color w:val="0F1115"/>
        </w:rPr>
        <w:t>Profitability Index (PI):</w:t>
      </w:r>
      <w:r w:rsidRPr="00441B4E">
        <w:rPr>
          <w:rFonts w:ascii="Arial" w:hAnsi="Arial" w:cs="Arial"/>
          <w:color w:val="0F1115"/>
        </w:rPr>
        <w:t> = (£22.74m / £30m) = </w:t>
      </w:r>
      <w:r w:rsidRPr="00441B4E">
        <w:rPr>
          <w:rStyle w:val="Strong"/>
          <w:rFonts w:ascii="Arial" w:eastAsia="DengXian" w:hAnsi="Arial" w:cs="Arial"/>
          <w:color w:val="0F1115"/>
        </w:rPr>
        <w:t>0.758</w:t>
      </w:r>
    </w:p>
    <w:p w14:paraId="3CD1D5DF" w14:textId="77777777" w:rsidR="00431401" w:rsidRPr="00441B4E" w:rsidRDefault="00431401" w:rsidP="00896F28">
      <w:pPr>
        <w:pStyle w:val="ds-markdown-paragraph"/>
        <w:numPr>
          <w:ilvl w:val="0"/>
          <w:numId w:val="34"/>
        </w:numPr>
        <w:shd w:val="clear" w:color="auto" w:fill="FFFFFF"/>
        <w:spacing w:after="0" w:afterAutospacing="0" w:line="360" w:lineRule="auto"/>
        <w:jc w:val="both"/>
        <w:rPr>
          <w:rFonts w:ascii="Arial" w:hAnsi="Arial" w:cs="Arial"/>
          <w:color w:val="0F1115"/>
        </w:rPr>
      </w:pPr>
      <w:r w:rsidRPr="00441B4E">
        <w:rPr>
          <w:rStyle w:val="Strong"/>
          <w:rFonts w:ascii="Arial" w:eastAsia="DengXian" w:hAnsi="Arial" w:cs="Arial"/>
          <w:color w:val="0F1115"/>
        </w:rPr>
        <w:t>Internal Rate of Return (IRR):</w:t>
      </w:r>
      <w:r w:rsidRPr="00441B4E">
        <w:rPr>
          <w:rFonts w:ascii="Arial" w:hAnsi="Arial" w:cs="Arial"/>
          <w:color w:val="0F1115"/>
        </w:rPr>
        <w:t> = </w:t>
      </w:r>
      <w:r w:rsidRPr="00441B4E">
        <w:rPr>
          <w:rStyle w:val="Strong"/>
          <w:rFonts w:ascii="Arial" w:eastAsia="DengXian" w:hAnsi="Arial" w:cs="Arial"/>
          <w:color w:val="0F1115"/>
        </w:rPr>
        <w:t>0.00%</w:t>
      </w:r>
    </w:p>
    <w:p w14:paraId="590694EA" w14:textId="77777777" w:rsidR="00431401" w:rsidRPr="00441B4E" w:rsidRDefault="00431401" w:rsidP="00896F28">
      <w:pPr>
        <w:pStyle w:val="ds-markdown-paragraph"/>
        <w:shd w:val="clear" w:color="auto" w:fill="FFFFFF"/>
        <w:spacing w:before="240" w:beforeAutospacing="0" w:after="240" w:afterAutospacing="0" w:line="360" w:lineRule="auto"/>
        <w:jc w:val="both"/>
        <w:rPr>
          <w:rFonts w:ascii="Arial" w:hAnsi="Arial" w:cs="Arial"/>
          <w:color w:val="0F1115"/>
        </w:rPr>
      </w:pPr>
      <w:r w:rsidRPr="00441B4E">
        <w:rPr>
          <w:rStyle w:val="Strong"/>
          <w:rFonts w:ascii="Arial" w:eastAsia="DengXian" w:hAnsi="Arial" w:cs="Arial"/>
          <w:color w:val="0F1115"/>
        </w:rPr>
        <w:t>Project C: Initial Investment = £50 million</w:t>
      </w:r>
    </w:p>
    <w:tbl>
      <w:tblPr>
        <w:tblStyle w:val="GridTable6Colorful"/>
        <w:tblW w:w="0" w:type="auto"/>
        <w:tblLook w:val="04A0" w:firstRow="1" w:lastRow="0" w:firstColumn="1" w:lastColumn="0" w:noHBand="0" w:noVBand="1"/>
      </w:tblPr>
      <w:tblGrid>
        <w:gridCol w:w="751"/>
        <w:gridCol w:w="1099"/>
        <w:gridCol w:w="1739"/>
        <w:gridCol w:w="1688"/>
        <w:gridCol w:w="1731"/>
        <w:gridCol w:w="1091"/>
        <w:gridCol w:w="1251"/>
      </w:tblGrid>
      <w:tr w:rsidR="00431401" w:rsidRPr="00441B4E" w14:paraId="5C56671F" w14:textId="77777777" w:rsidTr="0043140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8BCB18" w14:textId="77777777" w:rsidR="00431401" w:rsidRPr="00441B4E" w:rsidRDefault="00431401" w:rsidP="00896F28">
            <w:pPr>
              <w:spacing w:line="360" w:lineRule="auto"/>
              <w:jc w:val="both"/>
              <w:rPr>
                <w:rFonts w:ascii="Arial" w:hAnsi="Arial" w:cs="Arial"/>
                <w:color w:val="auto"/>
                <w:szCs w:val="24"/>
              </w:rPr>
            </w:pPr>
            <w:r w:rsidRPr="00441B4E">
              <w:rPr>
                <w:rFonts w:ascii="Arial" w:hAnsi="Arial" w:cs="Arial"/>
                <w:szCs w:val="24"/>
              </w:rPr>
              <w:t>Year</w:t>
            </w:r>
          </w:p>
        </w:tc>
        <w:tc>
          <w:tcPr>
            <w:tcW w:w="0" w:type="auto"/>
            <w:hideMark/>
          </w:tcPr>
          <w:p w14:paraId="49FB3BBF" w14:textId="77777777" w:rsidR="00431401" w:rsidRPr="00441B4E" w:rsidRDefault="00431401" w:rsidP="00896F2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Cash Flow (£m)</w:t>
            </w:r>
          </w:p>
        </w:tc>
        <w:tc>
          <w:tcPr>
            <w:tcW w:w="0" w:type="auto"/>
            <w:hideMark/>
          </w:tcPr>
          <w:p w14:paraId="462FFB1C" w14:textId="77777777" w:rsidR="00431401" w:rsidRPr="00441B4E" w:rsidRDefault="00431401" w:rsidP="00896F2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Depreciation (£m)</w:t>
            </w:r>
          </w:p>
        </w:tc>
        <w:tc>
          <w:tcPr>
            <w:tcW w:w="0" w:type="auto"/>
            <w:hideMark/>
          </w:tcPr>
          <w:p w14:paraId="39C12A27" w14:textId="77777777" w:rsidR="00431401" w:rsidRPr="00441B4E" w:rsidRDefault="00431401" w:rsidP="00896F2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Accounting Profit (£m)</w:t>
            </w:r>
          </w:p>
        </w:tc>
        <w:tc>
          <w:tcPr>
            <w:tcW w:w="0" w:type="auto"/>
            <w:hideMark/>
          </w:tcPr>
          <w:p w14:paraId="427AF0DC" w14:textId="77777777" w:rsidR="00431401" w:rsidRPr="00441B4E" w:rsidRDefault="00431401" w:rsidP="00896F2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Cumulative Cash Flow (£m)</w:t>
            </w:r>
          </w:p>
        </w:tc>
        <w:tc>
          <w:tcPr>
            <w:tcW w:w="0" w:type="auto"/>
            <w:hideMark/>
          </w:tcPr>
          <w:p w14:paraId="017707D6" w14:textId="77777777" w:rsidR="00431401" w:rsidRPr="00441B4E" w:rsidRDefault="00431401" w:rsidP="00896F2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PV Factor @10%</w:t>
            </w:r>
          </w:p>
        </w:tc>
        <w:tc>
          <w:tcPr>
            <w:tcW w:w="0" w:type="auto"/>
            <w:hideMark/>
          </w:tcPr>
          <w:p w14:paraId="4E743D09" w14:textId="77777777" w:rsidR="00431401" w:rsidRPr="00441B4E" w:rsidRDefault="00431401" w:rsidP="00896F2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Present Value (£m)</w:t>
            </w:r>
          </w:p>
        </w:tc>
      </w:tr>
      <w:tr w:rsidR="00431401" w:rsidRPr="00441B4E" w14:paraId="69F0A245" w14:textId="77777777" w:rsidTr="004314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9BF084B" w14:textId="77777777" w:rsidR="00431401" w:rsidRPr="00441B4E" w:rsidRDefault="00431401" w:rsidP="00896F28">
            <w:pPr>
              <w:spacing w:line="360" w:lineRule="auto"/>
              <w:jc w:val="both"/>
              <w:rPr>
                <w:rFonts w:ascii="Arial" w:hAnsi="Arial" w:cs="Arial"/>
                <w:szCs w:val="24"/>
              </w:rPr>
            </w:pPr>
            <w:r w:rsidRPr="00441B4E">
              <w:rPr>
                <w:rFonts w:ascii="Arial" w:hAnsi="Arial" w:cs="Arial"/>
                <w:szCs w:val="24"/>
              </w:rPr>
              <w:t>0</w:t>
            </w:r>
          </w:p>
        </w:tc>
        <w:tc>
          <w:tcPr>
            <w:tcW w:w="0" w:type="auto"/>
            <w:hideMark/>
          </w:tcPr>
          <w:p w14:paraId="30AE2500"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(50.00)</w:t>
            </w:r>
          </w:p>
        </w:tc>
        <w:tc>
          <w:tcPr>
            <w:tcW w:w="0" w:type="auto"/>
            <w:hideMark/>
          </w:tcPr>
          <w:p w14:paraId="23CE3F4D"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w:t>
            </w:r>
          </w:p>
        </w:tc>
        <w:tc>
          <w:tcPr>
            <w:tcW w:w="0" w:type="auto"/>
            <w:hideMark/>
          </w:tcPr>
          <w:p w14:paraId="3A5F3FB2"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w:t>
            </w:r>
          </w:p>
        </w:tc>
        <w:tc>
          <w:tcPr>
            <w:tcW w:w="0" w:type="auto"/>
            <w:hideMark/>
          </w:tcPr>
          <w:p w14:paraId="731B5784"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(50.00)</w:t>
            </w:r>
          </w:p>
        </w:tc>
        <w:tc>
          <w:tcPr>
            <w:tcW w:w="0" w:type="auto"/>
            <w:hideMark/>
          </w:tcPr>
          <w:p w14:paraId="7AF96A92"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1.0000</w:t>
            </w:r>
          </w:p>
        </w:tc>
        <w:tc>
          <w:tcPr>
            <w:tcW w:w="0" w:type="auto"/>
            <w:hideMark/>
          </w:tcPr>
          <w:p w14:paraId="4D7A5A8D"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(50.00)</w:t>
            </w:r>
          </w:p>
        </w:tc>
      </w:tr>
      <w:tr w:rsidR="00431401" w:rsidRPr="00441B4E" w14:paraId="0A0828E1" w14:textId="77777777" w:rsidTr="00431401">
        <w:tc>
          <w:tcPr>
            <w:cnfStyle w:val="001000000000" w:firstRow="0" w:lastRow="0" w:firstColumn="1" w:lastColumn="0" w:oddVBand="0" w:evenVBand="0" w:oddHBand="0" w:evenHBand="0" w:firstRowFirstColumn="0" w:firstRowLastColumn="0" w:lastRowFirstColumn="0" w:lastRowLastColumn="0"/>
            <w:tcW w:w="0" w:type="auto"/>
            <w:hideMark/>
          </w:tcPr>
          <w:p w14:paraId="4F8E231B" w14:textId="77777777" w:rsidR="00431401" w:rsidRPr="00441B4E" w:rsidRDefault="00431401" w:rsidP="00896F28">
            <w:pPr>
              <w:spacing w:line="360" w:lineRule="auto"/>
              <w:jc w:val="both"/>
              <w:rPr>
                <w:rFonts w:ascii="Arial" w:hAnsi="Arial" w:cs="Arial"/>
                <w:szCs w:val="24"/>
              </w:rPr>
            </w:pPr>
            <w:r w:rsidRPr="00441B4E">
              <w:rPr>
                <w:rFonts w:ascii="Arial" w:hAnsi="Arial" w:cs="Arial"/>
                <w:szCs w:val="24"/>
              </w:rPr>
              <w:t>1</w:t>
            </w:r>
          </w:p>
        </w:tc>
        <w:tc>
          <w:tcPr>
            <w:tcW w:w="0" w:type="auto"/>
            <w:hideMark/>
          </w:tcPr>
          <w:p w14:paraId="1AE5AE2F"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5.00</w:t>
            </w:r>
          </w:p>
        </w:tc>
        <w:tc>
          <w:tcPr>
            <w:tcW w:w="0" w:type="auto"/>
            <w:hideMark/>
          </w:tcPr>
          <w:p w14:paraId="7857FFB6"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10.00</w:t>
            </w:r>
          </w:p>
        </w:tc>
        <w:tc>
          <w:tcPr>
            <w:tcW w:w="0" w:type="auto"/>
            <w:hideMark/>
          </w:tcPr>
          <w:p w14:paraId="62F9E3A0"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(5.00)</w:t>
            </w:r>
          </w:p>
        </w:tc>
        <w:tc>
          <w:tcPr>
            <w:tcW w:w="0" w:type="auto"/>
            <w:hideMark/>
          </w:tcPr>
          <w:p w14:paraId="279E4A5E"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(45.00)</w:t>
            </w:r>
          </w:p>
        </w:tc>
        <w:tc>
          <w:tcPr>
            <w:tcW w:w="0" w:type="auto"/>
            <w:hideMark/>
          </w:tcPr>
          <w:p w14:paraId="7E97B86F"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0.9091</w:t>
            </w:r>
          </w:p>
        </w:tc>
        <w:tc>
          <w:tcPr>
            <w:tcW w:w="0" w:type="auto"/>
            <w:hideMark/>
          </w:tcPr>
          <w:p w14:paraId="1D8B74AF"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4.55</w:t>
            </w:r>
          </w:p>
        </w:tc>
      </w:tr>
      <w:tr w:rsidR="00431401" w:rsidRPr="00441B4E" w14:paraId="17D12C38" w14:textId="77777777" w:rsidTr="004314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150844" w14:textId="77777777" w:rsidR="00431401" w:rsidRPr="00441B4E" w:rsidRDefault="00431401" w:rsidP="00896F28">
            <w:pPr>
              <w:spacing w:line="360" w:lineRule="auto"/>
              <w:jc w:val="both"/>
              <w:rPr>
                <w:rFonts w:ascii="Arial" w:hAnsi="Arial" w:cs="Arial"/>
                <w:szCs w:val="24"/>
              </w:rPr>
            </w:pPr>
            <w:r w:rsidRPr="00441B4E">
              <w:rPr>
                <w:rFonts w:ascii="Arial" w:hAnsi="Arial" w:cs="Arial"/>
                <w:szCs w:val="24"/>
              </w:rPr>
              <w:t>2</w:t>
            </w:r>
          </w:p>
        </w:tc>
        <w:tc>
          <w:tcPr>
            <w:tcW w:w="0" w:type="auto"/>
            <w:hideMark/>
          </w:tcPr>
          <w:p w14:paraId="1FEB1250"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10.00</w:t>
            </w:r>
          </w:p>
        </w:tc>
        <w:tc>
          <w:tcPr>
            <w:tcW w:w="0" w:type="auto"/>
            <w:hideMark/>
          </w:tcPr>
          <w:p w14:paraId="182A5969"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10.00</w:t>
            </w:r>
          </w:p>
        </w:tc>
        <w:tc>
          <w:tcPr>
            <w:tcW w:w="0" w:type="auto"/>
            <w:hideMark/>
          </w:tcPr>
          <w:p w14:paraId="2BB4DC86"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0.00</w:t>
            </w:r>
          </w:p>
        </w:tc>
        <w:tc>
          <w:tcPr>
            <w:tcW w:w="0" w:type="auto"/>
            <w:hideMark/>
          </w:tcPr>
          <w:p w14:paraId="547CD02D"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(35.00)</w:t>
            </w:r>
          </w:p>
        </w:tc>
        <w:tc>
          <w:tcPr>
            <w:tcW w:w="0" w:type="auto"/>
            <w:hideMark/>
          </w:tcPr>
          <w:p w14:paraId="534B43D6"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0.8264</w:t>
            </w:r>
          </w:p>
        </w:tc>
        <w:tc>
          <w:tcPr>
            <w:tcW w:w="0" w:type="auto"/>
            <w:hideMark/>
          </w:tcPr>
          <w:p w14:paraId="09763B64"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8.26</w:t>
            </w:r>
          </w:p>
        </w:tc>
      </w:tr>
      <w:tr w:rsidR="00431401" w:rsidRPr="00441B4E" w14:paraId="0B1FA1CB" w14:textId="77777777" w:rsidTr="00431401">
        <w:tc>
          <w:tcPr>
            <w:cnfStyle w:val="001000000000" w:firstRow="0" w:lastRow="0" w:firstColumn="1" w:lastColumn="0" w:oddVBand="0" w:evenVBand="0" w:oddHBand="0" w:evenHBand="0" w:firstRowFirstColumn="0" w:firstRowLastColumn="0" w:lastRowFirstColumn="0" w:lastRowLastColumn="0"/>
            <w:tcW w:w="0" w:type="auto"/>
            <w:hideMark/>
          </w:tcPr>
          <w:p w14:paraId="4E9A1F5C" w14:textId="77777777" w:rsidR="00431401" w:rsidRPr="00441B4E" w:rsidRDefault="00431401" w:rsidP="00896F28">
            <w:pPr>
              <w:spacing w:line="360" w:lineRule="auto"/>
              <w:jc w:val="both"/>
              <w:rPr>
                <w:rFonts w:ascii="Arial" w:hAnsi="Arial" w:cs="Arial"/>
                <w:szCs w:val="24"/>
              </w:rPr>
            </w:pPr>
            <w:r w:rsidRPr="00441B4E">
              <w:rPr>
                <w:rFonts w:ascii="Arial" w:hAnsi="Arial" w:cs="Arial"/>
                <w:szCs w:val="24"/>
              </w:rPr>
              <w:t>3</w:t>
            </w:r>
          </w:p>
        </w:tc>
        <w:tc>
          <w:tcPr>
            <w:tcW w:w="0" w:type="auto"/>
            <w:hideMark/>
          </w:tcPr>
          <w:p w14:paraId="09B1DD0C"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20.00</w:t>
            </w:r>
          </w:p>
        </w:tc>
        <w:tc>
          <w:tcPr>
            <w:tcW w:w="0" w:type="auto"/>
            <w:hideMark/>
          </w:tcPr>
          <w:p w14:paraId="0779D9EC"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10.00</w:t>
            </w:r>
          </w:p>
        </w:tc>
        <w:tc>
          <w:tcPr>
            <w:tcW w:w="0" w:type="auto"/>
            <w:hideMark/>
          </w:tcPr>
          <w:p w14:paraId="68A9EDED"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10.00</w:t>
            </w:r>
          </w:p>
        </w:tc>
        <w:tc>
          <w:tcPr>
            <w:tcW w:w="0" w:type="auto"/>
            <w:hideMark/>
          </w:tcPr>
          <w:p w14:paraId="5A1989F8"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(15.00)</w:t>
            </w:r>
          </w:p>
        </w:tc>
        <w:tc>
          <w:tcPr>
            <w:tcW w:w="0" w:type="auto"/>
            <w:hideMark/>
          </w:tcPr>
          <w:p w14:paraId="20CEC603"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0.7513</w:t>
            </w:r>
          </w:p>
        </w:tc>
        <w:tc>
          <w:tcPr>
            <w:tcW w:w="0" w:type="auto"/>
            <w:hideMark/>
          </w:tcPr>
          <w:p w14:paraId="378F2F8A"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15.03</w:t>
            </w:r>
          </w:p>
        </w:tc>
      </w:tr>
      <w:tr w:rsidR="00431401" w:rsidRPr="00441B4E" w14:paraId="368A6C84" w14:textId="77777777" w:rsidTr="004314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8EA85C" w14:textId="77777777" w:rsidR="00431401" w:rsidRPr="00441B4E" w:rsidRDefault="00431401" w:rsidP="00896F28">
            <w:pPr>
              <w:spacing w:line="360" w:lineRule="auto"/>
              <w:jc w:val="both"/>
              <w:rPr>
                <w:rFonts w:ascii="Arial" w:hAnsi="Arial" w:cs="Arial"/>
                <w:szCs w:val="24"/>
              </w:rPr>
            </w:pPr>
            <w:r w:rsidRPr="00441B4E">
              <w:rPr>
                <w:rFonts w:ascii="Arial" w:hAnsi="Arial" w:cs="Arial"/>
                <w:szCs w:val="24"/>
              </w:rPr>
              <w:t>4</w:t>
            </w:r>
          </w:p>
        </w:tc>
        <w:tc>
          <w:tcPr>
            <w:tcW w:w="0" w:type="auto"/>
            <w:hideMark/>
          </w:tcPr>
          <w:p w14:paraId="16DDB36E"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25.00</w:t>
            </w:r>
          </w:p>
        </w:tc>
        <w:tc>
          <w:tcPr>
            <w:tcW w:w="0" w:type="auto"/>
            <w:hideMark/>
          </w:tcPr>
          <w:p w14:paraId="52394CEA"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10.00</w:t>
            </w:r>
          </w:p>
        </w:tc>
        <w:tc>
          <w:tcPr>
            <w:tcW w:w="0" w:type="auto"/>
            <w:hideMark/>
          </w:tcPr>
          <w:p w14:paraId="7B48918F"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15.00</w:t>
            </w:r>
          </w:p>
        </w:tc>
        <w:tc>
          <w:tcPr>
            <w:tcW w:w="0" w:type="auto"/>
            <w:hideMark/>
          </w:tcPr>
          <w:p w14:paraId="2A051203"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10.00</w:t>
            </w:r>
          </w:p>
        </w:tc>
        <w:tc>
          <w:tcPr>
            <w:tcW w:w="0" w:type="auto"/>
            <w:hideMark/>
          </w:tcPr>
          <w:p w14:paraId="1F90C8B2"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0.6830</w:t>
            </w:r>
          </w:p>
        </w:tc>
        <w:tc>
          <w:tcPr>
            <w:tcW w:w="0" w:type="auto"/>
            <w:hideMark/>
          </w:tcPr>
          <w:p w14:paraId="107012B5"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17.08</w:t>
            </w:r>
          </w:p>
        </w:tc>
      </w:tr>
      <w:tr w:rsidR="00431401" w:rsidRPr="00441B4E" w14:paraId="3AAF5003" w14:textId="77777777" w:rsidTr="00431401">
        <w:tc>
          <w:tcPr>
            <w:cnfStyle w:val="001000000000" w:firstRow="0" w:lastRow="0" w:firstColumn="1" w:lastColumn="0" w:oddVBand="0" w:evenVBand="0" w:oddHBand="0" w:evenHBand="0" w:firstRowFirstColumn="0" w:firstRowLastColumn="0" w:lastRowFirstColumn="0" w:lastRowLastColumn="0"/>
            <w:tcW w:w="0" w:type="auto"/>
            <w:hideMark/>
          </w:tcPr>
          <w:p w14:paraId="7771D7B8" w14:textId="77777777" w:rsidR="00431401" w:rsidRPr="00441B4E" w:rsidRDefault="00431401" w:rsidP="00896F28">
            <w:pPr>
              <w:spacing w:line="360" w:lineRule="auto"/>
              <w:jc w:val="both"/>
              <w:rPr>
                <w:rFonts w:ascii="Arial" w:hAnsi="Arial" w:cs="Arial"/>
                <w:szCs w:val="24"/>
              </w:rPr>
            </w:pPr>
            <w:r w:rsidRPr="00441B4E">
              <w:rPr>
                <w:rFonts w:ascii="Arial" w:hAnsi="Arial" w:cs="Arial"/>
                <w:szCs w:val="24"/>
              </w:rPr>
              <w:t>5</w:t>
            </w:r>
          </w:p>
        </w:tc>
        <w:tc>
          <w:tcPr>
            <w:tcW w:w="0" w:type="auto"/>
            <w:hideMark/>
          </w:tcPr>
          <w:p w14:paraId="656DB0E4"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15.00</w:t>
            </w:r>
          </w:p>
        </w:tc>
        <w:tc>
          <w:tcPr>
            <w:tcW w:w="0" w:type="auto"/>
            <w:hideMark/>
          </w:tcPr>
          <w:p w14:paraId="3C280F31"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10.00</w:t>
            </w:r>
          </w:p>
        </w:tc>
        <w:tc>
          <w:tcPr>
            <w:tcW w:w="0" w:type="auto"/>
            <w:hideMark/>
          </w:tcPr>
          <w:p w14:paraId="67DBA802"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5.00</w:t>
            </w:r>
          </w:p>
        </w:tc>
        <w:tc>
          <w:tcPr>
            <w:tcW w:w="0" w:type="auto"/>
            <w:hideMark/>
          </w:tcPr>
          <w:p w14:paraId="70C9536D"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25.00</w:t>
            </w:r>
          </w:p>
        </w:tc>
        <w:tc>
          <w:tcPr>
            <w:tcW w:w="0" w:type="auto"/>
            <w:hideMark/>
          </w:tcPr>
          <w:p w14:paraId="769282B7"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0.6209</w:t>
            </w:r>
          </w:p>
        </w:tc>
        <w:tc>
          <w:tcPr>
            <w:tcW w:w="0" w:type="auto"/>
            <w:hideMark/>
          </w:tcPr>
          <w:p w14:paraId="6DADAC13"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9.31</w:t>
            </w:r>
          </w:p>
        </w:tc>
      </w:tr>
      <w:tr w:rsidR="00431401" w:rsidRPr="00441B4E" w14:paraId="0B48DB4C" w14:textId="77777777" w:rsidTr="004314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9D4759" w14:textId="77777777" w:rsidR="00431401" w:rsidRPr="00441B4E" w:rsidRDefault="00431401" w:rsidP="00896F28">
            <w:pPr>
              <w:spacing w:line="360" w:lineRule="auto"/>
              <w:jc w:val="both"/>
              <w:rPr>
                <w:rFonts w:ascii="Arial" w:hAnsi="Arial" w:cs="Arial"/>
                <w:szCs w:val="24"/>
              </w:rPr>
            </w:pPr>
            <w:r w:rsidRPr="00441B4E">
              <w:rPr>
                <w:rStyle w:val="Strong"/>
                <w:rFonts w:ascii="Arial" w:hAnsi="Arial" w:cs="Arial"/>
                <w:szCs w:val="24"/>
              </w:rPr>
              <w:t>Total</w:t>
            </w:r>
          </w:p>
        </w:tc>
        <w:tc>
          <w:tcPr>
            <w:tcW w:w="0" w:type="auto"/>
            <w:hideMark/>
          </w:tcPr>
          <w:p w14:paraId="16C70D62"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Style w:val="Strong"/>
                <w:rFonts w:ascii="Arial" w:hAnsi="Arial" w:cs="Arial"/>
                <w:szCs w:val="24"/>
              </w:rPr>
              <w:t>75.00</w:t>
            </w:r>
          </w:p>
        </w:tc>
        <w:tc>
          <w:tcPr>
            <w:tcW w:w="0" w:type="auto"/>
            <w:hideMark/>
          </w:tcPr>
          <w:p w14:paraId="6D591961"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Style w:val="Strong"/>
                <w:rFonts w:ascii="Arial" w:hAnsi="Arial" w:cs="Arial"/>
                <w:szCs w:val="24"/>
              </w:rPr>
              <w:t>50.00</w:t>
            </w:r>
          </w:p>
        </w:tc>
        <w:tc>
          <w:tcPr>
            <w:tcW w:w="0" w:type="auto"/>
            <w:hideMark/>
          </w:tcPr>
          <w:p w14:paraId="0E2F8199"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Style w:val="Strong"/>
                <w:rFonts w:ascii="Arial" w:hAnsi="Arial" w:cs="Arial"/>
                <w:szCs w:val="24"/>
              </w:rPr>
              <w:t>25.00</w:t>
            </w:r>
          </w:p>
        </w:tc>
        <w:tc>
          <w:tcPr>
            <w:tcW w:w="0" w:type="auto"/>
            <w:hideMark/>
          </w:tcPr>
          <w:p w14:paraId="4F8B78AA"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p>
        </w:tc>
        <w:tc>
          <w:tcPr>
            <w:tcW w:w="0" w:type="auto"/>
            <w:hideMark/>
          </w:tcPr>
          <w:p w14:paraId="34A0E06F"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p>
        </w:tc>
        <w:tc>
          <w:tcPr>
            <w:tcW w:w="0" w:type="auto"/>
            <w:hideMark/>
          </w:tcPr>
          <w:p w14:paraId="1ACED187"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Style w:val="Strong"/>
                <w:rFonts w:ascii="Arial" w:hAnsi="Arial" w:cs="Arial"/>
                <w:szCs w:val="24"/>
              </w:rPr>
              <w:t>4.23</w:t>
            </w:r>
          </w:p>
        </w:tc>
      </w:tr>
    </w:tbl>
    <w:p w14:paraId="0511AF61" w14:textId="77777777" w:rsidR="00431401" w:rsidRPr="00441B4E" w:rsidRDefault="00431401" w:rsidP="00896F28">
      <w:pPr>
        <w:pStyle w:val="ds-markdown-paragraph"/>
        <w:numPr>
          <w:ilvl w:val="0"/>
          <w:numId w:val="35"/>
        </w:numPr>
        <w:shd w:val="clear" w:color="auto" w:fill="FFFFFF"/>
        <w:spacing w:after="0" w:afterAutospacing="0" w:line="360" w:lineRule="auto"/>
        <w:jc w:val="both"/>
        <w:rPr>
          <w:rFonts w:ascii="Arial" w:hAnsi="Arial" w:cs="Arial"/>
          <w:color w:val="0F1115"/>
        </w:rPr>
      </w:pPr>
      <w:r w:rsidRPr="00441B4E">
        <w:rPr>
          <w:rStyle w:val="Strong"/>
          <w:rFonts w:ascii="Arial" w:eastAsia="DengXian" w:hAnsi="Arial" w:cs="Arial"/>
          <w:color w:val="0F1115"/>
        </w:rPr>
        <w:t>Payback Period (PBP):</w:t>
      </w:r>
      <w:r w:rsidRPr="00441B4E">
        <w:rPr>
          <w:rFonts w:ascii="Arial" w:hAnsi="Arial" w:cs="Arial"/>
          <w:color w:val="0F1115"/>
        </w:rPr>
        <w:t> = 3 + (15.00 / 25.00) = </w:t>
      </w:r>
      <w:r w:rsidRPr="00441B4E">
        <w:rPr>
          <w:rStyle w:val="Strong"/>
          <w:rFonts w:ascii="Arial" w:eastAsia="DengXian" w:hAnsi="Arial" w:cs="Arial"/>
          <w:color w:val="0F1115"/>
        </w:rPr>
        <w:t>3.6 years</w:t>
      </w:r>
    </w:p>
    <w:p w14:paraId="1281DBA1" w14:textId="77777777" w:rsidR="00431401" w:rsidRPr="00441B4E" w:rsidRDefault="00431401" w:rsidP="00896F28">
      <w:pPr>
        <w:pStyle w:val="ds-markdown-paragraph"/>
        <w:numPr>
          <w:ilvl w:val="0"/>
          <w:numId w:val="35"/>
        </w:numPr>
        <w:shd w:val="clear" w:color="auto" w:fill="FFFFFF"/>
        <w:spacing w:after="0" w:afterAutospacing="0" w:line="360" w:lineRule="auto"/>
        <w:jc w:val="both"/>
        <w:rPr>
          <w:rFonts w:ascii="Arial" w:hAnsi="Arial" w:cs="Arial"/>
          <w:color w:val="0F1115"/>
        </w:rPr>
      </w:pPr>
      <w:r w:rsidRPr="00441B4E">
        <w:rPr>
          <w:rStyle w:val="Strong"/>
          <w:rFonts w:ascii="Arial" w:eastAsia="DengXian" w:hAnsi="Arial" w:cs="Arial"/>
          <w:color w:val="0F1115"/>
        </w:rPr>
        <w:lastRenderedPageBreak/>
        <w:t>Accounting Rate of Return (ARR):</w:t>
      </w:r>
      <w:r w:rsidRPr="00441B4E">
        <w:rPr>
          <w:rFonts w:ascii="Arial" w:hAnsi="Arial" w:cs="Arial"/>
          <w:color w:val="0F1115"/>
        </w:rPr>
        <w:t> Average Profit = £25m / 5 = £5m. ARR = (£5m / £50m) = </w:t>
      </w:r>
      <w:r w:rsidRPr="00441B4E">
        <w:rPr>
          <w:rStyle w:val="Strong"/>
          <w:rFonts w:ascii="Arial" w:eastAsia="DengXian" w:hAnsi="Arial" w:cs="Arial"/>
          <w:color w:val="0F1115"/>
        </w:rPr>
        <w:t>10.00%</w:t>
      </w:r>
    </w:p>
    <w:p w14:paraId="1AD37C98" w14:textId="77777777" w:rsidR="00431401" w:rsidRPr="00441B4E" w:rsidRDefault="00431401" w:rsidP="00896F28">
      <w:pPr>
        <w:pStyle w:val="ds-markdown-paragraph"/>
        <w:numPr>
          <w:ilvl w:val="0"/>
          <w:numId w:val="35"/>
        </w:numPr>
        <w:shd w:val="clear" w:color="auto" w:fill="FFFFFF"/>
        <w:spacing w:after="0" w:afterAutospacing="0" w:line="360" w:lineRule="auto"/>
        <w:jc w:val="both"/>
        <w:rPr>
          <w:rFonts w:ascii="Arial" w:hAnsi="Arial" w:cs="Arial"/>
          <w:color w:val="0F1115"/>
        </w:rPr>
      </w:pPr>
      <w:r w:rsidRPr="00441B4E">
        <w:rPr>
          <w:rStyle w:val="Strong"/>
          <w:rFonts w:ascii="Arial" w:eastAsia="DengXian" w:hAnsi="Arial" w:cs="Arial"/>
          <w:color w:val="0F1115"/>
        </w:rPr>
        <w:t>Net Present Value (NPV):</w:t>
      </w:r>
      <w:r w:rsidRPr="00441B4E">
        <w:rPr>
          <w:rFonts w:ascii="Arial" w:hAnsi="Arial" w:cs="Arial"/>
          <w:color w:val="0F1115"/>
        </w:rPr>
        <w:t> = </w:t>
      </w:r>
      <w:r w:rsidRPr="00441B4E">
        <w:rPr>
          <w:rStyle w:val="Strong"/>
          <w:rFonts w:ascii="Arial" w:eastAsia="DengXian" w:hAnsi="Arial" w:cs="Arial"/>
          <w:color w:val="0F1115"/>
        </w:rPr>
        <w:t>£4.23 million</w:t>
      </w:r>
    </w:p>
    <w:p w14:paraId="3E5F832C" w14:textId="77777777" w:rsidR="00431401" w:rsidRPr="00441B4E" w:rsidRDefault="00431401" w:rsidP="00896F28">
      <w:pPr>
        <w:pStyle w:val="ds-markdown-paragraph"/>
        <w:numPr>
          <w:ilvl w:val="0"/>
          <w:numId w:val="35"/>
        </w:numPr>
        <w:shd w:val="clear" w:color="auto" w:fill="FFFFFF"/>
        <w:spacing w:after="0" w:afterAutospacing="0" w:line="360" w:lineRule="auto"/>
        <w:jc w:val="both"/>
        <w:rPr>
          <w:rFonts w:ascii="Arial" w:hAnsi="Arial" w:cs="Arial"/>
          <w:color w:val="0F1115"/>
        </w:rPr>
      </w:pPr>
      <w:r w:rsidRPr="00441B4E">
        <w:rPr>
          <w:rStyle w:val="Strong"/>
          <w:rFonts w:ascii="Arial" w:eastAsia="DengXian" w:hAnsi="Arial" w:cs="Arial"/>
          <w:color w:val="0F1115"/>
        </w:rPr>
        <w:t>Profitability Index (PI):</w:t>
      </w:r>
      <w:r w:rsidRPr="00441B4E">
        <w:rPr>
          <w:rFonts w:ascii="Arial" w:hAnsi="Arial" w:cs="Arial"/>
          <w:color w:val="0F1115"/>
        </w:rPr>
        <w:t> = (£54.23m / £50m) = </w:t>
      </w:r>
      <w:r w:rsidRPr="00441B4E">
        <w:rPr>
          <w:rStyle w:val="Strong"/>
          <w:rFonts w:ascii="Arial" w:eastAsia="DengXian" w:hAnsi="Arial" w:cs="Arial"/>
          <w:color w:val="0F1115"/>
        </w:rPr>
        <w:t>1.085</w:t>
      </w:r>
    </w:p>
    <w:p w14:paraId="71381269" w14:textId="77777777" w:rsidR="00431401" w:rsidRPr="00441B4E" w:rsidRDefault="00431401" w:rsidP="00896F28">
      <w:pPr>
        <w:pStyle w:val="ds-markdown-paragraph"/>
        <w:numPr>
          <w:ilvl w:val="0"/>
          <w:numId w:val="35"/>
        </w:numPr>
        <w:shd w:val="clear" w:color="auto" w:fill="FFFFFF"/>
        <w:spacing w:after="0" w:afterAutospacing="0" w:line="360" w:lineRule="auto"/>
        <w:jc w:val="both"/>
        <w:rPr>
          <w:rFonts w:ascii="Arial" w:hAnsi="Arial" w:cs="Arial"/>
          <w:color w:val="0F1115"/>
        </w:rPr>
      </w:pPr>
      <w:r w:rsidRPr="00441B4E">
        <w:rPr>
          <w:rStyle w:val="Strong"/>
          <w:rFonts w:ascii="Arial" w:eastAsia="DengXian" w:hAnsi="Arial" w:cs="Arial"/>
          <w:color w:val="0F1115"/>
        </w:rPr>
        <w:t>Internal Rate of Return (IRR):</w:t>
      </w:r>
      <w:r w:rsidRPr="00441B4E">
        <w:rPr>
          <w:rFonts w:ascii="Arial" w:hAnsi="Arial" w:cs="Arial"/>
          <w:color w:val="0F1115"/>
        </w:rPr>
        <w:t> = </w:t>
      </w:r>
      <w:r w:rsidRPr="00441B4E">
        <w:rPr>
          <w:rStyle w:val="Strong"/>
          <w:rFonts w:ascii="Arial" w:eastAsia="DengXian" w:hAnsi="Arial" w:cs="Arial"/>
          <w:color w:val="0F1115"/>
        </w:rPr>
        <w:t>12.87%</w:t>
      </w:r>
    </w:p>
    <w:p w14:paraId="0F2747C6" w14:textId="77777777" w:rsidR="00431401" w:rsidRPr="00441B4E" w:rsidRDefault="00431401" w:rsidP="00896F28">
      <w:pPr>
        <w:pStyle w:val="ds-markdown-paragraph"/>
        <w:shd w:val="clear" w:color="auto" w:fill="FFFFFF"/>
        <w:spacing w:before="240" w:beforeAutospacing="0" w:after="240" w:afterAutospacing="0" w:line="360" w:lineRule="auto"/>
        <w:jc w:val="both"/>
        <w:rPr>
          <w:rFonts w:ascii="Arial" w:hAnsi="Arial" w:cs="Arial"/>
          <w:color w:val="0F1115"/>
        </w:rPr>
      </w:pPr>
      <w:r w:rsidRPr="00441B4E">
        <w:rPr>
          <w:rStyle w:val="Strong"/>
          <w:rFonts w:ascii="Arial" w:eastAsia="DengXian" w:hAnsi="Arial" w:cs="Arial"/>
          <w:color w:val="0F1115"/>
        </w:rPr>
        <w:t>Appraisal Results:</w:t>
      </w:r>
    </w:p>
    <w:tbl>
      <w:tblPr>
        <w:tblStyle w:val="GridTable6Colorful"/>
        <w:tblW w:w="9057" w:type="dxa"/>
        <w:tblLook w:val="04A0" w:firstRow="1" w:lastRow="0" w:firstColumn="1" w:lastColumn="0" w:noHBand="0" w:noVBand="1"/>
      </w:tblPr>
      <w:tblGrid>
        <w:gridCol w:w="1376"/>
        <w:gridCol w:w="2124"/>
        <w:gridCol w:w="1376"/>
        <w:gridCol w:w="1714"/>
        <w:gridCol w:w="1091"/>
        <w:gridCol w:w="1376"/>
      </w:tblGrid>
      <w:tr w:rsidR="00431401" w:rsidRPr="00441B4E" w14:paraId="39F36E4B" w14:textId="77777777" w:rsidTr="0040055E">
        <w:trPr>
          <w:cnfStyle w:val="100000000000" w:firstRow="1" w:lastRow="0" w:firstColumn="0" w:lastColumn="0" w:oddVBand="0" w:evenVBand="0" w:oddHBand="0" w:evenHBand="0" w:firstRowFirstColumn="0" w:firstRowLastColumn="0" w:lastRowFirstColumn="0" w:lastRowLastColumn="0"/>
          <w:trHeight w:val="369"/>
        </w:trPr>
        <w:tc>
          <w:tcPr>
            <w:cnfStyle w:val="001000000000" w:firstRow="0" w:lastRow="0" w:firstColumn="1" w:lastColumn="0" w:oddVBand="0" w:evenVBand="0" w:oddHBand="0" w:evenHBand="0" w:firstRowFirstColumn="0" w:firstRowLastColumn="0" w:lastRowFirstColumn="0" w:lastRowLastColumn="0"/>
            <w:tcW w:w="0" w:type="auto"/>
            <w:hideMark/>
          </w:tcPr>
          <w:p w14:paraId="70F933B2" w14:textId="77777777" w:rsidR="00431401" w:rsidRPr="00441B4E" w:rsidRDefault="00431401" w:rsidP="00896F28">
            <w:pPr>
              <w:spacing w:line="360" w:lineRule="auto"/>
              <w:jc w:val="both"/>
              <w:rPr>
                <w:rFonts w:ascii="Arial" w:hAnsi="Arial" w:cs="Arial"/>
                <w:color w:val="auto"/>
                <w:szCs w:val="24"/>
              </w:rPr>
            </w:pPr>
            <w:r w:rsidRPr="00441B4E">
              <w:rPr>
                <w:rFonts w:ascii="Arial" w:hAnsi="Arial" w:cs="Arial"/>
                <w:szCs w:val="24"/>
              </w:rPr>
              <w:t>Project</w:t>
            </w:r>
          </w:p>
        </w:tc>
        <w:tc>
          <w:tcPr>
            <w:tcW w:w="0" w:type="auto"/>
            <w:hideMark/>
          </w:tcPr>
          <w:p w14:paraId="2341196B" w14:textId="77777777" w:rsidR="00431401" w:rsidRPr="00441B4E" w:rsidRDefault="00431401" w:rsidP="00896F2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PBP (Years)</w:t>
            </w:r>
          </w:p>
        </w:tc>
        <w:tc>
          <w:tcPr>
            <w:tcW w:w="0" w:type="auto"/>
            <w:hideMark/>
          </w:tcPr>
          <w:p w14:paraId="1378EB20" w14:textId="77777777" w:rsidR="00431401" w:rsidRPr="00441B4E" w:rsidRDefault="00431401" w:rsidP="00896F2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ARR</w:t>
            </w:r>
          </w:p>
        </w:tc>
        <w:tc>
          <w:tcPr>
            <w:tcW w:w="0" w:type="auto"/>
            <w:hideMark/>
          </w:tcPr>
          <w:p w14:paraId="20E0E885" w14:textId="77777777" w:rsidR="00431401" w:rsidRPr="00441B4E" w:rsidRDefault="00431401" w:rsidP="00896F2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NPV (£m)</w:t>
            </w:r>
          </w:p>
        </w:tc>
        <w:tc>
          <w:tcPr>
            <w:tcW w:w="0" w:type="auto"/>
            <w:hideMark/>
          </w:tcPr>
          <w:p w14:paraId="6F44EB23" w14:textId="77777777" w:rsidR="00431401" w:rsidRPr="00441B4E" w:rsidRDefault="00431401" w:rsidP="00896F2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PI</w:t>
            </w:r>
          </w:p>
        </w:tc>
        <w:tc>
          <w:tcPr>
            <w:tcW w:w="0" w:type="auto"/>
            <w:hideMark/>
          </w:tcPr>
          <w:p w14:paraId="41FDA017" w14:textId="77777777" w:rsidR="00431401" w:rsidRPr="00441B4E" w:rsidRDefault="00431401" w:rsidP="00896F2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IRR</w:t>
            </w:r>
          </w:p>
        </w:tc>
      </w:tr>
      <w:tr w:rsidR="0040055E" w:rsidRPr="00441B4E" w14:paraId="0A02656F" w14:textId="77777777" w:rsidTr="0040055E">
        <w:trPr>
          <w:cnfStyle w:val="000000100000" w:firstRow="0" w:lastRow="0" w:firstColumn="0" w:lastColumn="0" w:oddVBand="0" w:evenVBand="0" w:oddHBand="1" w:evenHBand="0" w:firstRowFirstColumn="0" w:firstRowLastColumn="0" w:lastRowFirstColumn="0" w:lastRowLastColumn="0"/>
          <w:trHeight w:val="382"/>
        </w:trPr>
        <w:tc>
          <w:tcPr>
            <w:cnfStyle w:val="001000000000" w:firstRow="0" w:lastRow="0" w:firstColumn="1" w:lastColumn="0" w:oddVBand="0" w:evenVBand="0" w:oddHBand="0" w:evenHBand="0" w:firstRowFirstColumn="0" w:firstRowLastColumn="0" w:lastRowFirstColumn="0" w:lastRowLastColumn="0"/>
            <w:tcW w:w="0" w:type="auto"/>
            <w:hideMark/>
          </w:tcPr>
          <w:p w14:paraId="4ADB0837" w14:textId="77777777" w:rsidR="00431401" w:rsidRPr="00441B4E" w:rsidRDefault="00431401" w:rsidP="00896F28">
            <w:pPr>
              <w:spacing w:line="360" w:lineRule="auto"/>
              <w:jc w:val="both"/>
              <w:rPr>
                <w:rFonts w:ascii="Arial" w:hAnsi="Arial" w:cs="Arial"/>
                <w:szCs w:val="24"/>
              </w:rPr>
            </w:pPr>
            <w:r w:rsidRPr="00441B4E">
              <w:rPr>
                <w:rFonts w:ascii="Arial" w:hAnsi="Arial" w:cs="Arial"/>
                <w:szCs w:val="24"/>
              </w:rPr>
              <w:t>A</w:t>
            </w:r>
          </w:p>
        </w:tc>
        <w:tc>
          <w:tcPr>
            <w:tcW w:w="0" w:type="auto"/>
            <w:hideMark/>
          </w:tcPr>
          <w:p w14:paraId="4FD6FF12"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3.4</w:t>
            </w:r>
          </w:p>
        </w:tc>
        <w:tc>
          <w:tcPr>
            <w:tcW w:w="0" w:type="auto"/>
            <w:hideMark/>
          </w:tcPr>
          <w:p w14:paraId="06042E42"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7.00%</w:t>
            </w:r>
          </w:p>
        </w:tc>
        <w:tc>
          <w:tcPr>
            <w:tcW w:w="0" w:type="auto"/>
            <w:hideMark/>
          </w:tcPr>
          <w:p w14:paraId="696F4FD9"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1.32</w:t>
            </w:r>
          </w:p>
        </w:tc>
        <w:tc>
          <w:tcPr>
            <w:tcW w:w="0" w:type="auto"/>
            <w:hideMark/>
          </w:tcPr>
          <w:p w14:paraId="6E5728AC"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1.033</w:t>
            </w:r>
          </w:p>
        </w:tc>
        <w:tc>
          <w:tcPr>
            <w:tcW w:w="0" w:type="auto"/>
            <w:hideMark/>
          </w:tcPr>
          <w:p w14:paraId="20C03D75"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11.33%</w:t>
            </w:r>
          </w:p>
        </w:tc>
      </w:tr>
      <w:tr w:rsidR="00431401" w:rsidRPr="00441B4E" w14:paraId="4A70626D" w14:textId="77777777" w:rsidTr="0040055E">
        <w:trPr>
          <w:trHeight w:val="369"/>
        </w:trPr>
        <w:tc>
          <w:tcPr>
            <w:cnfStyle w:val="001000000000" w:firstRow="0" w:lastRow="0" w:firstColumn="1" w:lastColumn="0" w:oddVBand="0" w:evenVBand="0" w:oddHBand="0" w:evenHBand="0" w:firstRowFirstColumn="0" w:firstRowLastColumn="0" w:lastRowFirstColumn="0" w:lastRowLastColumn="0"/>
            <w:tcW w:w="0" w:type="auto"/>
            <w:hideMark/>
          </w:tcPr>
          <w:p w14:paraId="18FA0215" w14:textId="77777777" w:rsidR="00431401" w:rsidRPr="00441B4E" w:rsidRDefault="00431401" w:rsidP="00896F28">
            <w:pPr>
              <w:spacing w:line="360" w:lineRule="auto"/>
              <w:jc w:val="both"/>
              <w:rPr>
                <w:rFonts w:ascii="Arial" w:hAnsi="Arial" w:cs="Arial"/>
                <w:szCs w:val="24"/>
              </w:rPr>
            </w:pPr>
            <w:r w:rsidRPr="00441B4E">
              <w:rPr>
                <w:rFonts w:ascii="Arial" w:hAnsi="Arial" w:cs="Arial"/>
                <w:szCs w:val="24"/>
              </w:rPr>
              <w:t>B</w:t>
            </w:r>
          </w:p>
        </w:tc>
        <w:tc>
          <w:tcPr>
            <w:tcW w:w="0" w:type="auto"/>
            <w:hideMark/>
          </w:tcPr>
          <w:p w14:paraId="4A2EA04B"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5.0</w:t>
            </w:r>
          </w:p>
        </w:tc>
        <w:tc>
          <w:tcPr>
            <w:tcW w:w="0" w:type="auto"/>
            <w:hideMark/>
          </w:tcPr>
          <w:p w14:paraId="79C82DB7"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0.00%</w:t>
            </w:r>
          </w:p>
        </w:tc>
        <w:tc>
          <w:tcPr>
            <w:tcW w:w="0" w:type="auto"/>
            <w:hideMark/>
          </w:tcPr>
          <w:p w14:paraId="0F8EC8D5"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(7.26)</w:t>
            </w:r>
          </w:p>
        </w:tc>
        <w:tc>
          <w:tcPr>
            <w:tcW w:w="0" w:type="auto"/>
            <w:hideMark/>
          </w:tcPr>
          <w:p w14:paraId="73BB56E3"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0.758</w:t>
            </w:r>
          </w:p>
        </w:tc>
        <w:tc>
          <w:tcPr>
            <w:tcW w:w="0" w:type="auto"/>
            <w:hideMark/>
          </w:tcPr>
          <w:p w14:paraId="7501358D"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0.00%</w:t>
            </w:r>
          </w:p>
        </w:tc>
      </w:tr>
      <w:tr w:rsidR="0040055E" w:rsidRPr="00441B4E" w14:paraId="4A1CA380" w14:textId="77777777" w:rsidTr="0040055E">
        <w:trPr>
          <w:cnfStyle w:val="000000100000" w:firstRow="0" w:lastRow="0" w:firstColumn="0" w:lastColumn="0" w:oddVBand="0" w:evenVBand="0" w:oddHBand="1" w:evenHBand="0" w:firstRowFirstColumn="0" w:firstRowLastColumn="0" w:lastRowFirstColumn="0" w:lastRowLastColumn="0"/>
          <w:trHeight w:val="369"/>
        </w:trPr>
        <w:tc>
          <w:tcPr>
            <w:cnfStyle w:val="001000000000" w:firstRow="0" w:lastRow="0" w:firstColumn="1" w:lastColumn="0" w:oddVBand="0" w:evenVBand="0" w:oddHBand="0" w:evenHBand="0" w:firstRowFirstColumn="0" w:firstRowLastColumn="0" w:lastRowFirstColumn="0" w:lastRowLastColumn="0"/>
            <w:tcW w:w="0" w:type="auto"/>
            <w:hideMark/>
          </w:tcPr>
          <w:p w14:paraId="547CC158" w14:textId="77777777" w:rsidR="00431401" w:rsidRPr="00441B4E" w:rsidRDefault="00431401" w:rsidP="00896F28">
            <w:pPr>
              <w:spacing w:line="360" w:lineRule="auto"/>
              <w:jc w:val="both"/>
              <w:rPr>
                <w:rFonts w:ascii="Arial" w:hAnsi="Arial" w:cs="Arial"/>
                <w:szCs w:val="24"/>
              </w:rPr>
            </w:pPr>
            <w:r w:rsidRPr="00441B4E">
              <w:rPr>
                <w:rFonts w:ascii="Arial" w:hAnsi="Arial" w:cs="Arial"/>
                <w:szCs w:val="24"/>
              </w:rPr>
              <w:t>C</w:t>
            </w:r>
          </w:p>
        </w:tc>
        <w:tc>
          <w:tcPr>
            <w:tcW w:w="0" w:type="auto"/>
            <w:hideMark/>
          </w:tcPr>
          <w:p w14:paraId="51122D53"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3.6</w:t>
            </w:r>
          </w:p>
        </w:tc>
        <w:tc>
          <w:tcPr>
            <w:tcW w:w="0" w:type="auto"/>
            <w:hideMark/>
          </w:tcPr>
          <w:p w14:paraId="4161B99F"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10.00%</w:t>
            </w:r>
          </w:p>
        </w:tc>
        <w:tc>
          <w:tcPr>
            <w:tcW w:w="0" w:type="auto"/>
            <w:hideMark/>
          </w:tcPr>
          <w:p w14:paraId="5D1AD4E3"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4.23</w:t>
            </w:r>
          </w:p>
        </w:tc>
        <w:tc>
          <w:tcPr>
            <w:tcW w:w="0" w:type="auto"/>
            <w:hideMark/>
          </w:tcPr>
          <w:p w14:paraId="6965F748"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1.085</w:t>
            </w:r>
          </w:p>
        </w:tc>
        <w:tc>
          <w:tcPr>
            <w:tcW w:w="0" w:type="auto"/>
            <w:hideMark/>
          </w:tcPr>
          <w:p w14:paraId="07CC77CD" w14:textId="77777777" w:rsidR="00431401" w:rsidRPr="00441B4E" w:rsidRDefault="00431401"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12.87%</w:t>
            </w:r>
          </w:p>
        </w:tc>
      </w:tr>
    </w:tbl>
    <w:p w14:paraId="47B94FE6" w14:textId="5034DC76" w:rsidR="00431401" w:rsidRPr="00441B4E" w:rsidRDefault="00431401" w:rsidP="00896F28">
      <w:pPr>
        <w:pStyle w:val="Heading2"/>
        <w:spacing w:line="360" w:lineRule="auto"/>
        <w:rPr>
          <w:rFonts w:cs="Arial"/>
          <w:szCs w:val="24"/>
        </w:rPr>
      </w:pPr>
      <w:bookmarkStart w:id="28" w:name="_Toc216962454"/>
      <w:r w:rsidRPr="00441B4E">
        <w:rPr>
          <w:rStyle w:val="Strong"/>
          <w:rFonts w:cs="Arial"/>
          <w:b/>
          <w:bCs/>
          <w:color w:val="0F1115"/>
          <w:szCs w:val="24"/>
        </w:rPr>
        <w:t>Analysis and Discussion</w:t>
      </w:r>
      <w:bookmarkEnd w:id="28"/>
    </w:p>
    <w:p w14:paraId="2B3B01B3" w14:textId="40D22C05" w:rsidR="00431401" w:rsidRPr="00441B4E" w:rsidRDefault="00431401" w:rsidP="00896F28">
      <w:pPr>
        <w:pStyle w:val="Heading3"/>
        <w:spacing w:line="360" w:lineRule="auto"/>
      </w:pPr>
      <w:bookmarkStart w:id="29" w:name="_Toc216962455"/>
      <w:r w:rsidRPr="00441B4E">
        <w:rPr>
          <w:rStyle w:val="Strong"/>
          <w:b/>
        </w:rPr>
        <w:t>Project Ranking and Viability</w:t>
      </w:r>
      <w:bookmarkEnd w:id="29"/>
    </w:p>
    <w:p w14:paraId="11BCED06" w14:textId="77777777" w:rsidR="00431401" w:rsidRPr="00441B4E" w:rsidRDefault="00431401" w:rsidP="00896F28">
      <w:pPr>
        <w:pStyle w:val="ds-markdown-paragraph"/>
        <w:numPr>
          <w:ilvl w:val="0"/>
          <w:numId w:val="28"/>
        </w:numPr>
        <w:shd w:val="clear" w:color="auto" w:fill="FFFFFF"/>
        <w:spacing w:after="120" w:afterAutospacing="0" w:line="360" w:lineRule="auto"/>
        <w:ind w:left="0"/>
        <w:jc w:val="both"/>
        <w:rPr>
          <w:rFonts w:ascii="Arial" w:hAnsi="Arial" w:cs="Arial"/>
          <w:color w:val="0F1115"/>
        </w:rPr>
      </w:pPr>
      <w:r w:rsidRPr="00441B4E">
        <w:rPr>
          <w:rStyle w:val="Strong"/>
          <w:rFonts w:ascii="Arial" w:eastAsia="DengXian" w:hAnsi="Arial" w:cs="Arial"/>
          <w:color w:val="0F1115"/>
        </w:rPr>
        <w:t>Non-Discounted Methods:</w:t>
      </w:r>
    </w:p>
    <w:p w14:paraId="17DDAD1D" w14:textId="77777777" w:rsidR="00431401" w:rsidRPr="00441B4E" w:rsidRDefault="00431401" w:rsidP="00896F28">
      <w:pPr>
        <w:pStyle w:val="ds-markdown-paragraph"/>
        <w:numPr>
          <w:ilvl w:val="0"/>
          <w:numId w:val="28"/>
        </w:numPr>
        <w:shd w:val="clear" w:color="auto" w:fill="FFFFFF"/>
        <w:spacing w:after="0" w:afterAutospacing="0" w:line="360" w:lineRule="auto"/>
        <w:jc w:val="both"/>
        <w:rPr>
          <w:rFonts w:ascii="Arial" w:hAnsi="Arial" w:cs="Arial"/>
          <w:color w:val="0F1115"/>
        </w:rPr>
      </w:pPr>
      <w:r w:rsidRPr="00441B4E">
        <w:rPr>
          <w:rStyle w:val="Strong"/>
          <w:rFonts w:ascii="Arial" w:eastAsia="DengXian" w:hAnsi="Arial" w:cs="Arial"/>
          <w:color w:val="0F1115"/>
        </w:rPr>
        <w:t>Payback Period (PBP):</w:t>
      </w:r>
      <w:r w:rsidRPr="00441B4E">
        <w:rPr>
          <w:rFonts w:ascii="Arial" w:hAnsi="Arial" w:cs="Arial"/>
          <w:color w:val="0F1115"/>
        </w:rPr>
        <w:t> A (3.4yrs) &gt; C (3.6yrs) &gt; B (5.0yrs). Project A returns the initial investment fastest, which is critical for a liquidity-starved company.</w:t>
      </w:r>
    </w:p>
    <w:p w14:paraId="2E46F246" w14:textId="77777777" w:rsidR="00431401" w:rsidRPr="00441B4E" w:rsidRDefault="00431401" w:rsidP="00896F28">
      <w:pPr>
        <w:pStyle w:val="ds-markdown-paragraph"/>
        <w:numPr>
          <w:ilvl w:val="0"/>
          <w:numId w:val="28"/>
        </w:numPr>
        <w:shd w:val="clear" w:color="auto" w:fill="FFFFFF"/>
        <w:spacing w:after="0" w:afterAutospacing="0" w:line="360" w:lineRule="auto"/>
        <w:jc w:val="both"/>
        <w:rPr>
          <w:rFonts w:ascii="Arial" w:hAnsi="Arial" w:cs="Arial"/>
          <w:color w:val="0F1115"/>
        </w:rPr>
      </w:pPr>
      <w:r w:rsidRPr="00441B4E">
        <w:rPr>
          <w:rStyle w:val="Strong"/>
          <w:rFonts w:ascii="Arial" w:eastAsia="DengXian" w:hAnsi="Arial" w:cs="Arial"/>
          <w:color w:val="0F1115"/>
        </w:rPr>
        <w:t>ARR:</w:t>
      </w:r>
      <w:r w:rsidRPr="00441B4E">
        <w:rPr>
          <w:rFonts w:ascii="Arial" w:hAnsi="Arial" w:cs="Arial"/>
          <w:color w:val="0F1115"/>
        </w:rPr>
        <w:t> C (10.00%) &gt; A (7.00%) &gt; B (0.00%). Project C appears most profitable based on accounting earnings.</w:t>
      </w:r>
    </w:p>
    <w:p w14:paraId="72C93EDE" w14:textId="77777777" w:rsidR="00431401" w:rsidRPr="00441B4E" w:rsidRDefault="00431401" w:rsidP="00896F28">
      <w:pPr>
        <w:pStyle w:val="ds-markdown-paragraph"/>
        <w:numPr>
          <w:ilvl w:val="0"/>
          <w:numId w:val="28"/>
        </w:numPr>
        <w:shd w:val="clear" w:color="auto" w:fill="FFFFFF"/>
        <w:spacing w:after="120" w:afterAutospacing="0" w:line="360" w:lineRule="auto"/>
        <w:ind w:left="0"/>
        <w:jc w:val="both"/>
        <w:rPr>
          <w:rFonts w:ascii="Arial" w:hAnsi="Arial" w:cs="Arial"/>
          <w:color w:val="0F1115"/>
        </w:rPr>
      </w:pPr>
      <w:r w:rsidRPr="00441B4E">
        <w:rPr>
          <w:rStyle w:val="Strong"/>
          <w:rFonts w:ascii="Arial" w:eastAsia="DengXian" w:hAnsi="Arial" w:cs="Arial"/>
          <w:color w:val="0F1115"/>
        </w:rPr>
        <w:t>Discounted Cash Flow (DCF) Methods:</w:t>
      </w:r>
    </w:p>
    <w:p w14:paraId="2D7DC9E1" w14:textId="77777777" w:rsidR="00431401" w:rsidRPr="00441B4E" w:rsidRDefault="00431401" w:rsidP="00896F28">
      <w:pPr>
        <w:pStyle w:val="ds-markdown-paragraph"/>
        <w:numPr>
          <w:ilvl w:val="0"/>
          <w:numId w:val="28"/>
        </w:numPr>
        <w:shd w:val="clear" w:color="auto" w:fill="FFFFFF"/>
        <w:spacing w:after="0" w:afterAutospacing="0" w:line="360" w:lineRule="auto"/>
        <w:jc w:val="both"/>
        <w:rPr>
          <w:rFonts w:ascii="Arial" w:hAnsi="Arial" w:cs="Arial"/>
          <w:color w:val="0F1115"/>
        </w:rPr>
      </w:pPr>
      <w:r w:rsidRPr="00441B4E">
        <w:rPr>
          <w:rStyle w:val="Strong"/>
          <w:rFonts w:ascii="Arial" w:eastAsia="DengXian" w:hAnsi="Arial" w:cs="Arial"/>
          <w:color w:val="0F1115"/>
        </w:rPr>
        <w:t>NPV:</w:t>
      </w:r>
      <w:r w:rsidRPr="00441B4E">
        <w:rPr>
          <w:rFonts w:ascii="Arial" w:hAnsi="Arial" w:cs="Arial"/>
          <w:color w:val="0F1115"/>
        </w:rPr>
        <w:t> C (£4.23m) &gt; A (£1.32m) &gt; B (-£7.26m). NPV, the theoretically superior method, shows that only Projects A and C add value to the firm, as their NPVs are positive. Project B destroys value and should be rejected outright.</w:t>
      </w:r>
    </w:p>
    <w:p w14:paraId="4DB680B3" w14:textId="77777777" w:rsidR="00431401" w:rsidRPr="00441B4E" w:rsidRDefault="00431401" w:rsidP="00896F28">
      <w:pPr>
        <w:pStyle w:val="ds-markdown-paragraph"/>
        <w:numPr>
          <w:ilvl w:val="0"/>
          <w:numId w:val="28"/>
        </w:numPr>
        <w:shd w:val="clear" w:color="auto" w:fill="FFFFFF"/>
        <w:spacing w:after="0" w:afterAutospacing="0" w:line="360" w:lineRule="auto"/>
        <w:jc w:val="both"/>
        <w:rPr>
          <w:rFonts w:ascii="Arial" w:hAnsi="Arial" w:cs="Arial"/>
          <w:color w:val="0F1115"/>
        </w:rPr>
      </w:pPr>
      <w:r w:rsidRPr="00441B4E">
        <w:rPr>
          <w:rStyle w:val="Strong"/>
          <w:rFonts w:ascii="Arial" w:eastAsia="DengXian" w:hAnsi="Arial" w:cs="Arial"/>
          <w:color w:val="0F1115"/>
        </w:rPr>
        <w:t>PI:</w:t>
      </w:r>
      <w:r w:rsidRPr="00441B4E">
        <w:rPr>
          <w:rFonts w:ascii="Arial" w:hAnsi="Arial" w:cs="Arial"/>
          <w:color w:val="0F1115"/>
        </w:rPr>
        <w:t> C (1.085) &gt; A (1.033) &gt; B (0.758). PI confirms that C generates the most value per pound invested.</w:t>
      </w:r>
    </w:p>
    <w:p w14:paraId="6D742333" w14:textId="2AB0C032" w:rsidR="00431401" w:rsidRPr="00441B4E" w:rsidRDefault="00431401" w:rsidP="00896F28">
      <w:pPr>
        <w:pStyle w:val="ds-markdown-paragraph"/>
        <w:numPr>
          <w:ilvl w:val="0"/>
          <w:numId w:val="28"/>
        </w:numPr>
        <w:shd w:val="clear" w:color="auto" w:fill="FFFFFF"/>
        <w:spacing w:after="0" w:afterAutospacing="0" w:line="360" w:lineRule="auto"/>
        <w:jc w:val="both"/>
        <w:rPr>
          <w:rFonts w:ascii="Arial" w:hAnsi="Arial" w:cs="Arial"/>
          <w:color w:val="0F1115"/>
        </w:rPr>
      </w:pPr>
      <w:r w:rsidRPr="00441B4E">
        <w:rPr>
          <w:rStyle w:val="Strong"/>
          <w:rFonts w:ascii="Arial" w:eastAsia="DengXian" w:hAnsi="Arial" w:cs="Arial"/>
          <w:color w:val="0F1115"/>
        </w:rPr>
        <w:t>IRR:</w:t>
      </w:r>
      <w:r w:rsidRPr="00441B4E">
        <w:rPr>
          <w:rFonts w:ascii="Arial" w:hAnsi="Arial" w:cs="Arial"/>
          <w:color w:val="0F1115"/>
        </w:rPr>
        <w:t> C (12.87%) &gt; A (11.33%) &gt; B (0.00%). The IRR of both A and C exceeds the 10% cost of capital, confirming their financial viability.</w:t>
      </w:r>
    </w:p>
    <w:p w14:paraId="59CA1827" w14:textId="77777777" w:rsidR="00933640" w:rsidRPr="00441B4E" w:rsidRDefault="00933640" w:rsidP="00933640">
      <w:pPr>
        <w:pStyle w:val="ds-markdown-paragraph"/>
        <w:shd w:val="clear" w:color="auto" w:fill="FFFFFF"/>
        <w:spacing w:after="0" w:afterAutospacing="0" w:line="360" w:lineRule="auto"/>
        <w:ind w:left="720"/>
        <w:jc w:val="both"/>
        <w:rPr>
          <w:rFonts w:ascii="Arial" w:hAnsi="Arial" w:cs="Arial"/>
          <w:color w:val="0F1115"/>
        </w:rPr>
      </w:pPr>
    </w:p>
    <w:p w14:paraId="1B774302" w14:textId="3197C2A6" w:rsidR="00431401" w:rsidRPr="00441B4E" w:rsidRDefault="00431401" w:rsidP="00896F28">
      <w:pPr>
        <w:pStyle w:val="Heading3"/>
        <w:spacing w:line="360" w:lineRule="auto"/>
      </w:pPr>
      <w:bookmarkStart w:id="30" w:name="_Toc216962456"/>
      <w:r w:rsidRPr="00441B4E">
        <w:rPr>
          <w:rStyle w:val="Strong"/>
          <w:b/>
        </w:rPr>
        <w:lastRenderedPageBreak/>
        <w:t>Justification with Reference to Company's Financial Performance</w:t>
      </w:r>
      <w:bookmarkEnd w:id="30"/>
    </w:p>
    <w:p w14:paraId="4952515C" w14:textId="77777777" w:rsidR="00431401" w:rsidRPr="00441B4E" w:rsidRDefault="00431401" w:rsidP="00896F28">
      <w:pPr>
        <w:pStyle w:val="ds-markdown-paragraph"/>
        <w:shd w:val="clear" w:color="auto" w:fill="FFFFFF"/>
        <w:spacing w:before="240" w:beforeAutospacing="0" w:after="240" w:afterAutospacing="0" w:line="360" w:lineRule="auto"/>
        <w:jc w:val="both"/>
        <w:rPr>
          <w:rFonts w:ascii="Arial" w:hAnsi="Arial" w:cs="Arial"/>
          <w:color w:val="0F1115"/>
        </w:rPr>
      </w:pPr>
      <w:r w:rsidRPr="00441B4E">
        <w:rPr>
          <w:rFonts w:ascii="Arial" w:hAnsi="Arial" w:cs="Arial"/>
          <w:color w:val="0F1115"/>
        </w:rPr>
        <w:t>The company's recent financial performance, as detailed in the ratio analysis, makes certain project characteristics critically important.</w:t>
      </w:r>
    </w:p>
    <w:p w14:paraId="760801A6" w14:textId="77777777" w:rsidR="00431401" w:rsidRPr="00441B4E" w:rsidRDefault="00431401" w:rsidP="00896F28">
      <w:pPr>
        <w:pStyle w:val="ds-markdown-paragraph"/>
        <w:numPr>
          <w:ilvl w:val="0"/>
          <w:numId w:val="29"/>
        </w:numPr>
        <w:shd w:val="clear" w:color="auto" w:fill="FFFFFF"/>
        <w:spacing w:after="0" w:afterAutospacing="0" w:line="360" w:lineRule="auto"/>
        <w:ind w:left="0"/>
        <w:jc w:val="both"/>
        <w:rPr>
          <w:rFonts w:ascii="Arial" w:hAnsi="Arial" w:cs="Arial"/>
          <w:color w:val="0F1115"/>
        </w:rPr>
      </w:pPr>
      <w:r w:rsidRPr="00441B4E">
        <w:rPr>
          <w:rStyle w:val="Strong"/>
          <w:rFonts w:ascii="Arial" w:eastAsia="DengXian" w:hAnsi="Arial" w:cs="Arial"/>
          <w:color w:val="0F1115"/>
        </w:rPr>
        <w:t>Profitability &amp; Liquidity Crisis:</w:t>
      </w:r>
      <w:r w:rsidRPr="00441B4E">
        <w:rPr>
          <w:rFonts w:ascii="Arial" w:hAnsi="Arial" w:cs="Arial"/>
          <w:color w:val="0F1115"/>
        </w:rPr>
        <w:t> The company has reported significant operating losses (£15.3m in 2024, £85.3m in 2023) and its cash balance has fallen from £66.7m in 2022 to £26.8m in 2024. The </w:t>
      </w:r>
      <w:r w:rsidRPr="00441B4E">
        <w:rPr>
          <w:rStyle w:val="Strong"/>
          <w:rFonts w:ascii="Arial" w:eastAsia="DengXian" w:hAnsi="Arial" w:cs="Arial"/>
          <w:color w:val="0F1115"/>
        </w:rPr>
        <w:t>quick payback</w:t>
      </w:r>
      <w:r w:rsidRPr="00441B4E">
        <w:rPr>
          <w:rFonts w:ascii="Arial" w:hAnsi="Arial" w:cs="Arial"/>
          <w:color w:val="0F1115"/>
        </w:rPr>
        <w:t> of Project A (3.4 years) is therefore a major advantage. It quickly frees up capital, reduces exposure to risk, and improves liquidity metrics faster</w:t>
      </w:r>
      <w:r w:rsidR="00896F28" w:rsidRPr="00441B4E">
        <w:rPr>
          <w:rFonts w:ascii="Arial" w:hAnsi="Arial" w:cs="Arial"/>
          <w:color w:val="0F1115"/>
        </w:rPr>
        <w:t xml:space="preserve"> </w:t>
      </w:r>
      <w:r w:rsidRPr="00441B4E">
        <w:rPr>
          <w:rFonts w:ascii="Arial" w:hAnsi="Arial" w:cs="Arial"/>
          <w:color w:val="0F1115"/>
        </w:rPr>
        <w:t>a vital consideration for a company in the "Gray Zone" of default risk.</w:t>
      </w:r>
    </w:p>
    <w:p w14:paraId="2C34253B" w14:textId="77777777" w:rsidR="00431401" w:rsidRPr="00441B4E" w:rsidRDefault="00431401" w:rsidP="00896F28">
      <w:pPr>
        <w:pStyle w:val="ds-markdown-paragraph"/>
        <w:numPr>
          <w:ilvl w:val="0"/>
          <w:numId w:val="29"/>
        </w:numPr>
        <w:shd w:val="clear" w:color="auto" w:fill="FFFFFF"/>
        <w:spacing w:after="120" w:afterAutospacing="0" w:line="360" w:lineRule="auto"/>
        <w:ind w:left="0"/>
        <w:jc w:val="both"/>
        <w:rPr>
          <w:rFonts w:ascii="Arial" w:hAnsi="Arial" w:cs="Arial"/>
          <w:color w:val="0F1115"/>
        </w:rPr>
      </w:pPr>
      <w:r w:rsidRPr="00441B4E">
        <w:rPr>
          <w:rStyle w:val="Strong"/>
          <w:rFonts w:ascii="Arial" w:eastAsia="DengXian" w:hAnsi="Arial" w:cs="Arial"/>
          <w:color w:val="0F1115"/>
        </w:rPr>
        <w:t>Capital Rationing &amp; Efficiency:</w:t>
      </w:r>
      <w:r w:rsidRPr="00441B4E">
        <w:rPr>
          <w:rFonts w:ascii="Arial" w:hAnsi="Arial" w:cs="Arial"/>
          <w:color w:val="0F1115"/>
        </w:rPr>
        <w:t> With a maximum of £60m to invest, the goal is to maximise the total NPV of the selected portfolio. While Project C has the highest single NPV (£4.23m), it consumes £50m of the £60m budget. The combination of </w:t>
      </w:r>
      <w:r w:rsidRPr="00441B4E">
        <w:rPr>
          <w:rStyle w:val="Strong"/>
          <w:rFonts w:ascii="Arial" w:eastAsia="DengXian" w:hAnsi="Arial" w:cs="Arial"/>
          <w:color w:val="0F1115"/>
        </w:rPr>
        <w:t>Project A (£40m) and Project B is impossible</w:t>
      </w:r>
      <w:r w:rsidRPr="00441B4E">
        <w:rPr>
          <w:rFonts w:ascii="Arial" w:hAnsi="Arial" w:cs="Arial"/>
          <w:color w:val="0F1115"/>
        </w:rPr>
        <w:t> as B has a negative NPV. The only feasible combinations are a single project (A, B, or C) or a combination of A and C, which exceeds the £60m budget. Therefore, we must choose one project.</w:t>
      </w:r>
    </w:p>
    <w:p w14:paraId="67851FDF" w14:textId="390D6FC7" w:rsidR="00431401" w:rsidRPr="00441B4E" w:rsidRDefault="00431401" w:rsidP="00896F28">
      <w:pPr>
        <w:pStyle w:val="ds-markdown-paragraph"/>
        <w:shd w:val="clear" w:color="auto" w:fill="FFFFFF"/>
        <w:spacing w:before="120" w:beforeAutospacing="0" w:after="0" w:afterAutospacing="0" w:line="360" w:lineRule="auto"/>
        <w:jc w:val="both"/>
        <w:rPr>
          <w:rFonts w:ascii="Arial" w:hAnsi="Arial" w:cs="Arial"/>
          <w:color w:val="0F1115"/>
        </w:rPr>
      </w:pPr>
      <w:r w:rsidRPr="00441B4E">
        <w:rPr>
          <w:rFonts w:ascii="Arial" w:hAnsi="Arial" w:cs="Arial"/>
          <w:color w:val="0F1115"/>
        </w:rPr>
        <w:t>Under capital rationing, the </w:t>
      </w:r>
      <w:r w:rsidRPr="00441B4E">
        <w:rPr>
          <w:rStyle w:val="Strong"/>
          <w:rFonts w:ascii="Arial" w:eastAsia="DengXian" w:hAnsi="Arial" w:cs="Arial"/>
          <w:color w:val="0F1115"/>
        </w:rPr>
        <w:t>Profitability Index (PI)</w:t>
      </w:r>
      <w:r w:rsidRPr="00441B4E">
        <w:rPr>
          <w:rFonts w:ascii="Arial" w:hAnsi="Arial" w:cs="Arial"/>
          <w:color w:val="0F1115"/>
        </w:rPr>
        <w:t> is a key decision tool. Project C has a higher PI (1.085 vs 1.033), meaning it creates more value per unit of constrained capital. Investing £50m in Project C yields £4.23m in value, which is superior to investing £40m in Project A for only £1.32m in value.</w:t>
      </w:r>
    </w:p>
    <w:p w14:paraId="5385F670" w14:textId="77777777" w:rsidR="00933640" w:rsidRPr="00441B4E" w:rsidRDefault="00933640" w:rsidP="00896F28">
      <w:pPr>
        <w:pStyle w:val="ds-markdown-paragraph"/>
        <w:shd w:val="clear" w:color="auto" w:fill="FFFFFF"/>
        <w:spacing w:before="120" w:beforeAutospacing="0" w:after="0" w:afterAutospacing="0" w:line="360" w:lineRule="auto"/>
        <w:jc w:val="both"/>
        <w:rPr>
          <w:rFonts w:ascii="Arial" w:hAnsi="Arial" w:cs="Arial"/>
          <w:color w:val="0F1115"/>
        </w:rPr>
      </w:pPr>
    </w:p>
    <w:p w14:paraId="7924AD3D" w14:textId="19DB760A" w:rsidR="00431401" w:rsidRPr="00441B4E" w:rsidRDefault="00431401" w:rsidP="00896F28">
      <w:pPr>
        <w:pStyle w:val="Heading3"/>
        <w:spacing w:line="360" w:lineRule="auto"/>
      </w:pPr>
      <w:bookmarkStart w:id="31" w:name="_Toc216962457"/>
      <w:r w:rsidRPr="00441B4E">
        <w:rPr>
          <w:rStyle w:val="Strong"/>
          <w:b/>
        </w:rPr>
        <w:t>Project Risk Characteristics</w:t>
      </w:r>
      <w:bookmarkEnd w:id="31"/>
    </w:p>
    <w:p w14:paraId="0F16E756" w14:textId="77777777" w:rsidR="00431401" w:rsidRPr="00441B4E" w:rsidRDefault="00431401" w:rsidP="00896F28">
      <w:pPr>
        <w:pStyle w:val="ds-markdown-paragraph"/>
        <w:numPr>
          <w:ilvl w:val="0"/>
          <w:numId w:val="30"/>
        </w:numPr>
        <w:shd w:val="clear" w:color="auto" w:fill="FFFFFF"/>
        <w:spacing w:after="0" w:afterAutospacing="0" w:line="360" w:lineRule="auto"/>
        <w:ind w:left="0"/>
        <w:jc w:val="both"/>
        <w:rPr>
          <w:rFonts w:ascii="Arial" w:hAnsi="Arial" w:cs="Arial"/>
          <w:color w:val="0F1115"/>
        </w:rPr>
      </w:pPr>
      <w:r w:rsidRPr="00441B4E">
        <w:rPr>
          <w:rStyle w:val="Strong"/>
          <w:rFonts w:ascii="Arial" w:eastAsia="DengXian" w:hAnsi="Arial" w:cs="Arial"/>
          <w:color w:val="0F1115"/>
        </w:rPr>
        <w:t>Cash Flow Volatility:</w:t>
      </w:r>
      <w:r w:rsidRPr="00441B4E">
        <w:rPr>
          <w:rFonts w:ascii="Arial" w:hAnsi="Arial" w:cs="Arial"/>
          <w:color w:val="0F1115"/>
        </w:rPr>
        <w:t> Project A has variable cash flows (£10m, £12m, £14m, £10m, £8m), showing a peak and then a decline. Project C has highly back-loaded cash flows, with over 60% of its total cash inflow arriving in the final two years. This makes Project C riskier; its high NPV is contingent on materialising strong cash flows in the distant future. For a company facing operational instability, this uncertainty is a significant concern. Project A offers more stable and earlier cash generation.</w:t>
      </w:r>
    </w:p>
    <w:p w14:paraId="7CB5908D" w14:textId="098F6FBF" w:rsidR="00431401" w:rsidRPr="00441B4E" w:rsidRDefault="00431401" w:rsidP="00896F28">
      <w:pPr>
        <w:pStyle w:val="ds-markdown-paragraph"/>
        <w:numPr>
          <w:ilvl w:val="0"/>
          <w:numId w:val="30"/>
        </w:numPr>
        <w:shd w:val="clear" w:color="auto" w:fill="FFFFFF"/>
        <w:spacing w:after="0" w:afterAutospacing="0" w:line="360" w:lineRule="auto"/>
        <w:ind w:left="0"/>
        <w:jc w:val="both"/>
        <w:rPr>
          <w:rFonts w:ascii="Arial" w:hAnsi="Arial" w:cs="Arial"/>
          <w:color w:val="0F1115"/>
        </w:rPr>
      </w:pPr>
      <w:r w:rsidRPr="00441B4E">
        <w:rPr>
          <w:rStyle w:val="Strong"/>
          <w:rFonts w:ascii="Arial" w:eastAsia="DengXian" w:hAnsi="Arial" w:cs="Arial"/>
          <w:color w:val="0F1115"/>
        </w:rPr>
        <w:t>Risk vs. Return Trade-off:</w:t>
      </w:r>
      <w:r w:rsidRPr="00441B4E">
        <w:rPr>
          <w:rFonts w:ascii="Arial" w:hAnsi="Arial" w:cs="Arial"/>
          <w:color w:val="0F1115"/>
        </w:rPr>
        <w:t> Project C offers a higher return (NPV, IRR, PI) but carries higher risk due to its cash flow profile. Project A offers a lower, but more certain and front-</w:t>
      </w:r>
      <w:r w:rsidRPr="00441B4E">
        <w:rPr>
          <w:rFonts w:ascii="Arial" w:hAnsi="Arial" w:cs="Arial"/>
          <w:color w:val="0F1115"/>
        </w:rPr>
        <w:lastRenderedPageBreak/>
        <w:t>loaded return. Given the company's distressed state, a strong argument can be made for the lower-risk profile of Project A.</w:t>
      </w:r>
    </w:p>
    <w:p w14:paraId="5EBEB0A7" w14:textId="77777777" w:rsidR="00933640" w:rsidRPr="00441B4E" w:rsidRDefault="00933640" w:rsidP="00933640">
      <w:pPr>
        <w:pStyle w:val="ds-markdown-paragraph"/>
        <w:shd w:val="clear" w:color="auto" w:fill="FFFFFF"/>
        <w:spacing w:after="0" w:afterAutospacing="0" w:line="360" w:lineRule="auto"/>
        <w:jc w:val="both"/>
        <w:rPr>
          <w:rFonts w:ascii="Arial" w:hAnsi="Arial" w:cs="Arial"/>
          <w:color w:val="0F1115"/>
        </w:rPr>
      </w:pPr>
    </w:p>
    <w:p w14:paraId="5C7767E8" w14:textId="2EEB5A83" w:rsidR="00431401" w:rsidRPr="00441B4E" w:rsidRDefault="00431401" w:rsidP="00896F28">
      <w:pPr>
        <w:pStyle w:val="Heading2"/>
        <w:spacing w:line="360" w:lineRule="auto"/>
        <w:rPr>
          <w:rFonts w:cs="Arial"/>
          <w:szCs w:val="24"/>
        </w:rPr>
      </w:pPr>
      <w:bookmarkStart w:id="32" w:name="_Toc216962458"/>
      <w:r w:rsidRPr="00441B4E">
        <w:rPr>
          <w:rStyle w:val="Strong"/>
          <w:rFonts w:cs="Arial"/>
          <w:b/>
          <w:bCs/>
          <w:color w:val="0F1115"/>
          <w:szCs w:val="24"/>
        </w:rPr>
        <w:t>Investment Recommendation</w:t>
      </w:r>
      <w:bookmarkEnd w:id="32"/>
    </w:p>
    <w:p w14:paraId="6BDA24B1" w14:textId="77777777" w:rsidR="00431401" w:rsidRPr="00441B4E" w:rsidRDefault="00431401" w:rsidP="00896F28">
      <w:pPr>
        <w:pStyle w:val="ds-markdown-paragraph"/>
        <w:shd w:val="clear" w:color="auto" w:fill="FFFFFF"/>
        <w:spacing w:before="240" w:beforeAutospacing="0" w:after="240" w:afterAutospacing="0" w:line="360" w:lineRule="auto"/>
        <w:jc w:val="both"/>
        <w:rPr>
          <w:rFonts w:ascii="Arial" w:hAnsi="Arial" w:cs="Arial"/>
          <w:color w:val="0F1115"/>
        </w:rPr>
      </w:pPr>
      <w:r w:rsidRPr="00441B4E">
        <w:rPr>
          <w:rFonts w:ascii="Arial" w:hAnsi="Arial" w:cs="Arial"/>
          <w:color w:val="0F1115"/>
        </w:rPr>
        <w:t>Considering all factors</w:t>
      </w:r>
      <w:r w:rsidR="00896F28" w:rsidRPr="00441B4E">
        <w:rPr>
          <w:rFonts w:ascii="Arial" w:hAnsi="Arial" w:cs="Arial"/>
          <w:color w:val="0F1115"/>
        </w:rPr>
        <w:t xml:space="preserve"> </w:t>
      </w:r>
      <w:r w:rsidRPr="00441B4E">
        <w:rPr>
          <w:rFonts w:ascii="Arial" w:hAnsi="Arial" w:cs="Arial"/>
          <w:color w:val="0F1115"/>
        </w:rPr>
        <w:t>financial metrics, capital rationing, and the company's specific risk profile</w:t>
      </w:r>
      <w:r w:rsidR="00896F28" w:rsidRPr="00441B4E">
        <w:rPr>
          <w:rFonts w:ascii="Arial" w:hAnsi="Arial" w:cs="Arial"/>
          <w:color w:val="0F1115"/>
        </w:rPr>
        <w:t xml:space="preserve"> </w:t>
      </w:r>
      <w:r w:rsidRPr="00441B4E">
        <w:rPr>
          <w:rFonts w:ascii="Arial" w:hAnsi="Arial" w:cs="Arial"/>
          <w:color w:val="0F1115"/>
        </w:rPr>
        <w:t>the recommendation is to invest in </w:t>
      </w:r>
      <w:r w:rsidRPr="00441B4E">
        <w:rPr>
          <w:rStyle w:val="Strong"/>
          <w:rFonts w:ascii="Arial" w:eastAsia="DengXian" w:hAnsi="Arial" w:cs="Arial"/>
          <w:color w:val="0F1115"/>
        </w:rPr>
        <w:t>Project C</w:t>
      </w:r>
      <w:r w:rsidRPr="00441B4E">
        <w:rPr>
          <w:rFonts w:ascii="Arial" w:hAnsi="Arial" w:cs="Arial"/>
          <w:color w:val="0F1115"/>
        </w:rPr>
        <w:t>.</w:t>
      </w:r>
    </w:p>
    <w:p w14:paraId="2ABE8C58" w14:textId="77777777" w:rsidR="00431401" w:rsidRPr="00441B4E" w:rsidRDefault="00431401" w:rsidP="00896F28">
      <w:pPr>
        <w:pStyle w:val="ds-markdown-paragraph"/>
        <w:shd w:val="clear" w:color="auto" w:fill="FFFFFF"/>
        <w:spacing w:before="240" w:beforeAutospacing="0" w:after="240" w:afterAutospacing="0" w:line="360" w:lineRule="auto"/>
        <w:jc w:val="both"/>
        <w:rPr>
          <w:rFonts w:ascii="Arial" w:hAnsi="Arial" w:cs="Arial"/>
          <w:color w:val="0F1115"/>
        </w:rPr>
      </w:pPr>
      <w:r w:rsidRPr="00441B4E">
        <w:rPr>
          <w:rStyle w:val="Strong"/>
          <w:rFonts w:ascii="Arial" w:eastAsia="DengXian" w:hAnsi="Arial" w:cs="Arial"/>
          <w:color w:val="0F1115"/>
        </w:rPr>
        <w:t>Justification:</w:t>
      </w:r>
    </w:p>
    <w:p w14:paraId="6B1AD120" w14:textId="77777777" w:rsidR="00431401" w:rsidRPr="00441B4E" w:rsidRDefault="00431401" w:rsidP="00896F28">
      <w:pPr>
        <w:pStyle w:val="ds-markdown-paragraph"/>
        <w:numPr>
          <w:ilvl w:val="0"/>
          <w:numId w:val="31"/>
        </w:numPr>
        <w:shd w:val="clear" w:color="auto" w:fill="FFFFFF"/>
        <w:spacing w:after="0" w:afterAutospacing="0" w:line="360" w:lineRule="auto"/>
        <w:ind w:left="0"/>
        <w:jc w:val="both"/>
        <w:rPr>
          <w:rFonts w:ascii="Arial" w:hAnsi="Arial" w:cs="Arial"/>
          <w:color w:val="0F1115"/>
        </w:rPr>
      </w:pPr>
      <w:r w:rsidRPr="00441B4E">
        <w:rPr>
          <w:rStyle w:val="Strong"/>
          <w:rFonts w:ascii="Arial" w:eastAsia="DengXian" w:hAnsi="Arial" w:cs="Arial"/>
          <w:color w:val="0F1115"/>
        </w:rPr>
        <w:t>Value Maximisation under Capital Rationing:</w:t>
      </w:r>
      <w:r w:rsidRPr="00441B4E">
        <w:rPr>
          <w:rFonts w:ascii="Arial" w:hAnsi="Arial" w:cs="Arial"/>
          <w:color w:val="0F1115"/>
        </w:rPr>
        <w:t> Project C provides the highest NPV (£4.23m) and the highest Profitability Index (1.085). Since we cannot combine projects within the £60m budget, selecting the single project with the greatest absolute and relative value creation is the correct financial decision. The superior PI indicates it is the most efficient use of the scarce £60 million capital.</w:t>
      </w:r>
    </w:p>
    <w:p w14:paraId="7ED5AB90" w14:textId="77777777" w:rsidR="00431401" w:rsidRPr="00441B4E" w:rsidRDefault="00431401" w:rsidP="00896F28">
      <w:pPr>
        <w:pStyle w:val="ds-markdown-paragraph"/>
        <w:numPr>
          <w:ilvl w:val="0"/>
          <w:numId w:val="31"/>
        </w:numPr>
        <w:shd w:val="clear" w:color="auto" w:fill="FFFFFF"/>
        <w:spacing w:after="0" w:afterAutospacing="0" w:line="360" w:lineRule="auto"/>
        <w:ind w:left="0"/>
        <w:jc w:val="both"/>
        <w:rPr>
          <w:rFonts w:ascii="Arial" w:hAnsi="Arial" w:cs="Arial"/>
          <w:color w:val="0F1115"/>
        </w:rPr>
      </w:pPr>
      <w:r w:rsidRPr="00441B4E">
        <w:rPr>
          <w:rStyle w:val="Strong"/>
          <w:rFonts w:ascii="Arial" w:eastAsia="DengXian" w:hAnsi="Arial" w:cs="Arial"/>
          <w:color w:val="0F1115"/>
        </w:rPr>
        <w:t>Superior Return Profile:</w:t>
      </w:r>
      <w:r w:rsidRPr="00441B4E">
        <w:rPr>
          <w:rFonts w:ascii="Arial" w:hAnsi="Arial" w:cs="Arial"/>
          <w:color w:val="0F1115"/>
        </w:rPr>
        <w:t> It offers the highest IRR (12.87%) and ARR (10.00%), which will help improve the company's poor profitability ratios (ROA and ROE) over the medium term. The positive ARR will contribute directly to reported earnings.</w:t>
      </w:r>
    </w:p>
    <w:p w14:paraId="6623A5BA" w14:textId="77777777" w:rsidR="00431401" w:rsidRPr="00441B4E" w:rsidRDefault="00431401" w:rsidP="00896F28">
      <w:pPr>
        <w:pStyle w:val="ds-markdown-paragraph"/>
        <w:numPr>
          <w:ilvl w:val="0"/>
          <w:numId w:val="31"/>
        </w:numPr>
        <w:shd w:val="clear" w:color="auto" w:fill="FFFFFF"/>
        <w:spacing w:after="0" w:afterAutospacing="0" w:line="360" w:lineRule="auto"/>
        <w:ind w:left="0"/>
        <w:jc w:val="both"/>
        <w:rPr>
          <w:rFonts w:ascii="Arial" w:hAnsi="Arial" w:cs="Arial"/>
          <w:color w:val="0F1115"/>
        </w:rPr>
      </w:pPr>
      <w:r w:rsidRPr="00441B4E">
        <w:rPr>
          <w:rStyle w:val="Strong"/>
          <w:rFonts w:ascii="Arial" w:eastAsia="DengXian" w:hAnsi="Arial" w:cs="Arial"/>
          <w:color w:val="0F1115"/>
        </w:rPr>
        <w:t>Manageable Risk:</w:t>
      </w:r>
      <w:r w:rsidRPr="00441B4E">
        <w:rPr>
          <w:rFonts w:ascii="Arial" w:hAnsi="Arial" w:cs="Arial"/>
          <w:color w:val="0F1115"/>
        </w:rPr>
        <w:t> While Project C's cash flows are volatile, its payback period (3.6 years) is only marginally longer than Project A's. The company's continuing positive operating cash flow (as per the cash flow statement) provides a buffer to withstand the initial lower cash inflows from Project C before the larger, later inflows are realised. The significant positive NPV provides a margin of safety against estimation errors.</w:t>
      </w:r>
    </w:p>
    <w:p w14:paraId="0099B880" w14:textId="77777777" w:rsidR="009E2880" w:rsidRPr="00441B4E" w:rsidRDefault="009E2880" w:rsidP="009E2880">
      <w:pPr>
        <w:pStyle w:val="ds-markdown-paragraph"/>
        <w:shd w:val="clear" w:color="auto" w:fill="FFFFFF"/>
        <w:spacing w:after="0" w:afterAutospacing="0" w:line="360" w:lineRule="auto"/>
        <w:jc w:val="both"/>
        <w:rPr>
          <w:rFonts w:ascii="Arial" w:hAnsi="Arial" w:cs="Arial"/>
          <w:color w:val="0F1115"/>
        </w:rPr>
      </w:pPr>
      <w:r w:rsidRPr="00441B4E">
        <w:rPr>
          <w:rFonts w:ascii="Arial" w:hAnsi="Arial" w:cs="Arial"/>
          <w:color w:val="0F1115"/>
        </w:rPr>
        <w:t xml:space="preserve">Though project A is a most appealing option because it has a shorter payback period, its low PI and marginal NPV (£1.32m) makes it an inefficient utilization of the limited resource of the scarce capital of £60m. A instead of C would cost the value of almost 3 million (£4.23m -1.32m). When it comes to a turnaround, value creation on all the invested pounds is the main criterion. </w:t>
      </w:r>
    </w:p>
    <w:p w14:paraId="6E57A1C2" w14:textId="0D8F3E1E" w:rsidR="00431401" w:rsidRPr="00441B4E" w:rsidRDefault="009E2880" w:rsidP="003805F3">
      <w:pPr>
        <w:pStyle w:val="ds-markdown-paragraph"/>
        <w:shd w:val="clear" w:color="auto" w:fill="FFFFFF"/>
        <w:spacing w:after="0" w:afterAutospacing="0" w:line="360" w:lineRule="auto"/>
        <w:jc w:val="both"/>
        <w:rPr>
          <w:rFonts w:ascii="Arial" w:hAnsi="Arial" w:cs="Arial"/>
          <w:color w:val="0F1115"/>
        </w:rPr>
      </w:pPr>
      <w:r w:rsidRPr="00441B4E">
        <w:rPr>
          <w:rFonts w:ascii="Arial" w:hAnsi="Arial" w:cs="Arial"/>
          <w:color w:val="0F1115"/>
        </w:rPr>
        <w:t xml:space="preserve">The financial distress that the company faces is severe, but the presence of the operating cash flow generation allows addressing the issue, so the decision to pursue the more </w:t>
      </w:r>
      <w:r w:rsidRPr="00441B4E">
        <w:rPr>
          <w:rFonts w:ascii="Arial" w:hAnsi="Arial" w:cs="Arial"/>
          <w:color w:val="0F1115"/>
        </w:rPr>
        <w:lastRenderedPageBreak/>
        <w:t>valuable Project C is a reasonable and justified risk. Project C is one that should be undertaken by the company. It is the best utilization of the scarce capital, it has the highest potential to add value to shareholders and it brings about a significant increase in accounting profitability. The involved risk should be handled by the company by keeping a close check on the progress of the project against the cash flow objectives of the project at its later years and ensuring a tight rein on working capital management so as to maintain liquidity in the early years of the project.</w:t>
      </w:r>
    </w:p>
    <w:p w14:paraId="4B4EC842" w14:textId="77777777" w:rsidR="00933640" w:rsidRPr="00441B4E" w:rsidRDefault="00933640" w:rsidP="003805F3">
      <w:pPr>
        <w:pStyle w:val="ds-markdown-paragraph"/>
        <w:shd w:val="clear" w:color="auto" w:fill="FFFFFF"/>
        <w:spacing w:after="0" w:afterAutospacing="0" w:line="360" w:lineRule="auto"/>
        <w:jc w:val="both"/>
        <w:rPr>
          <w:rFonts w:ascii="Arial" w:hAnsi="Arial" w:cs="Arial"/>
          <w:color w:val="0F1115"/>
        </w:rPr>
      </w:pPr>
    </w:p>
    <w:p w14:paraId="32E58946" w14:textId="42F30504" w:rsidR="00EB7F65" w:rsidRPr="00441B4E" w:rsidRDefault="00EB7F65" w:rsidP="00896F28">
      <w:pPr>
        <w:pStyle w:val="Heading1"/>
        <w:rPr>
          <w:sz w:val="24"/>
        </w:rPr>
      </w:pPr>
      <w:bookmarkStart w:id="33" w:name="_Toc216962459"/>
      <w:r w:rsidRPr="00441B4E">
        <w:rPr>
          <w:sz w:val="24"/>
        </w:rPr>
        <w:t>Conclusion</w:t>
      </w:r>
      <w:bookmarkEnd w:id="33"/>
      <w:r w:rsidRPr="00441B4E">
        <w:rPr>
          <w:sz w:val="24"/>
        </w:rPr>
        <w:t xml:space="preserve"> </w:t>
      </w:r>
    </w:p>
    <w:p w14:paraId="2AD012FB" w14:textId="77777777" w:rsidR="00961DD8" w:rsidRPr="00441B4E" w:rsidRDefault="009E2880" w:rsidP="00896F28">
      <w:pPr>
        <w:pStyle w:val="ds-markdown-paragraph"/>
        <w:shd w:val="clear" w:color="auto" w:fill="FFFFFF"/>
        <w:spacing w:before="240" w:beforeAutospacing="0" w:line="360" w:lineRule="auto"/>
        <w:jc w:val="both"/>
        <w:rPr>
          <w:rFonts w:ascii="Arial" w:hAnsi="Arial" w:cs="Arial"/>
          <w:color w:val="0F1115"/>
        </w:rPr>
      </w:pPr>
      <w:r w:rsidRPr="00441B4E">
        <w:rPr>
          <w:rFonts w:ascii="Arial" w:hAnsi="Arial" w:cs="Arial"/>
          <w:color w:val="0F1115"/>
        </w:rPr>
        <w:t>The General Electronics are at the extreme end of the curve that must be addressed with extreme urgency. The analysis under consideration confirms the precarious situation of the company by citing the fact that the company is experiencing deteriorating profitability, problematic liquidity ratios and high-risk situation in terms of default. That said, the proposed combined solution, which is to include vigorous working capital solutions, strategic divestiture, equity recapitalization, and value-accretive investment in Project C will provide a plausible path to stabilization. Implementation should be done with strict working capital improvement implementation, considerate relations management with stakeholders in the process of restructuring and strategic focus on core competencies. The challenges are great, but it is a holistic plan that does not only examine the necessity to survive in a short run, but also invest in a long term of creating sustainable value, making General Electronics a poor performer emerge as a refocused and financially viable competitor in the global electronics market.</w:t>
      </w:r>
    </w:p>
    <w:p w14:paraId="0B74E4C7" w14:textId="77777777" w:rsidR="00961DD8" w:rsidRPr="00441B4E" w:rsidRDefault="00961DD8" w:rsidP="00896F28">
      <w:pPr>
        <w:spacing w:line="360" w:lineRule="auto"/>
        <w:jc w:val="both"/>
        <w:rPr>
          <w:rFonts w:ascii="Arial" w:hAnsi="Arial" w:cs="Arial"/>
          <w:szCs w:val="24"/>
        </w:rPr>
      </w:pPr>
    </w:p>
    <w:p w14:paraId="1E79659C" w14:textId="77777777" w:rsidR="00431401" w:rsidRPr="00441B4E" w:rsidRDefault="00431401" w:rsidP="00896F28">
      <w:pPr>
        <w:spacing w:line="360" w:lineRule="auto"/>
        <w:jc w:val="both"/>
        <w:rPr>
          <w:rFonts w:ascii="Arial" w:hAnsi="Arial" w:cs="Arial"/>
          <w:szCs w:val="24"/>
        </w:rPr>
      </w:pPr>
    </w:p>
    <w:p w14:paraId="323BD7CE" w14:textId="77777777" w:rsidR="00431401" w:rsidRPr="00441B4E" w:rsidRDefault="00431401" w:rsidP="00896F28">
      <w:pPr>
        <w:spacing w:line="360" w:lineRule="auto"/>
        <w:jc w:val="both"/>
        <w:rPr>
          <w:rFonts w:ascii="Arial" w:hAnsi="Arial" w:cs="Arial"/>
          <w:szCs w:val="24"/>
        </w:rPr>
      </w:pPr>
    </w:p>
    <w:p w14:paraId="3CD2D446" w14:textId="77777777" w:rsidR="00431401" w:rsidRPr="00441B4E" w:rsidRDefault="00431401" w:rsidP="00896F28">
      <w:pPr>
        <w:spacing w:line="360" w:lineRule="auto"/>
        <w:jc w:val="both"/>
        <w:rPr>
          <w:rFonts w:ascii="Arial" w:hAnsi="Arial" w:cs="Arial"/>
          <w:szCs w:val="24"/>
        </w:rPr>
      </w:pPr>
    </w:p>
    <w:p w14:paraId="7F26647B" w14:textId="77777777" w:rsidR="00896F28" w:rsidRPr="00441B4E" w:rsidRDefault="00896F28" w:rsidP="00896F28">
      <w:pPr>
        <w:spacing w:line="360" w:lineRule="auto"/>
        <w:jc w:val="both"/>
        <w:rPr>
          <w:rFonts w:ascii="Arial" w:hAnsi="Arial" w:cs="Arial"/>
          <w:szCs w:val="24"/>
        </w:rPr>
      </w:pPr>
    </w:p>
    <w:p w14:paraId="7EE9C7D4" w14:textId="77777777" w:rsidR="00896F28" w:rsidRPr="00441B4E" w:rsidRDefault="00896F28" w:rsidP="00896F28">
      <w:pPr>
        <w:spacing w:line="360" w:lineRule="auto"/>
        <w:jc w:val="both"/>
        <w:rPr>
          <w:rFonts w:ascii="Arial" w:hAnsi="Arial" w:cs="Arial"/>
          <w:szCs w:val="24"/>
        </w:rPr>
      </w:pPr>
    </w:p>
    <w:p w14:paraId="2E78C330" w14:textId="77777777" w:rsidR="003805F3" w:rsidRPr="00441B4E" w:rsidRDefault="003805F3" w:rsidP="00896F28">
      <w:pPr>
        <w:spacing w:line="360" w:lineRule="auto"/>
        <w:jc w:val="both"/>
        <w:rPr>
          <w:rFonts w:ascii="Arial" w:hAnsi="Arial" w:cs="Arial"/>
          <w:szCs w:val="24"/>
        </w:rPr>
      </w:pPr>
    </w:p>
    <w:p w14:paraId="038CC581" w14:textId="3BB47AC2" w:rsidR="00896F28" w:rsidRPr="00441B4E" w:rsidRDefault="00896F28" w:rsidP="00896F28">
      <w:pPr>
        <w:pStyle w:val="Heading1"/>
        <w:rPr>
          <w:sz w:val="24"/>
        </w:rPr>
      </w:pPr>
      <w:bookmarkStart w:id="34" w:name="_Toc216962460"/>
      <w:r w:rsidRPr="00441B4E">
        <w:rPr>
          <w:sz w:val="24"/>
        </w:rPr>
        <w:lastRenderedPageBreak/>
        <w:t>References</w:t>
      </w:r>
      <w:bookmarkEnd w:id="34"/>
    </w:p>
    <w:p w14:paraId="4D9CE17D" w14:textId="77777777" w:rsidR="003805F3" w:rsidRPr="00441B4E" w:rsidRDefault="003805F3" w:rsidP="003805F3">
      <w:pPr>
        <w:shd w:val="clear" w:color="auto" w:fill="FFFFFF"/>
        <w:spacing w:before="100" w:beforeAutospacing="1" w:after="100" w:afterAutospacing="1" w:line="360" w:lineRule="auto"/>
        <w:jc w:val="both"/>
        <w:rPr>
          <w:rFonts w:ascii="Arial" w:eastAsia="Times New Roman" w:hAnsi="Arial" w:cs="Arial"/>
          <w:color w:val="09090B"/>
          <w:szCs w:val="24"/>
        </w:rPr>
      </w:pPr>
      <w:r w:rsidRPr="00441B4E">
        <w:rPr>
          <w:rFonts w:ascii="Arial" w:eastAsia="Times New Roman" w:hAnsi="Arial" w:cs="Arial"/>
          <w:color w:val="09090B"/>
          <w:szCs w:val="24"/>
        </w:rPr>
        <w:t>Anastasiadou, K. (2021) “Sustainable Mobility Driven Prioritization of New Vehicle Technologies, Based on a New Decision-Aiding Methodology,” </w:t>
      </w:r>
      <w:r w:rsidRPr="00441B4E">
        <w:rPr>
          <w:rFonts w:ascii="Arial" w:eastAsia="Times New Roman" w:hAnsi="Arial" w:cs="Arial"/>
          <w:i/>
          <w:iCs/>
          <w:color w:val="09090B"/>
          <w:szCs w:val="24"/>
        </w:rPr>
        <w:t>Sustainability</w:t>
      </w:r>
      <w:r w:rsidRPr="00441B4E">
        <w:rPr>
          <w:rFonts w:ascii="Arial" w:eastAsia="Times New Roman" w:hAnsi="Arial" w:cs="Arial"/>
          <w:color w:val="09090B"/>
          <w:szCs w:val="24"/>
        </w:rPr>
        <w:t>, 13(9), p. 4760. doi:10.3390/su13094760.</w:t>
      </w:r>
    </w:p>
    <w:p w14:paraId="16834FC8" w14:textId="77777777" w:rsidR="003805F3" w:rsidRPr="00441B4E" w:rsidRDefault="003805F3" w:rsidP="003805F3">
      <w:pPr>
        <w:shd w:val="clear" w:color="auto" w:fill="FFFFFF"/>
        <w:spacing w:before="100" w:beforeAutospacing="1" w:after="100" w:afterAutospacing="1" w:line="360" w:lineRule="auto"/>
        <w:jc w:val="both"/>
        <w:rPr>
          <w:rFonts w:ascii="Arial" w:eastAsia="Times New Roman" w:hAnsi="Arial" w:cs="Arial"/>
          <w:color w:val="09090B"/>
          <w:szCs w:val="24"/>
        </w:rPr>
      </w:pPr>
      <w:r w:rsidRPr="00441B4E">
        <w:rPr>
          <w:rFonts w:ascii="Arial" w:eastAsia="Times New Roman" w:hAnsi="Arial" w:cs="Arial"/>
          <w:color w:val="09090B"/>
          <w:szCs w:val="24"/>
        </w:rPr>
        <w:t>Baheti, P. and Thathera, R. (2022) “AN ANALYTICAL STUDY ON CAPITAL BUDGETING TECHNIQUES IN MANGALAM CEMENT LIMITED,” </w:t>
      </w:r>
      <w:r w:rsidRPr="00441B4E">
        <w:rPr>
          <w:rFonts w:ascii="Arial" w:eastAsia="Times New Roman" w:hAnsi="Arial" w:cs="Arial"/>
          <w:i/>
          <w:iCs/>
          <w:color w:val="09090B"/>
          <w:szCs w:val="24"/>
        </w:rPr>
        <w:t>Sachetas</w:t>
      </w:r>
      <w:r w:rsidRPr="00441B4E">
        <w:rPr>
          <w:rFonts w:ascii="Arial" w:eastAsia="Times New Roman" w:hAnsi="Arial" w:cs="Arial"/>
          <w:color w:val="09090B"/>
          <w:szCs w:val="24"/>
        </w:rPr>
        <w:t>, 1(4), p. 32. doi:10.55955/140003.</w:t>
      </w:r>
    </w:p>
    <w:p w14:paraId="46985731" w14:textId="77777777" w:rsidR="003805F3" w:rsidRPr="00441B4E" w:rsidRDefault="003805F3" w:rsidP="003805F3">
      <w:pPr>
        <w:shd w:val="clear" w:color="auto" w:fill="FFFFFF"/>
        <w:spacing w:before="100" w:beforeAutospacing="1" w:after="100" w:afterAutospacing="1" w:line="360" w:lineRule="auto"/>
        <w:jc w:val="both"/>
        <w:rPr>
          <w:rFonts w:ascii="Arial" w:eastAsia="Times New Roman" w:hAnsi="Arial" w:cs="Arial"/>
          <w:color w:val="09090B"/>
          <w:szCs w:val="24"/>
        </w:rPr>
      </w:pPr>
      <w:r w:rsidRPr="00441B4E">
        <w:rPr>
          <w:rFonts w:ascii="Arial" w:eastAsia="Times New Roman" w:hAnsi="Arial" w:cs="Arial"/>
          <w:color w:val="09090B"/>
          <w:szCs w:val="24"/>
        </w:rPr>
        <w:t>Dai, H. </w:t>
      </w:r>
      <w:r w:rsidRPr="00441B4E">
        <w:rPr>
          <w:rFonts w:ascii="Arial" w:eastAsia="Times New Roman" w:hAnsi="Arial" w:cs="Arial"/>
          <w:i/>
          <w:iCs/>
          <w:color w:val="09090B"/>
          <w:szCs w:val="24"/>
        </w:rPr>
        <w:t>et al.</w:t>
      </w:r>
      <w:r w:rsidRPr="00441B4E">
        <w:rPr>
          <w:rFonts w:ascii="Arial" w:eastAsia="Times New Roman" w:hAnsi="Arial" w:cs="Arial"/>
          <w:color w:val="09090B"/>
          <w:szCs w:val="24"/>
        </w:rPr>
        <w:t> (2022) “The Analysis of Three Main Investment Criteria: NPV IRR and Payback Period,” </w:t>
      </w:r>
      <w:r w:rsidRPr="00441B4E">
        <w:rPr>
          <w:rFonts w:ascii="Arial" w:eastAsia="Times New Roman" w:hAnsi="Arial" w:cs="Arial"/>
          <w:i/>
          <w:iCs/>
          <w:color w:val="09090B"/>
          <w:szCs w:val="24"/>
        </w:rPr>
        <w:t>Advances in economics, business and management research/Advances in Economics, Business and Management Research</w:t>
      </w:r>
      <w:r w:rsidRPr="00441B4E">
        <w:rPr>
          <w:rFonts w:ascii="Arial" w:eastAsia="Times New Roman" w:hAnsi="Arial" w:cs="Arial"/>
          <w:color w:val="09090B"/>
          <w:szCs w:val="24"/>
        </w:rPr>
        <w:t> [Preprint]. doi:10.2991/aebmr.k.220307.028.</w:t>
      </w:r>
    </w:p>
    <w:p w14:paraId="5D55BABB" w14:textId="77777777" w:rsidR="003805F3" w:rsidRPr="00441B4E" w:rsidRDefault="003805F3" w:rsidP="003805F3">
      <w:pPr>
        <w:shd w:val="clear" w:color="auto" w:fill="FFFFFF"/>
        <w:spacing w:line="360" w:lineRule="auto"/>
        <w:jc w:val="both"/>
        <w:rPr>
          <w:rFonts w:ascii="Arial" w:eastAsia="Times New Roman" w:hAnsi="Arial" w:cs="Arial"/>
          <w:color w:val="09090B"/>
          <w:szCs w:val="24"/>
        </w:rPr>
      </w:pPr>
      <w:r w:rsidRPr="00441B4E">
        <w:rPr>
          <w:rFonts w:ascii="Arial" w:hAnsi="Arial" w:cs="Arial"/>
          <w:color w:val="09090B"/>
          <w:szCs w:val="24"/>
        </w:rPr>
        <w:t>Dalayeen, B.A. (2016) “Financial Performance Appraisal of Selected Companies in Jordan,” </w:t>
      </w:r>
      <w:r w:rsidRPr="00441B4E">
        <w:rPr>
          <w:rFonts w:ascii="Arial" w:hAnsi="Arial" w:cs="Arial"/>
          <w:i/>
          <w:iCs/>
          <w:color w:val="09090B"/>
          <w:szCs w:val="24"/>
        </w:rPr>
        <w:t>Open Journal of Business and Management</w:t>
      </w:r>
      <w:r w:rsidRPr="00441B4E">
        <w:rPr>
          <w:rFonts w:ascii="Arial" w:hAnsi="Arial" w:cs="Arial"/>
          <w:color w:val="09090B"/>
          <w:szCs w:val="24"/>
        </w:rPr>
        <w:t xml:space="preserve">, 5(1), p. 131. doi:10.4236/ojbm.2017.51012. </w:t>
      </w:r>
    </w:p>
    <w:p w14:paraId="3CE98029" w14:textId="77777777" w:rsidR="003805F3" w:rsidRPr="00441B4E" w:rsidRDefault="003805F3" w:rsidP="003805F3">
      <w:pPr>
        <w:shd w:val="clear" w:color="auto" w:fill="FFFFFF"/>
        <w:spacing w:before="100" w:beforeAutospacing="1" w:after="100" w:afterAutospacing="1" w:line="360" w:lineRule="auto"/>
        <w:jc w:val="both"/>
        <w:rPr>
          <w:rFonts w:ascii="Arial" w:hAnsi="Arial" w:cs="Arial"/>
          <w:color w:val="09090B"/>
          <w:szCs w:val="24"/>
        </w:rPr>
      </w:pPr>
      <w:r w:rsidRPr="00441B4E">
        <w:rPr>
          <w:rFonts w:ascii="Arial" w:hAnsi="Arial" w:cs="Arial"/>
          <w:color w:val="09090B"/>
          <w:szCs w:val="24"/>
        </w:rPr>
        <w:t>EE, S. and Addai, I. (2015) “Financial Ratios (Accounting Ratios) and Survival of Microfinance Institutions in Ghana,” </w:t>
      </w:r>
      <w:r w:rsidRPr="00441B4E">
        <w:rPr>
          <w:rFonts w:ascii="Arial" w:hAnsi="Arial" w:cs="Arial"/>
          <w:i/>
          <w:iCs/>
          <w:color w:val="09090B"/>
          <w:szCs w:val="24"/>
        </w:rPr>
        <w:t>Journal of Business &amp; Financial Affairs</w:t>
      </w:r>
      <w:r w:rsidRPr="00441B4E">
        <w:rPr>
          <w:rFonts w:ascii="Arial" w:hAnsi="Arial" w:cs="Arial"/>
          <w:color w:val="09090B"/>
          <w:szCs w:val="24"/>
        </w:rPr>
        <w:t>, 4(3). doi:10.4172/2167-0234.1000151.</w:t>
      </w:r>
    </w:p>
    <w:p w14:paraId="64E671C5" w14:textId="77777777" w:rsidR="003805F3" w:rsidRPr="00441B4E" w:rsidRDefault="003805F3" w:rsidP="003805F3">
      <w:pPr>
        <w:shd w:val="clear" w:color="auto" w:fill="FFFFFF"/>
        <w:spacing w:before="100" w:beforeAutospacing="1" w:after="100" w:afterAutospacing="1" w:line="360" w:lineRule="auto"/>
        <w:jc w:val="both"/>
        <w:rPr>
          <w:rFonts w:ascii="Arial" w:eastAsia="Times New Roman" w:hAnsi="Arial" w:cs="Arial"/>
          <w:color w:val="09090B"/>
          <w:szCs w:val="24"/>
        </w:rPr>
      </w:pPr>
      <w:r w:rsidRPr="00441B4E">
        <w:rPr>
          <w:rFonts w:ascii="Arial" w:eastAsia="Times New Roman" w:hAnsi="Arial" w:cs="Arial"/>
          <w:color w:val="09090B"/>
          <w:szCs w:val="24"/>
        </w:rPr>
        <w:t xml:space="preserve">Fidelity UK (2025) FTSE 100 company share prices. Available at: </w:t>
      </w:r>
      <w:hyperlink r:id="rId12" w:history="1">
        <w:r w:rsidRPr="00441B4E">
          <w:rPr>
            <w:rStyle w:val="Hyperlink"/>
            <w:rFonts w:ascii="Arial" w:eastAsia="Times New Roman" w:hAnsi="Arial" w:cs="Arial"/>
            <w:szCs w:val="24"/>
          </w:rPr>
          <w:t>https://www.fidelity.co.uk/shares/ftse-100/company-share-prices/</w:t>
        </w:r>
      </w:hyperlink>
      <w:r w:rsidRPr="00441B4E">
        <w:rPr>
          <w:rFonts w:ascii="Arial" w:eastAsia="Times New Roman" w:hAnsi="Arial" w:cs="Arial"/>
          <w:color w:val="09090B"/>
          <w:szCs w:val="24"/>
        </w:rPr>
        <w:t xml:space="preserve"> </w:t>
      </w:r>
    </w:p>
    <w:p w14:paraId="77A77A57" w14:textId="77777777" w:rsidR="003805F3" w:rsidRPr="00441B4E" w:rsidRDefault="003805F3" w:rsidP="003805F3">
      <w:pPr>
        <w:shd w:val="clear" w:color="auto" w:fill="FFFFFF"/>
        <w:spacing w:before="100" w:beforeAutospacing="1" w:after="100" w:afterAutospacing="1" w:line="360" w:lineRule="auto"/>
        <w:jc w:val="both"/>
        <w:rPr>
          <w:rFonts w:ascii="Arial" w:hAnsi="Arial" w:cs="Arial"/>
          <w:color w:val="09090B"/>
          <w:szCs w:val="24"/>
        </w:rPr>
      </w:pPr>
      <w:r w:rsidRPr="00441B4E">
        <w:rPr>
          <w:rFonts w:ascii="Arial" w:hAnsi="Arial" w:cs="Arial"/>
          <w:color w:val="09090B"/>
          <w:szCs w:val="24"/>
        </w:rPr>
        <w:t>Gilman, S. (2000) “Analyzing Financial Statements,” in </w:t>
      </w:r>
      <w:r w:rsidRPr="00441B4E">
        <w:rPr>
          <w:rFonts w:ascii="Arial" w:hAnsi="Arial" w:cs="Arial"/>
          <w:i/>
          <w:iCs/>
          <w:color w:val="09090B"/>
          <w:szCs w:val="24"/>
        </w:rPr>
        <w:t>CRC Press eBooks</w:t>
      </w:r>
      <w:r w:rsidRPr="00441B4E">
        <w:rPr>
          <w:rFonts w:ascii="Arial" w:hAnsi="Arial" w:cs="Arial"/>
          <w:color w:val="09090B"/>
          <w:szCs w:val="24"/>
        </w:rPr>
        <w:t>. Informa, p. 277. doi:10.1201/9781420025637-24.</w:t>
      </w:r>
    </w:p>
    <w:p w14:paraId="6F0D4B65" w14:textId="77777777" w:rsidR="003805F3" w:rsidRPr="00441B4E" w:rsidRDefault="003805F3" w:rsidP="003805F3">
      <w:pPr>
        <w:shd w:val="clear" w:color="auto" w:fill="FFFFFF"/>
        <w:spacing w:before="100" w:beforeAutospacing="1" w:after="100" w:afterAutospacing="1" w:line="360" w:lineRule="auto"/>
        <w:jc w:val="both"/>
        <w:rPr>
          <w:rFonts w:ascii="Arial" w:eastAsia="Times New Roman" w:hAnsi="Arial" w:cs="Arial"/>
          <w:color w:val="09090B"/>
          <w:szCs w:val="24"/>
        </w:rPr>
      </w:pPr>
      <w:r w:rsidRPr="00441B4E">
        <w:rPr>
          <w:rFonts w:ascii="Arial" w:eastAsia="Times New Roman" w:hAnsi="Arial" w:cs="Arial"/>
          <w:color w:val="09090B"/>
          <w:szCs w:val="24"/>
        </w:rPr>
        <w:t>Justice, A. and Pious, O. (2020) “Capital Budgeting as a Tool of Management Decision Making: A Case Study of National Investment Bank Limited,” </w:t>
      </w:r>
      <w:r w:rsidRPr="00441B4E">
        <w:rPr>
          <w:rFonts w:ascii="Arial" w:eastAsia="Times New Roman" w:hAnsi="Arial" w:cs="Arial"/>
          <w:i/>
          <w:iCs/>
          <w:color w:val="09090B"/>
          <w:szCs w:val="24"/>
        </w:rPr>
        <w:t>Research Journal of Finance and Accounting</w:t>
      </w:r>
      <w:r w:rsidRPr="00441B4E">
        <w:rPr>
          <w:rFonts w:ascii="Arial" w:eastAsia="Times New Roman" w:hAnsi="Arial" w:cs="Arial"/>
          <w:color w:val="09090B"/>
          <w:szCs w:val="24"/>
        </w:rPr>
        <w:t> [Preprint]. doi:10.7176/rjfa/11-4-04.</w:t>
      </w:r>
    </w:p>
    <w:p w14:paraId="6C126231" w14:textId="77777777" w:rsidR="003805F3" w:rsidRPr="00441B4E" w:rsidRDefault="003805F3" w:rsidP="003805F3">
      <w:pPr>
        <w:shd w:val="clear" w:color="auto" w:fill="FFFFFF"/>
        <w:spacing w:before="100" w:beforeAutospacing="1" w:after="100" w:afterAutospacing="1" w:line="360" w:lineRule="auto"/>
        <w:jc w:val="both"/>
        <w:rPr>
          <w:rFonts w:ascii="Arial" w:hAnsi="Arial" w:cs="Arial"/>
          <w:color w:val="09090B"/>
          <w:szCs w:val="24"/>
        </w:rPr>
      </w:pPr>
      <w:r w:rsidRPr="00441B4E">
        <w:rPr>
          <w:rFonts w:ascii="Arial" w:hAnsi="Arial" w:cs="Arial"/>
          <w:color w:val="09090B"/>
          <w:szCs w:val="24"/>
        </w:rPr>
        <w:lastRenderedPageBreak/>
        <w:t>Kowalik, M. (2018) “Profitability and Financial Liquidity of the Chemical Industry Companies,” </w:t>
      </w:r>
      <w:r w:rsidRPr="00441B4E">
        <w:rPr>
          <w:rFonts w:ascii="Arial" w:hAnsi="Arial" w:cs="Arial"/>
          <w:i/>
          <w:iCs/>
          <w:color w:val="09090B"/>
          <w:szCs w:val="24"/>
        </w:rPr>
        <w:t>Finanse, Rynki Finansowe, Ubezpieczenia</w:t>
      </w:r>
      <w:r w:rsidRPr="00441B4E">
        <w:rPr>
          <w:rFonts w:ascii="Arial" w:hAnsi="Arial" w:cs="Arial"/>
          <w:color w:val="09090B"/>
          <w:szCs w:val="24"/>
        </w:rPr>
        <w:t>, 91, p. 47. doi:10.18276/frfu.2018.91-04.</w:t>
      </w:r>
    </w:p>
    <w:p w14:paraId="184DDF6C" w14:textId="77777777" w:rsidR="003805F3" w:rsidRPr="00441B4E" w:rsidRDefault="003805F3" w:rsidP="003805F3">
      <w:pPr>
        <w:shd w:val="clear" w:color="auto" w:fill="FFFFFF"/>
        <w:spacing w:before="100" w:beforeAutospacing="1" w:after="100" w:afterAutospacing="1" w:line="360" w:lineRule="auto"/>
        <w:jc w:val="both"/>
        <w:rPr>
          <w:rFonts w:ascii="Arial" w:hAnsi="Arial" w:cs="Arial"/>
          <w:color w:val="09090B"/>
          <w:szCs w:val="24"/>
        </w:rPr>
      </w:pPr>
      <w:r w:rsidRPr="00441B4E">
        <w:rPr>
          <w:rFonts w:ascii="Arial" w:hAnsi="Arial" w:cs="Arial"/>
          <w:color w:val="09090B"/>
          <w:szCs w:val="24"/>
        </w:rPr>
        <w:t>Krylov, S. (2021) “Target financial forecasting as an instrument of overcome financial difficulties in present-day global economic environment,” </w:t>
      </w:r>
      <w:r w:rsidRPr="00441B4E">
        <w:rPr>
          <w:rFonts w:ascii="Arial" w:hAnsi="Arial" w:cs="Arial"/>
          <w:i/>
          <w:iCs/>
          <w:color w:val="09090B"/>
          <w:szCs w:val="24"/>
        </w:rPr>
        <w:t>SHS Web of Conferences</w:t>
      </w:r>
      <w:r w:rsidRPr="00441B4E">
        <w:rPr>
          <w:rFonts w:ascii="Arial" w:hAnsi="Arial" w:cs="Arial"/>
          <w:color w:val="09090B"/>
          <w:szCs w:val="24"/>
        </w:rPr>
        <w:t>, 129, p. 3017. doi:10.1051/shsconf/202112903017.</w:t>
      </w:r>
    </w:p>
    <w:p w14:paraId="7E81022E" w14:textId="77777777" w:rsidR="003805F3" w:rsidRPr="00441B4E" w:rsidRDefault="003805F3" w:rsidP="003805F3">
      <w:pPr>
        <w:shd w:val="clear" w:color="auto" w:fill="FFFFFF"/>
        <w:spacing w:before="100" w:beforeAutospacing="1" w:after="100" w:afterAutospacing="1" w:line="360" w:lineRule="auto"/>
        <w:jc w:val="both"/>
        <w:rPr>
          <w:rFonts w:ascii="Arial" w:hAnsi="Arial" w:cs="Arial"/>
          <w:color w:val="09090B"/>
          <w:szCs w:val="24"/>
        </w:rPr>
      </w:pPr>
      <w:r w:rsidRPr="00441B4E">
        <w:rPr>
          <w:rFonts w:ascii="Arial" w:hAnsi="Arial" w:cs="Arial"/>
          <w:color w:val="09090B"/>
          <w:szCs w:val="24"/>
        </w:rPr>
        <w:t>Lestari, I.P. </w:t>
      </w:r>
      <w:r w:rsidRPr="00441B4E">
        <w:rPr>
          <w:rFonts w:ascii="Arial" w:hAnsi="Arial" w:cs="Arial"/>
          <w:i/>
          <w:iCs/>
          <w:color w:val="09090B"/>
          <w:szCs w:val="24"/>
        </w:rPr>
        <w:t>et al.</w:t>
      </w:r>
      <w:r w:rsidRPr="00441B4E">
        <w:rPr>
          <w:rFonts w:ascii="Arial" w:hAnsi="Arial" w:cs="Arial"/>
          <w:color w:val="09090B"/>
          <w:szCs w:val="24"/>
        </w:rPr>
        <w:t> (2022) “Comparison Analysis of EVA and ROA Methods in Assessing The Financial Performance of The Company,” </w:t>
      </w:r>
      <w:r w:rsidRPr="00441B4E">
        <w:rPr>
          <w:rFonts w:ascii="Arial" w:hAnsi="Arial" w:cs="Arial"/>
          <w:i/>
          <w:iCs/>
          <w:color w:val="09090B"/>
          <w:szCs w:val="24"/>
        </w:rPr>
        <w:t>Journal of Applied Business Taxation and Economics Research</w:t>
      </w:r>
      <w:r w:rsidRPr="00441B4E">
        <w:rPr>
          <w:rFonts w:ascii="Arial" w:hAnsi="Arial" w:cs="Arial"/>
          <w:color w:val="09090B"/>
          <w:szCs w:val="24"/>
        </w:rPr>
        <w:t>, 2(2), p. 188. doi:10.54408/jabter.v2i2.148.</w:t>
      </w:r>
    </w:p>
    <w:p w14:paraId="363D97A5" w14:textId="77777777" w:rsidR="003805F3" w:rsidRPr="00441B4E" w:rsidRDefault="003805F3" w:rsidP="003805F3">
      <w:pPr>
        <w:shd w:val="clear" w:color="auto" w:fill="FFFFFF"/>
        <w:spacing w:before="100" w:beforeAutospacing="1" w:after="100" w:afterAutospacing="1" w:line="360" w:lineRule="auto"/>
        <w:jc w:val="both"/>
        <w:rPr>
          <w:rFonts w:ascii="Arial" w:hAnsi="Arial" w:cs="Arial"/>
          <w:color w:val="09090B"/>
          <w:szCs w:val="24"/>
        </w:rPr>
      </w:pPr>
      <w:r w:rsidRPr="00441B4E">
        <w:rPr>
          <w:rFonts w:ascii="Arial" w:hAnsi="Arial" w:cs="Arial"/>
          <w:color w:val="09090B"/>
          <w:szCs w:val="24"/>
        </w:rPr>
        <w:t>Lubis, S.S. (2023) “Identify Financial Ratios to Measure The Company’s Financial Performance,” </w:t>
      </w:r>
      <w:r w:rsidRPr="00441B4E">
        <w:rPr>
          <w:rFonts w:ascii="Arial" w:hAnsi="Arial" w:cs="Arial"/>
          <w:i/>
          <w:iCs/>
          <w:color w:val="09090B"/>
          <w:szCs w:val="24"/>
        </w:rPr>
        <w:t>Journal of Economics Business Industry</w:t>
      </w:r>
      <w:r w:rsidRPr="00441B4E">
        <w:rPr>
          <w:rFonts w:ascii="Arial" w:hAnsi="Arial" w:cs="Arial"/>
          <w:color w:val="09090B"/>
          <w:szCs w:val="24"/>
        </w:rPr>
        <w:t>, 1(1), p. 1. doi:10.59976/jebin.v1i1.7.</w:t>
      </w:r>
    </w:p>
    <w:p w14:paraId="73EF755F" w14:textId="77777777" w:rsidR="003805F3" w:rsidRPr="00441B4E" w:rsidRDefault="003805F3" w:rsidP="003805F3">
      <w:pPr>
        <w:shd w:val="clear" w:color="auto" w:fill="FFFFFF"/>
        <w:spacing w:before="100" w:beforeAutospacing="1" w:after="100" w:afterAutospacing="1" w:line="360" w:lineRule="auto"/>
        <w:jc w:val="both"/>
        <w:rPr>
          <w:rFonts w:ascii="Arial" w:hAnsi="Arial" w:cs="Arial"/>
          <w:color w:val="09090B"/>
          <w:szCs w:val="24"/>
        </w:rPr>
      </w:pPr>
      <w:r w:rsidRPr="00441B4E">
        <w:rPr>
          <w:rFonts w:ascii="Arial" w:hAnsi="Arial" w:cs="Arial"/>
          <w:color w:val="09090B"/>
          <w:szCs w:val="24"/>
        </w:rPr>
        <w:t>Mollah, Moch.K. </w:t>
      </w:r>
      <w:r w:rsidRPr="00441B4E">
        <w:rPr>
          <w:rFonts w:ascii="Arial" w:hAnsi="Arial" w:cs="Arial"/>
          <w:i/>
          <w:iCs/>
          <w:color w:val="09090B"/>
          <w:szCs w:val="24"/>
        </w:rPr>
        <w:t>et al.</w:t>
      </w:r>
      <w:r w:rsidRPr="00441B4E">
        <w:rPr>
          <w:rFonts w:ascii="Arial" w:hAnsi="Arial" w:cs="Arial"/>
          <w:color w:val="09090B"/>
          <w:szCs w:val="24"/>
        </w:rPr>
        <w:t> (2021) “Company financial performance improvement through financial literacy and intellectual capital perspective,” </w:t>
      </w:r>
      <w:r w:rsidRPr="00441B4E">
        <w:rPr>
          <w:rFonts w:ascii="Arial" w:hAnsi="Arial" w:cs="Arial"/>
          <w:i/>
          <w:iCs/>
          <w:color w:val="09090B"/>
          <w:szCs w:val="24"/>
        </w:rPr>
        <w:t>Journal of Applied Sciences Management and Engineering Technology</w:t>
      </w:r>
      <w:r w:rsidRPr="00441B4E">
        <w:rPr>
          <w:rFonts w:ascii="Arial" w:hAnsi="Arial" w:cs="Arial"/>
          <w:color w:val="09090B"/>
          <w:szCs w:val="24"/>
        </w:rPr>
        <w:t>, 2(1), p. 7. doi:10.31284/j.jasmet.2021.v2i1.1468.</w:t>
      </w:r>
    </w:p>
    <w:p w14:paraId="4476B4F3" w14:textId="77777777" w:rsidR="003805F3" w:rsidRPr="00441B4E" w:rsidRDefault="003805F3" w:rsidP="003805F3">
      <w:pPr>
        <w:shd w:val="clear" w:color="auto" w:fill="FFFFFF"/>
        <w:spacing w:before="100" w:beforeAutospacing="1" w:after="100" w:afterAutospacing="1" w:line="360" w:lineRule="auto"/>
        <w:jc w:val="both"/>
        <w:rPr>
          <w:rFonts w:ascii="Arial" w:hAnsi="Arial" w:cs="Arial"/>
          <w:color w:val="09090B"/>
          <w:szCs w:val="24"/>
        </w:rPr>
      </w:pPr>
      <w:r w:rsidRPr="00441B4E">
        <w:rPr>
          <w:rFonts w:ascii="Arial" w:hAnsi="Arial" w:cs="Arial"/>
          <w:color w:val="09090B"/>
          <w:szCs w:val="24"/>
        </w:rPr>
        <w:t>Novyarni, N. and Ningsih, L.N.A. (2020) “Comparative Analysis of Financial Ratios and Economic Value Added Methods in Assessing Company Financial Performance.” doi:10.2991/aebmr.k.200309.031.</w:t>
      </w:r>
    </w:p>
    <w:p w14:paraId="19089670" w14:textId="77777777" w:rsidR="003805F3" w:rsidRPr="00441B4E" w:rsidRDefault="003805F3" w:rsidP="003805F3">
      <w:pPr>
        <w:shd w:val="clear" w:color="auto" w:fill="FFFFFF"/>
        <w:spacing w:before="100" w:beforeAutospacing="1" w:after="100" w:afterAutospacing="1" w:line="360" w:lineRule="auto"/>
        <w:jc w:val="both"/>
        <w:rPr>
          <w:rFonts w:ascii="Arial" w:hAnsi="Arial" w:cs="Arial"/>
          <w:color w:val="09090B"/>
          <w:szCs w:val="24"/>
        </w:rPr>
      </w:pPr>
      <w:r w:rsidRPr="00441B4E">
        <w:rPr>
          <w:rFonts w:ascii="Arial" w:hAnsi="Arial" w:cs="Arial"/>
          <w:color w:val="09090B"/>
          <w:szCs w:val="24"/>
        </w:rPr>
        <w:t>Rusgowanto, F.H. and Panggabean, R.R. (2021) “The influence of company characteristics, intellectual capital, and CSR toward company values on companies listed on BEI in 2014 to 2017,” </w:t>
      </w:r>
      <w:r w:rsidRPr="00441B4E">
        <w:rPr>
          <w:rFonts w:ascii="Arial" w:hAnsi="Arial" w:cs="Arial"/>
          <w:i/>
          <w:iCs/>
          <w:color w:val="09090B"/>
          <w:szCs w:val="24"/>
        </w:rPr>
        <w:t>IOP Conference Series Earth and Environmental Science</w:t>
      </w:r>
      <w:r w:rsidRPr="00441B4E">
        <w:rPr>
          <w:rFonts w:ascii="Arial" w:hAnsi="Arial" w:cs="Arial"/>
          <w:color w:val="09090B"/>
          <w:szCs w:val="24"/>
        </w:rPr>
        <w:t>, 729(1), p. 12112. doi:10.1088/1755-1315/729/1/012112.</w:t>
      </w:r>
    </w:p>
    <w:p w14:paraId="797FF717" w14:textId="77777777" w:rsidR="003805F3" w:rsidRPr="00441B4E" w:rsidRDefault="003805F3" w:rsidP="003805F3">
      <w:pPr>
        <w:shd w:val="clear" w:color="auto" w:fill="FFFFFF"/>
        <w:spacing w:before="100" w:beforeAutospacing="1" w:after="100" w:afterAutospacing="1" w:line="360" w:lineRule="auto"/>
        <w:jc w:val="both"/>
        <w:rPr>
          <w:rFonts w:ascii="Arial" w:hAnsi="Arial" w:cs="Arial"/>
          <w:color w:val="09090B"/>
          <w:szCs w:val="24"/>
        </w:rPr>
      </w:pPr>
      <w:r w:rsidRPr="00441B4E">
        <w:rPr>
          <w:rFonts w:ascii="Arial" w:hAnsi="Arial" w:cs="Arial"/>
          <w:color w:val="09090B"/>
          <w:szCs w:val="24"/>
        </w:rPr>
        <w:t>Šestanj–Perić, T., Kozjak, S.K. and Kovšca, V. (2019) “Financial ratios benchmarks – average of industry or some other measure?,” p. 205. Available at: </w:t>
      </w:r>
      <w:hyperlink r:id="rId13" w:tgtFrame="_blank" w:history="1">
        <w:r w:rsidRPr="00441B4E">
          <w:rPr>
            <w:rStyle w:val="Hyperlink"/>
            <w:rFonts w:ascii="Arial" w:hAnsi="Arial" w:cs="Arial"/>
            <w:color w:val="1D4ED8"/>
            <w:szCs w:val="24"/>
          </w:rPr>
          <w:t>https://www.bib.irb.hr/1013407</w:t>
        </w:r>
      </w:hyperlink>
      <w:r w:rsidRPr="00441B4E">
        <w:rPr>
          <w:rFonts w:ascii="Arial" w:hAnsi="Arial" w:cs="Arial"/>
          <w:color w:val="09090B"/>
          <w:szCs w:val="24"/>
        </w:rPr>
        <w:t> (Accessed: December 2024).</w:t>
      </w:r>
    </w:p>
    <w:p w14:paraId="3D37143C" w14:textId="77777777" w:rsidR="003805F3" w:rsidRPr="00441B4E" w:rsidRDefault="003805F3" w:rsidP="003805F3">
      <w:pPr>
        <w:shd w:val="clear" w:color="auto" w:fill="FFFFFF"/>
        <w:spacing w:before="100" w:beforeAutospacing="1" w:after="100" w:afterAutospacing="1" w:line="360" w:lineRule="auto"/>
        <w:jc w:val="both"/>
        <w:rPr>
          <w:rFonts w:ascii="Arial" w:hAnsi="Arial" w:cs="Arial"/>
          <w:color w:val="09090B"/>
          <w:szCs w:val="24"/>
        </w:rPr>
      </w:pPr>
      <w:r w:rsidRPr="00441B4E">
        <w:rPr>
          <w:rFonts w:ascii="Arial" w:hAnsi="Arial" w:cs="Arial"/>
          <w:color w:val="09090B"/>
          <w:szCs w:val="24"/>
        </w:rPr>
        <w:lastRenderedPageBreak/>
        <w:t>Shalini, D. and Vijayalakshmi, S. (2021) “Analysis of Financial Performance stationery products Industries,” </w:t>
      </w:r>
      <w:r w:rsidRPr="00441B4E">
        <w:rPr>
          <w:rFonts w:ascii="Arial" w:hAnsi="Arial" w:cs="Arial"/>
          <w:i/>
          <w:iCs/>
          <w:color w:val="09090B"/>
          <w:szCs w:val="24"/>
        </w:rPr>
        <w:t>International Research Journal on Advanced Science Hub</w:t>
      </w:r>
      <w:r w:rsidRPr="00441B4E">
        <w:rPr>
          <w:rFonts w:ascii="Arial" w:hAnsi="Arial" w:cs="Arial"/>
          <w:color w:val="09090B"/>
          <w:szCs w:val="24"/>
        </w:rPr>
        <w:t>, 3, p. 60. doi:10.47392/irjash.2021.166.</w:t>
      </w:r>
    </w:p>
    <w:p w14:paraId="05100469" w14:textId="77777777" w:rsidR="003805F3" w:rsidRPr="00441B4E" w:rsidRDefault="003805F3" w:rsidP="003805F3">
      <w:pPr>
        <w:shd w:val="clear" w:color="auto" w:fill="FFFFFF"/>
        <w:spacing w:before="100" w:beforeAutospacing="1" w:after="100" w:afterAutospacing="1" w:line="360" w:lineRule="auto"/>
        <w:jc w:val="both"/>
        <w:rPr>
          <w:rFonts w:ascii="Arial" w:hAnsi="Arial" w:cs="Arial"/>
          <w:color w:val="09090B"/>
          <w:szCs w:val="24"/>
        </w:rPr>
      </w:pPr>
      <w:r w:rsidRPr="00441B4E">
        <w:rPr>
          <w:rFonts w:ascii="Arial" w:hAnsi="Arial" w:cs="Arial"/>
          <w:color w:val="09090B"/>
          <w:szCs w:val="24"/>
        </w:rPr>
        <w:t>Singh, S. (2017) “Ratio Analysis in Manufacturing Sector-A Study,” </w:t>
      </w:r>
      <w:r w:rsidRPr="00441B4E">
        <w:rPr>
          <w:rFonts w:ascii="Arial" w:hAnsi="Arial" w:cs="Arial"/>
          <w:i/>
          <w:iCs/>
          <w:color w:val="09090B"/>
          <w:szCs w:val="24"/>
        </w:rPr>
        <w:t>International Journal of Innovative Research in Engineering &amp; Management</w:t>
      </w:r>
      <w:r w:rsidRPr="00441B4E">
        <w:rPr>
          <w:rFonts w:ascii="Arial" w:hAnsi="Arial" w:cs="Arial"/>
          <w:color w:val="09090B"/>
          <w:szCs w:val="24"/>
        </w:rPr>
        <w:t>, p. 690. doi:10.21276/ijirem.2017.4.4.5.</w:t>
      </w:r>
    </w:p>
    <w:p w14:paraId="5285F5FA" w14:textId="77777777" w:rsidR="003805F3" w:rsidRPr="00441B4E" w:rsidRDefault="003805F3" w:rsidP="003805F3">
      <w:pPr>
        <w:shd w:val="clear" w:color="auto" w:fill="FFFFFF"/>
        <w:spacing w:before="100" w:beforeAutospacing="1" w:after="100" w:afterAutospacing="1" w:line="360" w:lineRule="auto"/>
        <w:jc w:val="both"/>
        <w:rPr>
          <w:rFonts w:ascii="Arial" w:eastAsia="Times New Roman" w:hAnsi="Arial" w:cs="Arial"/>
          <w:color w:val="09090B"/>
          <w:szCs w:val="24"/>
        </w:rPr>
      </w:pPr>
      <w:r w:rsidRPr="00441B4E">
        <w:rPr>
          <w:rFonts w:ascii="Arial" w:eastAsia="Times New Roman" w:hAnsi="Arial" w:cs="Arial"/>
          <w:color w:val="09090B"/>
          <w:szCs w:val="24"/>
        </w:rPr>
        <w:t>Wangchuk, P. (2022) “APPLICATION OF DEPRECIATION NET PRESENT VALUE AND INTERNAL RATE OF RETURN IN ENGINEERING PROJECTS A BRIEF LITERATURE REVIEW,” </w:t>
      </w:r>
      <w:r w:rsidRPr="00441B4E">
        <w:rPr>
          <w:rFonts w:ascii="Arial" w:eastAsia="Times New Roman" w:hAnsi="Arial" w:cs="Arial"/>
          <w:i/>
          <w:iCs/>
          <w:color w:val="09090B"/>
          <w:szCs w:val="24"/>
        </w:rPr>
        <w:t>Journal of Applied Engineering Technology and Management</w:t>
      </w:r>
      <w:r w:rsidRPr="00441B4E">
        <w:rPr>
          <w:rFonts w:ascii="Arial" w:eastAsia="Times New Roman" w:hAnsi="Arial" w:cs="Arial"/>
          <w:color w:val="09090B"/>
          <w:szCs w:val="24"/>
        </w:rPr>
        <w:t>, 2(1), p. 25. doi:10.54417/jaetm.v2i1.55.</w:t>
      </w:r>
    </w:p>
    <w:p w14:paraId="783A5CBF" w14:textId="77777777" w:rsidR="003805F3" w:rsidRPr="00441B4E" w:rsidRDefault="003805F3" w:rsidP="003805F3">
      <w:pPr>
        <w:shd w:val="clear" w:color="auto" w:fill="FFFFFF"/>
        <w:spacing w:before="100" w:beforeAutospacing="1" w:after="100" w:afterAutospacing="1" w:line="360" w:lineRule="auto"/>
        <w:jc w:val="both"/>
        <w:rPr>
          <w:rFonts w:ascii="Arial" w:hAnsi="Arial" w:cs="Arial"/>
          <w:color w:val="09090B"/>
          <w:szCs w:val="24"/>
        </w:rPr>
      </w:pPr>
      <w:r w:rsidRPr="00441B4E">
        <w:rPr>
          <w:rFonts w:ascii="Arial" w:hAnsi="Arial" w:cs="Arial"/>
          <w:color w:val="09090B"/>
          <w:szCs w:val="24"/>
        </w:rPr>
        <w:t>Welc, J. (2016) “Empirical Safety Thresholds for Liquidity and Indebtedness Ratios on the Polish Capital Market,” </w:t>
      </w:r>
      <w:r w:rsidRPr="00441B4E">
        <w:rPr>
          <w:rFonts w:ascii="Arial" w:hAnsi="Arial" w:cs="Arial"/>
          <w:i/>
          <w:iCs/>
          <w:color w:val="09090B"/>
          <w:szCs w:val="24"/>
        </w:rPr>
        <w:t>European Financial and Accounting Journal</w:t>
      </w:r>
      <w:r w:rsidRPr="00441B4E">
        <w:rPr>
          <w:rFonts w:ascii="Arial" w:hAnsi="Arial" w:cs="Arial"/>
          <w:color w:val="09090B"/>
          <w:szCs w:val="24"/>
        </w:rPr>
        <w:t xml:space="preserve">, 11(3), p. 39. doi:10.18267/j.efaj.161. </w:t>
      </w:r>
    </w:p>
    <w:p w14:paraId="7204FEEC" w14:textId="77777777" w:rsidR="003805F3" w:rsidRPr="00441B4E" w:rsidRDefault="003805F3" w:rsidP="003805F3">
      <w:pPr>
        <w:shd w:val="clear" w:color="auto" w:fill="FFFFFF"/>
        <w:spacing w:before="100" w:beforeAutospacing="1" w:after="100" w:afterAutospacing="1" w:line="360" w:lineRule="auto"/>
        <w:jc w:val="both"/>
        <w:rPr>
          <w:rFonts w:ascii="Arial" w:eastAsia="Times New Roman" w:hAnsi="Arial" w:cs="Arial"/>
          <w:color w:val="09090B"/>
          <w:szCs w:val="24"/>
        </w:rPr>
      </w:pPr>
      <w:r w:rsidRPr="00441B4E">
        <w:rPr>
          <w:rFonts w:ascii="Arial" w:eastAsia="Times New Roman" w:hAnsi="Arial" w:cs="Arial"/>
          <w:color w:val="09090B"/>
          <w:szCs w:val="24"/>
        </w:rPr>
        <w:t>Ветрова, Е.Н., Kharlanov, A.S. and Lapochkina, L.V. (2020) “Model of Investment of Small Enterprise in Industry,” </w:t>
      </w:r>
      <w:r w:rsidRPr="00441B4E">
        <w:rPr>
          <w:rFonts w:ascii="Arial" w:eastAsia="Times New Roman" w:hAnsi="Arial" w:cs="Arial"/>
          <w:i/>
          <w:iCs/>
          <w:color w:val="09090B"/>
          <w:szCs w:val="24"/>
        </w:rPr>
        <w:t>Advances in economics, business and management research/Advances in Economics, Business and Management Research</w:t>
      </w:r>
      <w:r w:rsidRPr="00441B4E">
        <w:rPr>
          <w:rFonts w:ascii="Arial" w:eastAsia="Times New Roman" w:hAnsi="Arial" w:cs="Arial"/>
          <w:color w:val="09090B"/>
          <w:szCs w:val="24"/>
        </w:rPr>
        <w:t> [Preprint]. doi:10.2991/aebmr.k.200312.468.</w:t>
      </w:r>
    </w:p>
    <w:p w14:paraId="3161C91F" w14:textId="77777777" w:rsidR="00431401" w:rsidRPr="00441B4E" w:rsidRDefault="00431401" w:rsidP="00896F28">
      <w:pPr>
        <w:spacing w:line="360" w:lineRule="auto"/>
        <w:jc w:val="both"/>
        <w:rPr>
          <w:rFonts w:ascii="Arial" w:hAnsi="Arial" w:cs="Arial"/>
          <w:szCs w:val="24"/>
        </w:rPr>
      </w:pPr>
    </w:p>
    <w:p w14:paraId="0F6D6F46" w14:textId="77777777" w:rsidR="00431401" w:rsidRPr="00441B4E" w:rsidRDefault="00431401" w:rsidP="00896F28">
      <w:pPr>
        <w:spacing w:line="360" w:lineRule="auto"/>
        <w:jc w:val="both"/>
        <w:rPr>
          <w:rFonts w:ascii="Arial" w:hAnsi="Arial" w:cs="Arial"/>
          <w:szCs w:val="24"/>
        </w:rPr>
      </w:pPr>
    </w:p>
    <w:p w14:paraId="74528F11" w14:textId="77777777" w:rsidR="00961DD8" w:rsidRPr="00441B4E" w:rsidRDefault="00961DD8" w:rsidP="00896F28">
      <w:pPr>
        <w:spacing w:line="360" w:lineRule="auto"/>
        <w:jc w:val="both"/>
        <w:rPr>
          <w:rFonts w:ascii="Arial" w:hAnsi="Arial" w:cs="Arial"/>
          <w:szCs w:val="24"/>
        </w:rPr>
      </w:pPr>
    </w:p>
    <w:p w14:paraId="1E4779B0" w14:textId="77777777" w:rsidR="00961DD8" w:rsidRPr="00441B4E" w:rsidRDefault="00961DD8" w:rsidP="00896F28">
      <w:pPr>
        <w:spacing w:line="360" w:lineRule="auto"/>
        <w:jc w:val="both"/>
        <w:rPr>
          <w:rFonts w:ascii="Arial" w:hAnsi="Arial" w:cs="Arial"/>
          <w:szCs w:val="24"/>
        </w:rPr>
      </w:pPr>
    </w:p>
    <w:p w14:paraId="371407D1" w14:textId="77777777" w:rsidR="00961DD8" w:rsidRPr="00441B4E" w:rsidRDefault="00961DD8" w:rsidP="00896F28">
      <w:pPr>
        <w:spacing w:line="360" w:lineRule="auto"/>
        <w:jc w:val="both"/>
        <w:rPr>
          <w:rFonts w:ascii="Arial" w:hAnsi="Arial" w:cs="Arial"/>
          <w:szCs w:val="24"/>
        </w:rPr>
      </w:pPr>
    </w:p>
    <w:p w14:paraId="167C9D38" w14:textId="77777777" w:rsidR="00961DD8" w:rsidRPr="00441B4E" w:rsidRDefault="00961DD8" w:rsidP="00896F28">
      <w:pPr>
        <w:spacing w:line="360" w:lineRule="auto"/>
        <w:jc w:val="both"/>
        <w:rPr>
          <w:rFonts w:ascii="Arial" w:hAnsi="Arial" w:cs="Arial"/>
          <w:szCs w:val="24"/>
        </w:rPr>
      </w:pPr>
    </w:p>
    <w:p w14:paraId="45A81AFA" w14:textId="77777777" w:rsidR="003E73C6" w:rsidRPr="00441B4E" w:rsidRDefault="003E73C6" w:rsidP="00896F28">
      <w:pPr>
        <w:spacing w:line="360" w:lineRule="auto"/>
        <w:jc w:val="both"/>
        <w:rPr>
          <w:rFonts w:ascii="Arial" w:hAnsi="Arial" w:cs="Arial"/>
          <w:szCs w:val="24"/>
        </w:rPr>
      </w:pPr>
    </w:p>
    <w:p w14:paraId="5D1FB40C" w14:textId="77777777" w:rsidR="003E73C6" w:rsidRPr="00441B4E" w:rsidRDefault="003E73C6" w:rsidP="00896F28">
      <w:pPr>
        <w:spacing w:line="360" w:lineRule="auto"/>
        <w:jc w:val="both"/>
        <w:rPr>
          <w:rFonts w:ascii="Arial" w:hAnsi="Arial" w:cs="Arial"/>
          <w:szCs w:val="24"/>
        </w:rPr>
      </w:pPr>
    </w:p>
    <w:p w14:paraId="244B1849" w14:textId="2A08B75D" w:rsidR="003E73C6" w:rsidRPr="00441B4E" w:rsidRDefault="003E73C6" w:rsidP="00896F28">
      <w:pPr>
        <w:spacing w:line="360" w:lineRule="auto"/>
        <w:jc w:val="both"/>
        <w:rPr>
          <w:rFonts w:ascii="Arial" w:hAnsi="Arial" w:cs="Arial"/>
          <w:szCs w:val="24"/>
        </w:rPr>
      </w:pPr>
    </w:p>
    <w:p w14:paraId="2B6F3F3B" w14:textId="3F600420" w:rsidR="00933640" w:rsidRPr="00441B4E" w:rsidRDefault="00933640" w:rsidP="00896F28">
      <w:pPr>
        <w:spacing w:line="360" w:lineRule="auto"/>
        <w:jc w:val="both"/>
        <w:rPr>
          <w:rFonts w:ascii="Arial" w:hAnsi="Arial" w:cs="Arial"/>
          <w:szCs w:val="24"/>
        </w:rPr>
      </w:pPr>
    </w:p>
    <w:p w14:paraId="6FEF7FE2" w14:textId="77777777" w:rsidR="003E73C6" w:rsidRPr="00441B4E" w:rsidRDefault="003E73C6" w:rsidP="00896F28">
      <w:pPr>
        <w:spacing w:line="360" w:lineRule="auto"/>
        <w:jc w:val="both"/>
        <w:rPr>
          <w:rFonts w:ascii="Arial" w:hAnsi="Arial" w:cs="Arial"/>
          <w:szCs w:val="24"/>
        </w:rPr>
      </w:pPr>
    </w:p>
    <w:p w14:paraId="18C6C434" w14:textId="77777777" w:rsidR="00961DD8" w:rsidRPr="00441B4E" w:rsidRDefault="00961DD8" w:rsidP="00896F28">
      <w:pPr>
        <w:spacing w:line="360" w:lineRule="auto"/>
        <w:jc w:val="both"/>
        <w:rPr>
          <w:rFonts w:ascii="Arial" w:hAnsi="Arial" w:cs="Arial"/>
          <w:szCs w:val="24"/>
        </w:rPr>
      </w:pPr>
    </w:p>
    <w:p w14:paraId="1C61C613" w14:textId="391E6D0C" w:rsidR="00961DD8" w:rsidRPr="00441B4E" w:rsidRDefault="00961DD8" w:rsidP="00441B4E">
      <w:pPr>
        <w:pStyle w:val="Heading1"/>
        <w:rPr>
          <w:sz w:val="24"/>
        </w:rPr>
      </w:pPr>
      <w:bookmarkStart w:id="35" w:name="_Toc216962461"/>
      <w:r w:rsidRPr="00441B4E">
        <w:rPr>
          <w:sz w:val="24"/>
        </w:rPr>
        <w:t>Appendix</w:t>
      </w:r>
      <w:bookmarkEnd w:id="35"/>
      <w:r w:rsidRPr="00441B4E">
        <w:rPr>
          <w:sz w:val="24"/>
        </w:rPr>
        <w:t xml:space="preserve"> </w:t>
      </w:r>
    </w:p>
    <w:p w14:paraId="6DF88FCE" w14:textId="77777777" w:rsidR="00961DD8" w:rsidRPr="00441B4E" w:rsidRDefault="00961DD8" w:rsidP="003E73C6">
      <w:pPr>
        <w:rPr>
          <w:rFonts w:ascii="Arial" w:hAnsi="Arial" w:cs="Arial"/>
          <w:szCs w:val="24"/>
        </w:rPr>
      </w:pPr>
      <w:r w:rsidRPr="00441B4E">
        <w:rPr>
          <w:rStyle w:val="Strong"/>
          <w:rFonts w:ascii="Arial" w:hAnsi="Arial" w:cs="Arial"/>
          <w:b w:val="0"/>
          <w:bCs w:val="0"/>
          <w:szCs w:val="24"/>
        </w:rPr>
        <w:t>Corporate Failure Prediction Analysis (Altman Z-Score)</w:t>
      </w:r>
    </w:p>
    <w:tbl>
      <w:tblPr>
        <w:tblStyle w:val="GridTable6Colorful"/>
        <w:tblW w:w="12072" w:type="dxa"/>
        <w:tblInd w:w="-1355" w:type="dxa"/>
        <w:tblLook w:val="04A0" w:firstRow="1" w:lastRow="0" w:firstColumn="1" w:lastColumn="0" w:noHBand="0" w:noVBand="1"/>
      </w:tblPr>
      <w:tblGrid>
        <w:gridCol w:w="3409"/>
        <w:gridCol w:w="4462"/>
        <w:gridCol w:w="875"/>
        <w:gridCol w:w="875"/>
        <w:gridCol w:w="817"/>
        <w:gridCol w:w="817"/>
        <w:gridCol w:w="817"/>
      </w:tblGrid>
      <w:tr w:rsidR="00961DD8" w:rsidRPr="00441B4E" w14:paraId="09799084" w14:textId="77777777" w:rsidTr="00961DD8">
        <w:trPr>
          <w:cnfStyle w:val="100000000000" w:firstRow="1" w:lastRow="0" w:firstColumn="0" w:lastColumn="0" w:oddVBand="0" w:evenVBand="0" w:oddHBand="0" w:evenHBand="0" w:firstRowFirstColumn="0" w:firstRowLastColumn="0" w:lastRowFirstColumn="0" w:lastRowLastColumn="0"/>
          <w:trHeight w:val="126"/>
        </w:trPr>
        <w:tc>
          <w:tcPr>
            <w:cnfStyle w:val="001000000000" w:firstRow="0" w:lastRow="0" w:firstColumn="1" w:lastColumn="0" w:oddVBand="0" w:evenVBand="0" w:oddHBand="0" w:evenHBand="0" w:firstRowFirstColumn="0" w:firstRowLastColumn="0" w:lastRowFirstColumn="0" w:lastRowLastColumn="0"/>
            <w:tcW w:w="0" w:type="auto"/>
            <w:hideMark/>
          </w:tcPr>
          <w:p w14:paraId="73B1C7EC" w14:textId="77777777" w:rsidR="00961DD8" w:rsidRPr="00441B4E" w:rsidRDefault="00961DD8" w:rsidP="00896F28">
            <w:pPr>
              <w:spacing w:line="360" w:lineRule="auto"/>
              <w:jc w:val="both"/>
              <w:rPr>
                <w:rFonts w:ascii="Arial" w:hAnsi="Arial" w:cs="Arial"/>
                <w:color w:val="auto"/>
                <w:szCs w:val="24"/>
              </w:rPr>
            </w:pPr>
            <w:r w:rsidRPr="00441B4E">
              <w:rPr>
                <w:rFonts w:ascii="Arial" w:hAnsi="Arial" w:cs="Arial"/>
                <w:szCs w:val="24"/>
              </w:rPr>
              <w:t>Ratio</w:t>
            </w:r>
          </w:p>
        </w:tc>
        <w:tc>
          <w:tcPr>
            <w:tcW w:w="0" w:type="auto"/>
            <w:hideMark/>
          </w:tcPr>
          <w:p w14:paraId="064F8CC4" w14:textId="77777777" w:rsidR="00961DD8" w:rsidRPr="00441B4E" w:rsidRDefault="00961DD8" w:rsidP="00896F2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Formula</w:t>
            </w:r>
          </w:p>
        </w:tc>
        <w:tc>
          <w:tcPr>
            <w:tcW w:w="0" w:type="auto"/>
            <w:hideMark/>
          </w:tcPr>
          <w:p w14:paraId="34D80190" w14:textId="77777777" w:rsidR="00961DD8" w:rsidRPr="00441B4E" w:rsidRDefault="00961DD8" w:rsidP="00896F2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2024</w:t>
            </w:r>
          </w:p>
        </w:tc>
        <w:tc>
          <w:tcPr>
            <w:tcW w:w="0" w:type="auto"/>
            <w:hideMark/>
          </w:tcPr>
          <w:p w14:paraId="5DC0BA4B" w14:textId="77777777" w:rsidR="00961DD8" w:rsidRPr="00441B4E" w:rsidRDefault="00961DD8" w:rsidP="00896F2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2023</w:t>
            </w:r>
          </w:p>
        </w:tc>
        <w:tc>
          <w:tcPr>
            <w:tcW w:w="0" w:type="auto"/>
            <w:hideMark/>
          </w:tcPr>
          <w:p w14:paraId="45B7A5F0" w14:textId="77777777" w:rsidR="00961DD8" w:rsidRPr="00441B4E" w:rsidRDefault="00961DD8" w:rsidP="00896F2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2022</w:t>
            </w:r>
          </w:p>
        </w:tc>
        <w:tc>
          <w:tcPr>
            <w:tcW w:w="0" w:type="auto"/>
            <w:hideMark/>
          </w:tcPr>
          <w:p w14:paraId="3165C819" w14:textId="77777777" w:rsidR="00961DD8" w:rsidRPr="00441B4E" w:rsidRDefault="00961DD8" w:rsidP="00896F2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2021</w:t>
            </w:r>
          </w:p>
        </w:tc>
        <w:tc>
          <w:tcPr>
            <w:tcW w:w="0" w:type="auto"/>
            <w:hideMark/>
          </w:tcPr>
          <w:p w14:paraId="28BA2DBE" w14:textId="77777777" w:rsidR="00961DD8" w:rsidRPr="00441B4E" w:rsidRDefault="00961DD8" w:rsidP="00896F2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2020</w:t>
            </w:r>
          </w:p>
        </w:tc>
      </w:tr>
      <w:tr w:rsidR="00961DD8" w:rsidRPr="00441B4E" w14:paraId="413A1819" w14:textId="77777777" w:rsidTr="00961DD8">
        <w:trPr>
          <w:cnfStyle w:val="000000100000" w:firstRow="0" w:lastRow="0" w:firstColumn="0" w:lastColumn="0" w:oddVBand="0" w:evenVBand="0" w:oddHBand="1" w:evenHBand="0" w:firstRowFirstColumn="0" w:firstRowLastColumn="0" w:lastRowFirstColumn="0" w:lastRowLastColumn="0"/>
          <w:trHeight w:val="252"/>
        </w:trPr>
        <w:tc>
          <w:tcPr>
            <w:cnfStyle w:val="001000000000" w:firstRow="0" w:lastRow="0" w:firstColumn="1" w:lastColumn="0" w:oddVBand="0" w:evenVBand="0" w:oddHBand="0" w:evenHBand="0" w:firstRowFirstColumn="0" w:firstRowLastColumn="0" w:lastRowFirstColumn="0" w:lastRowLastColumn="0"/>
            <w:tcW w:w="0" w:type="auto"/>
            <w:hideMark/>
          </w:tcPr>
          <w:p w14:paraId="17A9DE2A" w14:textId="77777777" w:rsidR="00961DD8" w:rsidRPr="00441B4E" w:rsidRDefault="00961DD8" w:rsidP="00896F28">
            <w:pPr>
              <w:spacing w:line="360" w:lineRule="auto"/>
              <w:jc w:val="both"/>
              <w:rPr>
                <w:rFonts w:ascii="Arial" w:hAnsi="Arial" w:cs="Arial"/>
                <w:szCs w:val="24"/>
              </w:rPr>
            </w:pPr>
            <w:r w:rsidRPr="00441B4E">
              <w:rPr>
                <w:rStyle w:val="Strong"/>
                <w:rFonts w:ascii="Arial" w:hAnsi="Arial" w:cs="Arial"/>
                <w:szCs w:val="24"/>
              </w:rPr>
              <w:t>Working Capital/Total Assets</w:t>
            </w:r>
          </w:p>
        </w:tc>
        <w:tc>
          <w:tcPr>
            <w:tcW w:w="0" w:type="auto"/>
            <w:hideMark/>
          </w:tcPr>
          <w:p w14:paraId="6ABCAC4D" w14:textId="77777777" w:rsidR="00961DD8" w:rsidRPr="00441B4E" w:rsidRDefault="00961DD8"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(Current Assets - Current Liabilities)/Total Assets</w:t>
            </w:r>
          </w:p>
        </w:tc>
        <w:tc>
          <w:tcPr>
            <w:tcW w:w="0" w:type="auto"/>
            <w:hideMark/>
          </w:tcPr>
          <w:p w14:paraId="632AE4E8" w14:textId="77777777" w:rsidR="00961DD8" w:rsidRPr="00441B4E" w:rsidRDefault="00961DD8"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0.260</w:t>
            </w:r>
          </w:p>
        </w:tc>
        <w:tc>
          <w:tcPr>
            <w:tcW w:w="0" w:type="auto"/>
            <w:hideMark/>
          </w:tcPr>
          <w:p w14:paraId="7F9C7770" w14:textId="77777777" w:rsidR="00961DD8" w:rsidRPr="00441B4E" w:rsidRDefault="00961DD8"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0.274</w:t>
            </w:r>
          </w:p>
        </w:tc>
        <w:tc>
          <w:tcPr>
            <w:tcW w:w="0" w:type="auto"/>
            <w:hideMark/>
          </w:tcPr>
          <w:p w14:paraId="309EF7C1" w14:textId="77777777" w:rsidR="00961DD8" w:rsidRPr="00441B4E" w:rsidRDefault="00961DD8"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0.241</w:t>
            </w:r>
          </w:p>
        </w:tc>
        <w:tc>
          <w:tcPr>
            <w:tcW w:w="0" w:type="auto"/>
            <w:hideMark/>
          </w:tcPr>
          <w:p w14:paraId="5D936886" w14:textId="77777777" w:rsidR="00961DD8" w:rsidRPr="00441B4E" w:rsidRDefault="00961DD8"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0.236</w:t>
            </w:r>
          </w:p>
        </w:tc>
        <w:tc>
          <w:tcPr>
            <w:tcW w:w="0" w:type="auto"/>
            <w:hideMark/>
          </w:tcPr>
          <w:p w14:paraId="7B1DCC78" w14:textId="77777777" w:rsidR="00961DD8" w:rsidRPr="00441B4E" w:rsidRDefault="00961DD8"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0.289</w:t>
            </w:r>
          </w:p>
        </w:tc>
      </w:tr>
      <w:tr w:rsidR="00961DD8" w:rsidRPr="00441B4E" w14:paraId="2EE3A5A6" w14:textId="77777777" w:rsidTr="00961DD8">
        <w:trPr>
          <w:trHeight w:val="374"/>
        </w:trPr>
        <w:tc>
          <w:tcPr>
            <w:cnfStyle w:val="001000000000" w:firstRow="0" w:lastRow="0" w:firstColumn="1" w:lastColumn="0" w:oddVBand="0" w:evenVBand="0" w:oddHBand="0" w:evenHBand="0" w:firstRowFirstColumn="0" w:firstRowLastColumn="0" w:lastRowFirstColumn="0" w:lastRowLastColumn="0"/>
            <w:tcW w:w="0" w:type="auto"/>
            <w:hideMark/>
          </w:tcPr>
          <w:p w14:paraId="6CBB3E56" w14:textId="77777777" w:rsidR="00961DD8" w:rsidRPr="00441B4E" w:rsidRDefault="00961DD8" w:rsidP="00896F28">
            <w:pPr>
              <w:spacing w:line="360" w:lineRule="auto"/>
              <w:jc w:val="both"/>
              <w:rPr>
                <w:rFonts w:ascii="Arial" w:hAnsi="Arial" w:cs="Arial"/>
                <w:szCs w:val="24"/>
              </w:rPr>
            </w:pPr>
            <w:r w:rsidRPr="00441B4E">
              <w:rPr>
                <w:rStyle w:val="Strong"/>
                <w:rFonts w:ascii="Arial" w:hAnsi="Arial" w:cs="Arial"/>
                <w:szCs w:val="24"/>
              </w:rPr>
              <w:t>Retained Earnings/Total Assets</w:t>
            </w:r>
          </w:p>
        </w:tc>
        <w:tc>
          <w:tcPr>
            <w:tcW w:w="0" w:type="auto"/>
            <w:hideMark/>
          </w:tcPr>
          <w:p w14:paraId="66535F7A" w14:textId="77777777" w:rsidR="00961DD8" w:rsidRPr="00441B4E" w:rsidRDefault="00961DD8"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Retained Earnings/Total Assets</w:t>
            </w:r>
          </w:p>
        </w:tc>
        <w:tc>
          <w:tcPr>
            <w:tcW w:w="0" w:type="auto"/>
            <w:hideMark/>
          </w:tcPr>
          <w:p w14:paraId="2782BD70" w14:textId="77777777" w:rsidR="00961DD8" w:rsidRPr="00441B4E" w:rsidRDefault="00961DD8"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0.645</w:t>
            </w:r>
          </w:p>
        </w:tc>
        <w:tc>
          <w:tcPr>
            <w:tcW w:w="0" w:type="auto"/>
            <w:hideMark/>
          </w:tcPr>
          <w:p w14:paraId="5DAA3DAA" w14:textId="77777777" w:rsidR="00961DD8" w:rsidRPr="00441B4E" w:rsidRDefault="00961DD8"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0.653</w:t>
            </w:r>
          </w:p>
        </w:tc>
        <w:tc>
          <w:tcPr>
            <w:tcW w:w="0" w:type="auto"/>
            <w:hideMark/>
          </w:tcPr>
          <w:p w14:paraId="670C83A3" w14:textId="77777777" w:rsidR="00961DD8" w:rsidRPr="00441B4E" w:rsidRDefault="00961DD8"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0.656</w:t>
            </w:r>
          </w:p>
        </w:tc>
        <w:tc>
          <w:tcPr>
            <w:tcW w:w="0" w:type="auto"/>
            <w:hideMark/>
          </w:tcPr>
          <w:p w14:paraId="6622FF18" w14:textId="77777777" w:rsidR="00961DD8" w:rsidRPr="00441B4E" w:rsidRDefault="00961DD8"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0.647</w:t>
            </w:r>
          </w:p>
        </w:tc>
        <w:tc>
          <w:tcPr>
            <w:tcW w:w="0" w:type="auto"/>
            <w:hideMark/>
          </w:tcPr>
          <w:p w14:paraId="67A137B9" w14:textId="77777777" w:rsidR="00961DD8" w:rsidRPr="00441B4E" w:rsidRDefault="00961DD8"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0.637</w:t>
            </w:r>
          </w:p>
        </w:tc>
      </w:tr>
      <w:tr w:rsidR="00961DD8" w:rsidRPr="00441B4E" w14:paraId="3B7BFC5D" w14:textId="77777777" w:rsidTr="00961DD8">
        <w:trPr>
          <w:cnfStyle w:val="000000100000" w:firstRow="0" w:lastRow="0" w:firstColumn="0" w:lastColumn="0" w:oddVBand="0" w:evenVBand="0" w:oddHBand="1" w:evenHBand="0" w:firstRowFirstColumn="0" w:firstRowLastColumn="0" w:lastRowFirstColumn="0" w:lastRowLastColumn="0"/>
          <w:trHeight w:val="252"/>
        </w:trPr>
        <w:tc>
          <w:tcPr>
            <w:cnfStyle w:val="001000000000" w:firstRow="0" w:lastRow="0" w:firstColumn="1" w:lastColumn="0" w:oddVBand="0" w:evenVBand="0" w:oddHBand="0" w:evenHBand="0" w:firstRowFirstColumn="0" w:firstRowLastColumn="0" w:lastRowFirstColumn="0" w:lastRowLastColumn="0"/>
            <w:tcW w:w="0" w:type="auto"/>
            <w:hideMark/>
          </w:tcPr>
          <w:p w14:paraId="6E56AB4B" w14:textId="77777777" w:rsidR="00961DD8" w:rsidRPr="00441B4E" w:rsidRDefault="00961DD8" w:rsidP="00896F28">
            <w:pPr>
              <w:spacing w:line="360" w:lineRule="auto"/>
              <w:jc w:val="both"/>
              <w:rPr>
                <w:rFonts w:ascii="Arial" w:hAnsi="Arial" w:cs="Arial"/>
                <w:szCs w:val="24"/>
              </w:rPr>
            </w:pPr>
            <w:r w:rsidRPr="00441B4E">
              <w:rPr>
                <w:rStyle w:val="Strong"/>
                <w:rFonts w:ascii="Arial" w:hAnsi="Arial" w:cs="Arial"/>
                <w:szCs w:val="24"/>
              </w:rPr>
              <w:t>EBIT/Total Assets</w:t>
            </w:r>
          </w:p>
        </w:tc>
        <w:tc>
          <w:tcPr>
            <w:tcW w:w="0" w:type="auto"/>
            <w:hideMark/>
          </w:tcPr>
          <w:p w14:paraId="0DF63BDC" w14:textId="77777777" w:rsidR="00961DD8" w:rsidRPr="00441B4E" w:rsidRDefault="00961DD8"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Operating Income/Total Assets</w:t>
            </w:r>
          </w:p>
        </w:tc>
        <w:tc>
          <w:tcPr>
            <w:tcW w:w="0" w:type="auto"/>
            <w:hideMark/>
          </w:tcPr>
          <w:p w14:paraId="3A6311B5" w14:textId="77777777" w:rsidR="00961DD8" w:rsidRPr="00441B4E" w:rsidRDefault="00961DD8"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-0.047</w:t>
            </w:r>
          </w:p>
        </w:tc>
        <w:tc>
          <w:tcPr>
            <w:tcW w:w="0" w:type="auto"/>
            <w:hideMark/>
          </w:tcPr>
          <w:p w14:paraId="05AB1BBB" w14:textId="77777777" w:rsidR="00961DD8" w:rsidRPr="00441B4E" w:rsidRDefault="00961DD8"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-0.240</w:t>
            </w:r>
          </w:p>
        </w:tc>
        <w:tc>
          <w:tcPr>
            <w:tcW w:w="0" w:type="auto"/>
            <w:hideMark/>
          </w:tcPr>
          <w:p w14:paraId="105399A5" w14:textId="77777777" w:rsidR="00961DD8" w:rsidRPr="00441B4E" w:rsidRDefault="00961DD8"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0.029</w:t>
            </w:r>
          </w:p>
        </w:tc>
        <w:tc>
          <w:tcPr>
            <w:tcW w:w="0" w:type="auto"/>
            <w:hideMark/>
          </w:tcPr>
          <w:p w14:paraId="723A1812" w14:textId="77777777" w:rsidR="00961DD8" w:rsidRPr="00441B4E" w:rsidRDefault="00961DD8"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0.046</w:t>
            </w:r>
          </w:p>
        </w:tc>
        <w:tc>
          <w:tcPr>
            <w:tcW w:w="0" w:type="auto"/>
            <w:hideMark/>
          </w:tcPr>
          <w:p w14:paraId="39BA4F2B" w14:textId="77777777" w:rsidR="00961DD8" w:rsidRPr="00441B4E" w:rsidRDefault="00961DD8"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0.073</w:t>
            </w:r>
          </w:p>
        </w:tc>
      </w:tr>
      <w:tr w:rsidR="00961DD8" w:rsidRPr="00441B4E" w14:paraId="6925EE05" w14:textId="77777777" w:rsidTr="00961DD8">
        <w:trPr>
          <w:trHeight w:val="379"/>
        </w:trPr>
        <w:tc>
          <w:tcPr>
            <w:cnfStyle w:val="001000000000" w:firstRow="0" w:lastRow="0" w:firstColumn="1" w:lastColumn="0" w:oddVBand="0" w:evenVBand="0" w:oddHBand="0" w:evenHBand="0" w:firstRowFirstColumn="0" w:firstRowLastColumn="0" w:lastRowFirstColumn="0" w:lastRowLastColumn="0"/>
            <w:tcW w:w="0" w:type="auto"/>
            <w:hideMark/>
          </w:tcPr>
          <w:p w14:paraId="1E8D4A2A" w14:textId="77777777" w:rsidR="00961DD8" w:rsidRPr="00441B4E" w:rsidRDefault="00961DD8" w:rsidP="00896F28">
            <w:pPr>
              <w:spacing w:line="360" w:lineRule="auto"/>
              <w:jc w:val="both"/>
              <w:rPr>
                <w:rFonts w:ascii="Arial" w:hAnsi="Arial" w:cs="Arial"/>
                <w:szCs w:val="24"/>
              </w:rPr>
            </w:pPr>
            <w:r w:rsidRPr="00441B4E">
              <w:rPr>
                <w:rStyle w:val="Strong"/>
                <w:rFonts w:ascii="Arial" w:hAnsi="Arial" w:cs="Arial"/>
                <w:szCs w:val="24"/>
              </w:rPr>
              <w:t>Market Value Equity/Total Liabilities</w:t>
            </w:r>
          </w:p>
        </w:tc>
        <w:tc>
          <w:tcPr>
            <w:tcW w:w="0" w:type="auto"/>
            <w:hideMark/>
          </w:tcPr>
          <w:p w14:paraId="2D62E096" w14:textId="77777777" w:rsidR="00961DD8" w:rsidRPr="00441B4E" w:rsidRDefault="00961DD8"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(Share Price × Shares)/Total Liabilities</w:t>
            </w:r>
          </w:p>
        </w:tc>
        <w:tc>
          <w:tcPr>
            <w:tcW w:w="0" w:type="auto"/>
            <w:hideMark/>
          </w:tcPr>
          <w:p w14:paraId="454E9E3A" w14:textId="77777777" w:rsidR="00961DD8" w:rsidRPr="00441B4E" w:rsidRDefault="00961DD8"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*N/A*</w:t>
            </w:r>
          </w:p>
        </w:tc>
        <w:tc>
          <w:tcPr>
            <w:tcW w:w="0" w:type="auto"/>
            <w:hideMark/>
          </w:tcPr>
          <w:p w14:paraId="7418F8B3" w14:textId="77777777" w:rsidR="00961DD8" w:rsidRPr="00441B4E" w:rsidRDefault="00961DD8"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*N/A*</w:t>
            </w:r>
          </w:p>
        </w:tc>
        <w:tc>
          <w:tcPr>
            <w:tcW w:w="0" w:type="auto"/>
            <w:hideMark/>
          </w:tcPr>
          <w:p w14:paraId="7D09DEDD" w14:textId="77777777" w:rsidR="00961DD8" w:rsidRPr="00441B4E" w:rsidRDefault="00961DD8"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*N/A*</w:t>
            </w:r>
          </w:p>
        </w:tc>
        <w:tc>
          <w:tcPr>
            <w:tcW w:w="0" w:type="auto"/>
            <w:hideMark/>
          </w:tcPr>
          <w:p w14:paraId="7EB7BD97" w14:textId="77777777" w:rsidR="00961DD8" w:rsidRPr="00441B4E" w:rsidRDefault="00961DD8"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*N/A*</w:t>
            </w:r>
          </w:p>
        </w:tc>
        <w:tc>
          <w:tcPr>
            <w:tcW w:w="0" w:type="auto"/>
            <w:hideMark/>
          </w:tcPr>
          <w:p w14:paraId="69F14D0D" w14:textId="77777777" w:rsidR="00961DD8" w:rsidRPr="00441B4E" w:rsidRDefault="00961DD8"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*N/A*</w:t>
            </w:r>
          </w:p>
        </w:tc>
      </w:tr>
      <w:tr w:rsidR="00961DD8" w:rsidRPr="00441B4E" w14:paraId="38EE4176" w14:textId="77777777" w:rsidTr="00961DD8">
        <w:trPr>
          <w:cnfStyle w:val="000000100000" w:firstRow="0" w:lastRow="0" w:firstColumn="0" w:lastColumn="0" w:oddVBand="0" w:evenVBand="0" w:oddHBand="1" w:evenHBand="0" w:firstRowFirstColumn="0" w:firstRowLastColumn="0" w:lastRowFirstColumn="0" w:lastRowLastColumn="0"/>
          <w:trHeight w:val="121"/>
        </w:trPr>
        <w:tc>
          <w:tcPr>
            <w:cnfStyle w:val="001000000000" w:firstRow="0" w:lastRow="0" w:firstColumn="1" w:lastColumn="0" w:oddVBand="0" w:evenVBand="0" w:oddHBand="0" w:evenHBand="0" w:firstRowFirstColumn="0" w:firstRowLastColumn="0" w:lastRowFirstColumn="0" w:lastRowLastColumn="0"/>
            <w:tcW w:w="0" w:type="auto"/>
            <w:hideMark/>
          </w:tcPr>
          <w:p w14:paraId="6F293125" w14:textId="77777777" w:rsidR="00961DD8" w:rsidRPr="00441B4E" w:rsidRDefault="00961DD8" w:rsidP="00896F28">
            <w:pPr>
              <w:spacing w:line="360" w:lineRule="auto"/>
              <w:jc w:val="both"/>
              <w:rPr>
                <w:rFonts w:ascii="Arial" w:hAnsi="Arial" w:cs="Arial"/>
                <w:szCs w:val="24"/>
              </w:rPr>
            </w:pPr>
            <w:r w:rsidRPr="00441B4E">
              <w:rPr>
                <w:rStyle w:val="Strong"/>
                <w:rFonts w:ascii="Arial" w:hAnsi="Arial" w:cs="Arial"/>
                <w:szCs w:val="24"/>
              </w:rPr>
              <w:t>Sales/Total Assets</w:t>
            </w:r>
          </w:p>
        </w:tc>
        <w:tc>
          <w:tcPr>
            <w:tcW w:w="0" w:type="auto"/>
            <w:hideMark/>
          </w:tcPr>
          <w:p w14:paraId="1A4F57E6" w14:textId="77777777" w:rsidR="00961DD8" w:rsidRPr="00441B4E" w:rsidRDefault="00961DD8"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Net Sales/Total Assets</w:t>
            </w:r>
          </w:p>
        </w:tc>
        <w:tc>
          <w:tcPr>
            <w:tcW w:w="0" w:type="auto"/>
            <w:hideMark/>
          </w:tcPr>
          <w:p w14:paraId="70EBC4FB" w14:textId="77777777" w:rsidR="00961DD8" w:rsidRPr="00441B4E" w:rsidRDefault="00961DD8"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1.221</w:t>
            </w:r>
          </w:p>
        </w:tc>
        <w:tc>
          <w:tcPr>
            <w:tcW w:w="0" w:type="auto"/>
            <w:hideMark/>
          </w:tcPr>
          <w:p w14:paraId="1FF0B464" w14:textId="77777777" w:rsidR="00961DD8" w:rsidRPr="00441B4E" w:rsidRDefault="00961DD8"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1.181</w:t>
            </w:r>
          </w:p>
        </w:tc>
        <w:tc>
          <w:tcPr>
            <w:tcW w:w="0" w:type="auto"/>
            <w:hideMark/>
          </w:tcPr>
          <w:p w14:paraId="704526AF" w14:textId="77777777" w:rsidR="00961DD8" w:rsidRPr="00441B4E" w:rsidRDefault="00961DD8"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1.077</w:t>
            </w:r>
          </w:p>
        </w:tc>
        <w:tc>
          <w:tcPr>
            <w:tcW w:w="0" w:type="auto"/>
            <w:hideMark/>
          </w:tcPr>
          <w:p w14:paraId="27E9F6EB" w14:textId="77777777" w:rsidR="00961DD8" w:rsidRPr="00441B4E" w:rsidRDefault="00961DD8"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1.179</w:t>
            </w:r>
          </w:p>
        </w:tc>
        <w:tc>
          <w:tcPr>
            <w:tcW w:w="0" w:type="auto"/>
            <w:hideMark/>
          </w:tcPr>
          <w:p w14:paraId="55B26C36" w14:textId="77777777" w:rsidR="00961DD8" w:rsidRPr="00441B4E" w:rsidRDefault="00961DD8"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1.205</w:t>
            </w:r>
          </w:p>
        </w:tc>
      </w:tr>
    </w:tbl>
    <w:p w14:paraId="275230A6" w14:textId="77777777" w:rsidR="00431401" w:rsidRPr="00441B4E" w:rsidRDefault="00961DD8" w:rsidP="00896F28">
      <w:pPr>
        <w:pStyle w:val="ds-markdown-paragraph"/>
        <w:shd w:val="clear" w:color="auto" w:fill="FFFFFF"/>
        <w:spacing w:before="240" w:beforeAutospacing="0" w:after="240" w:afterAutospacing="0" w:line="360" w:lineRule="auto"/>
        <w:jc w:val="both"/>
        <w:rPr>
          <w:rStyle w:val="Strong"/>
          <w:rFonts w:ascii="Arial" w:eastAsia="DengXian" w:hAnsi="Arial" w:cs="Arial"/>
          <w:color w:val="0F1115"/>
        </w:rPr>
      </w:pPr>
      <w:r w:rsidRPr="00441B4E">
        <w:rPr>
          <w:rStyle w:val="Strong"/>
          <w:rFonts w:ascii="Arial" w:eastAsia="DengXian" w:hAnsi="Arial" w:cs="Arial"/>
          <w:color w:val="0F1115"/>
        </w:rPr>
        <w:t>Altman Z-Score Calculation:</w:t>
      </w:r>
    </w:p>
    <w:p w14:paraId="17210F8C" w14:textId="77777777" w:rsidR="00431401" w:rsidRPr="00441B4E" w:rsidRDefault="00961DD8" w:rsidP="00896F28">
      <w:pPr>
        <w:pStyle w:val="ds-markdown-paragraph"/>
        <w:shd w:val="clear" w:color="auto" w:fill="FFFFFF"/>
        <w:spacing w:before="240" w:beforeAutospacing="0" w:after="240" w:afterAutospacing="0" w:line="360" w:lineRule="auto"/>
        <w:jc w:val="both"/>
        <w:rPr>
          <w:rFonts w:ascii="Arial" w:hAnsi="Arial" w:cs="Arial"/>
          <w:color w:val="0F1115"/>
        </w:rPr>
      </w:pPr>
      <w:r w:rsidRPr="00441B4E">
        <w:rPr>
          <w:rFonts w:ascii="Arial" w:hAnsi="Arial" w:cs="Arial"/>
          <w:color w:val="0F1115"/>
        </w:rPr>
        <w:t>Z = 1.2A + 1.4B + 3.3C + 0.6D + 1.0E</w:t>
      </w:r>
    </w:p>
    <w:p w14:paraId="6A5E2D06" w14:textId="77777777" w:rsidR="00431401" w:rsidRPr="00441B4E" w:rsidRDefault="00961DD8" w:rsidP="00896F28">
      <w:pPr>
        <w:pStyle w:val="ds-markdown-paragraph"/>
        <w:shd w:val="clear" w:color="auto" w:fill="FFFFFF"/>
        <w:spacing w:before="240" w:beforeAutospacing="0" w:after="240" w:afterAutospacing="0" w:line="360" w:lineRule="auto"/>
        <w:jc w:val="both"/>
        <w:rPr>
          <w:rFonts w:ascii="Arial" w:hAnsi="Arial" w:cs="Arial"/>
          <w:color w:val="0F1115"/>
        </w:rPr>
      </w:pPr>
      <w:r w:rsidRPr="00441B4E">
        <w:rPr>
          <w:rFonts w:ascii="Arial" w:hAnsi="Arial" w:cs="Arial"/>
          <w:color w:val="0F1115"/>
        </w:rPr>
        <w:t>Where:</w:t>
      </w:r>
    </w:p>
    <w:p w14:paraId="39F21DBD" w14:textId="77777777" w:rsidR="00431401" w:rsidRPr="00441B4E" w:rsidRDefault="00961DD8" w:rsidP="00896F28">
      <w:pPr>
        <w:pStyle w:val="ds-markdown-paragraph"/>
        <w:numPr>
          <w:ilvl w:val="0"/>
          <w:numId w:val="37"/>
        </w:numPr>
        <w:shd w:val="clear" w:color="auto" w:fill="FFFFFF"/>
        <w:spacing w:before="0" w:beforeAutospacing="0" w:after="0" w:afterAutospacing="0" w:line="360" w:lineRule="auto"/>
        <w:jc w:val="both"/>
        <w:rPr>
          <w:rFonts w:ascii="Arial" w:hAnsi="Arial" w:cs="Arial"/>
          <w:color w:val="0F1115"/>
        </w:rPr>
      </w:pPr>
      <w:r w:rsidRPr="00441B4E">
        <w:rPr>
          <w:rFonts w:ascii="Arial" w:hAnsi="Arial" w:cs="Arial"/>
          <w:color w:val="0F1115"/>
        </w:rPr>
        <w:t>A = Working Capital/Total Assets</w:t>
      </w:r>
    </w:p>
    <w:p w14:paraId="186BBE58" w14:textId="77777777" w:rsidR="00431401" w:rsidRPr="00441B4E" w:rsidRDefault="00961DD8" w:rsidP="00896F28">
      <w:pPr>
        <w:pStyle w:val="ds-markdown-paragraph"/>
        <w:numPr>
          <w:ilvl w:val="0"/>
          <w:numId w:val="36"/>
        </w:numPr>
        <w:shd w:val="clear" w:color="auto" w:fill="FFFFFF"/>
        <w:spacing w:before="0" w:beforeAutospacing="0" w:after="0" w:afterAutospacing="0" w:line="360" w:lineRule="auto"/>
        <w:jc w:val="both"/>
        <w:rPr>
          <w:rFonts w:ascii="Arial" w:hAnsi="Arial" w:cs="Arial"/>
          <w:color w:val="0F1115"/>
        </w:rPr>
      </w:pPr>
      <w:r w:rsidRPr="00441B4E">
        <w:rPr>
          <w:rFonts w:ascii="Arial" w:hAnsi="Arial" w:cs="Arial"/>
          <w:color w:val="0F1115"/>
        </w:rPr>
        <w:t>B = Retained Earnings/Total Assets</w:t>
      </w:r>
    </w:p>
    <w:p w14:paraId="7871F1E9" w14:textId="77777777" w:rsidR="00431401" w:rsidRPr="00441B4E" w:rsidRDefault="00961DD8" w:rsidP="00896F28">
      <w:pPr>
        <w:pStyle w:val="ds-markdown-paragraph"/>
        <w:numPr>
          <w:ilvl w:val="0"/>
          <w:numId w:val="36"/>
        </w:numPr>
        <w:shd w:val="clear" w:color="auto" w:fill="FFFFFF"/>
        <w:spacing w:before="0" w:beforeAutospacing="0" w:after="0" w:afterAutospacing="0" w:line="360" w:lineRule="auto"/>
        <w:jc w:val="both"/>
        <w:rPr>
          <w:rFonts w:ascii="Arial" w:hAnsi="Arial" w:cs="Arial"/>
          <w:color w:val="0F1115"/>
        </w:rPr>
      </w:pPr>
      <w:r w:rsidRPr="00441B4E">
        <w:rPr>
          <w:rFonts w:ascii="Arial" w:hAnsi="Arial" w:cs="Arial"/>
          <w:color w:val="0F1115"/>
        </w:rPr>
        <w:t>C = EBIT/Total Assets</w:t>
      </w:r>
    </w:p>
    <w:p w14:paraId="465A5D79" w14:textId="77777777" w:rsidR="00431401" w:rsidRPr="00441B4E" w:rsidRDefault="00961DD8" w:rsidP="00896F28">
      <w:pPr>
        <w:pStyle w:val="ds-markdown-paragraph"/>
        <w:numPr>
          <w:ilvl w:val="0"/>
          <w:numId w:val="36"/>
        </w:numPr>
        <w:shd w:val="clear" w:color="auto" w:fill="FFFFFF"/>
        <w:spacing w:before="0" w:beforeAutospacing="0" w:after="0" w:afterAutospacing="0" w:line="360" w:lineRule="auto"/>
        <w:jc w:val="both"/>
        <w:rPr>
          <w:rFonts w:ascii="Arial" w:hAnsi="Arial" w:cs="Arial"/>
          <w:color w:val="0F1115"/>
        </w:rPr>
      </w:pPr>
      <w:r w:rsidRPr="00441B4E">
        <w:rPr>
          <w:rFonts w:ascii="Arial" w:hAnsi="Arial" w:cs="Arial"/>
          <w:color w:val="0F1115"/>
        </w:rPr>
        <w:t>D = Market Value Equity/Total Liabilities</w:t>
      </w:r>
    </w:p>
    <w:p w14:paraId="13C0BF1B" w14:textId="77777777" w:rsidR="00961DD8" w:rsidRPr="00441B4E" w:rsidRDefault="00961DD8" w:rsidP="00896F28">
      <w:pPr>
        <w:pStyle w:val="ds-markdown-paragraph"/>
        <w:numPr>
          <w:ilvl w:val="0"/>
          <w:numId w:val="36"/>
        </w:numPr>
        <w:shd w:val="clear" w:color="auto" w:fill="FFFFFF"/>
        <w:spacing w:before="0" w:beforeAutospacing="0" w:after="0" w:afterAutospacing="0" w:line="360" w:lineRule="auto"/>
        <w:jc w:val="both"/>
        <w:rPr>
          <w:rFonts w:ascii="Arial" w:hAnsi="Arial" w:cs="Arial"/>
          <w:color w:val="0F1115"/>
        </w:rPr>
      </w:pPr>
      <w:r w:rsidRPr="00441B4E">
        <w:rPr>
          <w:rFonts w:ascii="Arial" w:hAnsi="Arial" w:cs="Arial"/>
          <w:color w:val="0F1115"/>
        </w:rPr>
        <w:t>E = Sales/Total Assets</w:t>
      </w:r>
    </w:p>
    <w:tbl>
      <w:tblPr>
        <w:tblStyle w:val="GridTable6Colorful"/>
        <w:tblW w:w="9820" w:type="dxa"/>
        <w:tblLook w:val="04A0" w:firstRow="1" w:lastRow="0" w:firstColumn="1" w:lastColumn="0" w:noHBand="0" w:noVBand="1"/>
      </w:tblPr>
      <w:tblGrid>
        <w:gridCol w:w="2628"/>
        <w:gridCol w:w="1520"/>
        <w:gridCol w:w="1520"/>
        <w:gridCol w:w="1384"/>
        <w:gridCol w:w="1384"/>
        <w:gridCol w:w="1384"/>
      </w:tblGrid>
      <w:tr w:rsidR="00961DD8" w:rsidRPr="00441B4E" w14:paraId="3ED9AFBA" w14:textId="77777777" w:rsidTr="00961DD8">
        <w:trPr>
          <w:cnfStyle w:val="100000000000" w:firstRow="1" w:lastRow="0" w:firstColumn="0" w:lastColumn="0" w:oddVBand="0" w:evenVBand="0" w:oddHBand="0" w:evenHBand="0" w:firstRowFirstColumn="0" w:firstRowLastColumn="0" w:lastRowFirstColumn="0" w:lastRowLastColumn="0"/>
          <w:trHeight w:val="391"/>
        </w:trPr>
        <w:tc>
          <w:tcPr>
            <w:cnfStyle w:val="001000000000" w:firstRow="0" w:lastRow="0" w:firstColumn="1" w:lastColumn="0" w:oddVBand="0" w:evenVBand="0" w:oddHBand="0" w:evenHBand="0" w:firstRowFirstColumn="0" w:firstRowLastColumn="0" w:lastRowFirstColumn="0" w:lastRowLastColumn="0"/>
            <w:tcW w:w="0" w:type="auto"/>
            <w:hideMark/>
          </w:tcPr>
          <w:p w14:paraId="6470219C" w14:textId="77777777" w:rsidR="00961DD8" w:rsidRPr="00441B4E" w:rsidRDefault="00961DD8" w:rsidP="00896F28">
            <w:pPr>
              <w:spacing w:line="360" w:lineRule="auto"/>
              <w:jc w:val="both"/>
              <w:rPr>
                <w:rFonts w:ascii="Arial" w:hAnsi="Arial" w:cs="Arial"/>
                <w:color w:val="auto"/>
                <w:szCs w:val="24"/>
              </w:rPr>
            </w:pPr>
            <w:r w:rsidRPr="00441B4E">
              <w:rPr>
                <w:rFonts w:ascii="Arial" w:hAnsi="Arial" w:cs="Arial"/>
                <w:szCs w:val="24"/>
              </w:rPr>
              <w:t>Component</w:t>
            </w:r>
          </w:p>
        </w:tc>
        <w:tc>
          <w:tcPr>
            <w:tcW w:w="0" w:type="auto"/>
            <w:hideMark/>
          </w:tcPr>
          <w:p w14:paraId="3CC63D5B" w14:textId="77777777" w:rsidR="00961DD8" w:rsidRPr="00441B4E" w:rsidRDefault="00961DD8" w:rsidP="00896F2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2024</w:t>
            </w:r>
          </w:p>
        </w:tc>
        <w:tc>
          <w:tcPr>
            <w:tcW w:w="0" w:type="auto"/>
            <w:hideMark/>
          </w:tcPr>
          <w:p w14:paraId="1C2CA42D" w14:textId="77777777" w:rsidR="00961DD8" w:rsidRPr="00441B4E" w:rsidRDefault="00961DD8" w:rsidP="00896F2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2023</w:t>
            </w:r>
          </w:p>
        </w:tc>
        <w:tc>
          <w:tcPr>
            <w:tcW w:w="0" w:type="auto"/>
            <w:hideMark/>
          </w:tcPr>
          <w:p w14:paraId="77A31D33" w14:textId="77777777" w:rsidR="00961DD8" w:rsidRPr="00441B4E" w:rsidRDefault="00961DD8" w:rsidP="00896F2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2022</w:t>
            </w:r>
          </w:p>
        </w:tc>
        <w:tc>
          <w:tcPr>
            <w:tcW w:w="0" w:type="auto"/>
            <w:hideMark/>
          </w:tcPr>
          <w:p w14:paraId="47A418F9" w14:textId="77777777" w:rsidR="00961DD8" w:rsidRPr="00441B4E" w:rsidRDefault="00961DD8" w:rsidP="00896F2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2021</w:t>
            </w:r>
          </w:p>
        </w:tc>
        <w:tc>
          <w:tcPr>
            <w:tcW w:w="0" w:type="auto"/>
            <w:hideMark/>
          </w:tcPr>
          <w:p w14:paraId="7D5EF493" w14:textId="77777777" w:rsidR="00961DD8" w:rsidRPr="00441B4E" w:rsidRDefault="00961DD8" w:rsidP="00896F2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2020</w:t>
            </w:r>
          </w:p>
        </w:tc>
      </w:tr>
      <w:tr w:rsidR="00431401" w:rsidRPr="00441B4E" w14:paraId="64C7BD33" w14:textId="77777777" w:rsidTr="00961DD8">
        <w:trPr>
          <w:cnfStyle w:val="000000100000" w:firstRow="0" w:lastRow="0" w:firstColumn="0" w:lastColumn="0" w:oddVBand="0" w:evenVBand="0" w:oddHBand="1" w:evenHBand="0" w:firstRowFirstColumn="0" w:firstRowLastColumn="0" w:lastRowFirstColumn="0" w:lastRowLastColumn="0"/>
          <w:trHeight w:val="391"/>
        </w:trPr>
        <w:tc>
          <w:tcPr>
            <w:cnfStyle w:val="001000000000" w:firstRow="0" w:lastRow="0" w:firstColumn="1" w:lastColumn="0" w:oddVBand="0" w:evenVBand="0" w:oddHBand="0" w:evenHBand="0" w:firstRowFirstColumn="0" w:firstRowLastColumn="0" w:lastRowFirstColumn="0" w:lastRowLastColumn="0"/>
            <w:tcW w:w="0" w:type="auto"/>
            <w:hideMark/>
          </w:tcPr>
          <w:p w14:paraId="40374405" w14:textId="77777777" w:rsidR="00961DD8" w:rsidRPr="00441B4E" w:rsidRDefault="00961DD8" w:rsidP="00896F28">
            <w:pPr>
              <w:spacing w:line="360" w:lineRule="auto"/>
              <w:jc w:val="both"/>
              <w:rPr>
                <w:rFonts w:ascii="Arial" w:hAnsi="Arial" w:cs="Arial"/>
                <w:szCs w:val="24"/>
              </w:rPr>
            </w:pPr>
            <w:r w:rsidRPr="00441B4E">
              <w:rPr>
                <w:rFonts w:ascii="Arial" w:hAnsi="Arial" w:cs="Arial"/>
                <w:szCs w:val="24"/>
              </w:rPr>
              <w:t>1.2A</w:t>
            </w:r>
          </w:p>
        </w:tc>
        <w:tc>
          <w:tcPr>
            <w:tcW w:w="0" w:type="auto"/>
            <w:hideMark/>
          </w:tcPr>
          <w:p w14:paraId="2339384E" w14:textId="77777777" w:rsidR="00961DD8" w:rsidRPr="00441B4E" w:rsidRDefault="00961DD8"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0.312</w:t>
            </w:r>
          </w:p>
        </w:tc>
        <w:tc>
          <w:tcPr>
            <w:tcW w:w="0" w:type="auto"/>
            <w:hideMark/>
          </w:tcPr>
          <w:p w14:paraId="6531BC8F" w14:textId="77777777" w:rsidR="00961DD8" w:rsidRPr="00441B4E" w:rsidRDefault="00961DD8"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0.329</w:t>
            </w:r>
          </w:p>
        </w:tc>
        <w:tc>
          <w:tcPr>
            <w:tcW w:w="0" w:type="auto"/>
            <w:hideMark/>
          </w:tcPr>
          <w:p w14:paraId="401BAAF1" w14:textId="77777777" w:rsidR="00961DD8" w:rsidRPr="00441B4E" w:rsidRDefault="00961DD8"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0.289</w:t>
            </w:r>
          </w:p>
        </w:tc>
        <w:tc>
          <w:tcPr>
            <w:tcW w:w="0" w:type="auto"/>
            <w:hideMark/>
          </w:tcPr>
          <w:p w14:paraId="0079B619" w14:textId="77777777" w:rsidR="00961DD8" w:rsidRPr="00441B4E" w:rsidRDefault="00961DD8"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0.283</w:t>
            </w:r>
          </w:p>
        </w:tc>
        <w:tc>
          <w:tcPr>
            <w:tcW w:w="0" w:type="auto"/>
            <w:hideMark/>
          </w:tcPr>
          <w:p w14:paraId="584B88B0" w14:textId="77777777" w:rsidR="00961DD8" w:rsidRPr="00441B4E" w:rsidRDefault="00961DD8"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0.347</w:t>
            </w:r>
          </w:p>
        </w:tc>
      </w:tr>
      <w:tr w:rsidR="00961DD8" w:rsidRPr="00441B4E" w14:paraId="5B8FCD16" w14:textId="77777777" w:rsidTr="00961DD8">
        <w:trPr>
          <w:trHeight w:val="375"/>
        </w:trPr>
        <w:tc>
          <w:tcPr>
            <w:cnfStyle w:val="001000000000" w:firstRow="0" w:lastRow="0" w:firstColumn="1" w:lastColumn="0" w:oddVBand="0" w:evenVBand="0" w:oddHBand="0" w:evenHBand="0" w:firstRowFirstColumn="0" w:firstRowLastColumn="0" w:lastRowFirstColumn="0" w:lastRowLastColumn="0"/>
            <w:tcW w:w="0" w:type="auto"/>
            <w:hideMark/>
          </w:tcPr>
          <w:p w14:paraId="5DB23D18" w14:textId="77777777" w:rsidR="00961DD8" w:rsidRPr="00441B4E" w:rsidRDefault="00961DD8" w:rsidP="00896F28">
            <w:pPr>
              <w:spacing w:line="360" w:lineRule="auto"/>
              <w:jc w:val="both"/>
              <w:rPr>
                <w:rFonts w:ascii="Arial" w:hAnsi="Arial" w:cs="Arial"/>
                <w:szCs w:val="24"/>
              </w:rPr>
            </w:pPr>
            <w:r w:rsidRPr="00441B4E">
              <w:rPr>
                <w:rFonts w:ascii="Arial" w:hAnsi="Arial" w:cs="Arial"/>
                <w:szCs w:val="24"/>
              </w:rPr>
              <w:t>1.4B</w:t>
            </w:r>
          </w:p>
        </w:tc>
        <w:tc>
          <w:tcPr>
            <w:tcW w:w="0" w:type="auto"/>
            <w:hideMark/>
          </w:tcPr>
          <w:p w14:paraId="19DEAD52" w14:textId="77777777" w:rsidR="00961DD8" w:rsidRPr="00441B4E" w:rsidRDefault="00961DD8"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0.903</w:t>
            </w:r>
          </w:p>
        </w:tc>
        <w:tc>
          <w:tcPr>
            <w:tcW w:w="0" w:type="auto"/>
            <w:hideMark/>
          </w:tcPr>
          <w:p w14:paraId="0EABCFF9" w14:textId="77777777" w:rsidR="00961DD8" w:rsidRPr="00441B4E" w:rsidRDefault="00961DD8"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0.914</w:t>
            </w:r>
          </w:p>
        </w:tc>
        <w:tc>
          <w:tcPr>
            <w:tcW w:w="0" w:type="auto"/>
            <w:hideMark/>
          </w:tcPr>
          <w:p w14:paraId="70564B3C" w14:textId="77777777" w:rsidR="00961DD8" w:rsidRPr="00441B4E" w:rsidRDefault="00961DD8"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0.918</w:t>
            </w:r>
          </w:p>
        </w:tc>
        <w:tc>
          <w:tcPr>
            <w:tcW w:w="0" w:type="auto"/>
            <w:hideMark/>
          </w:tcPr>
          <w:p w14:paraId="39913D73" w14:textId="77777777" w:rsidR="00961DD8" w:rsidRPr="00441B4E" w:rsidRDefault="00961DD8"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0.906</w:t>
            </w:r>
          </w:p>
        </w:tc>
        <w:tc>
          <w:tcPr>
            <w:tcW w:w="0" w:type="auto"/>
            <w:hideMark/>
          </w:tcPr>
          <w:p w14:paraId="13EF39F9" w14:textId="77777777" w:rsidR="00961DD8" w:rsidRPr="00441B4E" w:rsidRDefault="00961DD8"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0.892</w:t>
            </w:r>
          </w:p>
        </w:tc>
      </w:tr>
      <w:tr w:rsidR="00431401" w:rsidRPr="00441B4E" w14:paraId="567E0A79" w14:textId="77777777" w:rsidTr="00961DD8">
        <w:trPr>
          <w:cnfStyle w:val="000000100000" w:firstRow="0" w:lastRow="0" w:firstColumn="0" w:lastColumn="0" w:oddVBand="0" w:evenVBand="0" w:oddHBand="1" w:evenHBand="0" w:firstRowFirstColumn="0" w:firstRowLastColumn="0" w:lastRowFirstColumn="0" w:lastRowLastColumn="0"/>
          <w:trHeight w:val="391"/>
        </w:trPr>
        <w:tc>
          <w:tcPr>
            <w:cnfStyle w:val="001000000000" w:firstRow="0" w:lastRow="0" w:firstColumn="1" w:lastColumn="0" w:oddVBand="0" w:evenVBand="0" w:oddHBand="0" w:evenHBand="0" w:firstRowFirstColumn="0" w:firstRowLastColumn="0" w:lastRowFirstColumn="0" w:lastRowLastColumn="0"/>
            <w:tcW w:w="0" w:type="auto"/>
            <w:hideMark/>
          </w:tcPr>
          <w:p w14:paraId="36BBB7B5" w14:textId="77777777" w:rsidR="00961DD8" w:rsidRPr="00441B4E" w:rsidRDefault="00961DD8" w:rsidP="00896F28">
            <w:pPr>
              <w:spacing w:line="360" w:lineRule="auto"/>
              <w:jc w:val="both"/>
              <w:rPr>
                <w:rFonts w:ascii="Arial" w:hAnsi="Arial" w:cs="Arial"/>
                <w:szCs w:val="24"/>
              </w:rPr>
            </w:pPr>
            <w:r w:rsidRPr="00441B4E">
              <w:rPr>
                <w:rFonts w:ascii="Arial" w:hAnsi="Arial" w:cs="Arial"/>
                <w:szCs w:val="24"/>
              </w:rPr>
              <w:t>3.3C</w:t>
            </w:r>
          </w:p>
        </w:tc>
        <w:tc>
          <w:tcPr>
            <w:tcW w:w="0" w:type="auto"/>
            <w:hideMark/>
          </w:tcPr>
          <w:p w14:paraId="5A83781D" w14:textId="77777777" w:rsidR="00961DD8" w:rsidRPr="00441B4E" w:rsidRDefault="00961DD8"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-0.156</w:t>
            </w:r>
          </w:p>
        </w:tc>
        <w:tc>
          <w:tcPr>
            <w:tcW w:w="0" w:type="auto"/>
            <w:hideMark/>
          </w:tcPr>
          <w:p w14:paraId="00A3D6D1" w14:textId="77777777" w:rsidR="00961DD8" w:rsidRPr="00441B4E" w:rsidRDefault="00961DD8"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-0.791</w:t>
            </w:r>
          </w:p>
        </w:tc>
        <w:tc>
          <w:tcPr>
            <w:tcW w:w="0" w:type="auto"/>
            <w:hideMark/>
          </w:tcPr>
          <w:p w14:paraId="2874C115" w14:textId="77777777" w:rsidR="00961DD8" w:rsidRPr="00441B4E" w:rsidRDefault="00961DD8"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0.095</w:t>
            </w:r>
          </w:p>
        </w:tc>
        <w:tc>
          <w:tcPr>
            <w:tcW w:w="0" w:type="auto"/>
            <w:hideMark/>
          </w:tcPr>
          <w:p w14:paraId="221FFC1A" w14:textId="77777777" w:rsidR="00961DD8" w:rsidRPr="00441B4E" w:rsidRDefault="00961DD8"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0.151</w:t>
            </w:r>
          </w:p>
        </w:tc>
        <w:tc>
          <w:tcPr>
            <w:tcW w:w="0" w:type="auto"/>
            <w:hideMark/>
          </w:tcPr>
          <w:p w14:paraId="40173CA3" w14:textId="77777777" w:rsidR="00961DD8" w:rsidRPr="00441B4E" w:rsidRDefault="00961DD8"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0.241</w:t>
            </w:r>
          </w:p>
        </w:tc>
      </w:tr>
      <w:tr w:rsidR="00431401" w:rsidRPr="00441B4E" w14:paraId="0A3657AE" w14:textId="77777777" w:rsidTr="00431401">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3C64B09B" w14:textId="77777777" w:rsidR="00431401" w:rsidRPr="00441B4E" w:rsidRDefault="00431401" w:rsidP="00896F28">
            <w:pPr>
              <w:spacing w:line="360" w:lineRule="auto"/>
              <w:jc w:val="both"/>
              <w:rPr>
                <w:rFonts w:ascii="Arial" w:hAnsi="Arial" w:cs="Arial"/>
                <w:szCs w:val="24"/>
              </w:rPr>
            </w:pPr>
            <w:r w:rsidRPr="00441B4E">
              <w:rPr>
                <w:rFonts w:ascii="Arial" w:hAnsi="Arial" w:cs="Arial"/>
                <w:szCs w:val="24"/>
              </w:rPr>
              <w:t>0.6D</w:t>
            </w:r>
          </w:p>
        </w:tc>
        <w:tc>
          <w:tcPr>
            <w:tcW w:w="0" w:type="auto"/>
            <w:hideMark/>
          </w:tcPr>
          <w:p w14:paraId="7DD7EC51" w14:textId="77777777" w:rsidR="00431401" w:rsidRPr="00441B4E" w:rsidRDefault="00431401"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0</w:t>
            </w:r>
          </w:p>
        </w:tc>
        <w:tc>
          <w:tcPr>
            <w:tcW w:w="0" w:type="auto"/>
            <w:hideMark/>
          </w:tcPr>
          <w:p w14:paraId="5F91E09A" w14:textId="77777777" w:rsidR="00431401" w:rsidRPr="00441B4E" w:rsidRDefault="00431401" w:rsidP="00896F2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0</w:t>
            </w:r>
          </w:p>
        </w:tc>
        <w:tc>
          <w:tcPr>
            <w:tcW w:w="0" w:type="auto"/>
            <w:hideMark/>
          </w:tcPr>
          <w:p w14:paraId="7A62537A" w14:textId="77777777" w:rsidR="00431401" w:rsidRPr="00441B4E" w:rsidRDefault="00431401" w:rsidP="00896F2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0</w:t>
            </w:r>
          </w:p>
        </w:tc>
        <w:tc>
          <w:tcPr>
            <w:tcW w:w="0" w:type="auto"/>
            <w:hideMark/>
          </w:tcPr>
          <w:p w14:paraId="29295FDD" w14:textId="77777777" w:rsidR="00431401" w:rsidRPr="00441B4E" w:rsidRDefault="00431401" w:rsidP="00896F2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0</w:t>
            </w:r>
          </w:p>
        </w:tc>
        <w:tc>
          <w:tcPr>
            <w:tcW w:w="0" w:type="auto"/>
            <w:hideMark/>
          </w:tcPr>
          <w:p w14:paraId="334F7488" w14:textId="77777777" w:rsidR="00431401" w:rsidRPr="00441B4E" w:rsidRDefault="00431401" w:rsidP="00896F2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Fonts w:ascii="Arial" w:hAnsi="Arial" w:cs="Arial"/>
                <w:szCs w:val="24"/>
              </w:rPr>
              <w:t>0</w:t>
            </w:r>
          </w:p>
        </w:tc>
      </w:tr>
      <w:tr w:rsidR="00431401" w:rsidRPr="00441B4E" w14:paraId="111B3558" w14:textId="77777777" w:rsidTr="00961DD8">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0" w:type="auto"/>
            <w:hideMark/>
          </w:tcPr>
          <w:p w14:paraId="61CE729E" w14:textId="77777777" w:rsidR="00961DD8" w:rsidRPr="00441B4E" w:rsidRDefault="00961DD8" w:rsidP="00896F28">
            <w:pPr>
              <w:spacing w:line="360" w:lineRule="auto"/>
              <w:jc w:val="both"/>
              <w:rPr>
                <w:rFonts w:ascii="Arial" w:hAnsi="Arial" w:cs="Arial"/>
                <w:szCs w:val="24"/>
              </w:rPr>
            </w:pPr>
            <w:r w:rsidRPr="00441B4E">
              <w:rPr>
                <w:rFonts w:ascii="Arial" w:hAnsi="Arial" w:cs="Arial"/>
                <w:szCs w:val="24"/>
              </w:rPr>
              <w:t>1.0E</w:t>
            </w:r>
          </w:p>
        </w:tc>
        <w:tc>
          <w:tcPr>
            <w:tcW w:w="0" w:type="auto"/>
            <w:hideMark/>
          </w:tcPr>
          <w:p w14:paraId="48101162" w14:textId="77777777" w:rsidR="00961DD8" w:rsidRPr="00441B4E" w:rsidRDefault="00961DD8"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1.221</w:t>
            </w:r>
          </w:p>
        </w:tc>
        <w:tc>
          <w:tcPr>
            <w:tcW w:w="0" w:type="auto"/>
            <w:hideMark/>
          </w:tcPr>
          <w:p w14:paraId="2B77AB5A" w14:textId="77777777" w:rsidR="00961DD8" w:rsidRPr="00441B4E" w:rsidRDefault="00961DD8"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1.181</w:t>
            </w:r>
          </w:p>
        </w:tc>
        <w:tc>
          <w:tcPr>
            <w:tcW w:w="0" w:type="auto"/>
            <w:hideMark/>
          </w:tcPr>
          <w:p w14:paraId="28F571DD" w14:textId="77777777" w:rsidR="00961DD8" w:rsidRPr="00441B4E" w:rsidRDefault="00961DD8"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1.077</w:t>
            </w:r>
          </w:p>
        </w:tc>
        <w:tc>
          <w:tcPr>
            <w:tcW w:w="0" w:type="auto"/>
            <w:hideMark/>
          </w:tcPr>
          <w:p w14:paraId="6B1E00C7" w14:textId="77777777" w:rsidR="00961DD8" w:rsidRPr="00441B4E" w:rsidRDefault="00961DD8"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1.179</w:t>
            </w:r>
          </w:p>
        </w:tc>
        <w:tc>
          <w:tcPr>
            <w:tcW w:w="0" w:type="auto"/>
            <w:hideMark/>
          </w:tcPr>
          <w:p w14:paraId="7910B5CB" w14:textId="77777777" w:rsidR="00961DD8" w:rsidRPr="00441B4E" w:rsidRDefault="00961DD8" w:rsidP="00896F2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41B4E">
              <w:rPr>
                <w:rFonts w:ascii="Arial" w:hAnsi="Arial" w:cs="Arial"/>
                <w:szCs w:val="24"/>
              </w:rPr>
              <w:t>1.205</w:t>
            </w:r>
          </w:p>
        </w:tc>
      </w:tr>
      <w:tr w:rsidR="00961DD8" w:rsidRPr="00441B4E" w14:paraId="5A7A41E1" w14:textId="77777777" w:rsidTr="00961DD8">
        <w:trPr>
          <w:trHeight w:val="391"/>
        </w:trPr>
        <w:tc>
          <w:tcPr>
            <w:cnfStyle w:val="001000000000" w:firstRow="0" w:lastRow="0" w:firstColumn="1" w:lastColumn="0" w:oddVBand="0" w:evenVBand="0" w:oddHBand="0" w:evenHBand="0" w:firstRowFirstColumn="0" w:firstRowLastColumn="0" w:lastRowFirstColumn="0" w:lastRowLastColumn="0"/>
            <w:tcW w:w="0" w:type="auto"/>
            <w:hideMark/>
          </w:tcPr>
          <w:p w14:paraId="5BDA298A" w14:textId="77777777" w:rsidR="00961DD8" w:rsidRPr="00441B4E" w:rsidRDefault="00961DD8" w:rsidP="00896F28">
            <w:pPr>
              <w:spacing w:line="360" w:lineRule="auto"/>
              <w:jc w:val="both"/>
              <w:rPr>
                <w:rFonts w:ascii="Arial" w:hAnsi="Arial" w:cs="Arial"/>
                <w:szCs w:val="24"/>
              </w:rPr>
            </w:pPr>
            <w:r w:rsidRPr="00441B4E">
              <w:rPr>
                <w:rStyle w:val="Strong"/>
                <w:rFonts w:ascii="Arial" w:hAnsi="Arial" w:cs="Arial"/>
                <w:szCs w:val="24"/>
              </w:rPr>
              <w:t>Z-Score</w:t>
            </w:r>
          </w:p>
        </w:tc>
        <w:tc>
          <w:tcPr>
            <w:tcW w:w="0" w:type="auto"/>
            <w:hideMark/>
          </w:tcPr>
          <w:p w14:paraId="5B78724A" w14:textId="77777777" w:rsidR="00961DD8" w:rsidRPr="00441B4E" w:rsidRDefault="00961DD8"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Style w:val="Strong"/>
                <w:rFonts w:ascii="Arial" w:hAnsi="Arial" w:cs="Arial"/>
                <w:szCs w:val="24"/>
              </w:rPr>
              <w:t>2.280</w:t>
            </w:r>
          </w:p>
        </w:tc>
        <w:tc>
          <w:tcPr>
            <w:tcW w:w="0" w:type="auto"/>
            <w:hideMark/>
          </w:tcPr>
          <w:p w14:paraId="36C574F3" w14:textId="77777777" w:rsidR="00961DD8" w:rsidRPr="00441B4E" w:rsidRDefault="00961DD8"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Style w:val="Strong"/>
                <w:rFonts w:ascii="Arial" w:hAnsi="Arial" w:cs="Arial"/>
                <w:szCs w:val="24"/>
              </w:rPr>
              <w:t>1.633</w:t>
            </w:r>
          </w:p>
        </w:tc>
        <w:tc>
          <w:tcPr>
            <w:tcW w:w="0" w:type="auto"/>
            <w:hideMark/>
          </w:tcPr>
          <w:p w14:paraId="50244F9D" w14:textId="77777777" w:rsidR="00961DD8" w:rsidRPr="00441B4E" w:rsidRDefault="00961DD8"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Style w:val="Strong"/>
                <w:rFonts w:ascii="Arial" w:hAnsi="Arial" w:cs="Arial"/>
                <w:szCs w:val="24"/>
              </w:rPr>
              <w:t>2.379</w:t>
            </w:r>
          </w:p>
        </w:tc>
        <w:tc>
          <w:tcPr>
            <w:tcW w:w="0" w:type="auto"/>
            <w:hideMark/>
          </w:tcPr>
          <w:p w14:paraId="1C0F22DD" w14:textId="77777777" w:rsidR="00961DD8" w:rsidRPr="00441B4E" w:rsidRDefault="00961DD8"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Style w:val="Strong"/>
                <w:rFonts w:ascii="Arial" w:hAnsi="Arial" w:cs="Arial"/>
                <w:szCs w:val="24"/>
              </w:rPr>
              <w:t>2.519</w:t>
            </w:r>
          </w:p>
        </w:tc>
        <w:tc>
          <w:tcPr>
            <w:tcW w:w="0" w:type="auto"/>
            <w:hideMark/>
          </w:tcPr>
          <w:p w14:paraId="0BB9302F" w14:textId="77777777" w:rsidR="00961DD8" w:rsidRPr="00441B4E" w:rsidRDefault="00961DD8" w:rsidP="00896F2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41B4E">
              <w:rPr>
                <w:rStyle w:val="Strong"/>
                <w:rFonts w:ascii="Arial" w:hAnsi="Arial" w:cs="Arial"/>
                <w:szCs w:val="24"/>
              </w:rPr>
              <w:t>2.685</w:t>
            </w:r>
          </w:p>
        </w:tc>
      </w:tr>
    </w:tbl>
    <w:p w14:paraId="7B9FC821" w14:textId="77777777" w:rsidR="001867EE" w:rsidRPr="00441B4E" w:rsidRDefault="001867EE" w:rsidP="00896F28">
      <w:pPr>
        <w:spacing w:line="360" w:lineRule="auto"/>
        <w:jc w:val="both"/>
        <w:rPr>
          <w:rFonts w:ascii="Arial" w:hAnsi="Arial" w:cs="Arial"/>
          <w:szCs w:val="24"/>
        </w:rPr>
      </w:pPr>
    </w:p>
    <w:tbl>
      <w:tblPr>
        <w:tblW w:w="11609" w:type="dxa"/>
        <w:tblInd w:w="-1355" w:type="dxa"/>
        <w:tblLook w:val="04A0" w:firstRow="1" w:lastRow="0" w:firstColumn="1" w:lastColumn="0" w:noHBand="0" w:noVBand="1"/>
      </w:tblPr>
      <w:tblGrid>
        <w:gridCol w:w="2988"/>
        <w:gridCol w:w="2936"/>
        <w:gridCol w:w="1218"/>
        <w:gridCol w:w="1218"/>
        <w:gridCol w:w="1218"/>
        <w:gridCol w:w="1218"/>
        <w:gridCol w:w="1218"/>
      </w:tblGrid>
      <w:tr w:rsidR="001867EE" w:rsidRPr="00441B4E" w14:paraId="0F9473D0" w14:textId="77777777" w:rsidTr="00453BCB">
        <w:trPr>
          <w:trHeight w:val="299"/>
        </w:trPr>
        <w:tc>
          <w:tcPr>
            <w:tcW w:w="2988" w:type="dxa"/>
            <w:tcBorders>
              <w:top w:val="single" w:sz="4" w:space="0" w:color="auto"/>
              <w:left w:val="single" w:sz="4" w:space="0" w:color="auto"/>
              <w:bottom w:val="single" w:sz="4" w:space="0" w:color="auto"/>
              <w:right w:val="single" w:sz="4" w:space="0" w:color="auto"/>
            </w:tcBorders>
            <w:noWrap/>
            <w:vAlign w:val="center"/>
            <w:hideMark/>
          </w:tcPr>
          <w:p w14:paraId="3BCD9AF1"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Ratio</w:t>
            </w:r>
          </w:p>
        </w:tc>
        <w:tc>
          <w:tcPr>
            <w:tcW w:w="2936" w:type="dxa"/>
            <w:tcBorders>
              <w:top w:val="single" w:sz="4" w:space="0" w:color="auto"/>
              <w:left w:val="nil"/>
              <w:bottom w:val="single" w:sz="4" w:space="0" w:color="auto"/>
              <w:right w:val="single" w:sz="4" w:space="0" w:color="auto"/>
            </w:tcBorders>
            <w:noWrap/>
            <w:vAlign w:val="center"/>
            <w:hideMark/>
          </w:tcPr>
          <w:p w14:paraId="59BDDA41"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Formula</w:t>
            </w:r>
          </w:p>
        </w:tc>
        <w:tc>
          <w:tcPr>
            <w:tcW w:w="1137" w:type="dxa"/>
            <w:tcBorders>
              <w:top w:val="single" w:sz="4" w:space="0" w:color="auto"/>
              <w:left w:val="nil"/>
              <w:bottom w:val="single" w:sz="4" w:space="0" w:color="auto"/>
              <w:right w:val="single" w:sz="4" w:space="0" w:color="auto"/>
            </w:tcBorders>
            <w:noWrap/>
            <w:vAlign w:val="center"/>
            <w:hideMark/>
          </w:tcPr>
          <w:p w14:paraId="636ACD1F"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2024</w:t>
            </w:r>
          </w:p>
        </w:tc>
        <w:tc>
          <w:tcPr>
            <w:tcW w:w="1137" w:type="dxa"/>
            <w:tcBorders>
              <w:top w:val="single" w:sz="4" w:space="0" w:color="auto"/>
              <w:left w:val="nil"/>
              <w:bottom w:val="single" w:sz="4" w:space="0" w:color="auto"/>
              <w:right w:val="single" w:sz="4" w:space="0" w:color="auto"/>
            </w:tcBorders>
            <w:noWrap/>
            <w:vAlign w:val="center"/>
            <w:hideMark/>
          </w:tcPr>
          <w:p w14:paraId="134C127B"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2023</w:t>
            </w:r>
          </w:p>
        </w:tc>
        <w:tc>
          <w:tcPr>
            <w:tcW w:w="1137" w:type="dxa"/>
            <w:tcBorders>
              <w:top w:val="single" w:sz="4" w:space="0" w:color="auto"/>
              <w:left w:val="nil"/>
              <w:bottom w:val="single" w:sz="4" w:space="0" w:color="auto"/>
              <w:right w:val="single" w:sz="4" w:space="0" w:color="auto"/>
            </w:tcBorders>
            <w:noWrap/>
            <w:vAlign w:val="center"/>
            <w:hideMark/>
          </w:tcPr>
          <w:p w14:paraId="686DA198"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2022</w:t>
            </w:r>
          </w:p>
        </w:tc>
        <w:tc>
          <w:tcPr>
            <w:tcW w:w="1137" w:type="dxa"/>
            <w:tcBorders>
              <w:top w:val="single" w:sz="4" w:space="0" w:color="auto"/>
              <w:left w:val="nil"/>
              <w:bottom w:val="single" w:sz="4" w:space="0" w:color="auto"/>
              <w:right w:val="single" w:sz="4" w:space="0" w:color="auto"/>
            </w:tcBorders>
            <w:noWrap/>
            <w:vAlign w:val="center"/>
            <w:hideMark/>
          </w:tcPr>
          <w:p w14:paraId="50DD24CD"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2021</w:t>
            </w:r>
          </w:p>
        </w:tc>
        <w:tc>
          <w:tcPr>
            <w:tcW w:w="1137" w:type="dxa"/>
            <w:tcBorders>
              <w:top w:val="single" w:sz="4" w:space="0" w:color="auto"/>
              <w:left w:val="nil"/>
              <w:bottom w:val="single" w:sz="4" w:space="0" w:color="auto"/>
              <w:right w:val="single" w:sz="4" w:space="0" w:color="auto"/>
            </w:tcBorders>
            <w:noWrap/>
            <w:vAlign w:val="center"/>
            <w:hideMark/>
          </w:tcPr>
          <w:p w14:paraId="4ED9AB7B"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2020</w:t>
            </w:r>
          </w:p>
        </w:tc>
      </w:tr>
      <w:tr w:rsidR="001867EE" w:rsidRPr="00441B4E" w14:paraId="44D2268B" w14:textId="77777777" w:rsidTr="00453BCB">
        <w:trPr>
          <w:trHeight w:val="299"/>
        </w:trPr>
        <w:tc>
          <w:tcPr>
            <w:tcW w:w="2988" w:type="dxa"/>
            <w:tcBorders>
              <w:top w:val="nil"/>
              <w:left w:val="single" w:sz="4" w:space="0" w:color="auto"/>
              <w:bottom w:val="single" w:sz="4" w:space="0" w:color="auto"/>
              <w:right w:val="single" w:sz="4" w:space="0" w:color="auto"/>
            </w:tcBorders>
            <w:noWrap/>
            <w:vAlign w:val="center"/>
            <w:hideMark/>
          </w:tcPr>
          <w:p w14:paraId="4D2BBC24"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Gross Profit Margin</w:t>
            </w:r>
          </w:p>
        </w:tc>
        <w:tc>
          <w:tcPr>
            <w:tcW w:w="2936" w:type="dxa"/>
            <w:tcBorders>
              <w:top w:val="nil"/>
              <w:left w:val="nil"/>
              <w:bottom w:val="single" w:sz="4" w:space="0" w:color="auto"/>
              <w:right w:val="single" w:sz="4" w:space="0" w:color="auto"/>
            </w:tcBorders>
            <w:noWrap/>
            <w:vAlign w:val="center"/>
            <w:hideMark/>
          </w:tcPr>
          <w:p w14:paraId="21DD9928"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Gross Profit / Net Sales</w:t>
            </w:r>
          </w:p>
        </w:tc>
        <w:tc>
          <w:tcPr>
            <w:tcW w:w="1137" w:type="dxa"/>
            <w:tcBorders>
              <w:top w:val="nil"/>
              <w:left w:val="nil"/>
              <w:bottom w:val="single" w:sz="4" w:space="0" w:color="auto"/>
              <w:right w:val="single" w:sz="4" w:space="0" w:color="auto"/>
            </w:tcBorders>
            <w:noWrap/>
            <w:vAlign w:val="center"/>
            <w:hideMark/>
          </w:tcPr>
          <w:p w14:paraId="4D495278"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28.87%</w:t>
            </w:r>
          </w:p>
        </w:tc>
        <w:tc>
          <w:tcPr>
            <w:tcW w:w="1137" w:type="dxa"/>
            <w:tcBorders>
              <w:top w:val="nil"/>
              <w:left w:val="nil"/>
              <w:bottom w:val="single" w:sz="4" w:space="0" w:color="auto"/>
              <w:right w:val="single" w:sz="4" w:space="0" w:color="auto"/>
            </w:tcBorders>
            <w:noWrap/>
            <w:vAlign w:val="center"/>
            <w:hideMark/>
          </w:tcPr>
          <w:p w14:paraId="10EDB59D"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23.20%</w:t>
            </w:r>
          </w:p>
        </w:tc>
        <w:tc>
          <w:tcPr>
            <w:tcW w:w="1137" w:type="dxa"/>
            <w:tcBorders>
              <w:top w:val="nil"/>
              <w:left w:val="nil"/>
              <w:bottom w:val="single" w:sz="4" w:space="0" w:color="auto"/>
              <w:right w:val="single" w:sz="4" w:space="0" w:color="auto"/>
            </w:tcBorders>
            <w:noWrap/>
            <w:vAlign w:val="center"/>
            <w:hideMark/>
          </w:tcPr>
          <w:p w14:paraId="0A5D10B8"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28.06%</w:t>
            </w:r>
          </w:p>
        </w:tc>
        <w:tc>
          <w:tcPr>
            <w:tcW w:w="1137" w:type="dxa"/>
            <w:tcBorders>
              <w:top w:val="nil"/>
              <w:left w:val="nil"/>
              <w:bottom w:val="single" w:sz="4" w:space="0" w:color="auto"/>
              <w:right w:val="single" w:sz="4" w:space="0" w:color="auto"/>
            </w:tcBorders>
            <w:noWrap/>
            <w:vAlign w:val="center"/>
            <w:hideMark/>
          </w:tcPr>
          <w:p w14:paraId="2F571DAA"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28.76%</w:t>
            </w:r>
          </w:p>
        </w:tc>
        <w:tc>
          <w:tcPr>
            <w:tcW w:w="1137" w:type="dxa"/>
            <w:tcBorders>
              <w:top w:val="nil"/>
              <w:left w:val="nil"/>
              <w:bottom w:val="single" w:sz="4" w:space="0" w:color="auto"/>
              <w:right w:val="single" w:sz="4" w:space="0" w:color="auto"/>
            </w:tcBorders>
            <w:noWrap/>
            <w:vAlign w:val="center"/>
            <w:hideMark/>
          </w:tcPr>
          <w:p w14:paraId="3C19CCCA"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28.67%</w:t>
            </w:r>
          </w:p>
        </w:tc>
      </w:tr>
      <w:tr w:rsidR="001867EE" w:rsidRPr="00441B4E" w14:paraId="51E35B12" w14:textId="77777777" w:rsidTr="00453BCB">
        <w:trPr>
          <w:trHeight w:val="299"/>
        </w:trPr>
        <w:tc>
          <w:tcPr>
            <w:tcW w:w="2988" w:type="dxa"/>
            <w:tcBorders>
              <w:top w:val="nil"/>
              <w:left w:val="single" w:sz="4" w:space="0" w:color="auto"/>
              <w:bottom w:val="single" w:sz="4" w:space="0" w:color="auto"/>
              <w:right w:val="single" w:sz="4" w:space="0" w:color="auto"/>
            </w:tcBorders>
            <w:noWrap/>
            <w:vAlign w:val="center"/>
            <w:hideMark/>
          </w:tcPr>
          <w:p w14:paraId="4D1D6F13"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Operating Profit Margin</w:t>
            </w:r>
          </w:p>
        </w:tc>
        <w:tc>
          <w:tcPr>
            <w:tcW w:w="2936" w:type="dxa"/>
            <w:tcBorders>
              <w:top w:val="nil"/>
              <w:left w:val="nil"/>
              <w:bottom w:val="single" w:sz="4" w:space="0" w:color="auto"/>
              <w:right w:val="single" w:sz="4" w:space="0" w:color="auto"/>
            </w:tcBorders>
            <w:noWrap/>
            <w:vAlign w:val="center"/>
            <w:hideMark/>
          </w:tcPr>
          <w:p w14:paraId="7D3AF7CD"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Operating Income / Net Sales</w:t>
            </w:r>
          </w:p>
        </w:tc>
        <w:tc>
          <w:tcPr>
            <w:tcW w:w="1137" w:type="dxa"/>
            <w:tcBorders>
              <w:top w:val="nil"/>
              <w:left w:val="nil"/>
              <w:bottom w:val="single" w:sz="4" w:space="0" w:color="auto"/>
              <w:right w:val="single" w:sz="4" w:space="0" w:color="auto"/>
            </w:tcBorders>
            <w:noWrap/>
            <w:vAlign w:val="center"/>
            <w:hideMark/>
          </w:tcPr>
          <w:p w14:paraId="5A4173C0"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-3.87%</w:t>
            </w:r>
          </w:p>
        </w:tc>
        <w:tc>
          <w:tcPr>
            <w:tcW w:w="1137" w:type="dxa"/>
            <w:tcBorders>
              <w:top w:val="nil"/>
              <w:left w:val="nil"/>
              <w:bottom w:val="single" w:sz="4" w:space="0" w:color="auto"/>
              <w:right w:val="single" w:sz="4" w:space="0" w:color="auto"/>
            </w:tcBorders>
            <w:noWrap/>
            <w:vAlign w:val="center"/>
            <w:hideMark/>
          </w:tcPr>
          <w:p w14:paraId="1C026565"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-20.29%</w:t>
            </w:r>
          </w:p>
        </w:tc>
        <w:tc>
          <w:tcPr>
            <w:tcW w:w="1137" w:type="dxa"/>
            <w:tcBorders>
              <w:top w:val="nil"/>
              <w:left w:val="nil"/>
              <w:bottom w:val="single" w:sz="4" w:space="0" w:color="auto"/>
              <w:right w:val="single" w:sz="4" w:space="0" w:color="auto"/>
            </w:tcBorders>
            <w:noWrap/>
            <w:vAlign w:val="center"/>
            <w:hideMark/>
          </w:tcPr>
          <w:p w14:paraId="22F88299"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2.68%</w:t>
            </w:r>
          </w:p>
        </w:tc>
        <w:tc>
          <w:tcPr>
            <w:tcW w:w="1137" w:type="dxa"/>
            <w:tcBorders>
              <w:top w:val="nil"/>
              <w:left w:val="nil"/>
              <w:bottom w:val="single" w:sz="4" w:space="0" w:color="auto"/>
              <w:right w:val="single" w:sz="4" w:space="0" w:color="auto"/>
            </w:tcBorders>
            <w:noWrap/>
            <w:vAlign w:val="center"/>
            <w:hideMark/>
          </w:tcPr>
          <w:p w14:paraId="32B6F62F"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3.87%</w:t>
            </w:r>
          </w:p>
        </w:tc>
        <w:tc>
          <w:tcPr>
            <w:tcW w:w="1137" w:type="dxa"/>
            <w:tcBorders>
              <w:top w:val="nil"/>
              <w:left w:val="nil"/>
              <w:bottom w:val="single" w:sz="4" w:space="0" w:color="auto"/>
              <w:right w:val="single" w:sz="4" w:space="0" w:color="auto"/>
            </w:tcBorders>
            <w:noWrap/>
            <w:vAlign w:val="center"/>
            <w:hideMark/>
          </w:tcPr>
          <w:p w14:paraId="300F314E"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6.06%</w:t>
            </w:r>
          </w:p>
        </w:tc>
      </w:tr>
      <w:tr w:rsidR="001867EE" w:rsidRPr="00441B4E" w14:paraId="50A327FD" w14:textId="77777777" w:rsidTr="00453BCB">
        <w:trPr>
          <w:trHeight w:val="299"/>
        </w:trPr>
        <w:tc>
          <w:tcPr>
            <w:tcW w:w="2988" w:type="dxa"/>
            <w:tcBorders>
              <w:top w:val="nil"/>
              <w:left w:val="single" w:sz="4" w:space="0" w:color="auto"/>
              <w:bottom w:val="single" w:sz="4" w:space="0" w:color="auto"/>
              <w:right w:val="single" w:sz="4" w:space="0" w:color="auto"/>
            </w:tcBorders>
            <w:noWrap/>
            <w:vAlign w:val="center"/>
            <w:hideMark/>
          </w:tcPr>
          <w:p w14:paraId="1A29A44C"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Net Profit Margin</w:t>
            </w:r>
          </w:p>
        </w:tc>
        <w:tc>
          <w:tcPr>
            <w:tcW w:w="2936" w:type="dxa"/>
            <w:tcBorders>
              <w:top w:val="nil"/>
              <w:left w:val="nil"/>
              <w:bottom w:val="single" w:sz="4" w:space="0" w:color="auto"/>
              <w:right w:val="single" w:sz="4" w:space="0" w:color="auto"/>
            </w:tcBorders>
            <w:noWrap/>
            <w:vAlign w:val="center"/>
            <w:hideMark/>
          </w:tcPr>
          <w:p w14:paraId="4A90BA85"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Net Income / Net Sales</w:t>
            </w:r>
          </w:p>
        </w:tc>
        <w:tc>
          <w:tcPr>
            <w:tcW w:w="1137" w:type="dxa"/>
            <w:tcBorders>
              <w:top w:val="nil"/>
              <w:left w:val="nil"/>
              <w:bottom w:val="single" w:sz="4" w:space="0" w:color="auto"/>
              <w:right w:val="single" w:sz="4" w:space="0" w:color="auto"/>
            </w:tcBorders>
            <w:noWrap/>
            <w:vAlign w:val="center"/>
            <w:hideMark/>
          </w:tcPr>
          <w:p w14:paraId="2D506206"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-6.09%</w:t>
            </w:r>
          </w:p>
        </w:tc>
        <w:tc>
          <w:tcPr>
            <w:tcW w:w="1137" w:type="dxa"/>
            <w:tcBorders>
              <w:top w:val="nil"/>
              <w:left w:val="nil"/>
              <w:bottom w:val="single" w:sz="4" w:space="0" w:color="auto"/>
              <w:right w:val="single" w:sz="4" w:space="0" w:color="auto"/>
            </w:tcBorders>
            <w:noWrap/>
            <w:vAlign w:val="center"/>
            <w:hideMark/>
          </w:tcPr>
          <w:p w14:paraId="7FCD549F"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-23.36%</w:t>
            </w:r>
          </w:p>
        </w:tc>
        <w:tc>
          <w:tcPr>
            <w:tcW w:w="1137" w:type="dxa"/>
            <w:tcBorders>
              <w:top w:val="nil"/>
              <w:left w:val="nil"/>
              <w:bottom w:val="single" w:sz="4" w:space="0" w:color="auto"/>
              <w:right w:val="single" w:sz="4" w:space="0" w:color="auto"/>
            </w:tcBorders>
            <w:noWrap/>
            <w:vAlign w:val="center"/>
            <w:hideMark/>
          </w:tcPr>
          <w:p w14:paraId="03344CCE"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0.07%</w:t>
            </w:r>
          </w:p>
        </w:tc>
        <w:tc>
          <w:tcPr>
            <w:tcW w:w="1137" w:type="dxa"/>
            <w:tcBorders>
              <w:top w:val="nil"/>
              <w:left w:val="nil"/>
              <w:bottom w:val="single" w:sz="4" w:space="0" w:color="auto"/>
              <w:right w:val="single" w:sz="4" w:space="0" w:color="auto"/>
            </w:tcBorders>
            <w:noWrap/>
            <w:vAlign w:val="center"/>
            <w:hideMark/>
          </w:tcPr>
          <w:p w14:paraId="087323D3"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0.88%</w:t>
            </w:r>
          </w:p>
        </w:tc>
        <w:tc>
          <w:tcPr>
            <w:tcW w:w="1137" w:type="dxa"/>
            <w:tcBorders>
              <w:top w:val="nil"/>
              <w:left w:val="nil"/>
              <w:bottom w:val="single" w:sz="4" w:space="0" w:color="auto"/>
              <w:right w:val="single" w:sz="4" w:space="0" w:color="auto"/>
            </w:tcBorders>
            <w:noWrap/>
            <w:vAlign w:val="center"/>
            <w:hideMark/>
          </w:tcPr>
          <w:p w14:paraId="443216D8"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6.28%</w:t>
            </w:r>
          </w:p>
        </w:tc>
      </w:tr>
      <w:tr w:rsidR="001867EE" w:rsidRPr="00441B4E" w14:paraId="1078A328" w14:textId="77777777" w:rsidTr="00453BCB">
        <w:trPr>
          <w:trHeight w:val="299"/>
        </w:trPr>
        <w:tc>
          <w:tcPr>
            <w:tcW w:w="2988" w:type="dxa"/>
            <w:tcBorders>
              <w:top w:val="nil"/>
              <w:left w:val="single" w:sz="4" w:space="0" w:color="auto"/>
              <w:bottom w:val="single" w:sz="4" w:space="0" w:color="auto"/>
              <w:right w:val="single" w:sz="4" w:space="0" w:color="auto"/>
            </w:tcBorders>
            <w:noWrap/>
            <w:vAlign w:val="center"/>
            <w:hideMark/>
          </w:tcPr>
          <w:p w14:paraId="1E41E310"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Return on Assets (ROA)</w:t>
            </w:r>
          </w:p>
        </w:tc>
        <w:tc>
          <w:tcPr>
            <w:tcW w:w="2936" w:type="dxa"/>
            <w:tcBorders>
              <w:top w:val="nil"/>
              <w:left w:val="nil"/>
              <w:bottom w:val="single" w:sz="4" w:space="0" w:color="auto"/>
              <w:right w:val="single" w:sz="4" w:space="0" w:color="auto"/>
            </w:tcBorders>
            <w:noWrap/>
            <w:vAlign w:val="center"/>
            <w:hideMark/>
          </w:tcPr>
          <w:p w14:paraId="60B0A198"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Net Income / Total Assets</w:t>
            </w:r>
          </w:p>
        </w:tc>
        <w:tc>
          <w:tcPr>
            <w:tcW w:w="1137" w:type="dxa"/>
            <w:tcBorders>
              <w:top w:val="nil"/>
              <w:left w:val="nil"/>
              <w:bottom w:val="single" w:sz="4" w:space="0" w:color="auto"/>
              <w:right w:val="single" w:sz="4" w:space="0" w:color="auto"/>
            </w:tcBorders>
            <w:noWrap/>
            <w:vAlign w:val="center"/>
            <w:hideMark/>
          </w:tcPr>
          <w:p w14:paraId="73343AAD"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-7.43%</w:t>
            </w:r>
          </w:p>
        </w:tc>
        <w:tc>
          <w:tcPr>
            <w:tcW w:w="1137" w:type="dxa"/>
            <w:tcBorders>
              <w:top w:val="nil"/>
              <w:left w:val="nil"/>
              <w:bottom w:val="single" w:sz="4" w:space="0" w:color="auto"/>
              <w:right w:val="single" w:sz="4" w:space="0" w:color="auto"/>
            </w:tcBorders>
            <w:noWrap/>
            <w:vAlign w:val="center"/>
            <w:hideMark/>
          </w:tcPr>
          <w:p w14:paraId="35BC05B8"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-27.60%</w:t>
            </w:r>
          </w:p>
        </w:tc>
        <w:tc>
          <w:tcPr>
            <w:tcW w:w="1137" w:type="dxa"/>
            <w:tcBorders>
              <w:top w:val="nil"/>
              <w:left w:val="nil"/>
              <w:bottom w:val="single" w:sz="4" w:space="0" w:color="auto"/>
              <w:right w:val="single" w:sz="4" w:space="0" w:color="auto"/>
            </w:tcBorders>
            <w:noWrap/>
            <w:vAlign w:val="center"/>
            <w:hideMark/>
          </w:tcPr>
          <w:p w14:paraId="09343BE3"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0.08%</w:t>
            </w:r>
          </w:p>
        </w:tc>
        <w:tc>
          <w:tcPr>
            <w:tcW w:w="1137" w:type="dxa"/>
            <w:tcBorders>
              <w:top w:val="nil"/>
              <w:left w:val="nil"/>
              <w:bottom w:val="single" w:sz="4" w:space="0" w:color="auto"/>
              <w:right w:val="single" w:sz="4" w:space="0" w:color="auto"/>
            </w:tcBorders>
            <w:noWrap/>
            <w:vAlign w:val="center"/>
            <w:hideMark/>
          </w:tcPr>
          <w:p w14:paraId="33EA375A"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1.04%</w:t>
            </w:r>
          </w:p>
        </w:tc>
        <w:tc>
          <w:tcPr>
            <w:tcW w:w="1137" w:type="dxa"/>
            <w:tcBorders>
              <w:top w:val="nil"/>
              <w:left w:val="nil"/>
              <w:bottom w:val="single" w:sz="4" w:space="0" w:color="auto"/>
              <w:right w:val="single" w:sz="4" w:space="0" w:color="auto"/>
            </w:tcBorders>
            <w:noWrap/>
            <w:vAlign w:val="center"/>
            <w:hideMark/>
          </w:tcPr>
          <w:p w14:paraId="3B5A40E7"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7.56%</w:t>
            </w:r>
          </w:p>
        </w:tc>
      </w:tr>
      <w:tr w:rsidR="001867EE" w:rsidRPr="00441B4E" w14:paraId="710E683F" w14:textId="77777777" w:rsidTr="00453BCB">
        <w:trPr>
          <w:trHeight w:val="299"/>
        </w:trPr>
        <w:tc>
          <w:tcPr>
            <w:tcW w:w="2988" w:type="dxa"/>
            <w:tcBorders>
              <w:top w:val="nil"/>
              <w:left w:val="single" w:sz="4" w:space="0" w:color="auto"/>
              <w:bottom w:val="single" w:sz="4" w:space="0" w:color="auto"/>
              <w:right w:val="single" w:sz="4" w:space="0" w:color="auto"/>
            </w:tcBorders>
            <w:noWrap/>
            <w:vAlign w:val="center"/>
            <w:hideMark/>
          </w:tcPr>
          <w:p w14:paraId="7F17E2B6"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Return on Equity (ROE)</w:t>
            </w:r>
          </w:p>
        </w:tc>
        <w:tc>
          <w:tcPr>
            <w:tcW w:w="2936" w:type="dxa"/>
            <w:tcBorders>
              <w:top w:val="nil"/>
              <w:left w:val="nil"/>
              <w:bottom w:val="single" w:sz="4" w:space="0" w:color="auto"/>
              <w:right w:val="single" w:sz="4" w:space="0" w:color="auto"/>
            </w:tcBorders>
            <w:noWrap/>
            <w:vAlign w:val="center"/>
            <w:hideMark/>
          </w:tcPr>
          <w:p w14:paraId="52614E43"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Net Income / Shareholders' Equity</w:t>
            </w:r>
          </w:p>
        </w:tc>
        <w:tc>
          <w:tcPr>
            <w:tcW w:w="1137" w:type="dxa"/>
            <w:tcBorders>
              <w:top w:val="nil"/>
              <w:left w:val="nil"/>
              <w:bottom w:val="single" w:sz="4" w:space="0" w:color="auto"/>
              <w:right w:val="single" w:sz="4" w:space="0" w:color="auto"/>
            </w:tcBorders>
            <w:noWrap/>
            <w:vAlign w:val="center"/>
            <w:hideMark/>
          </w:tcPr>
          <w:p w14:paraId="7A043AC6"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-15.69%</w:t>
            </w:r>
          </w:p>
        </w:tc>
        <w:tc>
          <w:tcPr>
            <w:tcW w:w="1137" w:type="dxa"/>
            <w:tcBorders>
              <w:top w:val="nil"/>
              <w:left w:val="nil"/>
              <w:bottom w:val="single" w:sz="4" w:space="0" w:color="auto"/>
              <w:right w:val="single" w:sz="4" w:space="0" w:color="auto"/>
            </w:tcBorders>
            <w:noWrap/>
            <w:vAlign w:val="center"/>
            <w:hideMark/>
          </w:tcPr>
          <w:p w14:paraId="0F4FC75A"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-54.91%</w:t>
            </w:r>
          </w:p>
        </w:tc>
        <w:tc>
          <w:tcPr>
            <w:tcW w:w="1137" w:type="dxa"/>
            <w:tcBorders>
              <w:top w:val="nil"/>
              <w:left w:val="nil"/>
              <w:bottom w:val="single" w:sz="4" w:space="0" w:color="auto"/>
              <w:right w:val="single" w:sz="4" w:space="0" w:color="auto"/>
            </w:tcBorders>
            <w:noWrap/>
            <w:vAlign w:val="center"/>
            <w:hideMark/>
          </w:tcPr>
          <w:p w14:paraId="029F8045"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0.15%</w:t>
            </w:r>
          </w:p>
        </w:tc>
        <w:tc>
          <w:tcPr>
            <w:tcW w:w="1137" w:type="dxa"/>
            <w:tcBorders>
              <w:top w:val="nil"/>
              <w:left w:val="nil"/>
              <w:bottom w:val="single" w:sz="4" w:space="0" w:color="auto"/>
              <w:right w:val="single" w:sz="4" w:space="0" w:color="auto"/>
            </w:tcBorders>
            <w:noWrap/>
            <w:vAlign w:val="center"/>
            <w:hideMark/>
          </w:tcPr>
          <w:p w14:paraId="3C088FDD"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1.92%</w:t>
            </w:r>
          </w:p>
        </w:tc>
        <w:tc>
          <w:tcPr>
            <w:tcW w:w="1137" w:type="dxa"/>
            <w:tcBorders>
              <w:top w:val="nil"/>
              <w:left w:val="nil"/>
              <w:bottom w:val="single" w:sz="4" w:space="0" w:color="auto"/>
              <w:right w:val="single" w:sz="4" w:space="0" w:color="auto"/>
            </w:tcBorders>
            <w:noWrap/>
            <w:vAlign w:val="center"/>
            <w:hideMark/>
          </w:tcPr>
          <w:p w14:paraId="2F83DEFD"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12.31%</w:t>
            </w:r>
          </w:p>
        </w:tc>
      </w:tr>
      <w:tr w:rsidR="001867EE" w:rsidRPr="00441B4E" w14:paraId="43FCD287" w14:textId="77777777" w:rsidTr="00453BCB">
        <w:trPr>
          <w:trHeight w:val="299"/>
        </w:trPr>
        <w:tc>
          <w:tcPr>
            <w:tcW w:w="2988" w:type="dxa"/>
            <w:tcBorders>
              <w:top w:val="nil"/>
              <w:left w:val="nil"/>
              <w:bottom w:val="nil"/>
              <w:right w:val="nil"/>
            </w:tcBorders>
            <w:noWrap/>
            <w:vAlign w:val="bottom"/>
            <w:hideMark/>
          </w:tcPr>
          <w:p w14:paraId="50C23F02"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2936" w:type="dxa"/>
            <w:tcBorders>
              <w:top w:val="nil"/>
              <w:left w:val="nil"/>
              <w:bottom w:val="nil"/>
              <w:right w:val="nil"/>
            </w:tcBorders>
            <w:noWrap/>
            <w:vAlign w:val="bottom"/>
            <w:hideMark/>
          </w:tcPr>
          <w:p w14:paraId="46F80EF6"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nil"/>
              <w:left w:val="nil"/>
              <w:bottom w:val="nil"/>
              <w:right w:val="nil"/>
            </w:tcBorders>
            <w:noWrap/>
            <w:vAlign w:val="bottom"/>
            <w:hideMark/>
          </w:tcPr>
          <w:p w14:paraId="3562C80A"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nil"/>
              <w:left w:val="nil"/>
              <w:bottom w:val="nil"/>
              <w:right w:val="nil"/>
            </w:tcBorders>
            <w:noWrap/>
            <w:vAlign w:val="bottom"/>
            <w:hideMark/>
          </w:tcPr>
          <w:p w14:paraId="29A0E4DA"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nil"/>
              <w:left w:val="nil"/>
              <w:bottom w:val="nil"/>
              <w:right w:val="nil"/>
            </w:tcBorders>
            <w:noWrap/>
            <w:vAlign w:val="bottom"/>
            <w:hideMark/>
          </w:tcPr>
          <w:p w14:paraId="1C784209"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nil"/>
              <w:left w:val="nil"/>
              <w:bottom w:val="nil"/>
              <w:right w:val="nil"/>
            </w:tcBorders>
            <w:noWrap/>
            <w:vAlign w:val="bottom"/>
            <w:hideMark/>
          </w:tcPr>
          <w:p w14:paraId="4C8A07A5"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nil"/>
              <w:left w:val="nil"/>
              <w:bottom w:val="nil"/>
              <w:right w:val="nil"/>
            </w:tcBorders>
            <w:noWrap/>
            <w:vAlign w:val="bottom"/>
            <w:hideMark/>
          </w:tcPr>
          <w:p w14:paraId="66541D81"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r>
      <w:tr w:rsidR="001867EE" w:rsidRPr="00441B4E" w14:paraId="26778841" w14:textId="77777777" w:rsidTr="00453BCB">
        <w:trPr>
          <w:trHeight w:val="314"/>
        </w:trPr>
        <w:tc>
          <w:tcPr>
            <w:tcW w:w="2988" w:type="dxa"/>
            <w:tcBorders>
              <w:top w:val="single" w:sz="4" w:space="0" w:color="auto"/>
              <w:left w:val="single" w:sz="4" w:space="0" w:color="auto"/>
              <w:bottom w:val="single" w:sz="4" w:space="0" w:color="auto"/>
              <w:right w:val="single" w:sz="4" w:space="0" w:color="auto"/>
            </w:tcBorders>
            <w:noWrap/>
            <w:vAlign w:val="center"/>
            <w:hideMark/>
          </w:tcPr>
          <w:p w14:paraId="552557C3" w14:textId="77777777" w:rsidR="001867EE" w:rsidRPr="00441B4E" w:rsidRDefault="001867EE" w:rsidP="001867EE">
            <w:pPr>
              <w:spacing w:line="240" w:lineRule="auto"/>
              <w:rPr>
                <w:rFonts w:ascii="Arial" w:eastAsia="Times New Roman" w:hAnsi="Arial" w:cs="Arial"/>
                <w:color w:val="0F1115"/>
                <w:szCs w:val="24"/>
              </w:rPr>
            </w:pPr>
            <w:r w:rsidRPr="00441B4E">
              <w:rPr>
                <w:rFonts w:ascii="Arial" w:eastAsia="Times New Roman" w:hAnsi="Arial" w:cs="Arial"/>
                <w:color w:val="0F1115"/>
                <w:szCs w:val="24"/>
              </w:rPr>
              <w:t xml:space="preserve"> Values for Profitability (£m):</w:t>
            </w:r>
          </w:p>
        </w:tc>
        <w:tc>
          <w:tcPr>
            <w:tcW w:w="2936" w:type="dxa"/>
            <w:tcBorders>
              <w:top w:val="single" w:sz="4" w:space="0" w:color="auto"/>
              <w:left w:val="nil"/>
              <w:bottom w:val="single" w:sz="4" w:space="0" w:color="auto"/>
              <w:right w:val="single" w:sz="4" w:space="0" w:color="auto"/>
            </w:tcBorders>
            <w:noWrap/>
            <w:vAlign w:val="bottom"/>
            <w:hideMark/>
          </w:tcPr>
          <w:p w14:paraId="14A4C210"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single" w:sz="4" w:space="0" w:color="auto"/>
              <w:left w:val="nil"/>
              <w:bottom w:val="single" w:sz="4" w:space="0" w:color="auto"/>
              <w:right w:val="single" w:sz="4" w:space="0" w:color="auto"/>
            </w:tcBorders>
            <w:noWrap/>
            <w:vAlign w:val="bottom"/>
            <w:hideMark/>
          </w:tcPr>
          <w:p w14:paraId="0FB59AB6"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single" w:sz="4" w:space="0" w:color="auto"/>
              <w:left w:val="nil"/>
              <w:bottom w:val="single" w:sz="4" w:space="0" w:color="auto"/>
              <w:right w:val="single" w:sz="4" w:space="0" w:color="auto"/>
            </w:tcBorders>
            <w:noWrap/>
            <w:vAlign w:val="bottom"/>
            <w:hideMark/>
          </w:tcPr>
          <w:p w14:paraId="44FCE2C0"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single" w:sz="4" w:space="0" w:color="auto"/>
              <w:left w:val="nil"/>
              <w:bottom w:val="single" w:sz="4" w:space="0" w:color="auto"/>
              <w:right w:val="single" w:sz="4" w:space="0" w:color="auto"/>
            </w:tcBorders>
            <w:noWrap/>
            <w:vAlign w:val="bottom"/>
            <w:hideMark/>
          </w:tcPr>
          <w:p w14:paraId="3493C727"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single" w:sz="4" w:space="0" w:color="auto"/>
              <w:left w:val="nil"/>
              <w:bottom w:val="single" w:sz="4" w:space="0" w:color="auto"/>
              <w:right w:val="single" w:sz="4" w:space="0" w:color="auto"/>
            </w:tcBorders>
            <w:noWrap/>
            <w:vAlign w:val="bottom"/>
            <w:hideMark/>
          </w:tcPr>
          <w:p w14:paraId="244BF01F"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nil"/>
              <w:left w:val="nil"/>
              <w:bottom w:val="nil"/>
              <w:right w:val="nil"/>
            </w:tcBorders>
            <w:noWrap/>
            <w:vAlign w:val="bottom"/>
            <w:hideMark/>
          </w:tcPr>
          <w:p w14:paraId="10479DA5"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r>
      <w:tr w:rsidR="001867EE" w:rsidRPr="00441B4E" w14:paraId="31A7299A" w14:textId="77777777" w:rsidTr="00453BCB">
        <w:trPr>
          <w:trHeight w:val="299"/>
        </w:trPr>
        <w:tc>
          <w:tcPr>
            <w:tcW w:w="2988" w:type="dxa"/>
            <w:tcBorders>
              <w:top w:val="nil"/>
              <w:left w:val="single" w:sz="4" w:space="0" w:color="auto"/>
              <w:bottom w:val="single" w:sz="4" w:space="0" w:color="auto"/>
              <w:right w:val="single" w:sz="4" w:space="0" w:color="auto"/>
            </w:tcBorders>
            <w:noWrap/>
            <w:vAlign w:val="center"/>
            <w:hideMark/>
          </w:tcPr>
          <w:p w14:paraId="52B2D9C3"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Item</w:t>
            </w:r>
          </w:p>
        </w:tc>
        <w:tc>
          <w:tcPr>
            <w:tcW w:w="2936" w:type="dxa"/>
            <w:tcBorders>
              <w:top w:val="nil"/>
              <w:left w:val="nil"/>
              <w:bottom w:val="single" w:sz="4" w:space="0" w:color="auto"/>
              <w:right w:val="single" w:sz="4" w:space="0" w:color="auto"/>
            </w:tcBorders>
            <w:noWrap/>
            <w:vAlign w:val="center"/>
            <w:hideMark/>
          </w:tcPr>
          <w:p w14:paraId="3258F7DD"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2024</w:t>
            </w:r>
          </w:p>
        </w:tc>
        <w:tc>
          <w:tcPr>
            <w:tcW w:w="1137" w:type="dxa"/>
            <w:tcBorders>
              <w:top w:val="nil"/>
              <w:left w:val="nil"/>
              <w:bottom w:val="single" w:sz="4" w:space="0" w:color="auto"/>
              <w:right w:val="single" w:sz="4" w:space="0" w:color="auto"/>
            </w:tcBorders>
            <w:noWrap/>
            <w:vAlign w:val="center"/>
            <w:hideMark/>
          </w:tcPr>
          <w:p w14:paraId="1A29B3F3"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2023</w:t>
            </w:r>
          </w:p>
        </w:tc>
        <w:tc>
          <w:tcPr>
            <w:tcW w:w="1137" w:type="dxa"/>
            <w:tcBorders>
              <w:top w:val="nil"/>
              <w:left w:val="nil"/>
              <w:bottom w:val="single" w:sz="4" w:space="0" w:color="auto"/>
              <w:right w:val="single" w:sz="4" w:space="0" w:color="auto"/>
            </w:tcBorders>
            <w:noWrap/>
            <w:vAlign w:val="center"/>
            <w:hideMark/>
          </w:tcPr>
          <w:p w14:paraId="4CE942E0"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2022</w:t>
            </w:r>
          </w:p>
        </w:tc>
        <w:tc>
          <w:tcPr>
            <w:tcW w:w="1137" w:type="dxa"/>
            <w:tcBorders>
              <w:top w:val="nil"/>
              <w:left w:val="nil"/>
              <w:bottom w:val="single" w:sz="4" w:space="0" w:color="auto"/>
              <w:right w:val="single" w:sz="4" w:space="0" w:color="auto"/>
            </w:tcBorders>
            <w:noWrap/>
            <w:vAlign w:val="center"/>
            <w:hideMark/>
          </w:tcPr>
          <w:p w14:paraId="2BB75DCC"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2021</w:t>
            </w:r>
          </w:p>
        </w:tc>
        <w:tc>
          <w:tcPr>
            <w:tcW w:w="1137" w:type="dxa"/>
            <w:tcBorders>
              <w:top w:val="nil"/>
              <w:left w:val="nil"/>
              <w:bottom w:val="single" w:sz="4" w:space="0" w:color="auto"/>
              <w:right w:val="single" w:sz="4" w:space="0" w:color="auto"/>
            </w:tcBorders>
            <w:noWrap/>
            <w:vAlign w:val="center"/>
            <w:hideMark/>
          </w:tcPr>
          <w:p w14:paraId="34962D75"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2020</w:t>
            </w:r>
          </w:p>
        </w:tc>
        <w:tc>
          <w:tcPr>
            <w:tcW w:w="1137" w:type="dxa"/>
            <w:tcBorders>
              <w:top w:val="nil"/>
              <w:left w:val="nil"/>
              <w:bottom w:val="nil"/>
              <w:right w:val="nil"/>
            </w:tcBorders>
            <w:noWrap/>
            <w:vAlign w:val="bottom"/>
            <w:hideMark/>
          </w:tcPr>
          <w:p w14:paraId="005AACE3"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r>
      <w:tr w:rsidR="001867EE" w:rsidRPr="00441B4E" w14:paraId="6FB14773" w14:textId="77777777" w:rsidTr="00453BCB">
        <w:trPr>
          <w:trHeight w:val="299"/>
        </w:trPr>
        <w:tc>
          <w:tcPr>
            <w:tcW w:w="2988" w:type="dxa"/>
            <w:tcBorders>
              <w:top w:val="nil"/>
              <w:left w:val="single" w:sz="4" w:space="0" w:color="auto"/>
              <w:bottom w:val="single" w:sz="4" w:space="0" w:color="auto"/>
              <w:right w:val="single" w:sz="4" w:space="0" w:color="auto"/>
            </w:tcBorders>
            <w:noWrap/>
            <w:vAlign w:val="center"/>
            <w:hideMark/>
          </w:tcPr>
          <w:p w14:paraId="74F3C811"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Net Sales</w:t>
            </w:r>
          </w:p>
        </w:tc>
        <w:tc>
          <w:tcPr>
            <w:tcW w:w="2936" w:type="dxa"/>
            <w:tcBorders>
              <w:top w:val="nil"/>
              <w:left w:val="nil"/>
              <w:bottom w:val="single" w:sz="4" w:space="0" w:color="auto"/>
              <w:right w:val="single" w:sz="4" w:space="0" w:color="auto"/>
            </w:tcBorders>
            <w:noWrap/>
            <w:vAlign w:val="center"/>
            <w:hideMark/>
          </w:tcPr>
          <w:p w14:paraId="474F3B92"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394,879</w:t>
            </w:r>
          </w:p>
        </w:tc>
        <w:tc>
          <w:tcPr>
            <w:tcW w:w="1137" w:type="dxa"/>
            <w:tcBorders>
              <w:top w:val="nil"/>
              <w:left w:val="nil"/>
              <w:bottom w:val="single" w:sz="4" w:space="0" w:color="auto"/>
              <w:right w:val="single" w:sz="4" w:space="0" w:color="auto"/>
            </w:tcBorders>
            <w:noWrap/>
            <w:vAlign w:val="center"/>
            <w:hideMark/>
          </w:tcPr>
          <w:p w14:paraId="45AD3292"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420,457</w:t>
            </w:r>
          </w:p>
        </w:tc>
        <w:tc>
          <w:tcPr>
            <w:tcW w:w="1137" w:type="dxa"/>
            <w:tcBorders>
              <w:top w:val="nil"/>
              <w:left w:val="nil"/>
              <w:bottom w:val="single" w:sz="4" w:space="0" w:color="auto"/>
              <w:right w:val="single" w:sz="4" w:space="0" w:color="auto"/>
            </w:tcBorders>
            <w:noWrap/>
            <w:vAlign w:val="center"/>
            <w:hideMark/>
          </w:tcPr>
          <w:p w14:paraId="2079DF69"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542,751</w:t>
            </w:r>
          </w:p>
        </w:tc>
        <w:tc>
          <w:tcPr>
            <w:tcW w:w="1137" w:type="dxa"/>
            <w:tcBorders>
              <w:top w:val="nil"/>
              <w:left w:val="nil"/>
              <w:bottom w:val="single" w:sz="4" w:space="0" w:color="auto"/>
              <w:right w:val="single" w:sz="4" w:space="0" w:color="auto"/>
            </w:tcBorders>
            <w:noWrap/>
            <w:vAlign w:val="center"/>
            <w:hideMark/>
          </w:tcPr>
          <w:p w14:paraId="7E7C86D9"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601,602</w:t>
            </w:r>
          </w:p>
        </w:tc>
        <w:tc>
          <w:tcPr>
            <w:tcW w:w="1137" w:type="dxa"/>
            <w:tcBorders>
              <w:top w:val="nil"/>
              <w:left w:val="nil"/>
              <w:bottom w:val="single" w:sz="4" w:space="0" w:color="auto"/>
              <w:right w:val="single" w:sz="4" w:space="0" w:color="auto"/>
            </w:tcBorders>
            <w:noWrap/>
            <w:vAlign w:val="center"/>
            <w:hideMark/>
          </w:tcPr>
          <w:p w14:paraId="0A4E2C85"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614,680</w:t>
            </w:r>
          </w:p>
        </w:tc>
        <w:tc>
          <w:tcPr>
            <w:tcW w:w="1137" w:type="dxa"/>
            <w:tcBorders>
              <w:top w:val="nil"/>
              <w:left w:val="nil"/>
              <w:bottom w:val="nil"/>
              <w:right w:val="nil"/>
            </w:tcBorders>
            <w:noWrap/>
            <w:vAlign w:val="bottom"/>
            <w:hideMark/>
          </w:tcPr>
          <w:p w14:paraId="740E9D31"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r>
      <w:tr w:rsidR="001867EE" w:rsidRPr="00441B4E" w14:paraId="1B47B946" w14:textId="77777777" w:rsidTr="00453BCB">
        <w:trPr>
          <w:trHeight w:val="299"/>
        </w:trPr>
        <w:tc>
          <w:tcPr>
            <w:tcW w:w="2988" w:type="dxa"/>
            <w:tcBorders>
              <w:top w:val="nil"/>
              <w:left w:val="single" w:sz="4" w:space="0" w:color="auto"/>
              <w:bottom w:val="single" w:sz="4" w:space="0" w:color="auto"/>
              <w:right w:val="single" w:sz="4" w:space="0" w:color="auto"/>
            </w:tcBorders>
            <w:noWrap/>
            <w:vAlign w:val="center"/>
            <w:hideMark/>
          </w:tcPr>
          <w:p w14:paraId="7F0F0148"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Gross Profit</w:t>
            </w:r>
          </w:p>
        </w:tc>
        <w:tc>
          <w:tcPr>
            <w:tcW w:w="2936" w:type="dxa"/>
            <w:tcBorders>
              <w:top w:val="nil"/>
              <w:left w:val="nil"/>
              <w:bottom w:val="single" w:sz="4" w:space="0" w:color="auto"/>
              <w:right w:val="single" w:sz="4" w:space="0" w:color="auto"/>
            </w:tcBorders>
            <w:noWrap/>
            <w:vAlign w:val="center"/>
            <w:hideMark/>
          </w:tcPr>
          <w:p w14:paraId="7DB126C1"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113,994</w:t>
            </w:r>
          </w:p>
        </w:tc>
        <w:tc>
          <w:tcPr>
            <w:tcW w:w="1137" w:type="dxa"/>
            <w:tcBorders>
              <w:top w:val="nil"/>
              <w:left w:val="nil"/>
              <w:bottom w:val="single" w:sz="4" w:space="0" w:color="auto"/>
              <w:right w:val="single" w:sz="4" w:space="0" w:color="auto"/>
            </w:tcBorders>
            <w:noWrap/>
            <w:vAlign w:val="center"/>
            <w:hideMark/>
          </w:tcPr>
          <w:p w14:paraId="1028C735"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97,560</w:t>
            </w:r>
          </w:p>
        </w:tc>
        <w:tc>
          <w:tcPr>
            <w:tcW w:w="1137" w:type="dxa"/>
            <w:tcBorders>
              <w:top w:val="nil"/>
              <w:left w:val="nil"/>
              <w:bottom w:val="single" w:sz="4" w:space="0" w:color="auto"/>
              <w:right w:val="single" w:sz="4" w:space="0" w:color="auto"/>
            </w:tcBorders>
            <w:noWrap/>
            <w:vAlign w:val="center"/>
            <w:hideMark/>
          </w:tcPr>
          <w:p w14:paraId="076EF0EF"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152,292</w:t>
            </w:r>
          </w:p>
        </w:tc>
        <w:tc>
          <w:tcPr>
            <w:tcW w:w="1137" w:type="dxa"/>
            <w:tcBorders>
              <w:top w:val="nil"/>
              <w:left w:val="nil"/>
              <w:bottom w:val="single" w:sz="4" w:space="0" w:color="auto"/>
              <w:right w:val="single" w:sz="4" w:space="0" w:color="auto"/>
            </w:tcBorders>
            <w:noWrap/>
            <w:vAlign w:val="center"/>
            <w:hideMark/>
          </w:tcPr>
          <w:p w14:paraId="461DA889"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173,016</w:t>
            </w:r>
          </w:p>
        </w:tc>
        <w:tc>
          <w:tcPr>
            <w:tcW w:w="1137" w:type="dxa"/>
            <w:tcBorders>
              <w:top w:val="nil"/>
              <w:left w:val="nil"/>
              <w:bottom w:val="single" w:sz="4" w:space="0" w:color="auto"/>
              <w:right w:val="single" w:sz="4" w:space="0" w:color="auto"/>
            </w:tcBorders>
            <w:noWrap/>
            <w:vAlign w:val="center"/>
            <w:hideMark/>
          </w:tcPr>
          <w:p w14:paraId="7AD773F2"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176,256</w:t>
            </w:r>
          </w:p>
        </w:tc>
        <w:tc>
          <w:tcPr>
            <w:tcW w:w="1137" w:type="dxa"/>
            <w:tcBorders>
              <w:top w:val="nil"/>
              <w:left w:val="nil"/>
              <w:bottom w:val="nil"/>
              <w:right w:val="nil"/>
            </w:tcBorders>
            <w:noWrap/>
            <w:vAlign w:val="bottom"/>
            <w:hideMark/>
          </w:tcPr>
          <w:p w14:paraId="3688057F"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r>
      <w:tr w:rsidR="001867EE" w:rsidRPr="00441B4E" w14:paraId="128AAAAC" w14:textId="77777777" w:rsidTr="00453BCB">
        <w:trPr>
          <w:trHeight w:val="299"/>
        </w:trPr>
        <w:tc>
          <w:tcPr>
            <w:tcW w:w="2988" w:type="dxa"/>
            <w:tcBorders>
              <w:top w:val="nil"/>
              <w:left w:val="single" w:sz="4" w:space="0" w:color="auto"/>
              <w:bottom w:val="single" w:sz="4" w:space="0" w:color="auto"/>
              <w:right w:val="single" w:sz="4" w:space="0" w:color="auto"/>
            </w:tcBorders>
            <w:noWrap/>
            <w:vAlign w:val="center"/>
            <w:hideMark/>
          </w:tcPr>
          <w:p w14:paraId="299B67A1"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Operating Income (Loss)</w:t>
            </w:r>
          </w:p>
        </w:tc>
        <w:tc>
          <w:tcPr>
            <w:tcW w:w="2936" w:type="dxa"/>
            <w:tcBorders>
              <w:top w:val="nil"/>
              <w:left w:val="nil"/>
              <w:bottom w:val="single" w:sz="4" w:space="0" w:color="auto"/>
              <w:right w:val="single" w:sz="4" w:space="0" w:color="auto"/>
            </w:tcBorders>
            <w:noWrap/>
            <w:vAlign w:val="center"/>
            <w:hideMark/>
          </w:tcPr>
          <w:p w14:paraId="49E363FA"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-15,297</w:t>
            </w:r>
          </w:p>
        </w:tc>
        <w:tc>
          <w:tcPr>
            <w:tcW w:w="1137" w:type="dxa"/>
            <w:tcBorders>
              <w:top w:val="nil"/>
              <w:left w:val="nil"/>
              <w:bottom w:val="single" w:sz="4" w:space="0" w:color="auto"/>
              <w:right w:val="single" w:sz="4" w:space="0" w:color="auto"/>
            </w:tcBorders>
            <w:noWrap/>
            <w:vAlign w:val="center"/>
            <w:hideMark/>
          </w:tcPr>
          <w:p w14:paraId="337F5B84"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-85,301</w:t>
            </w:r>
          </w:p>
        </w:tc>
        <w:tc>
          <w:tcPr>
            <w:tcW w:w="1137" w:type="dxa"/>
            <w:tcBorders>
              <w:top w:val="nil"/>
              <w:left w:val="nil"/>
              <w:bottom w:val="single" w:sz="4" w:space="0" w:color="auto"/>
              <w:right w:val="single" w:sz="4" w:space="0" w:color="auto"/>
            </w:tcBorders>
            <w:noWrap/>
            <w:vAlign w:val="center"/>
            <w:hideMark/>
          </w:tcPr>
          <w:p w14:paraId="37E6ADCC"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14,548</w:t>
            </w:r>
          </w:p>
        </w:tc>
        <w:tc>
          <w:tcPr>
            <w:tcW w:w="1137" w:type="dxa"/>
            <w:tcBorders>
              <w:top w:val="nil"/>
              <w:left w:val="nil"/>
              <w:bottom w:val="single" w:sz="4" w:space="0" w:color="auto"/>
              <w:right w:val="single" w:sz="4" w:space="0" w:color="auto"/>
            </w:tcBorders>
            <w:noWrap/>
            <w:vAlign w:val="center"/>
            <w:hideMark/>
          </w:tcPr>
          <w:p w14:paraId="27A63298"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23,253</w:t>
            </w:r>
          </w:p>
        </w:tc>
        <w:tc>
          <w:tcPr>
            <w:tcW w:w="1137" w:type="dxa"/>
            <w:tcBorders>
              <w:top w:val="nil"/>
              <w:left w:val="nil"/>
              <w:bottom w:val="single" w:sz="4" w:space="0" w:color="auto"/>
              <w:right w:val="single" w:sz="4" w:space="0" w:color="auto"/>
            </w:tcBorders>
            <w:noWrap/>
            <w:vAlign w:val="center"/>
            <w:hideMark/>
          </w:tcPr>
          <w:p w14:paraId="2DEFAFA3"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37,267</w:t>
            </w:r>
          </w:p>
        </w:tc>
        <w:tc>
          <w:tcPr>
            <w:tcW w:w="1137" w:type="dxa"/>
            <w:tcBorders>
              <w:top w:val="nil"/>
              <w:left w:val="nil"/>
              <w:bottom w:val="nil"/>
              <w:right w:val="nil"/>
            </w:tcBorders>
            <w:noWrap/>
            <w:vAlign w:val="bottom"/>
            <w:hideMark/>
          </w:tcPr>
          <w:p w14:paraId="5F31BF74"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r>
      <w:tr w:rsidR="001867EE" w:rsidRPr="00441B4E" w14:paraId="5F42AB04" w14:textId="77777777" w:rsidTr="00453BCB">
        <w:trPr>
          <w:trHeight w:val="299"/>
        </w:trPr>
        <w:tc>
          <w:tcPr>
            <w:tcW w:w="2988" w:type="dxa"/>
            <w:tcBorders>
              <w:top w:val="nil"/>
              <w:left w:val="single" w:sz="4" w:space="0" w:color="auto"/>
              <w:bottom w:val="single" w:sz="4" w:space="0" w:color="auto"/>
              <w:right w:val="single" w:sz="4" w:space="0" w:color="auto"/>
            </w:tcBorders>
            <w:noWrap/>
            <w:vAlign w:val="center"/>
            <w:hideMark/>
          </w:tcPr>
          <w:p w14:paraId="6CC240AE"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Net Income (Loss)</w:t>
            </w:r>
          </w:p>
        </w:tc>
        <w:tc>
          <w:tcPr>
            <w:tcW w:w="2936" w:type="dxa"/>
            <w:tcBorders>
              <w:top w:val="nil"/>
              <w:left w:val="nil"/>
              <w:bottom w:val="single" w:sz="4" w:space="0" w:color="auto"/>
              <w:right w:val="single" w:sz="4" w:space="0" w:color="auto"/>
            </w:tcBorders>
            <w:noWrap/>
            <w:vAlign w:val="center"/>
            <w:hideMark/>
          </w:tcPr>
          <w:p w14:paraId="733835E4"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-24,029</w:t>
            </w:r>
          </w:p>
        </w:tc>
        <w:tc>
          <w:tcPr>
            <w:tcW w:w="1137" w:type="dxa"/>
            <w:tcBorders>
              <w:top w:val="nil"/>
              <w:left w:val="nil"/>
              <w:bottom w:val="single" w:sz="4" w:space="0" w:color="auto"/>
              <w:right w:val="single" w:sz="4" w:space="0" w:color="auto"/>
            </w:tcBorders>
            <w:noWrap/>
            <w:vAlign w:val="center"/>
            <w:hideMark/>
          </w:tcPr>
          <w:p w14:paraId="4E784E35"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-98,238</w:t>
            </w:r>
          </w:p>
        </w:tc>
        <w:tc>
          <w:tcPr>
            <w:tcW w:w="1137" w:type="dxa"/>
            <w:tcBorders>
              <w:top w:val="nil"/>
              <w:left w:val="nil"/>
              <w:bottom w:val="single" w:sz="4" w:space="0" w:color="auto"/>
              <w:right w:val="single" w:sz="4" w:space="0" w:color="auto"/>
            </w:tcBorders>
            <w:noWrap/>
            <w:vAlign w:val="center"/>
            <w:hideMark/>
          </w:tcPr>
          <w:p w14:paraId="785D341F"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407</w:t>
            </w:r>
          </w:p>
        </w:tc>
        <w:tc>
          <w:tcPr>
            <w:tcW w:w="1137" w:type="dxa"/>
            <w:tcBorders>
              <w:top w:val="nil"/>
              <w:left w:val="nil"/>
              <w:bottom w:val="single" w:sz="4" w:space="0" w:color="auto"/>
              <w:right w:val="single" w:sz="4" w:space="0" w:color="auto"/>
            </w:tcBorders>
            <w:noWrap/>
            <w:vAlign w:val="center"/>
            <w:hideMark/>
          </w:tcPr>
          <w:p w14:paraId="2AA5868B"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5,301</w:t>
            </w:r>
          </w:p>
        </w:tc>
        <w:tc>
          <w:tcPr>
            <w:tcW w:w="1137" w:type="dxa"/>
            <w:tcBorders>
              <w:top w:val="nil"/>
              <w:left w:val="nil"/>
              <w:bottom w:val="single" w:sz="4" w:space="0" w:color="auto"/>
              <w:right w:val="single" w:sz="4" w:space="0" w:color="auto"/>
            </w:tcBorders>
            <w:noWrap/>
            <w:vAlign w:val="center"/>
            <w:hideMark/>
          </w:tcPr>
          <w:p w14:paraId="2B2750F3"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38,572</w:t>
            </w:r>
          </w:p>
        </w:tc>
        <w:tc>
          <w:tcPr>
            <w:tcW w:w="1137" w:type="dxa"/>
            <w:tcBorders>
              <w:top w:val="nil"/>
              <w:left w:val="nil"/>
              <w:bottom w:val="nil"/>
              <w:right w:val="nil"/>
            </w:tcBorders>
            <w:noWrap/>
            <w:vAlign w:val="bottom"/>
            <w:hideMark/>
          </w:tcPr>
          <w:p w14:paraId="1E593493"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r>
      <w:tr w:rsidR="001867EE" w:rsidRPr="00441B4E" w14:paraId="7300F32C" w14:textId="77777777" w:rsidTr="00453BCB">
        <w:trPr>
          <w:trHeight w:val="299"/>
        </w:trPr>
        <w:tc>
          <w:tcPr>
            <w:tcW w:w="2988" w:type="dxa"/>
            <w:tcBorders>
              <w:top w:val="nil"/>
              <w:left w:val="single" w:sz="4" w:space="0" w:color="auto"/>
              <w:bottom w:val="single" w:sz="4" w:space="0" w:color="auto"/>
              <w:right w:val="single" w:sz="4" w:space="0" w:color="auto"/>
            </w:tcBorders>
            <w:noWrap/>
            <w:vAlign w:val="center"/>
            <w:hideMark/>
          </w:tcPr>
          <w:p w14:paraId="1BA79A76"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Total Assets</w:t>
            </w:r>
          </w:p>
        </w:tc>
        <w:tc>
          <w:tcPr>
            <w:tcW w:w="2936" w:type="dxa"/>
            <w:tcBorders>
              <w:top w:val="nil"/>
              <w:left w:val="nil"/>
              <w:bottom w:val="single" w:sz="4" w:space="0" w:color="auto"/>
              <w:right w:val="single" w:sz="4" w:space="0" w:color="auto"/>
            </w:tcBorders>
            <w:noWrap/>
            <w:vAlign w:val="center"/>
            <w:hideMark/>
          </w:tcPr>
          <w:p w14:paraId="07DD6AD3"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323,354</w:t>
            </w:r>
          </w:p>
        </w:tc>
        <w:tc>
          <w:tcPr>
            <w:tcW w:w="1137" w:type="dxa"/>
            <w:tcBorders>
              <w:top w:val="nil"/>
              <w:left w:val="nil"/>
              <w:bottom w:val="single" w:sz="4" w:space="0" w:color="auto"/>
              <w:right w:val="single" w:sz="4" w:space="0" w:color="auto"/>
            </w:tcBorders>
            <w:noWrap/>
            <w:vAlign w:val="center"/>
            <w:hideMark/>
          </w:tcPr>
          <w:p w14:paraId="5457DED8"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355,872</w:t>
            </w:r>
          </w:p>
        </w:tc>
        <w:tc>
          <w:tcPr>
            <w:tcW w:w="1137" w:type="dxa"/>
            <w:tcBorders>
              <w:top w:val="nil"/>
              <w:left w:val="nil"/>
              <w:bottom w:val="single" w:sz="4" w:space="0" w:color="auto"/>
              <w:right w:val="single" w:sz="4" w:space="0" w:color="auto"/>
            </w:tcBorders>
            <w:noWrap/>
            <w:vAlign w:val="center"/>
            <w:hideMark/>
          </w:tcPr>
          <w:p w14:paraId="4A0CD52B"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504,163</w:t>
            </w:r>
          </w:p>
        </w:tc>
        <w:tc>
          <w:tcPr>
            <w:tcW w:w="1137" w:type="dxa"/>
            <w:tcBorders>
              <w:top w:val="nil"/>
              <w:left w:val="nil"/>
              <w:bottom w:val="single" w:sz="4" w:space="0" w:color="auto"/>
              <w:right w:val="single" w:sz="4" w:space="0" w:color="auto"/>
            </w:tcBorders>
            <w:noWrap/>
            <w:vAlign w:val="center"/>
            <w:hideMark/>
          </w:tcPr>
          <w:p w14:paraId="695A9E26"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510,348</w:t>
            </w:r>
          </w:p>
        </w:tc>
        <w:tc>
          <w:tcPr>
            <w:tcW w:w="1137" w:type="dxa"/>
            <w:tcBorders>
              <w:top w:val="nil"/>
              <w:left w:val="nil"/>
              <w:bottom w:val="single" w:sz="4" w:space="0" w:color="auto"/>
              <w:right w:val="single" w:sz="4" w:space="0" w:color="auto"/>
            </w:tcBorders>
            <w:noWrap/>
            <w:vAlign w:val="center"/>
            <w:hideMark/>
          </w:tcPr>
          <w:p w14:paraId="5471F53D"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510,290</w:t>
            </w:r>
          </w:p>
        </w:tc>
        <w:tc>
          <w:tcPr>
            <w:tcW w:w="1137" w:type="dxa"/>
            <w:tcBorders>
              <w:top w:val="nil"/>
              <w:left w:val="nil"/>
              <w:bottom w:val="nil"/>
              <w:right w:val="nil"/>
            </w:tcBorders>
            <w:noWrap/>
            <w:vAlign w:val="bottom"/>
            <w:hideMark/>
          </w:tcPr>
          <w:p w14:paraId="32DA1268"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r>
      <w:tr w:rsidR="001867EE" w:rsidRPr="00441B4E" w14:paraId="71A40702" w14:textId="77777777" w:rsidTr="00453BCB">
        <w:trPr>
          <w:trHeight w:val="299"/>
        </w:trPr>
        <w:tc>
          <w:tcPr>
            <w:tcW w:w="2988" w:type="dxa"/>
            <w:tcBorders>
              <w:top w:val="nil"/>
              <w:left w:val="single" w:sz="4" w:space="0" w:color="auto"/>
              <w:bottom w:val="single" w:sz="4" w:space="0" w:color="auto"/>
              <w:right w:val="single" w:sz="4" w:space="0" w:color="auto"/>
            </w:tcBorders>
            <w:noWrap/>
            <w:vAlign w:val="center"/>
            <w:hideMark/>
          </w:tcPr>
          <w:p w14:paraId="067DE58F"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Shareholders' Equity</w:t>
            </w:r>
          </w:p>
        </w:tc>
        <w:tc>
          <w:tcPr>
            <w:tcW w:w="2936" w:type="dxa"/>
            <w:tcBorders>
              <w:top w:val="nil"/>
              <w:left w:val="nil"/>
              <w:bottom w:val="single" w:sz="4" w:space="0" w:color="auto"/>
              <w:right w:val="single" w:sz="4" w:space="0" w:color="auto"/>
            </w:tcBorders>
            <w:noWrap/>
            <w:vAlign w:val="center"/>
            <w:hideMark/>
          </w:tcPr>
          <w:p w14:paraId="26DC5B1E"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153,105</w:t>
            </w:r>
          </w:p>
        </w:tc>
        <w:tc>
          <w:tcPr>
            <w:tcW w:w="1137" w:type="dxa"/>
            <w:tcBorders>
              <w:top w:val="nil"/>
              <w:left w:val="nil"/>
              <w:bottom w:val="single" w:sz="4" w:space="0" w:color="auto"/>
              <w:right w:val="single" w:sz="4" w:space="0" w:color="auto"/>
            </w:tcBorders>
            <w:noWrap/>
            <w:vAlign w:val="center"/>
            <w:hideMark/>
          </w:tcPr>
          <w:p w14:paraId="6EA06244"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178,920</w:t>
            </w:r>
          </w:p>
        </w:tc>
        <w:tc>
          <w:tcPr>
            <w:tcW w:w="1137" w:type="dxa"/>
            <w:tcBorders>
              <w:top w:val="nil"/>
              <w:left w:val="nil"/>
              <w:bottom w:val="single" w:sz="4" w:space="0" w:color="auto"/>
              <w:right w:val="single" w:sz="4" w:space="0" w:color="auto"/>
            </w:tcBorders>
            <w:noWrap/>
            <w:vAlign w:val="center"/>
            <w:hideMark/>
          </w:tcPr>
          <w:p w14:paraId="19E6B8C7"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268,406</w:t>
            </w:r>
          </w:p>
        </w:tc>
        <w:tc>
          <w:tcPr>
            <w:tcW w:w="1137" w:type="dxa"/>
            <w:tcBorders>
              <w:top w:val="nil"/>
              <w:left w:val="nil"/>
              <w:bottom w:val="single" w:sz="4" w:space="0" w:color="auto"/>
              <w:right w:val="single" w:sz="4" w:space="0" w:color="auto"/>
            </w:tcBorders>
            <w:noWrap/>
            <w:vAlign w:val="center"/>
            <w:hideMark/>
          </w:tcPr>
          <w:p w14:paraId="434B5753"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275,949</w:t>
            </w:r>
          </w:p>
        </w:tc>
        <w:tc>
          <w:tcPr>
            <w:tcW w:w="1137" w:type="dxa"/>
            <w:tcBorders>
              <w:top w:val="nil"/>
              <w:left w:val="nil"/>
              <w:bottom w:val="single" w:sz="4" w:space="0" w:color="auto"/>
              <w:right w:val="single" w:sz="4" w:space="0" w:color="auto"/>
            </w:tcBorders>
            <w:noWrap/>
            <w:vAlign w:val="center"/>
            <w:hideMark/>
          </w:tcPr>
          <w:p w14:paraId="3C61EB5C"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313,301</w:t>
            </w:r>
          </w:p>
        </w:tc>
        <w:tc>
          <w:tcPr>
            <w:tcW w:w="1137" w:type="dxa"/>
            <w:tcBorders>
              <w:top w:val="nil"/>
              <w:left w:val="nil"/>
              <w:bottom w:val="nil"/>
              <w:right w:val="nil"/>
            </w:tcBorders>
            <w:noWrap/>
            <w:vAlign w:val="bottom"/>
            <w:hideMark/>
          </w:tcPr>
          <w:p w14:paraId="138F0AF5"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r>
      <w:tr w:rsidR="001867EE" w:rsidRPr="00441B4E" w14:paraId="15189EB2" w14:textId="77777777" w:rsidTr="00453BCB">
        <w:trPr>
          <w:trHeight w:val="299"/>
        </w:trPr>
        <w:tc>
          <w:tcPr>
            <w:tcW w:w="2988" w:type="dxa"/>
            <w:tcBorders>
              <w:top w:val="nil"/>
              <w:left w:val="nil"/>
              <w:bottom w:val="nil"/>
              <w:right w:val="nil"/>
            </w:tcBorders>
            <w:noWrap/>
            <w:vAlign w:val="bottom"/>
            <w:hideMark/>
          </w:tcPr>
          <w:p w14:paraId="3CADC5CC"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2936" w:type="dxa"/>
            <w:tcBorders>
              <w:top w:val="nil"/>
              <w:left w:val="nil"/>
              <w:bottom w:val="nil"/>
              <w:right w:val="nil"/>
            </w:tcBorders>
            <w:noWrap/>
            <w:vAlign w:val="bottom"/>
            <w:hideMark/>
          </w:tcPr>
          <w:p w14:paraId="7189F680"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nil"/>
              <w:left w:val="nil"/>
              <w:bottom w:val="nil"/>
              <w:right w:val="nil"/>
            </w:tcBorders>
            <w:noWrap/>
            <w:vAlign w:val="bottom"/>
            <w:hideMark/>
          </w:tcPr>
          <w:p w14:paraId="54C29312"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nil"/>
              <w:left w:val="nil"/>
              <w:bottom w:val="nil"/>
              <w:right w:val="nil"/>
            </w:tcBorders>
            <w:noWrap/>
            <w:vAlign w:val="bottom"/>
            <w:hideMark/>
          </w:tcPr>
          <w:p w14:paraId="4790FC12"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nil"/>
              <w:left w:val="nil"/>
              <w:bottom w:val="nil"/>
              <w:right w:val="nil"/>
            </w:tcBorders>
            <w:noWrap/>
            <w:vAlign w:val="bottom"/>
            <w:hideMark/>
          </w:tcPr>
          <w:p w14:paraId="202312E9"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nil"/>
              <w:left w:val="nil"/>
              <w:bottom w:val="nil"/>
              <w:right w:val="nil"/>
            </w:tcBorders>
            <w:noWrap/>
            <w:vAlign w:val="bottom"/>
            <w:hideMark/>
          </w:tcPr>
          <w:p w14:paraId="7C993C59"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nil"/>
              <w:left w:val="nil"/>
              <w:bottom w:val="nil"/>
              <w:right w:val="nil"/>
            </w:tcBorders>
            <w:noWrap/>
            <w:vAlign w:val="bottom"/>
            <w:hideMark/>
          </w:tcPr>
          <w:p w14:paraId="1DAD1C05"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r>
      <w:tr w:rsidR="001867EE" w:rsidRPr="00441B4E" w14:paraId="7B24065A" w14:textId="77777777" w:rsidTr="00453BCB">
        <w:trPr>
          <w:trHeight w:val="389"/>
        </w:trPr>
        <w:tc>
          <w:tcPr>
            <w:tcW w:w="2988" w:type="dxa"/>
            <w:tcBorders>
              <w:top w:val="single" w:sz="4" w:space="0" w:color="auto"/>
              <w:left w:val="single" w:sz="4" w:space="0" w:color="auto"/>
              <w:bottom w:val="single" w:sz="4" w:space="0" w:color="auto"/>
              <w:right w:val="single" w:sz="4" w:space="0" w:color="auto"/>
            </w:tcBorders>
            <w:noWrap/>
            <w:vAlign w:val="center"/>
            <w:hideMark/>
          </w:tcPr>
          <w:p w14:paraId="6C8CD2F3" w14:textId="77777777" w:rsidR="001867EE" w:rsidRPr="00441B4E" w:rsidRDefault="001867EE" w:rsidP="001867EE">
            <w:pPr>
              <w:spacing w:line="240" w:lineRule="auto"/>
              <w:rPr>
                <w:rFonts w:ascii="Arial" w:eastAsia="Times New Roman" w:hAnsi="Arial" w:cs="Arial"/>
                <w:color w:val="0F1115"/>
                <w:szCs w:val="24"/>
              </w:rPr>
            </w:pPr>
            <w:r w:rsidRPr="00441B4E">
              <w:rPr>
                <w:rFonts w:ascii="Arial" w:eastAsia="Times New Roman" w:hAnsi="Arial" w:cs="Arial"/>
                <w:color w:val="0F1115"/>
                <w:szCs w:val="24"/>
              </w:rPr>
              <w:t>2. Liquidity Ratios</w:t>
            </w:r>
          </w:p>
        </w:tc>
        <w:tc>
          <w:tcPr>
            <w:tcW w:w="2936" w:type="dxa"/>
            <w:tcBorders>
              <w:top w:val="single" w:sz="4" w:space="0" w:color="auto"/>
              <w:left w:val="nil"/>
              <w:bottom w:val="single" w:sz="4" w:space="0" w:color="auto"/>
              <w:right w:val="single" w:sz="4" w:space="0" w:color="auto"/>
            </w:tcBorders>
            <w:noWrap/>
            <w:vAlign w:val="bottom"/>
            <w:hideMark/>
          </w:tcPr>
          <w:p w14:paraId="7185AEA2"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single" w:sz="4" w:space="0" w:color="auto"/>
              <w:left w:val="nil"/>
              <w:bottom w:val="single" w:sz="4" w:space="0" w:color="auto"/>
              <w:right w:val="single" w:sz="4" w:space="0" w:color="auto"/>
            </w:tcBorders>
            <w:noWrap/>
            <w:vAlign w:val="bottom"/>
            <w:hideMark/>
          </w:tcPr>
          <w:p w14:paraId="30896E85"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single" w:sz="4" w:space="0" w:color="auto"/>
              <w:left w:val="nil"/>
              <w:bottom w:val="single" w:sz="4" w:space="0" w:color="auto"/>
              <w:right w:val="single" w:sz="4" w:space="0" w:color="auto"/>
            </w:tcBorders>
            <w:noWrap/>
            <w:vAlign w:val="bottom"/>
            <w:hideMark/>
          </w:tcPr>
          <w:p w14:paraId="2361ACED"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single" w:sz="4" w:space="0" w:color="auto"/>
              <w:left w:val="nil"/>
              <w:bottom w:val="single" w:sz="4" w:space="0" w:color="auto"/>
              <w:right w:val="single" w:sz="4" w:space="0" w:color="auto"/>
            </w:tcBorders>
            <w:noWrap/>
            <w:vAlign w:val="bottom"/>
            <w:hideMark/>
          </w:tcPr>
          <w:p w14:paraId="7533B3F2"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single" w:sz="4" w:space="0" w:color="auto"/>
              <w:left w:val="nil"/>
              <w:bottom w:val="single" w:sz="4" w:space="0" w:color="auto"/>
              <w:right w:val="single" w:sz="4" w:space="0" w:color="auto"/>
            </w:tcBorders>
            <w:noWrap/>
            <w:vAlign w:val="bottom"/>
            <w:hideMark/>
          </w:tcPr>
          <w:p w14:paraId="5B8B3F6D"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single" w:sz="4" w:space="0" w:color="auto"/>
              <w:left w:val="nil"/>
              <w:bottom w:val="single" w:sz="4" w:space="0" w:color="auto"/>
              <w:right w:val="single" w:sz="4" w:space="0" w:color="auto"/>
            </w:tcBorders>
            <w:noWrap/>
            <w:vAlign w:val="bottom"/>
            <w:hideMark/>
          </w:tcPr>
          <w:p w14:paraId="080D23D3"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r>
      <w:tr w:rsidR="001867EE" w:rsidRPr="00441B4E" w14:paraId="5A1E7DC7" w14:textId="77777777" w:rsidTr="00453BCB">
        <w:trPr>
          <w:trHeight w:val="299"/>
        </w:trPr>
        <w:tc>
          <w:tcPr>
            <w:tcW w:w="2988" w:type="dxa"/>
            <w:tcBorders>
              <w:top w:val="nil"/>
              <w:left w:val="single" w:sz="4" w:space="0" w:color="auto"/>
              <w:bottom w:val="single" w:sz="4" w:space="0" w:color="auto"/>
              <w:right w:val="single" w:sz="4" w:space="0" w:color="auto"/>
            </w:tcBorders>
            <w:noWrap/>
            <w:vAlign w:val="center"/>
            <w:hideMark/>
          </w:tcPr>
          <w:p w14:paraId="3014AD72"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Ratio</w:t>
            </w:r>
          </w:p>
        </w:tc>
        <w:tc>
          <w:tcPr>
            <w:tcW w:w="2936" w:type="dxa"/>
            <w:tcBorders>
              <w:top w:val="nil"/>
              <w:left w:val="nil"/>
              <w:bottom w:val="single" w:sz="4" w:space="0" w:color="auto"/>
              <w:right w:val="single" w:sz="4" w:space="0" w:color="auto"/>
            </w:tcBorders>
            <w:noWrap/>
            <w:vAlign w:val="center"/>
            <w:hideMark/>
          </w:tcPr>
          <w:p w14:paraId="244EC6E8"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Formula</w:t>
            </w:r>
          </w:p>
        </w:tc>
        <w:tc>
          <w:tcPr>
            <w:tcW w:w="1137" w:type="dxa"/>
            <w:tcBorders>
              <w:top w:val="nil"/>
              <w:left w:val="nil"/>
              <w:bottom w:val="single" w:sz="4" w:space="0" w:color="auto"/>
              <w:right w:val="single" w:sz="4" w:space="0" w:color="auto"/>
            </w:tcBorders>
            <w:noWrap/>
            <w:vAlign w:val="center"/>
            <w:hideMark/>
          </w:tcPr>
          <w:p w14:paraId="7D31799C"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2024</w:t>
            </w:r>
          </w:p>
        </w:tc>
        <w:tc>
          <w:tcPr>
            <w:tcW w:w="1137" w:type="dxa"/>
            <w:tcBorders>
              <w:top w:val="nil"/>
              <w:left w:val="nil"/>
              <w:bottom w:val="single" w:sz="4" w:space="0" w:color="auto"/>
              <w:right w:val="single" w:sz="4" w:space="0" w:color="auto"/>
            </w:tcBorders>
            <w:noWrap/>
            <w:vAlign w:val="center"/>
            <w:hideMark/>
          </w:tcPr>
          <w:p w14:paraId="6E1352E0"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2023</w:t>
            </w:r>
          </w:p>
        </w:tc>
        <w:tc>
          <w:tcPr>
            <w:tcW w:w="1137" w:type="dxa"/>
            <w:tcBorders>
              <w:top w:val="nil"/>
              <w:left w:val="nil"/>
              <w:bottom w:val="single" w:sz="4" w:space="0" w:color="auto"/>
              <w:right w:val="single" w:sz="4" w:space="0" w:color="auto"/>
            </w:tcBorders>
            <w:noWrap/>
            <w:vAlign w:val="center"/>
            <w:hideMark/>
          </w:tcPr>
          <w:p w14:paraId="765F494B"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2022</w:t>
            </w:r>
          </w:p>
        </w:tc>
        <w:tc>
          <w:tcPr>
            <w:tcW w:w="1137" w:type="dxa"/>
            <w:tcBorders>
              <w:top w:val="nil"/>
              <w:left w:val="nil"/>
              <w:bottom w:val="single" w:sz="4" w:space="0" w:color="auto"/>
              <w:right w:val="single" w:sz="4" w:space="0" w:color="auto"/>
            </w:tcBorders>
            <w:noWrap/>
            <w:vAlign w:val="center"/>
            <w:hideMark/>
          </w:tcPr>
          <w:p w14:paraId="408BAE11"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2021</w:t>
            </w:r>
          </w:p>
        </w:tc>
        <w:tc>
          <w:tcPr>
            <w:tcW w:w="1137" w:type="dxa"/>
            <w:tcBorders>
              <w:top w:val="nil"/>
              <w:left w:val="nil"/>
              <w:bottom w:val="single" w:sz="4" w:space="0" w:color="auto"/>
              <w:right w:val="single" w:sz="4" w:space="0" w:color="auto"/>
            </w:tcBorders>
            <w:noWrap/>
            <w:vAlign w:val="center"/>
            <w:hideMark/>
          </w:tcPr>
          <w:p w14:paraId="49A1AAB3"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2020</w:t>
            </w:r>
          </w:p>
        </w:tc>
      </w:tr>
      <w:tr w:rsidR="001867EE" w:rsidRPr="00441B4E" w14:paraId="261E6FD0" w14:textId="77777777" w:rsidTr="00453BCB">
        <w:trPr>
          <w:trHeight w:val="299"/>
        </w:trPr>
        <w:tc>
          <w:tcPr>
            <w:tcW w:w="2988" w:type="dxa"/>
            <w:tcBorders>
              <w:top w:val="nil"/>
              <w:left w:val="single" w:sz="4" w:space="0" w:color="auto"/>
              <w:bottom w:val="single" w:sz="4" w:space="0" w:color="auto"/>
              <w:right w:val="single" w:sz="4" w:space="0" w:color="auto"/>
            </w:tcBorders>
            <w:noWrap/>
            <w:vAlign w:val="center"/>
            <w:hideMark/>
          </w:tcPr>
          <w:p w14:paraId="5ECC1295"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Current Ratio</w:t>
            </w:r>
          </w:p>
        </w:tc>
        <w:tc>
          <w:tcPr>
            <w:tcW w:w="2936" w:type="dxa"/>
            <w:tcBorders>
              <w:top w:val="nil"/>
              <w:left w:val="nil"/>
              <w:bottom w:val="single" w:sz="4" w:space="0" w:color="auto"/>
              <w:right w:val="single" w:sz="4" w:space="0" w:color="auto"/>
            </w:tcBorders>
            <w:noWrap/>
            <w:vAlign w:val="center"/>
            <w:hideMark/>
          </w:tcPr>
          <w:p w14:paraId="55F1CF6B"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Current Assets / Current Liabilities</w:t>
            </w:r>
          </w:p>
        </w:tc>
        <w:tc>
          <w:tcPr>
            <w:tcW w:w="1137" w:type="dxa"/>
            <w:tcBorders>
              <w:top w:val="nil"/>
              <w:left w:val="nil"/>
              <w:bottom w:val="single" w:sz="4" w:space="0" w:color="auto"/>
              <w:right w:val="single" w:sz="4" w:space="0" w:color="auto"/>
            </w:tcBorders>
            <w:noWrap/>
            <w:vAlign w:val="center"/>
            <w:hideMark/>
          </w:tcPr>
          <w:p w14:paraId="38AF2E4A"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1.53</w:t>
            </w:r>
          </w:p>
        </w:tc>
        <w:tc>
          <w:tcPr>
            <w:tcW w:w="1137" w:type="dxa"/>
            <w:tcBorders>
              <w:top w:val="nil"/>
              <w:left w:val="nil"/>
              <w:bottom w:val="single" w:sz="4" w:space="0" w:color="auto"/>
              <w:right w:val="single" w:sz="4" w:space="0" w:color="auto"/>
            </w:tcBorders>
            <w:noWrap/>
            <w:vAlign w:val="center"/>
            <w:hideMark/>
          </w:tcPr>
          <w:p w14:paraId="338F8E5F"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1.61</w:t>
            </w:r>
          </w:p>
        </w:tc>
        <w:tc>
          <w:tcPr>
            <w:tcW w:w="1137" w:type="dxa"/>
            <w:tcBorders>
              <w:top w:val="nil"/>
              <w:left w:val="nil"/>
              <w:bottom w:val="single" w:sz="4" w:space="0" w:color="auto"/>
              <w:right w:val="single" w:sz="4" w:space="0" w:color="auto"/>
            </w:tcBorders>
            <w:noWrap/>
            <w:vAlign w:val="center"/>
            <w:hideMark/>
          </w:tcPr>
          <w:p w14:paraId="2555A2E9"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1.56</w:t>
            </w:r>
          </w:p>
        </w:tc>
        <w:tc>
          <w:tcPr>
            <w:tcW w:w="1137" w:type="dxa"/>
            <w:tcBorders>
              <w:top w:val="nil"/>
              <w:left w:val="nil"/>
              <w:bottom w:val="single" w:sz="4" w:space="0" w:color="auto"/>
              <w:right w:val="single" w:sz="4" w:space="0" w:color="auto"/>
            </w:tcBorders>
            <w:noWrap/>
            <w:vAlign w:val="center"/>
            <w:hideMark/>
          </w:tcPr>
          <w:p w14:paraId="61579AA9"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1.56</w:t>
            </w:r>
          </w:p>
        </w:tc>
        <w:tc>
          <w:tcPr>
            <w:tcW w:w="1137" w:type="dxa"/>
            <w:tcBorders>
              <w:top w:val="nil"/>
              <w:left w:val="nil"/>
              <w:bottom w:val="single" w:sz="4" w:space="0" w:color="auto"/>
              <w:right w:val="single" w:sz="4" w:space="0" w:color="auto"/>
            </w:tcBorders>
            <w:noWrap/>
            <w:vAlign w:val="center"/>
            <w:hideMark/>
          </w:tcPr>
          <w:p w14:paraId="78D53350"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1.82</w:t>
            </w:r>
          </w:p>
        </w:tc>
      </w:tr>
      <w:tr w:rsidR="001867EE" w:rsidRPr="00441B4E" w14:paraId="10F28444" w14:textId="77777777" w:rsidTr="00453BCB">
        <w:trPr>
          <w:trHeight w:val="299"/>
        </w:trPr>
        <w:tc>
          <w:tcPr>
            <w:tcW w:w="2988" w:type="dxa"/>
            <w:tcBorders>
              <w:top w:val="nil"/>
              <w:left w:val="single" w:sz="4" w:space="0" w:color="auto"/>
              <w:bottom w:val="single" w:sz="4" w:space="0" w:color="auto"/>
              <w:right w:val="single" w:sz="4" w:space="0" w:color="auto"/>
            </w:tcBorders>
            <w:noWrap/>
            <w:vAlign w:val="center"/>
            <w:hideMark/>
          </w:tcPr>
          <w:p w14:paraId="78B439D4"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Quick Ratio</w:t>
            </w:r>
          </w:p>
        </w:tc>
        <w:tc>
          <w:tcPr>
            <w:tcW w:w="2936" w:type="dxa"/>
            <w:tcBorders>
              <w:top w:val="nil"/>
              <w:left w:val="nil"/>
              <w:bottom w:val="single" w:sz="4" w:space="0" w:color="auto"/>
              <w:right w:val="single" w:sz="4" w:space="0" w:color="auto"/>
            </w:tcBorders>
            <w:noWrap/>
            <w:vAlign w:val="center"/>
            <w:hideMark/>
          </w:tcPr>
          <w:p w14:paraId="351B6DDB"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(Cash + Receivables) / Current Liabilities</w:t>
            </w:r>
          </w:p>
        </w:tc>
        <w:tc>
          <w:tcPr>
            <w:tcW w:w="1137" w:type="dxa"/>
            <w:tcBorders>
              <w:top w:val="nil"/>
              <w:left w:val="nil"/>
              <w:bottom w:val="single" w:sz="4" w:space="0" w:color="auto"/>
              <w:right w:val="single" w:sz="4" w:space="0" w:color="auto"/>
            </w:tcBorders>
            <w:noWrap/>
            <w:vAlign w:val="center"/>
            <w:hideMark/>
          </w:tcPr>
          <w:p w14:paraId="78523D80"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0.96</w:t>
            </w:r>
          </w:p>
        </w:tc>
        <w:tc>
          <w:tcPr>
            <w:tcW w:w="1137" w:type="dxa"/>
            <w:tcBorders>
              <w:top w:val="nil"/>
              <w:left w:val="nil"/>
              <w:bottom w:val="single" w:sz="4" w:space="0" w:color="auto"/>
              <w:right w:val="single" w:sz="4" w:space="0" w:color="auto"/>
            </w:tcBorders>
            <w:noWrap/>
            <w:vAlign w:val="center"/>
            <w:hideMark/>
          </w:tcPr>
          <w:p w14:paraId="060E5AA1"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0.99</w:t>
            </w:r>
          </w:p>
        </w:tc>
        <w:tc>
          <w:tcPr>
            <w:tcW w:w="1137" w:type="dxa"/>
            <w:tcBorders>
              <w:top w:val="nil"/>
              <w:left w:val="nil"/>
              <w:bottom w:val="single" w:sz="4" w:space="0" w:color="auto"/>
              <w:right w:val="single" w:sz="4" w:space="0" w:color="auto"/>
            </w:tcBorders>
            <w:noWrap/>
            <w:vAlign w:val="center"/>
            <w:hideMark/>
          </w:tcPr>
          <w:p w14:paraId="6FB7812B"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0.86</w:t>
            </w:r>
          </w:p>
        </w:tc>
        <w:tc>
          <w:tcPr>
            <w:tcW w:w="1137" w:type="dxa"/>
            <w:tcBorders>
              <w:top w:val="nil"/>
              <w:left w:val="nil"/>
              <w:bottom w:val="single" w:sz="4" w:space="0" w:color="auto"/>
              <w:right w:val="single" w:sz="4" w:space="0" w:color="auto"/>
            </w:tcBorders>
            <w:noWrap/>
            <w:vAlign w:val="center"/>
            <w:hideMark/>
          </w:tcPr>
          <w:p w14:paraId="6DE32EAD"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0.90</w:t>
            </w:r>
          </w:p>
        </w:tc>
        <w:tc>
          <w:tcPr>
            <w:tcW w:w="1137" w:type="dxa"/>
            <w:tcBorders>
              <w:top w:val="nil"/>
              <w:left w:val="nil"/>
              <w:bottom w:val="single" w:sz="4" w:space="0" w:color="auto"/>
              <w:right w:val="single" w:sz="4" w:space="0" w:color="auto"/>
            </w:tcBorders>
            <w:noWrap/>
            <w:vAlign w:val="center"/>
            <w:hideMark/>
          </w:tcPr>
          <w:p w14:paraId="3F829DF5"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1.09</w:t>
            </w:r>
          </w:p>
        </w:tc>
      </w:tr>
      <w:tr w:rsidR="001867EE" w:rsidRPr="00441B4E" w14:paraId="04013F7F" w14:textId="77777777" w:rsidTr="00453BCB">
        <w:trPr>
          <w:trHeight w:val="299"/>
        </w:trPr>
        <w:tc>
          <w:tcPr>
            <w:tcW w:w="2988" w:type="dxa"/>
            <w:tcBorders>
              <w:top w:val="nil"/>
              <w:left w:val="single" w:sz="4" w:space="0" w:color="auto"/>
              <w:bottom w:val="single" w:sz="4" w:space="0" w:color="auto"/>
              <w:right w:val="single" w:sz="4" w:space="0" w:color="auto"/>
            </w:tcBorders>
            <w:noWrap/>
            <w:vAlign w:val="center"/>
            <w:hideMark/>
          </w:tcPr>
          <w:p w14:paraId="42C8EA63"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Cash Ratio</w:t>
            </w:r>
          </w:p>
        </w:tc>
        <w:tc>
          <w:tcPr>
            <w:tcW w:w="2936" w:type="dxa"/>
            <w:tcBorders>
              <w:top w:val="nil"/>
              <w:left w:val="nil"/>
              <w:bottom w:val="single" w:sz="4" w:space="0" w:color="auto"/>
              <w:right w:val="single" w:sz="4" w:space="0" w:color="auto"/>
            </w:tcBorders>
            <w:noWrap/>
            <w:vAlign w:val="center"/>
            <w:hideMark/>
          </w:tcPr>
          <w:p w14:paraId="30D4AEF5"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Cash / Current Liabilities</w:t>
            </w:r>
          </w:p>
        </w:tc>
        <w:tc>
          <w:tcPr>
            <w:tcW w:w="1137" w:type="dxa"/>
            <w:tcBorders>
              <w:top w:val="nil"/>
              <w:left w:val="nil"/>
              <w:bottom w:val="single" w:sz="4" w:space="0" w:color="auto"/>
              <w:right w:val="single" w:sz="4" w:space="0" w:color="auto"/>
            </w:tcBorders>
            <w:noWrap/>
            <w:vAlign w:val="center"/>
            <w:hideMark/>
          </w:tcPr>
          <w:p w14:paraId="6A48C26B"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0.17</w:t>
            </w:r>
          </w:p>
        </w:tc>
        <w:tc>
          <w:tcPr>
            <w:tcW w:w="1137" w:type="dxa"/>
            <w:tcBorders>
              <w:top w:val="nil"/>
              <w:left w:val="nil"/>
              <w:bottom w:val="single" w:sz="4" w:space="0" w:color="auto"/>
              <w:right w:val="single" w:sz="4" w:space="0" w:color="auto"/>
            </w:tcBorders>
            <w:noWrap/>
            <w:vAlign w:val="center"/>
            <w:hideMark/>
          </w:tcPr>
          <w:p w14:paraId="045785C6"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0.27</w:t>
            </w:r>
          </w:p>
        </w:tc>
        <w:tc>
          <w:tcPr>
            <w:tcW w:w="1137" w:type="dxa"/>
            <w:tcBorders>
              <w:top w:val="nil"/>
              <w:left w:val="nil"/>
              <w:bottom w:val="single" w:sz="4" w:space="0" w:color="auto"/>
              <w:right w:val="single" w:sz="4" w:space="0" w:color="auto"/>
            </w:tcBorders>
            <w:noWrap/>
            <w:vAlign w:val="center"/>
            <w:hideMark/>
          </w:tcPr>
          <w:p w14:paraId="2CB3BCEC"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0.31</w:t>
            </w:r>
          </w:p>
        </w:tc>
        <w:tc>
          <w:tcPr>
            <w:tcW w:w="1137" w:type="dxa"/>
            <w:tcBorders>
              <w:top w:val="nil"/>
              <w:left w:val="nil"/>
              <w:bottom w:val="single" w:sz="4" w:space="0" w:color="auto"/>
              <w:right w:val="single" w:sz="4" w:space="0" w:color="auto"/>
            </w:tcBorders>
            <w:noWrap/>
            <w:vAlign w:val="center"/>
            <w:hideMark/>
          </w:tcPr>
          <w:p w14:paraId="066361DC"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0.28</w:t>
            </w:r>
          </w:p>
        </w:tc>
        <w:tc>
          <w:tcPr>
            <w:tcW w:w="1137" w:type="dxa"/>
            <w:tcBorders>
              <w:top w:val="nil"/>
              <w:left w:val="nil"/>
              <w:bottom w:val="single" w:sz="4" w:space="0" w:color="auto"/>
              <w:right w:val="single" w:sz="4" w:space="0" w:color="auto"/>
            </w:tcBorders>
            <w:noWrap/>
            <w:vAlign w:val="center"/>
            <w:hideMark/>
          </w:tcPr>
          <w:p w14:paraId="2DADEA46"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0.32</w:t>
            </w:r>
          </w:p>
        </w:tc>
      </w:tr>
      <w:tr w:rsidR="001867EE" w:rsidRPr="00441B4E" w14:paraId="3D61363D" w14:textId="77777777" w:rsidTr="00453BCB">
        <w:trPr>
          <w:trHeight w:val="299"/>
        </w:trPr>
        <w:tc>
          <w:tcPr>
            <w:tcW w:w="2988" w:type="dxa"/>
            <w:tcBorders>
              <w:top w:val="nil"/>
              <w:left w:val="nil"/>
              <w:bottom w:val="nil"/>
              <w:right w:val="nil"/>
            </w:tcBorders>
            <w:noWrap/>
            <w:vAlign w:val="bottom"/>
            <w:hideMark/>
          </w:tcPr>
          <w:p w14:paraId="3EEDAA3A"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2936" w:type="dxa"/>
            <w:tcBorders>
              <w:top w:val="nil"/>
              <w:left w:val="nil"/>
              <w:bottom w:val="nil"/>
              <w:right w:val="nil"/>
            </w:tcBorders>
            <w:noWrap/>
            <w:vAlign w:val="bottom"/>
            <w:hideMark/>
          </w:tcPr>
          <w:p w14:paraId="3EA84AA9"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nil"/>
              <w:left w:val="nil"/>
              <w:bottom w:val="nil"/>
              <w:right w:val="nil"/>
            </w:tcBorders>
            <w:noWrap/>
            <w:vAlign w:val="bottom"/>
            <w:hideMark/>
          </w:tcPr>
          <w:p w14:paraId="59451C32"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nil"/>
              <w:left w:val="nil"/>
              <w:bottom w:val="nil"/>
              <w:right w:val="nil"/>
            </w:tcBorders>
            <w:noWrap/>
            <w:vAlign w:val="bottom"/>
            <w:hideMark/>
          </w:tcPr>
          <w:p w14:paraId="4B578C18"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nil"/>
              <w:left w:val="nil"/>
              <w:bottom w:val="nil"/>
              <w:right w:val="nil"/>
            </w:tcBorders>
            <w:noWrap/>
            <w:vAlign w:val="bottom"/>
            <w:hideMark/>
          </w:tcPr>
          <w:p w14:paraId="78A65E11"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nil"/>
              <w:left w:val="nil"/>
              <w:bottom w:val="nil"/>
              <w:right w:val="nil"/>
            </w:tcBorders>
            <w:noWrap/>
            <w:vAlign w:val="bottom"/>
            <w:hideMark/>
          </w:tcPr>
          <w:p w14:paraId="21739ADA"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nil"/>
              <w:left w:val="nil"/>
              <w:bottom w:val="nil"/>
              <w:right w:val="nil"/>
            </w:tcBorders>
            <w:noWrap/>
            <w:vAlign w:val="bottom"/>
            <w:hideMark/>
          </w:tcPr>
          <w:p w14:paraId="6B086D97"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r>
      <w:tr w:rsidR="001867EE" w:rsidRPr="00441B4E" w14:paraId="3D85DF69" w14:textId="77777777" w:rsidTr="00453BCB">
        <w:trPr>
          <w:trHeight w:val="314"/>
        </w:trPr>
        <w:tc>
          <w:tcPr>
            <w:tcW w:w="2988" w:type="dxa"/>
            <w:tcBorders>
              <w:top w:val="nil"/>
              <w:left w:val="nil"/>
              <w:bottom w:val="nil"/>
              <w:right w:val="nil"/>
            </w:tcBorders>
            <w:noWrap/>
            <w:vAlign w:val="center"/>
            <w:hideMark/>
          </w:tcPr>
          <w:p w14:paraId="556A89B7" w14:textId="77777777" w:rsidR="001867EE" w:rsidRPr="00441B4E" w:rsidRDefault="001867EE" w:rsidP="001867EE">
            <w:pPr>
              <w:spacing w:line="240" w:lineRule="auto"/>
              <w:rPr>
                <w:rFonts w:ascii="Arial" w:eastAsia="Times New Roman" w:hAnsi="Arial" w:cs="Arial"/>
                <w:color w:val="0F1115"/>
                <w:szCs w:val="24"/>
              </w:rPr>
            </w:pPr>
            <w:r w:rsidRPr="00441B4E">
              <w:rPr>
                <w:rFonts w:ascii="Arial" w:eastAsia="Times New Roman" w:hAnsi="Arial" w:cs="Arial"/>
                <w:color w:val="0F1115"/>
                <w:szCs w:val="24"/>
              </w:rPr>
              <w:t xml:space="preserve"> Values for Liquidity (£m):</w:t>
            </w:r>
          </w:p>
        </w:tc>
        <w:tc>
          <w:tcPr>
            <w:tcW w:w="2936" w:type="dxa"/>
            <w:tcBorders>
              <w:top w:val="nil"/>
              <w:left w:val="nil"/>
              <w:bottom w:val="nil"/>
              <w:right w:val="nil"/>
            </w:tcBorders>
            <w:noWrap/>
            <w:vAlign w:val="bottom"/>
            <w:hideMark/>
          </w:tcPr>
          <w:p w14:paraId="73321D39"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nil"/>
              <w:left w:val="nil"/>
              <w:bottom w:val="nil"/>
              <w:right w:val="nil"/>
            </w:tcBorders>
            <w:noWrap/>
            <w:vAlign w:val="bottom"/>
            <w:hideMark/>
          </w:tcPr>
          <w:p w14:paraId="64981B8D"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nil"/>
              <w:left w:val="nil"/>
              <w:bottom w:val="nil"/>
              <w:right w:val="nil"/>
            </w:tcBorders>
            <w:noWrap/>
            <w:vAlign w:val="bottom"/>
            <w:hideMark/>
          </w:tcPr>
          <w:p w14:paraId="3A65D633"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nil"/>
              <w:left w:val="nil"/>
              <w:bottom w:val="nil"/>
              <w:right w:val="nil"/>
            </w:tcBorders>
            <w:noWrap/>
            <w:vAlign w:val="bottom"/>
            <w:hideMark/>
          </w:tcPr>
          <w:p w14:paraId="6FD74488"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nil"/>
              <w:left w:val="nil"/>
              <w:bottom w:val="nil"/>
              <w:right w:val="nil"/>
            </w:tcBorders>
            <w:noWrap/>
            <w:vAlign w:val="bottom"/>
            <w:hideMark/>
          </w:tcPr>
          <w:p w14:paraId="306D05BA"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nil"/>
              <w:left w:val="nil"/>
              <w:bottom w:val="nil"/>
              <w:right w:val="nil"/>
            </w:tcBorders>
            <w:noWrap/>
            <w:vAlign w:val="bottom"/>
            <w:hideMark/>
          </w:tcPr>
          <w:p w14:paraId="61816ED6"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r>
      <w:tr w:rsidR="001867EE" w:rsidRPr="00441B4E" w14:paraId="3920BCE3" w14:textId="77777777" w:rsidTr="00453BCB">
        <w:trPr>
          <w:trHeight w:val="299"/>
        </w:trPr>
        <w:tc>
          <w:tcPr>
            <w:tcW w:w="2988" w:type="dxa"/>
            <w:tcBorders>
              <w:top w:val="single" w:sz="4" w:space="0" w:color="auto"/>
              <w:left w:val="single" w:sz="4" w:space="0" w:color="auto"/>
              <w:bottom w:val="single" w:sz="4" w:space="0" w:color="auto"/>
              <w:right w:val="single" w:sz="4" w:space="0" w:color="auto"/>
            </w:tcBorders>
            <w:noWrap/>
            <w:vAlign w:val="center"/>
            <w:hideMark/>
          </w:tcPr>
          <w:p w14:paraId="53D8868D"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Item</w:t>
            </w:r>
          </w:p>
        </w:tc>
        <w:tc>
          <w:tcPr>
            <w:tcW w:w="2936" w:type="dxa"/>
            <w:tcBorders>
              <w:top w:val="single" w:sz="4" w:space="0" w:color="auto"/>
              <w:left w:val="nil"/>
              <w:bottom w:val="single" w:sz="4" w:space="0" w:color="auto"/>
              <w:right w:val="single" w:sz="4" w:space="0" w:color="auto"/>
            </w:tcBorders>
            <w:noWrap/>
            <w:vAlign w:val="center"/>
            <w:hideMark/>
          </w:tcPr>
          <w:p w14:paraId="34AEAD09"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2024</w:t>
            </w:r>
          </w:p>
        </w:tc>
        <w:tc>
          <w:tcPr>
            <w:tcW w:w="1137" w:type="dxa"/>
            <w:tcBorders>
              <w:top w:val="single" w:sz="4" w:space="0" w:color="auto"/>
              <w:left w:val="nil"/>
              <w:bottom w:val="single" w:sz="4" w:space="0" w:color="auto"/>
              <w:right w:val="single" w:sz="4" w:space="0" w:color="auto"/>
            </w:tcBorders>
            <w:noWrap/>
            <w:vAlign w:val="center"/>
            <w:hideMark/>
          </w:tcPr>
          <w:p w14:paraId="2C30F5A2"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2023</w:t>
            </w:r>
          </w:p>
        </w:tc>
        <w:tc>
          <w:tcPr>
            <w:tcW w:w="1137" w:type="dxa"/>
            <w:tcBorders>
              <w:top w:val="single" w:sz="4" w:space="0" w:color="auto"/>
              <w:left w:val="nil"/>
              <w:bottom w:val="single" w:sz="4" w:space="0" w:color="auto"/>
              <w:right w:val="single" w:sz="4" w:space="0" w:color="auto"/>
            </w:tcBorders>
            <w:noWrap/>
            <w:vAlign w:val="center"/>
            <w:hideMark/>
          </w:tcPr>
          <w:p w14:paraId="6D4C06A4"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2022</w:t>
            </w:r>
          </w:p>
        </w:tc>
        <w:tc>
          <w:tcPr>
            <w:tcW w:w="1137" w:type="dxa"/>
            <w:tcBorders>
              <w:top w:val="single" w:sz="4" w:space="0" w:color="auto"/>
              <w:left w:val="nil"/>
              <w:bottom w:val="single" w:sz="4" w:space="0" w:color="auto"/>
              <w:right w:val="single" w:sz="4" w:space="0" w:color="auto"/>
            </w:tcBorders>
            <w:noWrap/>
            <w:vAlign w:val="center"/>
            <w:hideMark/>
          </w:tcPr>
          <w:p w14:paraId="18A7A3A9"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2021</w:t>
            </w:r>
          </w:p>
        </w:tc>
        <w:tc>
          <w:tcPr>
            <w:tcW w:w="1137" w:type="dxa"/>
            <w:tcBorders>
              <w:top w:val="single" w:sz="4" w:space="0" w:color="auto"/>
              <w:left w:val="nil"/>
              <w:bottom w:val="single" w:sz="4" w:space="0" w:color="auto"/>
              <w:right w:val="single" w:sz="4" w:space="0" w:color="auto"/>
            </w:tcBorders>
            <w:noWrap/>
            <w:vAlign w:val="center"/>
            <w:hideMark/>
          </w:tcPr>
          <w:p w14:paraId="723E5B64"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2020</w:t>
            </w:r>
          </w:p>
        </w:tc>
        <w:tc>
          <w:tcPr>
            <w:tcW w:w="1137" w:type="dxa"/>
            <w:tcBorders>
              <w:top w:val="single" w:sz="4" w:space="0" w:color="auto"/>
              <w:left w:val="nil"/>
              <w:bottom w:val="single" w:sz="4" w:space="0" w:color="auto"/>
              <w:right w:val="single" w:sz="4" w:space="0" w:color="auto"/>
            </w:tcBorders>
            <w:noWrap/>
            <w:vAlign w:val="bottom"/>
            <w:hideMark/>
          </w:tcPr>
          <w:p w14:paraId="5D44F2BA"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r>
      <w:tr w:rsidR="001867EE" w:rsidRPr="00441B4E" w14:paraId="4AA0A4EC" w14:textId="77777777" w:rsidTr="00453BCB">
        <w:trPr>
          <w:trHeight w:val="299"/>
        </w:trPr>
        <w:tc>
          <w:tcPr>
            <w:tcW w:w="2988" w:type="dxa"/>
            <w:tcBorders>
              <w:top w:val="nil"/>
              <w:left w:val="single" w:sz="4" w:space="0" w:color="auto"/>
              <w:bottom w:val="single" w:sz="4" w:space="0" w:color="auto"/>
              <w:right w:val="single" w:sz="4" w:space="0" w:color="auto"/>
            </w:tcBorders>
            <w:noWrap/>
            <w:vAlign w:val="center"/>
            <w:hideMark/>
          </w:tcPr>
          <w:p w14:paraId="37FB18D9"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Cash and Cash Equivalents</w:t>
            </w:r>
          </w:p>
        </w:tc>
        <w:tc>
          <w:tcPr>
            <w:tcW w:w="2936" w:type="dxa"/>
            <w:tcBorders>
              <w:top w:val="nil"/>
              <w:left w:val="nil"/>
              <w:bottom w:val="single" w:sz="4" w:space="0" w:color="auto"/>
              <w:right w:val="single" w:sz="4" w:space="0" w:color="auto"/>
            </w:tcBorders>
            <w:noWrap/>
            <w:vAlign w:val="center"/>
            <w:hideMark/>
          </w:tcPr>
          <w:p w14:paraId="36F50224"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26,783</w:t>
            </w:r>
          </w:p>
        </w:tc>
        <w:tc>
          <w:tcPr>
            <w:tcW w:w="1137" w:type="dxa"/>
            <w:tcBorders>
              <w:top w:val="nil"/>
              <w:left w:val="nil"/>
              <w:bottom w:val="single" w:sz="4" w:space="0" w:color="auto"/>
              <w:right w:val="single" w:sz="4" w:space="0" w:color="auto"/>
            </w:tcBorders>
            <w:noWrap/>
            <w:vAlign w:val="center"/>
            <w:hideMark/>
          </w:tcPr>
          <w:p w14:paraId="705FF997"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42,751</w:t>
            </w:r>
          </w:p>
        </w:tc>
        <w:tc>
          <w:tcPr>
            <w:tcW w:w="1137" w:type="dxa"/>
            <w:tcBorders>
              <w:top w:val="nil"/>
              <w:left w:val="nil"/>
              <w:bottom w:val="single" w:sz="4" w:space="0" w:color="auto"/>
              <w:right w:val="single" w:sz="4" w:space="0" w:color="auto"/>
            </w:tcBorders>
            <w:noWrap/>
            <w:vAlign w:val="center"/>
            <w:hideMark/>
          </w:tcPr>
          <w:p w14:paraId="2CF6FFE1"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66,740</w:t>
            </w:r>
          </w:p>
        </w:tc>
        <w:tc>
          <w:tcPr>
            <w:tcW w:w="1137" w:type="dxa"/>
            <w:tcBorders>
              <w:top w:val="nil"/>
              <w:left w:val="nil"/>
              <w:bottom w:val="single" w:sz="4" w:space="0" w:color="auto"/>
              <w:right w:val="single" w:sz="4" w:space="0" w:color="auto"/>
            </w:tcBorders>
            <w:noWrap/>
            <w:vAlign w:val="center"/>
            <w:hideMark/>
          </w:tcPr>
          <w:p w14:paraId="1AC3357B"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60,813</w:t>
            </w:r>
          </w:p>
        </w:tc>
        <w:tc>
          <w:tcPr>
            <w:tcW w:w="1137" w:type="dxa"/>
            <w:tcBorders>
              <w:top w:val="nil"/>
              <w:left w:val="nil"/>
              <w:bottom w:val="single" w:sz="4" w:space="0" w:color="auto"/>
              <w:right w:val="single" w:sz="4" w:space="0" w:color="auto"/>
            </w:tcBorders>
            <w:noWrap/>
            <w:vAlign w:val="center"/>
            <w:hideMark/>
          </w:tcPr>
          <w:p w14:paraId="4DE761E3"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57,153</w:t>
            </w:r>
          </w:p>
        </w:tc>
        <w:tc>
          <w:tcPr>
            <w:tcW w:w="1137" w:type="dxa"/>
            <w:tcBorders>
              <w:top w:val="nil"/>
              <w:left w:val="nil"/>
              <w:bottom w:val="single" w:sz="4" w:space="0" w:color="auto"/>
              <w:right w:val="single" w:sz="4" w:space="0" w:color="auto"/>
            </w:tcBorders>
            <w:noWrap/>
            <w:vAlign w:val="bottom"/>
            <w:hideMark/>
          </w:tcPr>
          <w:p w14:paraId="40A30FC4"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r>
      <w:tr w:rsidR="001867EE" w:rsidRPr="00441B4E" w14:paraId="0899F8A1" w14:textId="77777777" w:rsidTr="00453BCB">
        <w:trPr>
          <w:trHeight w:val="299"/>
        </w:trPr>
        <w:tc>
          <w:tcPr>
            <w:tcW w:w="2988" w:type="dxa"/>
            <w:tcBorders>
              <w:top w:val="nil"/>
              <w:left w:val="single" w:sz="4" w:space="0" w:color="auto"/>
              <w:bottom w:val="single" w:sz="4" w:space="0" w:color="auto"/>
              <w:right w:val="single" w:sz="4" w:space="0" w:color="auto"/>
            </w:tcBorders>
            <w:noWrap/>
            <w:vAlign w:val="center"/>
            <w:hideMark/>
          </w:tcPr>
          <w:p w14:paraId="0FE3DFF5"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Receivables Total</w:t>
            </w:r>
          </w:p>
        </w:tc>
        <w:tc>
          <w:tcPr>
            <w:tcW w:w="2936" w:type="dxa"/>
            <w:tcBorders>
              <w:top w:val="nil"/>
              <w:left w:val="nil"/>
              <w:bottom w:val="single" w:sz="4" w:space="0" w:color="auto"/>
              <w:right w:val="single" w:sz="4" w:space="0" w:color="auto"/>
            </w:tcBorders>
            <w:noWrap/>
            <w:vAlign w:val="center"/>
            <w:hideMark/>
          </w:tcPr>
          <w:p w14:paraId="341374E6"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124,528</w:t>
            </w:r>
          </w:p>
        </w:tc>
        <w:tc>
          <w:tcPr>
            <w:tcW w:w="1137" w:type="dxa"/>
            <w:tcBorders>
              <w:top w:val="nil"/>
              <w:left w:val="nil"/>
              <w:bottom w:val="single" w:sz="4" w:space="0" w:color="auto"/>
              <w:right w:val="single" w:sz="4" w:space="0" w:color="auto"/>
            </w:tcBorders>
            <w:noWrap/>
            <w:vAlign w:val="center"/>
            <w:hideMark/>
          </w:tcPr>
          <w:p w14:paraId="69786C8D"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116,836</w:t>
            </w:r>
          </w:p>
        </w:tc>
        <w:tc>
          <w:tcPr>
            <w:tcW w:w="1137" w:type="dxa"/>
            <w:tcBorders>
              <w:top w:val="nil"/>
              <w:left w:val="nil"/>
              <w:bottom w:val="single" w:sz="4" w:space="0" w:color="auto"/>
              <w:right w:val="single" w:sz="4" w:space="0" w:color="auto"/>
            </w:tcBorders>
            <w:noWrap/>
            <w:vAlign w:val="center"/>
            <w:hideMark/>
          </w:tcPr>
          <w:p w14:paraId="4BE944A0"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120,342</w:t>
            </w:r>
          </w:p>
        </w:tc>
        <w:tc>
          <w:tcPr>
            <w:tcW w:w="1137" w:type="dxa"/>
            <w:tcBorders>
              <w:top w:val="nil"/>
              <w:left w:val="nil"/>
              <w:bottom w:val="single" w:sz="4" w:space="0" w:color="auto"/>
              <w:right w:val="single" w:sz="4" w:space="0" w:color="auto"/>
            </w:tcBorders>
            <w:noWrap/>
            <w:vAlign w:val="center"/>
            <w:hideMark/>
          </w:tcPr>
          <w:p w14:paraId="4EFA7B13"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134,227</w:t>
            </w:r>
          </w:p>
        </w:tc>
        <w:tc>
          <w:tcPr>
            <w:tcW w:w="1137" w:type="dxa"/>
            <w:tcBorders>
              <w:top w:val="nil"/>
              <w:left w:val="nil"/>
              <w:bottom w:val="single" w:sz="4" w:space="0" w:color="auto"/>
              <w:right w:val="single" w:sz="4" w:space="0" w:color="auto"/>
            </w:tcBorders>
            <w:noWrap/>
            <w:vAlign w:val="center"/>
            <w:hideMark/>
          </w:tcPr>
          <w:p w14:paraId="7A5076A5"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139,118</w:t>
            </w:r>
          </w:p>
        </w:tc>
        <w:tc>
          <w:tcPr>
            <w:tcW w:w="1137" w:type="dxa"/>
            <w:tcBorders>
              <w:top w:val="nil"/>
              <w:left w:val="nil"/>
              <w:bottom w:val="single" w:sz="4" w:space="0" w:color="auto"/>
              <w:right w:val="single" w:sz="4" w:space="0" w:color="auto"/>
            </w:tcBorders>
            <w:noWrap/>
            <w:vAlign w:val="bottom"/>
            <w:hideMark/>
          </w:tcPr>
          <w:p w14:paraId="7BE4839C"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r>
      <w:tr w:rsidR="001867EE" w:rsidRPr="00441B4E" w14:paraId="4B954F46" w14:textId="77777777" w:rsidTr="00453BCB">
        <w:trPr>
          <w:trHeight w:val="299"/>
        </w:trPr>
        <w:tc>
          <w:tcPr>
            <w:tcW w:w="2988" w:type="dxa"/>
            <w:tcBorders>
              <w:top w:val="nil"/>
              <w:left w:val="single" w:sz="4" w:space="0" w:color="auto"/>
              <w:bottom w:val="single" w:sz="4" w:space="0" w:color="auto"/>
              <w:right w:val="single" w:sz="4" w:space="0" w:color="auto"/>
            </w:tcBorders>
            <w:noWrap/>
            <w:vAlign w:val="center"/>
            <w:hideMark/>
          </w:tcPr>
          <w:p w14:paraId="15E3DCD5"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Total Current Assets</w:t>
            </w:r>
          </w:p>
        </w:tc>
        <w:tc>
          <w:tcPr>
            <w:tcW w:w="2936" w:type="dxa"/>
            <w:tcBorders>
              <w:top w:val="nil"/>
              <w:left w:val="nil"/>
              <w:bottom w:val="single" w:sz="4" w:space="0" w:color="auto"/>
              <w:right w:val="single" w:sz="4" w:space="0" w:color="auto"/>
            </w:tcBorders>
            <w:noWrap/>
            <w:vAlign w:val="center"/>
            <w:hideMark/>
          </w:tcPr>
          <w:p w14:paraId="619B8E86"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242,494</w:t>
            </w:r>
          </w:p>
        </w:tc>
        <w:tc>
          <w:tcPr>
            <w:tcW w:w="1137" w:type="dxa"/>
            <w:tcBorders>
              <w:top w:val="nil"/>
              <w:left w:val="nil"/>
              <w:bottom w:val="single" w:sz="4" w:space="0" w:color="auto"/>
              <w:right w:val="single" w:sz="4" w:space="0" w:color="auto"/>
            </w:tcBorders>
            <w:noWrap/>
            <w:vAlign w:val="center"/>
            <w:hideMark/>
          </w:tcPr>
          <w:p w14:paraId="27B79EE5"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258,851</w:t>
            </w:r>
          </w:p>
        </w:tc>
        <w:tc>
          <w:tcPr>
            <w:tcW w:w="1137" w:type="dxa"/>
            <w:tcBorders>
              <w:top w:val="nil"/>
              <w:left w:val="nil"/>
              <w:bottom w:val="single" w:sz="4" w:space="0" w:color="auto"/>
              <w:right w:val="single" w:sz="4" w:space="0" w:color="auto"/>
            </w:tcBorders>
            <w:noWrap/>
            <w:vAlign w:val="center"/>
            <w:hideMark/>
          </w:tcPr>
          <w:p w14:paraId="4A578677"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338,040</w:t>
            </w:r>
          </w:p>
        </w:tc>
        <w:tc>
          <w:tcPr>
            <w:tcW w:w="1137" w:type="dxa"/>
            <w:tcBorders>
              <w:top w:val="nil"/>
              <w:left w:val="nil"/>
              <w:bottom w:val="single" w:sz="4" w:space="0" w:color="auto"/>
              <w:right w:val="single" w:sz="4" w:space="0" w:color="auto"/>
            </w:tcBorders>
            <w:noWrap/>
            <w:vAlign w:val="center"/>
            <w:hideMark/>
          </w:tcPr>
          <w:p w14:paraId="1ACE63D1"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337,146</w:t>
            </w:r>
          </w:p>
        </w:tc>
        <w:tc>
          <w:tcPr>
            <w:tcW w:w="1137" w:type="dxa"/>
            <w:tcBorders>
              <w:top w:val="nil"/>
              <w:left w:val="nil"/>
              <w:bottom w:val="single" w:sz="4" w:space="0" w:color="auto"/>
              <w:right w:val="single" w:sz="4" w:space="0" w:color="auto"/>
            </w:tcBorders>
            <w:noWrap/>
            <w:vAlign w:val="center"/>
            <w:hideMark/>
          </w:tcPr>
          <w:p w14:paraId="7AD80191"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326,843</w:t>
            </w:r>
          </w:p>
        </w:tc>
        <w:tc>
          <w:tcPr>
            <w:tcW w:w="1137" w:type="dxa"/>
            <w:tcBorders>
              <w:top w:val="nil"/>
              <w:left w:val="nil"/>
              <w:bottom w:val="single" w:sz="4" w:space="0" w:color="auto"/>
              <w:right w:val="single" w:sz="4" w:space="0" w:color="auto"/>
            </w:tcBorders>
            <w:noWrap/>
            <w:vAlign w:val="bottom"/>
            <w:hideMark/>
          </w:tcPr>
          <w:p w14:paraId="4BC1242A"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r>
      <w:tr w:rsidR="001867EE" w:rsidRPr="00441B4E" w14:paraId="6E77C981" w14:textId="77777777" w:rsidTr="00453BCB">
        <w:trPr>
          <w:trHeight w:val="299"/>
        </w:trPr>
        <w:tc>
          <w:tcPr>
            <w:tcW w:w="2988" w:type="dxa"/>
            <w:tcBorders>
              <w:top w:val="nil"/>
              <w:left w:val="single" w:sz="4" w:space="0" w:color="auto"/>
              <w:bottom w:val="single" w:sz="4" w:space="0" w:color="auto"/>
              <w:right w:val="single" w:sz="4" w:space="0" w:color="auto"/>
            </w:tcBorders>
            <w:noWrap/>
            <w:vAlign w:val="center"/>
            <w:hideMark/>
          </w:tcPr>
          <w:p w14:paraId="3A0F1F79"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Total Current Liabilities</w:t>
            </w:r>
          </w:p>
        </w:tc>
        <w:tc>
          <w:tcPr>
            <w:tcW w:w="2936" w:type="dxa"/>
            <w:tcBorders>
              <w:top w:val="nil"/>
              <w:left w:val="nil"/>
              <w:bottom w:val="single" w:sz="4" w:space="0" w:color="auto"/>
              <w:right w:val="single" w:sz="4" w:space="0" w:color="auto"/>
            </w:tcBorders>
            <w:noWrap/>
            <w:vAlign w:val="center"/>
            <w:hideMark/>
          </w:tcPr>
          <w:p w14:paraId="71374623"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158,291</w:t>
            </w:r>
          </w:p>
        </w:tc>
        <w:tc>
          <w:tcPr>
            <w:tcW w:w="1137" w:type="dxa"/>
            <w:tcBorders>
              <w:top w:val="nil"/>
              <w:left w:val="nil"/>
              <w:bottom w:val="single" w:sz="4" w:space="0" w:color="auto"/>
              <w:right w:val="single" w:sz="4" w:space="0" w:color="auto"/>
            </w:tcBorders>
            <w:noWrap/>
            <w:vAlign w:val="center"/>
            <w:hideMark/>
          </w:tcPr>
          <w:p w14:paraId="708A9D1B"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161,148</w:t>
            </w:r>
          </w:p>
        </w:tc>
        <w:tc>
          <w:tcPr>
            <w:tcW w:w="1137" w:type="dxa"/>
            <w:tcBorders>
              <w:top w:val="nil"/>
              <w:left w:val="nil"/>
              <w:bottom w:val="single" w:sz="4" w:space="0" w:color="auto"/>
              <w:right w:val="single" w:sz="4" w:space="0" w:color="auto"/>
            </w:tcBorders>
            <w:noWrap/>
            <w:vAlign w:val="center"/>
            <w:hideMark/>
          </w:tcPr>
          <w:p w14:paraId="10BA0055"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216,473</w:t>
            </w:r>
          </w:p>
        </w:tc>
        <w:tc>
          <w:tcPr>
            <w:tcW w:w="1137" w:type="dxa"/>
            <w:tcBorders>
              <w:top w:val="nil"/>
              <w:left w:val="nil"/>
              <w:bottom w:val="single" w:sz="4" w:space="0" w:color="auto"/>
              <w:right w:val="single" w:sz="4" w:space="0" w:color="auto"/>
            </w:tcBorders>
            <w:noWrap/>
            <w:vAlign w:val="center"/>
            <w:hideMark/>
          </w:tcPr>
          <w:p w14:paraId="4AAB8988"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216,787</w:t>
            </w:r>
          </w:p>
        </w:tc>
        <w:tc>
          <w:tcPr>
            <w:tcW w:w="1137" w:type="dxa"/>
            <w:tcBorders>
              <w:top w:val="nil"/>
              <w:left w:val="nil"/>
              <w:bottom w:val="single" w:sz="4" w:space="0" w:color="auto"/>
              <w:right w:val="single" w:sz="4" w:space="0" w:color="auto"/>
            </w:tcBorders>
            <w:noWrap/>
            <w:vAlign w:val="center"/>
            <w:hideMark/>
          </w:tcPr>
          <w:p w14:paraId="31C7F947"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179,510</w:t>
            </w:r>
          </w:p>
        </w:tc>
        <w:tc>
          <w:tcPr>
            <w:tcW w:w="1137" w:type="dxa"/>
            <w:tcBorders>
              <w:top w:val="nil"/>
              <w:left w:val="nil"/>
              <w:bottom w:val="single" w:sz="4" w:space="0" w:color="auto"/>
              <w:right w:val="single" w:sz="4" w:space="0" w:color="auto"/>
            </w:tcBorders>
            <w:noWrap/>
            <w:vAlign w:val="bottom"/>
            <w:hideMark/>
          </w:tcPr>
          <w:p w14:paraId="5FB2EE96"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r>
      <w:tr w:rsidR="001867EE" w:rsidRPr="00441B4E" w14:paraId="0BBC9C43" w14:textId="77777777" w:rsidTr="00453BCB">
        <w:trPr>
          <w:trHeight w:val="299"/>
        </w:trPr>
        <w:tc>
          <w:tcPr>
            <w:tcW w:w="2988" w:type="dxa"/>
            <w:tcBorders>
              <w:top w:val="nil"/>
              <w:left w:val="nil"/>
              <w:bottom w:val="nil"/>
              <w:right w:val="nil"/>
            </w:tcBorders>
            <w:noWrap/>
            <w:vAlign w:val="bottom"/>
            <w:hideMark/>
          </w:tcPr>
          <w:p w14:paraId="047A51FA"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2936" w:type="dxa"/>
            <w:tcBorders>
              <w:top w:val="nil"/>
              <w:left w:val="nil"/>
              <w:bottom w:val="nil"/>
              <w:right w:val="nil"/>
            </w:tcBorders>
            <w:noWrap/>
            <w:vAlign w:val="bottom"/>
            <w:hideMark/>
          </w:tcPr>
          <w:p w14:paraId="63A79DE3"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nil"/>
              <w:left w:val="nil"/>
              <w:bottom w:val="nil"/>
              <w:right w:val="nil"/>
            </w:tcBorders>
            <w:noWrap/>
            <w:vAlign w:val="bottom"/>
            <w:hideMark/>
          </w:tcPr>
          <w:p w14:paraId="306104E7"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nil"/>
              <w:left w:val="nil"/>
              <w:bottom w:val="nil"/>
              <w:right w:val="nil"/>
            </w:tcBorders>
            <w:noWrap/>
            <w:vAlign w:val="bottom"/>
            <w:hideMark/>
          </w:tcPr>
          <w:p w14:paraId="1505D9ED"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nil"/>
              <w:left w:val="nil"/>
              <w:bottom w:val="nil"/>
              <w:right w:val="nil"/>
            </w:tcBorders>
            <w:noWrap/>
            <w:vAlign w:val="bottom"/>
            <w:hideMark/>
          </w:tcPr>
          <w:p w14:paraId="1C8621EE"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nil"/>
              <w:left w:val="nil"/>
              <w:bottom w:val="nil"/>
              <w:right w:val="nil"/>
            </w:tcBorders>
            <w:noWrap/>
            <w:vAlign w:val="bottom"/>
            <w:hideMark/>
          </w:tcPr>
          <w:p w14:paraId="60D07037"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nil"/>
              <w:left w:val="nil"/>
              <w:bottom w:val="nil"/>
              <w:right w:val="nil"/>
            </w:tcBorders>
            <w:noWrap/>
            <w:vAlign w:val="bottom"/>
            <w:hideMark/>
          </w:tcPr>
          <w:p w14:paraId="376DD622"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r>
      <w:tr w:rsidR="001867EE" w:rsidRPr="00441B4E" w14:paraId="63E12504" w14:textId="77777777" w:rsidTr="00453BCB">
        <w:trPr>
          <w:trHeight w:val="389"/>
        </w:trPr>
        <w:tc>
          <w:tcPr>
            <w:tcW w:w="2988" w:type="dxa"/>
            <w:tcBorders>
              <w:top w:val="single" w:sz="4" w:space="0" w:color="auto"/>
              <w:left w:val="single" w:sz="4" w:space="0" w:color="auto"/>
              <w:bottom w:val="single" w:sz="4" w:space="0" w:color="auto"/>
              <w:right w:val="single" w:sz="4" w:space="0" w:color="auto"/>
            </w:tcBorders>
            <w:noWrap/>
            <w:vAlign w:val="center"/>
            <w:hideMark/>
          </w:tcPr>
          <w:p w14:paraId="5DC37BDF" w14:textId="77777777" w:rsidR="001867EE" w:rsidRPr="00441B4E" w:rsidRDefault="001867EE" w:rsidP="001867EE">
            <w:pPr>
              <w:spacing w:line="240" w:lineRule="auto"/>
              <w:rPr>
                <w:rFonts w:ascii="Arial" w:eastAsia="Times New Roman" w:hAnsi="Arial" w:cs="Arial"/>
                <w:color w:val="0F1115"/>
                <w:szCs w:val="24"/>
              </w:rPr>
            </w:pPr>
            <w:r w:rsidRPr="00441B4E">
              <w:rPr>
                <w:rFonts w:ascii="Arial" w:eastAsia="Times New Roman" w:hAnsi="Arial" w:cs="Arial"/>
                <w:color w:val="0F1115"/>
                <w:szCs w:val="24"/>
              </w:rPr>
              <w:t>3. Efficiency Ratios</w:t>
            </w:r>
          </w:p>
        </w:tc>
        <w:tc>
          <w:tcPr>
            <w:tcW w:w="2936" w:type="dxa"/>
            <w:tcBorders>
              <w:top w:val="single" w:sz="4" w:space="0" w:color="auto"/>
              <w:left w:val="nil"/>
              <w:bottom w:val="single" w:sz="4" w:space="0" w:color="auto"/>
              <w:right w:val="single" w:sz="4" w:space="0" w:color="auto"/>
            </w:tcBorders>
            <w:noWrap/>
            <w:vAlign w:val="bottom"/>
            <w:hideMark/>
          </w:tcPr>
          <w:p w14:paraId="2F74096E"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single" w:sz="4" w:space="0" w:color="auto"/>
              <w:left w:val="nil"/>
              <w:bottom w:val="single" w:sz="4" w:space="0" w:color="auto"/>
              <w:right w:val="single" w:sz="4" w:space="0" w:color="auto"/>
            </w:tcBorders>
            <w:noWrap/>
            <w:vAlign w:val="bottom"/>
            <w:hideMark/>
          </w:tcPr>
          <w:p w14:paraId="119A9EA0"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single" w:sz="4" w:space="0" w:color="auto"/>
              <w:left w:val="nil"/>
              <w:bottom w:val="single" w:sz="4" w:space="0" w:color="auto"/>
              <w:right w:val="single" w:sz="4" w:space="0" w:color="auto"/>
            </w:tcBorders>
            <w:noWrap/>
            <w:vAlign w:val="bottom"/>
            <w:hideMark/>
          </w:tcPr>
          <w:p w14:paraId="73C4158C"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single" w:sz="4" w:space="0" w:color="auto"/>
              <w:left w:val="nil"/>
              <w:bottom w:val="single" w:sz="4" w:space="0" w:color="auto"/>
              <w:right w:val="single" w:sz="4" w:space="0" w:color="auto"/>
            </w:tcBorders>
            <w:noWrap/>
            <w:vAlign w:val="bottom"/>
            <w:hideMark/>
          </w:tcPr>
          <w:p w14:paraId="447B8941"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single" w:sz="4" w:space="0" w:color="auto"/>
              <w:left w:val="nil"/>
              <w:bottom w:val="single" w:sz="4" w:space="0" w:color="auto"/>
              <w:right w:val="single" w:sz="4" w:space="0" w:color="auto"/>
            </w:tcBorders>
            <w:noWrap/>
            <w:vAlign w:val="bottom"/>
            <w:hideMark/>
          </w:tcPr>
          <w:p w14:paraId="524D63F2"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single" w:sz="4" w:space="0" w:color="auto"/>
              <w:left w:val="nil"/>
              <w:bottom w:val="single" w:sz="4" w:space="0" w:color="auto"/>
              <w:right w:val="single" w:sz="4" w:space="0" w:color="auto"/>
            </w:tcBorders>
            <w:noWrap/>
            <w:vAlign w:val="bottom"/>
            <w:hideMark/>
          </w:tcPr>
          <w:p w14:paraId="7E0012E0"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r>
      <w:tr w:rsidR="001867EE" w:rsidRPr="00441B4E" w14:paraId="791EC406" w14:textId="77777777" w:rsidTr="00453BCB">
        <w:trPr>
          <w:trHeight w:val="299"/>
        </w:trPr>
        <w:tc>
          <w:tcPr>
            <w:tcW w:w="2988" w:type="dxa"/>
            <w:tcBorders>
              <w:top w:val="nil"/>
              <w:left w:val="single" w:sz="4" w:space="0" w:color="auto"/>
              <w:bottom w:val="single" w:sz="4" w:space="0" w:color="auto"/>
              <w:right w:val="single" w:sz="4" w:space="0" w:color="auto"/>
            </w:tcBorders>
            <w:noWrap/>
            <w:vAlign w:val="center"/>
            <w:hideMark/>
          </w:tcPr>
          <w:p w14:paraId="4F55FE37"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Ratio</w:t>
            </w:r>
          </w:p>
        </w:tc>
        <w:tc>
          <w:tcPr>
            <w:tcW w:w="2936" w:type="dxa"/>
            <w:tcBorders>
              <w:top w:val="nil"/>
              <w:left w:val="nil"/>
              <w:bottom w:val="single" w:sz="4" w:space="0" w:color="auto"/>
              <w:right w:val="single" w:sz="4" w:space="0" w:color="auto"/>
            </w:tcBorders>
            <w:noWrap/>
            <w:vAlign w:val="center"/>
            <w:hideMark/>
          </w:tcPr>
          <w:p w14:paraId="3106762C"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Formula</w:t>
            </w:r>
          </w:p>
        </w:tc>
        <w:tc>
          <w:tcPr>
            <w:tcW w:w="1137" w:type="dxa"/>
            <w:tcBorders>
              <w:top w:val="nil"/>
              <w:left w:val="nil"/>
              <w:bottom w:val="single" w:sz="4" w:space="0" w:color="auto"/>
              <w:right w:val="single" w:sz="4" w:space="0" w:color="auto"/>
            </w:tcBorders>
            <w:noWrap/>
            <w:vAlign w:val="center"/>
            <w:hideMark/>
          </w:tcPr>
          <w:p w14:paraId="5FF048EE"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2024</w:t>
            </w:r>
          </w:p>
        </w:tc>
        <w:tc>
          <w:tcPr>
            <w:tcW w:w="1137" w:type="dxa"/>
            <w:tcBorders>
              <w:top w:val="nil"/>
              <w:left w:val="nil"/>
              <w:bottom w:val="single" w:sz="4" w:space="0" w:color="auto"/>
              <w:right w:val="single" w:sz="4" w:space="0" w:color="auto"/>
            </w:tcBorders>
            <w:noWrap/>
            <w:vAlign w:val="center"/>
            <w:hideMark/>
          </w:tcPr>
          <w:p w14:paraId="202AAF39"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2023</w:t>
            </w:r>
          </w:p>
        </w:tc>
        <w:tc>
          <w:tcPr>
            <w:tcW w:w="1137" w:type="dxa"/>
            <w:tcBorders>
              <w:top w:val="nil"/>
              <w:left w:val="nil"/>
              <w:bottom w:val="single" w:sz="4" w:space="0" w:color="auto"/>
              <w:right w:val="single" w:sz="4" w:space="0" w:color="auto"/>
            </w:tcBorders>
            <w:noWrap/>
            <w:vAlign w:val="center"/>
            <w:hideMark/>
          </w:tcPr>
          <w:p w14:paraId="2090F29A"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2022</w:t>
            </w:r>
          </w:p>
        </w:tc>
        <w:tc>
          <w:tcPr>
            <w:tcW w:w="1137" w:type="dxa"/>
            <w:tcBorders>
              <w:top w:val="nil"/>
              <w:left w:val="nil"/>
              <w:bottom w:val="single" w:sz="4" w:space="0" w:color="auto"/>
              <w:right w:val="single" w:sz="4" w:space="0" w:color="auto"/>
            </w:tcBorders>
            <w:noWrap/>
            <w:vAlign w:val="center"/>
            <w:hideMark/>
          </w:tcPr>
          <w:p w14:paraId="73B7D010"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2021</w:t>
            </w:r>
          </w:p>
        </w:tc>
        <w:tc>
          <w:tcPr>
            <w:tcW w:w="1137" w:type="dxa"/>
            <w:tcBorders>
              <w:top w:val="nil"/>
              <w:left w:val="nil"/>
              <w:bottom w:val="single" w:sz="4" w:space="0" w:color="auto"/>
              <w:right w:val="single" w:sz="4" w:space="0" w:color="auto"/>
            </w:tcBorders>
            <w:noWrap/>
            <w:vAlign w:val="center"/>
            <w:hideMark/>
          </w:tcPr>
          <w:p w14:paraId="6DB5F902"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2020</w:t>
            </w:r>
          </w:p>
        </w:tc>
      </w:tr>
      <w:tr w:rsidR="001867EE" w:rsidRPr="00441B4E" w14:paraId="3C0F1A85" w14:textId="77777777" w:rsidTr="00453BCB">
        <w:trPr>
          <w:trHeight w:val="299"/>
        </w:trPr>
        <w:tc>
          <w:tcPr>
            <w:tcW w:w="2988" w:type="dxa"/>
            <w:tcBorders>
              <w:top w:val="nil"/>
              <w:left w:val="single" w:sz="4" w:space="0" w:color="auto"/>
              <w:bottom w:val="single" w:sz="4" w:space="0" w:color="auto"/>
              <w:right w:val="single" w:sz="4" w:space="0" w:color="auto"/>
            </w:tcBorders>
            <w:noWrap/>
            <w:vAlign w:val="center"/>
            <w:hideMark/>
          </w:tcPr>
          <w:p w14:paraId="2C531597"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Inventory Days</w:t>
            </w:r>
          </w:p>
        </w:tc>
        <w:tc>
          <w:tcPr>
            <w:tcW w:w="2936" w:type="dxa"/>
            <w:tcBorders>
              <w:top w:val="nil"/>
              <w:left w:val="nil"/>
              <w:bottom w:val="single" w:sz="4" w:space="0" w:color="auto"/>
              <w:right w:val="single" w:sz="4" w:space="0" w:color="auto"/>
            </w:tcBorders>
            <w:noWrap/>
            <w:vAlign w:val="center"/>
            <w:hideMark/>
          </w:tcPr>
          <w:p w14:paraId="0A6FFBA1"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(Inventory / CoS) * 365</w:t>
            </w:r>
          </w:p>
        </w:tc>
        <w:tc>
          <w:tcPr>
            <w:tcW w:w="1137" w:type="dxa"/>
            <w:tcBorders>
              <w:top w:val="nil"/>
              <w:left w:val="nil"/>
              <w:bottom w:val="single" w:sz="4" w:space="0" w:color="auto"/>
              <w:right w:val="single" w:sz="4" w:space="0" w:color="auto"/>
            </w:tcBorders>
            <w:noWrap/>
            <w:vAlign w:val="center"/>
            <w:hideMark/>
          </w:tcPr>
          <w:p w14:paraId="051504B1"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103</w:t>
            </w:r>
          </w:p>
        </w:tc>
        <w:tc>
          <w:tcPr>
            <w:tcW w:w="1137" w:type="dxa"/>
            <w:tcBorders>
              <w:top w:val="nil"/>
              <w:left w:val="nil"/>
              <w:bottom w:val="single" w:sz="4" w:space="0" w:color="auto"/>
              <w:right w:val="single" w:sz="4" w:space="0" w:color="auto"/>
            </w:tcBorders>
            <w:noWrap/>
            <w:vAlign w:val="center"/>
            <w:hideMark/>
          </w:tcPr>
          <w:p w14:paraId="1261AC6E"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100</w:t>
            </w:r>
          </w:p>
        </w:tc>
        <w:tc>
          <w:tcPr>
            <w:tcW w:w="1137" w:type="dxa"/>
            <w:tcBorders>
              <w:top w:val="nil"/>
              <w:left w:val="nil"/>
              <w:bottom w:val="single" w:sz="4" w:space="0" w:color="auto"/>
              <w:right w:val="single" w:sz="4" w:space="0" w:color="auto"/>
            </w:tcBorders>
            <w:noWrap/>
            <w:vAlign w:val="center"/>
            <w:hideMark/>
          </w:tcPr>
          <w:p w14:paraId="4820BF4B"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131</w:t>
            </w:r>
          </w:p>
        </w:tc>
        <w:tc>
          <w:tcPr>
            <w:tcW w:w="1137" w:type="dxa"/>
            <w:tcBorders>
              <w:top w:val="nil"/>
              <w:left w:val="nil"/>
              <w:bottom w:val="single" w:sz="4" w:space="0" w:color="auto"/>
              <w:right w:val="single" w:sz="4" w:space="0" w:color="auto"/>
            </w:tcBorders>
            <w:noWrap/>
            <w:vAlign w:val="center"/>
            <w:hideMark/>
          </w:tcPr>
          <w:p w14:paraId="2B577717"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115</w:t>
            </w:r>
          </w:p>
        </w:tc>
        <w:tc>
          <w:tcPr>
            <w:tcW w:w="1137" w:type="dxa"/>
            <w:tcBorders>
              <w:top w:val="nil"/>
              <w:left w:val="nil"/>
              <w:bottom w:val="single" w:sz="4" w:space="0" w:color="auto"/>
              <w:right w:val="single" w:sz="4" w:space="0" w:color="auto"/>
            </w:tcBorders>
            <w:noWrap/>
            <w:vAlign w:val="center"/>
            <w:hideMark/>
          </w:tcPr>
          <w:p w14:paraId="558074D6"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100</w:t>
            </w:r>
          </w:p>
        </w:tc>
      </w:tr>
      <w:tr w:rsidR="001867EE" w:rsidRPr="00441B4E" w14:paraId="46BDA7D1" w14:textId="77777777" w:rsidTr="00453BCB">
        <w:trPr>
          <w:trHeight w:val="299"/>
        </w:trPr>
        <w:tc>
          <w:tcPr>
            <w:tcW w:w="2988" w:type="dxa"/>
            <w:tcBorders>
              <w:top w:val="nil"/>
              <w:left w:val="single" w:sz="4" w:space="0" w:color="auto"/>
              <w:bottom w:val="single" w:sz="4" w:space="0" w:color="auto"/>
              <w:right w:val="single" w:sz="4" w:space="0" w:color="auto"/>
            </w:tcBorders>
            <w:noWrap/>
            <w:vAlign w:val="center"/>
            <w:hideMark/>
          </w:tcPr>
          <w:p w14:paraId="2A7945EC"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Receivables Days</w:t>
            </w:r>
          </w:p>
        </w:tc>
        <w:tc>
          <w:tcPr>
            <w:tcW w:w="2936" w:type="dxa"/>
            <w:tcBorders>
              <w:top w:val="nil"/>
              <w:left w:val="nil"/>
              <w:bottom w:val="single" w:sz="4" w:space="0" w:color="auto"/>
              <w:right w:val="single" w:sz="4" w:space="0" w:color="auto"/>
            </w:tcBorders>
            <w:noWrap/>
            <w:vAlign w:val="center"/>
            <w:hideMark/>
          </w:tcPr>
          <w:p w14:paraId="097C2DE7"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(Receivables / Net Sales) * 365</w:t>
            </w:r>
          </w:p>
        </w:tc>
        <w:tc>
          <w:tcPr>
            <w:tcW w:w="1137" w:type="dxa"/>
            <w:tcBorders>
              <w:top w:val="nil"/>
              <w:left w:val="nil"/>
              <w:bottom w:val="single" w:sz="4" w:space="0" w:color="auto"/>
              <w:right w:val="single" w:sz="4" w:space="0" w:color="auto"/>
            </w:tcBorders>
            <w:noWrap/>
            <w:vAlign w:val="center"/>
            <w:hideMark/>
          </w:tcPr>
          <w:p w14:paraId="7BF9AF1C"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115.1054</w:t>
            </w:r>
          </w:p>
        </w:tc>
        <w:tc>
          <w:tcPr>
            <w:tcW w:w="1137" w:type="dxa"/>
            <w:tcBorders>
              <w:top w:val="nil"/>
              <w:left w:val="nil"/>
              <w:bottom w:val="single" w:sz="4" w:space="0" w:color="auto"/>
              <w:right w:val="single" w:sz="4" w:space="0" w:color="auto"/>
            </w:tcBorders>
            <w:noWrap/>
            <w:vAlign w:val="center"/>
            <w:hideMark/>
          </w:tcPr>
          <w:p w14:paraId="34BFCE37"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101.4257</w:t>
            </w:r>
          </w:p>
        </w:tc>
        <w:tc>
          <w:tcPr>
            <w:tcW w:w="1137" w:type="dxa"/>
            <w:tcBorders>
              <w:top w:val="nil"/>
              <w:left w:val="nil"/>
              <w:bottom w:val="single" w:sz="4" w:space="0" w:color="auto"/>
              <w:right w:val="single" w:sz="4" w:space="0" w:color="auto"/>
            </w:tcBorders>
            <w:noWrap/>
            <w:vAlign w:val="center"/>
            <w:hideMark/>
          </w:tcPr>
          <w:p w14:paraId="3D56F65D"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80.92998</w:t>
            </w:r>
          </w:p>
        </w:tc>
        <w:tc>
          <w:tcPr>
            <w:tcW w:w="1137" w:type="dxa"/>
            <w:tcBorders>
              <w:top w:val="nil"/>
              <w:left w:val="nil"/>
              <w:bottom w:val="single" w:sz="4" w:space="0" w:color="auto"/>
              <w:right w:val="single" w:sz="4" w:space="0" w:color="auto"/>
            </w:tcBorders>
            <w:noWrap/>
            <w:vAlign w:val="center"/>
            <w:hideMark/>
          </w:tcPr>
          <w:p w14:paraId="4C361438"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81.43732</w:t>
            </w:r>
          </w:p>
        </w:tc>
        <w:tc>
          <w:tcPr>
            <w:tcW w:w="1137" w:type="dxa"/>
            <w:tcBorders>
              <w:top w:val="nil"/>
              <w:left w:val="nil"/>
              <w:bottom w:val="single" w:sz="4" w:space="0" w:color="auto"/>
              <w:right w:val="single" w:sz="4" w:space="0" w:color="auto"/>
            </w:tcBorders>
            <w:noWrap/>
            <w:vAlign w:val="center"/>
            <w:hideMark/>
          </w:tcPr>
          <w:p w14:paraId="51B2784B"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82.60895</w:t>
            </w:r>
          </w:p>
        </w:tc>
      </w:tr>
      <w:tr w:rsidR="001867EE" w:rsidRPr="00441B4E" w14:paraId="4B1BFF47" w14:textId="77777777" w:rsidTr="00453BCB">
        <w:trPr>
          <w:trHeight w:val="299"/>
        </w:trPr>
        <w:tc>
          <w:tcPr>
            <w:tcW w:w="2988" w:type="dxa"/>
            <w:tcBorders>
              <w:top w:val="nil"/>
              <w:left w:val="single" w:sz="4" w:space="0" w:color="auto"/>
              <w:bottom w:val="single" w:sz="4" w:space="0" w:color="auto"/>
              <w:right w:val="single" w:sz="4" w:space="0" w:color="auto"/>
            </w:tcBorders>
            <w:noWrap/>
            <w:vAlign w:val="center"/>
            <w:hideMark/>
          </w:tcPr>
          <w:p w14:paraId="74DBDD35"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lastRenderedPageBreak/>
              <w:t>Payables Days</w:t>
            </w:r>
          </w:p>
        </w:tc>
        <w:tc>
          <w:tcPr>
            <w:tcW w:w="2936" w:type="dxa"/>
            <w:tcBorders>
              <w:top w:val="nil"/>
              <w:left w:val="nil"/>
              <w:bottom w:val="single" w:sz="4" w:space="0" w:color="auto"/>
              <w:right w:val="single" w:sz="4" w:space="0" w:color="auto"/>
            </w:tcBorders>
            <w:noWrap/>
            <w:vAlign w:val="center"/>
            <w:hideMark/>
          </w:tcPr>
          <w:p w14:paraId="31C223C1"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(Payables / CoS) * 365</w:t>
            </w:r>
          </w:p>
        </w:tc>
        <w:tc>
          <w:tcPr>
            <w:tcW w:w="1137" w:type="dxa"/>
            <w:tcBorders>
              <w:top w:val="nil"/>
              <w:left w:val="nil"/>
              <w:bottom w:val="single" w:sz="4" w:space="0" w:color="auto"/>
              <w:right w:val="single" w:sz="4" w:space="0" w:color="auto"/>
            </w:tcBorders>
            <w:noWrap/>
            <w:vAlign w:val="center"/>
            <w:hideMark/>
          </w:tcPr>
          <w:p w14:paraId="7FE2735C"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94</w:t>
            </w:r>
          </w:p>
        </w:tc>
        <w:tc>
          <w:tcPr>
            <w:tcW w:w="1137" w:type="dxa"/>
            <w:tcBorders>
              <w:top w:val="nil"/>
              <w:left w:val="nil"/>
              <w:bottom w:val="single" w:sz="4" w:space="0" w:color="auto"/>
              <w:right w:val="single" w:sz="4" w:space="0" w:color="auto"/>
            </w:tcBorders>
            <w:noWrap/>
            <w:vAlign w:val="center"/>
            <w:hideMark/>
          </w:tcPr>
          <w:p w14:paraId="2D707EDE"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64</w:t>
            </w:r>
          </w:p>
        </w:tc>
        <w:tc>
          <w:tcPr>
            <w:tcW w:w="1137" w:type="dxa"/>
            <w:tcBorders>
              <w:top w:val="nil"/>
              <w:left w:val="nil"/>
              <w:bottom w:val="single" w:sz="4" w:space="0" w:color="auto"/>
              <w:right w:val="single" w:sz="4" w:space="0" w:color="auto"/>
            </w:tcBorders>
            <w:noWrap/>
            <w:vAlign w:val="center"/>
            <w:hideMark/>
          </w:tcPr>
          <w:p w14:paraId="4FBFDA99"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67</w:t>
            </w:r>
          </w:p>
        </w:tc>
        <w:tc>
          <w:tcPr>
            <w:tcW w:w="1137" w:type="dxa"/>
            <w:tcBorders>
              <w:top w:val="nil"/>
              <w:left w:val="nil"/>
              <w:bottom w:val="single" w:sz="4" w:space="0" w:color="auto"/>
              <w:right w:val="single" w:sz="4" w:space="0" w:color="auto"/>
            </w:tcBorders>
            <w:noWrap/>
            <w:vAlign w:val="center"/>
            <w:hideMark/>
          </w:tcPr>
          <w:p w14:paraId="0E31F228"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79</w:t>
            </w:r>
          </w:p>
        </w:tc>
        <w:tc>
          <w:tcPr>
            <w:tcW w:w="1137" w:type="dxa"/>
            <w:tcBorders>
              <w:top w:val="nil"/>
              <w:left w:val="nil"/>
              <w:bottom w:val="single" w:sz="4" w:space="0" w:color="auto"/>
              <w:right w:val="single" w:sz="4" w:space="0" w:color="auto"/>
            </w:tcBorders>
            <w:noWrap/>
            <w:vAlign w:val="center"/>
            <w:hideMark/>
          </w:tcPr>
          <w:p w14:paraId="2D23A274"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69</w:t>
            </w:r>
          </w:p>
        </w:tc>
      </w:tr>
      <w:tr w:rsidR="001867EE" w:rsidRPr="00441B4E" w14:paraId="108F6E0B" w14:textId="77777777" w:rsidTr="00453BCB">
        <w:trPr>
          <w:trHeight w:val="299"/>
        </w:trPr>
        <w:tc>
          <w:tcPr>
            <w:tcW w:w="2988" w:type="dxa"/>
            <w:tcBorders>
              <w:top w:val="nil"/>
              <w:left w:val="single" w:sz="4" w:space="0" w:color="auto"/>
              <w:bottom w:val="single" w:sz="4" w:space="0" w:color="auto"/>
              <w:right w:val="single" w:sz="4" w:space="0" w:color="auto"/>
            </w:tcBorders>
            <w:noWrap/>
            <w:vAlign w:val="center"/>
            <w:hideMark/>
          </w:tcPr>
          <w:p w14:paraId="0C1D170B"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Asset Turnover</w:t>
            </w:r>
          </w:p>
        </w:tc>
        <w:tc>
          <w:tcPr>
            <w:tcW w:w="2936" w:type="dxa"/>
            <w:tcBorders>
              <w:top w:val="nil"/>
              <w:left w:val="nil"/>
              <w:bottom w:val="single" w:sz="4" w:space="0" w:color="auto"/>
              <w:right w:val="single" w:sz="4" w:space="0" w:color="auto"/>
            </w:tcBorders>
            <w:noWrap/>
            <w:vAlign w:val="center"/>
            <w:hideMark/>
          </w:tcPr>
          <w:p w14:paraId="5309C914"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Net Sales / Total Assets</w:t>
            </w:r>
          </w:p>
        </w:tc>
        <w:tc>
          <w:tcPr>
            <w:tcW w:w="1137" w:type="dxa"/>
            <w:tcBorders>
              <w:top w:val="nil"/>
              <w:left w:val="nil"/>
              <w:bottom w:val="single" w:sz="4" w:space="0" w:color="auto"/>
              <w:right w:val="single" w:sz="4" w:space="0" w:color="auto"/>
            </w:tcBorders>
            <w:noWrap/>
            <w:vAlign w:val="center"/>
            <w:hideMark/>
          </w:tcPr>
          <w:p w14:paraId="3973D411"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1.22</w:t>
            </w:r>
          </w:p>
        </w:tc>
        <w:tc>
          <w:tcPr>
            <w:tcW w:w="1137" w:type="dxa"/>
            <w:tcBorders>
              <w:top w:val="nil"/>
              <w:left w:val="nil"/>
              <w:bottom w:val="single" w:sz="4" w:space="0" w:color="auto"/>
              <w:right w:val="single" w:sz="4" w:space="0" w:color="auto"/>
            </w:tcBorders>
            <w:noWrap/>
            <w:vAlign w:val="center"/>
            <w:hideMark/>
          </w:tcPr>
          <w:p w14:paraId="2B9B54D0"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1.18</w:t>
            </w:r>
          </w:p>
        </w:tc>
        <w:tc>
          <w:tcPr>
            <w:tcW w:w="1137" w:type="dxa"/>
            <w:tcBorders>
              <w:top w:val="nil"/>
              <w:left w:val="nil"/>
              <w:bottom w:val="single" w:sz="4" w:space="0" w:color="auto"/>
              <w:right w:val="single" w:sz="4" w:space="0" w:color="auto"/>
            </w:tcBorders>
            <w:noWrap/>
            <w:vAlign w:val="center"/>
            <w:hideMark/>
          </w:tcPr>
          <w:p w14:paraId="011171BA"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1.08</w:t>
            </w:r>
          </w:p>
        </w:tc>
        <w:tc>
          <w:tcPr>
            <w:tcW w:w="1137" w:type="dxa"/>
            <w:tcBorders>
              <w:top w:val="nil"/>
              <w:left w:val="nil"/>
              <w:bottom w:val="single" w:sz="4" w:space="0" w:color="auto"/>
              <w:right w:val="single" w:sz="4" w:space="0" w:color="auto"/>
            </w:tcBorders>
            <w:noWrap/>
            <w:vAlign w:val="center"/>
            <w:hideMark/>
          </w:tcPr>
          <w:p w14:paraId="1544AEF6"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1.18</w:t>
            </w:r>
          </w:p>
        </w:tc>
        <w:tc>
          <w:tcPr>
            <w:tcW w:w="1137" w:type="dxa"/>
            <w:tcBorders>
              <w:top w:val="nil"/>
              <w:left w:val="nil"/>
              <w:bottom w:val="single" w:sz="4" w:space="0" w:color="auto"/>
              <w:right w:val="single" w:sz="4" w:space="0" w:color="auto"/>
            </w:tcBorders>
            <w:noWrap/>
            <w:vAlign w:val="center"/>
            <w:hideMark/>
          </w:tcPr>
          <w:p w14:paraId="06F8C44D"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1.20</w:t>
            </w:r>
          </w:p>
        </w:tc>
      </w:tr>
      <w:tr w:rsidR="001867EE" w:rsidRPr="00441B4E" w14:paraId="453F2C7E" w14:textId="77777777" w:rsidTr="00453BCB">
        <w:trPr>
          <w:trHeight w:val="299"/>
        </w:trPr>
        <w:tc>
          <w:tcPr>
            <w:tcW w:w="2988" w:type="dxa"/>
            <w:tcBorders>
              <w:top w:val="nil"/>
              <w:left w:val="nil"/>
              <w:bottom w:val="nil"/>
              <w:right w:val="nil"/>
            </w:tcBorders>
            <w:noWrap/>
            <w:vAlign w:val="bottom"/>
            <w:hideMark/>
          </w:tcPr>
          <w:p w14:paraId="697D5055"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2936" w:type="dxa"/>
            <w:tcBorders>
              <w:top w:val="nil"/>
              <w:left w:val="nil"/>
              <w:bottom w:val="nil"/>
              <w:right w:val="nil"/>
            </w:tcBorders>
            <w:noWrap/>
            <w:vAlign w:val="bottom"/>
            <w:hideMark/>
          </w:tcPr>
          <w:p w14:paraId="077FB525"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nil"/>
              <w:left w:val="nil"/>
              <w:bottom w:val="nil"/>
              <w:right w:val="nil"/>
            </w:tcBorders>
            <w:noWrap/>
            <w:vAlign w:val="bottom"/>
            <w:hideMark/>
          </w:tcPr>
          <w:p w14:paraId="49550995"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nil"/>
              <w:left w:val="nil"/>
              <w:bottom w:val="nil"/>
              <w:right w:val="nil"/>
            </w:tcBorders>
            <w:noWrap/>
            <w:vAlign w:val="bottom"/>
            <w:hideMark/>
          </w:tcPr>
          <w:p w14:paraId="5E5D7B5C"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nil"/>
              <w:left w:val="nil"/>
              <w:bottom w:val="nil"/>
              <w:right w:val="nil"/>
            </w:tcBorders>
            <w:noWrap/>
            <w:vAlign w:val="bottom"/>
            <w:hideMark/>
          </w:tcPr>
          <w:p w14:paraId="43525748"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nil"/>
              <w:left w:val="nil"/>
              <w:bottom w:val="nil"/>
              <w:right w:val="nil"/>
            </w:tcBorders>
            <w:noWrap/>
            <w:vAlign w:val="bottom"/>
            <w:hideMark/>
          </w:tcPr>
          <w:p w14:paraId="48EB3D59"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nil"/>
              <w:left w:val="nil"/>
              <w:bottom w:val="nil"/>
              <w:right w:val="nil"/>
            </w:tcBorders>
            <w:noWrap/>
            <w:vAlign w:val="bottom"/>
            <w:hideMark/>
          </w:tcPr>
          <w:p w14:paraId="039D5128"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r>
      <w:tr w:rsidR="001867EE" w:rsidRPr="00441B4E" w14:paraId="6736D891" w14:textId="77777777" w:rsidTr="00453BCB">
        <w:trPr>
          <w:trHeight w:val="314"/>
        </w:trPr>
        <w:tc>
          <w:tcPr>
            <w:tcW w:w="2988" w:type="dxa"/>
            <w:tcBorders>
              <w:top w:val="single" w:sz="4" w:space="0" w:color="auto"/>
              <w:left w:val="single" w:sz="4" w:space="0" w:color="auto"/>
              <w:bottom w:val="single" w:sz="4" w:space="0" w:color="auto"/>
              <w:right w:val="single" w:sz="4" w:space="0" w:color="auto"/>
            </w:tcBorders>
            <w:noWrap/>
            <w:vAlign w:val="center"/>
            <w:hideMark/>
          </w:tcPr>
          <w:p w14:paraId="239ACA1F" w14:textId="77777777" w:rsidR="001867EE" w:rsidRPr="00441B4E" w:rsidRDefault="001867EE" w:rsidP="001867EE">
            <w:pPr>
              <w:spacing w:line="240" w:lineRule="auto"/>
              <w:rPr>
                <w:rFonts w:ascii="Arial" w:eastAsia="Times New Roman" w:hAnsi="Arial" w:cs="Arial"/>
                <w:color w:val="0F1115"/>
                <w:szCs w:val="24"/>
              </w:rPr>
            </w:pPr>
            <w:r w:rsidRPr="00441B4E">
              <w:rPr>
                <w:rFonts w:ascii="Arial" w:eastAsia="Times New Roman" w:hAnsi="Arial" w:cs="Arial"/>
                <w:color w:val="0F1115"/>
                <w:szCs w:val="24"/>
              </w:rPr>
              <w:t xml:space="preserve"> Values for Efficiency (£m):</w:t>
            </w:r>
          </w:p>
        </w:tc>
        <w:tc>
          <w:tcPr>
            <w:tcW w:w="2936" w:type="dxa"/>
            <w:tcBorders>
              <w:top w:val="single" w:sz="4" w:space="0" w:color="auto"/>
              <w:left w:val="nil"/>
              <w:bottom w:val="single" w:sz="4" w:space="0" w:color="auto"/>
              <w:right w:val="single" w:sz="4" w:space="0" w:color="auto"/>
            </w:tcBorders>
            <w:noWrap/>
            <w:vAlign w:val="bottom"/>
            <w:hideMark/>
          </w:tcPr>
          <w:p w14:paraId="0448D3C4"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single" w:sz="4" w:space="0" w:color="auto"/>
              <w:left w:val="nil"/>
              <w:bottom w:val="single" w:sz="4" w:space="0" w:color="auto"/>
              <w:right w:val="single" w:sz="4" w:space="0" w:color="auto"/>
            </w:tcBorders>
            <w:noWrap/>
            <w:vAlign w:val="bottom"/>
            <w:hideMark/>
          </w:tcPr>
          <w:p w14:paraId="78F0CB22"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single" w:sz="4" w:space="0" w:color="auto"/>
              <w:left w:val="nil"/>
              <w:bottom w:val="single" w:sz="4" w:space="0" w:color="auto"/>
              <w:right w:val="single" w:sz="4" w:space="0" w:color="auto"/>
            </w:tcBorders>
            <w:noWrap/>
            <w:vAlign w:val="bottom"/>
            <w:hideMark/>
          </w:tcPr>
          <w:p w14:paraId="48ADDBC0"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single" w:sz="4" w:space="0" w:color="auto"/>
              <w:left w:val="nil"/>
              <w:bottom w:val="single" w:sz="4" w:space="0" w:color="auto"/>
              <w:right w:val="single" w:sz="4" w:space="0" w:color="auto"/>
            </w:tcBorders>
            <w:noWrap/>
            <w:vAlign w:val="bottom"/>
            <w:hideMark/>
          </w:tcPr>
          <w:p w14:paraId="50D42D17"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single" w:sz="4" w:space="0" w:color="auto"/>
              <w:left w:val="nil"/>
              <w:bottom w:val="single" w:sz="4" w:space="0" w:color="auto"/>
              <w:right w:val="single" w:sz="4" w:space="0" w:color="auto"/>
            </w:tcBorders>
            <w:noWrap/>
            <w:vAlign w:val="bottom"/>
            <w:hideMark/>
          </w:tcPr>
          <w:p w14:paraId="76D2AB1C"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single" w:sz="4" w:space="0" w:color="auto"/>
              <w:left w:val="nil"/>
              <w:bottom w:val="single" w:sz="4" w:space="0" w:color="auto"/>
              <w:right w:val="single" w:sz="4" w:space="0" w:color="auto"/>
            </w:tcBorders>
            <w:noWrap/>
            <w:vAlign w:val="bottom"/>
            <w:hideMark/>
          </w:tcPr>
          <w:p w14:paraId="0AFB569F"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r>
      <w:tr w:rsidR="001867EE" w:rsidRPr="00441B4E" w14:paraId="10BCDFA1" w14:textId="77777777" w:rsidTr="00453BCB">
        <w:trPr>
          <w:trHeight w:val="299"/>
        </w:trPr>
        <w:tc>
          <w:tcPr>
            <w:tcW w:w="2988" w:type="dxa"/>
            <w:tcBorders>
              <w:top w:val="nil"/>
              <w:left w:val="single" w:sz="4" w:space="0" w:color="auto"/>
              <w:bottom w:val="single" w:sz="4" w:space="0" w:color="auto"/>
              <w:right w:val="single" w:sz="4" w:space="0" w:color="auto"/>
            </w:tcBorders>
            <w:noWrap/>
            <w:vAlign w:val="center"/>
            <w:hideMark/>
          </w:tcPr>
          <w:p w14:paraId="3E1F2577"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Item</w:t>
            </w:r>
          </w:p>
        </w:tc>
        <w:tc>
          <w:tcPr>
            <w:tcW w:w="2936" w:type="dxa"/>
            <w:tcBorders>
              <w:top w:val="nil"/>
              <w:left w:val="nil"/>
              <w:bottom w:val="single" w:sz="4" w:space="0" w:color="auto"/>
              <w:right w:val="single" w:sz="4" w:space="0" w:color="auto"/>
            </w:tcBorders>
            <w:noWrap/>
            <w:vAlign w:val="center"/>
            <w:hideMark/>
          </w:tcPr>
          <w:p w14:paraId="4BED2A8F"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2024</w:t>
            </w:r>
          </w:p>
        </w:tc>
        <w:tc>
          <w:tcPr>
            <w:tcW w:w="1137" w:type="dxa"/>
            <w:tcBorders>
              <w:top w:val="nil"/>
              <w:left w:val="nil"/>
              <w:bottom w:val="single" w:sz="4" w:space="0" w:color="auto"/>
              <w:right w:val="single" w:sz="4" w:space="0" w:color="auto"/>
            </w:tcBorders>
            <w:noWrap/>
            <w:vAlign w:val="center"/>
            <w:hideMark/>
          </w:tcPr>
          <w:p w14:paraId="6486921A"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2023</w:t>
            </w:r>
          </w:p>
        </w:tc>
        <w:tc>
          <w:tcPr>
            <w:tcW w:w="1137" w:type="dxa"/>
            <w:tcBorders>
              <w:top w:val="nil"/>
              <w:left w:val="nil"/>
              <w:bottom w:val="single" w:sz="4" w:space="0" w:color="auto"/>
              <w:right w:val="single" w:sz="4" w:space="0" w:color="auto"/>
            </w:tcBorders>
            <w:noWrap/>
            <w:vAlign w:val="center"/>
            <w:hideMark/>
          </w:tcPr>
          <w:p w14:paraId="199FEDB4"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2022</w:t>
            </w:r>
          </w:p>
        </w:tc>
        <w:tc>
          <w:tcPr>
            <w:tcW w:w="1137" w:type="dxa"/>
            <w:tcBorders>
              <w:top w:val="nil"/>
              <w:left w:val="nil"/>
              <w:bottom w:val="single" w:sz="4" w:space="0" w:color="auto"/>
              <w:right w:val="single" w:sz="4" w:space="0" w:color="auto"/>
            </w:tcBorders>
            <w:noWrap/>
            <w:vAlign w:val="center"/>
            <w:hideMark/>
          </w:tcPr>
          <w:p w14:paraId="276EC857"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2021</w:t>
            </w:r>
          </w:p>
        </w:tc>
        <w:tc>
          <w:tcPr>
            <w:tcW w:w="1137" w:type="dxa"/>
            <w:tcBorders>
              <w:top w:val="nil"/>
              <w:left w:val="nil"/>
              <w:bottom w:val="single" w:sz="4" w:space="0" w:color="auto"/>
              <w:right w:val="single" w:sz="4" w:space="0" w:color="auto"/>
            </w:tcBorders>
            <w:noWrap/>
            <w:vAlign w:val="center"/>
            <w:hideMark/>
          </w:tcPr>
          <w:p w14:paraId="6008830D"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2020</w:t>
            </w:r>
          </w:p>
        </w:tc>
        <w:tc>
          <w:tcPr>
            <w:tcW w:w="1137" w:type="dxa"/>
            <w:tcBorders>
              <w:top w:val="nil"/>
              <w:left w:val="nil"/>
              <w:bottom w:val="single" w:sz="4" w:space="0" w:color="auto"/>
              <w:right w:val="single" w:sz="4" w:space="0" w:color="auto"/>
            </w:tcBorders>
            <w:noWrap/>
            <w:vAlign w:val="bottom"/>
            <w:hideMark/>
          </w:tcPr>
          <w:p w14:paraId="41987492"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r>
      <w:tr w:rsidR="001867EE" w:rsidRPr="00441B4E" w14:paraId="7FBAD8E8" w14:textId="77777777" w:rsidTr="00453BCB">
        <w:trPr>
          <w:trHeight w:val="299"/>
        </w:trPr>
        <w:tc>
          <w:tcPr>
            <w:tcW w:w="2988" w:type="dxa"/>
            <w:tcBorders>
              <w:top w:val="nil"/>
              <w:left w:val="single" w:sz="4" w:space="0" w:color="auto"/>
              <w:bottom w:val="single" w:sz="4" w:space="0" w:color="auto"/>
              <w:right w:val="single" w:sz="4" w:space="0" w:color="auto"/>
            </w:tcBorders>
            <w:noWrap/>
            <w:vAlign w:val="center"/>
            <w:hideMark/>
          </w:tcPr>
          <w:p w14:paraId="38DBEE1E"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Inventories</w:t>
            </w:r>
          </w:p>
        </w:tc>
        <w:tc>
          <w:tcPr>
            <w:tcW w:w="2936" w:type="dxa"/>
            <w:tcBorders>
              <w:top w:val="nil"/>
              <w:left w:val="nil"/>
              <w:bottom w:val="single" w:sz="4" w:space="0" w:color="auto"/>
              <w:right w:val="single" w:sz="4" w:space="0" w:color="auto"/>
            </w:tcBorders>
            <w:noWrap/>
            <w:vAlign w:val="center"/>
            <w:hideMark/>
          </w:tcPr>
          <w:p w14:paraId="684ACB70"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79,355</w:t>
            </w:r>
          </w:p>
        </w:tc>
        <w:tc>
          <w:tcPr>
            <w:tcW w:w="1137" w:type="dxa"/>
            <w:tcBorders>
              <w:top w:val="nil"/>
              <w:left w:val="nil"/>
              <w:bottom w:val="single" w:sz="4" w:space="0" w:color="auto"/>
              <w:right w:val="single" w:sz="4" w:space="0" w:color="auto"/>
            </w:tcBorders>
            <w:noWrap/>
            <w:vAlign w:val="center"/>
            <w:hideMark/>
          </w:tcPr>
          <w:p w14:paraId="186B8006"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88,273</w:t>
            </w:r>
          </w:p>
        </w:tc>
        <w:tc>
          <w:tcPr>
            <w:tcW w:w="1137" w:type="dxa"/>
            <w:tcBorders>
              <w:top w:val="nil"/>
              <w:left w:val="nil"/>
              <w:bottom w:val="single" w:sz="4" w:space="0" w:color="auto"/>
              <w:right w:val="single" w:sz="4" w:space="0" w:color="auto"/>
            </w:tcBorders>
            <w:noWrap/>
            <w:vAlign w:val="center"/>
            <w:hideMark/>
          </w:tcPr>
          <w:p w14:paraId="6F1B3514"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140,181</w:t>
            </w:r>
          </w:p>
        </w:tc>
        <w:tc>
          <w:tcPr>
            <w:tcW w:w="1137" w:type="dxa"/>
            <w:tcBorders>
              <w:top w:val="nil"/>
              <w:left w:val="nil"/>
              <w:bottom w:val="single" w:sz="4" w:space="0" w:color="auto"/>
              <w:right w:val="single" w:sz="4" w:space="0" w:color="auto"/>
            </w:tcBorders>
            <w:noWrap/>
            <w:vAlign w:val="center"/>
            <w:hideMark/>
          </w:tcPr>
          <w:p w14:paraId="01D02460"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134,469</w:t>
            </w:r>
          </w:p>
        </w:tc>
        <w:tc>
          <w:tcPr>
            <w:tcW w:w="1137" w:type="dxa"/>
            <w:tcBorders>
              <w:top w:val="nil"/>
              <w:left w:val="nil"/>
              <w:bottom w:val="single" w:sz="4" w:space="0" w:color="auto"/>
              <w:right w:val="single" w:sz="4" w:space="0" w:color="auto"/>
            </w:tcBorders>
            <w:noWrap/>
            <w:vAlign w:val="center"/>
            <w:hideMark/>
          </w:tcPr>
          <w:p w14:paraId="29101DC4"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120,430</w:t>
            </w:r>
          </w:p>
        </w:tc>
        <w:tc>
          <w:tcPr>
            <w:tcW w:w="1137" w:type="dxa"/>
            <w:tcBorders>
              <w:top w:val="nil"/>
              <w:left w:val="nil"/>
              <w:bottom w:val="single" w:sz="4" w:space="0" w:color="auto"/>
              <w:right w:val="single" w:sz="4" w:space="0" w:color="auto"/>
            </w:tcBorders>
            <w:noWrap/>
            <w:vAlign w:val="bottom"/>
            <w:hideMark/>
          </w:tcPr>
          <w:p w14:paraId="6A52A618"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r>
      <w:tr w:rsidR="001867EE" w:rsidRPr="00441B4E" w14:paraId="0DF3B18C" w14:textId="77777777" w:rsidTr="00453BCB">
        <w:trPr>
          <w:trHeight w:val="299"/>
        </w:trPr>
        <w:tc>
          <w:tcPr>
            <w:tcW w:w="2988" w:type="dxa"/>
            <w:tcBorders>
              <w:top w:val="nil"/>
              <w:left w:val="single" w:sz="4" w:space="0" w:color="auto"/>
              <w:bottom w:val="single" w:sz="4" w:space="0" w:color="auto"/>
              <w:right w:val="single" w:sz="4" w:space="0" w:color="auto"/>
            </w:tcBorders>
            <w:noWrap/>
            <w:vAlign w:val="center"/>
            <w:hideMark/>
          </w:tcPr>
          <w:p w14:paraId="3E203597"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Cost of Sales</w:t>
            </w:r>
          </w:p>
        </w:tc>
        <w:tc>
          <w:tcPr>
            <w:tcW w:w="2936" w:type="dxa"/>
            <w:tcBorders>
              <w:top w:val="nil"/>
              <w:left w:val="nil"/>
              <w:bottom w:val="single" w:sz="4" w:space="0" w:color="auto"/>
              <w:right w:val="single" w:sz="4" w:space="0" w:color="auto"/>
            </w:tcBorders>
            <w:noWrap/>
            <w:vAlign w:val="center"/>
            <w:hideMark/>
          </w:tcPr>
          <w:p w14:paraId="74B4BEB0"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280,885</w:t>
            </w:r>
          </w:p>
        </w:tc>
        <w:tc>
          <w:tcPr>
            <w:tcW w:w="1137" w:type="dxa"/>
            <w:tcBorders>
              <w:top w:val="nil"/>
              <w:left w:val="nil"/>
              <w:bottom w:val="single" w:sz="4" w:space="0" w:color="auto"/>
              <w:right w:val="single" w:sz="4" w:space="0" w:color="auto"/>
            </w:tcBorders>
            <w:noWrap/>
            <w:vAlign w:val="center"/>
            <w:hideMark/>
          </w:tcPr>
          <w:p w14:paraId="55046829"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322,897</w:t>
            </w:r>
          </w:p>
        </w:tc>
        <w:tc>
          <w:tcPr>
            <w:tcW w:w="1137" w:type="dxa"/>
            <w:tcBorders>
              <w:top w:val="nil"/>
              <w:left w:val="nil"/>
              <w:bottom w:val="single" w:sz="4" w:space="0" w:color="auto"/>
              <w:right w:val="single" w:sz="4" w:space="0" w:color="auto"/>
            </w:tcBorders>
            <w:noWrap/>
            <w:vAlign w:val="center"/>
            <w:hideMark/>
          </w:tcPr>
          <w:p w14:paraId="251CE169"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390,459</w:t>
            </w:r>
          </w:p>
        </w:tc>
        <w:tc>
          <w:tcPr>
            <w:tcW w:w="1137" w:type="dxa"/>
            <w:tcBorders>
              <w:top w:val="nil"/>
              <w:left w:val="nil"/>
              <w:bottom w:val="single" w:sz="4" w:space="0" w:color="auto"/>
              <w:right w:val="single" w:sz="4" w:space="0" w:color="auto"/>
            </w:tcBorders>
            <w:noWrap/>
            <w:vAlign w:val="center"/>
            <w:hideMark/>
          </w:tcPr>
          <w:p w14:paraId="60003DED"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428,586</w:t>
            </w:r>
          </w:p>
        </w:tc>
        <w:tc>
          <w:tcPr>
            <w:tcW w:w="1137" w:type="dxa"/>
            <w:tcBorders>
              <w:top w:val="nil"/>
              <w:left w:val="nil"/>
              <w:bottom w:val="single" w:sz="4" w:space="0" w:color="auto"/>
              <w:right w:val="single" w:sz="4" w:space="0" w:color="auto"/>
            </w:tcBorders>
            <w:noWrap/>
            <w:vAlign w:val="center"/>
            <w:hideMark/>
          </w:tcPr>
          <w:p w14:paraId="0454A390"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438,424</w:t>
            </w:r>
          </w:p>
        </w:tc>
        <w:tc>
          <w:tcPr>
            <w:tcW w:w="1137" w:type="dxa"/>
            <w:tcBorders>
              <w:top w:val="nil"/>
              <w:left w:val="nil"/>
              <w:bottom w:val="single" w:sz="4" w:space="0" w:color="auto"/>
              <w:right w:val="single" w:sz="4" w:space="0" w:color="auto"/>
            </w:tcBorders>
            <w:noWrap/>
            <w:vAlign w:val="bottom"/>
            <w:hideMark/>
          </w:tcPr>
          <w:p w14:paraId="3E138575"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r>
      <w:tr w:rsidR="001867EE" w:rsidRPr="00441B4E" w14:paraId="0C8343A0" w14:textId="77777777" w:rsidTr="00453BCB">
        <w:trPr>
          <w:trHeight w:val="299"/>
        </w:trPr>
        <w:tc>
          <w:tcPr>
            <w:tcW w:w="2988" w:type="dxa"/>
            <w:tcBorders>
              <w:top w:val="nil"/>
              <w:left w:val="single" w:sz="4" w:space="0" w:color="auto"/>
              <w:bottom w:val="single" w:sz="4" w:space="0" w:color="auto"/>
              <w:right w:val="single" w:sz="4" w:space="0" w:color="auto"/>
            </w:tcBorders>
            <w:noWrap/>
            <w:vAlign w:val="center"/>
            <w:hideMark/>
          </w:tcPr>
          <w:p w14:paraId="58EF0BBE"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Receivables Total</w:t>
            </w:r>
          </w:p>
        </w:tc>
        <w:tc>
          <w:tcPr>
            <w:tcW w:w="2936" w:type="dxa"/>
            <w:tcBorders>
              <w:top w:val="nil"/>
              <w:left w:val="nil"/>
              <w:bottom w:val="single" w:sz="4" w:space="0" w:color="auto"/>
              <w:right w:val="single" w:sz="4" w:space="0" w:color="auto"/>
            </w:tcBorders>
            <w:noWrap/>
            <w:vAlign w:val="center"/>
            <w:hideMark/>
          </w:tcPr>
          <w:p w14:paraId="65A26797"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124,528</w:t>
            </w:r>
          </w:p>
        </w:tc>
        <w:tc>
          <w:tcPr>
            <w:tcW w:w="1137" w:type="dxa"/>
            <w:tcBorders>
              <w:top w:val="nil"/>
              <w:left w:val="nil"/>
              <w:bottom w:val="single" w:sz="4" w:space="0" w:color="auto"/>
              <w:right w:val="single" w:sz="4" w:space="0" w:color="auto"/>
            </w:tcBorders>
            <w:noWrap/>
            <w:vAlign w:val="center"/>
            <w:hideMark/>
          </w:tcPr>
          <w:p w14:paraId="226CF774"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116,836</w:t>
            </w:r>
          </w:p>
        </w:tc>
        <w:tc>
          <w:tcPr>
            <w:tcW w:w="1137" w:type="dxa"/>
            <w:tcBorders>
              <w:top w:val="nil"/>
              <w:left w:val="nil"/>
              <w:bottom w:val="single" w:sz="4" w:space="0" w:color="auto"/>
              <w:right w:val="single" w:sz="4" w:space="0" w:color="auto"/>
            </w:tcBorders>
            <w:noWrap/>
            <w:vAlign w:val="center"/>
            <w:hideMark/>
          </w:tcPr>
          <w:p w14:paraId="495DF0AF"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120,342</w:t>
            </w:r>
          </w:p>
        </w:tc>
        <w:tc>
          <w:tcPr>
            <w:tcW w:w="1137" w:type="dxa"/>
            <w:tcBorders>
              <w:top w:val="nil"/>
              <w:left w:val="nil"/>
              <w:bottom w:val="single" w:sz="4" w:space="0" w:color="auto"/>
              <w:right w:val="single" w:sz="4" w:space="0" w:color="auto"/>
            </w:tcBorders>
            <w:noWrap/>
            <w:vAlign w:val="center"/>
            <w:hideMark/>
          </w:tcPr>
          <w:p w14:paraId="33E757B8"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134,227</w:t>
            </w:r>
          </w:p>
        </w:tc>
        <w:tc>
          <w:tcPr>
            <w:tcW w:w="1137" w:type="dxa"/>
            <w:tcBorders>
              <w:top w:val="nil"/>
              <w:left w:val="nil"/>
              <w:bottom w:val="single" w:sz="4" w:space="0" w:color="auto"/>
              <w:right w:val="single" w:sz="4" w:space="0" w:color="auto"/>
            </w:tcBorders>
            <w:noWrap/>
            <w:vAlign w:val="center"/>
            <w:hideMark/>
          </w:tcPr>
          <w:p w14:paraId="4D1D0822"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139,118</w:t>
            </w:r>
          </w:p>
        </w:tc>
        <w:tc>
          <w:tcPr>
            <w:tcW w:w="1137" w:type="dxa"/>
            <w:tcBorders>
              <w:top w:val="nil"/>
              <w:left w:val="nil"/>
              <w:bottom w:val="single" w:sz="4" w:space="0" w:color="auto"/>
              <w:right w:val="single" w:sz="4" w:space="0" w:color="auto"/>
            </w:tcBorders>
            <w:noWrap/>
            <w:vAlign w:val="bottom"/>
            <w:hideMark/>
          </w:tcPr>
          <w:p w14:paraId="6DCDD578"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r>
      <w:tr w:rsidR="001867EE" w:rsidRPr="00441B4E" w14:paraId="6B025192" w14:textId="77777777" w:rsidTr="00453BCB">
        <w:trPr>
          <w:trHeight w:val="299"/>
        </w:trPr>
        <w:tc>
          <w:tcPr>
            <w:tcW w:w="2988" w:type="dxa"/>
            <w:tcBorders>
              <w:top w:val="nil"/>
              <w:left w:val="single" w:sz="4" w:space="0" w:color="auto"/>
              <w:bottom w:val="single" w:sz="4" w:space="0" w:color="auto"/>
              <w:right w:val="single" w:sz="4" w:space="0" w:color="auto"/>
            </w:tcBorders>
            <w:noWrap/>
            <w:vAlign w:val="center"/>
            <w:hideMark/>
          </w:tcPr>
          <w:p w14:paraId="22C5FB50"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Accounts Payable</w:t>
            </w:r>
          </w:p>
        </w:tc>
        <w:tc>
          <w:tcPr>
            <w:tcW w:w="2936" w:type="dxa"/>
            <w:tcBorders>
              <w:top w:val="nil"/>
              <w:left w:val="nil"/>
              <w:bottom w:val="single" w:sz="4" w:space="0" w:color="auto"/>
              <w:right w:val="single" w:sz="4" w:space="0" w:color="auto"/>
            </w:tcBorders>
            <w:noWrap/>
            <w:vAlign w:val="center"/>
            <w:hideMark/>
          </w:tcPr>
          <w:p w14:paraId="2046E9A8"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72,031</w:t>
            </w:r>
          </w:p>
        </w:tc>
        <w:tc>
          <w:tcPr>
            <w:tcW w:w="1137" w:type="dxa"/>
            <w:tcBorders>
              <w:top w:val="nil"/>
              <w:left w:val="nil"/>
              <w:bottom w:val="single" w:sz="4" w:space="0" w:color="auto"/>
              <w:right w:val="single" w:sz="4" w:space="0" w:color="auto"/>
            </w:tcBorders>
            <w:noWrap/>
            <w:vAlign w:val="center"/>
            <w:hideMark/>
          </w:tcPr>
          <w:p w14:paraId="5B7E9158"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57,033</w:t>
            </w:r>
          </w:p>
        </w:tc>
        <w:tc>
          <w:tcPr>
            <w:tcW w:w="1137" w:type="dxa"/>
            <w:tcBorders>
              <w:top w:val="nil"/>
              <w:left w:val="nil"/>
              <w:bottom w:val="single" w:sz="4" w:space="0" w:color="auto"/>
              <w:right w:val="single" w:sz="4" w:space="0" w:color="auto"/>
            </w:tcBorders>
            <w:noWrap/>
            <w:vAlign w:val="center"/>
            <w:hideMark/>
          </w:tcPr>
          <w:p w14:paraId="219AC978"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71,373</w:t>
            </w:r>
          </w:p>
        </w:tc>
        <w:tc>
          <w:tcPr>
            <w:tcW w:w="1137" w:type="dxa"/>
            <w:tcBorders>
              <w:top w:val="nil"/>
              <w:left w:val="nil"/>
              <w:bottom w:val="single" w:sz="4" w:space="0" w:color="auto"/>
              <w:right w:val="single" w:sz="4" w:space="0" w:color="auto"/>
            </w:tcBorders>
            <w:noWrap/>
            <w:vAlign w:val="center"/>
            <w:hideMark/>
          </w:tcPr>
          <w:p w14:paraId="4A2FB4AB"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92,707</w:t>
            </w:r>
          </w:p>
        </w:tc>
        <w:tc>
          <w:tcPr>
            <w:tcW w:w="1137" w:type="dxa"/>
            <w:tcBorders>
              <w:top w:val="nil"/>
              <w:left w:val="nil"/>
              <w:bottom w:val="single" w:sz="4" w:space="0" w:color="auto"/>
              <w:right w:val="single" w:sz="4" w:space="0" w:color="auto"/>
            </w:tcBorders>
            <w:noWrap/>
            <w:vAlign w:val="center"/>
            <w:hideMark/>
          </w:tcPr>
          <w:p w14:paraId="2332E72E"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83,229</w:t>
            </w:r>
          </w:p>
        </w:tc>
        <w:tc>
          <w:tcPr>
            <w:tcW w:w="1137" w:type="dxa"/>
            <w:tcBorders>
              <w:top w:val="nil"/>
              <w:left w:val="nil"/>
              <w:bottom w:val="single" w:sz="4" w:space="0" w:color="auto"/>
              <w:right w:val="single" w:sz="4" w:space="0" w:color="auto"/>
            </w:tcBorders>
            <w:noWrap/>
            <w:vAlign w:val="bottom"/>
            <w:hideMark/>
          </w:tcPr>
          <w:p w14:paraId="72DB8821"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r>
      <w:tr w:rsidR="001867EE" w:rsidRPr="00441B4E" w14:paraId="0D4DAADA" w14:textId="77777777" w:rsidTr="00453BCB">
        <w:trPr>
          <w:trHeight w:val="299"/>
        </w:trPr>
        <w:tc>
          <w:tcPr>
            <w:tcW w:w="2988" w:type="dxa"/>
            <w:tcBorders>
              <w:top w:val="nil"/>
              <w:left w:val="nil"/>
              <w:bottom w:val="nil"/>
              <w:right w:val="nil"/>
            </w:tcBorders>
            <w:noWrap/>
            <w:vAlign w:val="bottom"/>
            <w:hideMark/>
          </w:tcPr>
          <w:p w14:paraId="53004A58"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2936" w:type="dxa"/>
            <w:tcBorders>
              <w:top w:val="nil"/>
              <w:left w:val="nil"/>
              <w:bottom w:val="nil"/>
              <w:right w:val="nil"/>
            </w:tcBorders>
            <w:noWrap/>
            <w:vAlign w:val="bottom"/>
            <w:hideMark/>
          </w:tcPr>
          <w:p w14:paraId="4D30F8FF"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nil"/>
              <w:left w:val="nil"/>
              <w:bottom w:val="nil"/>
              <w:right w:val="nil"/>
            </w:tcBorders>
            <w:noWrap/>
            <w:vAlign w:val="bottom"/>
            <w:hideMark/>
          </w:tcPr>
          <w:p w14:paraId="6ACD1F1B"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nil"/>
              <w:left w:val="nil"/>
              <w:bottom w:val="nil"/>
              <w:right w:val="nil"/>
            </w:tcBorders>
            <w:noWrap/>
            <w:vAlign w:val="bottom"/>
            <w:hideMark/>
          </w:tcPr>
          <w:p w14:paraId="5A2F5228"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nil"/>
              <w:left w:val="nil"/>
              <w:bottom w:val="nil"/>
              <w:right w:val="nil"/>
            </w:tcBorders>
            <w:noWrap/>
            <w:vAlign w:val="bottom"/>
            <w:hideMark/>
          </w:tcPr>
          <w:p w14:paraId="646FB267"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nil"/>
              <w:left w:val="nil"/>
              <w:bottom w:val="nil"/>
              <w:right w:val="nil"/>
            </w:tcBorders>
            <w:noWrap/>
            <w:vAlign w:val="bottom"/>
            <w:hideMark/>
          </w:tcPr>
          <w:p w14:paraId="2C1C0C82"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nil"/>
              <w:left w:val="nil"/>
              <w:bottom w:val="nil"/>
              <w:right w:val="nil"/>
            </w:tcBorders>
            <w:noWrap/>
            <w:vAlign w:val="bottom"/>
            <w:hideMark/>
          </w:tcPr>
          <w:p w14:paraId="4B18B111"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r>
      <w:tr w:rsidR="001867EE" w:rsidRPr="00441B4E" w14:paraId="33C9E1FA" w14:textId="77777777" w:rsidTr="00453BCB">
        <w:trPr>
          <w:trHeight w:val="389"/>
        </w:trPr>
        <w:tc>
          <w:tcPr>
            <w:tcW w:w="2988" w:type="dxa"/>
            <w:tcBorders>
              <w:top w:val="single" w:sz="4" w:space="0" w:color="auto"/>
              <w:left w:val="single" w:sz="4" w:space="0" w:color="auto"/>
              <w:bottom w:val="single" w:sz="4" w:space="0" w:color="auto"/>
              <w:right w:val="single" w:sz="4" w:space="0" w:color="auto"/>
            </w:tcBorders>
            <w:noWrap/>
            <w:vAlign w:val="center"/>
            <w:hideMark/>
          </w:tcPr>
          <w:p w14:paraId="77A02038" w14:textId="77777777" w:rsidR="001867EE" w:rsidRPr="00441B4E" w:rsidRDefault="001867EE" w:rsidP="001867EE">
            <w:pPr>
              <w:spacing w:line="240" w:lineRule="auto"/>
              <w:rPr>
                <w:rFonts w:ascii="Arial" w:eastAsia="Times New Roman" w:hAnsi="Arial" w:cs="Arial"/>
                <w:color w:val="0F1115"/>
                <w:szCs w:val="24"/>
              </w:rPr>
            </w:pPr>
            <w:r w:rsidRPr="00441B4E">
              <w:rPr>
                <w:rFonts w:ascii="Arial" w:eastAsia="Times New Roman" w:hAnsi="Arial" w:cs="Arial"/>
                <w:color w:val="0F1115"/>
                <w:szCs w:val="24"/>
              </w:rPr>
              <w:t>4. Gearing (Leverage) Ratios</w:t>
            </w:r>
          </w:p>
        </w:tc>
        <w:tc>
          <w:tcPr>
            <w:tcW w:w="2936" w:type="dxa"/>
            <w:tcBorders>
              <w:top w:val="single" w:sz="4" w:space="0" w:color="auto"/>
              <w:left w:val="nil"/>
              <w:bottom w:val="single" w:sz="4" w:space="0" w:color="auto"/>
              <w:right w:val="single" w:sz="4" w:space="0" w:color="auto"/>
            </w:tcBorders>
            <w:noWrap/>
            <w:vAlign w:val="bottom"/>
            <w:hideMark/>
          </w:tcPr>
          <w:p w14:paraId="5500F8EE"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single" w:sz="4" w:space="0" w:color="auto"/>
              <w:left w:val="nil"/>
              <w:bottom w:val="single" w:sz="4" w:space="0" w:color="auto"/>
              <w:right w:val="single" w:sz="4" w:space="0" w:color="auto"/>
            </w:tcBorders>
            <w:noWrap/>
            <w:vAlign w:val="bottom"/>
            <w:hideMark/>
          </w:tcPr>
          <w:p w14:paraId="215AB494"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single" w:sz="4" w:space="0" w:color="auto"/>
              <w:left w:val="nil"/>
              <w:bottom w:val="single" w:sz="4" w:space="0" w:color="auto"/>
              <w:right w:val="single" w:sz="4" w:space="0" w:color="auto"/>
            </w:tcBorders>
            <w:noWrap/>
            <w:vAlign w:val="bottom"/>
            <w:hideMark/>
          </w:tcPr>
          <w:p w14:paraId="2FCE5DBF"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single" w:sz="4" w:space="0" w:color="auto"/>
              <w:left w:val="nil"/>
              <w:bottom w:val="single" w:sz="4" w:space="0" w:color="auto"/>
              <w:right w:val="single" w:sz="4" w:space="0" w:color="auto"/>
            </w:tcBorders>
            <w:noWrap/>
            <w:vAlign w:val="bottom"/>
            <w:hideMark/>
          </w:tcPr>
          <w:p w14:paraId="1AEF22E9"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single" w:sz="4" w:space="0" w:color="auto"/>
              <w:left w:val="nil"/>
              <w:bottom w:val="single" w:sz="4" w:space="0" w:color="auto"/>
              <w:right w:val="single" w:sz="4" w:space="0" w:color="auto"/>
            </w:tcBorders>
            <w:noWrap/>
            <w:vAlign w:val="bottom"/>
            <w:hideMark/>
          </w:tcPr>
          <w:p w14:paraId="631AF2CC"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single" w:sz="4" w:space="0" w:color="auto"/>
              <w:left w:val="nil"/>
              <w:bottom w:val="single" w:sz="4" w:space="0" w:color="auto"/>
              <w:right w:val="single" w:sz="4" w:space="0" w:color="auto"/>
            </w:tcBorders>
            <w:noWrap/>
            <w:vAlign w:val="bottom"/>
            <w:hideMark/>
          </w:tcPr>
          <w:p w14:paraId="1BE1781E"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r>
      <w:tr w:rsidR="001867EE" w:rsidRPr="00441B4E" w14:paraId="3862E41E" w14:textId="77777777" w:rsidTr="00453BCB">
        <w:trPr>
          <w:trHeight w:val="299"/>
        </w:trPr>
        <w:tc>
          <w:tcPr>
            <w:tcW w:w="2988" w:type="dxa"/>
            <w:tcBorders>
              <w:top w:val="nil"/>
              <w:left w:val="single" w:sz="4" w:space="0" w:color="auto"/>
              <w:bottom w:val="single" w:sz="4" w:space="0" w:color="auto"/>
              <w:right w:val="single" w:sz="4" w:space="0" w:color="auto"/>
            </w:tcBorders>
            <w:noWrap/>
            <w:vAlign w:val="center"/>
            <w:hideMark/>
          </w:tcPr>
          <w:p w14:paraId="62EF0DCF"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Ratio</w:t>
            </w:r>
          </w:p>
        </w:tc>
        <w:tc>
          <w:tcPr>
            <w:tcW w:w="2936" w:type="dxa"/>
            <w:tcBorders>
              <w:top w:val="nil"/>
              <w:left w:val="nil"/>
              <w:bottom w:val="single" w:sz="4" w:space="0" w:color="auto"/>
              <w:right w:val="single" w:sz="4" w:space="0" w:color="auto"/>
            </w:tcBorders>
            <w:noWrap/>
            <w:vAlign w:val="center"/>
            <w:hideMark/>
          </w:tcPr>
          <w:p w14:paraId="07F19DD0"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Formula</w:t>
            </w:r>
          </w:p>
        </w:tc>
        <w:tc>
          <w:tcPr>
            <w:tcW w:w="1137" w:type="dxa"/>
            <w:tcBorders>
              <w:top w:val="nil"/>
              <w:left w:val="nil"/>
              <w:bottom w:val="single" w:sz="4" w:space="0" w:color="auto"/>
              <w:right w:val="single" w:sz="4" w:space="0" w:color="auto"/>
            </w:tcBorders>
            <w:noWrap/>
            <w:vAlign w:val="center"/>
            <w:hideMark/>
          </w:tcPr>
          <w:p w14:paraId="5B3FDF58"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2024</w:t>
            </w:r>
          </w:p>
        </w:tc>
        <w:tc>
          <w:tcPr>
            <w:tcW w:w="1137" w:type="dxa"/>
            <w:tcBorders>
              <w:top w:val="nil"/>
              <w:left w:val="nil"/>
              <w:bottom w:val="single" w:sz="4" w:space="0" w:color="auto"/>
              <w:right w:val="single" w:sz="4" w:space="0" w:color="auto"/>
            </w:tcBorders>
            <w:noWrap/>
            <w:vAlign w:val="center"/>
            <w:hideMark/>
          </w:tcPr>
          <w:p w14:paraId="3C68284F"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2023</w:t>
            </w:r>
          </w:p>
        </w:tc>
        <w:tc>
          <w:tcPr>
            <w:tcW w:w="1137" w:type="dxa"/>
            <w:tcBorders>
              <w:top w:val="nil"/>
              <w:left w:val="nil"/>
              <w:bottom w:val="single" w:sz="4" w:space="0" w:color="auto"/>
              <w:right w:val="single" w:sz="4" w:space="0" w:color="auto"/>
            </w:tcBorders>
            <w:noWrap/>
            <w:vAlign w:val="center"/>
            <w:hideMark/>
          </w:tcPr>
          <w:p w14:paraId="02DF236A"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2022</w:t>
            </w:r>
          </w:p>
        </w:tc>
        <w:tc>
          <w:tcPr>
            <w:tcW w:w="1137" w:type="dxa"/>
            <w:tcBorders>
              <w:top w:val="nil"/>
              <w:left w:val="nil"/>
              <w:bottom w:val="single" w:sz="4" w:space="0" w:color="auto"/>
              <w:right w:val="single" w:sz="4" w:space="0" w:color="auto"/>
            </w:tcBorders>
            <w:noWrap/>
            <w:vAlign w:val="center"/>
            <w:hideMark/>
          </w:tcPr>
          <w:p w14:paraId="455E3C46"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2021</w:t>
            </w:r>
          </w:p>
        </w:tc>
        <w:tc>
          <w:tcPr>
            <w:tcW w:w="1137" w:type="dxa"/>
            <w:tcBorders>
              <w:top w:val="nil"/>
              <w:left w:val="nil"/>
              <w:bottom w:val="single" w:sz="4" w:space="0" w:color="auto"/>
              <w:right w:val="single" w:sz="4" w:space="0" w:color="auto"/>
            </w:tcBorders>
            <w:noWrap/>
            <w:vAlign w:val="center"/>
            <w:hideMark/>
          </w:tcPr>
          <w:p w14:paraId="4B3B2E0F"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2020</w:t>
            </w:r>
          </w:p>
        </w:tc>
      </w:tr>
      <w:tr w:rsidR="001867EE" w:rsidRPr="00441B4E" w14:paraId="3EB3FDA1" w14:textId="77777777" w:rsidTr="00453BCB">
        <w:trPr>
          <w:trHeight w:val="299"/>
        </w:trPr>
        <w:tc>
          <w:tcPr>
            <w:tcW w:w="2988" w:type="dxa"/>
            <w:tcBorders>
              <w:top w:val="nil"/>
              <w:left w:val="single" w:sz="4" w:space="0" w:color="auto"/>
              <w:bottom w:val="single" w:sz="4" w:space="0" w:color="auto"/>
              <w:right w:val="single" w:sz="4" w:space="0" w:color="auto"/>
            </w:tcBorders>
            <w:noWrap/>
            <w:vAlign w:val="center"/>
            <w:hideMark/>
          </w:tcPr>
          <w:p w14:paraId="44D6379A"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Gearing Ratio</w:t>
            </w:r>
          </w:p>
        </w:tc>
        <w:tc>
          <w:tcPr>
            <w:tcW w:w="2936" w:type="dxa"/>
            <w:tcBorders>
              <w:top w:val="nil"/>
              <w:left w:val="nil"/>
              <w:bottom w:val="single" w:sz="4" w:space="0" w:color="auto"/>
              <w:right w:val="single" w:sz="4" w:space="0" w:color="auto"/>
            </w:tcBorders>
            <w:noWrap/>
            <w:vAlign w:val="center"/>
            <w:hideMark/>
          </w:tcPr>
          <w:p w14:paraId="691FED94"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Total Liabilities / Total Assets</w:t>
            </w:r>
          </w:p>
        </w:tc>
        <w:tc>
          <w:tcPr>
            <w:tcW w:w="1137" w:type="dxa"/>
            <w:tcBorders>
              <w:top w:val="nil"/>
              <w:left w:val="nil"/>
              <w:bottom w:val="single" w:sz="4" w:space="0" w:color="auto"/>
              <w:right w:val="single" w:sz="4" w:space="0" w:color="auto"/>
            </w:tcBorders>
            <w:noWrap/>
            <w:vAlign w:val="center"/>
            <w:hideMark/>
          </w:tcPr>
          <w:p w14:paraId="08EA306B"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52.65%</w:t>
            </w:r>
          </w:p>
        </w:tc>
        <w:tc>
          <w:tcPr>
            <w:tcW w:w="1137" w:type="dxa"/>
            <w:tcBorders>
              <w:top w:val="nil"/>
              <w:left w:val="nil"/>
              <w:bottom w:val="single" w:sz="4" w:space="0" w:color="auto"/>
              <w:right w:val="single" w:sz="4" w:space="0" w:color="auto"/>
            </w:tcBorders>
            <w:noWrap/>
            <w:vAlign w:val="center"/>
            <w:hideMark/>
          </w:tcPr>
          <w:p w14:paraId="1B5030B2"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49.72%</w:t>
            </w:r>
          </w:p>
        </w:tc>
        <w:tc>
          <w:tcPr>
            <w:tcW w:w="1137" w:type="dxa"/>
            <w:tcBorders>
              <w:top w:val="nil"/>
              <w:left w:val="nil"/>
              <w:bottom w:val="single" w:sz="4" w:space="0" w:color="auto"/>
              <w:right w:val="single" w:sz="4" w:space="0" w:color="auto"/>
            </w:tcBorders>
            <w:noWrap/>
            <w:vAlign w:val="center"/>
            <w:hideMark/>
          </w:tcPr>
          <w:p w14:paraId="6E68DC80"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46.76%</w:t>
            </w:r>
          </w:p>
        </w:tc>
        <w:tc>
          <w:tcPr>
            <w:tcW w:w="1137" w:type="dxa"/>
            <w:tcBorders>
              <w:top w:val="nil"/>
              <w:left w:val="nil"/>
              <w:bottom w:val="single" w:sz="4" w:space="0" w:color="auto"/>
              <w:right w:val="single" w:sz="4" w:space="0" w:color="auto"/>
            </w:tcBorders>
            <w:noWrap/>
            <w:vAlign w:val="center"/>
            <w:hideMark/>
          </w:tcPr>
          <w:p w14:paraId="47E01169"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45.93%</w:t>
            </w:r>
          </w:p>
        </w:tc>
        <w:tc>
          <w:tcPr>
            <w:tcW w:w="1137" w:type="dxa"/>
            <w:tcBorders>
              <w:top w:val="nil"/>
              <w:left w:val="nil"/>
              <w:bottom w:val="single" w:sz="4" w:space="0" w:color="auto"/>
              <w:right w:val="single" w:sz="4" w:space="0" w:color="auto"/>
            </w:tcBorders>
            <w:noWrap/>
            <w:vAlign w:val="center"/>
            <w:hideMark/>
          </w:tcPr>
          <w:p w14:paraId="7A08CD2C"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38.60%</w:t>
            </w:r>
          </w:p>
        </w:tc>
      </w:tr>
      <w:tr w:rsidR="001867EE" w:rsidRPr="00441B4E" w14:paraId="54E32439" w14:textId="77777777" w:rsidTr="00453BCB">
        <w:trPr>
          <w:trHeight w:val="299"/>
        </w:trPr>
        <w:tc>
          <w:tcPr>
            <w:tcW w:w="2988" w:type="dxa"/>
            <w:tcBorders>
              <w:top w:val="nil"/>
              <w:left w:val="single" w:sz="4" w:space="0" w:color="auto"/>
              <w:bottom w:val="single" w:sz="4" w:space="0" w:color="auto"/>
              <w:right w:val="single" w:sz="4" w:space="0" w:color="auto"/>
            </w:tcBorders>
            <w:noWrap/>
            <w:vAlign w:val="center"/>
            <w:hideMark/>
          </w:tcPr>
          <w:p w14:paraId="1A15F204"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Debt to Equity</w:t>
            </w:r>
          </w:p>
        </w:tc>
        <w:tc>
          <w:tcPr>
            <w:tcW w:w="2936" w:type="dxa"/>
            <w:tcBorders>
              <w:top w:val="nil"/>
              <w:left w:val="nil"/>
              <w:bottom w:val="single" w:sz="4" w:space="0" w:color="auto"/>
              <w:right w:val="single" w:sz="4" w:space="0" w:color="auto"/>
            </w:tcBorders>
            <w:noWrap/>
            <w:vAlign w:val="center"/>
            <w:hideMark/>
          </w:tcPr>
          <w:p w14:paraId="56F245D7"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Total Liabilities / Equity</w:t>
            </w:r>
          </w:p>
        </w:tc>
        <w:tc>
          <w:tcPr>
            <w:tcW w:w="1137" w:type="dxa"/>
            <w:tcBorders>
              <w:top w:val="nil"/>
              <w:left w:val="nil"/>
              <w:bottom w:val="single" w:sz="4" w:space="0" w:color="auto"/>
              <w:right w:val="single" w:sz="4" w:space="0" w:color="auto"/>
            </w:tcBorders>
            <w:noWrap/>
            <w:vAlign w:val="center"/>
            <w:hideMark/>
          </w:tcPr>
          <w:p w14:paraId="276E2066"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1.111975</w:t>
            </w:r>
          </w:p>
        </w:tc>
        <w:tc>
          <w:tcPr>
            <w:tcW w:w="1137" w:type="dxa"/>
            <w:tcBorders>
              <w:top w:val="nil"/>
              <w:left w:val="nil"/>
              <w:bottom w:val="single" w:sz="4" w:space="0" w:color="auto"/>
              <w:right w:val="single" w:sz="4" w:space="0" w:color="auto"/>
            </w:tcBorders>
            <w:noWrap/>
            <w:vAlign w:val="center"/>
            <w:hideMark/>
          </w:tcPr>
          <w:p w14:paraId="46DDB3FC"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0.989001</w:t>
            </w:r>
          </w:p>
        </w:tc>
        <w:tc>
          <w:tcPr>
            <w:tcW w:w="1137" w:type="dxa"/>
            <w:tcBorders>
              <w:top w:val="nil"/>
              <w:left w:val="nil"/>
              <w:bottom w:val="single" w:sz="4" w:space="0" w:color="auto"/>
              <w:right w:val="single" w:sz="4" w:space="0" w:color="auto"/>
            </w:tcBorders>
            <w:noWrap/>
            <w:vAlign w:val="center"/>
            <w:hideMark/>
          </w:tcPr>
          <w:p w14:paraId="424E9699"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0.87836</w:t>
            </w:r>
          </w:p>
        </w:tc>
        <w:tc>
          <w:tcPr>
            <w:tcW w:w="1137" w:type="dxa"/>
            <w:tcBorders>
              <w:top w:val="nil"/>
              <w:left w:val="nil"/>
              <w:bottom w:val="single" w:sz="4" w:space="0" w:color="auto"/>
              <w:right w:val="single" w:sz="4" w:space="0" w:color="auto"/>
            </w:tcBorders>
            <w:noWrap/>
            <w:vAlign w:val="center"/>
            <w:hideMark/>
          </w:tcPr>
          <w:p w14:paraId="5BF4536E"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0.849429</w:t>
            </w:r>
          </w:p>
        </w:tc>
        <w:tc>
          <w:tcPr>
            <w:tcW w:w="1137" w:type="dxa"/>
            <w:tcBorders>
              <w:top w:val="nil"/>
              <w:left w:val="nil"/>
              <w:bottom w:val="single" w:sz="4" w:space="0" w:color="auto"/>
              <w:right w:val="single" w:sz="4" w:space="0" w:color="auto"/>
            </w:tcBorders>
            <w:noWrap/>
            <w:vAlign w:val="center"/>
            <w:hideMark/>
          </w:tcPr>
          <w:p w14:paraId="473199B9"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0.628753</w:t>
            </w:r>
          </w:p>
        </w:tc>
      </w:tr>
      <w:tr w:rsidR="001867EE" w:rsidRPr="00441B4E" w14:paraId="005B4C49" w14:textId="77777777" w:rsidTr="00453BCB">
        <w:trPr>
          <w:trHeight w:val="299"/>
        </w:trPr>
        <w:tc>
          <w:tcPr>
            <w:tcW w:w="2988" w:type="dxa"/>
            <w:tcBorders>
              <w:top w:val="nil"/>
              <w:left w:val="single" w:sz="4" w:space="0" w:color="auto"/>
              <w:bottom w:val="single" w:sz="4" w:space="0" w:color="auto"/>
              <w:right w:val="single" w:sz="4" w:space="0" w:color="auto"/>
            </w:tcBorders>
            <w:noWrap/>
            <w:vAlign w:val="center"/>
            <w:hideMark/>
          </w:tcPr>
          <w:p w14:paraId="28F18CA1"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Interest Cover</w:t>
            </w:r>
          </w:p>
        </w:tc>
        <w:tc>
          <w:tcPr>
            <w:tcW w:w="2936" w:type="dxa"/>
            <w:tcBorders>
              <w:top w:val="nil"/>
              <w:left w:val="nil"/>
              <w:bottom w:val="single" w:sz="4" w:space="0" w:color="auto"/>
              <w:right w:val="single" w:sz="4" w:space="0" w:color="auto"/>
            </w:tcBorders>
            <w:noWrap/>
            <w:vAlign w:val="center"/>
            <w:hideMark/>
          </w:tcPr>
          <w:p w14:paraId="55ACC1DF"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Operating Income / Interest Expense</w:t>
            </w:r>
          </w:p>
        </w:tc>
        <w:tc>
          <w:tcPr>
            <w:tcW w:w="1137" w:type="dxa"/>
            <w:tcBorders>
              <w:top w:val="nil"/>
              <w:left w:val="nil"/>
              <w:bottom w:val="single" w:sz="4" w:space="0" w:color="auto"/>
              <w:right w:val="single" w:sz="4" w:space="0" w:color="auto"/>
            </w:tcBorders>
            <w:noWrap/>
            <w:vAlign w:val="center"/>
            <w:hideMark/>
          </w:tcPr>
          <w:p w14:paraId="5F96697E"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-4.55132</w:t>
            </w:r>
          </w:p>
        </w:tc>
        <w:tc>
          <w:tcPr>
            <w:tcW w:w="1137" w:type="dxa"/>
            <w:tcBorders>
              <w:top w:val="nil"/>
              <w:left w:val="nil"/>
              <w:bottom w:val="single" w:sz="4" w:space="0" w:color="auto"/>
              <w:right w:val="single" w:sz="4" w:space="0" w:color="auto"/>
            </w:tcBorders>
            <w:noWrap/>
            <w:vAlign w:val="center"/>
            <w:hideMark/>
          </w:tcPr>
          <w:p w14:paraId="2859ECAD"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-19.6909</w:t>
            </w:r>
          </w:p>
        </w:tc>
        <w:tc>
          <w:tcPr>
            <w:tcW w:w="1137" w:type="dxa"/>
            <w:tcBorders>
              <w:top w:val="nil"/>
              <w:left w:val="nil"/>
              <w:bottom w:val="single" w:sz="4" w:space="0" w:color="auto"/>
              <w:right w:val="single" w:sz="4" w:space="0" w:color="auto"/>
            </w:tcBorders>
            <w:noWrap/>
            <w:vAlign w:val="center"/>
            <w:hideMark/>
          </w:tcPr>
          <w:p w14:paraId="1CD983E3"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6.612727</w:t>
            </w:r>
          </w:p>
        </w:tc>
        <w:tc>
          <w:tcPr>
            <w:tcW w:w="1137" w:type="dxa"/>
            <w:tcBorders>
              <w:top w:val="nil"/>
              <w:left w:val="nil"/>
              <w:bottom w:val="single" w:sz="4" w:space="0" w:color="auto"/>
              <w:right w:val="single" w:sz="4" w:space="0" w:color="auto"/>
            </w:tcBorders>
            <w:noWrap/>
            <w:vAlign w:val="center"/>
            <w:hideMark/>
          </w:tcPr>
          <w:p w14:paraId="5FA5698A"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41.08304</w:t>
            </w:r>
          </w:p>
        </w:tc>
        <w:tc>
          <w:tcPr>
            <w:tcW w:w="1137" w:type="dxa"/>
            <w:tcBorders>
              <w:top w:val="nil"/>
              <w:left w:val="nil"/>
              <w:bottom w:val="single" w:sz="4" w:space="0" w:color="auto"/>
              <w:right w:val="single" w:sz="4" w:space="0" w:color="auto"/>
            </w:tcBorders>
            <w:noWrap/>
            <w:vAlign w:val="center"/>
            <w:hideMark/>
          </w:tcPr>
          <w:p w14:paraId="67CEB74F"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26.20745</w:t>
            </w:r>
          </w:p>
        </w:tc>
      </w:tr>
      <w:tr w:rsidR="001867EE" w:rsidRPr="00441B4E" w14:paraId="505E09FA" w14:textId="77777777" w:rsidTr="00453BCB">
        <w:trPr>
          <w:trHeight w:val="299"/>
        </w:trPr>
        <w:tc>
          <w:tcPr>
            <w:tcW w:w="2988" w:type="dxa"/>
            <w:tcBorders>
              <w:top w:val="nil"/>
              <w:left w:val="nil"/>
              <w:bottom w:val="nil"/>
              <w:right w:val="nil"/>
            </w:tcBorders>
            <w:noWrap/>
            <w:vAlign w:val="bottom"/>
            <w:hideMark/>
          </w:tcPr>
          <w:p w14:paraId="498A464A"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2936" w:type="dxa"/>
            <w:tcBorders>
              <w:top w:val="nil"/>
              <w:left w:val="nil"/>
              <w:bottom w:val="nil"/>
              <w:right w:val="nil"/>
            </w:tcBorders>
            <w:noWrap/>
            <w:vAlign w:val="bottom"/>
            <w:hideMark/>
          </w:tcPr>
          <w:p w14:paraId="58B76072"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nil"/>
              <w:left w:val="nil"/>
              <w:bottom w:val="nil"/>
              <w:right w:val="nil"/>
            </w:tcBorders>
            <w:noWrap/>
            <w:vAlign w:val="bottom"/>
            <w:hideMark/>
          </w:tcPr>
          <w:p w14:paraId="0DFBDC4B"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nil"/>
              <w:left w:val="nil"/>
              <w:bottom w:val="nil"/>
              <w:right w:val="nil"/>
            </w:tcBorders>
            <w:noWrap/>
            <w:vAlign w:val="bottom"/>
            <w:hideMark/>
          </w:tcPr>
          <w:p w14:paraId="123EEBC9"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nil"/>
              <w:left w:val="nil"/>
              <w:bottom w:val="nil"/>
              <w:right w:val="nil"/>
            </w:tcBorders>
            <w:noWrap/>
            <w:vAlign w:val="bottom"/>
            <w:hideMark/>
          </w:tcPr>
          <w:p w14:paraId="12E83CE3"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nil"/>
              <w:left w:val="nil"/>
              <w:bottom w:val="nil"/>
              <w:right w:val="nil"/>
            </w:tcBorders>
            <w:noWrap/>
            <w:vAlign w:val="bottom"/>
            <w:hideMark/>
          </w:tcPr>
          <w:p w14:paraId="72749326"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nil"/>
              <w:left w:val="nil"/>
              <w:bottom w:val="nil"/>
              <w:right w:val="nil"/>
            </w:tcBorders>
            <w:noWrap/>
            <w:vAlign w:val="bottom"/>
            <w:hideMark/>
          </w:tcPr>
          <w:p w14:paraId="7D3E0BF7"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r>
      <w:tr w:rsidR="001867EE" w:rsidRPr="00441B4E" w14:paraId="7EE752A6" w14:textId="77777777" w:rsidTr="00453BCB">
        <w:trPr>
          <w:trHeight w:val="314"/>
        </w:trPr>
        <w:tc>
          <w:tcPr>
            <w:tcW w:w="2988" w:type="dxa"/>
            <w:tcBorders>
              <w:top w:val="single" w:sz="4" w:space="0" w:color="auto"/>
              <w:left w:val="single" w:sz="4" w:space="0" w:color="auto"/>
              <w:bottom w:val="single" w:sz="4" w:space="0" w:color="auto"/>
              <w:right w:val="single" w:sz="4" w:space="0" w:color="auto"/>
            </w:tcBorders>
            <w:noWrap/>
            <w:vAlign w:val="center"/>
            <w:hideMark/>
          </w:tcPr>
          <w:p w14:paraId="42B1906A" w14:textId="77777777" w:rsidR="001867EE" w:rsidRPr="00441B4E" w:rsidRDefault="001867EE" w:rsidP="001867EE">
            <w:pPr>
              <w:spacing w:line="240" w:lineRule="auto"/>
              <w:rPr>
                <w:rFonts w:ascii="Arial" w:eastAsia="Times New Roman" w:hAnsi="Arial" w:cs="Arial"/>
                <w:color w:val="0F1115"/>
                <w:szCs w:val="24"/>
              </w:rPr>
            </w:pPr>
            <w:r w:rsidRPr="00441B4E">
              <w:rPr>
                <w:rFonts w:ascii="Arial" w:eastAsia="Times New Roman" w:hAnsi="Arial" w:cs="Arial"/>
                <w:color w:val="0F1115"/>
                <w:szCs w:val="24"/>
              </w:rPr>
              <w:t xml:space="preserve"> Values for Gearing (£m):</w:t>
            </w:r>
          </w:p>
        </w:tc>
        <w:tc>
          <w:tcPr>
            <w:tcW w:w="2936" w:type="dxa"/>
            <w:tcBorders>
              <w:top w:val="single" w:sz="4" w:space="0" w:color="auto"/>
              <w:left w:val="nil"/>
              <w:bottom w:val="single" w:sz="4" w:space="0" w:color="auto"/>
              <w:right w:val="single" w:sz="4" w:space="0" w:color="auto"/>
            </w:tcBorders>
            <w:noWrap/>
            <w:vAlign w:val="bottom"/>
            <w:hideMark/>
          </w:tcPr>
          <w:p w14:paraId="30FE0F1F"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single" w:sz="4" w:space="0" w:color="auto"/>
              <w:left w:val="nil"/>
              <w:bottom w:val="single" w:sz="4" w:space="0" w:color="auto"/>
              <w:right w:val="single" w:sz="4" w:space="0" w:color="auto"/>
            </w:tcBorders>
            <w:noWrap/>
            <w:vAlign w:val="bottom"/>
            <w:hideMark/>
          </w:tcPr>
          <w:p w14:paraId="1D96DF39"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single" w:sz="4" w:space="0" w:color="auto"/>
              <w:left w:val="nil"/>
              <w:bottom w:val="single" w:sz="4" w:space="0" w:color="auto"/>
              <w:right w:val="single" w:sz="4" w:space="0" w:color="auto"/>
            </w:tcBorders>
            <w:noWrap/>
            <w:vAlign w:val="bottom"/>
            <w:hideMark/>
          </w:tcPr>
          <w:p w14:paraId="3FFE41B5"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single" w:sz="4" w:space="0" w:color="auto"/>
              <w:left w:val="nil"/>
              <w:bottom w:val="single" w:sz="4" w:space="0" w:color="auto"/>
              <w:right w:val="single" w:sz="4" w:space="0" w:color="auto"/>
            </w:tcBorders>
            <w:noWrap/>
            <w:vAlign w:val="bottom"/>
            <w:hideMark/>
          </w:tcPr>
          <w:p w14:paraId="182B98D8"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single" w:sz="4" w:space="0" w:color="auto"/>
              <w:left w:val="nil"/>
              <w:bottom w:val="single" w:sz="4" w:space="0" w:color="auto"/>
              <w:right w:val="single" w:sz="4" w:space="0" w:color="auto"/>
            </w:tcBorders>
            <w:noWrap/>
            <w:vAlign w:val="bottom"/>
            <w:hideMark/>
          </w:tcPr>
          <w:p w14:paraId="5B935302"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single" w:sz="4" w:space="0" w:color="auto"/>
              <w:left w:val="nil"/>
              <w:bottom w:val="single" w:sz="4" w:space="0" w:color="auto"/>
              <w:right w:val="single" w:sz="4" w:space="0" w:color="auto"/>
            </w:tcBorders>
            <w:noWrap/>
            <w:vAlign w:val="bottom"/>
            <w:hideMark/>
          </w:tcPr>
          <w:p w14:paraId="3DE46AF0"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r>
      <w:tr w:rsidR="001867EE" w:rsidRPr="00441B4E" w14:paraId="234726FE" w14:textId="77777777" w:rsidTr="00453BCB">
        <w:trPr>
          <w:trHeight w:val="299"/>
        </w:trPr>
        <w:tc>
          <w:tcPr>
            <w:tcW w:w="2988" w:type="dxa"/>
            <w:tcBorders>
              <w:top w:val="nil"/>
              <w:left w:val="single" w:sz="4" w:space="0" w:color="auto"/>
              <w:bottom w:val="single" w:sz="4" w:space="0" w:color="auto"/>
              <w:right w:val="single" w:sz="4" w:space="0" w:color="auto"/>
            </w:tcBorders>
            <w:noWrap/>
            <w:vAlign w:val="center"/>
            <w:hideMark/>
          </w:tcPr>
          <w:p w14:paraId="0B5AA5DD"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Item</w:t>
            </w:r>
          </w:p>
        </w:tc>
        <w:tc>
          <w:tcPr>
            <w:tcW w:w="2936" w:type="dxa"/>
            <w:tcBorders>
              <w:top w:val="nil"/>
              <w:left w:val="nil"/>
              <w:bottom w:val="single" w:sz="4" w:space="0" w:color="auto"/>
              <w:right w:val="single" w:sz="4" w:space="0" w:color="auto"/>
            </w:tcBorders>
            <w:noWrap/>
            <w:vAlign w:val="center"/>
            <w:hideMark/>
          </w:tcPr>
          <w:p w14:paraId="2F99D6FE"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2024</w:t>
            </w:r>
          </w:p>
        </w:tc>
        <w:tc>
          <w:tcPr>
            <w:tcW w:w="1137" w:type="dxa"/>
            <w:tcBorders>
              <w:top w:val="nil"/>
              <w:left w:val="nil"/>
              <w:bottom w:val="single" w:sz="4" w:space="0" w:color="auto"/>
              <w:right w:val="single" w:sz="4" w:space="0" w:color="auto"/>
            </w:tcBorders>
            <w:noWrap/>
            <w:vAlign w:val="center"/>
            <w:hideMark/>
          </w:tcPr>
          <w:p w14:paraId="3BD9A198"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2023</w:t>
            </w:r>
          </w:p>
        </w:tc>
        <w:tc>
          <w:tcPr>
            <w:tcW w:w="1137" w:type="dxa"/>
            <w:tcBorders>
              <w:top w:val="nil"/>
              <w:left w:val="nil"/>
              <w:bottom w:val="single" w:sz="4" w:space="0" w:color="auto"/>
              <w:right w:val="single" w:sz="4" w:space="0" w:color="auto"/>
            </w:tcBorders>
            <w:noWrap/>
            <w:vAlign w:val="center"/>
            <w:hideMark/>
          </w:tcPr>
          <w:p w14:paraId="27191D76"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2022</w:t>
            </w:r>
          </w:p>
        </w:tc>
        <w:tc>
          <w:tcPr>
            <w:tcW w:w="1137" w:type="dxa"/>
            <w:tcBorders>
              <w:top w:val="nil"/>
              <w:left w:val="nil"/>
              <w:bottom w:val="single" w:sz="4" w:space="0" w:color="auto"/>
              <w:right w:val="single" w:sz="4" w:space="0" w:color="auto"/>
            </w:tcBorders>
            <w:noWrap/>
            <w:vAlign w:val="center"/>
            <w:hideMark/>
          </w:tcPr>
          <w:p w14:paraId="098BF829"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2021</w:t>
            </w:r>
          </w:p>
        </w:tc>
        <w:tc>
          <w:tcPr>
            <w:tcW w:w="1137" w:type="dxa"/>
            <w:tcBorders>
              <w:top w:val="nil"/>
              <w:left w:val="nil"/>
              <w:bottom w:val="single" w:sz="4" w:space="0" w:color="auto"/>
              <w:right w:val="single" w:sz="4" w:space="0" w:color="auto"/>
            </w:tcBorders>
            <w:noWrap/>
            <w:vAlign w:val="center"/>
            <w:hideMark/>
          </w:tcPr>
          <w:p w14:paraId="59BBEA86"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2020</w:t>
            </w:r>
          </w:p>
        </w:tc>
        <w:tc>
          <w:tcPr>
            <w:tcW w:w="1137" w:type="dxa"/>
            <w:tcBorders>
              <w:top w:val="nil"/>
              <w:left w:val="nil"/>
              <w:bottom w:val="single" w:sz="4" w:space="0" w:color="auto"/>
              <w:right w:val="single" w:sz="4" w:space="0" w:color="auto"/>
            </w:tcBorders>
            <w:noWrap/>
            <w:vAlign w:val="bottom"/>
            <w:hideMark/>
          </w:tcPr>
          <w:p w14:paraId="19210846"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r>
      <w:tr w:rsidR="001867EE" w:rsidRPr="00441B4E" w14:paraId="080C333C" w14:textId="77777777" w:rsidTr="00453BCB">
        <w:trPr>
          <w:trHeight w:val="299"/>
        </w:trPr>
        <w:tc>
          <w:tcPr>
            <w:tcW w:w="2988" w:type="dxa"/>
            <w:tcBorders>
              <w:top w:val="nil"/>
              <w:left w:val="single" w:sz="4" w:space="0" w:color="auto"/>
              <w:bottom w:val="single" w:sz="4" w:space="0" w:color="auto"/>
              <w:right w:val="single" w:sz="4" w:space="0" w:color="auto"/>
            </w:tcBorders>
            <w:noWrap/>
            <w:vAlign w:val="center"/>
            <w:hideMark/>
          </w:tcPr>
          <w:p w14:paraId="7BAFB5A3"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Total Liabilities</w:t>
            </w:r>
          </w:p>
        </w:tc>
        <w:tc>
          <w:tcPr>
            <w:tcW w:w="2936" w:type="dxa"/>
            <w:tcBorders>
              <w:top w:val="nil"/>
              <w:left w:val="nil"/>
              <w:bottom w:val="single" w:sz="4" w:space="0" w:color="auto"/>
              <w:right w:val="single" w:sz="4" w:space="0" w:color="auto"/>
            </w:tcBorders>
            <w:noWrap/>
            <w:vAlign w:val="center"/>
            <w:hideMark/>
          </w:tcPr>
          <w:p w14:paraId="1ED8267A"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170,249</w:t>
            </w:r>
          </w:p>
        </w:tc>
        <w:tc>
          <w:tcPr>
            <w:tcW w:w="1137" w:type="dxa"/>
            <w:tcBorders>
              <w:top w:val="nil"/>
              <w:left w:val="nil"/>
              <w:bottom w:val="single" w:sz="4" w:space="0" w:color="auto"/>
              <w:right w:val="single" w:sz="4" w:space="0" w:color="auto"/>
            </w:tcBorders>
            <w:noWrap/>
            <w:vAlign w:val="center"/>
            <w:hideMark/>
          </w:tcPr>
          <w:p w14:paraId="6548DE53"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176,952</w:t>
            </w:r>
          </w:p>
        </w:tc>
        <w:tc>
          <w:tcPr>
            <w:tcW w:w="1137" w:type="dxa"/>
            <w:tcBorders>
              <w:top w:val="nil"/>
              <w:left w:val="nil"/>
              <w:bottom w:val="single" w:sz="4" w:space="0" w:color="auto"/>
              <w:right w:val="single" w:sz="4" w:space="0" w:color="auto"/>
            </w:tcBorders>
            <w:noWrap/>
            <w:vAlign w:val="center"/>
            <w:hideMark/>
          </w:tcPr>
          <w:p w14:paraId="37860559"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235,757</w:t>
            </w:r>
          </w:p>
        </w:tc>
        <w:tc>
          <w:tcPr>
            <w:tcW w:w="1137" w:type="dxa"/>
            <w:tcBorders>
              <w:top w:val="nil"/>
              <w:left w:val="nil"/>
              <w:bottom w:val="single" w:sz="4" w:space="0" w:color="auto"/>
              <w:right w:val="single" w:sz="4" w:space="0" w:color="auto"/>
            </w:tcBorders>
            <w:noWrap/>
            <w:vAlign w:val="center"/>
            <w:hideMark/>
          </w:tcPr>
          <w:p w14:paraId="2B87F017"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234,399</w:t>
            </w:r>
          </w:p>
        </w:tc>
        <w:tc>
          <w:tcPr>
            <w:tcW w:w="1137" w:type="dxa"/>
            <w:tcBorders>
              <w:top w:val="nil"/>
              <w:left w:val="nil"/>
              <w:bottom w:val="single" w:sz="4" w:space="0" w:color="auto"/>
              <w:right w:val="single" w:sz="4" w:space="0" w:color="auto"/>
            </w:tcBorders>
            <w:noWrap/>
            <w:vAlign w:val="center"/>
            <w:hideMark/>
          </w:tcPr>
          <w:p w14:paraId="19126425"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196,989</w:t>
            </w:r>
          </w:p>
        </w:tc>
        <w:tc>
          <w:tcPr>
            <w:tcW w:w="1137" w:type="dxa"/>
            <w:tcBorders>
              <w:top w:val="nil"/>
              <w:left w:val="nil"/>
              <w:bottom w:val="single" w:sz="4" w:space="0" w:color="auto"/>
              <w:right w:val="single" w:sz="4" w:space="0" w:color="auto"/>
            </w:tcBorders>
            <w:noWrap/>
            <w:vAlign w:val="bottom"/>
            <w:hideMark/>
          </w:tcPr>
          <w:p w14:paraId="7198A559"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r>
      <w:tr w:rsidR="001867EE" w:rsidRPr="00441B4E" w14:paraId="05691674" w14:textId="77777777" w:rsidTr="00453BCB">
        <w:trPr>
          <w:trHeight w:val="299"/>
        </w:trPr>
        <w:tc>
          <w:tcPr>
            <w:tcW w:w="2988" w:type="dxa"/>
            <w:tcBorders>
              <w:top w:val="nil"/>
              <w:left w:val="single" w:sz="4" w:space="0" w:color="auto"/>
              <w:bottom w:val="single" w:sz="4" w:space="0" w:color="auto"/>
              <w:right w:val="single" w:sz="4" w:space="0" w:color="auto"/>
            </w:tcBorders>
            <w:noWrap/>
            <w:vAlign w:val="center"/>
            <w:hideMark/>
          </w:tcPr>
          <w:p w14:paraId="5716277D"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Total Assets</w:t>
            </w:r>
          </w:p>
        </w:tc>
        <w:tc>
          <w:tcPr>
            <w:tcW w:w="2936" w:type="dxa"/>
            <w:tcBorders>
              <w:top w:val="nil"/>
              <w:left w:val="nil"/>
              <w:bottom w:val="single" w:sz="4" w:space="0" w:color="auto"/>
              <w:right w:val="single" w:sz="4" w:space="0" w:color="auto"/>
            </w:tcBorders>
            <w:noWrap/>
            <w:vAlign w:val="center"/>
            <w:hideMark/>
          </w:tcPr>
          <w:p w14:paraId="07F5C413"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323,354</w:t>
            </w:r>
          </w:p>
        </w:tc>
        <w:tc>
          <w:tcPr>
            <w:tcW w:w="1137" w:type="dxa"/>
            <w:tcBorders>
              <w:top w:val="nil"/>
              <w:left w:val="nil"/>
              <w:bottom w:val="single" w:sz="4" w:space="0" w:color="auto"/>
              <w:right w:val="single" w:sz="4" w:space="0" w:color="auto"/>
            </w:tcBorders>
            <w:noWrap/>
            <w:vAlign w:val="center"/>
            <w:hideMark/>
          </w:tcPr>
          <w:p w14:paraId="7A6FC253"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355,872</w:t>
            </w:r>
          </w:p>
        </w:tc>
        <w:tc>
          <w:tcPr>
            <w:tcW w:w="1137" w:type="dxa"/>
            <w:tcBorders>
              <w:top w:val="nil"/>
              <w:left w:val="nil"/>
              <w:bottom w:val="single" w:sz="4" w:space="0" w:color="auto"/>
              <w:right w:val="single" w:sz="4" w:space="0" w:color="auto"/>
            </w:tcBorders>
            <w:noWrap/>
            <w:vAlign w:val="center"/>
            <w:hideMark/>
          </w:tcPr>
          <w:p w14:paraId="2C7ED78D"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504,163</w:t>
            </w:r>
          </w:p>
        </w:tc>
        <w:tc>
          <w:tcPr>
            <w:tcW w:w="1137" w:type="dxa"/>
            <w:tcBorders>
              <w:top w:val="nil"/>
              <w:left w:val="nil"/>
              <w:bottom w:val="single" w:sz="4" w:space="0" w:color="auto"/>
              <w:right w:val="single" w:sz="4" w:space="0" w:color="auto"/>
            </w:tcBorders>
            <w:noWrap/>
            <w:vAlign w:val="center"/>
            <w:hideMark/>
          </w:tcPr>
          <w:p w14:paraId="191FF732"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510,348</w:t>
            </w:r>
          </w:p>
        </w:tc>
        <w:tc>
          <w:tcPr>
            <w:tcW w:w="1137" w:type="dxa"/>
            <w:tcBorders>
              <w:top w:val="nil"/>
              <w:left w:val="nil"/>
              <w:bottom w:val="single" w:sz="4" w:space="0" w:color="auto"/>
              <w:right w:val="single" w:sz="4" w:space="0" w:color="auto"/>
            </w:tcBorders>
            <w:noWrap/>
            <w:vAlign w:val="center"/>
            <w:hideMark/>
          </w:tcPr>
          <w:p w14:paraId="7A5AEAC3"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510,290</w:t>
            </w:r>
          </w:p>
        </w:tc>
        <w:tc>
          <w:tcPr>
            <w:tcW w:w="1137" w:type="dxa"/>
            <w:tcBorders>
              <w:top w:val="nil"/>
              <w:left w:val="nil"/>
              <w:bottom w:val="single" w:sz="4" w:space="0" w:color="auto"/>
              <w:right w:val="single" w:sz="4" w:space="0" w:color="auto"/>
            </w:tcBorders>
            <w:noWrap/>
            <w:vAlign w:val="bottom"/>
            <w:hideMark/>
          </w:tcPr>
          <w:p w14:paraId="0CED447D"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r>
      <w:tr w:rsidR="001867EE" w:rsidRPr="00441B4E" w14:paraId="5C4A1A9E" w14:textId="77777777" w:rsidTr="00453BCB">
        <w:trPr>
          <w:trHeight w:val="299"/>
        </w:trPr>
        <w:tc>
          <w:tcPr>
            <w:tcW w:w="2988" w:type="dxa"/>
            <w:tcBorders>
              <w:top w:val="nil"/>
              <w:left w:val="single" w:sz="4" w:space="0" w:color="auto"/>
              <w:bottom w:val="single" w:sz="4" w:space="0" w:color="auto"/>
              <w:right w:val="single" w:sz="4" w:space="0" w:color="auto"/>
            </w:tcBorders>
            <w:noWrap/>
            <w:vAlign w:val="center"/>
            <w:hideMark/>
          </w:tcPr>
          <w:p w14:paraId="2B8F059B"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Shareholders' Equity</w:t>
            </w:r>
          </w:p>
        </w:tc>
        <w:tc>
          <w:tcPr>
            <w:tcW w:w="2936" w:type="dxa"/>
            <w:tcBorders>
              <w:top w:val="nil"/>
              <w:left w:val="nil"/>
              <w:bottom w:val="single" w:sz="4" w:space="0" w:color="auto"/>
              <w:right w:val="single" w:sz="4" w:space="0" w:color="auto"/>
            </w:tcBorders>
            <w:noWrap/>
            <w:vAlign w:val="center"/>
            <w:hideMark/>
          </w:tcPr>
          <w:p w14:paraId="28D6DE42"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153,105</w:t>
            </w:r>
          </w:p>
        </w:tc>
        <w:tc>
          <w:tcPr>
            <w:tcW w:w="1137" w:type="dxa"/>
            <w:tcBorders>
              <w:top w:val="nil"/>
              <w:left w:val="nil"/>
              <w:bottom w:val="single" w:sz="4" w:space="0" w:color="auto"/>
              <w:right w:val="single" w:sz="4" w:space="0" w:color="auto"/>
            </w:tcBorders>
            <w:noWrap/>
            <w:vAlign w:val="center"/>
            <w:hideMark/>
          </w:tcPr>
          <w:p w14:paraId="56194060"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178,920</w:t>
            </w:r>
          </w:p>
        </w:tc>
        <w:tc>
          <w:tcPr>
            <w:tcW w:w="1137" w:type="dxa"/>
            <w:tcBorders>
              <w:top w:val="nil"/>
              <w:left w:val="nil"/>
              <w:bottom w:val="single" w:sz="4" w:space="0" w:color="auto"/>
              <w:right w:val="single" w:sz="4" w:space="0" w:color="auto"/>
            </w:tcBorders>
            <w:noWrap/>
            <w:vAlign w:val="center"/>
            <w:hideMark/>
          </w:tcPr>
          <w:p w14:paraId="21C777C5"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268,406</w:t>
            </w:r>
          </w:p>
        </w:tc>
        <w:tc>
          <w:tcPr>
            <w:tcW w:w="1137" w:type="dxa"/>
            <w:tcBorders>
              <w:top w:val="nil"/>
              <w:left w:val="nil"/>
              <w:bottom w:val="single" w:sz="4" w:space="0" w:color="auto"/>
              <w:right w:val="single" w:sz="4" w:space="0" w:color="auto"/>
            </w:tcBorders>
            <w:noWrap/>
            <w:vAlign w:val="center"/>
            <w:hideMark/>
          </w:tcPr>
          <w:p w14:paraId="7C4A92AF"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275,949</w:t>
            </w:r>
          </w:p>
        </w:tc>
        <w:tc>
          <w:tcPr>
            <w:tcW w:w="1137" w:type="dxa"/>
            <w:tcBorders>
              <w:top w:val="nil"/>
              <w:left w:val="nil"/>
              <w:bottom w:val="single" w:sz="4" w:space="0" w:color="auto"/>
              <w:right w:val="single" w:sz="4" w:space="0" w:color="auto"/>
            </w:tcBorders>
            <w:noWrap/>
            <w:vAlign w:val="center"/>
            <w:hideMark/>
          </w:tcPr>
          <w:p w14:paraId="53EA46C6"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313,301</w:t>
            </w:r>
          </w:p>
        </w:tc>
        <w:tc>
          <w:tcPr>
            <w:tcW w:w="1137" w:type="dxa"/>
            <w:tcBorders>
              <w:top w:val="nil"/>
              <w:left w:val="nil"/>
              <w:bottom w:val="single" w:sz="4" w:space="0" w:color="auto"/>
              <w:right w:val="single" w:sz="4" w:space="0" w:color="auto"/>
            </w:tcBorders>
            <w:noWrap/>
            <w:vAlign w:val="bottom"/>
            <w:hideMark/>
          </w:tcPr>
          <w:p w14:paraId="5DA9F5DD"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r>
      <w:tr w:rsidR="001867EE" w:rsidRPr="00441B4E" w14:paraId="732C00D8" w14:textId="77777777" w:rsidTr="00453BCB">
        <w:trPr>
          <w:trHeight w:val="299"/>
        </w:trPr>
        <w:tc>
          <w:tcPr>
            <w:tcW w:w="2988" w:type="dxa"/>
            <w:tcBorders>
              <w:top w:val="nil"/>
              <w:left w:val="single" w:sz="4" w:space="0" w:color="auto"/>
              <w:bottom w:val="single" w:sz="4" w:space="0" w:color="auto"/>
              <w:right w:val="single" w:sz="4" w:space="0" w:color="auto"/>
            </w:tcBorders>
            <w:noWrap/>
            <w:vAlign w:val="center"/>
            <w:hideMark/>
          </w:tcPr>
          <w:p w14:paraId="21EBF87E"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Operating Income (Loss)</w:t>
            </w:r>
          </w:p>
        </w:tc>
        <w:tc>
          <w:tcPr>
            <w:tcW w:w="2936" w:type="dxa"/>
            <w:tcBorders>
              <w:top w:val="nil"/>
              <w:left w:val="nil"/>
              <w:bottom w:val="single" w:sz="4" w:space="0" w:color="auto"/>
              <w:right w:val="single" w:sz="4" w:space="0" w:color="auto"/>
            </w:tcBorders>
            <w:noWrap/>
            <w:vAlign w:val="center"/>
            <w:hideMark/>
          </w:tcPr>
          <w:p w14:paraId="74A8AC1F"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-15,297</w:t>
            </w:r>
          </w:p>
        </w:tc>
        <w:tc>
          <w:tcPr>
            <w:tcW w:w="1137" w:type="dxa"/>
            <w:tcBorders>
              <w:top w:val="nil"/>
              <w:left w:val="nil"/>
              <w:bottom w:val="single" w:sz="4" w:space="0" w:color="auto"/>
              <w:right w:val="single" w:sz="4" w:space="0" w:color="auto"/>
            </w:tcBorders>
            <w:noWrap/>
            <w:vAlign w:val="center"/>
            <w:hideMark/>
          </w:tcPr>
          <w:p w14:paraId="05E023DE"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-85,301</w:t>
            </w:r>
          </w:p>
        </w:tc>
        <w:tc>
          <w:tcPr>
            <w:tcW w:w="1137" w:type="dxa"/>
            <w:tcBorders>
              <w:top w:val="nil"/>
              <w:left w:val="nil"/>
              <w:bottom w:val="single" w:sz="4" w:space="0" w:color="auto"/>
              <w:right w:val="single" w:sz="4" w:space="0" w:color="auto"/>
            </w:tcBorders>
            <w:noWrap/>
            <w:vAlign w:val="center"/>
            <w:hideMark/>
          </w:tcPr>
          <w:p w14:paraId="02CC9FD8"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14,548</w:t>
            </w:r>
          </w:p>
        </w:tc>
        <w:tc>
          <w:tcPr>
            <w:tcW w:w="1137" w:type="dxa"/>
            <w:tcBorders>
              <w:top w:val="nil"/>
              <w:left w:val="nil"/>
              <w:bottom w:val="single" w:sz="4" w:space="0" w:color="auto"/>
              <w:right w:val="single" w:sz="4" w:space="0" w:color="auto"/>
            </w:tcBorders>
            <w:noWrap/>
            <w:vAlign w:val="center"/>
            <w:hideMark/>
          </w:tcPr>
          <w:p w14:paraId="7F1CCAAD"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23,253</w:t>
            </w:r>
          </w:p>
        </w:tc>
        <w:tc>
          <w:tcPr>
            <w:tcW w:w="1137" w:type="dxa"/>
            <w:tcBorders>
              <w:top w:val="nil"/>
              <w:left w:val="nil"/>
              <w:bottom w:val="single" w:sz="4" w:space="0" w:color="auto"/>
              <w:right w:val="single" w:sz="4" w:space="0" w:color="auto"/>
            </w:tcBorders>
            <w:noWrap/>
            <w:vAlign w:val="center"/>
            <w:hideMark/>
          </w:tcPr>
          <w:p w14:paraId="0E984B4F"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37,267</w:t>
            </w:r>
          </w:p>
        </w:tc>
        <w:tc>
          <w:tcPr>
            <w:tcW w:w="1137" w:type="dxa"/>
            <w:tcBorders>
              <w:top w:val="nil"/>
              <w:left w:val="nil"/>
              <w:bottom w:val="single" w:sz="4" w:space="0" w:color="auto"/>
              <w:right w:val="single" w:sz="4" w:space="0" w:color="auto"/>
            </w:tcBorders>
            <w:noWrap/>
            <w:vAlign w:val="bottom"/>
            <w:hideMark/>
          </w:tcPr>
          <w:p w14:paraId="038DD4DE"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r>
      <w:tr w:rsidR="001867EE" w:rsidRPr="00441B4E" w14:paraId="312D4EEA" w14:textId="77777777" w:rsidTr="00453BCB">
        <w:trPr>
          <w:trHeight w:val="299"/>
        </w:trPr>
        <w:tc>
          <w:tcPr>
            <w:tcW w:w="2988" w:type="dxa"/>
            <w:tcBorders>
              <w:top w:val="nil"/>
              <w:left w:val="single" w:sz="4" w:space="0" w:color="auto"/>
              <w:bottom w:val="single" w:sz="4" w:space="0" w:color="auto"/>
              <w:right w:val="single" w:sz="4" w:space="0" w:color="auto"/>
            </w:tcBorders>
            <w:noWrap/>
            <w:vAlign w:val="center"/>
            <w:hideMark/>
          </w:tcPr>
          <w:p w14:paraId="7A294125"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Interest Expense</w:t>
            </w:r>
          </w:p>
        </w:tc>
        <w:tc>
          <w:tcPr>
            <w:tcW w:w="2936" w:type="dxa"/>
            <w:tcBorders>
              <w:top w:val="nil"/>
              <w:left w:val="nil"/>
              <w:bottom w:val="single" w:sz="4" w:space="0" w:color="auto"/>
              <w:right w:val="single" w:sz="4" w:space="0" w:color="auto"/>
            </w:tcBorders>
            <w:noWrap/>
            <w:vAlign w:val="center"/>
            <w:hideMark/>
          </w:tcPr>
          <w:p w14:paraId="1BB53130"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3,361</w:t>
            </w:r>
          </w:p>
        </w:tc>
        <w:tc>
          <w:tcPr>
            <w:tcW w:w="1137" w:type="dxa"/>
            <w:tcBorders>
              <w:top w:val="nil"/>
              <w:left w:val="nil"/>
              <w:bottom w:val="single" w:sz="4" w:space="0" w:color="auto"/>
              <w:right w:val="single" w:sz="4" w:space="0" w:color="auto"/>
            </w:tcBorders>
            <w:noWrap/>
            <w:vAlign w:val="center"/>
            <w:hideMark/>
          </w:tcPr>
          <w:p w14:paraId="112CC4F3"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4,332</w:t>
            </w:r>
          </w:p>
        </w:tc>
        <w:tc>
          <w:tcPr>
            <w:tcW w:w="1137" w:type="dxa"/>
            <w:tcBorders>
              <w:top w:val="nil"/>
              <w:left w:val="nil"/>
              <w:bottom w:val="single" w:sz="4" w:space="0" w:color="auto"/>
              <w:right w:val="single" w:sz="4" w:space="0" w:color="auto"/>
            </w:tcBorders>
            <w:noWrap/>
            <w:vAlign w:val="center"/>
            <w:hideMark/>
          </w:tcPr>
          <w:p w14:paraId="7D8C4ED4"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2,200</w:t>
            </w:r>
          </w:p>
        </w:tc>
        <w:tc>
          <w:tcPr>
            <w:tcW w:w="1137" w:type="dxa"/>
            <w:tcBorders>
              <w:top w:val="nil"/>
              <w:left w:val="nil"/>
              <w:bottom w:val="single" w:sz="4" w:space="0" w:color="auto"/>
              <w:right w:val="single" w:sz="4" w:space="0" w:color="auto"/>
            </w:tcBorders>
            <w:noWrap/>
            <w:vAlign w:val="center"/>
            <w:hideMark/>
          </w:tcPr>
          <w:p w14:paraId="0AB90FD5"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566</w:t>
            </w:r>
          </w:p>
        </w:tc>
        <w:tc>
          <w:tcPr>
            <w:tcW w:w="1137" w:type="dxa"/>
            <w:tcBorders>
              <w:top w:val="nil"/>
              <w:left w:val="nil"/>
              <w:bottom w:val="single" w:sz="4" w:space="0" w:color="auto"/>
              <w:right w:val="single" w:sz="4" w:space="0" w:color="auto"/>
            </w:tcBorders>
            <w:noWrap/>
            <w:vAlign w:val="center"/>
            <w:hideMark/>
          </w:tcPr>
          <w:p w14:paraId="78A118BF"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1,422</w:t>
            </w:r>
          </w:p>
        </w:tc>
        <w:tc>
          <w:tcPr>
            <w:tcW w:w="1137" w:type="dxa"/>
            <w:tcBorders>
              <w:top w:val="nil"/>
              <w:left w:val="nil"/>
              <w:bottom w:val="single" w:sz="4" w:space="0" w:color="auto"/>
              <w:right w:val="single" w:sz="4" w:space="0" w:color="auto"/>
            </w:tcBorders>
            <w:noWrap/>
            <w:vAlign w:val="bottom"/>
            <w:hideMark/>
          </w:tcPr>
          <w:p w14:paraId="573F4455"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r>
      <w:tr w:rsidR="001867EE" w:rsidRPr="00441B4E" w14:paraId="28DF26B2" w14:textId="77777777" w:rsidTr="00453BCB">
        <w:trPr>
          <w:trHeight w:val="299"/>
        </w:trPr>
        <w:tc>
          <w:tcPr>
            <w:tcW w:w="2988" w:type="dxa"/>
            <w:tcBorders>
              <w:top w:val="nil"/>
              <w:left w:val="nil"/>
              <w:bottom w:val="nil"/>
              <w:right w:val="nil"/>
            </w:tcBorders>
            <w:noWrap/>
            <w:vAlign w:val="bottom"/>
            <w:hideMark/>
          </w:tcPr>
          <w:p w14:paraId="32393F46"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2936" w:type="dxa"/>
            <w:tcBorders>
              <w:top w:val="nil"/>
              <w:left w:val="nil"/>
              <w:bottom w:val="nil"/>
              <w:right w:val="nil"/>
            </w:tcBorders>
            <w:noWrap/>
            <w:vAlign w:val="bottom"/>
            <w:hideMark/>
          </w:tcPr>
          <w:p w14:paraId="593D3938"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nil"/>
              <w:left w:val="nil"/>
              <w:bottom w:val="nil"/>
              <w:right w:val="nil"/>
            </w:tcBorders>
            <w:noWrap/>
            <w:vAlign w:val="bottom"/>
            <w:hideMark/>
          </w:tcPr>
          <w:p w14:paraId="1CC8FC8D"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nil"/>
              <w:left w:val="nil"/>
              <w:bottom w:val="nil"/>
              <w:right w:val="nil"/>
            </w:tcBorders>
            <w:noWrap/>
            <w:vAlign w:val="bottom"/>
            <w:hideMark/>
          </w:tcPr>
          <w:p w14:paraId="658D7394"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nil"/>
              <w:left w:val="nil"/>
              <w:bottom w:val="nil"/>
              <w:right w:val="nil"/>
            </w:tcBorders>
            <w:noWrap/>
            <w:vAlign w:val="bottom"/>
            <w:hideMark/>
          </w:tcPr>
          <w:p w14:paraId="7E97E41B"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nil"/>
              <w:left w:val="nil"/>
              <w:bottom w:val="nil"/>
              <w:right w:val="nil"/>
            </w:tcBorders>
            <w:noWrap/>
            <w:vAlign w:val="bottom"/>
            <w:hideMark/>
          </w:tcPr>
          <w:p w14:paraId="2416DCDE"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nil"/>
              <w:left w:val="nil"/>
              <w:bottom w:val="nil"/>
              <w:right w:val="nil"/>
            </w:tcBorders>
            <w:noWrap/>
            <w:vAlign w:val="bottom"/>
            <w:hideMark/>
          </w:tcPr>
          <w:p w14:paraId="1C23EA45"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r>
      <w:tr w:rsidR="001867EE" w:rsidRPr="00441B4E" w14:paraId="31636589" w14:textId="77777777" w:rsidTr="00453BCB">
        <w:trPr>
          <w:trHeight w:val="389"/>
        </w:trPr>
        <w:tc>
          <w:tcPr>
            <w:tcW w:w="2988" w:type="dxa"/>
            <w:tcBorders>
              <w:top w:val="single" w:sz="4" w:space="0" w:color="auto"/>
              <w:left w:val="single" w:sz="4" w:space="0" w:color="auto"/>
              <w:bottom w:val="single" w:sz="4" w:space="0" w:color="auto"/>
              <w:right w:val="single" w:sz="4" w:space="0" w:color="auto"/>
            </w:tcBorders>
            <w:noWrap/>
            <w:vAlign w:val="center"/>
            <w:hideMark/>
          </w:tcPr>
          <w:p w14:paraId="13DC3509" w14:textId="77777777" w:rsidR="001867EE" w:rsidRPr="00441B4E" w:rsidRDefault="001867EE" w:rsidP="001867EE">
            <w:pPr>
              <w:spacing w:line="240" w:lineRule="auto"/>
              <w:rPr>
                <w:rFonts w:ascii="Arial" w:eastAsia="Times New Roman" w:hAnsi="Arial" w:cs="Arial"/>
                <w:color w:val="0F1115"/>
                <w:szCs w:val="24"/>
              </w:rPr>
            </w:pPr>
            <w:r w:rsidRPr="00441B4E">
              <w:rPr>
                <w:rFonts w:ascii="Arial" w:eastAsia="Times New Roman" w:hAnsi="Arial" w:cs="Arial"/>
                <w:color w:val="0F1115"/>
                <w:szCs w:val="24"/>
              </w:rPr>
              <w:t>5. Investment and Cash Flow Ratios</w:t>
            </w:r>
          </w:p>
        </w:tc>
        <w:tc>
          <w:tcPr>
            <w:tcW w:w="2936" w:type="dxa"/>
            <w:tcBorders>
              <w:top w:val="single" w:sz="4" w:space="0" w:color="auto"/>
              <w:left w:val="nil"/>
              <w:bottom w:val="single" w:sz="4" w:space="0" w:color="auto"/>
              <w:right w:val="single" w:sz="4" w:space="0" w:color="auto"/>
            </w:tcBorders>
            <w:noWrap/>
            <w:vAlign w:val="bottom"/>
            <w:hideMark/>
          </w:tcPr>
          <w:p w14:paraId="01EB60DB"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single" w:sz="4" w:space="0" w:color="auto"/>
              <w:left w:val="nil"/>
              <w:bottom w:val="single" w:sz="4" w:space="0" w:color="auto"/>
              <w:right w:val="single" w:sz="4" w:space="0" w:color="auto"/>
            </w:tcBorders>
            <w:noWrap/>
            <w:vAlign w:val="bottom"/>
            <w:hideMark/>
          </w:tcPr>
          <w:p w14:paraId="3DEF6915"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single" w:sz="4" w:space="0" w:color="auto"/>
              <w:left w:val="nil"/>
              <w:bottom w:val="single" w:sz="4" w:space="0" w:color="auto"/>
              <w:right w:val="single" w:sz="4" w:space="0" w:color="auto"/>
            </w:tcBorders>
            <w:noWrap/>
            <w:vAlign w:val="bottom"/>
            <w:hideMark/>
          </w:tcPr>
          <w:p w14:paraId="249F14F6"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single" w:sz="4" w:space="0" w:color="auto"/>
              <w:left w:val="nil"/>
              <w:bottom w:val="single" w:sz="4" w:space="0" w:color="auto"/>
              <w:right w:val="single" w:sz="4" w:space="0" w:color="auto"/>
            </w:tcBorders>
            <w:noWrap/>
            <w:vAlign w:val="bottom"/>
            <w:hideMark/>
          </w:tcPr>
          <w:p w14:paraId="05F3F30B"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single" w:sz="4" w:space="0" w:color="auto"/>
              <w:left w:val="nil"/>
              <w:bottom w:val="single" w:sz="4" w:space="0" w:color="auto"/>
              <w:right w:val="single" w:sz="4" w:space="0" w:color="auto"/>
            </w:tcBorders>
            <w:noWrap/>
            <w:vAlign w:val="bottom"/>
            <w:hideMark/>
          </w:tcPr>
          <w:p w14:paraId="7ABFA005"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single" w:sz="4" w:space="0" w:color="auto"/>
              <w:left w:val="nil"/>
              <w:bottom w:val="single" w:sz="4" w:space="0" w:color="auto"/>
              <w:right w:val="single" w:sz="4" w:space="0" w:color="auto"/>
            </w:tcBorders>
            <w:noWrap/>
            <w:vAlign w:val="bottom"/>
            <w:hideMark/>
          </w:tcPr>
          <w:p w14:paraId="246AD468"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r>
      <w:tr w:rsidR="001867EE" w:rsidRPr="00441B4E" w14:paraId="7632E16D" w14:textId="77777777" w:rsidTr="00453BCB">
        <w:trPr>
          <w:trHeight w:val="299"/>
        </w:trPr>
        <w:tc>
          <w:tcPr>
            <w:tcW w:w="2988" w:type="dxa"/>
            <w:tcBorders>
              <w:top w:val="nil"/>
              <w:left w:val="single" w:sz="4" w:space="0" w:color="auto"/>
              <w:bottom w:val="single" w:sz="4" w:space="0" w:color="auto"/>
              <w:right w:val="single" w:sz="4" w:space="0" w:color="auto"/>
            </w:tcBorders>
            <w:noWrap/>
            <w:vAlign w:val="center"/>
            <w:hideMark/>
          </w:tcPr>
          <w:p w14:paraId="4D3B04BF"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Ratio</w:t>
            </w:r>
          </w:p>
        </w:tc>
        <w:tc>
          <w:tcPr>
            <w:tcW w:w="2936" w:type="dxa"/>
            <w:tcBorders>
              <w:top w:val="nil"/>
              <w:left w:val="nil"/>
              <w:bottom w:val="single" w:sz="4" w:space="0" w:color="auto"/>
              <w:right w:val="single" w:sz="4" w:space="0" w:color="auto"/>
            </w:tcBorders>
            <w:noWrap/>
            <w:vAlign w:val="center"/>
            <w:hideMark/>
          </w:tcPr>
          <w:p w14:paraId="6C31F444"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Formula</w:t>
            </w:r>
          </w:p>
        </w:tc>
        <w:tc>
          <w:tcPr>
            <w:tcW w:w="1137" w:type="dxa"/>
            <w:tcBorders>
              <w:top w:val="nil"/>
              <w:left w:val="nil"/>
              <w:bottom w:val="single" w:sz="4" w:space="0" w:color="auto"/>
              <w:right w:val="single" w:sz="4" w:space="0" w:color="auto"/>
            </w:tcBorders>
            <w:noWrap/>
            <w:vAlign w:val="center"/>
            <w:hideMark/>
          </w:tcPr>
          <w:p w14:paraId="5374CF96"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2024</w:t>
            </w:r>
          </w:p>
        </w:tc>
        <w:tc>
          <w:tcPr>
            <w:tcW w:w="1137" w:type="dxa"/>
            <w:tcBorders>
              <w:top w:val="nil"/>
              <w:left w:val="nil"/>
              <w:bottom w:val="single" w:sz="4" w:space="0" w:color="auto"/>
              <w:right w:val="single" w:sz="4" w:space="0" w:color="auto"/>
            </w:tcBorders>
            <w:noWrap/>
            <w:vAlign w:val="center"/>
            <w:hideMark/>
          </w:tcPr>
          <w:p w14:paraId="434C8323"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2023</w:t>
            </w:r>
          </w:p>
        </w:tc>
        <w:tc>
          <w:tcPr>
            <w:tcW w:w="1137" w:type="dxa"/>
            <w:tcBorders>
              <w:top w:val="nil"/>
              <w:left w:val="nil"/>
              <w:bottom w:val="single" w:sz="4" w:space="0" w:color="auto"/>
              <w:right w:val="single" w:sz="4" w:space="0" w:color="auto"/>
            </w:tcBorders>
            <w:noWrap/>
            <w:vAlign w:val="center"/>
            <w:hideMark/>
          </w:tcPr>
          <w:p w14:paraId="694FA0CA"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2022</w:t>
            </w:r>
          </w:p>
        </w:tc>
        <w:tc>
          <w:tcPr>
            <w:tcW w:w="1137" w:type="dxa"/>
            <w:tcBorders>
              <w:top w:val="nil"/>
              <w:left w:val="nil"/>
              <w:bottom w:val="single" w:sz="4" w:space="0" w:color="auto"/>
              <w:right w:val="single" w:sz="4" w:space="0" w:color="auto"/>
            </w:tcBorders>
            <w:noWrap/>
            <w:vAlign w:val="center"/>
            <w:hideMark/>
          </w:tcPr>
          <w:p w14:paraId="2ED865BD"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2021</w:t>
            </w:r>
          </w:p>
        </w:tc>
        <w:tc>
          <w:tcPr>
            <w:tcW w:w="1137" w:type="dxa"/>
            <w:tcBorders>
              <w:top w:val="nil"/>
              <w:left w:val="nil"/>
              <w:bottom w:val="single" w:sz="4" w:space="0" w:color="auto"/>
              <w:right w:val="single" w:sz="4" w:space="0" w:color="auto"/>
            </w:tcBorders>
            <w:noWrap/>
            <w:vAlign w:val="center"/>
            <w:hideMark/>
          </w:tcPr>
          <w:p w14:paraId="3EC3BCE8"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2020</w:t>
            </w:r>
          </w:p>
        </w:tc>
      </w:tr>
      <w:tr w:rsidR="001867EE" w:rsidRPr="00441B4E" w14:paraId="4B7289AE" w14:textId="77777777" w:rsidTr="00453BCB">
        <w:trPr>
          <w:trHeight w:val="299"/>
        </w:trPr>
        <w:tc>
          <w:tcPr>
            <w:tcW w:w="2988" w:type="dxa"/>
            <w:tcBorders>
              <w:top w:val="nil"/>
              <w:left w:val="single" w:sz="4" w:space="0" w:color="auto"/>
              <w:bottom w:val="single" w:sz="4" w:space="0" w:color="auto"/>
              <w:right w:val="single" w:sz="4" w:space="0" w:color="auto"/>
            </w:tcBorders>
            <w:noWrap/>
            <w:vAlign w:val="center"/>
            <w:hideMark/>
          </w:tcPr>
          <w:p w14:paraId="18FF07F0"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Earnings Per Share (Basic)</w:t>
            </w:r>
          </w:p>
        </w:tc>
        <w:tc>
          <w:tcPr>
            <w:tcW w:w="2936" w:type="dxa"/>
            <w:tcBorders>
              <w:top w:val="nil"/>
              <w:left w:val="nil"/>
              <w:bottom w:val="single" w:sz="4" w:space="0" w:color="auto"/>
              <w:right w:val="single" w:sz="4" w:space="0" w:color="auto"/>
            </w:tcBorders>
            <w:noWrap/>
            <w:vAlign w:val="center"/>
            <w:hideMark/>
          </w:tcPr>
          <w:p w14:paraId="0AE0470D"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nil"/>
              <w:left w:val="nil"/>
              <w:bottom w:val="single" w:sz="4" w:space="0" w:color="auto"/>
              <w:right w:val="single" w:sz="4" w:space="0" w:color="auto"/>
            </w:tcBorders>
            <w:noWrap/>
            <w:vAlign w:val="center"/>
            <w:hideMark/>
          </w:tcPr>
          <w:p w14:paraId="59126E6D"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-£1.85</w:t>
            </w:r>
          </w:p>
        </w:tc>
        <w:tc>
          <w:tcPr>
            <w:tcW w:w="1137" w:type="dxa"/>
            <w:tcBorders>
              <w:top w:val="nil"/>
              <w:left w:val="nil"/>
              <w:bottom w:val="single" w:sz="4" w:space="0" w:color="auto"/>
              <w:right w:val="single" w:sz="4" w:space="0" w:color="auto"/>
            </w:tcBorders>
            <w:noWrap/>
            <w:vAlign w:val="center"/>
            <w:hideMark/>
          </w:tcPr>
          <w:p w14:paraId="332327FC"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-£7.64</w:t>
            </w:r>
          </w:p>
        </w:tc>
        <w:tc>
          <w:tcPr>
            <w:tcW w:w="1137" w:type="dxa"/>
            <w:tcBorders>
              <w:top w:val="nil"/>
              <w:left w:val="nil"/>
              <w:bottom w:val="single" w:sz="4" w:space="0" w:color="auto"/>
              <w:right w:val="single" w:sz="4" w:space="0" w:color="auto"/>
            </w:tcBorders>
            <w:noWrap/>
            <w:vAlign w:val="center"/>
            <w:hideMark/>
          </w:tcPr>
          <w:p w14:paraId="66C1C6F6"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£0.03</w:t>
            </w:r>
          </w:p>
        </w:tc>
        <w:tc>
          <w:tcPr>
            <w:tcW w:w="1137" w:type="dxa"/>
            <w:tcBorders>
              <w:top w:val="nil"/>
              <w:left w:val="nil"/>
              <w:bottom w:val="single" w:sz="4" w:space="0" w:color="auto"/>
              <w:right w:val="single" w:sz="4" w:space="0" w:color="auto"/>
            </w:tcBorders>
            <w:noWrap/>
            <w:vAlign w:val="center"/>
            <w:hideMark/>
          </w:tcPr>
          <w:p w14:paraId="32FAB218"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£0.39</w:t>
            </w:r>
          </w:p>
        </w:tc>
        <w:tc>
          <w:tcPr>
            <w:tcW w:w="1137" w:type="dxa"/>
            <w:tcBorders>
              <w:top w:val="nil"/>
              <w:left w:val="nil"/>
              <w:bottom w:val="single" w:sz="4" w:space="0" w:color="auto"/>
              <w:right w:val="single" w:sz="4" w:space="0" w:color="auto"/>
            </w:tcBorders>
            <w:noWrap/>
            <w:vAlign w:val="center"/>
            <w:hideMark/>
          </w:tcPr>
          <w:p w14:paraId="568F1DAE"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£2.78</w:t>
            </w:r>
          </w:p>
        </w:tc>
      </w:tr>
      <w:tr w:rsidR="001867EE" w:rsidRPr="00441B4E" w14:paraId="013A29A3" w14:textId="77777777" w:rsidTr="00453BCB">
        <w:trPr>
          <w:trHeight w:val="299"/>
        </w:trPr>
        <w:tc>
          <w:tcPr>
            <w:tcW w:w="2988" w:type="dxa"/>
            <w:tcBorders>
              <w:top w:val="nil"/>
              <w:left w:val="single" w:sz="4" w:space="0" w:color="auto"/>
              <w:bottom w:val="single" w:sz="4" w:space="0" w:color="auto"/>
              <w:right w:val="single" w:sz="4" w:space="0" w:color="auto"/>
            </w:tcBorders>
            <w:noWrap/>
            <w:vAlign w:val="center"/>
            <w:hideMark/>
          </w:tcPr>
          <w:p w14:paraId="0418C084"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Operating Cash Flow to Net Income</w:t>
            </w:r>
          </w:p>
        </w:tc>
        <w:tc>
          <w:tcPr>
            <w:tcW w:w="2936" w:type="dxa"/>
            <w:tcBorders>
              <w:top w:val="nil"/>
              <w:left w:val="nil"/>
              <w:bottom w:val="single" w:sz="4" w:space="0" w:color="auto"/>
              <w:right w:val="single" w:sz="4" w:space="0" w:color="auto"/>
            </w:tcBorders>
            <w:noWrap/>
            <w:vAlign w:val="center"/>
            <w:hideMark/>
          </w:tcPr>
          <w:p w14:paraId="449E356F"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OCF / Net Income</w:t>
            </w:r>
          </w:p>
        </w:tc>
        <w:tc>
          <w:tcPr>
            <w:tcW w:w="1137" w:type="dxa"/>
            <w:tcBorders>
              <w:top w:val="nil"/>
              <w:left w:val="nil"/>
              <w:bottom w:val="single" w:sz="4" w:space="0" w:color="auto"/>
              <w:right w:val="single" w:sz="4" w:space="0" w:color="auto"/>
            </w:tcBorders>
            <w:noWrap/>
            <w:vAlign w:val="center"/>
            <w:hideMark/>
          </w:tcPr>
          <w:p w14:paraId="0474C6FC"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-0.6</w:t>
            </w:r>
          </w:p>
        </w:tc>
        <w:tc>
          <w:tcPr>
            <w:tcW w:w="1137" w:type="dxa"/>
            <w:tcBorders>
              <w:top w:val="nil"/>
              <w:left w:val="nil"/>
              <w:bottom w:val="single" w:sz="4" w:space="0" w:color="auto"/>
              <w:right w:val="single" w:sz="4" w:space="0" w:color="auto"/>
            </w:tcBorders>
            <w:noWrap/>
            <w:vAlign w:val="center"/>
            <w:hideMark/>
          </w:tcPr>
          <w:p w14:paraId="0F0254FE"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-0.3</w:t>
            </w:r>
          </w:p>
        </w:tc>
        <w:tc>
          <w:tcPr>
            <w:tcW w:w="1137" w:type="dxa"/>
            <w:tcBorders>
              <w:top w:val="nil"/>
              <w:left w:val="nil"/>
              <w:bottom w:val="single" w:sz="4" w:space="0" w:color="auto"/>
              <w:right w:val="single" w:sz="4" w:space="0" w:color="auto"/>
            </w:tcBorders>
            <w:noWrap/>
            <w:vAlign w:val="center"/>
            <w:hideMark/>
          </w:tcPr>
          <w:p w14:paraId="67834486"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26.8</w:t>
            </w:r>
          </w:p>
        </w:tc>
        <w:tc>
          <w:tcPr>
            <w:tcW w:w="1137" w:type="dxa"/>
            <w:tcBorders>
              <w:top w:val="nil"/>
              <w:left w:val="nil"/>
              <w:bottom w:val="single" w:sz="4" w:space="0" w:color="auto"/>
              <w:right w:val="single" w:sz="4" w:space="0" w:color="auto"/>
            </w:tcBorders>
            <w:noWrap/>
            <w:vAlign w:val="center"/>
            <w:hideMark/>
          </w:tcPr>
          <w:p w14:paraId="31E8C7FC"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7.6</w:t>
            </w:r>
          </w:p>
        </w:tc>
        <w:tc>
          <w:tcPr>
            <w:tcW w:w="1137" w:type="dxa"/>
            <w:tcBorders>
              <w:top w:val="nil"/>
              <w:left w:val="nil"/>
              <w:bottom w:val="single" w:sz="4" w:space="0" w:color="auto"/>
              <w:right w:val="single" w:sz="4" w:space="0" w:color="auto"/>
            </w:tcBorders>
            <w:noWrap/>
            <w:vAlign w:val="center"/>
            <w:hideMark/>
          </w:tcPr>
          <w:p w14:paraId="4A4CD953"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1.9</w:t>
            </w:r>
          </w:p>
        </w:tc>
      </w:tr>
      <w:tr w:rsidR="001867EE" w:rsidRPr="00441B4E" w14:paraId="36359348" w14:textId="77777777" w:rsidTr="00453BCB">
        <w:trPr>
          <w:trHeight w:val="299"/>
        </w:trPr>
        <w:tc>
          <w:tcPr>
            <w:tcW w:w="2988" w:type="dxa"/>
            <w:tcBorders>
              <w:top w:val="nil"/>
              <w:left w:val="single" w:sz="4" w:space="0" w:color="auto"/>
              <w:bottom w:val="single" w:sz="4" w:space="0" w:color="auto"/>
              <w:right w:val="single" w:sz="4" w:space="0" w:color="auto"/>
            </w:tcBorders>
            <w:noWrap/>
            <w:vAlign w:val="center"/>
            <w:hideMark/>
          </w:tcPr>
          <w:p w14:paraId="2F5BF595"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Operating Cash Flow Margin</w:t>
            </w:r>
          </w:p>
        </w:tc>
        <w:tc>
          <w:tcPr>
            <w:tcW w:w="2936" w:type="dxa"/>
            <w:tcBorders>
              <w:top w:val="nil"/>
              <w:left w:val="nil"/>
              <w:bottom w:val="single" w:sz="4" w:space="0" w:color="auto"/>
              <w:right w:val="single" w:sz="4" w:space="0" w:color="auto"/>
            </w:tcBorders>
            <w:noWrap/>
            <w:vAlign w:val="center"/>
            <w:hideMark/>
          </w:tcPr>
          <w:p w14:paraId="75E924C7"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OCF / Net Sales</w:t>
            </w:r>
          </w:p>
        </w:tc>
        <w:tc>
          <w:tcPr>
            <w:tcW w:w="1137" w:type="dxa"/>
            <w:tcBorders>
              <w:top w:val="nil"/>
              <w:left w:val="nil"/>
              <w:bottom w:val="single" w:sz="4" w:space="0" w:color="auto"/>
              <w:right w:val="single" w:sz="4" w:space="0" w:color="auto"/>
            </w:tcBorders>
            <w:noWrap/>
            <w:vAlign w:val="center"/>
            <w:hideMark/>
          </w:tcPr>
          <w:p w14:paraId="0C34CEDC"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3.75%</w:t>
            </w:r>
          </w:p>
        </w:tc>
        <w:tc>
          <w:tcPr>
            <w:tcW w:w="1137" w:type="dxa"/>
            <w:tcBorders>
              <w:top w:val="nil"/>
              <w:left w:val="nil"/>
              <w:bottom w:val="single" w:sz="4" w:space="0" w:color="auto"/>
              <w:right w:val="single" w:sz="4" w:space="0" w:color="auto"/>
            </w:tcBorders>
            <w:noWrap/>
            <w:vAlign w:val="center"/>
            <w:hideMark/>
          </w:tcPr>
          <w:p w14:paraId="60F080A6"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5.99%</w:t>
            </w:r>
          </w:p>
        </w:tc>
        <w:tc>
          <w:tcPr>
            <w:tcW w:w="1137" w:type="dxa"/>
            <w:tcBorders>
              <w:top w:val="nil"/>
              <w:left w:val="nil"/>
              <w:bottom w:val="single" w:sz="4" w:space="0" w:color="auto"/>
              <w:right w:val="single" w:sz="4" w:space="0" w:color="auto"/>
            </w:tcBorders>
            <w:noWrap/>
            <w:vAlign w:val="center"/>
            <w:hideMark/>
          </w:tcPr>
          <w:p w14:paraId="05843906"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2.01%</w:t>
            </w:r>
          </w:p>
        </w:tc>
        <w:tc>
          <w:tcPr>
            <w:tcW w:w="1137" w:type="dxa"/>
            <w:tcBorders>
              <w:top w:val="nil"/>
              <w:left w:val="nil"/>
              <w:bottom w:val="single" w:sz="4" w:space="0" w:color="auto"/>
              <w:right w:val="single" w:sz="4" w:space="0" w:color="auto"/>
            </w:tcBorders>
            <w:noWrap/>
            <w:vAlign w:val="center"/>
            <w:hideMark/>
          </w:tcPr>
          <w:p w14:paraId="3C8C510E"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6.70%</w:t>
            </w:r>
          </w:p>
        </w:tc>
        <w:tc>
          <w:tcPr>
            <w:tcW w:w="1137" w:type="dxa"/>
            <w:tcBorders>
              <w:top w:val="nil"/>
              <w:left w:val="nil"/>
              <w:bottom w:val="single" w:sz="4" w:space="0" w:color="auto"/>
              <w:right w:val="single" w:sz="4" w:space="0" w:color="auto"/>
            </w:tcBorders>
            <w:noWrap/>
            <w:vAlign w:val="center"/>
            <w:hideMark/>
          </w:tcPr>
          <w:p w14:paraId="6E0E5090"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11.94%</w:t>
            </w:r>
          </w:p>
        </w:tc>
      </w:tr>
      <w:tr w:rsidR="001867EE" w:rsidRPr="00441B4E" w14:paraId="5E13D2DC" w14:textId="77777777" w:rsidTr="00453BCB">
        <w:trPr>
          <w:trHeight w:val="299"/>
        </w:trPr>
        <w:tc>
          <w:tcPr>
            <w:tcW w:w="2988" w:type="dxa"/>
            <w:tcBorders>
              <w:top w:val="nil"/>
              <w:left w:val="single" w:sz="4" w:space="0" w:color="auto"/>
              <w:bottom w:val="single" w:sz="4" w:space="0" w:color="auto"/>
              <w:right w:val="single" w:sz="4" w:space="0" w:color="auto"/>
            </w:tcBorders>
            <w:noWrap/>
            <w:vAlign w:val="center"/>
            <w:hideMark/>
          </w:tcPr>
          <w:p w14:paraId="40600B72"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Free Cash Flow</w:t>
            </w:r>
          </w:p>
        </w:tc>
        <w:tc>
          <w:tcPr>
            <w:tcW w:w="2936" w:type="dxa"/>
            <w:tcBorders>
              <w:top w:val="nil"/>
              <w:left w:val="nil"/>
              <w:bottom w:val="single" w:sz="4" w:space="0" w:color="auto"/>
              <w:right w:val="single" w:sz="4" w:space="0" w:color="auto"/>
            </w:tcBorders>
            <w:noWrap/>
            <w:vAlign w:val="center"/>
            <w:hideMark/>
          </w:tcPr>
          <w:p w14:paraId="3FA3E988"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OCF - Capex</w:t>
            </w:r>
          </w:p>
        </w:tc>
        <w:tc>
          <w:tcPr>
            <w:tcW w:w="1137" w:type="dxa"/>
            <w:tcBorders>
              <w:top w:val="nil"/>
              <w:left w:val="nil"/>
              <w:bottom w:val="single" w:sz="4" w:space="0" w:color="auto"/>
              <w:right w:val="single" w:sz="4" w:space="0" w:color="auto"/>
            </w:tcBorders>
            <w:noWrap/>
            <w:vAlign w:val="center"/>
            <w:hideMark/>
          </w:tcPr>
          <w:p w14:paraId="0E42ED70"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10,250</w:t>
            </w:r>
          </w:p>
        </w:tc>
        <w:tc>
          <w:tcPr>
            <w:tcW w:w="1137" w:type="dxa"/>
            <w:tcBorders>
              <w:top w:val="nil"/>
              <w:left w:val="nil"/>
              <w:bottom w:val="single" w:sz="4" w:space="0" w:color="auto"/>
              <w:right w:val="single" w:sz="4" w:space="0" w:color="auto"/>
            </w:tcBorders>
            <w:noWrap/>
            <w:vAlign w:val="center"/>
            <w:hideMark/>
          </w:tcPr>
          <w:p w14:paraId="389B8BCC"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17,074</w:t>
            </w:r>
          </w:p>
        </w:tc>
        <w:tc>
          <w:tcPr>
            <w:tcW w:w="1137" w:type="dxa"/>
            <w:tcBorders>
              <w:top w:val="nil"/>
              <w:left w:val="nil"/>
              <w:bottom w:val="single" w:sz="4" w:space="0" w:color="auto"/>
              <w:right w:val="single" w:sz="4" w:space="0" w:color="auto"/>
            </w:tcBorders>
            <w:noWrap/>
            <w:vAlign w:val="center"/>
            <w:hideMark/>
          </w:tcPr>
          <w:p w14:paraId="424EEE18"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-3,080</w:t>
            </w:r>
          </w:p>
        </w:tc>
        <w:tc>
          <w:tcPr>
            <w:tcW w:w="1137" w:type="dxa"/>
            <w:tcBorders>
              <w:top w:val="nil"/>
              <w:left w:val="nil"/>
              <w:bottom w:val="single" w:sz="4" w:space="0" w:color="auto"/>
              <w:right w:val="single" w:sz="4" w:space="0" w:color="auto"/>
            </w:tcBorders>
            <w:noWrap/>
            <w:vAlign w:val="center"/>
            <w:hideMark/>
          </w:tcPr>
          <w:p w14:paraId="6910F884"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27,697</w:t>
            </w:r>
          </w:p>
        </w:tc>
        <w:tc>
          <w:tcPr>
            <w:tcW w:w="1137" w:type="dxa"/>
            <w:tcBorders>
              <w:top w:val="nil"/>
              <w:left w:val="nil"/>
              <w:bottom w:val="single" w:sz="4" w:space="0" w:color="auto"/>
              <w:right w:val="single" w:sz="4" w:space="0" w:color="auto"/>
            </w:tcBorders>
            <w:noWrap/>
            <w:vAlign w:val="center"/>
            <w:hideMark/>
          </w:tcPr>
          <w:p w14:paraId="4B1ACC13"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56,530</w:t>
            </w:r>
          </w:p>
        </w:tc>
      </w:tr>
      <w:tr w:rsidR="001867EE" w:rsidRPr="00441B4E" w14:paraId="7394502A" w14:textId="77777777" w:rsidTr="00453BCB">
        <w:trPr>
          <w:trHeight w:val="299"/>
        </w:trPr>
        <w:tc>
          <w:tcPr>
            <w:tcW w:w="2988" w:type="dxa"/>
            <w:tcBorders>
              <w:top w:val="nil"/>
              <w:left w:val="nil"/>
              <w:bottom w:val="nil"/>
              <w:right w:val="nil"/>
            </w:tcBorders>
            <w:noWrap/>
            <w:vAlign w:val="bottom"/>
            <w:hideMark/>
          </w:tcPr>
          <w:p w14:paraId="398D3995"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2936" w:type="dxa"/>
            <w:tcBorders>
              <w:top w:val="nil"/>
              <w:left w:val="nil"/>
              <w:bottom w:val="nil"/>
              <w:right w:val="nil"/>
            </w:tcBorders>
            <w:noWrap/>
            <w:vAlign w:val="bottom"/>
            <w:hideMark/>
          </w:tcPr>
          <w:p w14:paraId="79E6E609"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nil"/>
              <w:left w:val="nil"/>
              <w:bottom w:val="nil"/>
              <w:right w:val="nil"/>
            </w:tcBorders>
            <w:noWrap/>
            <w:vAlign w:val="bottom"/>
            <w:hideMark/>
          </w:tcPr>
          <w:p w14:paraId="2A13F077"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nil"/>
              <w:left w:val="nil"/>
              <w:bottom w:val="nil"/>
              <w:right w:val="nil"/>
            </w:tcBorders>
            <w:noWrap/>
            <w:vAlign w:val="bottom"/>
            <w:hideMark/>
          </w:tcPr>
          <w:p w14:paraId="59FCCF2F"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nil"/>
              <w:left w:val="nil"/>
              <w:bottom w:val="nil"/>
              <w:right w:val="nil"/>
            </w:tcBorders>
            <w:noWrap/>
            <w:vAlign w:val="bottom"/>
            <w:hideMark/>
          </w:tcPr>
          <w:p w14:paraId="52A522A1"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nil"/>
              <w:left w:val="nil"/>
              <w:bottom w:val="nil"/>
              <w:right w:val="nil"/>
            </w:tcBorders>
            <w:noWrap/>
            <w:vAlign w:val="bottom"/>
            <w:hideMark/>
          </w:tcPr>
          <w:p w14:paraId="242E4B30"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nil"/>
              <w:left w:val="nil"/>
              <w:bottom w:val="nil"/>
              <w:right w:val="nil"/>
            </w:tcBorders>
            <w:noWrap/>
            <w:vAlign w:val="bottom"/>
            <w:hideMark/>
          </w:tcPr>
          <w:p w14:paraId="1F073BF8"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r>
      <w:tr w:rsidR="001867EE" w:rsidRPr="00441B4E" w14:paraId="134392B9" w14:textId="77777777" w:rsidTr="00453BCB">
        <w:trPr>
          <w:trHeight w:val="314"/>
        </w:trPr>
        <w:tc>
          <w:tcPr>
            <w:tcW w:w="2988" w:type="dxa"/>
            <w:tcBorders>
              <w:top w:val="single" w:sz="4" w:space="0" w:color="auto"/>
              <w:left w:val="single" w:sz="4" w:space="0" w:color="auto"/>
              <w:bottom w:val="single" w:sz="4" w:space="0" w:color="auto"/>
              <w:right w:val="single" w:sz="4" w:space="0" w:color="auto"/>
            </w:tcBorders>
            <w:noWrap/>
            <w:vAlign w:val="center"/>
            <w:hideMark/>
          </w:tcPr>
          <w:p w14:paraId="1BD44881" w14:textId="77777777" w:rsidR="001867EE" w:rsidRPr="00441B4E" w:rsidRDefault="001867EE" w:rsidP="001867EE">
            <w:pPr>
              <w:spacing w:line="240" w:lineRule="auto"/>
              <w:rPr>
                <w:rFonts w:ascii="Arial" w:eastAsia="Times New Roman" w:hAnsi="Arial" w:cs="Arial"/>
                <w:color w:val="0F1115"/>
                <w:szCs w:val="24"/>
              </w:rPr>
            </w:pPr>
            <w:r w:rsidRPr="00441B4E">
              <w:rPr>
                <w:rFonts w:ascii="Arial" w:eastAsia="Times New Roman" w:hAnsi="Arial" w:cs="Arial"/>
                <w:color w:val="0F1115"/>
                <w:szCs w:val="24"/>
              </w:rPr>
              <w:t xml:space="preserve"> Values for Investment &amp; Cash Flow (£m):</w:t>
            </w:r>
          </w:p>
        </w:tc>
        <w:tc>
          <w:tcPr>
            <w:tcW w:w="2936" w:type="dxa"/>
            <w:tcBorders>
              <w:top w:val="single" w:sz="4" w:space="0" w:color="auto"/>
              <w:left w:val="nil"/>
              <w:bottom w:val="single" w:sz="4" w:space="0" w:color="auto"/>
              <w:right w:val="single" w:sz="4" w:space="0" w:color="auto"/>
            </w:tcBorders>
            <w:noWrap/>
            <w:vAlign w:val="bottom"/>
            <w:hideMark/>
          </w:tcPr>
          <w:p w14:paraId="39EE5069"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single" w:sz="4" w:space="0" w:color="auto"/>
              <w:left w:val="nil"/>
              <w:bottom w:val="single" w:sz="4" w:space="0" w:color="auto"/>
              <w:right w:val="single" w:sz="4" w:space="0" w:color="auto"/>
            </w:tcBorders>
            <w:noWrap/>
            <w:vAlign w:val="bottom"/>
            <w:hideMark/>
          </w:tcPr>
          <w:p w14:paraId="068F93EE"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single" w:sz="4" w:space="0" w:color="auto"/>
              <w:left w:val="nil"/>
              <w:bottom w:val="single" w:sz="4" w:space="0" w:color="auto"/>
              <w:right w:val="single" w:sz="4" w:space="0" w:color="auto"/>
            </w:tcBorders>
            <w:noWrap/>
            <w:vAlign w:val="bottom"/>
            <w:hideMark/>
          </w:tcPr>
          <w:p w14:paraId="4D2AC563"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single" w:sz="4" w:space="0" w:color="auto"/>
              <w:left w:val="nil"/>
              <w:bottom w:val="single" w:sz="4" w:space="0" w:color="auto"/>
              <w:right w:val="single" w:sz="4" w:space="0" w:color="auto"/>
            </w:tcBorders>
            <w:noWrap/>
            <w:vAlign w:val="bottom"/>
            <w:hideMark/>
          </w:tcPr>
          <w:p w14:paraId="7CE33C14"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single" w:sz="4" w:space="0" w:color="auto"/>
              <w:left w:val="nil"/>
              <w:bottom w:val="single" w:sz="4" w:space="0" w:color="auto"/>
              <w:right w:val="single" w:sz="4" w:space="0" w:color="auto"/>
            </w:tcBorders>
            <w:noWrap/>
            <w:vAlign w:val="bottom"/>
            <w:hideMark/>
          </w:tcPr>
          <w:p w14:paraId="3484D8A8"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c>
          <w:tcPr>
            <w:tcW w:w="1137" w:type="dxa"/>
            <w:tcBorders>
              <w:top w:val="single" w:sz="4" w:space="0" w:color="auto"/>
              <w:left w:val="nil"/>
              <w:bottom w:val="single" w:sz="4" w:space="0" w:color="auto"/>
              <w:right w:val="single" w:sz="4" w:space="0" w:color="auto"/>
            </w:tcBorders>
            <w:noWrap/>
            <w:vAlign w:val="bottom"/>
            <w:hideMark/>
          </w:tcPr>
          <w:p w14:paraId="67787594"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r>
      <w:tr w:rsidR="001867EE" w:rsidRPr="00441B4E" w14:paraId="05D44FC4" w14:textId="77777777" w:rsidTr="00453BCB">
        <w:trPr>
          <w:trHeight w:val="299"/>
        </w:trPr>
        <w:tc>
          <w:tcPr>
            <w:tcW w:w="2988" w:type="dxa"/>
            <w:tcBorders>
              <w:top w:val="nil"/>
              <w:left w:val="single" w:sz="4" w:space="0" w:color="auto"/>
              <w:bottom w:val="single" w:sz="4" w:space="0" w:color="auto"/>
              <w:right w:val="single" w:sz="4" w:space="0" w:color="auto"/>
            </w:tcBorders>
            <w:noWrap/>
            <w:vAlign w:val="center"/>
            <w:hideMark/>
          </w:tcPr>
          <w:p w14:paraId="22608286"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Item</w:t>
            </w:r>
          </w:p>
        </w:tc>
        <w:tc>
          <w:tcPr>
            <w:tcW w:w="2936" w:type="dxa"/>
            <w:tcBorders>
              <w:top w:val="nil"/>
              <w:left w:val="nil"/>
              <w:bottom w:val="single" w:sz="4" w:space="0" w:color="auto"/>
              <w:right w:val="single" w:sz="4" w:space="0" w:color="auto"/>
            </w:tcBorders>
            <w:noWrap/>
            <w:vAlign w:val="center"/>
            <w:hideMark/>
          </w:tcPr>
          <w:p w14:paraId="6B7C14CF"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2024</w:t>
            </w:r>
          </w:p>
        </w:tc>
        <w:tc>
          <w:tcPr>
            <w:tcW w:w="1137" w:type="dxa"/>
            <w:tcBorders>
              <w:top w:val="nil"/>
              <w:left w:val="nil"/>
              <w:bottom w:val="single" w:sz="4" w:space="0" w:color="auto"/>
              <w:right w:val="single" w:sz="4" w:space="0" w:color="auto"/>
            </w:tcBorders>
            <w:noWrap/>
            <w:vAlign w:val="center"/>
            <w:hideMark/>
          </w:tcPr>
          <w:p w14:paraId="12374A01"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2023</w:t>
            </w:r>
          </w:p>
        </w:tc>
        <w:tc>
          <w:tcPr>
            <w:tcW w:w="1137" w:type="dxa"/>
            <w:tcBorders>
              <w:top w:val="nil"/>
              <w:left w:val="nil"/>
              <w:bottom w:val="single" w:sz="4" w:space="0" w:color="auto"/>
              <w:right w:val="single" w:sz="4" w:space="0" w:color="auto"/>
            </w:tcBorders>
            <w:noWrap/>
            <w:vAlign w:val="center"/>
            <w:hideMark/>
          </w:tcPr>
          <w:p w14:paraId="6E1EC521"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2022</w:t>
            </w:r>
          </w:p>
        </w:tc>
        <w:tc>
          <w:tcPr>
            <w:tcW w:w="1137" w:type="dxa"/>
            <w:tcBorders>
              <w:top w:val="nil"/>
              <w:left w:val="nil"/>
              <w:bottom w:val="single" w:sz="4" w:space="0" w:color="auto"/>
              <w:right w:val="single" w:sz="4" w:space="0" w:color="auto"/>
            </w:tcBorders>
            <w:noWrap/>
            <w:vAlign w:val="center"/>
            <w:hideMark/>
          </w:tcPr>
          <w:p w14:paraId="2D7D68BE"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2021</w:t>
            </w:r>
          </w:p>
        </w:tc>
        <w:tc>
          <w:tcPr>
            <w:tcW w:w="1137" w:type="dxa"/>
            <w:tcBorders>
              <w:top w:val="nil"/>
              <w:left w:val="nil"/>
              <w:bottom w:val="single" w:sz="4" w:space="0" w:color="auto"/>
              <w:right w:val="single" w:sz="4" w:space="0" w:color="auto"/>
            </w:tcBorders>
            <w:noWrap/>
            <w:vAlign w:val="center"/>
            <w:hideMark/>
          </w:tcPr>
          <w:p w14:paraId="3F280E46"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2020</w:t>
            </w:r>
          </w:p>
        </w:tc>
        <w:tc>
          <w:tcPr>
            <w:tcW w:w="1137" w:type="dxa"/>
            <w:tcBorders>
              <w:top w:val="nil"/>
              <w:left w:val="nil"/>
              <w:bottom w:val="single" w:sz="4" w:space="0" w:color="auto"/>
              <w:right w:val="single" w:sz="4" w:space="0" w:color="auto"/>
            </w:tcBorders>
            <w:noWrap/>
            <w:vAlign w:val="bottom"/>
            <w:hideMark/>
          </w:tcPr>
          <w:p w14:paraId="7EB877AE"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r>
      <w:tr w:rsidR="001867EE" w:rsidRPr="00441B4E" w14:paraId="5BCC4020" w14:textId="77777777" w:rsidTr="00453BCB">
        <w:trPr>
          <w:trHeight w:val="299"/>
        </w:trPr>
        <w:tc>
          <w:tcPr>
            <w:tcW w:w="2988" w:type="dxa"/>
            <w:tcBorders>
              <w:top w:val="nil"/>
              <w:left w:val="single" w:sz="4" w:space="0" w:color="auto"/>
              <w:bottom w:val="single" w:sz="4" w:space="0" w:color="auto"/>
              <w:right w:val="single" w:sz="4" w:space="0" w:color="auto"/>
            </w:tcBorders>
            <w:noWrap/>
            <w:vAlign w:val="center"/>
            <w:hideMark/>
          </w:tcPr>
          <w:p w14:paraId="3D04C7ED"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Net Income (Loss)</w:t>
            </w:r>
          </w:p>
        </w:tc>
        <w:tc>
          <w:tcPr>
            <w:tcW w:w="2936" w:type="dxa"/>
            <w:tcBorders>
              <w:top w:val="nil"/>
              <w:left w:val="nil"/>
              <w:bottom w:val="single" w:sz="4" w:space="0" w:color="auto"/>
              <w:right w:val="single" w:sz="4" w:space="0" w:color="auto"/>
            </w:tcBorders>
            <w:noWrap/>
            <w:vAlign w:val="center"/>
            <w:hideMark/>
          </w:tcPr>
          <w:p w14:paraId="7B76B200"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-24,029</w:t>
            </w:r>
          </w:p>
        </w:tc>
        <w:tc>
          <w:tcPr>
            <w:tcW w:w="1137" w:type="dxa"/>
            <w:tcBorders>
              <w:top w:val="nil"/>
              <w:left w:val="nil"/>
              <w:bottom w:val="single" w:sz="4" w:space="0" w:color="auto"/>
              <w:right w:val="single" w:sz="4" w:space="0" w:color="auto"/>
            </w:tcBorders>
            <w:noWrap/>
            <w:vAlign w:val="center"/>
            <w:hideMark/>
          </w:tcPr>
          <w:p w14:paraId="1397A137"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-98,238</w:t>
            </w:r>
          </w:p>
        </w:tc>
        <w:tc>
          <w:tcPr>
            <w:tcW w:w="1137" w:type="dxa"/>
            <w:tcBorders>
              <w:top w:val="nil"/>
              <w:left w:val="nil"/>
              <w:bottom w:val="single" w:sz="4" w:space="0" w:color="auto"/>
              <w:right w:val="single" w:sz="4" w:space="0" w:color="auto"/>
            </w:tcBorders>
            <w:noWrap/>
            <w:vAlign w:val="center"/>
            <w:hideMark/>
          </w:tcPr>
          <w:p w14:paraId="3B106E28"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407</w:t>
            </w:r>
          </w:p>
        </w:tc>
        <w:tc>
          <w:tcPr>
            <w:tcW w:w="1137" w:type="dxa"/>
            <w:tcBorders>
              <w:top w:val="nil"/>
              <w:left w:val="nil"/>
              <w:bottom w:val="single" w:sz="4" w:space="0" w:color="auto"/>
              <w:right w:val="single" w:sz="4" w:space="0" w:color="auto"/>
            </w:tcBorders>
            <w:noWrap/>
            <w:vAlign w:val="center"/>
            <w:hideMark/>
          </w:tcPr>
          <w:p w14:paraId="005ED0B2"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5,301</w:t>
            </w:r>
          </w:p>
        </w:tc>
        <w:tc>
          <w:tcPr>
            <w:tcW w:w="1137" w:type="dxa"/>
            <w:tcBorders>
              <w:top w:val="nil"/>
              <w:left w:val="nil"/>
              <w:bottom w:val="single" w:sz="4" w:space="0" w:color="auto"/>
              <w:right w:val="single" w:sz="4" w:space="0" w:color="auto"/>
            </w:tcBorders>
            <w:noWrap/>
            <w:vAlign w:val="center"/>
            <w:hideMark/>
          </w:tcPr>
          <w:p w14:paraId="5079002C"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38,572</w:t>
            </w:r>
          </w:p>
        </w:tc>
        <w:tc>
          <w:tcPr>
            <w:tcW w:w="1137" w:type="dxa"/>
            <w:tcBorders>
              <w:top w:val="nil"/>
              <w:left w:val="nil"/>
              <w:bottom w:val="single" w:sz="4" w:space="0" w:color="auto"/>
              <w:right w:val="single" w:sz="4" w:space="0" w:color="auto"/>
            </w:tcBorders>
            <w:noWrap/>
            <w:vAlign w:val="bottom"/>
            <w:hideMark/>
          </w:tcPr>
          <w:p w14:paraId="4D088B13"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r>
      <w:tr w:rsidR="001867EE" w:rsidRPr="00441B4E" w14:paraId="0628B61A" w14:textId="77777777" w:rsidTr="00453BCB">
        <w:trPr>
          <w:trHeight w:val="299"/>
        </w:trPr>
        <w:tc>
          <w:tcPr>
            <w:tcW w:w="2988" w:type="dxa"/>
            <w:tcBorders>
              <w:top w:val="nil"/>
              <w:left w:val="single" w:sz="4" w:space="0" w:color="auto"/>
              <w:bottom w:val="single" w:sz="4" w:space="0" w:color="auto"/>
              <w:right w:val="single" w:sz="4" w:space="0" w:color="auto"/>
            </w:tcBorders>
            <w:noWrap/>
            <w:vAlign w:val="center"/>
            <w:hideMark/>
          </w:tcPr>
          <w:p w14:paraId="45C4FEDD"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lastRenderedPageBreak/>
              <w:t>Net Operating Cash Flow</w:t>
            </w:r>
          </w:p>
        </w:tc>
        <w:tc>
          <w:tcPr>
            <w:tcW w:w="2936" w:type="dxa"/>
            <w:tcBorders>
              <w:top w:val="nil"/>
              <w:left w:val="nil"/>
              <w:bottom w:val="single" w:sz="4" w:space="0" w:color="auto"/>
              <w:right w:val="single" w:sz="4" w:space="0" w:color="auto"/>
            </w:tcBorders>
            <w:noWrap/>
            <w:vAlign w:val="center"/>
            <w:hideMark/>
          </w:tcPr>
          <w:p w14:paraId="31724C10"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14,822</w:t>
            </w:r>
          </w:p>
        </w:tc>
        <w:tc>
          <w:tcPr>
            <w:tcW w:w="1137" w:type="dxa"/>
            <w:tcBorders>
              <w:top w:val="nil"/>
              <w:left w:val="nil"/>
              <w:bottom w:val="single" w:sz="4" w:space="0" w:color="auto"/>
              <w:right w:val="single" w:sz="4" w:space="0" w:color="auto"/>
            </w:tcBorders>
            <w:noWrap/>
            <w:vAlign w:val="center"/>
            <w:hideMark/>
          </w:tcPr>
          <w:p w14:paraId="08DCCB3F"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25,190</w:t>
            </w:r>
          </w:p>
        </w:tc>
        <w:tc>
          <w:tcPr>
            <w:tcW w:w="1137" w:type="dxa"/>
            <w:tcBorders>
              <w:top w:val="nil"/>
              <w:left w:val="nil"/>
              <w:bottom w:val="single" w:sz="4" w:space="0" w:color="auto"/>
              <w:right w:val="single" w:sz="4" w:space="0" w:color="auto"/>
            </w:tcBorders>
            <w:noWrap/>
            <w:vAlign w:val="center"/>
            <w:hideMark/>
          </w:tcPr>
          <w:p w14:paraId="196DE3AA"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10,926</w:t>
            </w:r>
          </w:p>
        </w:tc>
        <w:tc>
          <w:tcPr>
            <w:tcW w:w="1137" w:type="dxa"/>
            <w:tcBorders>
              <w:top w:val="nil"/>
              <w:left w:val="nil"/>
              <w:bottom w:val="single" w:sz="4" w:space="0" w:color="auto"/>
              <w:right w:val="single" w:sz="4" w:space="0" w:color="auto"/>
            </w:tcBorders>
            <w:noWrap/>
            <w:vAlign w:val="center"/>
            <w:hideMark/>
          </w:tcPr>
          <w:p w14:paraId="27C3B7F1"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40,283</w:t>
            </w:r>
          </w:p>
        </w:tc>
        <w:tc>
          <w:tcPr>
            <w:tcW w:w="1137" w:type="dxa"/>
            <w:tcBorders>
              <w:top w:val="nil"/>
              <w:left w:val="nil"/>
              <w:bottom w:val="single" w:sz="4" w:space="0" w:color="auto"/>
              <w:right w:val="single" w:sz="4" w:space="0" w:color="auto"/>
            </w:tcBorders>
            <w:noWrap/>
            <w:vAlign w:val="center"/>
            <w:hideMark/>
          </w:tcPr>
          <w:p w14:paraId="1A746175"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73,392</w:t>
            </w:r>
          </w:p>
        </w:tc>
        <w:tc>
          <w:tcPr>
            <w:tcW w:w="1137" w:type="dxa"/>
            <w:tcBorders>
              <w:top w:val="nil"/>
              <w:left w:val="nil"/>
              <w:bottom w:val="single" w:sz="4" w:space="0" w:color="auto"/>
              <w:right w:val="single" w:sz="4" w:space="0" w:color="auto"/>
            </w:tcBorders>
            <w:noWrap/>
            <w:vAlign w:val="bottom"/>
            <w:hideMark/>
          </w:tcPr>
          <w:p w14:paraId="7DCB9539"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r>
      <w:tr w:rsidR="001867EE" w:rsidRPr="00441B4E" w14:paraId="561BFB34" w14:textId="77777777" w:rsidTr="00453BCB">
        <w:trPr>
          <w:trHeight w:val="299"/>
        </w:trPr>
        <w:tc>
          <w:tcPr>
            <w:tcW w:w="2988" w:type="dxa"/>
            <w:tcBorders>
              <w:top w:val="nil"/>
              <w:left w:val="single" w:sz="4" w:space="0" w:color="auto"/>
              <w:bottom w:val="single" w:sz="4" w:space="0" w:color="auto"/>
              <w:right w:val="single" w:sz="4" w:space="0" w:color="auto"/>
            </w:tcBorders>
            <w:noWrap/>
            <w:vAlign w:val="center"/>
            <w:hideMark/>
          </w:tcPr>
          <w:p w14:paraId="62DEC9CD"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Capital Expenditure (PP&amp;E)</w:t>
            </w:r>
          </w:p>
        </w:tc>
        <w:tc>
          <w:tcPr>
            <w:tcW w:w="2936" w:type="dxa"/>
            <w:tcBorders>
              <w:top w:val="nil"/>
              <w:left w:val="nil"/>
              <w:bottom w:val="single" w:sz="4" w:space="0" w:color="auto"/>
              <w:right w:val="single" w:sz="4" w:space="0" w:color="auto"/>
            </w:tcBorders>
            <w:noWrap/>
            <w:vAlign w:val="center"/>
            <w:hideMark/>
          </w:tcPr>
          <w:p w14:paraId="17F0ACD2"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4,572</w:t>
            </w:r>
          </w:p>
        </w:tc>
        <w:tc>
          <w:tcPr>
            <w:tcW w:w="1137" w:type="dxa"/>
            <w:tcBorders>
              <w:top w:val="nil"/>
              <w:left w:val="nil"/>
              <w:bottom w:val="single" w:sz="4" w:space="0" w:color="auto"/>
              <w:right w:val="single" w:sz="4" w:space="0" w:color="auto"/>
            </w:tcBorders>
            <w:noWrap/>
            <w:vAlign w:val="center"/>
            <w:hideMark/>
          </w:tcPr>
          <w:p w14:paraId="0722A49F"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8,116</w:t>
            </w:r>
          </w:p>
        </w:tc>
        <w:tc>
          <w:tcPr>
            <w:tcW w:w="1137" w:type="dxa"/>
            <w:tcBorders>
              <w:top w:val="nil"/>
              <w:left w:val="nil"/>
              <w:bottom w:val="single" w:sz="4" w:space="0" w:color="auto"/>
              <w:right w:val="single" w:sz="4" w:space="0" w:color="auto"/>
            </w:tcBorders>
            <w:noWrap/>
            <w:vAlign w:val="center"/>
            <w:hideMark/>
          </w:tcPr>
          <w:p w14:paraId="5712214E"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14,006</w:t>
            </w:r>
          </w:p>
        </w:tc>
        <w:tc>
          <w:tcPr>
            <w:tcW w:w="1137" w:type="dxa"/>
            <w:tcBorders>
              <w:top w:val="nil"/>
              <w:left w:val="nil"/>
              <w:bottom w:val="single" w:sz="4" w:space="0" w:color="auto"/>
              <w:right w:val="single" w:sz="4" w:space="0" w:color="auto"/>
            </w:tcBorders>
            <w:noWrap/>
            <w:vAlign w:val="center"/>
            <w:hideMark/>
          </w:tcPr>
          <w:p w14:paraId="6D949A5B"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12,586</w:t>
            </w:r>
          </w:p>
        </w:tc>
        <w:tc>
          <w:tcPr>
            <w:tcW w:w="1137" w:type="dxa"/>
            <w:tcBorders>
              <w:top w:val="nil"/>
              <w:left w:val="nil"/>
              <w:bottom w:val="single" w:sz="4" w:space="0" w:color="auto"/>
              <w:right w:val="single" w:sz="4" w:space="0" w:color="auto"/>
            </w:tcBorders>
            <w:noWrap/>
            <w:vAlign w:val="center"/>
            <w:hideMark/>
          </w:tcPr>
          <w:p w14:paraId="78F279E9"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16,862</w:t>
            </w:r>
          </w:p>
        </w:tc>
        <w:tc>
          <w:tcPr>
            <w:tcW w:w="1137" w:type="dxa"/>
            <w:tcBorders>
              <w:top w:val="nil"/>
              <w:left w:val="nil"/>
              <w:bottom w:val="single" w:sz="4" w:space="0" w:color="auto"/>
              <w:right w:val="single" w:sz="4" w:space="0" w:color="auto"/>
            </w:tcBorders>
            <w:noWrap/>
            <w:vAlign w:val="bottom"/>
            <w:hideMark/>
          </w:tcPr>
          <w:p w14:paraId="093BCC5F"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r>
      <w:tr w:rsidR="001867EE" w:rsidRPr="00441B4E" w14:paraId="3C77B3D4" w14:textId="77777777" w:rsidTr="00453BCB">
        <w:trPr>
          <w:trHeight w:val="299"/>
        </w:trPr>
        <w:tc>
          <w:tcPr>
            <w:tcW w:w="2988" w:type="dxa"/>
            <w:tcBorders>
              <w:top w:val="nil"/>
              <w:left w:val="single" w:sz="4" w:space="0" w:color="auto"/>
              <w:bottom w:val="single" w:sz="4" w:space="0" w:color="auto"/>
              <w:right w:val="single" w:sz="4" w:space="0" w:color="auto"/>
            </w:tcBorders>
            <w:noWrap/>
            <w:vAlign w:val="center"/>
            <w:hideMark/>
          </w:tcPr>
          <w:p w14:paraId="0A80D78E"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Net Sales</w:t>
            </w:r>
          </w:p>
        </w:tc>
        <w:tc>
          <w:tcPr>
            <w:tcW w:w="2936" w:type="dxa"/>
            <w:tcBorders>
              <w:top w:val="nil"/>
              <w:left w:val="nil"/>
              <w:bottom w:val="single" w:sz="4" w:space="0" w:color="auto"/>
              <w:right w:val="single" w:sz="4" w:space="0" w:color="auto"/>
            </w:tcBorders>
            <w:noWrap/>
            <w:vAlign w:val="center"/>
            <w:hideMark/>
          </w:tcPr>
          <w:p w14:paraId="0BDA1803"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394,879</w:t>
            </w:r>
          </w:p>
        </w:tc>
        <w:tc>
          <w:tcPr>
            <w:tcW w:w="1137" w:type="dxa"/>
            <w:tcBorders>
              <w:top w:val="nil"/>
              <w:left w:val="nil"/>
              <w:bottom w:val="single" w:sz="4" w:space="0" w:color="auto"/>
              <w:right w:val="single" w:sz="4" w:space="0" w:color="auto"/>
            </w:tcBorders>
            <w:noWrap/>
            <w:vAlign w:val="center"/>
            <w:hideMark/>
          </w:tcPr>
          <w:p w14:paraId="48D7F21F"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420,457</w:t>
            </w:r>
          </w:p>
        </w:tc>
        <w:tc>
          <w:tcPr>
            <w:tcW w:w="1137" w:type="dxa"/>
            <w:tcBorders>
              <w:top w:val="nil"/>
              <w:left w:val="nil"/>
              <w:bottom w:val="single" w:sz="4" w:space="0" w:color="auto"/>
              <w:right w:val="single" w:sz="4" w:space="0" w:color="auto"/>
            </w:tcBorders>
            <w:noWrap/>
            <w:vAlign w:val="center"/>
            <w:hideMark/>
          </w:tcPr>
          <w:p w14:paraId="1F707099"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542,751</w:t>
            </w:r>
          </w:p>
        </w:tc>
        <w:tc>
          <w:tcPr>
            <w:tcW w:w="1137" w:type="dxa"/>
            <w:tcBorders>
              <w:top w:val="nil"/>
              <w:left w:val="nil"/>
              <w:bottom w:val="single" w:sz="4" w:space="0" w:color="auto"/>
              <w:right w:val="single" w:sz="4" w:space="0" w:color="auto"/>
            </w:tcBorders>
            <w:noWrap/>
            <w:vAlign w:val="center"/>
            <w:hideMark/>
          </w:tcPr>
          <w:p w14:paraId="379C4F2F"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601,602</w:t>
            </w:r>
          </w:p>
        </w:tc>
        <w:tc>
          <w:tcPr>
            <w:tcW w:w="1137" w:type="dxa"/>
            <w:tcBorders>
              <w:top w:val="nil"/>
              <w:left w:val="nil"/>
              <w:bottom w:val="single" w:sz="4" w:space="0" w:color="auto"/>
              <w:right w:val="single" w:sz="4" w:space="0" w:color="auto"/>
            </w:tcBorders>
            <w:noWrap/>
            <w:vAlign w:val="center"/>
            <w:hideMark/>
          </w:tcPr>
          <w:p w14:paraId="0296A15C"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614,680</w:t>
            </w:r>
          </w:p>
        </w:tc>
        <w:tc>
          <w:tcPr>
            <w:tcW w:w="1137" w:type="dxa"/>
            <w:tcBorders>
              <w:top w:val="nil"/>
              <w:left w:val="nil"/>
              <w:bottom w:val="single" w:sz="4" w:space="0" w:color="auto"/>
              <w:right w:val="single" w:sz="4" w:space="0" w:color="auto"/>
            </w:tcBorders>
            <w:noWrap/>
            <w:vAlign w:val="bottom"/>
            <w:hideMark/>
          </w:tcPr>
          <w:p w14:paraId="67B8ED62" w14:textId="77777777" w:rsidR="001867EE" w:rsidRPr="00441B4E" w:rsidRDefault="001867EE" w:rsidP="001867EE">
            <w:pPr>
              <w:spacing w:line="240" w:lineRule="auto"/>
              <w:rPr>
                <w:rFonts w:ascii="Arial" w:eastAsia="Times New Roman" w:hAnsi="Arial" w:cs="Arial"/>
                <w:color w:val="000000"/>
                <w:szCs w:val="24"/>
              </w:rPr>
            </w:pPr>
            <w:r w:rsidRPr="00441B4E">
              <w:rPr>
                <w:rFonts w:ascii="Arial" w:eastAsia="Times New Roman" w:hAnsi="Arial" w:cs="Arial"/>
                <w:color w:val="000000"/>
                <w:szCs w:val="24"/>
              </w:rPr>
              <w:t> </w:t>
            </w:r>
          </w:p>
        </w:tc>
      </w:tr>
    </w:tbl>
    <w:p w14:paraId="573A93B9" w14:textId="77777777" w:rsidR="001867EE" w:rsidRPr="00441B4E" w:rsidRDefault="001867EE" w:rsidP="00896F28">
      <w:pPr>
        <w:spacing w:line="360" w:lineRule="auto"/>
        <w:jc w:val="both"/>
        <w:rPr>
          <w:rFonts w:ascii="Arial" w:hAnsi="Arial" w:cs="Arial"/>
          <w:szCs w:val="24"/>
        </w:rPr>
      </w:pPr>
    </w:p>
    <w:p w14:paraId="7D41F386" w14:textId="77777777" w:rsidR="001867EE" w:rsidRPr="00441B4E" w:rsidRDefault="001867EE" w:rsidP="00896F28">
      <w:pPr>
        <w:spacing w:line="360" w:lineRule="auto"/>
        <w:jc w:val="both"/>
        <w:rPr>
          <w:rFonts w:ascii="Arial" w:hAnsi="Arial" w:cs="Arial"/>
          <w:szCs w:val="24"/>
        </w:rPr>
      </w:pPr>
    </w:p>
    <w:tbl>
      <w:tblPr>
        <w:tblW w:w="11626" w:type="dxa"/>
        <w:tblInd w:w="-1100" w:type="dxa"/>
        <w:tblLook w:val="04A0" w:firstRow="1" w:lastRow="0" w:firstColumn="1" w:lastColumn="0" w:noHBand="0" w:noVBand="1"/>
      </w:tblPr>
      <w:tblGrid>
        <w:gridCol w:w="1754"/>
        <w:gridCol w:w="1193"/>
        <w:gridCol w:w="1754"/>
        <w:gridCol w:w="1623"/>
        <w:gridCol w:w="2464"/>
        <w:gridCol w:w="1419"/>
        <w:gridCol w:w="1419"/>
      </w:tblGrid>
      <w:tr w:rsidR="001867EE" w:rsidRPr="00441B4E" w14:paraId="7531CDB6" w14:textId="77777777" w:rsidTr="00453BCB">
        <w:trPr>
          <w:trHeight w:val="330"/>
        </w:trPr>
        <w:tc>
          <w:tcPr>
            <w:tcW w:w="1754" w:type="dxa"/>
            <w:tcBorders>
              <w:top w:val="single" w:sz="8" w:space="0" w:color="666666"/>
              <w:left w:val="single" w:sz="8" w:space="0" w:color="666666"/>
              <w:bottom w:val="single" w:sz="12" w:space="0" w:color="666666"/>
              <w:right w:val="single" w:sz="8" w:space="0" w:color="666666"/>
            </w:tcBorders>
            <w:noWrap/>
            <w:vAlign w:val="center"/>
            <w:hideMark/>
          </w:tcPr>
          <w:p w14:paraId="66285B48"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themeColor="text1"/>
                <w:szCs w:val="24"/>
              </w:rPr>
              <w:t>Year</w:t>
            </w:r>
          </w:p>
        </w:tc>
        <w:tc>
          <w:tcPr>
            <w:tcW w:w="1193" w:type="dxa"/>
            <w:tcBorders>
              <w:top w:val="single" w:sz="8" w:space="0" w:color="666666"/>
              <w:left w:val="nil"/>
              <w:bottom w:val="single" w:sz="12" w:space="0" w:color="666666"/>
              <w:right w:val="single" w:sz="8" w:space="0" w:color="666666"/>
            </w:tcBorders>
            <w:noWrap/>
            <w:vAlign w:val="center"/>
            <w:hideMark/>
          </w:tcPr>
          <w:p w14:paraId="3542BFE2"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themeColor="text1"/>
                <w:szCs w:val="24"/>
              </w:rPr>
              <w:t>Cash Flow (£m)</w:t>
            </w:r>
          </w:p>
        </w:tc>
        <w:tc>
          <w:tcPr>
            <w:tcW w:w="1754" w:type="dxa"/>
            <w:tcBorders>
              <w:top w:val="single" w:sz="8" w:space="0" w:color="666666"/>
              <w:left w:val="nil"/>
              <w:bottom w:val="single" w:sz="12" w:space="0" w:color="666666"/>
              <w:right w:val="single" w:sz="8" w:space="0" w:color="666666"/>
            </w:tcBorders>
            <w:noWrap/>
            <w:vAlign w:val="center"/>
            <w:hideMark/>
          </w:tcPr>
          <w:p w14:paraId="5CC81C10"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themeColor="text1"/>
                <w:szCs w:val="24"/>
              </w:rPr>
              <w:t>Depreciation (£m)</w:t>
            </w:r>
          </w:p>
        </w:tc>
        <w:tc>
          <w:tcPr>
            <w:tcW w:w="1623" w:type="dxa"/>
            <w:tcBorders>
              <w:top w:val="single" w:sz="8" w:space="0" w:color="666666"/>
              <w:left w:val="nil"/>
              <w:bottom w:val="single" w:sz="12" w:space="0" w:color="666666"/>
              <w:right w:val="single" w:sz="8" w:space="0" w:color="666666"/>
            </w:tcBorders>
            <w:noWrap/>
            <w:vAlign w:val="center"/>
            <w:hideMark/>
          </w:tcPr>
          <w:p w14:paraId="03E97F49"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themeColor="text1"/>
                <w:szCs w:val="24"/>
              </w:rPr>
              <w:t>Accounting Profit (£m)</w:t>
            </w:r>
          </w:p>
        </w:tc>
        <w:tc>
          <w:tcPr>
            <w:tcW w:w="2464" w:type="dxa"/>
            <w:tcBorders>
              <w:top w:val="single" w:sz="8" w:space="0" w:color="666666"/>
              <w:left w:val="nil"/>
              <w:bottom w:val="single" w:sz="12" w:space="0" w:color="666666"/>
              <w:right w:val="single" w:sz="8" w:space="0" w:color="666666"/>
            </w:tcBorders>
            <w:noWrap/>
            <w:vAlign w:val="center"/>
            <w:hideMark/>
          </w:tcPr>
          <w:p w14:paraId="2FC4D575"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themeColor="text1"/>
                <w:szCs w:val="24"/>
              </w:rPr>
              <w:t>Cumulative Cash Flow (£m)</w:t>
            </w:r>
          </w:p>
        </w:tc>
        <w:tc>
          <w:tcPr>
            <w:tcW w:w="1419" w:type="dxa"/>
            <w:tcBorders>
              <w:top w:val="single" w:sz="8" w:space="0" w:color="666666"/>
              <w:left w:val="nil"/>
              <w:bottom w:val="single" w:sz="12" w:space="0" w:color="666666"/>
              <w:right w:val="single" w:sz="8" w:space="0" w:color="666666"/>
            </w:tcBorders>
            <w:noWrap/>
            <w:vAlign w:val="center"/>
            <w:hideMark/>
          </w:tcPr>
          <w:p w14:paraId="2D3DBD5A"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themeColor="text1"/>
                <w:szCs w:val="24"/>
              </w:rPr>
              <w:t>PV Factor @10%</w:t>
            </w:r>
          </w:p>
        </w:tc>
        <w:tc>
          <w:tcPr>
            <w:tcW w:w="1419" w:type="dxa"/>
            <w:tcBorders>
              <w:top w:val="single" w:sz="8" w:space="0" w:color="666666"/>
              <w:left w:val="nil"/>
              <w:bottom w:val="single" w:sz="12" w:space="0" w:color="666666"/>
              <w:right w:val="single" w:sz="8" w:space="0" w:color="666666"/>
            </w:tcBorders>
            <w:noWrap/>
            <w:vAlign w:val="center"/>
            <w:hideMark/>
          </w:tcPr>
          <w:p w14:paraId="3495E2FD"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themeColor="text1"/>
                <w:szCs w:val="24"/>
              </w:rPr>
              <w:t>Present Value (£m)</w:t>
            </w:r>
          </w:p>
        </w:tc>
      </w:tr>
      <w:tr w:rsidR="001867EE" w:rsidRPr="00441B4E" w14:paraId="2F9C0163" w14:textId="77777777" w:rsidTr="00453BCB">
        <w:trPr>
          <w:trHeight w:val="345"/>
        </w:trPr>
        <w:tc>
          <w:tcPr>
            <w:tcW w:w="1754" w:type="dxa"/>
            <w:tcBorders>
              <w:top w:val="nil"/>
              <w:left w:val="single" w:sz="8" w:space="0" w:color="666666"/>
              <w:bottom w:val="single" w:sz="8" w:space="0" w:color="666666"/>
              <w:right w:val="single" w:sz="8" w:space="0" w:color="666666"/>
            </w:tcBorders>
            <w:noWrap/>
            <w:vAlign w:val="center"/>
            <w:hideMark/>
          </w:tcPr>
          <w:p w14:paraId="12ADBC1A"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themeColor="text1"/>
                <w:szCs w:val="24"/>
              </w:rPr>
              <w:t>0</w:t>
            </w:r>
          </w:p>
        </w:tc>
        <w:tc>
          <w:tcPr>
            <w:tcW w:w="1193" w:type="dxa"/>
            <w:tcBorders>
              <w:top w:val="nil"/>
              <w:left w:val="nil"/>
              <w:bottom w:val="single" w:sz="8" w:space="0" w:color="666666"/>
              <w:right w:val="single" w:sz="8" w:space="0" w:color="666666"/>
            </w:tcBorders>
            <w:noWrap/>
            <w:vAlign w:val="center"/>
            <w:hideMark/>
          </w:tcPr>
          <w:p w14:paraId="2E15E406"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-40</w:t>
            </w:r>
          </w:p>
        </w:tc>
        <w:tc>
          <w:tcPr>
            <w:tcW w:w="1754" w:type="dxa"/>
            <w:tcBorders>
              <w:top w:val="nil"/>
              <w:left w:val="nil"/>
              <w:bottom w:val="single" w:sz="8" w:space="0" w:color="666666"/>
              <w:right w:val="single" w:sz="8" w:space="0" w:color="666666"/>
            </w:tcBorders>
            <w:noWrap/>
            <w:vAlign w:val="center"/>
            <w:hideMark/>
          </w:tcPr>
          <w:p w14:paraId="18D984F6"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w:t>
            </w:r>
          </w:p>
        </w:tc>
        <w:tc>
          <w:tcPr>
            <w:tcW w:w="1623" w:type="dxa"/>
            <w:tcBorders>
              <w:top w:val="nil"/>
              <w:left w:val="nil"/>
              <w:bottom w:val="single" w:sz="8" w:space="0" w:color="666666"/>
              <w:right w:val="single" w:sz="8" w:space="0" w:color="666666"/>
            </w:tcBorders>
            <w:noWrap/>
            <w:vAlign w:val="center"/>
            <w:hideMark/>
          </w:tcPr>
          <w:p w14:paraId="6BCE8F7B"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w:t>
            </w:r>
          </w:p>
        </w:tc>
        <w:tc>
          <w:tcPr>
            <w:tcW w:w="2464" w:type="dxa"/>
            <w:tcBorders>
              <w:top w:val="nil"/>
              <w:left w:val="nil"/>
              <w:bottom w:val="single" w:sz="8" w:space="0" w:color="666666"/>
              <w:right w:val="single" w:sz="8" w:space="0" w:color="666666"/>
            </w:tcBorders>
            <w:noWrap/>
            <w:vAlign w:val="center"/>
            <w:hideMark/>
          </w:tcPr>
          <w:p w14:paraId="6E6351C6"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-40</w:t>
            </w:r>
          </w:p>
        </w:tc>
        <w:tc>
          <w:tcPr>
            <w:tcW w:w="1419" w:type="dxa"/>
            <w:tcBorders>
              <w:top w:val="nil"/>
              <w:left w:val="nil"/>
              <w:bottom w:val="single" w:sz="8" w:space="0" w:color="666666"/>
              <w:right w:val="single" w:sz="8" w:space="0" w:color="666666"/>
            </w:tcBorders>
            <w:noWrap/>
            <w:vAlign w:val="center"/>
            <w:hideMark/>
          </w:tcPr>
          <w:p w14:paraId="73450EF0"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1</w:t>
            </w:r>
          </w:p>
        </w:tc>
        <w:tc>
          <w:tcPr>
            <w:tcW w:w="1419" w:type="dxa"/>
            <w:tcBorders>
              <w:top w:val="nil"/>
              <w:left w:val="nil"/>
              <w:bottom w:val="single" w:sz="8" w:space="0" w:color="666666"/>
              <w:right w:val="single" w:sz="8" w:space="0" w:color="666666"/>
            </w:tcBorders>
            <w:noWrap/>
            <w:vAlign w:val="center"/>
            <w:hideMark/>
          </w:tcPr>
          <w:p w14:paraId="3B5B10B0"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-40</w:t>
            </w:r>
          </w:p>
        </w:tc>
      </w:tr>
      <w:tr w:rsidR="001867EE" w:rsidRPr="00441B4E" w14:paraId="5DF74938" w14:textId="77777777" w:rsidTr="00453BCB">
        <w:trPr>
          <w:trHeight w:val="330"/>
        </w:trPr>
        <w:tc>
          <w:tcPr>
            <w:tcW w:w="1754" w:type="dxa"/>
            <w:tcBorders>
              <w:top w:val="nil"/>
              <w:left w:val="single" w:sz="8" w:space="0" w:color="666666"/>
              <w:bottom w:val="single" w:sz="8" w:space="0" w:color="666666"/>
              <w:right w:val="single" w:sz="8" w:space="0" w:color="666666"/>
            </w:tcBorders>
            <w:noWrap/>
            <w:vAlign w:val="center"/>
            <w:hideMark/>
          </w:tcPr>
          <w:p w14:paraId="0EEDF774"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themeColor="text1"/>
                <w:szCs w:val="24"/>
              </w:rPr>
              <w:t>1</w:t>
            </w:r>
          </w:p>
        </w:tc>
        <w:tc>
          <w:tcPr>
            <w:tcW w:w="1193" w:type="dxa"/>
            <w:tcBorders>
              <w:top w:val="nil"/>
              <w:left w:val="nil"/>
              <w:bottom w:val="single" w:sz="8" w:space="0" w:color="666666"/>
              <w:right w:val="single" w:sz="8" w:space="0" w:color="666666"/>
            </w:tcBorders>
            <w:noWrap/>
            <w:vAlign w:val="center"/>
            <w:hideMark/>
          </w:tcPr>
          <w:p w14:paraId="5A3AD15D"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10</w:t>
            </w:r>
          </w:p>
        </w:tc>
        <w:tc>
          <w:tcPr>
            <w:tcW w:w="1754" w:type="dxa"/>
            <w:tcBorders>
              <w:top w:val="nil"/>
              <w:left w:val="nil"/>
              <w:bottom w:val="single" w:sz="8" w:space="0" w:color="666666"/>
              <w:right w:val="single" w:sz="8" w:space="0" w:color="666666"/>
            </w:tcBorders>
            <w:noWrap/>
            <w:vAlign w:val="center"/>
            <w:hideMark/>
          </w:tcPr>
          <w:p w14:paraId="1D7ECDC8"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8</w:t>
            </w:r>
          </w:p>
        </w:tc>
        <w:tc>
          <w:tcPr>
            <w:tcW w:w="1623" w:type="dxa"/>
            <w:tcBorders>
              <w:top w:val="nil"/>
              <w:left w:val="nil"/>
              <w:bottom w:val="single" w:sz="8" w:space="0" w:color="666666"/>
              <w:right w:val="single" w:sz="8" w:space="0" w:color="666666"/>
            </w:tcBorders>
            <w:noWrap/>
            <w:vAlign w:val="center"/>
            <w:hideMark/>
          </w:tcPr>
          <w:p w14:paraId="24A921D6"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2</w:t>
            </w:r>
          </w:p>
        </w:tc>
        <w:tc>
          <w:tcPr>
            <w:tcW w:w="2464" w:type="dxa"/>
            <w:tcBorders>
              <w:top w:val="nil"/>
              <w:left w:val="nil"/>
              <w:bottom w:val="single" w:sz="8" w:space="0" w:color="666666"/>
              <w:right w:val="single" w:sz="8" w:space="0" w:color="666666"/>
            </w:tcBorders>
            <w:noWrap/>
            <w:vAlign w:val="center"/>
            <w:hideMark/>
          </w:tcPr>
          <w:p w14:paraId="0783E0B8"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-30</w:t>
            </w:r>
          </w:p>
        </w:tc>
        <w:tc>
          <w:tcPr>
            <w:tcW w:w="1419" w:type="dxa"/>
            <w:tcBorders>
              <w:top w:val="nil"/>
              <w:left w:val="nil"/>
              <w:bottom w:val="single" w:sz="8" w:space="0" w:color="666666"/>
              <w:right w:val="single" w:sz="8" w:space="0" w:color="666666"/>
            </w:tcBorders>
            <w:noWrap/>
            <w:vAlign w:val="center"/>
            <w:hideMark/>
          </w:tcPr>
          <w:p w14:paraId="69509B61"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0.9091</w:t>
            </w:r>
          </w:p>
        </w:tc>
        <w:tc>
          <w:tcPr>
            <w:tcW w:w="1419" w:type="dxa"/>
            <w:tcBorders>
              <w:top w:val="nil"/>
              <w:left w:val="nil"/>
              <w:bottom w:val="single" w:sz="8" w:space="0" w:color="666666"/>
              <w:right w:val="single" w:sz="8" w:space="0" w:color="666666"/>
            </w:tcBorders>
            <w:noWrap/>
            <w:vAlign w:val="center"/>
            <w:hideMark/>
          </w:tcPr>
          <w:p w14:paraId="5465BC57"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9.09</w:t>
            </w:r>
          </w:p>
        </w:tc>
      </w:tr>
      <w:tr w:rsidR="001867EE" w:rsidRPr="00441B4E" w14:paraId="6864D87A" w14:textId="77777777" w:rsidTr="00453BCB">
        <w:trPr>
          <w:trHeight w:val="330"/>
        </w:trPr>
        <w:tc>
          <w:tcPr>
            <w:tcW w:w="1754" w:type="dxa"/>
            <w:tcBorders>
              <w:top w:val="nil"/>
              <w:left w:val="single" w:sz="8" w:space="0" w:color="666666"/>
              <w:bottom w:val="single" w:sz="8" w:space="0" w:color="666666"/>
              <w:right w:val="single" w:sz="8" w:space="0" w:color="666666"/>
            </w:tcBorders>
            <w:noWrap/>
            <w:vAlign w:val="center"/>
            <w:hideMark/>
          </w:tcPr>
          <w:p w14:paraId="72C0CD98"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themeColor="text1"/>
                <w:szCs w:val="24"/>
              </w:rPr>
              <w:t>2</w:t>
            </w:r>
          </w:p>
        </w:tc>
        <w:tc>
          <w:tcPr>
            <w:tcW w:w="1193" w:type="dxa"/>
            <w:tcBorders>
              <w:top w:val="nil"/>
              <w:left w:val="nil"/>
              <w:bottom w:val="single" w:sz="8" w:space="0" w:color="666666"/>
              <w:right w:val="single" w:sz="8" w:space="0" w:color="666666"/>
            </w:tcBorders>
            <w:noWrap/>
            <w:vAlign w:val="center"/>
            <w:hideMark/>
          </w:tcPr>
          <w:p w14:paraId="699C41C4"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12</w:t>
            </w:r>
          </w:p>
        </w:tc>
        <w:tc>
          <w:tcPr>
            <w:tcW w:w="1754" w:type="dxa"/>
            <w:tcBorders>
              <w:top w:val="nil"/>
              <w:left w:val="nil"/>
              <w:bottom w:val="single" w:sz="8" w:space="0" w:color="666666"/>
              <w:right w:val="single" w:sz="8" w:space="0" w:color="666666"/>
            </w:tcBorders>
            <w:noWrap/>
            <w:vAlign w:val="center"/>
            <w:hideMark/>
          </w:tcPr>
          <w:p w14:paraId="2A93FEA8"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8</w:t>
            </w:r>
          </w:p>
        </w:tc>
        <w:tc>
          <w:tcPr>
            <w:tcW w:w="1623" w:type="dxa"/>
            <w:tcBorders>
              <w:top w:val="nil"/>
              <w:left w:val="nil"/>
              <w:bottom w:val="single" w:sz="8" w:space="0" w:color="666666"/>
              <w:right w:val="single" w:sz="8" w:space="0" w:color="666666"/>
            </w:tcBorders>
            <w:noWrap/>
            <w:vAlign w:val="center"/>
            <w:hideMark/>
          </w:tcPr>
          <w:p w14:paraId="0A9D2F94"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4</w:t>
            </w:r>
          </w:p>
        </w:tc>
        <w:tc>
          <w:tcPr>
            <w:tcW w:w="2464" w:type="dxa"/>
            <w:tcBorders>
              <w:top w:val="nil"/>
              <w:left w:val="nil"/>
              <w:bottom w:val="single" w:sz="8" w:space="0" w:color="666666"/>
              <w:right w:val="single" w:sz="8" w:space="0" w:color="666666"/>
            </w:tcBorders>
            <w:noWrap/>
            <w:vAlign w:val="center"/>
            <w:hideMark/>
          </w:tcPr>
          <w:p w14:paraId="4B36EB40"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-18</w:t>
            </w:r>
          </w:p>
        </w:tc>
        <w:tc>
          <w:tcPr>
            <w:tcW w:w="1419" w:type="dxa"/>
            <w:tcBorders>
              <w:top w:val="nil"/>
              <w:left w:val="nil"/>
              <w:bottom w:val="single" w:sz="8" w:space="0" w:color="666666"/>
              <w:right w:val="single" w:sz="8" w:space="0" w:color="666666"/>
            </w:tcBorders>
            <w:noWrap/>
            <w:vAlign w:val="center"/>
            <w:hideMark/>
          </w:tcPr>
          <w:p w14:paraId="14EBCFB8"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0.8264</w:t>
            </w:r>
          </w:p>
        </w:tc>
        <w:tc>
          <w:tcPr>
            <w:tcW w:w="1419" w:type="dxa"/>
            <w:tcBorders>
              <w:top w:val="nil"/>
              <w:left w:val="nil"/>
              <w:bottom w:val="single" w:sz="8" w:space="0" w:color="666666"/>
              <w:right w:val="single" w:sz="8" w:space="0" w:color="666666"/>
            </w:tcBorders>
            <w:noWrap/>
            <w:vAlign w:val="center"/>
            <w:hideMark/>
          </w:tcPr>
          <w:p w14:paraId="358C74AD"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9.92</w:t>
            </w:r>
          </w:p>
        </w:tc>
      </w:tr>
      <w:tr w:rsidR="001867EE" w:rsidRPr="00441B4E" w14:paraId="1355420E" w14:textId="77777777" w:rsidTr="00453BCB">
        <w:trPr>
          <w:trHeight w:val="330"/>
        </w:trPr>
        <w:tc>
          <w:tcPr>
            <w:tcW w:w="1754" w:type="dxa"/>
            <w:tcBorders>
              <w:top w:val="nil"/>
              <w:left w:val="single" w:sz="8" w:space="0" w:color="666666"/>
              <w:bottom w:val="single" w:sz="8" w:space="0" w:color="666666"/>
              <w:right w:val="single" w:sz="8" w:space="0" w:color="666666"/>
            </w:tcBorders>
            <w:noWrap/>
            <w:vAlign w:val="center"/>
            <w:hideMark/>
          </w:tcPr>
          <w:p w14:paraId="7FD1B308"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themeColor="text1"/>
                <w:szCs w:val="24"/>
              </w:rPr>
              <w:t>3</w:t>
            </w:r>
          </w:p>
        </w:tc>
        <w:tc>
          <w:tcPr>
            <w:tcW w:w="1193" w:type="dxa"/>
            <w:tcBorders>
              <w:top w:val="nil"/>
              <w:left w:val="nil"/>
              <w:bottom w:val="single" w:sz="8" w:space="0" w:color="666666"/>
              <w:right w:val="single" w:sz="8" w:space="0" w:color="666666"/>
            </w:tcBorders>
            <w:noWrap/>
            <w:vAlign w:val="center"/>
            <w:hideMark/>
          </w:tcPr>
          <w:p w14:paraId="2ACE3DA2"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14</w:t>
            </w:r>
          </w:p>
        </w:tc>
        <w:tc>
          <w:tcPr>
            <w:tcW w:w="1754" w:type="dxa"/>
            <w:tcBorders>
              <w:top w:val="nil"/>
              <w:left w:val="nil"/>
              <w:bottom w:val="single" w:sz="8" w:space="0" w:color="666666"/>
              <w:right w:val="single" w:sz="8" w:space="0" w:color="666666"/>
            </w:tcBorders>
            <w:noWrap/>
            <w:vAlign w:val="center"/>
            <w:hideMark/>
          </w:tcPr>
          <w:p w14:paraId="451F2FEA"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8</w:t>
            </w:r>
          </w:p>
        </w:tc>
        <w:tc>
          <w:tcPr>
            <w:tcW w:w="1623" w:type="dxa"/>
            <w:tcBorders>
              <w:top w:val="nil"/>
              <w:left w:val="nil"/>
              <w:bottom w:val="single" w:sz="8" w:space="0" w:color="666666"/>
              <w:right w:val="single" w:sz="8" w:space="0" w:color="666666"/>
            </w:tcBorders>
            <w:noWrap/>
            <w:vAlign w:val="center"/>
            <w:hideMark/>
          </w:tcPr>
          <w:p w14:paraId="587E0976"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6</w:t>
            </w:r>
          </w:p>
        </w:tc>
        <w:tc>
          <w:tcPr>
            <w:tcW w:w="2464" w:type="dxa"/>
            <w:tcBorders>
              <w:top w:val="nil"/>
              <w:left w:val="nil"/>
              <w:bottom w:val="single" w:sz="8" w:space="0" w:color="666666"/>
              <w:right w:val="single" w:sz="8" w:space="0" w:color="666666"/>
            </w:tcBorders>
            <w:noWrap/>
            <w:vAlign w:val="center"/>
            <w:hideMark/>
          </w:tcPr>
          <w:p w14:paraId="763DCB75"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-4</w:t>
            </w:r>
          </w:p>
        </w:tc>
        <w:tc>
          <w:tcPr>
            <w:tcW w:w="1419" w:type="dxa"/>
            <w:tcBorders>
              <w:top w:val="nil"/>
              <w:left w:val="nil"/>
              <w:bottom w:val="single" w:sz="8" w:space="0" w:color="666666"/>
              <w:right w:val="single" w:sz="8" w:space="0" w:color="666666"/>
            </w:tcBorders>
            <w:noWrap/>
            <w:vAlign w:val="center"/>
            <w:hideMark/>
          </w:tcPr>
          <w:p w14:paraId="3BB32E4E"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0.7513</w:t>
            </w:r>
          </w:p>
        </w:tc>
        <w:tc>
          <w:tcPr>
            <w:tcW w:w="1419" w:type="dxa"/>
            <w:tcBorders>
              <w:top w:val="nil"/>
              <w:left w:val="nil"/>
              <w:bottom w:val="single" w:sz="8" w:space="0" w:color="666666"/>
              <w:right w:val="single" w:sz="8" w:space="0" w:color="666666"/>
            </w:tcBorders>
            <w:noWrap/>
            <w:vAlign w:val="center"/>
            <w:hideMark/>
          </w:tcPr>
          <w:p w14:paraId="64044844"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10.52</w:t>
            </w:r>
          </w:p>
        </w:tc>
      </w:tr>
      <w:tr w:rsidR="001867EE" w:rsidRPr="00441B4E" w14:paraId="0839D43F" w14:textId="77777777" w:rsidTr="00453BCB">
        <w:trPr>
          <w:trHeight w:val="330"/>
        </w:trPr>
        <w:tc>
          <w:tcPr>
            <w:tcW w:w="1754" w:type="dxa"/>
            <w:tcBorders>
              <w:top w:val="nil"/>
              <w:left w:val="single" w:sz="8" w:space="0" w:color="666666"/>
              <w:bottom w:val="single" w:sz="8" w:space="0" w:color="666666"/>
              <w:right w:val="single" w:sz="8" w:space="0" w:color="666666"/>
            </w:tcBorders>
            <w:noWrap/>
            <w:vAlign w:val="center"/>
            <w:hideMark/>
          </w:tcPr>
          <w:p w14:paraId="48D3D566"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themeColor="text1"/>
                <w:szCs w:val="24"/>
              </w:rPr>
              <w:t>4</w:t>
            </w:r>
          </w:p>
        </w:tc>
        <w:tc>
          <w:tcPr>
            <w:tcW w:w="1193" w:type="dxa"/>
            <w:tcBorders>
              <w:top w:val="nil"/>
              <w:left w:val="nil"/>
              <w:bottom w:val="single" w:sz="8" w:space="0" w:color="666666"/>
              <w:right w:val="single" w:sz="8" w:space="0" w:color="666666"/>
            </w:tcBorders>
            <w:noWrap/>
            <w:vAlign w:val="center"/>
            <w:hideMark/>
          </w:tcPr>
          <w:p w14:paraId="01AE7A62"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10</w:t>
            </w:r>
          </w:p>
        </w:tc>
        <w:tc>
          <w:tcPr>
            <w:tcW w:w="1754" w:type="dxa"/>
            <w:tcBorders>
              <w:top w:val="nil"/>
              <w:left w:val="nil"/>
              <w:bottom w:val="single" w:sz="8" w:space="0" w:color="666666"/>
              <w:right w:val="single" w:sz="8" w:space="0" w:color="666666"/>
            </w:tcBorders>
            <w:noWrap/>
            <w:vAlign w:val="center"/>
            <w:hideMark/>
          </w:tcPr>
          <w:p w14:paraId="1D99AA4A"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8</w:t>
            </w:r>
          </w:p>
        </w:tc>
        <w:tc>
          <w:tcPr>
            <w:tcW w:w="1623" w:type="dxa"/>
            <w:tcBorders>
              <w:top w:val="nil"/>
              <w:left w:val="nil"/>
              <w:bottom w:val="single" w:sz="8" w:space="0" w:color="666666"/>
              <w:right w:val="single" w:sz="8" w:space="0" w:color="666666"/>
            </w:tcBorders>
            <w:noWrap/>
            <w:vAlign w:val="center"/>
            <w:hideMark/>
          </w:tcPr>
          <w:p w14:paraId="2B26A490"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2</w:t>
            </w:r>
          </w:p>
        </w:tc>
        <w:tc>
          <w:tcPr>
            <w:tcW w:w="2464" w:type="dxa"/>
            <w:tcBorders>
              <w:top w:val="nil"/>
              <w:left w:val="nil"/>
              <w:bottom w:val="single" w:sz="8" w:space="0" w:color="666666"/>
              <w:right w:val="single" w:sz="8" w:space="0" w:color="666666"/>
            </w:tcBorders>
            <w:noWrap/>
            <w:vAlign w:val="center"/>
            <w:hideMark/>
          </w:tcPr>
          <w:p w14:paraId="04840454"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6</w:t>
            </w:r>
          </w:p>
        </w:tc>
        <w:tc>
          <w:tcPr>
            <w:tcW w:w="1419" w:type="dxa"/>
            <w:tcBorders>
              <w:top w:val="nil"/>
              <w:left w:val="nil"/>
              <w:bottom w:val="single" w:sz="8" w:space="0" w:color="666666"/>
              <w:right w:val="single" w:sz="8" w:space="0" w:color="666666"/>
            </w:tcBorders>
            <w:noWrap/>
            <w:vAlign w:val="center"/>
            <w:hideMark/>
          </w:tcPr>
          <w:p w14:paraId="57A6C017"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0.6830</w:t>
            </w:r>
          </w:p>
        </w:tc>
        <w:tc>
          <w:tcPr>
            <w:tcW w:w="1419" w:type="dxa"/>
            <w:tcBorders>
              <w:top w:val="nil"/>
              <w:left w:val="nil"/>
              <w:bottom w:val="single" w:sz="8" w:space="0" w:color="666666"/>
              <w:right w:val="single" w:sz="8" w:space="0" w:color="666666"/>
            </w:tcBorders>
            <w:noWrap/>
            <w:vAlign w:val="center"/>
            <w:hideMark/>
          </w:tcPr>
          <w:p w14:paraId="33240753"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6.83</w:t>
            </w:r>
          </w:p>
        </w:tc>
      </w:tr>
      <w:tr w:rsidR="001867EE" w:rsidRPr="00441B4E" w14:paraId="7F3E0A9E" w14:textId="77777777" w:rsidTr="00453BCB">
        <w:trPr>
          <w:trHeight w:val="330"/>
        </w:trPr>
        <w:tc>
          <w:tcPr>
            <w:tcW w:w="1754" w:type="dxa"/>
            <w:tcBorders>
              <w:top w:val="nil"/>
              <w:left w:val="single" w:sz="8" w:space="0" w:color="666666"/>
              <w:bottom w:val="single" w:sz="8" w:space="0" w:color="666666"/>
              <w:right w:val="single" w:sz="8" w:space="0" w:color="666666"/>
            </w:tcBorders>
            <w:noWrap/>
            <w:vAlign w:val="center"/>
            <w:hideMark/>
          </w:tcPr>
          <w:p w14:paraId="2D90273D"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themeColor="text1"/>
                <w:szCs w:val="24"/>
              </w:rPr>
              <w:t>5</w:t>
            </w:r>
          </w:p>
        </w:tc>
        <w:tc>
          <w:tcPr>
            <w:tcW w:w="1193" w:type="dxa"/>
            <w:tcBorders>
              <w:top w:val="nil"/>
              <w:left w:val="nil"/>
              <w:bottom w:val="single" w:sz="8" w:space="0" w:color="666666"/>
              <w:right w:val="single" w:sz="8" w:space="0" w:color="666666"/>
            </w:tcBorders>
            <w:noWrap/>
            <w:vAlign w:val="center"/>
            <w:hideMark/>
          </w:tcPr>
          <w:p w14:paraId="0E3E2B66"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8</w:t>
            </w:r>
          </w:p>
        </w:tc>
        <w:tc>
          <w:tcPr>
            <w:tcW w:w="1754" w:type="dxa"/>
            <w:tcBorders>
              <w:top w:val="nil"/>
              <w:left w:val="nil"/>
              <w:bottom w:val="single" w:sz="8" w:space="0" w:color="666666"/>
              <w:right w:val="single" w:sz="8" w:space="0" w:color="666666"/>
            </w:tcBorders>
            <w:noWrap/>
            <w:vAlign w:val="center"/>
            <w:hideMark/>
          </w:tcPr>
          <w:p w14:paraId="0213B28A"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8</w:t>
            </w:r>
          </w:p>
        </w:tc>
        <w:tc>
          <w:tcPr>
            <w:tcW w:w="1623" w:type="dxa"/>
            <w:tcBorders>
              <w:top w:val="nil"/>
              <w:left w:val="nil"/>
              <w:bottom w:val="single" w:sz="8" w:space="0" w:color="666666"/>
              <w:right w:val="single" w:sz="8" w:space="0" w:color="666666"/>
            </w:tcBorders>
            <w:noWrap/>
            <w:vAlign w:val="center"/>
            <w:hideMark/>
          </w:tcPr>
          <w:p w14:paraId="48B4FA60"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0</w:t>
            </w:r>
          </w:p>
        </w:tc>
        <w:tc>
          <w:tcPr>
            <w:tcW w:w="2464" w:type="dxa"/>
            <w:tcBorders>
              <w:top w:val="nil"/>
              <w:left w:val="nil"/>
              <w:bottom w:val="single" w:sz="8" w:space="0" w:color="666666"/>
              <w:right w:val="single" w:sz="8" w:space="0" w:color="666666"/>
            </w:tcBorders>
            <w:noWrap/>
            <w:vAlign w:val="center"/>
            <w:hideMark/>
          </w:tcPr>
          <w:p w14:paraId="61F60F17"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14</w:t>
            </w:r>
          </w:p>
        </w:tc>
        <w:tc>
          <w:tcPr>
            <w:tcW w:w="1419" w:type="dxa"/>
            <w:tcBorders>
              <w:top w:val="nil"/>
              <w:left w:val="nil"/>
              <w:bottom w:val="single" w:sz="8" w:space="0" w:color="666666"/>
              <w:right w:val="single" w:sz="8" w:space="0" w:color="666666"/>
            </w:tcBorders>
            <w:noWrap/>
            <w:vAlign w:val="center"/>
            <w:hideMark/>
          </w:tcPr>
          <w:p w14:paraId="37ADCA82"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0.6209</w:t>
            </w:r>
          </w:p>
        </w:tc>
        <w:tc>
          <w:tcPr>
            <w:tcW w:w="1419" w:type="dxa"/>
            <w:tcBorders>
              <w:top w:val="nil"/>
              <w:left w:val="nil"/>
              <w:bottom w:val="single" w:sz="8" w:space="0" w:color="666666"/>
              <w:right w:val="single" w:sz="8" w:space="0" w:color="666666"/>
            </w:tcBorders>
            <w:noWrap/>
            <w:vAlign w:val="center"/>
            <w:hideMark/>
          </w:tcPr>
          <w:p w14:paraId="213EBF4F"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4.97</w:t>
            </w:r>
          </w:p>
        </w:tc>
      </w:tr>
      <w:tr w:rsidR="001867EE" w:rsidRPr="00441B4E" w14:paraId="7D744C5E" w14:textId="77777777" w:rsidTr="00453BCB">
        <w:trPr>
          <w:trHeight w:val="330"/>
        </w:trPr>
        <w:tc>
          <w:tcPr>
            <w:tcW w:w="1754" w:type="dxa"/>
            <w:tcBorders>
              <w:top w:val="nil"/>
              <w:left w:val="single" w:sz="8" w:space="0" w:color="666666"/>
              <w:bottom w:val="single" w:sz="8" w:space="0" w:color="666666"/>
              <w:right w:val="single" w:sz="8" w:space="0" w:color="666666"/>
            </w:tcBorders>
            <w:noWrap/>
            <w:vAlign w:val="center"/>
            <w:hideMark/>
          </w:tcPr>
          <w:p w14:paraId="0A2A5633"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Total</w:t>
            </w:r>
          </w:p>
        </w:tc>
        <w:tc>
          <w:tcPr>
            <w:tcW w:w="1193" w:type="dxa"/>
            <w:tcBorders>
              <w:top w:val="nil"/>
              <w:left w:val="nil"/>
              <w:bottom w:val="single" w:sz="8" w:space="0" w:color="666666"/>
              <w:right w:val="single" w:sz="8" w:space="0" w:color="666666"/>
            </w:tcBorders>
            <w:noWrap/>
            <w:vAlign w:val="center"/>
            <w:hideMark/>
          </w:tcPr>
          <w:p w14:paraId="15398D50"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szCs w:val="24"/>
              </w:rPr>
              <w:t>54</w:t>
            </w:r>
          </w:p>
        </w:tc>
        <w:tc>
          <w:tcPr>
            <w:tcW w:w="1754" w:type="dxa"/>
            <w:tcBorders>
              <w:top w:val="nil"/>
              <w:left w:val="nil"/>
              <w:bottom w:val="single" w:sz="8" w:space="0" w:color="666666"/>
              <w:right w:val="single" w:sz="8" w:space="0" w:color="666666"/>
            </w:tcBorders>
            <w:noWrap/>
            <w:vAlign w:val="center"/>
            <w:hideMark/>
          </w:tcPr>
          <w:p w14:paraId="5BEF0509"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szCs w:val="24"/>
              </w:rPr>
              <w:t>40</w:t>
            </w:r>
          </w:p>
        </w:tc>
        <w:tc>
          <w:tcPr>
            <w:tcW w:w="1623" w:type="dxa"/>
            <w:tcBorders>
              <w:top w:val="nil"/>
              <w:left w:val="nil"/>
              <w:bottom w:val="single" w:sz="8" w:space="0" w:color="666666"/>
              <w:right w:val="single" w:sz="8" w:space="0" w:color="666666"/>
            </w:tcBorders>
            <w:noWrap/>
            <w:vAlign w:val="center"/>
            <w:hideMark/>
          </w:tcPr>
          <w:p w14:paraId="7BA11557"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szCs w:val="24"/>
              </w:rPr>
              <w:t>14</w:t>
            </w:r>
          </w:p>
        </w:tc>
        <w:tc>
          <w:tcPr>
            <w:tcW w:w="2464" w:type="dxa"/>
            <w:tcBorders>
              <w:top w:val="nil"/>
              <w:left w:val="nil"/>
              <w:bottom w:val="single" w:sz="8" w:space="0" w:color="666666"/>
              <w:right w:val="single" w:sz="8" w:space="0" w:color="666666"/>
            </w:tcBorders>
            <w:noWrap/>
            <w:vAlign w:val="center"/>
            <w:hideMark/>
          </w:tcPr>
          <w:p w14:paraId="6DBC9A19"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szCs w:val="24"/>
              </w:rPr>
              <w:t> </w:t>
            </w:r>
          </w:p>
        </w:tc>
        <w:tc>
          <w:tcPr>
            <w:tcW w:w="1419" w:type="dxa"/>
            <w:tcBorders>
              <w:top w:val="nil"/>
              <w:left w:val="nil"/>
              <w:bottom w:val="single" w:sz="8" w:space="0" w:color="666666"/>
              <w:right w:val="single" w:sz="8" w:space="0" w:color="666666"/>
            </w:tcBorders>
            <w:noWrap/>
            <w:hideMark/>
          </w:tcPr>
          <w:p w14:paraId="777095B5"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 </w:t>
            </w:r>
          </w:p>
        </w:tc>
        <w:tc>
          <w:tcPr>
            <w:tcW w:w="1419" w:type="dxa"/>
            <w:tcBorders>
              <w:top w:val="nil"/>
              <w:left w:val="nil"/>
              <w:bottom w:val="single" w:sz="8" w:space="0" w:color="666666"/>
              <w:right w:val="single" w:sz="8" w:space="0" w:color="666666"/>
            </w:tcBorders>
            <w:noWrap/>
            <w:vAlign w:val="center"/>
            <w:hideMark/>
          </w:tcPr>
          <w:p w14:paraId="352C3EDC"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szCs w:val="24"/>
              </w:rPr>
              <w:t>1.32</w:t>
            </w:r>
          </w:p>
        </w:tc>
      </w:tr>
      <w:tr w:rsidR="001867EE" w:rsidRPr="00441B4E" w14:paraId="6574D014" w14:textId="77777777" w:rsidTr="00453BCB">
        <w:trPr>
          <w:trHeight w:val="330"/>
        </w:trPr>
        <w:tc>
          <w:tcPr>
            <w:tcW w:w="1754" w:type="dxa"/>
            <w:tcBorders>
              <w:top w:val="nil"/>
              <w:left w:val="nil"/>
              <w:bottom w:val="nil"/>
              <w:right w:val="nil"/>
            </w:tcBorders>
            <w:noWrap/>
            <w:vAlign w:val="bottom"/>
            <w:hideMark/>
          </w:tcPr>
          <w:p w14:paraId="71A2B92B"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 </w:t>
            </w:r>
          </w:p>
        </w:tc>
        <w:tc>
          <w:tcPr>
            <w:tcW w:w="1193" w:type="dxa"/>
            <w:tcBorders>
              <w:top w:val="nil"/>
              <w:left w:val="nil"/>
              <w:bottom w:val="nil"/>
              <w:right w:val="nil"/>
            </w:tcBorders>
            <w:noWrap/>
            <w:vAlign w:val="bottom"/>
            <w:hideMark/>
          </w:tcPr>
          <w:p w14:paraId="0AA68CC0"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 </w:t>
            </w:r>
          </w:p>
        </w:tc>
        <w:tc>
          <w:tcPr>
            <w:tcW w:w="1754" w:type="dxa"/>
            <w:tcBorders>
              <w:top w:val="nil"/>
              <w:left w:val="nil"/>
              <w:bottom w:val="nil"/>
              <w:right w:val="nil"/>
            </w:tcBorders>
            <w:noWrap/>
            <w:vAlign w:val="bottom"/>
            <w:hideMark/>
          </w:tcPr>
          <w:p w14:paraId="32726B68"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 </w:t>
            </w:r>
          </w:p>
        </w:tc>
        <w:tc>
          <w:tcPr>
            <w:tcW w:w="1623" w:type="dxa"/>
            <w:tcBorders>
              <w:top w:val="nil"/>
              <w:left w:val="nil"/>
              <w:bottom w:val="nil"/>
              <w:right w:val="nil"/>
            </w:tcBorders>
            <w:noWrap/>
            <w:vAlign w:val="bottom"/>
            <w:hideMark/>
          </w:tcPr>
          <w:p w14:paraId="6A8F3D76"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 </w:t>
            </w:r>
          </w:p>
        </w:tc>
        <w:tc>
          <w:tcPr>
            <w:tcW w:w="2464" w:type="dxa"/>
            <w:tcBorders>
              <w:top w:val="nil"/>
              <w:left w:val="nil"/>
              <w:bottom w:val="nil"/>
              <w:right w:val="nil"/>
            </w:tcBorders>
            <w:noWrap/>
            <w:vAlign w:val="bottom"/>
            <w:hideMark/>
          </w:tcPr>
          <w:p w14:paraId="1435B90D"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 </w:t>
            </w:r>
          </w:p>
        </w:tc>
        <w:tc>
          <w:tcPr>
            <w:tcW w:w="1419" w:type="dxa"/>
            <w:tcBorders>
              <w:top w:val="nil"/>
              <w:left w:val="nil"/>
              <w:bottom w:val="nil"/>
              <w:right w:val="nil"/>
            </w:tcBorders>
            <w:noWrap/>
            <w:vAlign w:val="bottom"/>
            <w:hideMark/>
          </w:tcPr>
          <w:p w14:paraId="6C08F1C0"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 </w:t>
            </w:r>
          </w:p>
        </w:tc>
        <w:tc>
          <w:tcPr>
            <w:tcW w:w="1419" w:type="dxa"/>
            <w:tcBorders>
              <w:top w:val="nil"/>
              <w:left w:val="nil"/>
              <w:bottom w:val="nil"/>
              <w:right w:val="nil"/>
            </w:tcBorders>
            <w:noWrap/>
            <w:vAlign w:val="bottom"/>
            <w:hideMark/>
          </w:tcPr>
          <w:p w14:paraId="2E2F3E46"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 </w:t>
            </w:r>
          </w:p>
        </w:tc>
      </w:tr>
      <w:tr w:rsidR="001867EE" w:rsidRPr="00441B4E" w14:paraId="3FCE267E" w14:textId="77777777" w:rsidTr="00453BCB">
        <w:trPr>
          <w:gridAfter w:val="1"/>
          <w:wAfter w:w="1419" w:type="dxa"/>
          <w:trHeight w:val="330"/>
        </w:trPr>
        <w:tc>
          <w:tcPr>
            <w:tcW w:w="1754" w:type="dxa"/>
            <w:tcBorders>
              <w:top w:val="single" w:sz="8" w:space="0" w:color="666666"/>
              <w:left w:val="nil"/>
              <w:bottom w:val="single" w:sz="12" w:space="0" w:color="666666"/>
              <w:right w:val="nil"/>
            </w:tcBorders>
            <w:noWrap/>
            <w:vAlign w:val="center"/>
            <w:hideMark/>
          </w:tcPr>
          <w:p w14:paraId="4D5F8880"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themeColor="text1"/>
                <w:szCs w:val="24"/>
              </w:rPr>
              <w:t>Depreciation (£m)</w:t>
            </w:r>
          </w:p>
        </w:tc>
        <w:tc>
          <w:tcPr>
            <w:tcW w:w="1193" w:type="dxa"/>
            <w:tcBorders>
              <w:top w:val="single" w:sz="8" w:space="0" w:color="auto"/>
              <w:left w:val="single" w:sz="8" w:space="0" w:color="auto"/>
              <w:bottom w:val="nil"/>
              <w:right w:val="single" w:sz="8" w:space="0" w:color="auto"/>
            </w:tcBorders>
            <w:noWrap/>
            <w:vAlign w:val="bottom"/>
            <w:hideMark/>
          </w:tcPr>
          <w:p w14:paraId="65046C4A"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8</w:t>
            </w:r>
          </w:p>
        </w:tc>
        <w:tc>
          <w:tcPr>
            <w:tcW w:w="1754" w:type="dxa"/>
            <w:tcBorders>
              <w:top w:val="nil"/>
              <w:left w:val="nil"/>
              <w:bottom w:val="nil"/>
              <w:right w:val="nil"/>
            </w:tcBorders>
            <w:noWrap/>
            <w:vAlign w:val="bottom"/>
            <w:hideMark/>
          </w:tcPr>
          <w:p w14:paraId="75BB5242"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 </w:t>
            </w:r>
          </w:p>
        </w:tc>
        <w:tc>
          <w:tcPr>
            <w:tcW w:w="1623" w:type="dxa"/>
            <w:tcBorders>
              <w:top w:val="nil"/>
              <w:left w:val="nil"/>
              <w:bottom w:val="nil"/>
              <w:right w:val="nil"/>
            </w:tcBorders>
            <w:noWrap/>
            <w:vAlign w:val="bottom"/>
            <w:hideMark/>
          </w:tcPr>
          <w:p w14:paraId="2E4FA617"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 </w:t>
            </w:r>
          </w:p>
        </w:tc>
        <w:tc>
          <w:tcPr>
            <w:tcW w:w="2464" w:type="dxa"/>
            <w:tcBorders>
              <w:top w:val="single" w:sz="8" w:space="0" w:color="666666"/>
              <w:left w:val="nil"/>
              <w:bottom w:val="single" w:sz="12" w:space="0" w:color="666666"/>
              <w:right w:val="single" w:sz="8" w:space="0" w:color="000000"/>
            </w:tcBorders>
            <w:noWrap/>
            <w:vAlign w:val="center"/>
            <w:hideMark/>
          </w:tcPr>
          <w:p w14:paraId="40A37A6D"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szCs w:val="24"/>
              </w:rPr>
              <w:t>Accounting Rate of Return (ARR):</w:t>
            </w:r>
            <w:r w:rsidRPr="00441B4E">
              <w:rPr>
                <w:rFonts w:ascii="Arial" w:eastAsia="Times New Roman" w:hAnsi="Arial" w:cs="Arial"/>
                <w:color w:val="0F1115"/>
                <w:szCs w:val="24"/>
              </w:rPr>
              <w:t> </w:t>
            </w:r>
          </w:p>
        </w:tc>
        <w:tc>
          <w:tcPr>
            <w:tcW w:w="1419" w:type="dxa"/>
            <w:tcBorders>
              <w:top w:val="single" w:sz="8" w:space="0" w:color="auto"/>
              <w:left w:val="nil"/>
              <w:bottom w:val="single" w:sz="8" w:space="0" w:color="auto"/>
              <w:right w:val="single" w:sz="8" w:space="0" w:color="auto"/>
            </w:tcBorders>
            <w:noWrap/>
            <w:vAlign w:val="bottom"/>
            <w:hideMark/>
          </w:tcPr>
          <w:p w14:paraId="5A9C78AB"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7.00%</w:t>
            </w:r>
          </w:p>
        </w:tc>
      </w:tr>
      <w:tr w:rsidR="001867EE" w:rsidRPr="00441B4E" w14:paraId="5370267C" w14:textId="77777777" w:rsidTr="00453BCB">
        <w:trPr>
          <w:gridAfter w:val="1"/>
          <w:wAfter w:w="1419" w:type="dxa"/>
          <w:trHeight w:val="345"/>
        </w:trPr>
        <w:tc>
          <w:tcPr>
            <w:tcW w:w="1754" w:type="dxa"/>
            <w:tcBorders>
              <w:top w:val="single" w:sz="8" w:space="0" w:color="666666"/>
              <w:left w:val="nil"/>
              <w:bottom w:val="single" w:sz="12" w:space="0" w:color="666666"/>
              <w:right w:val="nil"/>
            </w:tcBorders>
            <w:noWrap/>
            <w:vAlign w:val="center"/>
            <w:hideMark/>
          </w:tcPr>
          <w:p w14:paraId="62A7789A"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szCs w:val="24"/>
              </w:rPr>
              <w:t>PB</w:t>
            </w:r>
          </w:p>
        </w:tc>
        <w:tc>
          <w:tcPr>
            <w:tcW w:w="1193" w:type="dxa"/>
            <w:tcBorders>
              <w:top w:val="single" w:sz="8" w:space="0" w:color="auto"/>
              <w:left w:val="single" w:sz="8" w:space="0" w:color="auto"/>
              <w:bottom w:val="single" w:sz="8" w:space="0" w:color="auto"/>
              <w:right w:val="single" w:sz="8" w:space="0" w:color="auto"/>
            </w:tcBorders>
            <w:noWrap/>
            <w:vAlign w:val="bottom"/>
            <w:hideMark/>
          </w:tcPr>
          <w:p w14:paraId="4DCA9B10"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3.4</w:t>
            </w:r>
          </w:p>
        </w:tc>
        <w:tc>
          <w:tcPr>
            <w:tcW w:w="1754" w:type="dxa"/>
            <w:tcBorders>
              <w:top w:val="nil"/>
              <w:left w:val="nil"/>
              <w:bottom w:val="nil"/>
              <w:right w:val="nil"/>
            </w:tcBorders>
            <w:noWrap/>
            <w:vAlign w:val="bottom"/>
            <w:hideMark/>
          </w:tcPr>
          <w:p w14:paraId="70AB9CF6"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 </w:t>
            </w:r>
          </w:p>
        </w:tc>
        <w:tc>
          <w:tcPr>
            <w:tcW w:w="1623" w:type="dxa"/>
            <w:tcBorders>
              <w:top w:val="nil"/>
              <w:left w:val="nil"/>
              <w:bottom w:val="nil"/>
              <w:right w:val="nil"/>
            </w:tcBorders>
            <w:noWrap/>
            <w:vAlign w:val="bottom"/>
            <w:hideMark/>
          </w:tcPr>
          <w:p w14:paraId="02B175A5"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 </w:t>
            </w:r>
          </w:p>
        </w:tc>
        <w:tc>
          <w:tcPr>
            <w:tcW w:w="2464" w:type="dxa"/>
            <w:tcBorders>
              <w:top w:val="single" w:sz="8" w:space="0" w:color="666666"/>
              <w:left w:val="nil"/>
              <w:bottom w:val="single" w:sz="12" w:space="0" w:color="666666"/>
              <w:right w:val="single" w:sz="8" w:space="0" w:color="000000"/>
            </w:tcBorders>
            <w:noWrap/>
            <w:vAlign w:val="center"/>
            <w:hideMark/>
          </w:tcPr>
          <w:p w14:paraId="6CFADA2F"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szCs w:val="24"/>
              </w:rPr>
              <w:t>Net Present Value (NPV):</w:t>
            </w:r>
            <w:r w:rsidRPr="00441B4E">
              <w:rPr>
                <w:rFonts w:ascii="Arial" w:eastAsia="Times New Roman" w:hAnsi="Arial" w:cs="Arial"/>
                <w:color w:val="0F1115"/>
                <w:szCs w:val="24"/>
              </w:rPr>
              <w:t> </w:t>
            </w:r>
          </w:p>
        </w:tc>
        <w:tc>
          <w:tcPr>
            <w:tcW w:w="1419" w:type="dxa"/>
            <w:tcBorders>
              <w:top w:val="nil"/>
              <w:left w:val="nil"/>
              <w:bottom w:val="single" w:sz="8" w:space="0" w:color="auto"/>
              <w:right w:val="single" w:sz="8" w:space="0" w:color="auto"/>
            </w:tcBorders>
            <w:noWrap/>
            <w:vAlign w:val="bottom"/>
            <w:hideMark/>
          </w:tcPr>
          <w:p w14:paraId="6E913376"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1.32</w:t>
            </w:r>
          </w:p>
        </w:tc>
      </w:tr>
      <w:tr w:rsidR="001867EE" w:rsidRPr="00441B4E" w14:paraId="3C2C7689" w14:textId="77777777" w:rsidTr="00453BCB">
        <w:trPr>
          <w:gridAfter w:val="1"/>
          <w:wAfter w:w="1419" w:type="dxa"/>
          <w:trHeight w:val="345"/>
        </w:trPr>
        <w:tc>
          <w:tcPr>
            <w:tcW w:w="1754" w:type="dxa"/>
            <w:tcBorders>
              <w:top w:val="single" w:sz="8" w:space="0" w:color="666666"/>
              <w:left w:val="nil"/>
              <w:bottom w:val="single" w:sz="12" w:space="0" w:color="666666"/>
              <w:right w:val="nil"/>
            </w:tcBorders>
            <w:noWrap/>
            <w:vAlign w:val="center"/>
            <w:hideMark/>
          </w:tcPr>
          <w:p w14:paraId="10813D30"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szCs w:val="24"/>
              </w:rPr>
              <w:t>PI</w:t>
            </w:r>
          </w:p>
        </w:tc>
        <w:tc>
          <w:tcPr>
            <w:tcW w:w="1193" w:type="dxa"/>
            <w:tcBorders>
              <w:top w:val="nil"/>
              <w:left w:val="single" w:sz="8" w:space="0" w:color="auto"/>
              <w:bottom w:val="single" w:sz="8" w:space="0" w:color="auto"/>
              <w:right w:val="single" w:sz="8" w:space="0" w:color="auto"/>
            </w:tcBorders>
            <w:noWrap/>
            <w:vAlign w:val="bottom"/>
            <w:hideMark/>
          </w:tcPr>
          <w:p w14:paraId="4915219F"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1.033</w:t>
            </w:r>
          </w:p>
        </w:tc>
        <w:tc>
          <w:tcPr>
            <w:tcW w:w="1754" w:type="dxa"/>
            <w:tcBorders>
              <w:top w:val="nil"/>
              <w:left w:val="nil"/>
              <w:bottom w:val="nil"/>
              <w:right w:val="nil"/>
            </w:tcBorders>
            <w:noWrap/>
            <w:vAlign w:val="bottom"/>
            <w:hideMark/>
          </w:tcPr>
          <w:p w14:paraId="4AB799AB"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 </w:t>
            </w:r>
          </w:p>
        </w:tc>
        <w:tc>
          <w:tcPr>
            <w:tcW w:w="1623" w:type="dxa"/>
            <w:tcBorders>
              <w:top w:val="nil"/>
              <w:left w:val="nil"/>
              <w:bottom w:val="nil"/>
              <w:right w:val="nil"/>
            </w:tcBorders>
            <w:noWrap/>
            <w:vAlign w:val="bottom"/>
            <w:hideMark/>
          </w:tcPr>
          <w:p w14:paraId="008F04D9"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 </w:t>
            </w:r>
          </w:p>
        </w:tc>
        <w:tc>
          <w:tcPr>
            <w:tcW w:w="2464" w:type="dxa"/>
            <w:tcBorders>
              <w:top w:val="single" w:sz="8" w:space="0" w:color="666666"/>
              <w:left w:val="nil"/>
              <w:bottom w:val="single" w:sz="12" w:space="0" w:color="666666"/>
              <w:right w:val="single" w:sz="8" w:space="0" w:color="000000"/>
            </w:tcBorders>
            <w:noWrap/>
            <w:vAlign w:val="center"/>
            <w:hideMark/>
          </w:tcPr>
          <w:p w14:paraId="09B9B680"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szCs w:val="24"/>
              </w:rPr>
              <w:t>IRR</w:t>
            </w:r>
          </w:p>
        </w:tc>
        <w:tc>
          <w:tcPr>
            <w:tcW w:w="1419" w:type="dxa"/>
            <w:tcBorders>
              <w:top w:val="nil"/>
              <w:left w:val="nil"/>
              <w:bottom w:val="single" w:sz="8" w:space="0" w:color="auto"/>
              <w:right w:val="single" w:sz="8" w:space="0" w:color="auto"/>
            </w:tcBorders>
            <w:noWrap/>
            <w:vAlign w:val="bottom"/>
            <w:hideMark/>
          </w:tcPr>
          <w:p w14:paraId="349B12C9"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11.33%</w:t>
            </w:r>
          </w:p>
        </w:tc>
      </w:tr>
      <w:tr w:rsidR="001867EE" w:rsidRPr="00441B4E" w14:paraId="0636D55E" w14:textId="77777777" w:rsidTr="00453BCB">
        <w:trPr>
          <w:trHeight w:val="345"/>
        </w:trPr>
        <w:tc>
          <w:tcPr>
            <w:tcW w:w="1754" w:type="dxa"/>
            <w:tcBorders>
              <w:top w:val="nil"/>
              <w:left w:val="nil"/>
              <w:bottom w:val="nil"/>
              <w:right w:val="nil"/>
            </w:tcBorders>
            <w:noWrap/>
            <w:vAlign w:val="bottom"/>
            <w:hideMark/>
          </w:tcPr>
          <w:p w14:paraId="10CC28DF"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 </w:t>
            </w:r>
          </w:p>
        </w:tc>
        <w:tc>
          <w:tcPr>
            <w:tcW w:w="1193" w:type="dxa"/>
            <w:tcBorders>
              <w:top w:val="nil"/>
              <w:left w:val="nil"/>
              <w:bottom w:val="nil"/>
              <w:right w:val="nil"/>
            </w:tcBorders>
            <w:noWrap/>
            <w:vAlign w:val="bottom"/>
            <w:hideMark/>
          </w:tcPr>
          <w:p w14:paraId="0348AC90"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 </w:t>
            </w:r>
          </w:p>
        </w:tc>
        <w:tc>
          <w:tcPr>
            <w:tcW w:w="1754" w:type="dxa"/>
            <w:tcBorders>
              <w:top w:val="nil"/>
              <w:left w:val="nil"/>
              <w:bottom w:val="nil"/>
              <w:right w:val="nil"/>
            </w:tcBorders>
            <w:noWrap/>
            <w:vAlign w:val="bottom"/>
            <w:hideMark/>
          </w:tcPr>
          <w:p w14:paraId="1610B09C"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 </w:t>
            </w:r>
          </w:p>
        </w:tc>
        <w:tc>
          <w:tcPr>
            <w:tcW w:w="1623" w:type="dxa"/>
            <w:tcBorders>
              <w:top w:val="nil"/>
              <w:left w:val="nil"/>
              <w:bottom w:val="nil"/>
              <w:right w:val="nil"/>
            </w:tcBorders>
            <w:noWrap/>
            <w:vAlign w:val="bottom"/>
            <w:hideMark/>
          </w:tcPr>
          <w:p w14:paraId="19540F2B"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 </w:t>
            </w:r>
          </w:p>
        </w:tc>
        <w:tc>
          <w:tcPr>
            <w:tcW w:w="2464" w:type="dxa"/>
            <w:tcBorders>
              <w:top w:val="nil"/>
              <w:left w:val="nil"/>
              <w:bottom w:val="nil"/>
              <w:right w:val="nil"/>
            </w:tcBorders>
            <w:noWrap/>
            <w:vAlign w:val="bottom"/>
            <w:hideMark/>
          </w:tcPr>
          <w:p w14:paraId="48D69B78"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 </w:t>
            </w:r>
          </w:p>
        </w:tc>
        <w:tc>
          <w:tcPr>
            <w:tcW w:w="1419" w:type="dxa"/>
            <w:tcBorders>
              <w:top w:val="nil"/>
              <w:left w:val="nil"/>
              <w:bottom w:val="nil"/>
              <w:right w:val="nil"/>
            </w:tcBorders>
            <w:noWrap/>
            <w:vAlign w:val="bottom"/>
            <w:hideMark/>
          </w:tcPr>
          <w:p w14:paraId="6C1722EF"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 </w:t>
            </w:r>
          </w:p>
        </w:tc>
        <w:tc>
          <w:tcPr>
            <w:tcW w:w="1419" w:type="dxa"/>
            <w:tcBorders>
              <w:top w:val="nil"/>
              <w:left w:val="nil"/>
              <w:bottom w:val="nil"/>
              <w:right w:val="nil"/>
            </w:tcBorders>
            <w:noWrap/>
            <w:vAlign w:val="bottom"/>
            <w:hideMark/>
          </w:tcPr>
          <w:p w14:paraId="4EA40A95"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 </w:t>
            </w:r>
          </w:p>
        </w:tc>
      </w:tr>
      <w:tr w:rsidR="001867EE" w:rsidRPr="00441B4E" w14:paraId="006CBC15" w14:textId="77777777" w:rsidTr="00453BCB">
        <w:trPr>
          <w:trHeight w:val="330"/>
        </w:trPr>
        <w:tc>
          <w:tcPr>
            <w:tcW w:w="1754" w:type="dxa"/>
            <w:tcBorders>
              <w:top w:val="single" w:sz="8" w:space="0" w:color="666666"/>
              <w:left w:val="single" w:sz="8" w:space="0" w:color="666666"/>
              <w:bottom w:val="single" w:sz="12" w:space="0" w:color="666666"/>
              <w:right w:val="single" w:sz="8" w:space="0" w:color="666666"/>
            </w:tcBorders>
            <w:noWrap/>
            <w:vAlign w:val="center"/>
            <w:hideMark/>
          </w:tcPr>
          <w:p w14:paraId="00A42575"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themeColor="text1"/>
                <w:szCs w:val="24"/>
              </w:rPr>
              <w:t>Year</w:t>
            </w:r>
          </w:p>
        </w:tc>
        <w:tc>
          <w:tcPr>
            <w:tcW w:w="1193" w:type="dxa"/>
            <w:tcBorders>
              <w:top w:val="single" w:sz="8" w:space="0" w:color="666666"/>
              <w:left w:val="nil"/>
              <w:bottom w:val="single" w:sz="12" w:space="0" w:color="666666"/>
              <w:right w:val="single" w:sz="8" w:space="0" w:color="666666"/>
            </w:tcBorders>
            <w:noWrap/>
            <w:vAlign w:val="center"/>
            <w:hideMark/>
          </w:tcPr>
          <w:p w14:paraId="343DB6B9"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themeColor="text1"/>
                <w:szCs w:val="24"/>
              </w:rPr>
              <w:t>Cash Flow (£m)</w:t>
            </w:r>
          </w:p>
        </w:tc>
        <w:tc>
          <w:tcPr>
            <w:tcW w:w="1754" w:type="dxa"/>
            <w:tcBorders>
              <w:top w:val="single" w:sz="8" w:space="0" w:color="666666"/>
              <w:left w:val="nil"/>
              <w:bottom w:val="single" w:sz="12" w:space="0" w:color="666666"/>
              <w:right w:val="single" w:sz="8" w:space="0" w:color="666666"/>
            </w:tcBorders>
            <w:noWrap/>
            <w:vAlign w:val="center"/>
            <w:hideMark/>
          </w:tcPr>
          <w:p w14:paraId="3E979A0B"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themeColor="text1"/>
                <w:szCs w:val="24"/>
              </w:rPr>
              <w:t>Depreciation (£m)</w:t>
            </w:r>
          </w:p>
        </w:tc>
        <w:tc>
          <w:tcPr>
            <w:tcW w:w="1623" w:type="dxa"/>
            <w:tcBorders>
              <w:top w:val="single" w:sz="8" w:space="0" w:color="666666"/>
              <w:left w:val="nil"/>
              <w:bottom w:val="single" w:sz="12" w:space="0" w:color="666666"/>
              <w:right w:val="single" w:sz="8" w:space="0" w:color="666666"/>
            </w:tcBorders>
            <w:noWrap/>
            <w:vAlign w:val="center"/>
            <w:hideMark/>
          </w:tcPr>
          <w:p w14:paraId="58FD7E3C"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themeColor="text1"/>
                <w:szCs w:val="24"/>
              </w:rPr>
              <w:t>Accounting Profit (£m)</w:t>
            </w:r>
          </w:p>
        </w:tc>
        <w:tc>
          <w:tcPr>
            <w:tcW w:w="2464" w:type="dxa"/>
            <w:tcBorders>
              <w:top w:val="single" w:sz="8" w:space="0" w:color="666666"/>
              <w:left w:val="nil"/>
              <w:bottom w:val="single" w:sz="12" w:space="0" w:color="666666"/>
              <w:right w:val="single" w:sz="8" w:space="0" w:color="666666"/>
            </w:tcBorders>
            <w:noWrap/>
            <w:vAlign w:val="center"/>
            <w:hideMark/>
          </w:tcPr>
          <w:p w14:paraId="0FE0AB0D"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themeColor="text1"/>
                <w:szCs w:val="24"/>
              </w:rPr>
              <w:t>Cumulative Cash Flow (£m)</w:t>
            </w:r>
          </w:p>
        </w:tc>
        <w:tc>
          <w:tcPr>
            <w:tcW w:w="1419" w:type="dxa"/>
            <w:tcBorders>
              <w:top w:val="single" w:sz="8" w:space="0" w:color="666666"/>
              <w:left w:val="nil"/>
              <w:bottom w:val="single" w:sz="12" w:space="0" w:color="666666"/>
              <w:right w:val="single" w:sz="8" w:space="0" w:color="666666"/>
            </w:tcBorders>
            <w:noWrap/>
            <w:vAlign w:val="center"/>
            <w:hideMark/>
          </w:tcPr>
          <w:p w14:paraId="390ED0BD"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themeColor="text1"/>
                <w:szCs w:val="24"/>
              </w:rPr>
              <w:t>PV Factor @10%</w:t>
            </w:r>
          </w:p>
        </w:tc>
        <w:tc>
          <w:tcPr>
            <w:tcW w:w="1419" w:type="dxa"/>
            <w:tcBorders>
              <w:top w:val="single" w:sz="8" w:space="0" w:color="666666"/>
              <w:left w:val="nil"/>
              <w:bottom w:val="single" w:sz="12" w:space="0" w:color="666666"/>
              <w:right w:val="single" w:sz="8" w:space="0" w:color="666666"/>
            </w:tcBorders>
            <w:noWrap/>
            <w:vAlign w:val="center"/>
            <w:hideMark/>
          </w:tcPr>
          <w:p w14:paraId="086AB349"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themeColor="text1"/>
                <w:szCs w:val="24"/>
              </w:rPr>
              <w:t>Present Value (£m)</w:t>
            </w:r>
          </w:p>
        </w:tc>
      </w:tr>
      <w:tr w:rsidR="001867EE" w:rsidRPr="00441B4E" w14:paraId="2E30DD21" w14:textId="77777777" w:rsidTr="00453BCB">
        <w:trPr>
          <w:trHeight w:val="345"/>
        </w:trPr>
        <w:tc>
          <w:tcPr>
            <w:tcW w:w="1754" w:type="dxa"/>
            <w:tcBorders>
              <w:top w:val="nil"/>
              <w:left w:val="single" w:sz="8" w:space="0" w:color="666666"/>
              <w:bottom w:val="single" w:sz="8" w:space="0" w:color="666666"/>
              <w:right w:val="single" w:sz="8" w:space="0" w:color="666666"/>
            </w:tcBorders>
            <w:noWrap/>
            <w:vAlign w:val="center"/>
            <w:hideMark/>
          </w:tcPr>
          <w:p w14:paraId="66782CD2"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themeColor="text1"/>
                <w:szCs w:val="24"/>
              </w:rPr>
              <w:t>0</w:t>
            </w:r>
          </w:p>
        </w:tc>
        <w:tc>
          <w:tcPr>
            <w:tcW w:w="1193" w:type="dxa"/>
            <w:tcBorders>
              <w:top w:val="nil"/>
              <w:left w:val="nil"/>
              <w:bottom w:val="single" w:sz="8" w:space="0" w:color="666666"/>
              <w:right w:val="single" w:sz="8" w:space="0" w:color="666666"/>
            </w:tcBorders>
            <w:noWrap/>
            <w:vAlign w:val="center"/>
            <w:hideMark/>
          </w:tcPr>
          <w:p w14:paraId="2B5C612A"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-30</w:t>
            </w:r>
          </w:p>
        </w:tc>
        <w:tc>
          <w:tcPr>
            <w:tcW w:w="1754" w:type="dxa"/>
            <w:tcBorders>
              <w:top w:val="nil"/>
              <w:left w:val="nil"/>
              <w:bottom w:val="single" w:sz="8" w:space="0" w:color="666666"/>
              <w:right w:val="single" w:sz="8" w:space="0" w:color="666666"/>
            </w:tcBorders>
            <w:noWrap/>
            <w:vAlign w:val="center"/>
            <w:hideMark/>
          </w:tcPr>
          <w:p w14:paraId="12084447"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w:t>
            </w:r>
          </w:p>
        </w:tc>
        <w:tc>
          <w:tcPr>
            <w:tcW w:w="1623" w:type="dxa"/>
            <w:tcBorders>
              <w:top w:val="nil"/>
              <w:left w:val="nil"/>
              <w:bottom w:val="single" w:sz="8" w:space="0" w:color="666666"/>
              <w:right w:val="single" w:sz="8" w:space="0" w:color="666666"/>
            </w:tcBorders>
            <w:noWrap/>
            <w:vAlign w:val="center"/>
            <w:hideMark/>
          </w:tcPr>
          <w:p w14:paraId="62301E39"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w:t>
            </w:r>
          </w:p>
        </w:tc>
        <w:tc>
          <w:tcPr>
            <w:tcW w:w="2464" w:type="dxa"/>
            <w:tcBorders>
              <w:top w:val="nil"/>
              <w:left w:val="nil"/>
              <w:bottom w:val="single" w:sz="8" w:space="0" w:color="666666"/>
              <w:right w:val="single" w:sz="8" w:space="0" w:color="666666"/>
            </w:tcBorders>
            <w:noWrap/>
            <w:vAlign w:val="center"/>
            <w:hideMark/>
          </w:tcPr>
          <w:p w14:paraId="6B046704"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-30</w:t>
            </w:r>
          </w:p>
        </w:tc>
        <w:tc>
          <w:tcPr>
            <w:tcW w:w="1419" w:type="dxa"/>
            <w:tcBorders>
              <w:top w:val="nil"/>
              <w:left w:val="nil"/>
              <w:bottom w:val="single" w:sz="8" w:space="0" w:color="666666"/>
              <w:right w:val="single" w:sz="8" w:space="0" w:color="666666"/>
            </w:tcBorders>
            <w:noWrap/>
            <w:vAlign w:val="center"/>
            <w:hideMark/>
          </w:tcPr>
          <w:p w14:paraId="22F0FD64"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1</w:t>
            </w:r>
          </w:p>
        </w:tc>
        <w:tc>
          <w:tcPr>
            <w:tcW w:w="1419" w:type="dxa"/>
            <w:tcBorders>
              <w:top w:val="nil"/>
              <w:left w:val="nil"/>
              <w:bottom w:val="single" w:sz="8" w:space="0" w:color="666666"/>
              <w:right w:val="single" w:sz="8" w:space="0" w:color="666666"/>
            </w:tcBorders>
            <w:noWrap/>
            <w:vAlign w:val="center"/>
            <w:hideMark/>
          </w:tcPr>
          <w:p w14:paraId="12359F67"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-30</w:t>
            </w:r>
          </w:p>
        </w:tc>
      </w:tr>
      <w:tr w:rsidR="001867EE" w:rsidRPr="00441B4E" w14:paraId="41EC8B19" w14:textId="77777777" w:rsidTr="00453BCB">
        <w:trPr>
          <w:trHeight w:val="330"/>
        </w:trPr>
        <w:tc>
          <w:tcPr>
            <w:tcW w:w="1754" w:type="dxa"/>
            <w:tcBorders>
              <w:top w:val="nil"/>
              <w:left w:val="single" w:sz="8" w:space="0" w:color="666666"/>
              <w:bottom w:val="single" w:sz="8" w:space="0" w:color="666666"/>
              <w:right w:val="single" w:sz="8" w:space="0" w:color="666666"/>
            </w:tcBorders>
            <w:noWrap/>
            <w:vAlign w:val="center"/>
            <w:hideMark/>
          </w:tcPr>
          <w:p w14:paraId="23A002FF"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themeColor="text1"/>
                <w:szCs w:val="24"/>
              </w:rPr>
              <w:t>1</w:t>
            </w:r>
          </w:p>
        </w:tc>
        <w:tc>
          <w:tcPr>
            <w:tcW w:w="1193" w:type="dxa"/>
            <w:tcBorders>
              <w:top w:val="nil"/>
              <w:left w:val="nil"/>
              <w:bottom w:val="single" w:sz="8" w:space="0" w:color="666666"/>
              <w:right w:val="single" w:sz="8" w:space="0" w:color="666666"/>
            </w:tcBorders>
            <w:noWrap/>
            <w:vAlign w:val="center"/>
            <w:hideMark/>
          </w:tcPr>
          <w:p w14:paraId="4C9FB977"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6</w:t>
            </w:r>
          </w:p>
        </w:tc>
        <w:tc>
          <w:tcPr>
            <w:tcW w:w="1754" w:type="dxa"/>
            <w:tcBorders>
              <w:top w:val="nil"/>
              <w:left w:val="nil"/>
              <w:bottom w:val="single" w:sz="8" w:space="0" w:color="666666"/>
              <w:right w:val="single" w:sz="8" w:space="0" w:color="666666"/>
            </w:tcBorders>
            <w:noWrap/>
            <w:vAlign w:val="center"/>
            <w:hideMark/>
          </w:tcPr>
          <w:p w14:paraId="269AF95A"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8</w:t>
            </w:r>
          </w:p>
        </w:tc>
        <w:tc>
          <w:tcPr>
            <w:tcW w:w="1623" w:type="dxa"/>
            <w:tcBorders>
              <w:top w:val="nil"/>
              <w:left w:val="nil"/>
              <w:bottom w:val="single" w:sz="8" w:space="0" w:color="666666"/>
              <w:right w:val="single" w:sz="8" w:space="0" w:color="666666"/>
            </w:tcBorders>
            <w:noWrap/>
            <w:vAlign w:val="center"/>
            <w:hideMark/>
          </w:tcPr>
          <w:p w14:paraId="225CB37C"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-2</w:t>
            </w:r>
          </w:p>
        </w:tc>
        <w:tc>
          <w:tcPr>
            <w:tcW w:w="2464" w:type="dxa"/>
            <w:tcBorders>
              <w:top w:val="nil"/>
              <w:left w:val="nil"/>
              <w:bottom w:val="single" w:sz="8" w:space="0" w:color="666666"/>
              <w:right w:val="single" w:sz="8" w:space="0" w:color="666666"/>
            </w:tcBorders>
            <w:noWrap/>
            <w:vAlign w:val="center"/>
            <w:hideMark/>
          </w:tcPr>
          <w:p w14:paraId="595E61F4"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-24</w:t>
            </w:r>
          </w:p>
        </w:tc>
        <w:tc>
          <w:tcPr>
            <w:tcW w:w="1419" w:type="dxa"/>
            <w:tcBorders>
              <w:top w:val="nil"/>
              <w:left w:val="nil"/>
              <w:bottom w:val="single" w:sz="8" w:space="0" w:color="666666"/>
              <w:right w:val="single" w:sz="8" w:space="0" w:color="666666"/>
            </w:tcBorders>
            <w:noWrap/>
            <w:vAlign w:val="center"/>
            <w:hideMark/>
          </w:tcPr>
          <w:p w14:paraId="14E0B98A"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0.9091</w:t>
            </w:r>
          </w:p>
        </w:tc>
        <w:tc>
          <w:tcPr>
            <w:tcW w:w="1419" w:type="dxa"/>
            <w:tcBorders>
              <w:top w:val="nil"/>
              <w:left w:val="nil"/>
              <w:bottom w:val="single" w:sz="8" w:space="0" w:color="666666"/>
              <w:right w:val="single" w:sz="8" w:space="0" w:color="666666"/>
            </w:tcBorders>
            <w:noWrap/>
            <w:vAlign w:val="center"/>
            <w:hideMark/>
          </w:tcPr>
          <w:p w14:paraId="0C3AAC31"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5.45</w:t>
            </w:r>
          </w:p>
        </w:tc>
      </w:tr>
      <w:tr w:rsidR="001867EE" w:rsidRPr="00441B4E" w14:paraId="69BF56A8" w14:textId="77777777" w:rsidTr="00453BCB">
        <w:trPr>
          <w:trHeight w:val="330"/>
        </w:trPr>
        <w:tc>
          <w:tcPr>
            <w:tcW w:w="1754" w:type="dxa"/>
            <w:tcBorders>
              <w:top w:val="nil"/>
              <w:left w:val="single" w:sz="8" w:space="0" w:color="666666"/>
              <w:bottom w:val="single" w:sz="8" w:space="0" w:color="666666"/>
              <w:right w:val="single" w:sz="8" w:space="0" w:color="666666"/>
            </w:tcBorders>
            <w:noWrap/>
            <w:vAlign w:val="center"/>
            <w:hideMark/>
          </w:tcPr>
          <w:p w14:paraId="2AA119DF"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themeColor="text1"/>
                <w:szCs w:val="24"/>
              </w:rPr>
              <w:t>2</w:t>
            </w:r>
          </w:p>
        </w:tc>
        <w:tc>
          <w:tcPr>
            <w:tcW w:w="1193" w:type="dxa"/>
            <w:tcBorders>
              <w:top w:val="nil"/>
              <w:left w:val="nil"/>
              <w:bottom w:val="single" w:sz="8" w:space="0" w:color="666666"/>
              <w:right w:val="single" w:sz="8" w:space="0" w:color="666666"/>
            </w:tcBorders>
            <w:noWrap/>
            <w:vAlign w:val="center"/>
            <w:hideMark/>
          </w:tcPr>
          <w:p w14:paraId="016A470C"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6</w:t>
            </w:r>
          </w:p>
        </w:tc>
        <w:tc>
          <w:tcPr>
            <w:tcW w:w="1754" w:type="dxa"/>
            <w:tcBorders>
              <w:top w:val="nil"/>
              <w:left w:val="nil"/>
              <w:bottom w:val="single" w:sz="8" w:space="0" w:color="666666"/>
              <w:right w:val="single" w:sz="8" w:space="0" w:color="666666"/>
            </w:tcBorders>
            <w:noWrap/>
            <w:vAlign w:val="center"/>
            <w:hideMark/>
          </w:tcPr>
          <w:p w14:paraId="65345253"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8</w:t>
            </w:r>
          </w:p>
        </w:tc>
        <w:tc>
          <w:tcPr>
            <w:tcW w:w="1623" w:type="dxa"/>
            <w:tcBorders>
              <w:top w:val="nil"/>
              <w:left w:val="nil"/>
              <w:bottom w:val="single" w:sz="8" w:space="0" w:color="666666"/>
              <w:right w:val="single" w:sz="8" w:space="0" w:color="666666"/>
            </w:tcBorders>
            <w:noWrap/>
            <w:vAlign w:val="center"/>
            <w:hideMark/>
          </w:tcPr>
          <w:p w14:paraId="2347387C"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-2</w:t>
            </w:r>
          </w:p>
        </w:tc>
        <w:tc>
          <w:tcPr>
            <w:tcW w:w="2464" w:type="dxa"/>
            <w:tcBorders>
              <w:top w:val="nil"/>
              <w:left w:val="nil"/>
              <w:bottom w:val="single" w:sz="8" w:space="0" w:color="666666"/>
              <w:right w:val="single" w:sz="8" w:space="0" w:color="666666"/>
            </w:tcBorders>
            <w:noWrap/>
            <w:vAlign w:val="center"/>
            <w:hideMark/>
          </w:tcPr>
          <w:p w14:paraId="7E4EB56D"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-18</w:t>
            </w:r>
          </w:p>
        </w:tc>
        <w:tc>
          <w:tcPr>
            <w:tcW w:w="1419" w:type="dxa"/>
            <w:tcBorders>
              <w:top w:val="nil"/>
              <w:left w:val="nil"/>
              <w:bottom w:val="single" w:sz="8" w:space="0" w:color="666666"/>
              <w:right w:val="single" w:sz="8" w:space="0" w:color="666666"/>
            </w:tcBorders>
            <w:noWrap/>
            <w:vAlign w:val="center"/>
            <w:hideMark/>
          </w:tcPr>
          <w:p w14:paraId="2C930245"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0.8264</w:t>
            </w:r>
          </w:p>
        </w:tc>
        <w:tc>
          <w:tcPr>
            <w:tcW w:w="1419" w:type="dxa"/>
            <w:tcBorders>
              <w:top w:val="nil"/>
              <w:left w:val="nil"/>
              <w:bottom w:val="single" w:sz="8" w:space="0" w:color="666666"/>
              <w:right w:val="single" w:sz="8" w:space="0" w:color="666666"/>
            </w:tcBorders>
            <w:noWrap/>
            <w:vAlign w:val="center"/>
            <w:hideMark/>
          </w:tcPr>
          <w:p w14:paraId="1ECAEBA8"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4.96</w:t>
            </w:r>
          </w:p>
        </w:tc>
      </w:tr>
      <w:tr w:rsidR="001867EE" w:rsidRPr="00441B4E" w14:paraId="18074A87" w14:textId="77777777" w:rsidTr="00453BCB">
        <w:trPr>
          <w:trHeight w:val="330"/>
        </w:trPr>
        <w:tc>
          <w:tcPr>
            <w:tcW w:w="1754" w:type="dxa"/>
            <w:tcBorders>
              <w:top w:val="nil"/>
              <w:left w:val="single" w:sz="8" w:space="0" w:color="666666"/>
              <w:bottom w:val="single" w:sz="8" w:space="0" w:color="666666"/>
              <w:right w:val="single" w:sz="8" w:space="0" w:color="666666"/>
            </w:tcBorders>
            <w:noWrap/>
            <w:vAlign w:val="center"/>
            <w:hideMark/>
          </w:tcPr>
          <w:p w14:paraId="6C6C67EF"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themeColor="text1"/>
                <w:szCs w:val="24"/>
              </w:rPr>
              <w:t>3</w:t>
            </w:r>
          </w:p>
        </w:tc>
        <w:tc>
          <w:tcPr>
            <w:tcW w:w="1193" w:type="dxa"/>
            <w:tcBorders>
              <w:top w:val="nil"/>
              <w:left w:val="nil"/>
              <w:bottom w:val="single" w:sz="8" w:space="0" w:color="666666"/>
              <w:right w:val="single" w:sz="8" w:space="0" w:color="666666"/>
            </w:tcBorders>
            <w:noWrap/>
            <w:vAlign w:val="center"/>
            <w:hideMark/>
          </w:tcPr>
          <w:p w14:paraId="15DC3429"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6</w:t>
            </w:r>
          </w:p>
        </w:tc>
        <w:tc>
          <w:tcPr>
            <w:tcW w:w="1754" w:type="dxa"/>
            <w:tcBorders>
              <w:top w:val="nil"/>
              <w:left w:val="nil"/>
              <w:bottom w:val="single" w:sz="8" w:space="0" w:color="666666"/>
              <w:right w:val="single" w:sz="8" w:space="0" w:color="666666"/>
            </w:tcBorders>
            <w:noWrap/>
            <w:vAlign w:val="center"/>
            <w:hideMark/>
          </w:tcPr>
          <w:p w14:paraId="3BC9D7F2"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8</w:t>
            </w:r>
          </w:p>
        </w:tc>
        <w:tc>
          <w:tcPr>
            <w:tcW w:w="1623" w:type="dxa"/>
            <w:tcBorders>
              <w:top w:val="nil"/>
              <w:left w:val="nil"/>
              <w:bottom w:val="single" w:sz="8" w:space="0" w:color="666666"/>
              <w:right w:val="single" w:sz="8" w:space="0" w:color="666666"/>
            </w:tcBorders>
            <w:noWrap/>
            <w:vAlign w:val="center"/>
            <w:hideMark/>
          </w:tcPr>
          <w:p w14:paraId="496E2A97"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-2</w:t>
            </w:r>
          </w:p>
        </w:tc>
        <w:tc>
          <w:tcPr>
            <w:tcW w:w="2464" w:type="dxa"/>
            <w:tcBorders>
              <w:top w:val="nil"/>
              <w:left w:val="nil"/>
              <w:bottom w:val="single" w:sz="8" w:space="0" w:color="666666"/>
              <w:right w:val="single" w:sz="8" w:space="0" w:color="666666"/>
            </w:tcBorders>
            <w:noWrap/>
            <w:vAlign w:val="center"/>
            <w:hideMark/>
          </w:tcPr>
          <w:p w14:paraId="2264CE3B"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-12</w:t>
            </w:r>
          </w:p>
        </w:tc>
        <w:tc>
          <w:tcPr>
            <w:tcW w:w="1419" w:type="dxa"/>
            <w:tcBorders>
              <w:top w:val="nil"/>
              <w:left w:val="nil"/>
              <w:bottom w:val="single" w:sz="8" w:space="0" w:color="666666"/>
              <w:right w:val="single" w:sz="8" w:space="0" w:color="666666"/>
            </w:tcBorders>
            <w:noWrap/>
            <w:vAlign w:val="center"/>
            <w:hideMark/>
          </w:tcPr>
          <w:p w14:paraId="10486C14"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0.7513</w:t>
            </w:r>
          </w:p>
        </w:tc>
        <w:tc>
          <w:tcPr>
            <w:tcW w:w="1419" w:type="dxa"/>
            <w:tcBorders>
              <w:top w:val="nil"/>
              <w:left w:val="nil"/>
              <w:bottom w:val="single" w:sz="8" w:space="0" w:color="666666"/>
              <w:right w:val="single" w:sz="8" w:space="0" w:color="666666"/>
            </w:tcBorders>
            <w:noWrap/>
            <w:vAlign w:val="center"/>
            <w:hideMark/>
          </w:tcPr>
          <w:p w14:paraId="4566E90C"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4.51</w:t>
            </w:r>
          </w:p>
        </w:tc>
      </w:tr>
      <w:tr w:rsidR="001867EE" w:rsidRPr="00441B4E" w14:paraId="288B0352" w14:textId="77777777" w:rsidTr="00453BCB">
        <w:trPr>
          <w:trHeight w:val="330"/>
        </w:trPr>
        <w:tc>
          <w:tcPr>
            <w:tcW w:w="1754" w:type="dxa"/>
            <w:tcBorders>
              <w:top w:val="nil"/>
              <w:left w:val="single" w:sz="8" w:space="0" w:color="666666"/>
              <w:bottom w:val="single" w:sz="8" w:space="0" w:color="666666"/>
              <w:right w:val="single" w:sz="8" w:space="0" w:color="666666"/>
            </w:tcBorders>
            <w:noWrap/>
            <w:vAlign w:val="center"/>
            <w:hideMark/>
          </w:tcPr>
          <w:p w14:paraId="6AC2D65C"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themeColor="text1"/>
                <w:szCs w:val="24"/>
              </w:rPr>
              <w:t>4</w:t>
            </w:r>
          </w:p>
        </w:tc>
        <w:tc>
          <w:tcPr>
            <w:tcW w:w="1193" w:type="dxa"/>
            <w:tcBorders>
              <w:top w:val="nil"/>
              <w:left w:val="nil"/>
              <w:bottom w:val="single" w:sz="8" w:space="0" w:color="666666"/>
              <w:right w:val="single" w:sz="8" w:space="0" w:color="666666"/>
            </w:tcBorders>
            <w:noWrap/>
            <w:vAlign w:val="center"/>
            <w:hideMark/>
          </w:tcPr>
          <w:p w14:paraId="4FA685E6"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6</w:t>
            </w:r>
          </w:p>
        </w:tc>
        <w:tc>
          <w:tcPr>
            <w:tcW w:w="1754" w:type="dxa"/>
            <w:tcBorders>
              <w:top w:val="nil"/>
              <w:left w:val="nil"/>
              <w:bottom w:val="single" w:sz="8" w:space="0" w:color="666666"/>
              <w:right w:val="single" w:sz="8" w:space="0" w:color="666666"/>
            </w:tcBorders>
            <w:noWrap/>
            <w:vAlign w:val="center"/>
            <w:hideMark/>
          </w:tcPr>
          <w:p w14:paraId="426BB9C6"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8</w:t>
            </w:r>
          </w:p>
        </w:tc>
        <w:tc>
          <w:tcPr>
            <w:tcW w:w="1623" w:type="dxa"/>
            <w:tcBorders>
              <w:top w:val="nil"/>
              <w:left w:val="nil"/>
              <w:bottom w:val="single" w:sz="8" w:space="0" w:color="666666"/>
              <w:right w:val="single" w:sz="8" w:space="0" w:color="666666"/>
            </w:tcBorders>
            <w:noWrap/>
            <w:vAlign w:val="center"/>
            <w:hideMark/>
          </w:tcPr>
          <w:p w14:paraId="39C2A604"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-2</w:t>
            </w:r>
          </w:p>
        </w:tc>
        <w:tc>
          <w:tcPr>
            <w:tcW w:w="2464" w:type="dxa"/>
            <w:tcBorders>
              <w:top w:val="nil"/>
              <w:left w:val="nil"/>
              <w:bottom w:val="single" w:sz="8" w:space="0" w:color="666666"/>
              <w:right w:val="single" w:sz="8" w:space="0" w:color="666666"/>
            </w:tcBorders>
            <w:noWrap/>
            <w:vAlign w:val="center"/>
            <w:hideMark/>
          </w:tcPr>
          <w:p w14:paraId="7B67AD0F"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-6</w:t>
            </w:r>
          </w:p>
        </w:tc>
        <w:tc>
          <w:tcPr>
            <w:tcW w:w="1419" w:type="dxa"/>
            <w:tcBorders>
              <w:top w:val="nil"/>
              <w:left w:val="nil"/>
              <w:bottom w:val="single" w:sz="8" w:space="0" w:color="666666"/>
              <w:right w:val="single" w:sz="8" w:space="0" w:color="666666"/>
            </w:tcBorders>
            <w:noWrap/>
            <w:vAlign w:val="center"/>
            <w:hideMark/>
          </w:tcPr>
          <w:p w14:paraId="53670ED6"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0.6830</w:t>
            </w:r>
          </w:p>
        </w:tc>
        <w:tc>
          <w:tcPr>
            <w:tcW w:w="1419" w:type="dxa"/>
            <w:tcBorders>
              <w:top w:val="nil"/>
              <w:left w:val="nil"/>
              <w:bottom w:val="single" w:sz="8" w:space="0" w:color="666666"/>
              <w:right w:val="single" w:sz="8" w:space="0" w:color="666666"/>
            </w:tcBorders>
            <w:noWrap/>
            <w:vAlign w:val="center"/>
            <w:hideMark/>
          </w:tcPr>
          <w:p w14:paraId="33B10148"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4.10</w:t>
            </w:r>
          </w:p>
        </w:tc>
      </w:tr>
      <w:tr w:rsidR="001867EE" w:rsidRPr="00441B4E" w14:paraId="517ACA6B" w14:textId="77777777" w:rsidTr="00453BCB">
        <w:trPr>
          <w:trHeight w:val="330"/>
        </w:trPr>
        <w:tc>
          <w:tcPr>
            <w:tcW w:w="1754" w:type="dxa"/>
            <w:tcBorders>
              <w:top w:val="nil"/>
              <w:left w:val="single" w:sz="8" w:space="0" w:color="666666"/>
              <w:bottom w:val="single" w:sz="8" w:space="0" w:color="666666"/>
              <w:right w:val="single" w:sz="8" w:space="0" w:color="666666"/>
            </w:tcBorders>
            <w:noWrap/>
            <w:vAlign w:val="center"/>
            <w:hideMark/>
          </w:tcPr>
          <w:p w14:paraId="780B244C"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themeColor="text1"/>
                <w:szCs w:val="24"/>
              </w:rPr>
              <w:t>5</w:t>
            </w:r>
          </w:p>
        </w:tc>
        <w:tc>
          <w:tcPr>
            <w:tcW w:w="1193" w:type="dxa"/>
            <w:tcBorders>
              <w:top w:val="nil"/>
              <w:left w:val="nil"/>
              <w:bottom w:val="single" w:sz="8" w:space="0" w:color="666666"/>
              <w:right w:val="single" w:sz="8" w:space="0" w:color="666666"/>
            </w:tcBorders>
            <w:noWrap/>
            <w:vAlign w:val="center"/>
            <w:hideMark/>
          </w:tcPr>
          <w:p w14:paraId="5E7C6AB3"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6</w:t>
            </w:r>
          </w:p>
        </w:tc>
        <w:tc>
          <w:tcPr>
            <w:tcW w:w="1754" w:type="dxa"/>
            <w:tcBorders>
              <w:top w:val="nil"/>
              <w:left w:val="nil"/>
              <w:bottom w:val="single" w:sz="8" w:space="0" w:color="666666"/>
              <w:right w:val="single" w:sz="8" w:space="0" w:color="666666"/>
            </w:tcBorders>
            <w:noWrap/>
            <w:vAlign w:val="center"/>
            <w:hideMark/>
          </w:tcPr>
          <w:p w14:paraId="66162EDD"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8</w:t>
            </w:r>
          </w:p>
        </w:tc>
        <w:tc>
          <w:tcPr>
            <w:tcW w:w="1623" w:type="dxa"/>
            <w:tcBorders>
              <w:top w:val="nil"/>
              <w:left w:val="nil"/>
              <w:bottom w:val="single" w:sz="8" w:space="0" w:color="666666"/>
              <w:right w:val="single" w:sz="8" w:space="0" w:color="666666"/>
            </w:tcBorders>
            <w:noWrap/>
            <w:vAlign w:val="center"/>
            <w:hideMark/>
          </w:tcPr>
          <w:p w14:paraId="7C10CC51"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-2</w:t>
            </w:r>
          </w:p>
        </w:tc>
        <w:tc>
          <w:tcPr>
            <w:tcW w:w="2464" w:type="dxa"/>
            <w:tcBorders>
              <w:top w:val="nil"/>
              <w:left w:val="nil"/>
              <w:bottom w:val="single" w:sz="8" w:space="0" w:color="666666"/>
              <w:right w:val="single" w:sz="8" w:space="0" w:color="666666"/>
            </w:tcBorders>
            <w:noWrap/>
            <w:vAlign w:val="center"/>
            <w:hideMark/>
          </w:tcPr>
          <w:p w14:paraId="2B7B3F2E"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0</w:t>
            </w:r>
          </w:p>
        </w:tc>
        <w:tc>
          <w:tcPr>
            <w:tcW w:w="1419" w:type="dxa"/>
            <w:tcBorders>
              <w:top w:val="nil"/>
              <w:left w:val="nil"/>
              <w:bottom w:val="single" w:sz="8" w:space="0" w:color="666666"/>
              <w:right w:val="single" w:sz="8" w:space="0" w:color="666666"/>
            </w:tcBorders>
            <w:noWrap/>
            <w:vAlign w:val="center"/>
            <w:hideMark/>
          </w:tcPr>
          <w:p w14:paraId="32339603"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0.6209</w:t>
            </w:r>
          </w:p>
        </w:tc>
        <w:tc>
          <w:tcPr>
            <w:tcW w:w="1419" w:type="dxa"/>
            <w:tcBorders>
              <w:top w:val="nil"/>
              <w:left w:val="nil"/>
              <w:bottom w:val="single" w:sz="8" w:space="0" w:color="666666"/>
              <w:right w:val="single" w:sz="8" w:space="0" w:color="666666"/>
            </w:tcBorders>
            <w:noWrap/>
            <w:vAlign w:val="center"/>
            <w:hideMark/>
          </w:tcPr>
          <w:p w14:paraId="000EC3D1"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3.73</w:t>
            </w:r>
          </w:p>
        </w:tc>
      </w:tr>
      <w:tr w:rsidR="001867EE" w:rsidRPr="00441B4E" w14:paraId="6124B8BD" w14:textId="77777777" w:rsidTr="00453BCB">
        <w:trPr>
          <w:trHeight w:val="330"/>
        </w:trPr>
        <w:tc>
          <w:tcPr>
            <w:tcW w:w="1754" w:type="dxa"/>
            <w:tcBorders>
              <w:top w:val="nil"/>
              <w:left w:val="single" w:sz="8" w:space="0" w:color="666666"/>
              <w:bottom w:val="single" w:sz="8" w:space="0" w:color="666666"/>
              <w:right w:val="single" w:sz="8" w:space="0" w:color="666666"/>
            </w:tcBorders>
            <w:noWrap/>
            <w:vAlign w:val="center"/>
            <w:hideMark/>
          </w:tcPr>
          <w:p w14:paraId="6EB44C20"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Total</w:t>
            </w:r>
          </w:p>
        </w:tc>
        <w:tc>
          <w:tcPr>
            <w:tcW w:w="1193" w:type="dxa"/>
            <w:tcBorders>
              <w:top w:val="nil"/>
              <w:left w:val="nil"/>
              <w:bottom w:val="single" w:sz="8" w:space="0" w:color="666666"/>
              <w:right w:val="single" w:sz="8" w:space="0" w:color="666666"/>
            </w:tcBorders>
            <w:noWrap/>
            <w:vAlign w:val="center"/>
            <w:hideMark/>
          </w:tcPr>
          <w:p w14:paraId="15D96CA0"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szCs w:val="24"/>
              </w:rPr>
              <w:t>30</w:t>
            </w:r>
          </w:p>
        </w:tc>
        <w:tc>
          <w:tcPr>
            <w:tcW w:w="1754" w:type="dxa"/>
            <w:tcBorders>
              <w:top w:val="nil"/>
              <w:left w:val="nil"/>
              <w:bottom w:val="single" w:sz="8" w:space="0" w:color="666666"/>
              <w:right w:val="single" w:sz="8" w:space="0" w:color="666666"/>
            </w:tcBorders>
            <w:noWrap/>
            <w:vAlign w:val="center"/>
            <w:hideMark/>
          </w:tcPr>
          <w:p w14:paraId="5128F97C"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szCs w:val="24"/>
              </w:rPr>
              <w:t>40</w:t>
            </w:r>
          </w:p>
        </w:tc>
        <w:tc>
          <w:tcPr>
            <w:tcW w:w="1623" w:type="dxa"/>
            <w:tcBorders>
              <w:top w:val="nil"/>
              <w:left w:val="nil"/>
              <w:bottom w:val="single" w:sz="8" w:space="0" w:color="666666"/>
              <w:right w:val="single" w:sz="8" w:space="0" w:color="666666"/>
            </w:tcBorders>
            <w:noWrap/>
            <w:vAlign w:val="center"/>
            <w:hideMark/>
          </w:tcPr>
          <w:p w14:paraId="2BF7EF34"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szCs w:val="24"/>
              </w:rPr>
              <w:t>-10</w:t>
            </w:r>
          </w:p>
        </w:tc>
        <w:tc>
          <w:tcPr>
            <w:tcW w:w="2464" w:type="dxa"/>
            <w:tcBorders>
              <w:top w:val="nil"/>
              <w:left w:val="nil"/>
              <w:bottom w:val="single" w:sz="8" w:space="0" w:color="666666"/>
              <w:right w:val="single" w:sz="8" w:space="0" w:color="666666"/>
            </w:tcBorders>
            <w:noWrap/>
            <w:vAlign w:val="center"/>
            <w:hideMark/>
          </w:tcPr>
          <w:p w14:paraId="61A0599B"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szCs w:val="24"/>
              </w:rPr>
              <w:t> </w:t>
            </w:r>
          </w:p>
        </w:tc>
        <w:tc>
          <w:tcPr>
            <w:tcW w:w="1419" w:type="dxa"/>
            <w:tcBorders>
              <w:top w:val="nil"/>
              <w:left w:val="nil"/>
              <w:bottom w:val="single" w:sz="8" w:space="0" w:color="666666"/>
              <w:right w:val="single" w:sz="8" w:space="0" w:color="666666"/>
            </w:tcBorders>
            <w:noWrap/>
            <w:hideMark/>
          </w:tcPr>
          <w:p w14:paraId="5F9A8698"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 </w:t>
            </w:r>
          </w:p>
        </w:tc>
        <w:tc>
          <w:tcPr>
            <w:tcW w:w="1419" w:type="dxa"/>
            <w:tcBorders>
              <w:top w:val="nil"/>
              <w:left w:val="nil"/>
              <w:bottom w:val="single" w:sz="8" w:space="0" w:color="666666"/>
              <w:right w:val="single" w:sz="8" w:space="0" w:color="666666"/>
            </w:tcBorders>
            <w:noWrap/>
            <w:vAlign w:val="center"/>
            <w:hideMark/>
          </w:tcPr>
          <w:p w14:paraId="462A55A7"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szCs w:val="24"/>
              </w:rPr>
              <w:t>-7.26</w:t>
            </w:r>
          </w:p>
        </w:tc>
      </w:tr>
      <w:tr w:rsidR="001867EE" w:rsidRPr="00441B4E" w14:paraId="6B2B20D5" w14:textId="77777777" w:rsidTr="00453BCB">
        <w:trPr>
          <w:trHeight w:val="330"/>
        </w:trPr>
        <w:tc>
          <w:tcPr>
            <w:tcW w:w="1754" w:type="dxa"/>
            <w:tcBorders>
              <w:top w:val="nil"/>
              <w:left w:val="nil"/>
              <w:bottom w:val="nil"/>
              <w:right w:val="nil"/>
            </w:tcBorders>
            <w:noWrap/>
            <w:vAlign w:val="bottom"/>
            <w:hideMark/>
          </w:tcPr>
          <w:p w14:paraId="58D01907"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 </w:t>
            </w:r>
          </w:p>
        </w:tc>
        <w:tc>
          <w:tcPr>
            <w:tcW w:w="1193" w:type="dxa"/>
            <w:tcBorders>
              <w:top w:val="nil"/>
              <w:left w:val="nil"/>
              <w:bottom w:val="nil"/>
              <w:right w:val="nil"/>
            </w:tcBorders>
            <w:noWrap/>
            <w:vAlign w:val="bottom"/>
            <w:hideMark/>
          </w:tcPr>
          <w:p w14:paraId="425D10BD"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 </w:t>
            </w:r>
          </w:p>
        </w:tc>
        <w:tc>
          <w:tcPr>
            <w:tcW w:w="1754" w:type="dxa"/>
            <w:tcBorders>
              <w:top w:val="nil"/>
              <w:left w:val="nil"/>
              <w:bottom w:val="nil"/>
              <w:right w:val="nil"/>
            </w:tcBorders>
            <w:noWrap/>
            <w:vAlign w:val="bottom"/>
            <w:hideMark/>
          </w:tcPr>
          <w:p w14:paraId="0757EB6B"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 </w:t>
            </w:r>
          </w:p>
        </w:tc>
        <w:tc>
          <w:tcPr>
            <w:tcW w:w="1623" w:type="dxa"/>
            <w:tcBorders>
              <w:top w:val="nil"/>
              <w:left w:val="nil"/>
              <w:bottom w:val="nil"/>
              <w:right w:val="nil"/>
            </w:tcBorders>
            <w:noWrap/>
            <w:vAlign w:val="bottom"/>
            <w:hideMark/>
          </w:tcPr>
          <w:p w14:paraId="52EF29A8"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 </w:t>
            </w:r>
          </w:p>
        </w:tc>
        <w:tc>
          <w:tcPr>
            <w:tcW w:w="2464" w:type="dxa"/>
            <w:tcBorders>
              <w:top w:val="nil"/>
              <w:left w:val="nil"/>
              <w:bottom w:val="nil"/>
              <w:right w:val="nil"/>
            </w:tcBorders>
            <w:noWrap/>
            <w:vAlign w:val="bottom"/>
            <w:hideMark/>
          </w:tcPr>
          <w:p w14:paraId="3C1DFE4E"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 </w:t>
            </w:r>
          </w:p>
        </w:tc>
        <w:tc>
          <w:tcPr>
            <w:tcW w:w="1419" w:type="dxa"/>
            <w:tcBorders>
              <w:top w:val="nil"/>
              <w:left w:val="nil"/>
              <w:bottom w:val="nil"/>
              <w:right w:val="nil"/>
            </w:tcBorders>
            <w:noWrap/>
            <w:vAlign w:val="bottom"/>
            <w:hideMark/>
          </w:tcPr>
          <w:p w14:paraId="65B1BBDE"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 </w:t>
            </w:r>
          </w:p>
        </w:tc>
        <w:tc>
          <w:tcPr>
            <w:tcW w:w="1419" w:type="dxa"/>
            <w:tcBorders>
              <w:top w:val="nil"/>
              <w:left w:val="nil"/>
              <w:bottom w:val="nil"/>
              <w:right w:val="nil"/>
            </w:tcBorders>
            <w:noWrap/>
            <w:vAlign w:val="bottom"/>
            <w:hideMark/>
          </w:tcPr>
          <w:p w14:paraId="6E812310"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 </w:t>
            </w:r>
          </w:p>
        </w:tc>
      </w:tr>
      <w:tr w:rsidR="001867EE" w:rsidRPr="00441B4E" w14:paraId="39D321AB" w14:textId="77777777" w:rsidTr="00453BCB">
        <w:trPr>
          <w:gridAfter w:val="1"/>
          <w:wAfter w:w="1419" w:type="dxa"/>
          <w:trHeight w:val="330"/>
        </w:trPr>
        <w:tc>
          <w:tcPr>
            <w:tcW w:w="1754" w:type="dxa"/>
            <w:tcBorders>
              <w:top w:val="single" w:sz="8" w:space="0" w:color="666666"/>
              <w:left w:val="nil"/>
              <w:bottom w:val="single" w:sz="12" w:space="0" w:color="666666"/>
              <w:right w:val="nil"/>
            </w:tcBorders>
            <w:noWrap/>
            <w:vAlign w:val="center"/>
            <w:hideMark/>
          </w:tcPr>
          <w:p w14:paraId="70978DAD"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themeColor="text1"/>
                <w:szCs w:val="24"/>
              </w:rPr>
              <w:t>Depreciation (£m)</w:t>
            </w:r>
          </w:p>
        </w:tc>
        <w:tc>
          <w:tcPr>
            <w:tcW w:w="1193" w:type="dxa"/>
            <w:tcBorders>
              <w:top w:val="single" w:sz="8" w:space="0" w:color="auto"/>
              <w:left w:val="single" w:sz="8" w:space="0" w:color="auto"/>
              <w:bottom w:val="nil"/>
              <w:right w:val="single" w:sz="8" w:space="0" w:color="auto"/>
            </w:tcBorders>
            <w:noWrap/>
            <w:vAlign w:val="bottom"/>
            <w:hideMark/>
          </w:tcPr>
          <w:p w14:paraId="01232142"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6</w:t>
            </w:r>
          </w:p>
        </w:tc>
        <w:tc>
          <w:tcPr>
            <w:tcW w:w="1754" w:type="dxa"/>
            <w:tcBorders>
              <w:top w:val="nil"/>
              <w:left w:val="nil"/>
              <w:bottom w:val="nil"/>
              <w:right w:val="nil"/>
            </w:tcBorders>
            <w:noWrap/>
            <w:vAlign w:val="bottom"/>
            <w:hideMark/>
          </w:tcPr>
          <w:p w14:paraId="3BBF9ABF"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 </w:t>
            </w:r>
          </w:p>
        </w:tc>
        <w:tc>
          <w:tcPr>
            <w:tcW w:w="1623" w:type="dxa"/>
            <w:tcBorders>
              <w:top w:val="nil"/>
              <w:left w:val="nil"/>
              <w:bottom w:val="nil"/>
              <w:right w:val="nil"/>
            </w:tcBorders>
            <w:noWrap/>
            <w:vAlign w:val="bottom"/>
            <w:hideMark/>
          </w:tcPr>
          <w:p w14:paraId="40A06CF3"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 </w:t>
            </w:r>
          </w:p>
        </w:tc>
        <w:tc>
          <w:tcPr>
            <w:tcW w:w="2464" w:type="dxa"/>
            <w:tcBorders>
              <w:top w:val="single" w:sz="8" w:space="0" w:color="666666"/>
              <w:left w:val="nil"/>
              <w:bottom w:val="single" w:sz="12" w:space="0" w:color="666666"/>
              <w:right w:val="single" w:sz="8" w:space="0" w:color="000000"/>
            </w:tcBorders>
            <w:noWrap/>
            <w:vAlign w:val="center"/>
            <w:hideMark/>
          </w:tcPr>
          <w:p w14:paraId="65808A3B"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szCs w:val="24"/>
              </w:rPr>
              <w:t>Accounting Rate of Return (ARR):</w:t>
            </w:r>
            <w:r w:rsidRPr="00441B4E">
              <w:rPr>
                <w:rFonts w:ascii="Arial" w:eastAsia="Times New Roman" w:hAnsi="Arial" w:cs="Arial"/>
                <w:color w:val="0F1115"/>
                <w:szCs w:val="24"/>
              </w:rPr>
              <w:t> </w:t>
            </w:r>
          </w:p>
        </w:tc>
        <w:tc>
          <w:tcPr>
            <w:tcW w:w="1419" w:type="dxa"/>
            <w:tcBorders>
              <w:top w:val="single" w:sz="8" w:space="0" w:color="auto"/>
              <w:left w:val="nil"/>
              <w:bottom w:val="single" w:sz="8" w:space="0" w:color="auto"/>
              <w:right w:val="single" w:sz="8" w:space="0" w:color="auto"/>
            </w:tcBorders>
            <w:noWrap/>
            <w:vAlign w:val="bottom"/>
            <w:hideMark/>
          </w:tcPr>
          <w:p w14:paraId="0F43DF1D"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-6.67%</w:t>
            </w:r>
          </w:p>
        </w:tc>
      </w:tr>
      <w:tr w:rsidR="001867EE" w:rsidRPr="00441B4E" w14:paraId="45E3363E" w14:textId="77777777" w:rsidTr="00453BCB">
        <w:trPr>
          <w:gridAfter w:val="1"/>
          <w:wAfter w:w="1419" w:type="dxa"/>
          <w:trHeight w:val="345"/>
        </w:trPr>
        <w:tc>
          <w:tcPr>
            <w:tcW w:w="1754" w:type="dxa"/>
            <w:tcBorders>
              <w:top w:val="single" w:sz="8" w:space="0" w:color="666666"/>
              <w:left w:val="nil"/>
              <w:bottom w:val="single" w:sz="12" w:space="0" w:color="666666"/>
              <w:right w:val="nil"/>
            </w:tcBorders>
            <w:noWrap/>
            <w:vAlign w:val="center"/>
            <w:hideMark/>
          </w:tcPr>
          <w:p w14:paraId="73BF778F"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szCs w:val="24"/>
              </w:rPr>
              <w:t>PB</w:t>
            </w:r>
          </w:p>
        </w:tc>
        <w:tc>
          <w:tcPr>
            <w:tcW w:w="1193" w:type="dxa"/>
            <w:tcBorders>
              <w:top w:val="single" w:sz="8" w:space="0" w:color="auto"/>
              <w:left w:val="single" w:sz="8" w:space="0" w:color="auto"/>
              <w:bottom w:val="single" w:sz="8" w:space="0" w:color="auto"/>
              <w:right w:val="single" w:sz="8" w:space="0" w:color="auto"/>
            </w:tcBorders>
            <w:noWrap/>
            <w:vAlign w:val="bottom"/>
            <w:hideMark/>
          </w:tcPr>
          <w:p w14:paraId="135A8C02"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5.00</w:t>
            </w:r>
          </w:p>
        </w:tc>
        <w:tc>
          <w:tcPr>
            <w:tcW w:w="1754" w:type="dxa"/>
            <w:tcBorders>
              <w:top w:val="nil"/>
              <w:left w:val="nil"/>
              <w:bottom w:val="nil"/>
              <w:right w:val="nil"/>
            </w:tcBorders>
            <w:noWrap/>
            <w:vAlign w:val="bottom"/>
            <w:hideMark/>
          </w:tcPr>
          <w:p w14:paraId="13B9E14D"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 </w:t>
            </w:r>
          </w:p>
        </w:tc>
        <w:tc>
          <w:tcPr>
            <w:tcW w:w="1623" w:type="dxa"/>
            <w:tcBorders>
              <w:top w:val="nil"/>
              <w:left w:val="nil"/>
              <w:bottom w:val="nil"/>
              <w:right w:val="nil"/>
            </w:tcBorders>
            <w:noWrap/>
            <w:vAlign w:val="bottom"/>
            <w:hideMark/>
          </w:tcPr>
          <w:p w14:paraId="5D04FFC4"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 </w:t>
            </w:r>
          </w:p>
        </w:tc>
        <w:tc>
          <w:tcPr>
            <w:tcW w:w="2464" w:type="dxa"/>
            <w:tcBorders>
              <w:top w:val="single" w:sz="8" w:space="0" w:color="666666"/>
              <w:left w:val="nil"/>
              <w:bottom w:val="single" w:sz="12" w:space="0" w:color="666666"/>
              <w:right w:val="single" w:sz="8" w:space="0" w:color="000000"/>
            </w:tcBorders>
            <w:noWrap/>
            <w:vAlign w:val="center"/>
            <w:hideMark/>
          </w:tcPr>
          <w:p w14:paraId="23D4F645"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szCs w:val="24"/>
              </w:rPr>
              <w:t>Net Present Value (NPV):</w:t>
            </w:r>
            <w:r w:rsidRPr="00441B4E">
              <w:rPr>
                <w:rFonts w:ascii="Arial" w:eastAsia="Times New Roman" w:hAnsi="Arial" w:cs="Arial"/>
                <w:color w:val="0F1115"/>
                <w:szCs w:val="24"/>
              </w:rPr>
              <w:t> </w:t>
            </w:r>
          </w:p>
        </w:tc>
        <w:tc>
          <w:tcPr>
            <w:tcW w:w="1419" w:type="dxa"/>
            <w:tcBorders>
              <w:top w:val="nil"/>
              <w:left w:val="nil"/>
              <w:bottom w:val="single" w:sz="8" w:space="0" w:color="auto"/>
              <w:right w:val="single" w:sz="8" w:space="0" w:color="auto"/>
            </w:tcBorders>
            <w:noWrap/>
            <w:vAlign w:val="bottom"/>
            <w:hideMark/>
          </w:tcPr>
          <w:p w14:paraId="3BF87668"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-7.26</w:t>
            </w:r>
          </w:p>
        </w:tc>
      </w:tr>
      <w:tr w:rsidR="001867EE" w:rsidRPr="00441B4E" w14:paraId="05F49C30" w14:textId="77777777" w:rsidTr="00453BCB">
        <w:trPr>
          <w:gridAfter w:val="1"/>
          <w:wAfter w:w="1419" w:type="dxa"/>
          <w:trHeight w:val="345"/>
        </w:trPr>
        <w:tc>
          <w:tcPr>
            <w:tcW w:w="1754" w:type="dxa"/>
            <w:tcBorders>
              <w:top w:val="single" w:sz="8" w:space="0" w:color="666666"/>
              <w:left w:val="nil"/>
              <w:bottom w:val="single" w:sz="12" w:space="0" w:color="666666"/>
              <w:right w:val="nil"/>
            </w:tcBorders>
            <w:noWrap/>
            <w:vAlign w:val="center"/>
            <w:hideMark/>
          </w:tcPr>
          <w:p w14:paraId="38A4C6C9"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szCs w:val="24"/>
              </w:rPr>
              <w:t>PI</w:t>
            </w:r>
          </w:p>
        </w:tc>
        <w:tc>
          <w:tcPr>
            <w:tcW w:w="1193" w:type="dxa"/>
            <w:tcBorders>
              <w:top w:val="nil"/>
              <w:left w:val="single" w:sz="8" w:space="0" w:color="auto"/>
              <w:bottom w:val="single" w:sz="8" w:space="0" w:color="auto"/>
              <w:right w:val="single" w:sz="8" w:space="0" w:color="auto"/>
            </w:tcBorders>
            <w:noWrap/>
            <w:vAlign w:val="bottom"/>
            <w:hideMark/>
          </w:tcPr>
          <w:p w14:paraId="246AD3D4"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0.76</w:t>
            </w:r>
          </w:p>
        </w:tc>
        <w:tc>
          <w:tcPr>
            <w:tcW w:w="1754" w:type="dxa"/>
            <w:tcBorders>
              <w:top w:val="nil"/>
              <w:left w:val="nil"/>
              <w:bottom w:val="nil"/>
              <w:right w:val="nil"/>
            </w:tcBorders>
            <w:noWrap/>
            <w:vAlign w:val="bottom"/>
            <w:hideMark/>
          </w:tcPr>
          <w:p w14:paraId="314D3872"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 </w:t>
            </w:r>
          </w:p>
        </w:tc>
        <w:tc>
          <w:tcPr>
            <w:tcW w:w="1623" w:type="dxa"/>
            <w:tcBorders>
              <w:top w:val="nil"/>
              <w:left w:val="nil"/>
              <w:bottom w:val="nil"/>
              <w:right w:val="nil"/>
            </w:tcBorders>
            <w:noWrap/>
            <w:vAlign w:val="bottom"/>
            <w:hideMark/>
          </w:tcPr>
          <w:p w14:paraId="7A7B2B60"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 </w:t>
            </w:r>
          </w:p>
        </w:tc>
        <w:tc>
          <w:tcPr>
            <w:tcW w:w="2464" w:type="dxa"/>
            <w:tcBorders>
              <w:top w:val="single" w:sz="8" w:space="0" w:color="666666"/>
              <w:left w:val="nil"/>
              <w:bottom w:val="single" w:sz="12" w:space="0" w:color="666666"/>
              <w:right w:val="single" w:sz="8" w:space="0" w:color="000000"/>
            </w:tcBorders>
            <w:noWrap/>
            <w:vAlign w:val="center"/>
            <w:hideMark/>
          </w:tcPr>
          <w:p w14:paraId="623C0A65"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szCs w:val="24"/>
              </w:rPr>
              <w:t>IRR</w:t>
            </w:r>
          </w:p>
        </w:tc>
        <w:tc>
          <w:tcPr>
            <w:tcW w:w="1419" w:type="dxa"/>
            <w:tcBorders>
              <w:top w:val="nil"/>
              <w:left w:val="nil"/>
              <w:bottom w:val="single" w:sz="8" w:space="0" w:color="auto"/>
              <w:right w:val="single" w:sz="8" w:space="0" w:color="auto"/>
            </w:tcBorders>
            <w:noWrap/>
            <w:vAlign w:val="bottom"/>
            <w:hideMark/>
          </w:tcPr>
          <w:p w14:paraId="34679CBC"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0.00%</w:t>
            </w:r>
          </w:p>
        </w:tc>
      </w:tr>
      <w:tr w:rsidR="001867EE" w:rsidRPr="00441B4E" w14:paraId="5A5ABB90" w14:textId="77777777" w:rsidTr="00453BCB">
        <w:trPr>
          <w:trHeight w:val="345"/>
        </w:trPr>
        <w:tc>
          <w:tcPr>
            <w:tcW w:w="1754" w:type="dxa"/>
            <w:tcBorders>
              <w:top w:val="nil"/>
              <w:left w:val="nil"/>
              <w:bottom w:val="nil"/>
              <w:right w:val="nil"/>
            </w:tcBorders>
            <w:noWrap/>
            <w:vAlign w:val="bottom"/>
            <w:hideMark/>
          </w:tcPr>
          <w:p w14:paraId="14188048"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lastRenderedPageBreak/>
              <w:t> </w:t>
            </w:r>
          </w:p>
        </w:tc>
        <w:tc>
          <w:tcPr>
            <w:tcW w:w="1193" w:type="dxa"/>
            <w:tcBorders>
              <w:top w:val="nil"/>
              <w:left w:val="nil"/>
              <w:bottom w:val="nil"/>
              <w:right w:val="nil"/>
            </w:tcBorders>
            <w:noWrap/>
            <w:vAlign w:val="bottom"/>
            <w:hideMark/>
          </w:tcPr>
          <w:p w14:paraId="0AFE0F65"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 </w:t>
            </w:r>
          </w:p>
        </w:tc>
        <w:tc>
          <w:tcPr>
            <w:tcW w:w="1754" w:type="dxa"/>
            <w:tcBorders>
              <w:top w:val="nil"/>
              <w:left w:val="nil"/>
              <w:bottom w:val="nil"/>
              <w:right w:val="nil"/>
            </w:tcBorders>
            <w:noWrap/>
            <w:vAlign w:val="bottom"/>
            <w:hideMark/>
          </w:tcPr>
          <w:p w14:paraId="4FA142DF"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 </w:t>
            </w:r>
          </w:p>
        </w:tc>
        <w:tc>
          <w:tcPr>
            <w:tcW w:w="1623" w:type="dxa"/>
            <w:tcBorders>
              <w:top w:val="nil"/>
              <w:left w:val="nil"/>
              <w:bottom w:val="nil"/>
              <w:right w:val="nil"/>
            </w:tcBorders>
            <w:noWrap/>
            <w:vAlign w:val="bottom"/>
            <w:hideMark/>
          </w:tcPr>
          <w:p w14:paraId="788F5327"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 </w:t>
            </w:r>
          </w:p>
        </w:tc>
        <w:tc>
          <w:tcPr>
            <w:tcW w:w="2464" w:type="dxa"/>
            <w:tcBorders>
              <w:top w:val="nil"/>
              <w:left w:val="nil"/>
              <w:bottom w:val="nil"/>
              <w:right w:val="nil"/>
            </w:tcBorders>
            <w:noWrap/>
            <w:vAlign w:val="bottom"/>
            <w:hideMark/>
          </w:tcPr>
          <w:p w14:paraId="2D75FFD2"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 </w:t>
            </w:r>
          </w:p>
        </w:tc>
        <w:tc>
          <w:tcPr>
            <w:tcW w:w="1419" w:type="dxa"/>
            <w:tcBorders>
              <w:top w:val="nil"/>
              <w:left w:val="nil"/>
              <w:bottom w:val="nil"/>
              <w:right w:val="nil"/>
            </w:tcBorders>
            <w:noWrap/>
            <w:vAlign w:val="bottom"/>
            <w:hideMark/>
          </w:tcPr>
          <w:p w14:paraId="22E3F07C"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 </w:t>
            </w:r>
          </w:p>
        </w:tc>
        <w:tc>
          <w:tcPr>
            <w:tcW w:w="1419" w:type="dxa"/>
            <w:tcBorders>
              <w:top w:val="nil"/>
              <w:left w:val="nil"/>
              <w:bottom w:val="nil"/>
              <w:right w:val="nil"/>
            </w:tcBorders>
            <w:noWrap/>
            <w:vAlign w:val="bottom"/>
            <w:hideMark/>
          </w:tcPr>
          <w:p w14:paraId="1D8D8CAE"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 </w:t>
            </w:r>
          </w:p>
        </w:tc>
      </w:tr>
      <w:tr w:rsidR="001867EE" w:rsidRPr="00441B4E" w14:paraId="31F999FE" w14:textId="77777777" w:rsidTr="00453BCB">
        <w:trPr>
          <w:trHeight w:val="330"/>
        </w:trPr>
        <w:tc>
          <w:tcPr>
            <w:tcW w:w="1754" w:type="dxa"/>
            <w:tcBorders>
              <w:top w:val="single" w:sz="8" w:space="0" w:color="666666"/>
              <w:left w:val="single" w:sz="8" w:space="0" w:color="666666"/>
              <w:bottom w:val="single" w:sz="12" w:space="0" w:color="666666"/>
              <w:right w:val="single" w:sz="8" w:space="0" w:color="666666"/>
            </w:tcBorders>
            <w:noWrap/>
            <w:vAlign w:val="center"/>
            <w:hideMark/>
          </w:tcPr>
          <w:p w14:paraId="65DA60AC"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themeColor="text1"/>
                <w:szCs w:val="24"/>
              </w:rPr>
              <w:t>Year</w:t>
            </w:r>
          </w:p>
        </w:tc>
        <w:tc>
          <w:tcPr>
            <w:tcW w:w="1193" w:type="dxa"/>
            <w:tcBorders>
              <w:top w:val="single" w:sz="8" w:space="0" w:color="666666"/>
              <w:left w:val="nil"/>
              <w:bottom w:val="single" w:sz="12" w:space="0" w:color="666666"/>
              <w:right w:val="single" w:sz="8" w:space="0" w:color="666666"/>
            </w:tcBorders>
            <w:noWrap/>
            <w:vAlign w:val="center"/>
            <w:hideMark/>
          </w:tcPr>
          <w:p w14:paraId="05BB8CC4"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themeColor="text1"/>
                <w:szCs w:val="24"/>
              </w:rPr>
              <w:t>Cash Flow (£m)</w:t>
            </w:r>
          </w:p>
        </w:tc>
        <w:tc>
          <w:tcPr>
            <w:tcW w:w="1754" w:type="dxa"/>
            <w:tcBorders>
              <w:top w:val="single" w:sz="8" w:space="0" w:color="666666"/>
              <w:left w:val="nil"/>
              <w:bottom w:val="single" w:sz="12" w:space="0" w:color="666666"/>
              <w:right w:val="single" w:sz="8" w:space="0" w:color="666666"/>
            </w:tcBorders>
            <w:noWrap/>
            <w:vAlign w:val="center"/>
            <w:hideMark/>
          </w:tcPr>
          <w:p w14:paraId="0713EC5C"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themeColor="text1"/>
                <w:szCs w:val="24"/>
              </w:rPr>
              <w:t>Depreciation (£m)</w:t>
            </w:r>
          </w:p>
        </w:tc>
        <w:tc>
          <w:tcPr>
            <w:tcW w:w="1623" w:type="dxa"/>
            <w:tcBorders>
              <w:top w:val="single" w:sz="8" w:space="0" w:color="666666"/>
              <w:left w:val="nil"/>
              <w:bottom w:val="single" w:sz="12" w:space="0" w:color="666666"/>
              <w:right w:val="single" w:sz="8" w:space="0" w:color="666666"/>
            </w:tcBorders>
            <w:noWrap/>
            <w:vAlign w:val="center"/>
            <w:hideMark/>
          </w:tcPr>
          <w:p w14:paraId="225F3EE5"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themeColor="text1"/>
                <w:szCs w:val="24"/>
              </w:rPr>
              <w:t>Accounting Profit (£m)</w:t>
            </w:r>
          </w:p>
        </w:tc>
        <w:tc>
          <w:tcPr>
            <w:tcW w:w="2464" w:type="dxa"/>
            <w:tcBorders>
              <w:top w:val="single" w:sz="8" w:space="0" w:color="666666"/>
              <w:left w:val="nil"/>
              <w:bottom w:val="single" w:sz="12" w:space="0" w:color="666666"/>
              <w:right w:val="single" w:sz="8" w:space="0" w:color="666666"/>
            </w:tcBorders>
            <w:noWrap/>
            <w:vAlign w:val="center"/>
            <w:hideMark/>
          </w:tcPr>
          <w:p w14:paraId="3AFC96E2"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themeColor="text1"/>
                <w:szCs w:val="24"/>
              </w:rPr>
              <w:t>Cumulative Cash Flow (£m)</w:t>
            </w:r>
          </w:p>
        </w:tc>
        <w:tc>
          <w:tcPr>
            <w:tcW w:w="1419" w:type="dxa"/>
            <w:tcBorders>
              <w:top w:val="single" w:sz="8" w:space="0" w:color="666666"/>
              <w:left w:val="nil"/>
              <w:bottom w:val="single" w:sz="12" w:space="0" w:color="666666"/>
              <w:right w:val="single" w:sz="8" w:space="0" w:color="666666"/>
            </w:tcBorders>
            <w:noWrap/>
            <w:vAlign w:val="center"/>
            <w:hideMark/>
          </w:tcPr>
          <w:p w14:paraId="07351EB7"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themeColor="text1"/>
                <w:szCs w:val="24"/>
              </w:rPr>
              <w:t>PV Factor @10%</w:t>
            </w:r>
          </w:p>
        </w:tc>
        <w:tc>
          <w:tcPr>
            <w:tcW w:w="1419" w:type="dxa"/>
            <w:tcBorders>
              <w:top w:val="single" w:sz="8" w:space="0" w:color="666666"/>
              <w:left w:val="nil"/>
              <w:bottom w:val="single" w:sz="12" w:space="0" w:color="666666"/>
              <w:right w:val="single" w:sz="8" w:space="0" w:color="666666"/>
            </w:tcBorders>
            <w:noWrap/>
            <w:vAlign w:val="center"/>
            <w:hideMark/>
          </w:tcPr>
          <w:p w14:paraId="1BE81851"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themeColor="text1"/>
                <w:szCs w:val="24"/>
              </w:rPr>
              <w:t>Present Value (£m)</w:t>
            </w:r>
          </w:p>
        </w:tc>
      </w:tr>
      <w:tr w:rsidR="001867EE" w:rsidRPr="00441B4E" w14:paraId="299465C8" w14:textId="77777777" w:rsidTr="00453BCB">
        <w:trPr>
          <w:trHeight w:val="345"/>
        </w:trPr>
        <w:tc>
          <w:tcPr>
            <w:tcW w:w="1754" w:type="dxa"/>
            <w:tcBorders>
              <w:top w:val="nil"/>
              <w:left w:val="single" w:sz="8" w:space="0" w:color="666666"/>
              <w:bottom w:val="single" w:sz="8" w:space="0" w:color="666666"/>
              <w:right w:val="single" w:sz="8" w:space="0" w:color="666666"/>
            </w:tcBorders>
            <w:noWrap/>
            <w:vAlign w:val="center"/>
            <w:hideMark/>
          </w:tcPr>
          <w:p w14:paraId="4F957273"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themeColor="text1"/>
                <w:szCs w:val="24"/>
              </w:rPr>
              <w:t>0</w:t>
            </w:r>
          </w:p>
        </w:tc>
        <w:tc>
          <w:tcPr>
            <w:tcW w:w="1193" w:type="dxa"/>
            <w:tcBorders>
              <w:top w:val="nil"/>
              <w:left w:val="nil"/>
              <w:bottom w:val="single" w:sz="8" w:space="0" w:color="666666"/>
              <w:right w:val="single" w:sz="8" w:space="0" w:color="666666"/>
            </w:tcBorders>
            <w:noWrap/>
            <w:vAlign w:val="center"/>
            <w:hideMark/>
          </w:tcPr>
          <w:p w14:paraId="33548310"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-50</w:t>
            </w:r>
          </w:p>
        </w:tc>
        <w:tc>
          <w:tcPr>
            <w:tcW w:w="1754" w:type="dxa"/>
            <w:tcBorders>
              <w:top w:val="nil"/>
              <w:left w:val="nil"/>
              <w:bottom w:val="single" w:sz="8" w:space="0" w:color="666666"/>
              <w:right w:val="single" w:sz="8" w:space="0" w:color="666666"/>
            </w:tcBorders>
            <w:noWrap/>
            <w:vAlign w:val="center"/>
            <w:hideMark/>
          </w:tcPr>
          <w:p w14:paraId="4C34DC1F"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w:t>
            </w:r>
          </w:p>
        </w:tc>
        <w:tc>
          <w:tcPr>
            <w:tcW w:w="1623" w:type="dxa"/>
            <w:tcBorders>
              <w:top w:val="nil"/>
              <w:left w:val="nil"/>
              <w:bottom w:val="single" w:sz="8" w:space="0" w:color="666666"/>
              <w:right w:val="single" w:sz="8" w:space="0" w:color="666666"/>
            </w:tcBorders>
            <w:noWrap/>
            <w:vAlign w:val="center"/>
            <w:hideMark/>
          </w:tcPr>
          <w:p w14:paraId="22ED6CE7"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w:t>
            </w:r>
          </w:p>
        </w:tc>
        <w:tc>
          <w:tcPr>
            <w:tcW w:w="2464" w:type="dxa"/>
            <w:tcBorders>
              <w:top w:val="nil"/>
              <w:left w:val="nil"/>
              <w:bottom w:val="single" w:sz="8" w:space="0" w:color="666666"/>
              <w:right w:val="single" w:sz="8" w:space="0" w:color="666666"/>
            </w:tcBorders>
            <w:noWrap/>
            <w:vAlign w:val="center"/>
            <w:hideMark/>
          </w:tcPr>
          <w:p w14:paraId="09779304"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-50</w:t>
            </w:r>
          </w:p>
        </w:tc>
        <w:tc>
          <w:tcPr>
            <w:tcW w:w="1419" w:type="dxa"/>
            <w:tcBorders>
              <w:top w:val="nil"/>
              <w:left w:val="nil"/>
              <w:bottom w:val="single" w:sz="8" w:space="0" w:color="666666"/>
              <w:right w:val="single" w:sz="8" w:space="0" w:color="666666"/>
            </w:tcBorders>
            <w:noWrap/>
            <w:vAlign w:val="center"/>
            <w:hideMark/>
          </w:tcPr>
          <w:p w14:paraId="4B4FC3AA"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1</w:t>
            </w:r>
          </w:p>
        </w:tc>
        <w:tc>
          <w:tcPr>
            <w:tcW w:w="1419" w:type="dxa"/>
            <w:tcBorders>
              <w:top w:val="nil"/>
              <w:left w:val="nil"/>
              <w:bottom w:val="single" w:sz="8" w:space="0" w:color="666666"/>
              <w:right w:val="single" w:sz="8" w:space="0" w:color="666666"/>
            </w:tcBorders>
            <w:noWrap/>
            <w:vAlign w:val="center"/>
            <w:hideMark/>
          </w:tcPr>
          <w:p w14:paraId="4E1227F9"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-50</w:t>
            </w:r>
          </w:p>
        </w:tc>
      </w:tr>
      <w:tr w:rsidR="001867EE" w:rsidRPr="00441B4E" w14:paraId="078E04BF" w14:textId="77777777" w:rsidTr="00453BCB">
        <w:trPr>
          <w:trHeight w:val="330"/>
        </w:trPr>
        <w:tc>
          <w:tcPr>
            <w:tcW w:w="1754" w:type="dxa"/>
            <w:tcBorders>
              <w:top w:val="nil"/>
              <w:left w:val="single" w:sz="8" w:space="0" w:color="666666"/>
              <w:bottom w:val="single" w:sz="8" w:space="0" w:color="666666"/>
              <w:right w:val="single" w:sz="8" w:space="0" w:color="666666"/>
            </w:tcBorders>
            <w:noWrap/>
            <w:vAlign w:val="center"/>
            <w:hideMark/>
          </w:tcPr>
          <w:p w14:paraId="3D1179D4"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themeColor="text1"/>
                <w:szCs w:val="24"/>
              </w:rPr>
              <w:t>1</w:t>
            </w:r>
          </w:p>
        </w:tc>
        <w:tc>
          <w:tcPr>
            <w:tcW w:w="1193" w:type="dxa"/>
            <w:tcBorders>
              <w:top w:val="nil"/>
              <w:left w:val="nil"/>
              <w:bottom w:val="single" w:sz="8" w:space="0" w:color="666666"/>
              <w:right w:val="single" w:sz="8" w:space="0" w:color="666666"/>
            </w:tcBorders>
            <w:noWrap/>
            <w:vAlign w:val="center"/>
            <w:hideMark/>
          </w:tcPr>
          <w:p w14:paraId="627BA17D"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5</w:t>
            </w:r>
          </w:p>
        </w:tc>
        <w:tc>
          <w:tcPr>
            <w:tcW w:w="1754" w:type="dxa"/>
            <w:tcBorders>
              <w:top w:val="nil"/>
              <w:left w:val="nil"/>
              <w:bottom w:val="single" w:sz="8" w:space="0" w:color="666666"/>
              <w:right w:val="single" w:sz="8" w:space="0" w:color="666666"/>
            </w:tcBorders>
            <w:noWrap/>
            <w:vAlign w:val="center"/>
            <w:hideMark/>
          </w:tcPr>
          <w:p w14:paraId="3BEF32B2"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8</w:t>
            </w:r>
          </w:p>
        </w:tc>
        <w:tc>
          <w:tcPr>
            <w:tcW w:w="1623" w:type="dxa"/>
            <w:tcBorders>
              <w:top w:val="nil"/>
              <w:left w:val="nil"/>
              <w:bottom w:val="single" w:sz="8" w:space="0" w:color="666666"/>
              <w:right w:val="single" w:sz="8" w:space="0" w:color="666666"/>
            </w:tcBorders>
            <w:noWrap/>
            <w:vAlign w:val="center"/>
            <w:hideMark/>
          </w:tcPr>
          <w:p w14:paraId="62789AEC"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-3</w:t>
            </w:r>
          </w:p>
        </w:tc>
        <w:tc>
          <w:tcPr>
            <w:tcW w:w="2464" w:type="dxa"/>
            <w:tcBorders>
              <w:top w:val="nil"/>
              <w:left w:val="nil"/>
              <w:bottom w:val="single" w:sz="8" w:space="0" w:color="666666"/>
              <w:right w:val="single" w:sz="8" w:space="0" w:color="666666"/>
            </w:tcBorders>
            <w:noWrap/>
            <w:vAlign w:val="center"/>
            <w:hideMark/>
          </w:tcPr>
          <w:p w14:paraId="47DC3BC8"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-45</w:t>
            </w:r>
          </w:p>
        </w:tc>
        <w:tc>
          <w:tcPr>
            <w:tcW w:w="1419" w:type="dxa"/>
            <w:tcBorders>
              <w:top w:val="nil"/>
              <w:left w:val="nil"/>
              <w:bottom w:val="single" w:sz="8" w:space="0" w:color="666666"/>
              <w:right w:val="single" w:sz="8" w:space="0" w:color="666666"/>
            </w:tcBorders>
            <w:noWrap/>
            <w:vAlign w:val="center"/>
            <w:hideMark/>
          </w:tcPr>
          <w:p w14:paraId="66EE3EA5"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0.9091</w:t>
            </w:r>
          </w:p>
        </w:tc>
        <w:tc>
          <w:tcPr>
            <w:tcW w:w="1419" w:type="dxa"/>
            <w:tcBorders>
              <w:top w:val="nil"/>
              <w:left w:val="nil"/>
              <w:bottom w:val="single" w:sz="8" w:space="0" w:color="666666"/>
              <w:right w:val="single" w:sz="8" w:space="0" w:color="666666"/>
            </w:tcBorders>
            <w:noWrap/>
            <w:vAlign w:val="center"/>
            <w:hideMark/>
          </w:tcPr>
          <w:p w14:paraId="5CE63BB9"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4.55</w:t>
            </w:r>
          </w:p>
        </w:tc>
      </w:tr>
      <w:tr w:rsidR="001867EE" w:rsidRPr="00441B4E" w14:paraId="5FB6C199" w14:textId="77777777" w:rsidTr="00453BCB">
        <w:trPr>
          <w:trHeight w:val="330"/>
        </w:trPr>
        <w:tc>
          <w:tcPr>
            <w:tcW w:w="1754" w:type="dxa"/>
            <w:tcBorders>
              <w:top w:val="nil"/>
              <w:left w:val="single" w:sz="8" w:space="0" w:color="666666"/>
              <w:bottom w:val="single" w:sz="8" w:space="0" w:color="666666"/>
              <w:right w:val="single" w:sz="8" w:space="0" w:color="666666"/>
            </w:tcBorders>
            <w:noWrap/>
            <w:vAlign w:val="center"/>
            <w:hideMark/>
          </w:tcPr>
          <w:p w14:paraId="6E58D35F"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themeColor="text1"/>
                <w:szCs w:val="24"/>
              </w:rPr>
              <w:t>2</w:t>
            </w:r>
          </w:p>
        </w:tc>
        <w:tc>
          <w:tcPr>
            <w:tcW w:w="1193" w:type="dxa"/>
            <w:tcBorders>
              <w:top w:val="nil"/>
              <w:left w:val="nil"/>
              <w:bottom w:val="single" w:sz="8" w:space="0" w:color="666666"/>
              <w:right w:val="single" w:sz="8" w:space="0" w:color="666666"/>
            </w:tcBorders>
            <w:noWrap/>
            <w:vAlign w:val="center"/>
            <w:hideMark/>
          </w:tcPr>
          <w:p w14:paraId="60B1E85C"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10</w:t>
            </w:r>
          </w:p>
        </w:tc>
        <w:tc>
          <w:tcPr>
            <w:tcW w:w="1754" w:type="dxa"/>
            <w:tcBorders>
              <w:top w:val="nil"/>
              <w:left w:val="nil"/>
              <w:bottom w:val="single" w:sz="8" w:space="0" w:color="666666"/>
              <w:right w:val="single" w:sz="8" w:space="0" w:color="666666"/>
            </w:tcBorders>
            <w:noWrap/>
            <w:vAlign w:val="center"/>
            <w:hideMark/>
          </w:tcPr>
          <w:p w14:paraId="242BED36"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8</w:t>
            </w:r>
          </w:p>
        </w:tc>
        <w:tc>
          <w:tcPr>
            <w:tcW w:w="1623" w:type="dxa"/>
            <w:tcBorders>
              <w:top w:val="nil"/>
              <w:left w:val="nil"/>
              <w:bottom w:val="single" w:sz="8" w:space="0" w:color="666666"/>
              <w:right w:val="single" w:sz="8" w:space="0" w:color="666666"/>
            </w:tcBorders>
            <w:noWrap/>
            <w:vAlign w:val="center"/>
            <w:hideMark/>
          </w:tcPr>
          <w:p w14:paraId="4437F7A6"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2</w:t>
            </w:r>
          </w:p>
        </w:tc>
        <w:tc>
          <w:tcPr>
            <w:tcW w:w="2464" w:type="dxa"/>
            <w:tcBorders>
              <w:top w:val="nil"/>
              <w:left w:val="nil"/>
              <w:bottom w:val="single" w:sz="8" w:space="0" w:color="666666"/>
              <w:right w:val="single" w:sz="8" w:space="0" w:color="666666"/>
            </w:tcBorders>
            <w:noWrap/>
            <w:vAlign w:val="center"/>
            <w:hideMark/>
          </w:tcPr>
          <w:p w14:paraId="32247CA3"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-35</w:t>
            </w:r>
          </w:p>
        </w:tc>
        <w:tc>
          <w:tcPr>
            <w:tcW w:w="1419" w:type="dxa"/>
            <w:tcBorders>
              <w:top w:val="nil"/>
              <w:left w:val="nil"/>
              <w:bottom w:val="single" w:sz="8" w:space="0" w:color="666666"/>
              <w:right w:val="single" w:sz="8" w:space="0" w:color="666666"/>
            </w:tcBorders>
            <w:noWrap/>
            <w:vAlign w:val="center"/>
            <w:hideMark/>
          </w:tcPr>
          <w:p w14:paraId="3CCE512E"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0.8264</w:t>
            </w:r>
          </w:p>
        </w:tc>
        <w:tc>
          <w:tcPr>
            <w:tcW w:w="1419" w:type="dxa"/>
            <w:tcBorders>
              <w:top w:val="nil"/>
              <w:left w:val="nil"/>
              <w:bottom w:val="single" w:sz="8" w:space="0" w:color="666666"/>
              <w:right w:val="single" w:sz="8" w:space="0" w:color="666666"/>
            </w:tcBorders>
            <w:noWrap/>
            <w:vAlign w:val="center"/>
            <w:hideMark/>
          </w:tcPr>
          <w:p w14:paraId="520D34FD"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8.26</w:t>
            </w:r>
          </w:p>
        </w:tc>
      </w:tr>
      <w:tr w:rsidR="001867EE" w:rsidRPr="00441B4E" w14:paraId="1A898BC1" w14:textId="77777777" w:rsidTr="00453BCB">
        <w:trPr>
          <w:trHeight w:val="330"/>
        </w:trPr>
        <w:tc>
          <w:tcPr>
            <w:tcW w:w="1754" w:type="dxa"/>
            <w:tcBorders>
              <w:top w:val="nil"/>
              <w:left w:val="single" w:sz="8" w:space="0" w:color="666666"/>
              <w:bottom w:val="single" w:sz="8" w:space="0" w:color="666666"/>
              <w:right w:val="single" w:sz="8" w:space="0" w:color="666666"/>
            </w:tcBorders>
            <w:noWrap/>
            <w:vAlign w:val="center"/>
            <w:hideMark/>
          </w:tcPr>
          <w:p w14:paraId="012DF5CF"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themeColor="text1"/>
                <w:szCs w:val="24"/>
              </w:rPr>
              <w:t>3</w:t>
            </w:r>
          </w:p>
        </w:tc>
        <w:tc>
          <w:tcPr>
            <w:tcW w:w="1193" w:type="dxa"/>
            <w:tcBorders>
              <w:top w:val="nil"/>
              <w:left w:val="nil"/>
              <w:bottom w:val="single" w:sz="8" w:space="0" w:color="666666"/>
              <w:right w:val="single" w:sz="8" w:space="0" w:color="666666"/>
            </w:tcBorders>
            <w:noWrap/>
            <w:vAlign w:val="center"/>
            <w:hideMark/>
          </w:tcPr>
          <w:p w14:paraId="5B3BB6E7"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20</w:t>
            </w:r>
          </w:p>
        </w:tc>
        <w:tc>
          <w:tcPr>
            <w:tcW w:w="1754" w:type="dxa"/>
            <w:tcBorders>
              <w:top w:val="nil"/>
              <w:left w:val="nil"/>
              <w:bottom w:val="single" w:sz="8" w:space="0" w:color="666666"/>
              <w:right w:val="single" w:sz="8" w:space="0" w:color="666666"/>
            </w:tcBorders>
            <w:noWrap/>
            <w:vAlign w:val="center"/>
            <w:hideMark/>
          </w:tcPr>
          <w:p w14:paraId="1CE4984F"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8</w:t>
            </w:r>
          </w:p>
        </w:tc>
        <w:tc>
          <w:tcPr>
            <w:tcW w:w="1623" w:type="dxa"/>
            <w:tcBorders>
              <w:top w:val="nil"/>
              <w:left w:val="nil"/>
              <w:bottom w:val="single" w:sz="8" w:space="0" w:color="666666"/>
              <w:right w:val="single" w:sz="8" w:space="0" w:color="666666"/>
            </w:tcBorders>
            <w:noWrap/>
            <w:vAlign w:val="center"/>
            <w:hideMark/>
          </w:tcPr>
          <w:p w14:paraId="08B3CC38"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12</w:t>
            </w:r>
          </w:p>
        </w:tc>
        <w:tc>
          <w:tcPr>
            <w:tcW w:w="2464" w:type="dxa"/>
            <w:tcBorders>
              <w:top w:val="nil"/>
              <w:left w:val="nil"/>
              <w:bottom w:val="single" w:sz="8" w:space="0" w:color="666666"/>
              <w:right w:val="single" w:sz="8" w:space="0" w:color="666666"/>
            </w:tcBorders>
            <w:noWrap/>
            <w:vAlign w:val="center"/>
            <w:hideMark/>
          </w:tcPr>
          <w:p w14:paraId="74AE38B0"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-15</w:t>
            </w:r>
          </w:p>
        </w:tc>
        <w:tc>
          <w:tcPr>
            <w:tcW w:w="1419" w:type="dxa"/>
            <w:tcBorders>
              <w:top w:val="nil"/>
              <w:left w:val="nil"/>
              <w:bottom w:val="single" w:sz="8" w:space="0" w:color="666666"/>
              <w:right w:val="single" w:sz="8" w:space="0" w:color="666666"/>
            </w:tcBorders>
            <w:noWrap/>
            <w:vAlign w:val="center"/>
            <w:hideMark/>
          </w:tcPr>
          <w:p w14:paraId="5AC1A88E"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0.7513</w:t>
            </w:r>
          </w:p>
        </w:tc>
        <w:tc>
          <w:tcPr>
            <w:tcW w:w="1419" w:type="dxa"/>
            <w:tcBorders>
              <w:top w:val="nil"/>
              <w:left w:val="nil"/>
              <w:bottom w:val="single" w:sz="8" w:space="0" w:color="666666"/>
              <w:right w:val="single" w:sz="8" w:space="0" w:color="666666"/>
            </w:tcBorders>
            <w:noWrap/>
            <w:vAlign w:val="center"/>
            <w:hideMark/>
          </w:tcPr>
          <w:p w14:paraId="526C29B9"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15.03</w:t>
            </w:r>
          </w:p>
        </w:tc>
      </w:tr>
      <w:tr w:rsidR="001867EE" w:rsidRPr="00441B4E" w14:paraId="536578CD" w14:textId="77777777" w:rsidTr="00453BCB">
        <w:trPr>
          <w:trHeight w:val="330"/>
        </w:trPr>
        <w:tc>
          <w:tcPr>
            <w:tcW w:w="1754" w:type="dxa"/>
            <w:tcBorders>
              <w:top w:val="nil"/>
              <w:left w:val="single" w:sz="8" w:space="0" w:color="666666"/>
              <w:bottom w:val="single" w:sz="8" w:space="0" w:color="666666"/>
              <w:right w:val="single" w:sz="8" w:space="0" w:color="666666"/>
            </w:tcBorders>
            <w:noWrap/>
            <w:vAlign w:val="center"/>
            <w:hideMark/>
          </w:tcPr>
          <w:p w14:paraId="29C33405"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themeColor="text1"/>
                <w:szCs w:val="24"/>
              </w:rPr>
              <w:t>4</w:t>
            </w:r>
          </w:p>
        </w:tc>
        <w:tc>
          <w:tcPr>
            <w:tcW w:w="1193" w:type="dxa"/>
            <w:tcBorders>
              <w:top w:val="nil"/>
              <w:left w:val="nil"/>
              <w:bottom w:val="single" w:sz="8" w:space="0" w:color="666666"/>
              <w:right w:val="single" w:sz="8" w:space="0" w:color="666666"/>
            </w:tcBorders>
            <w:noWrap/>
            <w:vAlign w:val="center"/>
            <w:hideMark/>
          </w:tcPr>
          <w:p w14:paraId="40AF738A"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25</w:t>
            </w:r>
          </w:p>
        </w:tc>
        <w:tc>
          <w:tcPr>
            <w:tcW w:w="1754" w:type="dxa"/>
            <w:tcBorders>
              <w:top w:val="nil"/>
              <w:left w:val="nil"/>
              <w:bottom w:val="single" w:sz="8" w:space="0" w:color="666666"/>
              <w:right w:val="single" w:sz="8" w:space="0" w:color="666666"/>
            </w:tcBorders>
            <w:noWrap/>
            <w:vAlign w:val="center"/>
            <w:hideMark/>
          </w:tcPr>
          <w:p w14:paraId="25F0592A"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8</w:t>
            </w:r>
          </w:p>
        </w:tc>
        <w:tc>
          <w:tcPr>
            <w:tcW w:w="1623" w:type="dxa"/>
            <w:tcBorders>
              <w:top w:val="nil"/>
              <w:left w:val="nil"/>
              <w:bottom w:val="single" w:sz="8" w:space="0" w:color="666666"/>
              <w:right w:val="single" w:sz="8" w:space="0" w:color="666666"/>
            </w:tcBorders>
            <w:noWrap/>
            <w:vAlign w:val="center"/>
            <w:hideMark/>
          </w:tcPr>
          <w:p w14:paraId="1099668B"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17</w:t>
            </w:r>
          </w:p>
        </w:tc>
        <w:tc>
          <w:tcPr>
            <w:tcW w:w="2464" w:type="dxa"/>
            <w:tcBorders>
              <w:top w:val="nil"/>
              <w:left w:val="nil"/>
              <w:bottom w:val="single" w:sz="8" w:space="0" w:color="666666"/>
              <w:right w:val="single" w:sz="8" w:space="0" w:color="666666"/>
            </w:tcBorders>
            <w:noWrap/>
            <w:vAlign w:val="center"/>
            <w:hideMark/>
          </w:tcPr>
          <w:p w14:paraId="67FFA481"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10</w:t>
            </w:r>
          </w:p>
        </w:tc>
        <w:tc>
          <w:tcPr>
            <w:tcW w:w="1419" w:type="dxa"/>
            <w:tcBorders>
              <w:top w:val="nil"/>
              <w:left w:val="nil"/>
              <w:bottom w:val="single" w:sz="8" w:space="0" w:color="666666"/>
              <w:right w:val="single" w:sz="8" w:space="0" w:color="666666"/>
            </w:tcBorders>
            <w:noWrap/>
            <w:vAlign w:val="center"/>
            <w:hideMark/>
          </w:tcPr>
          <w:p w14:paraId="5556EA0A"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0.6830</w:t>
            </w:r>
          </w:p>
        </w:tc>
        <w:tc>
          <w:tcPr>
            <w:tcW w:w="1419" w:type="dxa"/>
            <w:tcBorders>
              <w:top w:val="nil"/>
              <w:left w:val="nil"/>
              <w:bottom w:val="single" w:sz="8" w:space="0" w:color="666666"/>
              <w:right w:val="single" w:sz="8" w:space="0" w:color="666666"/>
            </w:tcBorders>
            <w:noWrap/>
            <w:vAlign w:val="center"/>
            <w:hideMark/>
          </w:tcPr>
          <w:p w14:paraId="025D612C"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17.08</w:t>
            </w:r>
          </w:p>
        </w:tc>
      </w:tr>
      <w:tr w:rsidR="001867EE" w:rsidRPr="00441B4E" w14:paraId="45803D37" w14:textId="77777777" w:rsidTr="00453BCB">
        <w:trPr>
          <w:trHeight w:val="330"/>
        </w:trPr>
        <w:tc>
          <w:tcPr>
            <w:tcW w:w="1754" w:type="dxa"/>
            <w:tcBorders>
              <w:top w:val="nil"/>
              <w:left w:val="single" w:sz="8" w:space="0" w:color="666666"/>
              <w:bottom w:val="single" w:sz="8" w:space="0" w:color="666666"/>
              <w:right w:val="single" w:sz="8" w:space="0" w:color="666666"/>
            </w:tcBorders>
            <w:noWrap/>
            <w:vAlign w:val="center"/>
            <w:hideMark/>
          </w:tcPr>
          <w:p w14:paraId="76D82391"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themeColor="text1"/>
                <w:szCs w:val="24"/>
              </w:rPr>
              <w:t>5</w:t>
            </w:r>
          </w:p>
        </w:tc>
        <w:tc>
          <w:tcPr>
            <w:tcW w:w="1193" w:type="dxa"/>
            <w:tcBorders>
              <w:top w:val="nil"/>
              <w:left w:val="nil"/>
              <w:bottom w:val="single" w:sz="8" w:space="0" w:color="666666"/>
              <w:right w:val="single" w:sz="8" w:space="0" w:color="666666"/>
            </w:tcBorders>
            <w:noWrap/>
            <w:vAlign w:val="center"/>
            <w:hideMark/>
          </w:tcPr>
          <w:p w14:paraId="5CD97360"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15</w:t>
            </w:r>
          </w:p>
        </w:tc>
        <w:tc>
          <w:tcPr>
            <w:tcW w:w="1754" w:type="dxa"/>
            <w:tcBorders>
              <w:top w:val="nil"/>
              <w:left w:val="nil"/>
              <w:bottom w:val="single" w:sz="8" w:space="0" w:color="666666"/>
              <w:right w:val="single" w:sz="8" w:space="0" w:color="666666"/>
            </w:tcBorders>
            <w:noWrap/>
            <w:vAlign w:val="center"/>
            <w:hideMark/>
          </w:tcPr>
          <w:p w14:paraId="1D2C13E7"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8</w:t>
            </w:r>
          </w:p>
        </w:tc>
        <w:tc>
          <w:tcPr>
            <w:tcW w:w="1623" w:type="dxa"/>
            <w:tcBorders>
              <w:top w:val="nil"/>
              <w:left w:val="nil"/>
              <w:bottom w:val="single" w:sz="8" w:space="0" w:color="666666"/>
              <w:right w:val="single" w:sz="8" w:space="0" w:color="666666"/>
            </w:tcBorders>
            <w:noWrap/>
            <w:vAlign w:val="center"/>
            <w:hideMark/>
          </w:tcPr>
          <w:p w14:paraId="3F043938"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7</w:t>
            </w:r>
          </w:p>
        </w:tc>
        <w:tc>
          <w:tcPr>
            <w:tcW w:w="2464" w:type="dxa"/>
            <w:tcBorders>
              <w:top w:val="nil"/>
              <w:left w:val="nil"/>
              <w:bottom w:val="single" w:sz="8" w:space="0" w:color="666666"/>
              <w:right w:val="single" w:sz="8" w:space="0" w:color="666666"/>
            </w:tcBorders>
            <w:noWrap/>
            <w:vAlign w:val="center"/>
            <w:hideMark/>
          </w:tcPr>
          <w:p w14:paraId="2013EAF1"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25</w:t>
            </w:r>
          </w:p>
        </w:tc>
        <w:tc>
          <w:tcPr>
            <w:tcW w:w="1419" w:type="dxa"/>
            <w:tcBorders>
              <w:top w:val="nil"/>
              <w:left w:val="nil"/>
              <w:bottom w:val="single" w:sz="8" w:space="0" w:color="666666"/>
              <w:right w:val="single" w:sz="8" w:space="0" w:color="666666"/>
            </w:tcBorders>
            <w:noWrap/>
            <w:vAlign w:val="center"/>
            <w:hideMark/>
          </w:tcPr>
          <w:p w14:paraId="3728F1F9"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themeColor="text1"/>
                <w:szCs w:val="24"/>
              </w:rPr>
              <w:t>0.6209</w:t>
            </w:r>
          </w:p>
        </w:tc>
        <w:tc>
          <w:tcPr>
            <w:tcW w:w="1419" w:type="dxa"/>
            <w:tcBorders>
              <w:top w:val="nil"/>
              <w:left w:val="nil"/>
              <w:bottom w:val="single" w:sz="8" w:space="0" w:color="666666"/>
              <w:right w:val="single" w:sz="8" w:space="0" w:color="666666"/>
            </w:tcBorders>
            <w:noWrap/>
            <w:vAlign w:val="center"/>
            <w:hideMark/>
          </w:tcPr>
          <w:p w14:paraId="38D7AFCE"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9.31</w:t>
            </w:r>
          </w:p>
        </w:tc>
      </w:tr>
      <w:tr w:rsidR="001867EE" w:rsidRPr="00441B4E" w14:paraId="5001F1CC" w14:textId="77777777" w:rsidTr="00453BCB">
        <w:trPr>
          <w:trHeight w:val="330"/>
        </w:trPr>
        <w:tc>
          <w:tcPr>
            <w:tcW w:w="1754" w:type="dxa"/>
            <w:tcBorders>
              <w:top w:val="nil"/>
              <w:left w:val="single" w:sz="8" w:space="0" w:color="666666"/>
              <w:bottom w:val="single" w:sz="8" w:space="0" w:color="666666"/>
              <w:right w:val="single" w:sz="8" w:space="0" w:color="666666"/>
            </w:tcBorders>
            <w:noWrap/>
            <w:vAlign w:val="center"/>
            <w:hideMark/>
          </w:tcPr>
          <w:p w14:paraId="63B9367A"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Total</w:t>
            </w:r>
          </w:p>
        </w:tc>
        <w:tc>
          <w:tcPr>
            <w:tcW w:w="1193" w:type="dxa"/>
            <w:tcBorders>
              <w:top w:val="nil"/>
              <w:left w:val="nil"/>
              <w:bottom w:val="single" w:sz="8" w:space="0" w:color="666666"/>
              <w:right w:val="single" w:sz="8" w:space="0" w:color="666666"/>
            </w:tcBorders>
            <w:noWrap/>
            <w:vAlign w:val="center"/>
            <w:hideMark/>
          </w:tcPr>
          <w:p w14:paraId="536BDBCF"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szCs w:val="24"/>
              </w:rPr>
              <w:t>75</w:t>
            </w:r>
          </w:p>
        </w:tc>
        <w:tc>
          <w:tcPr>
            <w:tcW w:w="1754" w:type="dxa"/>
            <w:tcBorders>
              <w:top w:val="nil"/>
              <w:left w:val="nil"/>
              <w:bottom w:val="single" w:sz="8" w:space="0" w:color="666666"/>
              <w:right w:val="single" w:sz="8" w:space="0" w:color="666666"/>
            </w:tcBorders>
            <w:noWrap/>
            <w:vAlign w:val="center"/>
            <w:hideMark/>
          </w:tcPr>
          <w:p w14:paraId="6BDC66D8"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szCs w:val="24"/>
              </w:rPr>
              <w:t>40</w:t>
            </w:r>
          </w:p>
        </w:tc>
        <w:tc>
          <w:tcPr>
            <w:tcW w:w="1623" w:type="dxa"/>
            <w:tcBorders>
              <w:top w:val="nil"/>
              <w:left w:val="nil"/>
              <w:bottom w:val="single" w:sz="8" w:space="0" w:color="666666"/>
              <w:right w:val="single" w:sz="8" w:space="0" w:color="666666"/>
            </w:tcBorders>
            <w:noWrap/>
            <w:vAlign w:val="center"/>
            <w:hideMark/>
          </w:tcPr>
          <w:p w14:paraId="016253B9"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szCs w:val="24"/>
              </w:rPr>
              <w:t>35</w:t>
            </w:r>
          </w:p>
        </w:tc>
        <w:tc>
          <w:tcPr>
            <w:tcW w:w="2464" w:type="dxa"/>
            <w:tcBorders>
              <w:top w:val="nil"/>
              <w:left w:val="nil"/>
              <w:bottom w:val="single" w:sz="8" w:space="0" w:color="666666"/>
              <w:right w:val="single" w:sz="8" w:space="0" w:color="666666"/>
            </w:tcBorders>
            <w:noWrap/>
            <w:vAlign w:val="center"/>
            <w:hideMark/>
          </w:tcPr>
          <w:p w14:paraId="34329F5F"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szCs w:val="24"/>
              </w:rPr>
              <w:t> </w:t>
            </w:r>
          </w:p>
        </w:tc>
        <w:tc>
          <w:tcPr>
            <w:tcW w:w="1419" w:type="dxa"/>
            <w:tcBorders>
              <w:top w:val="nil"/>
              <w:left w:val="nil"/>
              <w:bottom w:val="single" w:sz="8" w:space="0" w:color="666666"/>
              <w:right w:val="single" w:sz="8" w:space="0" w:color="666666"/>
            </w:tcBorders>
            <w:noWrap/>
            <w:hideMark/>
          </w:tcPr>
          <w:p w14:paraId="1518DE13"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 </w:t>
            </w:r>
          </w:p>
        </w:tc>
        <w:tc>
          <w:tcPr>
            <w:tcW w:w="1419" w:type="dxa"/>
            <w:tcBorders>
              <w:top w:val="nil"/>
              <w:left w:val="nil"/>
              <w:bottom w:val="single" w:sz="8" w:space="0" w:color="666666"/>
              <w:right w:val="single" w:sz="8" w:space="0" w:color="666666"/>
            </w:tcBorders>
            <w:noWrap/>
            <w:vAlign w:val="center"/>
            <w:hideMark/>
          </w:tcPr>
          <w:p w14:paraId="760C46B8"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szCs w:val="24"/>
              </w:rPr>
              <w:t>4.23</w:t>
            </w:r>
          </w:p>
        </w:tc>
      </w:tr>
      <w:tr w:rsidR="001867EE" w:rsidRPr="00441B4E" w14:paraId="4FAB8EF1" w14:textId="77777777" w:rsidTr="00453BCB">
        <w:trPr>
          <w:trHeight w:val="330"/>
        </w:trPr>
        <w:tc>
          <w:tcPr>
            <w:tcW w:w="1754" w:type="dxa"/>
            <w:tcBorders>
              <w:top w:val="nil"/>
              <w:left w:val="nil"/>
              <w:bottom w:val="nil"/>
              <w:right w:val="nil"/>
            </w:tcBorders>
            <w:noWrap/>
            <w:vAlign w:val="bottom"/>
            <w:hideMark/>
          </w:tcPr>
          <w:p w14:paraId="75A60562"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 </w:t>
            </w:r>
          </w:p>
        </w:tc>
        <w:tc>
          <w:tcPr>
            <w:tcW w:w="1193" w:type="dxa"/>
            <w:tcBorders>
              <w:top w:val="nil"/>
              <w:left w:val="nil"/>
              <w:bottom w:val="nil"/>
              <w:right w:val="nil"/>
            </w:tcBorders>
            <w:noWrap/>
            <w:vAlign w:val="bottom"/>
            <w:hideMark/>
          </w:tcPr>
          <w:p w14:paraId="7D297E7A"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 </w:t>
            </w:r>
          </w:p>
        </w:tc>
        <w:tc>
          <w:tcPr>
            <w:tcW w:w="1754" w:type="dxa"/>
            <w:tcBorders>
              <w:top w:val="nil"/>
              <w:left w:val="nil"/>
              <w:bottom w:val="nil"/>
              <w:right w:val="nil"/>
            </w:tcBorders>
            <w:noWrap/>
            <w:vAlign w:val="bottom"/>
            <w:hideMark/>
          </w:tcPr>
          <w:p w14:paraId="3BE61484"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 </w:t>
            </w:r>
          </w:p>
        </w:tc>
        <w:tc>
          <w:tcPr>
            <w:tcW w:w="1623" w:type="dxa"/>
            <w:tcBorders>
              <w:top w:val="nil"/>
              <w:left w:val="nil"/>
              <w:bottom w:val="nil"/>
              <w:right w:val="nil"/>
            </w:tcBorders>
            <w:noWrap/>
            <w:vAlign w:val="bottom"/>
            <w:hideMark/>
          </w:tcPr>
          <w:p w14:paraId="04ADF216"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 </w:t>
            </w:r>
          </w:p>
        </w:tc>
        <w:tc>
          <w:tcPr>
            <w:tcW w:w="2464" w:type="dxa"/>
            <w:tcBorders>
              <w:top w:val="nil"/>
              <w:left w:val="nil"/>
              <w:bottom w:val="nil"/>
              <w:right w:val="nil"/>
            </w:tcBorders>
            <w:noWrap/>
            <w:vAlign w:val="bottom"/>
            <w:hideMark/>
          </w:tcPr>
          <w:p w14:paraId="202CD936"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 </w:t>
            </w:r>
          </w:p>
        </w:tc>
        <w:tc>
          <w:tcPr>
            <w:tcW w:w="1419" w:type="dxa"/>
            <w:tcBorders>
              <w:top w:val="nil"/>
              <w:left w:val="nil"/>
              <w:bottom w:val="nil"/>
              <w:right w:val="nil"/>
            </w:tcBorders>
            <w:noWrap/>
            <w:vAlign w:val="bottom"/>
            <w:hideMark/>
          </w:tcPr>
          <w:p w14:paraId="7395AE54"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 </w:t>
            </w:r>
          </w:p>
        </w:tc>
        <w:tc>
          <w:tcPr>
            <w:tcW w:w="1419" w:type="dxa"/>
            <w:tcBorders>
              <w:top w:val="nil"/>
              <w:left w:val="nil"/>
              <w:bottom w:val="nil"/>
              <w:right w:val="nil"/>
            </w:tcBorders>
            <w:noWrap/>
            <w:vAlign w:val="bottom"/>
            <w:hideMark/>
          </w:tcPr>
          <w:p w14:paraId="504DB1D1"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 </w:t>
            </w:r>
          </w:p>
        </w:tc>
      </w:tr>
      <w:tr w:rsidR="001867EE" w:rsidRPr="00441B4E" w14:paraId="5D6582B9" w14:textId="77777777" w:rsidTr="00453BCB">
        <w:trPr>
          <w:gridAfter w:val="1"/>
          <w:wAfter w:w="1419" w:type="dxa"/>
          <w:trHeight w:val="330"/>
        </w:trPr>
        <w:tc>
          <w:tcPr>
            <w:tcW w:w="1754" w:type="dxa"/>
            <w:tcBorders>
              <w:top w:val="single" w:sz="8" w:space="0" w:color="666666"/>
              <w:left w:val="nil"/>
              <w:bottom w:val="single" w:sz="12" w:space="0" w:color="666666"/>
              <w:right w:val="nil"/>
            </w:tcBorders>
            <w:noWrap/>
            <w:vAlign w:val="center"/>
            <w:hideMark/>
          </w:tcPr>
          <w:p w14:paraId="0397A299"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themeColor="text1"/>
                <w:szCs w:val="24"/>
              </w:rPr>
              <w:t>Depreciation (£m)</w:t>
            </w:r>
          </w:p>
        </w:tc>
        <w:tc>
          <w:tcPr>
            <w:tcW w:w="1193" w:type="dxa"/>
            <w:tcBorders>
              <w:top w:val="single" w:sz="8" w:space="0" w:color="auto"/>
              <w:left w:val="single" w:sz="8" w:space="0" w:color="auto"/>
              <w:bottom w:val="nil"/>
              <w:right w:val="single" w:sz="8" w:space="0" w:color="auto"/>
            </w:tcBorders>
            <w:noWrap/>
            <w:vAlign w:val="bottom"/>
            <w:hideMark/>
          </w:tcPr>
          <w:p w14:paraId="6B458266"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10</w:t>
            </w:r>
          </w:p>
        </w:tc>
        <w:tc>
          <w:tcPr>
            <w:tcW w:w="1754" w:type="dxa"/>
            <w:tcBorders>
              <w:top w:val="nil"/>
              <w:left w:val="nil"/>
              <w:bottom w:val="nil"/>
              <w:right w:val="nil"/>
            </w:tcBorders>
            <w:noWrap/>
            <w:vAlign w:val="bottom"/>
            <w:hideMark/>
          </w:tcPr>
          <w:p w14:paraId="64A87372"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 </w:t>
            </w:r>
          </w:p>
        </w:tc>
        <w:tc>
          <w:tcPr>
            <w:tcW w:w="1623" w:type="dxa"/>
            <w:tcBorders>
              <w:top w:val="nil"/>
              <w:left w:val="nil"/>
              <w:bottom w:val="nil"/>
              <w:right w:val="nil"/>
            </w:tcBorders>
            <w:noWrap/>
            <w:vAlign w:val="bottom"/>
            <w:hideMark/>
          </w:tcPr>
          <w:p w14:paraId="2D61C7F0"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 </w:t>
            </w:r>
          </w:p>
        </w:tc>
        <w:tc>
          <w:tcPr>
            <w:tcW w:w="2464" w:type="dxa"/>
            <w:tcBorders>
              <w:top w:val="single" w:sz="8" w:space="0" w:color="666666"/>
              <w:left w:val="nil"/>
              <w:bottom w:val="single" w:sz="12" w:space="0" w:color="666666"/>
              <w:right w:val="single" w:sz="8" w:space="0" w:color="000000"/>
            </w:tcBorders>
            <w:noWrap/>
            <w:vAlign w:val="center"/>
            <w:hideMark/>
          </w:tcPr>
          <w:p w14:paraId="1B400EC4"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szCs w:val="24"/>
              </w:rPr>
              <w:t>Accounting Rate of Return (ARR):</w:t>
            </w:r>
            <w:r w:rsidRPr="00441B4E">
              <w:rPr>
                <w:rFonts w:ascii="Arial" w:eastAsia="Times New Roman" w:hAnsi="Arial" w:cs="Arial"/>
                <w:color w:val="0F1115"/>
                <w:szCs w:val="24"/>
              </w:rPr>
              <w:t> </w:t>
            </w:r>
          </w:p>
        </w:tc>
        <w:tc>
          <w:tcPr>
            <w:tcW w:w="1419" w:type="dxa"/>
            <w:tcBorders>
              <w:top w:val="single" w:sz="8" w:space="0" w:color="auto"/>
              <w:left w:val="nil"/>
              <w:bottom w:val="single" w:sz="8" w:space="0" w:color="auto"/>
              <w:right w:val="single" w:sz="8" w:space="0" w:color="auto"/>
            </w:tcBorders>
            <w:noWrap/>
            <w:vAlign w:val="bottom"/>
            <w:hideMark/>
          </w:tcPr>
          <w:p w14:paraId="0383411C"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14.00%</w:t>
            </w:r>
          </w:p>
        </w:tc>
      </w:tr>
      <w:tr w:rsidR="001867EE" w:rsidRPr="00441B4E" w14:paraId="0AA7ABD2" w14:textId="77777777" w:rsidTr="00453BCB">
        <w:trPr>
          <w:gridAfter w:val="1"/>
          <w:wAfter w:w="1419" w:type="dxa"/>
          <w:trHeight w:val="345"/>
        </w:trPr>
        <w:tc>
          <w:tcPr>
            <w:tcW w:w="1754" w:type="dxa"/>
            <w:tcBorders>
              <w:top w:val="single" w:sz="8" w:space="0" w:color="666666"/>
              <w:left w:val="nil"/>
              <w:bottom w:val="single" w:sz="12" w:space="0" w:color="666666"/>
              <w:right w:val="nil"/>
            </w:tcBorders>
            <w:noWrap/>
            <w:vAlign w:val="center"/>
            <w:hideMark/>
          </w:tcPr>
          <w:p w14:paraId="1A54CBDA"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szCs w:val="24"/>
              </w:rPr>
              <w:t>PB</w:t>
            </w:r>
          </w:p>
        </w:tc>
        <w:tc>
          <w:tcPr>
            <w:tcW w:w="1193" w:type="dxa"/>
            <w:tcBorders>
              <w:top w:val="single" w:sz="8" w:space="0" w:color="auto"/>
              <w:left w:val="single" w:sz="8" w:space="0" w:color="auto"/>
              <w:bottom w:val="single" w:sz="8" w:space="0" w:color="auto"/>
              <w:right w:val="single" w:sz="8" w:space="0" w:color="auto"/>
            </w:tcBorders>
            <w:noWrap/>
            <w:vAlign w:val="bottom"/>
            <w:hideMark/>
          </w:tcPr>
          <w:p w14:paraId="421D191A"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3.60</w:t>
            </w:r>
          </w:p>
        </w:tc>
        <w:tc>
          <w:tcPr>
            <w:tcW w:w="1754" w:type="dxa"/>
            <w:tcBorders>
              <w:top w:val="nil"/>
              <w:left w:val="nil"/>
              <w:bottom w:val="nil"/>
              <w:right w:val="nil"/>
            </w:tcBorders>
            <w:noWrap/>
            <w:vAlign w:val="bottom"/>
            <w:hideMark/>
          </w:tcPr>
          <w:p w14:paraId="7158C90B"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 </w:t>
            </w:r>
          </w:p>
        </w:tc>
        <w:tc>
          <w:tcPr>
            <w:tcW w:w="1623" w:type="dxa"/>
            <w:tcBorders>
              <w:top w:val="nil"/>
              <w:left w:val="nil"/>
              <w:bottom w:val="nil"/>
              <w:right w:val="nil"/>
            </w:tcBorders>
            <w:noWrap/>
            <w:vAlign w:val="bottom"/>
            <w:hideMark/>
          </w:tcPr>
          <w:p w14:paraId="76259996"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 </w:t>
            </w:r>
          </w:p>
        </w:tc>
        <w:tc>
          <w:tcPr>
            <w:tcW w:w="2464" w:type="dxa"/>
            <w:tcBorders>
              <w:top w:val="single" w:sz="8" w:space="0" w:color="666666"/>
              <w:left w:val="nil"/>
              <w:bottom w:val="single" w:sz="12" w:space="0" w:color="666666"/>
              <w:right w:val="single" w:sz="8" w:space="0" w:color="000000"/>
            </w:tcBorders>
            <w:noWrap/>
            <w:vAlign w:val="center"/>
            <w:hideMark/>
          </w:tcPr>
          <w:p w14:paraId="1B821398"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szCs w:val="24"/>
              </w:rPr>
              <w:t>Net Present Value (NPV):</w:t>
            </w:r>
            <w:r w:rsidRPr="00441B4E">
              <w:rPr>
                <w:rFonts w:ascii="Arial" w:eastAsia="Times New Roman" w:hAnsi="Arial" w:cs="Arial"/>
                <w:color w:val="0F1115"/>
                <w:szCs w:val="24"/>
              </w:rPr>
              <w:t> </w:t>
            </w:r>
          </w:p>
        </w:tc>
        <w:tc>
          <w:tcPr>
            <w:tcW w:w="1419" w:type="dxa"/>
            <w:tcBorders>
              <w:top w:val="nil"/>
              <w:left w:val="nil"/>
              <w:bottom w:val="single" w:sz="8" w:space="0" w:color="auto"/>
              <w:right w:val="single" w:sz="8" w:space="0" w:color="auto"/>
            </w:tcBorders>
            <w:noWrap/>
            <w:vAlign w:val="bottom"/>
            <w:hideMark/>
          </w:tcPr>
          <w:p w14:paraId="68366AAF"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4.23</w:t>
            </w:r>
          </w:p>
        </w:tc>
      </w:tr>
      <w:tr w:rsidR="001867EE" w:rsidRPr="00441B4E" w14:paraId="27A6F0E4" w14:textId="77777777" w:rsidTr="00453BCB">
        <w:trPr>
          <w:gridAfter w:val="1"/>
          <w:wAfter w:w="1419" w:type="dxa"/>
          <w:trHeight w:val="345"/>
        </w:trPr>
        <w:tc>
          <w:tcPr>
            <w:tcW w:w="1754" w:type="dxa"/>
            <w:tcBorders>
              <w:top w:val="single" w:sz="8" w:space="0" w:color="666666"/>
              <w:left w:val="nil"/>
              <w:bottom w:val="single" w:sz="12" w:space="0" w:color="666666"/>
              <w:right w:val="nil"/>
            </w:tcBorders>
            <w:noWrap/>
            <w:vAlign w:val="center"/>
            <w:hideMark/>
          </w:tcPr>
          <w:p w14:paraId="5D774E82"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szCs w:val="24"/>
              </w:rPr>
              <w:t>PI</w:t>
            </w:r>
          </w:p>
        </w:tc>
        <w:tc>
          <w:tcPr>
            <w:tcW w:w="1193" w:type="dxa"/>
            <w:tcBorders>
              <w:top w:val="nil"/>
              <w:left w:val="single" w:sz="8" w:space="0" w:color="auto"/>
              <w:bottom w:val="single" w:sz="8" w:space="0" w:color="auto"/>
              <w:right w:val="single" w:sz="8" w:space="0" w:color="auto"/>
            </w:tcBorders>
            <w:noWrap/>
            <w:vAlign w:val="bottom"/>
            <w:hideMark/>
          </w:tcPr>
          <w:p w14:paraId="450BCC69"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1.08</w:t>
            </w:r>
          </w:p>
        </w:tc>
        <w:tc>
          <w:tcPr>
            <w:tcW w:w="1754" w:type="dxa"/>
            <w:tcBorders>
              <w:top w:val="nil"/>
              <w:left w:val="nil"/>
              <w:bottom w:val="nil"/>
              <w:right w:val="nil"/>
            </w:tcBorders>
            <w:noWrap/>
            <w:vAlign w:val="bottom"/>
            <w:hideMark/>
          </w:tcPr>
          <w:p w14:paraId="70ADA34C"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 </w:t>
            </w:r>
          </w:p>
        </w:tc>
        <w:tc>
          <w:tcPr>
            <w:tcW w:w="1623" w:type="dxa"/>
            <w:tcBorders>
              <w:top w:val="nil"/>
              <w:left w:val="nil"/>
              <w:bottom w:val="nil"/>
              <w:right w:val="nil"/>
            </w:tcBorders>
            <w:noWrap/>
            <w:vAlign w:val="bottom"/>
            <w:hideMark/>
          </w:tcPr>
          <w:p w14:paraId="505E7B91"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 </w:t>
            </w:r>
          </w:p>
        </w:tc>
        <w:tc>
          <w:tcPr>
            <w:tcW w:w="2464" w:type="dxa"/>
            <w:tcBorders>
              <w:top w:val="single" w:sz="8" w:space="0" w:color="666666"/>
              <w:left w:val="nil"/>
              <w:bottom w:val="single" w:sz="12" w:space="0" w:color="666666"/>
              <w:right w:val="single" w:sz="8" w:space="0" w:color="000000"/>
            </w:tcBorders>
            <w:noWrap/>
            <w:vAlign w:val="center"/>
            <w:hideMark/>
          </w:tcPr>
          <w:p w14:paraId="53B74550" w14:textId="77777777" w:rsidR="001867EE" w:rsidRPr="00441B4E" w:rsidRDefault="001867EE" w:rsidP="001867EE">
            <w:pPr>
              <w:spacing w:line="240" w:lineRule="auto"/>
              <w:jc w:val="center"/>
              <w:rPr>
                <w:rFonts w:ascii="Arial" w:eastAsia="Times New Roman" w:hAnsi="Arial" w:cs="Arial"/>
                <w:b/>
                <w:bCs/>
                <w:color w:val="000000"/>
                <w:szCs w:val="24"/>
              </w:rPr>
            </w:pPr>
            <w:r w:rsidRPr="00441B4E">
              <w:rPr>
                <w:rFonts w:ascii="Arial" w:eastAsia="Times New Roman" w:hAnsi="Arial" w:cs="Arial"/>
                <w:b/>
                <w:bCs/>
                <w:color w:val="000000"/>
                <w:szCs w:val="24"/>
              </w:rPr>
              <w:t>IRR</w:t>
            </w:r>
          </w:p>
        </w:tc>
        <w:tc>
          <w:tcPr>
            <w:tcW w:w="1419" w:type="dxa"/>
            <w:tcBorders>
              <w:top w:val="nil"/>
              <w:left w:val="nil"/>
              <w:bottom w:val="single" w:sz="8" w:space="0" w:color="auto"/>
              <w:right w:val="single" w:sz="8" w:space="0" w:color="auto"/>
            </w:tcBorders>
            <w:noWrap/>
            <w:vAlign w:val="bottom"/>
            <w:hideMark/>
          </w:tcPr>
          <w:p w14:paraId="38EAED86" w14:textId="77777777" w:rsidR="001867EE" w:rsidRPr="00441B4E" w:rsidRDefault="001867EE" w:rsidP="001867EE">
            <w:pPr>
              <w:spacing w:line="240" w:lineRule="auto"/>
              <w:jc w:val="center"/>
              <w:rPr>
                <w:rFonts w:ascii="Arial" w:eastAsia="Times New Roman" w:hAnsi="Arial" w:cs="Arial"/>
                <w:color w:val="000000"/>
                <w:szCs w:val="24"/>
              </w:rPr>
            </w:pPr>
            <w:r w:rsidRPr="00441B4E">
              <w:rPr>
                <w:rFonts w:ascii="Arial" w:eastAsia="Times New Roman" w:hAnsi="Arial" w:cs="Arial"/>
                <w:color w:val="000000"/>
                <w:szCs w:val="24"/>
              </w:rPr>
              <w:t>12.7%</w:t>
            </w:r>
          </w:p>
        </w:tc>
      </w:tr>
    </w:tbl>
    <w:p w14:paraId="4A74320B" w14:textId="77777777" w:rsidR="001867EE" w:rsidRPr="00441B4E" w:rsidRDefault="001867EE" w:rsidP="00896F28">
      <w:pPr>
        <w:spacing w:line="360" w:lineRule="auto"/>
        <w:jc w:val="both"/>
        <w:rPr>
          <w:rFonts w:ascii="Arial" w:hAnsi="Arial" w:cs="Arial"/>
          <w:szCs w:val="24"/>
        </w:rPr>
      </w:pPr>
    </w:p>
    <w:sectPr w:rsidR="001867EE" w:rsidRPr="00441B4E">
      <w:headerReference w:type="default" r:id="rId14"/>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7568BD" w14:textId="77777777" w:rsidR="00384CA1" w:rsidRDefault="00384CA1" w:rsidP="003E73C6">
      <w:pPr>
        <w:spacing w:line="240" w:lineRule="auto"/>
      </w:pPr>
      <w:r>
        <w:separator/>
      </w:r>
    </w:p>
  </w:endnote>
  <w:endnote w:type="continuationSeparator" w:id="0">
    <w:p w14:paraId="3EC481F9" w14:textId="77777777" w:rsidR="00384CA1" w:rsidRDefault="00384CA1" w:rsidP="003E73C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5808521"/>
      <w:docPartObj>
        <w:docPartGallery w:val="Page Numbers (Bottom of Page)"/>
        <w:docPartUnique/>
      </w:docPartObj>
    </w:sdtPr>
    <w:sdtEndPr>
      <w:rPr>
        <w:noProof/>
      </w:rPr>
    </w:sdtEndPr>
    <w:sdtContent>
      <w:p w14:paraId="4826CDF5" w14:textId="1472EB42" w:rsidR="00102B8E" w:rsidRDefault="00102B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72134D" w14:textId="77777777" w:rsidR="00102B8E" w:rsidRDefault="00102B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1774F1" w14:textId="77777777" w:rsidR="00384CA1" w:rsidRDefault="00384CA1" w:rsidP="003E73C6">
      <w:pPr>
        <w:spacing w:line="240" w:lineRule="auto"/>
      </w:pPr>
      <w:r>
        <w:separator/>
      </w:r>
    </w:p>
  </w:footnote>
  <w:footnote w:type="continuationSeparator" w:id="0">
    <w:p w14:paraId="4A0CB2E5" w14:textId="77777777" w:rsidR="00384CA1" w:rsidRDefault="00384CA1" w:rsidP="003E73C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8166422"/>
      <w:docPartObj>
        <w:docPartGallery w:val="Page Numbers (Top of Page)"/>
        <w:docPartUnique/>
      </w:docPartObj>
    </w:sdtPr>
    <w:sdtEndPr>
      <w:rPr>
        <w:noProof/>
      </w:rPr>
    </w:sdtEndPr>
    <w:sdtContent>
      <w:p w14:paraId="4094BF4C" w14:textId="272723EE" w:rsidR="003E73C6" w:rsidRDefault="00384CA1" w:rsidP="00102B8E">
        <w:pPr>
          <w:pStyle w:val="Header"/>
          <w:jc w:val="center"/>
        </w:pPr>
      </w:p>
    </w:sdtContent>
  </w:sdt>
  <w:p w14:paraId="257BA6AB" w14:textId="77777777" w:rsidR="003E73C6" w:rsidRDefault="003E73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0133F"/>
    <w:multiLevelType w:val="multilevel"/>
    <w:tmpl w:val="A900F9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D44222"/>
    <w:multiLevelType w:val="multilevel"/>
    <w:tmpl w:val="A900F9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F82482"/>
    <w:multiLevelType w:val="hybridMultilevel"/>
    <w:tmpl w:val="745A133A"/>
    <w:lvl w:ilvl="0" w:tplc="08445C16">
      <w:start w:val="1"/>
      <w:numFmt w:val="decimal"/>
      <w:lvlText w:val="%1"/>
      <w:lvlJc w:val="left"/>
      <w:pPr>
        <w:ind w:left="720" w:hanging="360"/>
      </w:pPr>
      <w:rPr>
        <w:rFonts w:hint="default"/>
        <w:b/>
        <w:color w:val="0E101A"/>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6F10B76"/>
    <w:multiLevelType w:val="multilevel"/>
    <w:tmpl w:val="A900F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4061C4"/>
    <w:multiLevelType w:val="hybridMultilevel"/>
    <w:tmpl w:val="A7DAFC08"/>
    <w:lvl w:ilvl="0" w:tplc="179868A6">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898696A"/>
    <w:multiLevelType w:val="multilevel"/>
    <w:tmpl w:val="A900F9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FF02B20"/>
    <w:multiLevelType w:val="multilevel"/>
    <w:tmpl w:val="A900F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2EA4780"/>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8" w15:restartNumberingAfterBreak="0">
    <w:nsid w:val="14AB218B"/>
    <w:multiLevelType w:val="multilevel"/>
    <w:tmpl w:val="A900F9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9D35BED"/>
    <w:multiLevelType w:val="multilevel"/>
    <w:tmpl w:val="A900F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C8424D8"/>
    <w:multiLevelType w:val="multilevel"/>
    <w:tmpl w:val="A900F9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F826364"/>
    <w:multiLevelType w:val="multilevel"/>
    <w:tmpl w:val="A900F9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C5A31DE"/>
    <w:multiLevelType w:val="multilevel"/>
    <w:tmpl w:val="A900F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CA20B39"/>
    <w:multiLevelType w:val="multilevel"/>
    <w:tmpl w:val="A900F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F81222D"/>
    <w:multiLevelType w:val="hybridMultilevel"/>
    <w:tmpl w:val="2F40262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01F5FFD"/>
    <w:multiLevelType w:val="multilevel"/>
    <w:tmpl w:val="A900F9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5F52F7B"/>
    <w:multiLevelType w:val="hybridMultilevel"/>
    <w:tmpl w:val="5FD2528C"/>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7" w15:restartNumberingAfterBreak="0">
    <w:nsid w:val="37964682"/>
    <w:multiLevelType w:val="multilevel"/>
    <w:tmpl w:val="A900F9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BAD207B"/>
    <w:multiLevelType w:val="multilevel"/>
    <w:tmpl w:val="762E3A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F683A24"/>
    <w:multiLevelType w:val="multilevel"/>
    <w:tmpl w:val="A900F9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F77013F"/>
    <w:multiLevelType w:val="multilevel"/>
    <w:tmpl w:val="A900F9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0042301"/>
    <w:multiLevelType w:val="multilevel"/>
    <w:tmpl w:val="A900F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10A69E6"/>
    <w:multiLevelType w:val="multilevel"/>
    <w:tmpl w:val="A900F9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1826C92"/>
    <w:multiLevelType w:val="hybridMultilevel"/>
    <w:tmpl w:val="D570B8E6"/>
    <w:lvl w:ilvl="0" w:tplc="12EADC14">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A1F3A10"/>
    <w:multiLevelType w:val="multilevel"/>
    <w:tmpl w:val="A900F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23F144A"/>
    <w:multiLevelType w:val="multilevel"/>
    <w:tmpl w:val="F8F69B6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6" w15:restartNumberingAfterBreak="0">
    <w:nsid w:val="525A1019"/>
    <w:multiLevelType w:val="hybridMultilevel"/>
    <w:tmpl w:val="A4061402"/>
    <w:lvl w:ilvl="0" w:tplc="C00071F8">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586A15FD"/>
    <w:multiLevelType w:val="multilevel"/>
    <w:tmpl w:val="95625CC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8" w15:restartNumberingAfterBreak="0">
    <w:nsid w:val="62D0048A"/>
    <w:multiLevelType w:val="multilevel"/>
    <w:tmpl w:val="A900F9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3EA60BC"/>
    <w:multiLevelType w:val="hybridMultilevel"/>
    <w:tmpl w:val="1E18DE8A"/>
    <w:lvl w:ilvl="0" w:tplc="0DB41840">
      <w:start w:val="1"/>
      <w:numFmt w:val="lowerRoman"/>
      <w:lvlText w:val="%1."/>
      <w:lvlJc w:val="righ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64EC6E7F"/>
    <w:multiLevelType w:val="multilevel"/>
    <w:tmpl w:val="A900F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9A11FCD"/>
    <w:multiLevelType w:val="multilevel"/>
    <w:tmpl w:val="729C64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D2562E0"/>
    <w:multiLevelType w:val="multilevel"/>
    <w:tmpl w:val="A900F9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E423203"/>
    <w:multiLevelType w:val="multilevel"/>
    <w:tmpl w:val="A900F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FB71C59"/>
    <w:multiLevelType w:val="hybridMultilevel"/>
    <w:tmpl w:val="788633A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5" w15:restartNumberingAfterBreak="0">
    <w:nsid w:val="71F21498"/>
    <w:multiLevelType w:val="hybridMultilevel"/>
    <w:tmpl w:val="78BAF6E8"/>
    <w:lvl w:ilvl="0" w:tplc="002AA1E2">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7CC74212"/>
    <w:multiLevelType w:val="multilevel"/>
    <w:tmpl w:val="A900F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5"/>
  </w:num>
  <w:num w:numId="2">
    <w:abstractNumId w:val="4"/>
  </w:num>
  <w:num w:numId="3">
    <w:abstractNumId w:val="27"/>
  </w:num>
  <w:num w:numId="4">
    <w:abstractNumId w:val="26"/>
  </w:num>
  <w:num w:numId="5">
    <w:abstractNumId w:val="29"/>
  </w:num>
  <w:num w:numId="6">
    <w:abstractNumId w:val="29"/>
  </w:num>
  <w:num w:numId="7">
    <w:abstractNumId w:val="2"/>
  </w:num>
  <w:num w:numId="8">
    <w:abstractNumId w:val="26"/>
  </w:num>
  <w:num w:numId="9">
    <w:abstractNumId w:val="23"/>
  </w:num>
  <w:num w:numId="10">
    <w:abstractNumId w:val="25"/>
  </w:num>
  <w:num w:numId="11">
    <w:abstractNumId w:val="25"/>
  </w:num>
  <w:num w:numId="12">
    <w:abstractNumId w:val="24"/>
  </w:num>
  <w:num w:numId="13">
    <w:abstractNumId w:val="28"/>
  </w:num>
  <w:num w:numId="14">
    <w:abstractNumId w:val="5"/>
  </w:num>
  <w:num w:numId="15">
    <w:abstractNumId w:val="33"/>
  </w:num>
  <w:num w:numId="16">
    <w:abstractNumId w:val="19"/>
  </w:num>
  <w:num w:numId="17">
    <w:abstractNumId w:val="21"/>
  </w:num>
  <w:num w:numId="18">
    <w:abstractNumId w:val="3"/>
  </w:num>
  <w:num w:numId="19">
    <w:abstractNumId w:val="31"/>
  </w:num>
  <w:num w:numId="20">
    <w:abstractNumId w:val="34"/>
  </w:num>
  <w:num w:numId="21">
    <w:abstractNumId w:val="10"/>
  </w:num>
  <w:num w:numId="22">
    <w:abstractNumId w:val="11"/>
  </w:num>
  <w:num w:numId="23">
    <w:abstractNumId w:val="17"/>
  </w:num>
  <w:num w:numId="24">
    <w:abstractNumId w:val="12"/>
  </w:num>
  <w:num w:numId="25">
    <w:abstractNumId w:val="9"/>
  </w:num>
  <w:num w:numId="26">
    <w:abstractNumId w:val="30"/>
  </w:num>
  <w:num w:numId="27">
    <w:abstractNumId w:val="36"/>
  </w:num>
  <w:num w:numId="28">
    <w:abstractNumId w:val="8"/>
  </w:num>
  <w:num w:numId="29">
    <w:abstractNumId w:val="6"/>
  </w:num>
  <w:num w:numId="30">
    <w:abstractNumId w:val="13"/>
  </w:num>
  <w:num w:numId="31">
    <w:abstractNumId w:val="18"/>
  </w:num>
  <w:num w:numId="32">
    <w:abstractNumId w:val="15"/>
  </w:num>
  <w:num w:numId="33">
    <w:abstractNumId w:val="22"/>
  </w:num>
  <w:num w:numId="34">
    <w:abstractNumId w:val="20"/>
  </w:num>
  <w:num w:numId="35">
    <w:abstractNumId w:val="0"/>
  </w:num>
  <w:num w:numId="36">
    <w:abstractNumId w:val="32"/>
  </w:num>
  <w:num w:numId="37">
    <w:abstractNumId w:val="1"/>
  </w:num>
  <w:num w:numId="38">
    <w:abstractNumId w:val="16"/>
  </w:num>
  <w:num w:numId="39">
    <w:abstractNumId w:val="14"/>
  </w:num>
  <w:num w:numId="4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1DD8"/>
    <w:rsid w:val="000159DF"/>
    <w:rsid w:val="00032037"/>
    <w:rsid w:val="00063181"/>
    <w:rsid w:val="000F0373"/>
    <w:rsid w:val="00102B8E"/>
    <w:rsid w:val="001541FC"/>
    <w:rsid w:val="001566B8"/>
    <w:rsid w:val="0017287F"/>
    <w:rsid w:val="001867EE"/>
    <w:rsid w:val="001D45D8"/>
    <w:rsid w:val="002400D2"/>
    <w:rsid w:val="00281F20"/>
    <w:rsid w:val="00296095"/>
    <w:rsid w:val="002F3D24"/>
    <w:rsid w:val="00307578"/>
    <w:rsid w:val="003332D2"/>
    <w:rsid w:val="003805F3"/>
    <w:rsid w:val="00384CA1"/>
    <w:rsid w:val="003B6527"/>
    <w:rsid w:val="003E73C6"/>
    <w:rsid w:val="003F3653"/>
    <w:rsid w:val="0040055E"/>
    <w:rsid w:val="00431401"/>
    <w:rsid w:val="00441B4E"/>
    <w:rsid w:val="0044392D"/>
    <w:rsid w:val="00453BCB"/>
    <w:rsid w:val="00456663"/>
    <w:rsid w:val="004936F9"/>
    <w:rsid w:val="004C27B9"/>
    <w:rsid w:val="006258AB"/>
    <w:rsid w:val="006D3373"/>
    <w:rsid w:val="006D3E83"/>
    <w:rsid w:val="00822D68"/>
    <w:rsid w:val="0087219D"/>
    <w:rsid w:val="00876E6C"/>
    <w:rsid w:val="00896F28"/>
    <w:rsid w:val="008C39B7"/>
    <w:rsid w:val="008F0D0B"/>
    <w:rsid w:val="00933640"/>
    <w:rsid w:val="00961DD8"/>
    <w:rsid w:val="009A64CB"/>
    <w:rsid w:val="009E2880"/>
    <w:rsid w:val="00BB24F2"/>
    <w:rsid w:val="00BD3AAD"/>
    <w:rsid w:val="00BF4E38"/>
    <w:rsid w:val="00C703A0"/>
    <w:rsid w:val="00C80816"/>
    <w:rsid w:val="00CB09BF"/>
    <w:rsid w:val="00CD23CC"/>
    <w:rsid w:val="00E30B4C"/>
    <w:rsid w:val="00E91936"/>
    <w:rsid w:val="00EB7F65"/>
    <w:rsid w:val="00ED09D0"/>
    <w:rsid w:val="00FA5F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2929E1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5F92"/>
    <w:pPr>
      <w:spacing w:after="0" w:line="480" w:lineRule="auto"/>
    </w:pPr>
    <w:rPr>
      <w:rFonts w:ascii="Times New Roman" w:eastAsiaTheme="minorEastAsia" w:hAnsi="Times New Roman"/>
      <w:sz w:val="24"/>
    </w:rPr>
  </w:style>
  <w:style w:type="paragraph" w:styleId="Heading1">
    <w:name w:val="heading 1"/>
    <w:basedOn w:val="Subtitle"/>
    <w:link w:val="Heading1Char"/>
    <w:autoRedefine/>
    <w:qFormat/>
    <w:rsid w:val="003805F3"/>
    <w:pPr>
      <w:numPr>
        <w:ilvl w:val="0"/>
        <w:numId w:val="40"/>
      </w:numPr>
      <w:spacing w:after="0" w:line="360" w:lineRule="auto"/>
      <w:jc w:val="both"/>
      <w:outlineLvl w:val="0"/>
    </w:pPr>
    <w:rPr>
      <w:rFonts w:ascii="Arial" w:eastAsia="DengXian" w:hAnsi="Arial" w:cs="Arial"/>
      <w:b/>
      <w:bCs/>
      <w:color w:val="auto"/>
      <w:spacing w:val="-10"/>
      <w:kern w:val="44"/>
      <w:sz w:val="28"/>
      <w:szCs w:val="24"/>
      <w:shd w:val="clear" w:color="auto" w:fill="FFFFFF"/>
      <w:lang w:eastAsia="zh-CN"/>
    </w:rPr>
  </w:style>
  <w:style w:type="paragraph" w:styleId="Heading2">
    <w:name w:val="heading 2"/>
    <w:basedOn w:val="Normal"/>
    <w:next w:val="Normal"/>
    <w:link w:val="Heading2Char"/>
    <w:qFormat/>
    <w:rsid w:val="003805F3"/>
    <w:pPr>
      <w:keepNext/>
      <w:keepLines/>
      <w:numPr>
        <w:ilvl w:val="1"/>
        <w:numId w:val="40"/>
      </w:numPr>
      <w:spacing w:line="416" w:lineRule="auto"/>
      <w:outlineLvl w:val="1"/>
    </w:pPr>
    <w:rPr>
      <w:rFonts w:ascii="Arial" w:eastAsia="DengXian" w:hAnsi="Arial" w:cs="SimSun"/>
      <w:b/>
      <w:bCs/>
      <w:szCs w:val="32"/>
      <w:lang w:eastAsia="zh-CN"/>
    </w:rPr>
  </w:style>
  <w:style w:type="paragraph" w:styleId="Heading3">
    <w:name w:val="heading 3"/>
    <w:basedOn w:val="Normal"/>
    <w:next w:val="Normal"/>
    <w:link w:val="Heading3Char"/>
    <w:autoRedefine/>
    <w:uiPriority w:val="9"/>
    <w:unhideWhenUsed/>
    <w:qFormat/>
    <w:rsid w:val="006258AB"/>
    <w:pPr>
      <w:keepNext/>
      <w:keepLines/>
      <w:numPr>
        <w:ilvl w:val="2"/>
        <w:numId w:val="40"/>
      </w:numPr>
      <w:outlineLvl w:val="2"/>
    </w:pPr>
    <w:rPr>
      <w:rFonts w:ascii="Arial" w:eastAsiaTheme="majorEastAsia" w:hAnsi="Arial" w:cs="Arial"/>
      <w:b/>
      <w:color w:val="0F1115"/>
      <w:szCs w:val="24"/>
    </w:rPr>
  </w:style>
  <w:style w:type="paragraph" w:styleId="Heading4">
    <w:name w:val="heading 4"/>
    <w:basedOn w:val="Normal"/>
    <w:next w:val="Normal"/>
    <w:link w:val="Heading4Char"/>
    <w:uiPriority w:val="9"/>
    <w:semiHidden/>
    <w:unhideWhenUsed/>
    <w:qFormat/>
    <w:rsid w:val="00CB09BF"/>
    <w:pPr>
      <w:keepNext/>
      <w:keepLines/>
      <w:numPr>
        <w:ilvl w:val="3"/>
        <w:numId w:val="40"/>
      </w:numPr>
      <w:spacing w:before="40"/>
      <w:outlineLvl w:val="3"/>
    </w:pPr>
    <w:rPr>
      <w:rFonts w:eastAsiaTheme="majorEastAsia" w:cstheme="majorBidi"/>
      <w:b/>
      <w:iCs/>
    </w:rPr>
  </w:style>
  <w:style w:type="paragraph" w:styleId="Heading5">
    <w:name w:val="heading 5"/>
    <w:basedOn w:val="Normal"/>
    <w:next w:val="Normal"/>
    <w:link w:val="Heading5Char"/>
    <w:uiPriority w:val="9"/>
    <w:semiHidden/>
    <w:unhideWhenUsed/>
    <w:qFormat/>
    <w:rsid w:val="003805F3"/>
    <w:pPr>
      <w:keepNext/>
      <w:keepLines/>
      <w:numPr>
        <w:ilvl w:val="4"/>
        <w:numId w:val="40"/>
      </w:numPr>
      <w:spacing w:before="4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3805F3"/>
    <w:pPr>
      <w:keepNext/>
      <w:keepLines/>
      <w:numPr>
        <w:ilvl w:val="5"/>
        <w:numId w:val="40"/>
      </w:numPr>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3805F3"/>
    <w:pPr>
      <w:keepNext/>
      <w:keepLines/>
      <w:numPr>
        <w:ilvl w:val="6"/>
        <w:numId w:val="40"/>
      </w:numPr>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3805F3"/>
    <w:pPr>
      <w:keepNext/>
      <w:keepLines/>
      <w:numPr>
        <w:ilvl w:val="7"/>
        <w:numId w:val="40"/>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805F3"/>
    <w:pPr>
      <w:keepNext/>
      <w:keepLines/>
      <w:numPr>
        <w:ilvl w:val="8"/>
        <w:numId w:val="40"/>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805F3"/>
    <w:rPr>
      <w:rFonts w:ascii="Arial" w:eastAsia="DengXian" w:hAnsi="Arial" w:cs="Arial"/>
      <w:b/>
      <w:bCs/>
      <w:spacing w:val="-10"/>
      <w:kern w:val="44"/>
      <w:sz w:val="28"/>
      <w:szCs w:val="24"/>
      <w:lang w:eastAsia="zh-CN"/>
    </w:rPr>
  </w:style>
  <w:style w:type="character" w:customStyle="1" w:styleId="Heading2Char">
    <w:name w:val="Heading 2 Char"/>
    <w:basedOn w:val="DefaultParagraphFont"/>
    <w:link w:val="Heading2"/>
    <w:rsid w:val="003805F3"/>
    <w:rPr>
      <w:rFonts w:ascii="Arial" w:eastAsia="DengXian" w:hAnsi="Arial" w:cs="SimSun"/>
      <w:b/>
      <w:bCs/>
      <w:sz w:val="24"/>
      <w:szCs w:val="32"/>
      <w:lang w:eastAsia="zh-CN"/>
    </w:rPr>
  </w:style>
  <w:style w:type="character" w:customStyle="1" w:styleId="Heading3Char">
    <w:name w:val="Heading 3 Char"/>
    <w:basedOn w:val="DefaultParagraphFont"/>
    <w:link w:val="Heading3"/>
    <w:uiPriority w:val="9"/>
    <w:rsid w:val="006258AB"/>
    <w:rPr>
      <w:rFonts w:ascii="Arial" w:eastAsiaTheme="majorEastAsia" w:hAnsi="Arial" w:cs="Arial"/>
      <w:b/>
      <w:color w:val="0F1115"/>
      <w:sz w:val="24"/>
      <w:szCs w:val="24"/>
    </w:rPr>
  </w:style>
  <w:style w:type="character" w:customStyle="1" w:styleId="Heading4Char">
    <w:name w:val="Heading 4 Char"/>
    <w:basedOn w:val="DefaultParagraphFont"/>
    <w:link w:val="Heading4"/>
    <w:uiPriority w:val="9"/>
    <w:semiHidden/>
    <w:rsid w:val="00CB09BF"/>
    <w:rPr>
      <w:rFonts w:ascii="Times New Roman" w:eastAsiaTheme="majorEastAsia" w:hAnsi="Times New Roman" w:cstheme="majorBidi"/>
      <w:b/>
      <w:iCs/>
      <w:sz w:val="24"/>
    </w:rPr>
  </w:style>
  <w:style w:type="paragraph" w:styleId="Title">
    <w:name w:val="Title"/>
    <w:basedOn w:val="Normal"/>
    <w:next w:val="Normal"/>
    <w:link w:val="TitleChar"/>
    <w:uiPriority w:val="10"/>
    <w:qFormat/>
    <w:rsid w:val="00ED09D0"/>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09D0"/>
    <w:rPr>
      <w:rFonts w:asciiTheme="majorHAnsi" w:eastAsiaTheme="majorEastAsia" w:hAnsiTheme="majorHAnsi" w:cstheme="majorBidi"/>
      <w:b/>
      <w:spacing w:val="-10"/>
      <w:kern w:val="28"/>
      <w:sz w:val="56"/>
      <w:szCs w:val="56"/>
    </w:rPr>
  </w:style>
  <w:style w:type="paragraph" w:styleId="Subtitle">
    <w:name w:val="Subtitle"/>
    <w:basedOn w:val="Normal"/>
    <w:next w:val="Normal"/>
    <w:link w:val="SubtitleChar"/>
    <w:uiPriority w:val="11"/>
    <w:qFormat/>
    <w:rsid w:val="003B6527"/>
    <w:pPr>
      <w:numPr>
        <w:ilvl w:val="1"/>
      </w:numPr>
      <w:spacing w:after="160"/>
    </w:pPr>
    <w:rPr>
      <w:rFonts w:asciiTheme="minorHAnsi" w:hAnsiTheme="minorHAnsi"/>
      <w:color w:val="5A5A5A" w:themeColor="text1" w:themeTint="A5"/>
      <w:spacing w:val="15"/>
      <w:sz w:val="22"/>
    </w:rPr>
  </w:style>
  <w:style w:type="character" w:customStyle="1" w:styleId="SubtitleChar">
    <w:name w:val="Subtitle Char"/>
    <w:basedOn w:val="DefaultParagraphFont"/>
    <w:link w:val="Subtitle"/>
    <w:uiPriority w:val="11"/>
    <w:rsid w:val="003B6527"/>
    <w:rPr>
      <w:rFonts w:eastAsiaTheme="minorEastAsia"/>
      <w:b/>
      <w:color w:val="5A5A5A" w:themeColor="text1" w:themeTint="A5"/>
      <w:spacing w:val="15"/>
    </w:rPr>
  </w:style>
  <w:style w:type="character" w:styleId="Strong">
    <w:name w:val="Strong"/>
    <w:basedOn w:val="DefaultParagraphFont"/>
    <w:uiPriority w:val="22"/>
    <w:qFormat/>
    <w:rsid w:val="00961DD8"/>
    <w:rPr>
      <w:b/>
      <w:bCs/>
    </w:rPr>
  </w:style>
  <w:style w:type="paragraph" w:customStyle="1" w:styleId="ds-markdown-paragraph">
    <w:name w:val="ds-markdown-paragraph"/>
    <w:basedOn w:val="Normal"/>
    <w:rsid w:val="00961DD8"/>
    <w:pPr>
      <w:spacing w:before="100" w:beforeAutospacing="1" w:after="100" w:afterAutospacing="1" w:line="240" w:lineRule="auto"/>
    </w:pPr>
    <w:rPr>
      <w:rFonts w:eastAsia="Times New Roman" w:cs="Times New Roman"/>
      <w:szCs w:val="24"/>
    </w:rPr>
  </w:style>
  <w:style w:type="table" w:styleId="GridTable6Colorful">
    <w:name w:val="Grid Table 6 Colorful"/>
    <w:basedOn w:val="TableNormal"/>
    <w:uiPriority w:val="51"/>
    <w:rsid w:val="00961DD8"/>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Hyperlink">
    <w:name w:val="Hyperlink"/>
    <w:basedOn w:val="DefaultParagraphFont"/>
    <w:uiPriority w:val="99"/>
    <w:unhideWhenUsed/>
    <w:rsid w:val="00896F28"/>
    <w:rPr>
      <w:color w:val="0563C1" w:themeColor="hyperlink"/>
      <w:u w:val="single"/>
    </w:rPr>
  </w:style>
  <w:style w:type="paragraph" w:styleId="ListParagraph">
    <w:name w:val="List Paragraph"/>
    <w:basedOn w:val="Normal"/>
    <w:uiPriority w:val="34"/>
    <w:qFormat/>
    <w:rsid w:val="00896F28"/>
    <w:pPr>
      <w:ind w:left="720"/>
      <w:contextualSpacing/>
    </w:pPr>
  </w:style>
  <w:style w:type="paragraph" w:styleId="TOCHeading">
    <w:name w:val="TOC Heading"/>
    <w:basedOn w:val="Heading1"/>
    <w:next w:val="Normal"/>
    <w:uiPriority w:val="39"/>
    <w:unhideWhenUsed/>
    <w:qFormat/>
    <w:rsid w:val="003E73C6"/>
    <w:pPr>
      <w:keepNext/>
      <w:keepLines/>
      <w:spacing w:before="240" w:line="259" w:lineRule="auto"/>
      <w:jc w:val="left"/>
      <w:outlineLvl w:val="9"/>
    </w:pPr>
    <w:rPr>
      <w:rFonts w:asciiTheme="majorHAnsi" w:eastAsiaTheme="majorEastAsia" w:hAnsiTheme="majorHAnsi" w:cstheme="majorBidi"/>
      <w:b w:val="0"/>
      <w:bCs w:val="0"/>
      <w:color w:val="2E74B5" w:themeColor="accent1" w:themeShade="BF"/>
      <w:spacing w:val="0"/>
      <w:kern w:val="0"/>
      <w:sz w:val="32"/>
      <w:szCs w:val="32"/>
      <w:shd w:val="clear" w:color="auto" w:fill="auto"/>
      <w:lang w:eastAsia="en-US"/>
    </w:rPr>
  </w:style>
  <w:style w:type="paragraph" w:styleId="TOC1">
    <w:name w:val="toc 1"/>
    <w:basedOn w:val="Normal"/>
    <w:next w:val="Normal"/>
    <w:autoRedefine/>
    <w:uiPriority w:val="39"/>
    <w:unhideWhenUsed/>
    <w:rsid w:val="003805F3"/>
    <w:pPr>
      <w:tabs>
        <w:tab w:val="right" w:leader="dot" w:pos="9350"/>
      </w:tabs>
      <w:spacing w:after="100" w:line="360" w:lineRule="auto"/>
    </w:pPr>
  </w:style>
  <w:style w:type="paragraph" w:styleId="TOC2">
    <w:name w:val="toc 2"/>
    <w:basedOn w:val="Normal"/>
    <w:next w:val="Normal"/>
    <w:autoRedefine/>
    <w:uiPriority w:val="39"/>
    <w:unhideWhenUsed/>
    <w:rsid w:val="003E73C6"/>
    <w:pPr>
      <w:spacing w:after="100"/>
      <w:ind w:left="240"/>
    </w:pPr>
  </w:style>
  <w:style w:type="paragraph" w:styleId="TOC3">
    <w:name w:val="toc 3"/>
    <w:basedOn w:val="Normal"/>
    <w:next w:val="Normal"/>
    <w:autoRedefine/>
    <w:uiPriority w:val="39"/>
    <w:unhideWhenUsed/>
    <w:rsid w:val="003E73C6"/>
    <w:pPr>
      <w:spacing w:after="100"/>
      <w:ind w:left="480"/>
    </w:pPr>
  </w:style>
  <w:style w:type="paragraph" w:styleId="Header">
    <w:name w:val="header"/>
    <w:basedOn w:val="Normal"/>
    <w:link w:val="HeaderChar"/>
    <w:uiPriority w:val="99"/>
    <w:unhideWhenUsed/>
    <w:rsid w:val="003E73C6"/>
    <w:pPr>
      <w:tabs>
        <w:tab w:val="center" w:pos="4680"/>
        <w:tab w:val="right" w:pos="9360"/>
      </w:tabs>
      <w:spacing w:line="240" w:lineRule="auto"/>
    </w:pPr>
  </w:style>
  <w:style w:type="character" w:customStyle="1" w:styleId="HeaderChar">
    <w:name w:val="Header Char"/>
    <w:basedOn w:val="DefaultParagraphFont"/>
    <w:link w:val="Header"/>
    <w:uiPriority w:val="99"/>
    <w:rsid w:val="003E73C6"/>
    <w:rPr>
      <w:rFonts w:ascii="Times New Roman" w:eastAsiaTheme="minorEastAsia" w:hAnsi="Times New Roman"/>
      <w:sz w:val="24"/>
    </w:rPr>
  </w:style>
  <w:style w:type="paragraph" w:styleId="Footer">
    <w:name w:val="footer"/>
    <w:basedOn w:val="Normal"/>
    <w:link w:val="FooterChar"/>
    <w:uiPriority w:val="99"/>
    <w:unhideWhenUsed/>
    <w:rsid w:val="003E73C6"/>
    <w:pPr>
      <w:tabs>
        <w:tab w:val="center" w:pos="4680"/>
        <w:tab w:val="right" w:pos="9360"/>
      </w:tabs>
      <w:spacing w:line="240" w:lineRule="auto"/>
    </w:pPr>
  </w:style>
  <w:style w:type="character" w:customStyle="1" w:styleId="FooterChar">
    <w:name w:val="Footer Char"/>
    <w:basedOn w:val="DefaultParagraphFont"/>
    <w:link w:val="Footer"/>
    <w:uiPriority w:val="99"/>
    <w:rsid w:val="003E73C6"/>
    <w:rPr>
      <w:rFonts w:ascii="Times New Roman" w:eastAsiaTheme="minorEastAsia" w:hAnsi="Times New Roman"/>
      <w:sz w:val="24"/>
    </w:rPr>
  </w:style>
  <w:style w:type="character" w:customStyle="1" w:styleId="Heading5Char">
    <w:name w:val="Heading 5 Char"/>
    <w:basedOn w:val="DefaultParagraphFont"/>
    <w:link w:val="Heading5"/>
    <w:uiPriority w:val="9"/>
    <w:semiHidden/>
    <w:rsid w:val="003805F3"/>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3805F3"/>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3805F3"/>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3805F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805F3"/>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567446">
      <w:marLeft w:val="0"/>
      <w:marRight w:val="0"/>
      <w:marTop w:val="0"/>
      <w:marBottom w:val="0"/>
      <w:divBdr>
        <w:top w:val="none" w:sz="0" w:space="0" w:color="auto"/>
        <w:left w:val="none" w:sz="0" w:space="0" w:color="auto"/>
        <w:bottom w:val="none" w:sz="0" w:space="0" w:color="auto"/>
        <w:right w:val="none" w:sz="0" w:space="0" w:color="auto"/>
      </w:divBdr>
    </w:div>
    <w:div w:id="146827315">
      <w:bodyDiv w:val="1"/>
      <w:marLeft w:val="0"/>
      <w:marRight w:val="0"/>
      <w:marTop w:val="0"/>
      <w:marBottom w:val="0"/>
      <w:divBdr>
        <w:top w:val="none" w:sz="0" w:space="0" w:color="auto"/>
        <w:left w:val="none" w:sz="0" w:space="0" w:color="auto"/>
        <w:bottom w:val="none" w:sz="0" w:space="0" w:color="auto"/>
        <w:right w:val="none" w:sz="0" w:space="0" w:color="auto"/>
      </w:divBdr>
      <w:divsChild>
        <w:div w:id="400449056">
          <w:marLeft w:val="0"/>
          <w:marRight w:val="0"/>
          <w:marTop w:val="0"/>
          <w:marBottom w:val="0"/>
          <w:divBdr>
            <w:top w:val="none" w:sz="0" w:space="0" w:color="auto"/>
            <w:left w:val="none" w:sz="0" w:space="0" w:color="auto"/>
            <w:bottom w:val="none" w:sz="0" w:space="0" w:color="auto"/>
            <w:right w:val="none" w:sz="0" w:space="0" w:color="auto"/>
          </w:divBdr>
        </w:div>
        <w:div w:id="1392001645">
          <w:marLeft w:val="0"/>
          <w:marRight w:val="0"/>
          <w:marTop w:val="0"/>
          <w:marBottom w:val="0"/>
          <w:divBdr>
            <w:top w:val="none" w:sz="0" w:space="0" w:color="auto"/>
            <w:left w:val="none" w:sz="0" w:space="0" w:color="auto"/>
            <w:bottom w:val="none" w:sz="0" w:space="0" w:color="auto"/>
            <w:right w:val="none" w:sz="0" w:space="0" w:color="auto"/>
          </w:divBdr>
        </w:div>
        <w:div w:id="670451306">
          <w:marLeft w:val="0"/>
          <w:marRight w:val="0"/>
          <w:marTop w:val="0"/>
          <w:marBottom w:val="0"/>
          <w:divBdr>
            <w:top w:val="none" w:sz="0" w:space="0" w:color="auto"/>
            <w:left w:val="none" w:sz="0" w:space="0" w:color="auto"/>
            <w:bottom w:val="none" w:sz="0" w:space="0" w:color="auto"/>
            <w:right w:val="none" w:sz="0" w:space="0" w:color="auto"/>
          </w:divBdr>
        </w:div>
        <w:div w:id="6829704">
          <w:marLeft w:val="0"/>
          <w:marRight w:val="0"/>
          <w:marTop w:val="0"/>
          <w:marBottom w:val="0"/>
          <w:divBdr>
            <w:top w:val="none" w:sz="0" w:space="0" w:color="auto"/>
            <w:left w:val="none" w:sz="0" w:space="0" w:color="auto"/>
            <w:bottom w:val="none" w:sz="0" w:space="0" w:color="auto"/>
            <w:right w:val="none" w:sz="0" w:space="0" w:color="auto"/>
          </w:divBdr>
        </w:div>
      </w:divsChild>
    </w:div>
    <w:div w:id="224533376">
      <w:bodyDiv w:val="1"/>
      <w:marLeft w:val="0"/>
      <w:marRight w:val="0"/>
      <w:marTop w:val="0"/>
      <w:marBottom w:val="0"/>
      <w:divBdr>
        <w:top w:val="none" w:sz="0" w:space="0" w:color="auto"/>
        <w:left w:val="none" w:sz="0" w:space="0" w:color="auto"/>
        <w:bottom w:val="none" w:sz="0" w:space="0" w:color="auto"/>
        <w:right w:val="none" w:sz="0" w:space="0" w:color="auto"/>
      </w:divBdr>
      <w:divsChild>
        <w:div w:id="14573616">
          <w:marLeft w:val="660"/>
          <w:marRight w:val="660"/>
          <w:marTop w:val="0"/>
          <w:marBottom w:val="360"/>
          <w:divBdr>
            <w:top w:val="none" w:sz="0" w:space="0" w:color="auto"/>
            <w:left w:val="none" w:sz="0" w:space="0" w:color="auto"/>
            <w:bottom w:val="none" w:sz="0" w:space="0" w:color="auto"/>
            <w:right w:val="none" w:sz="0" w:space="0" w:color="auto"/>
          </w:divBdr>
          <w:divsChild>
            <w:div w:id="1057624415">
              <w:marLeft w:val="0"/>
              <w:marRight w:val="0"/>
              <w:marTop w:val="0"/>
              <w:marBottom w:val="0"/>
              <w:divBdr>
                <w:top w:val="none" w:sz="0" w:space="0" w:color="auto"/>
                <w:left w:val="none" w:sz="0" w:space="0" w:color="auto"/>
                <w:bottom w:val="none" w:sz="0" w:space="0" w:color="auto"/>
                <w:right w:val="none" w:sz="0" w:space="0" w:color="auto"/>
              </w:divBdr>
              <w:divsChild>
                <w:div w:id="1021857616">
                  <w:marLeft w:val="0"/>
                  <w:marRight w:val="0"/>
                  <w:marTop w:val="0"/>
                  <w:marBottom w:val="0"/>
                  <w:divBdr>
                    <w:top w:val="none" w:sz="0" w:space="0" w:color="auto"/>
                    <w:left w:val="none" w:sz="0" w:space="0" w:color="auto"/>
                    <w:bottom w:val="none" w:sz="0" w:space="0" w:color="auto"/>
                    <w:right w:val="none" w:sz="0" w:space="0" w:color="auto"/>
                  </w:divBdr>
                  <w:divsChild>
                    <w:div w:id="1190339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4172532">
      <w:bodyDiv w:val="1"/>
      <w:marLeft w:val="0"/>
      <w:marRight w:val="0"/>
      <w:marTop w:val="0"/>
      <w:marBottom w:val="0"/>
      <w:divBdr>
        <w:top w:val="none" w:sz="0" w:space="0" w:color="auto"/>
        <w:left w:val="none" w:sz="0" w:space="0" w:color="auto"/>
        <w:bottom w:val="none" w:sz="0" w:space="0" w:color="auto"/>
        <w:right w:val="none" w:sz="0" w:space="0" w:color="auto"/>
      </w:divBdr>
      <w:divsChild>
        <w:div w:id="1445466047">
          <w:marLeft w:val="660"/>
          <w:marRight w:val="660"/>
          <w:marTop w:val="0"/>
          <w:marBottom w:val="360"/>
          <w:divBdr>
            <w:top w:val="none" w:sz="0" w:space="0" w:color="auto"/>
            <w:left w:val="none" w:sz="0" w:space="0" w:color="auto"/>
            <w:bottom w:val="none" w:sz="0" w:space="0" w:color="auto"/>
            <w:right w:val="none" w:sz="0" w:space="0" w:color="auto"/>
          </w:divBdr>
          <w:divsChild>
            <w:div w:id="1735620832">
              <w:marLeft w:val="0"/>
              <w:marRight w:val="0"/>
              <w:marTop w:val="0"/>
              <w:marBottom w:val="0"/>
              <w:divBdr>
                <w:top w:val="none" w:sz="0" w:space="0" w:color="auto"/>
                <w:left w:val="none" w:sz="0" w:space="0" w:color="auto"/>
                <w:bottom w:val="none" w:sz="0" w:space="0" w:color="auto"/>
                <w:right w:val="none" w:sz="0" w:space="0" w:color="auto"/>
              </w:divBdr>
              <w:divsChild>
                <w:div w:id="50882817">
                  <w:marLeft w:val="0"/>
                  <w:marRight w:val="0"/>
                  <w:marTop w:val="0"/>
                  <w:marBottom w:val="0"/>
                  <w:divBdr>
                    <w:top w:val="none" w:sz="0" w:space="0" w:color="auto"/>
                    <w:left w:val="none" w:sz="0" w:space="0" w:color="auto"/>
                    <w:bottom w:val="none" w:sz="0" w:space="0" w:color="auto"/>
                    <w:right w:val="none" w:sz="0" w:space="0" w:color="auto"/>
                  </w:divBdr>
                  <w:divsChild>
                    <w:div w:id="542669152">
                      <w:marLeft w:val="0"/>
                      <w:marRight w:val="0"/>
                      <w:marTop w:val="0"/>
                      <w:marBottom w:val="0"/>
                      <w:divBdr>
                        <w:top w:val="none" w:sz="0" w:space="0" w:color="auto"/>
                        <w:left w:val="none" w:sz="0" w:space="0" w:color="auto"/>
                        <w:bottom w:val="none" w:sz="0" w:space="0" w:color="auto"/>
                        <w:right w:val="none" w:sz="0" w:space="0" w:color="auto"/>
                      </w:divBdr>
                      <w:divsChild>
                        <w:div w:id="770079078">
                          <w:marLeft w:val="0"/>
                          <w:marRight w:val="0"/>
                          <w:marTop w:val="0"/>
                          <w:marBottom w:val="0"/>
                          <w:divBdr>
                            <w:top w:val="none" w:sz="0" w:space="0" w:color="auto"/>
                            <w:left w:val="none" w:sz="0" w:space="0" w:color="auto"/>
                            <w:bottom w:val="none" w:sz="0" w:space="0" w:color="auto"/>
                            <w:right w:val="none" w:sz="0" w:space="0" w:color="auto"/>
                          </w:divBdr>
                        </w:div>
                        <w:div w:id="1013724387">
                          <w:marLeft w:val="0"/>
                          <w:marRight w:val="0"/>
                          <w:marTop w:val="0"/>
                          <w:marBottom w:val="0"/>
                          <w:divBdr>
                            <w:top w:val="none" w:sz="0" w:space="0" w:color="auto"/>
                            <w:left w:val="none" w:sz="0" w:space="0" w:color="auto"/>
                            <w:bottom w:val="none" w:sz="0" w:space="0" w:color="auto"/>
                            <w:right w:val="none" w:sz="0" w:space="0" w:color="auto"/>
                          </w:divBdr>
                        </w:div>
                        <w:div w:id="1326784056">
                          <w:marLeft w:val="0"/>
                          <w:marRight w:val="0"/>
                          <w:marTop w:val="0"/>
                          <w:marBottom w:val="0"/>
                          <w:divBdr>
                            <w:top w:val="none" w:sz="0" w:space="0" w:color="auto"/>
                            <w:left w:val="none" w:sz="0" w:space="0" w:color="auto"/>
                            <w:bottom w:val="none" w:sz="0" w:space="0" w:color="auto"/>
                            <w:right w:val="none" w:sz="0" w:space="0" w:color="auto"/>
                          </w:divBdr>
                        </w:div>
                        <w:div w:id="156389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53273252">
      <w:bodyDiv w:val="1"/>
      <w:marLeft w:val="0"/>
      <w:marRight w:val="0"/>
      <w:marTop w:val="0"/>
      <w:marBottom w:val="0"/>
      <w:divBdr>
        <w:top w:val="none" w:sz="0" w:space="0" w:color="auto"/>
        <w:left w:val="none" w:sz="0" w:space="0" w:color="auto"/>
        <w:bottom w:val="none" w:sz="0" w:space="0" w:color="auto"/>
        <w:right w:val="none" w:sz="0" w:space="0" w:color="auto"/>
      </w:divBdr>
      <w:divsChild>
        <w:div w:id="289554795">
          <w:marLeft w:val="0"/>
          <w:marRight w:val="0"/>
          <w:marTop w:val="0"/>
          <w:marBottom w:val="0"/>
          <w:divBdr>
            <w:top w:val="none" w:sz="0" w:space="0" w:color="auto"/>
            <w:left w:val="none" w:sz="0" w:space="0" w:color="auto"/>
            <w:bottom w:val="none" w:sz="0" w:space="0" w:color="auto"/>
            <w:right w:val="none" w:sz="0" w:space="0" w:color="auto"/>
          </w:divBdr>
          <w:divsChild>
            <w:div w:id="1223369737">
              <w:marLeft w:val="0"/>
              <w:marRight w:val="0"/>
              <w:marTop w:val="0"/>
              <w:marBottom w:val="0"/>
              <w:divBdr>
                <w:top w:val="none" w:sz="0" w:space="0" w:color="auto"/>
                <w:left w:val="none" w:sz="0" w:space="0" w:color="auto"/>
                <w:bottom w:val="none" w:sz="0" w:space="0" w:color="auto"/>
                <w:right w:val="none" w:sz="0" w:space="0" w:color="auto"/>
              </w:divBdr>
              <w:divsChild>
                <w:div w:id="544679353">
                  <w:marLeft w:val="0"/>
                  <w:marRight w:val="0"/>
                  <w:marTop w:val="0"/>
                  <w:marBottom w:val="0"/>
                  <w:divBdr>
                    <w:top w:val="none" w:sz="0" w:space="0" w:color="auto"/>
                    <w:left w:val="none" w:sz="0" w:space="0" w:color="auto"/>
                    <w:bottom w:val="none" w:sz="0" w:space="0" w:color="auto"/>
                    <w:right w:val="none" w:sz="0" w:space="0" w:color="auto"/>
                  </w:divBdr>
                  <w:divsChild>
                    <w:div w:id="182865920">
                      <w:marLeft w:val="0"/>
                      <w:marRight w:val="0"/>
                      <w:marTop w:val="0"/>
                      <w:marBottom w:val="0"/>
                      <w:divBdr>
                        <w:top w:val="none" w:sz="0" w:space="0" w:color="auto"/>
                        <w:left w:val="none" w:sz="0" w:space="0" w:color="auto"/>
                        <w:bottom w:val="none" w:sz="0" w:space="0" w:color="auto"/>
                        <w:right w:val="none" w:sz="0" w:space="0" w:color="auto"/>
                      </w:divBdr>
                      <w:divsChild>
                        <w:div w:id="480390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6294484">
          <w:marLeft w:val="0"/>
          <w:marRight w:val="0"/>
          <w:marTop w:val="0"/>
          <w:marBottom w:val="0"/>
          <w:divBdr>
            <w:top w:val="none" w:sz="0" w:space="0" w:color="auto"/>
            <w:left w:val="none" w:sz="0" w:space="0" w:color="auto"/>
            <w:bottom w:val="none" w:sz="0" w:space="0" w:color="auto"/>
            <w:right w:val="none" w:sz="0" w:space="0" w:color="auto"/>
          </w:divBdr>
        </w:div>
      </w:divsChild>
    </w:div>
    <w:div w:id="707414076">
      <w:bodyDiv w:val="1"/>
      <w:marLeft w:val="0"/>
      <w:marRight w:val="0"/>
      <w:marTop w:val="0"/>
      <w:marBottom w:val="0"/>
      <w:divBdr>
        <w:top w:val="none" w:sz="0" w:space="0" w:color="auto"/>
        <w:left w:val="none" w:sz="0" w:space="0" w:color="auto"/>
        <w:bottom w:val="none" w:sz="0" w:space="0" w:color="auto"/>
        <w:right w:val="none" w:sz="0" w:space="0" w:color="auto"/>
      </w:divBdr>
      <w:divsChild>
        <w:div w:id="894707743">
          <w:marLeft w:val="0"/>
          <w:marRight w:val="0"/>
          <w:marTop w:val="0"/>
          <w:marBottom w:val="0"/>
          <w:divBdr>
            <w:top w:val="none" w:sz="0" w:space="0" w:color="auto"/>
            <w:left w:val="none" w:sz="0" w:space="0" w:color="auto"/>
            <w:bottom w:val="none" w:sz="0" w:space="0" w:color="auto"/>
            <w:right w:val="none" w:sz="0" w:space="0" w:color="auto"/>
          </w:divBdr>
        </w:div>
        <w:div w:id="1627470129">
          <w:marLeft w:val="0"/>
          <w:marRight w:val="0"/>
          <w:marTop w:val="0"/>
          <w:marBottom w:val="0"/>
          <w:divBdr>
            <w:top w:val="none" w:sz="0" w:space="0" w:color="auto"/>
            <w:left w:val="none" w:sz="0" w:space="0" w:color="auto"/>
            <w:bottom w:val="none" w:sz="0" w:space="0" w:color="auto"/>
            <w:right w:val="none" w:sz="0" w:space="0" w:color="auto"/>
          </w:divBdr>
        </w:div>
      </w:divsChild>
    </w:div>
    <w:div w:id="816606190">
      <w:marLeft w:val="0"/>
      <w:marRight w:val="0"/>
      <w:marTop w:val="0"/>
      <w:marBottom w:val="0"/>
      <w:divBdr>
        <w:top w:val="none" w:sz="0" w:space="0" w:color="auto"/>
        <w:left w:val="none" w:sz="0" w:space="0" w:color="auto"/>
        <w:bottom w:val="none" w:sz="0" w:space="0" w:color="auto"/>
        <w:right w:val="none" w:sz="0" w:space="0" w:color="auto"/>
      </w:divBdr>
    </w:div>
    <w:div w:id="1171483989">
      <w:marLeft w:val="0"/>
      <w:marRight w:val="0"/>
      <w:marTop w:val="0"/>
      <w:marBottom w:val="0"/>
      <w:divBdr>
        <w:top w:val="none" w:sz="0" w:space="0" w:color="auto"/>
        <w:left w:val="none" w:sz="0" w:space="0" w:color="auto"/>
        <w:bottom w:val="none" w:sz="0" w:space="0" w:color="auto"/>
        <w:right w:val="none" w:sz="0" w:space="0" w:color="auto"/>
      </w:divBdr>
    </w:div>
    <w:div w:id="1480463846">
      <w:bodyDiv w:val="1"/>
      <w:marLeft w:val="0"/>
      <w:marRight w:val="0"/>
      <w:marTop w:val="0"/>
      <w:marBottom w:val="0"/>
      <w:divBdr>
        <w:top w:val="none" w:sz="0" w:space="0" w:color="auto"/>
        <w:left w:val="none" w:sz="0" w:space="0" w:color="auto"/>
        <w:bottom w:val="none" w:sz="0" w:space="0" w:color="auto"/>
        <w:right w:val="none" w:sz="0" w:space="0" w:color="auto"/>
      </w:divBdr>
    </w:div>
    <w:div w:id="1792750558">
      <w:marLeft w:val="0"/>
      <w:marRight w:val="0"/>
      <w:marTop w:val="0"/>
      <w:marBottom w:val="0"/>
      <w:divBdr>
        <w:top w:val="none" w:sz="0" w:space="0" w:color="auto"/>
        <w:left w:val="none" w:sz="0" w:space="0" w:color="auto"/>
        <w:bottom w:val="none" w:sz="0" w:space="0" w:color="auto"/>
        <w:right w:val="none" w:sz="0" w:space="0" w:color="auto"/>
      </w:divBdr>
    </w:div>
    <w:div w:id="1825463439">
      <w:marLeft w:val="0"/>
      <w:marRight w:val="0"/>
      <w:marTop w:val="0"/>
      <w:marBottom w:val="0"/>
      <w:divBdr>
        <w:top w:val="none" w:sz="0" w:space="0" w:color="auto"/>
        <w:left w:val="none" w:sz="0" w:space="0" w:color="auto"/>
        <w:bottom w:val="none" w:sz="0" w:space="0" w:color="auto"/>
        <w:right w:val="none" w:sz="0" w:space="0" w:color="auto"/>
      </w:divBdr>
    </w:div>
    <w:div w:id="1939290132">
      <w:marLeft w:val="0"/>
      <w:marRight w:val="0"/>
      <w:marTop w:val="0"/>
      <w:marBottom w:val="0"/>
      <w:divBdr>
        <w:top w:val="none" w:sz="0" w:space="0" w:color="auto"/>
        <w:left w:val="none" w:sz="0" w:space="0" w:color="auto"/>
        <w:bottom w:val="none" w:sz="0" w:space="0" w:color="auto"/>
        <w:right w:val="none" w:sz="0" w:space="0" w:color="auto"/>
      </w:divBdr>
    </w:div>
    <w:div w:id="1964574937">
      <w:marLeft w:val="0"/>
      <w:marRight w:val="0"/>
      <w:marTop w:val="0"/>
      <w:marBottom w:val="0"/>
      <w:divBdr>
        <w:top w:val="none" w:sz="0" w:space="0" w:color="auto"/>
        <w:left w:val="none" w:sz="0" w:space="0" w:color="auto"/>
        <w:bottom w:val="none" w:sz="0" w:space="0" w:color="auto"/>
        <w:right w:val="none" w:sz="0" w:space="0" w:color="auto"/>
      </w:divBdr>
    </w:div>
    <w:div w:id="2037580351">
      <w:marLeft w:val="0"/>
      <w:marRight w:val="0"/>
      <w:marTop w:val="0"/>
      <w:marBottom w:val="0"/>
      <w:divBdr>
        <w:top w:val="none" w:sz="0" w:space="0" w:color="auto"/>
        <w:left w:val="none" w:sz="0" w:space="0" w:color="auto"/>
        <w:bottom w:val="none" w:sz="0" w:space="0" w:color="auto"/>
        <w:right w:val="none" w:sz="0" w:space="0" w:color="auto"/>
      </w:divBdr>
    </w:div>
    <w:div w:id="20560817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ib.irb.hr/1013407"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fidelity.co.uk/shares/ftse-100/company-share-price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oleObject" Target="file:///E:\Freelance\Data2\D\fiver%20projects\Maryum\2025\NOV\1%20(5000%20words)\Book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Freelance\Data2\D\fiver%20projects\Maryum\2025\NOV\1%20(5000%20words)\Book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E:\Freelance\Data2\D\fiver%20projects\Maryum\2025\NOV\1%20(5000%20words)\Book1.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Profitability Ratios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Sheet4!$A$2</c:f>
              <c:strCache>
                <c:ptCount val="1"/>
                <c:pt idx="0">
                  <c:v>Gross Profit Margin</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Sheet4!$C$1:$G$1</c:f>
              <c:numCache>
                <c:formatCode>General</c:formatCode>
                <c:ptCount val="5"/>
                <c:pt idx="0">
                  <c:v>2024</c:v>
                </c:pt>
                <c:pt idx="1">
                  <c:v>2023</c:v>
                </c:pt>
                <c:pt idx="2">
                  <c:v>2022</c:v>
                </c:pt>
                <c:pt idx="3">
                  <c:v>2021</c:v>
                </c:pt>
                <c:pt idx="4">
                  <c:v>2020</c:v>
                </c:pt>
              </c:numCache>
            </c:numRef>
          </c:cat>
          <c:val>
            <c:numRef>
              <c:f>Sheet4!$C$2:$G$2</c:f>
              <c:numCache>
                <c:formatCode>0.00%</c:formatCode>
                <c:ptCount val="5"/>
                <c:pt idx="0">
                  <c:v>0.28868083640811487</c:v>
                </c:pt>
                <c:pt idx="1">
                  <c:v>0.23203324002216635</c:v>
                </c:pt>
                <c:pt idx="2">
                  <c:v>0.28059275800505207</c:v>
                </c:pt>
                <c:pt idx="3">
                  <c:v>0.28759212901552855</c:v>
                </c:pt>
                <c:pt idx="4">
                  <c:v>0.28674432224897506</c:v>
                </c:pt>
              </c:numCache>
            </c:numRef>
          </c:val>
          <c:extLst>
            <c:ext xmlns:c16="http://schemas.microsoft.com/office/drawing/2014/chart" uri="{C3380CC4-5D6E-409C-BE32-E72D297353CC}">
              <c16:uniqueId val="{00000000-1586-496F-BF46-9C7D8709E0A9}"/>
            </c:ext>
          </c:extLst>
        </c:ser>
        <c:ser>
          <c:idx val="1"/>
          <c:order val="1"/>
          <c:tx>
            <c:strRef>
              <c:f>Sheet4!$A$3</c:f>
              <c:strCache>
                <c:ptCount val="1"/>
                <c:pt idx="0">
                  <c:v>Operating Profit Margin</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Sheet4!$C$1:$G$1</c:f>
              <c:numCache>
                <c:formatCode>General</c:formatCode>
                <c:ptCount val="5"/>
                <c:pt idx="0">
                  <c:v>2024</c:v>
                </c:pt>
                <c:pt idx="1">
                  <c:v>2023</c:v>
                </c:pt>
                <c:pt idx="2">
                  <c:v>2022</c:v>
                </c:pt>
                <c:pt idx="3">
                  <c:v>2021</c:v>
                </c:pt>
                <c:pt idx="4">
                  <c:v>2020</c:v>
                </c:pt>
              </c:numCache>
            </c:numRef>
          </c:cat>
          <c:val>
            <c:numRef>
              <c:f>Sheet4!$C$3:$G$3</c:f>
              <c:numCache>
                <c:formatCode>0.00%</c:formatCode>
                <c:ptCount val="5"/>
                <c:pt idx="0">
                  <c:v>-3.8738448993235905E-2</c:v>
                </c:pt>
                <c:pt idx="1">
                  <c:v>-0.20287686969178775</c:v>
                </c:pt>
                <c:pt idx="2">
                  <c:v>2.6804188292605634E-2</c:v>
                </c:pt>
                <c:pt idx="3">
                  <c:v>3.8651799694814845E-2</c:v>
                </c:pt>
                <c:pt idx="4">
                  <c:v>6.0628294397084663E-2</c:v>
                </c:pt>
              </c:numCache>
            </c:numRef>
          </c:val>
          <c:extLst>
            <c:ext xmlns:c16="http://schemas.microsoft.com/office/drawing/2014/chart" uri="{C3380CC4-5D6E-409C-BE32-E72D297353CC}">
              <c16:uniqueId val="{00000001-1586-496F-BF46-9C7D8709E0A9}"/>
            </c:ext>
          </c:extLst>
        </c:ser>
        <c:ser>
          <c:idx val="2"/>
          <c:order val="2"/>
          <c:tx>
            <c:strRef>
              <c:f>Sheet4!$A$4</c:f>
              <c:strCache>
                <c:ptCount val="1"/>
                <c:pt idx="0">
                  <c:v>Net Profit Margin</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Sheet4!$C$1:$G$1</c:f>
              <c:numCache>
                <c:formatCode>General</c:formatCode>
                <c:ptCount val="5"/>
                <c:pt idx="0">
                  <c:v>2024</c:v>
                </c:pt>
                <c:pt idx="1">
                  <c:v>2023</c:v>
                </c:pt>
                <c:pt idx="2">
                  <c:v>2022</c:v>
                </c:pt>
                <c:pt idx="3">
                  <c:v>2021</c:v>
                </c:pt>
                <c:pt idx="4">
                  <c:v>2020</c:v>
                </c:pt>
              </c:numCache>
            </c:numRef>
          </c:cat>
          <c:val>
            <c:numRef>
              <c:f>Sheet4!$C$4:$G$4</c:f>
              <c:numCache>
                <c:formatCode>0.00%</c:formatCode>
                <c:ptCount val="5"/>
                <c:pt idx="0">
                  <c:v>-6.0851551994408414E-2</c:v>
                </c:pt>
                <c:pt idx="1">
                  <c:v>-0.23364577114901167</c:v>
                </c:pt>
                <c:pt idx="2">
                  <c:v>7.4988346405626153E-4</c:v>
                </c:pt>
                <c:pt idx="3">
                  <c:v>8.8114733661124791E-3</c:v>
                </c:pt>
                <c:pt idx="4">
                  <c:v>6.2751350296089026E-2</c:v>
                </c:pt>
              </c:numCache>
            </c:numRef>
          </c:val>
          <c:extLst>
            <c:ext xmlns:c16="http://schemas.microsoft.com/office/drawing/2014/chart" uri="{C3380CC4-5D6E-409C-BE32-E72D297353CC}">
              <c16:uniqueId val="{00000002-1586-496F-BF46-9C7D8709E0A9}"/>
            </c:ext>
          </c:extLst>
        </c:ser>
        <c:ser>
          <c:idx val="3"/>
          <c:order val="3"/>
          <c:tx>
            <c:strRef>
              <c:f>Sheet4!$A$5</c:f>
              <c:strCache>
                <c:ptCount val="1"/>
                <c:pt idx="0">
                  <c:v>Return on Assets (ROA)</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Sheet4!$C$1:$G$1</c:f>
              <c:numCache>
                <c:formatCode>General</c:formatCode>
                <c:ptCount val="5"/>
                <c:pt idx="0">
                  <c:v>2024</c:v>
                </c:pt>
                <c:pt idx="1">
                  <c:v>2023</c:v>
                </c:pt>
                <c:pt idx="2">
                  <c:v>2022</c:v>
                </c:pt>
                <c:pt idx="3">
                  <c:v>2021</c:v>
                </c:pt>
                <c:pt idx="4">
                  <c:v>2020</c:v>
                </c:pt>
              </c:numCache>
            </c:numRef>
          </c:cat>
          <c:val>
            <c:numRef>
              <c:f>Sheet4!$C$5:$G$5</c:f>
              <c:numCache>
                <c:formatCode>0.00%</c:formatCode>
                <c:ptCount val="5"/>
                <c:pt idx="0">
                  <c:v>-7.4311745022483097E-2</c:v>
                </c:pt>
                <c:pt idx="1">
                  <c:v>-0.27604869166441864</c:v>
                </c:pt>
                <c:pt idx="2">
                  <c:v>8.0727859838980649E-4</c:v>
                </c:pt>
                <c:pt idx="3">
                  <c:v>1.0387030026570106E-2</c:v>
                </c:pt>
                <c:pt idx="4">
                  <c:v>7.5588390914969925E-2</c:v>
                </c:pt>
              </c:numCache>
            </c:numRef>
          </c:val>
          <c:extLst>
            <c:ext xmlns:c16="http://schemas.microsoft.com/office/drawing/2014/chart" uri="{C3380CC4-5D6E-409C-BE32-E72D297353CC}">
              <c16:uniqueId val="{00000003-1586-496F-BF46-9C7D8709E0A9}"/>
            </c:ext>
          </c:extLst>
        </c:ser>
        <c:ser>
          <c:idx val="4"/>
          <c:order val="4"/>
          <c:tx>
            <c:strRef>
              <c:f>Sheet4!$A$6</c:f>
              <c:strCache>
                <c:ptCount val="1"/>
                <c:pt idx="0">
                  <c:v>Return on Equity (ROE)</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Sheet4!$C$1:$G$1</c:f>
              <c:numCache>
                <c:formatCode>General</c:formatCode>
                <c:ptCount val="5"/>
                <c:pt idx="0">
                  <c:v>2024</c:v>
                </c:pt>
                <c:pt idx="1">
                  <c:v>2023</c:v>
                </c:pt>
                <c:pt idx="2">
                  <c:v>2022</c:v>
                </c:pt>
                <c:pt idx="3">
                  <c:v>2021</c:v>
                </c:pt>
                <c:pt idx="4">
                  <c:v>2020</c:v>
                </c:pt>
              </c:numCache>
            </c:numRef>
          </c:cat>
          <c:val>
            <c:numRef>
              <c:f>Sheet4!$C$6:$G$6</c:f>
              <c:numCache>
                <c:formatCode>0.00%</c:formatCode>
                <c:ptCount val="5"/>
                <c:pt idx="0">
                  <c:v>-0.1569445805166389</c:v>
                </c:pt>
                <c:pt idx="1">
                  <c:v>-0.54906103286384977</c:v>
                </c:pt>
                <c:pt idx="2">
                  <c:v>1.5163595448685946E-3</c:v>
                </c:pt>
                <c:pt idx="3">
                  <c:v>1.9210071426241804E-2</c:v>
                </c:pt>
                <c:pt idx="4">
                  <c:v>0.1231148320624575</c:v>
                </c:pt>
              </c:numCache>
            </c:numRef>
          </c:val>
          <c:extLst>
            <c:ext xmlns:c16="http://schemas.microsoft.com/office/drawing/2014/chart" uri="{C3380CC4-5D6E-409C-BE32-E72D297353CC}">
              <c16:uniqueId val="{00000004-1586-496F-BF46-9C7D8709E0A9}"/>
            </c:ext>
          </c:extLst>
        </c:ser>
        <c:dLbls>
          <c:showLegendKey val="0"/>
          <c:showVal val="0"/>
          <c:showCatName val="0"/>
          <c:showSerName val="0"/>
          <c:showPercent val="0"/>
          <c:showBubbleSize val="0"/>
        </c:dLbls>
        <c:gapWidth val="100"/>
        <c:overlap val="-24"/>
        <c:axId val="540520656"/>
        <c:axId val="540523792"/>
      </c:barChart>
      <c:catAx>
        <c:axId val="540520656"/>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40523792"/>
        <c:crosses val="autoZero"/>
        <c:auto val="1"/>
        <c:lblAlgn val="ctr"/>
        <c:lblOffset val="100"/>
        <c:noMultiLvlLbl val="0"/>
      </c:catAx>
      <c:valAx>
        <c:axId val="540523792"/>
        <c:scaling>
          <c:orientation val="minMax"/>
        </c:scaling>
        <c:delete val="0"/>
        <c:axPos val="l"/>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405206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Liquidity Ratios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stacked"/>
        <c:varyColors val="0"/>
        <c:ser>
          <c:idx val="0"/>
          <c:order val="0"/>
          <c:tx>
            <c:strRef>
              <c:f>Sheet4!$A$19</c:f>
              <c:strCache>
                <c:ptCount val="1"/>
                <c:pt idx="0">
                  <c:v>Current Ratio</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Sheet4!$C$18:$G$18</c:f>
              <c:numCache>
                <c:formatCode>General</c:formatCode>
                <c:ptCount val="5"/>
                <c:pt idx="0">
                  <c:v>2024</c:v>
                </c:pt>
                <c:pt idx="1">
                  <c:v>2023</c:v>
                </c:pt>
                <c:pt idx="2">
                  <c:v>2022</c:v>
                </c:pt>
                <c:pt idx="3">
                  <c:v>2021</c:v>
                </c:pt>
                <c:pt idx="4">
                  <c:v>2020</c:v>
                </c:pt>
              </c:numCache>
            </c:numRef>
          </c:cat>
          <c:val>
            <c:numRef>
              <c:f>Sheet4!$C$19:$G$19</c:f>
              <c:numCache>
                <c:formatCode>0.00</c:formatCode>
                <c:ptCount val="5"/>
                <c:pt idx="0">
                  <c:v>1.5319506478574272</c:v>
                </c:pt>
                <c:pt idx="1">
                  <c:v>1.6062935934668752</c:v>
                </c:pt>
                <c:pt idx="2">
                  <c:v>1.5615804280441441</c:v>
                </c:pt>
                <c:pt idx="3">
                  <c:v>1.5551947303113194</c:v>
                </c:pt>
                <c:pt idx="4">
                  <c:v>1.8207509330956493</c:v>
                </c:pt>
              </c:numCache>
            </c:numRef>
          </c:val>
          <c:extLst>
            <c:ext xmlns:c16="http://schemas.microsoft.com/office/drawing/2014/chart" uri="{C3380CC4-5D6E-409C-BE32-E72D297353CC}">
              <c16:uniqueId val="{00000000-AA7D-4EC0-A2E2-BDA21EC69E4A}"/>
            </c:ext>
          </c:extLst>
        </c:ser>
        <c:ser>
          <c:idx val="1"/>
          <c:order val="1"/>
          <c:tx>
            <c:strRef>
              <c:f>Sheet4!$A$20</c:f>
              <c:strCache>
                <c:ptCount val="1"/>
                <c:pt idx="0">
                  <c:v>Quick Ratio</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Sheet4!$C$18:$G$18</c:f>
              <c:numCache>
                <c:formatCode>General</c:formatCode>
                <c:ptCount val="5"/>
                <c:pt idx="0">
                  <c:v>2024</c:v>
                </c:pt>
                <c:pt idx="1">
                  <c:v>2023</c:v>
                </c:pt>
                <c:pt idx="2">
                  <c:v>2022</c:v>
                </c:pt>
                <c:pt idx="3">
                  <c:v>2021</c:v>
                </c:pt>
                <c:pt idx="4">
                  <c:v>2020</c:v>
                </c:pt>
              </c:numCache>
            </c:numRef>
          </c:cat>
          <c:val>
            <c:numRef>
              <c:f>Sheet4!$C$20:$G$20</c:f>
              <c:numCache>
                <c:formatCode>0.00</c:formatCode>
                <c:ptCount val="5"/>
                <c:pt idx="0">
                  <c:v>0.9559039995956814</c:v>
                </c:pt>
                <c:pt idx="1">
                  <c:v>0.99031325241393009</c:v>
                </c:pt>
                <c:pt idx="2">
                  <c:v>0.86422787137425916</c:v>
                </c:pt>
                <c:pt idx="3">
                  <c:v>0.89968494420790912</c:v>
                </c:pt>
                <c:pt idx="4">
                  <c:v>1.0933708428499804</c:v>
                </c:pt>
              </c:numCache>
            </c:numRef>
          </c:val>
          <c:extLst>
            <c:ext xmlns:c16="http://schemas.microsoft.com/office/drawing/2014/chart" uri="{C3380CC4-5D6E-409C-BE32-E72D297353CC}">
              <c16:uniqueId val="{00000001-AA7D-4EC0-A2E2-BDA21EC69E4A}"/>
            </c:ext>
          </c:extLst>
        </c:ser>
        <c:ser>
          <c:idx val="2"/>
          <c:order val="2"/>
          <c:tx>
            <c:strRef>
              <c:f>Sheet4!$A$21</c:f>
              <c:strCache>
                <c:ptCount val="1"/>
                <c:pt idx="0">
                  <c:v>Cash Ratio</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Sheet4!$C$18:$G$18</c:f>
              <c:numCache>
                <c:formatCode>General</c:formatCode>
                <c:ptCount val="5"/>
                <c:pt idx="0">
                  <c:v>2024</c:v>
                </c:pt>
                <c:pt idx="1">
                  <c:v>2023</c:v>
                </c:pt>
                <c:pt idx="2">
                  <c:v>2022</c:v>
                </c:pt>
                <c:pt idx="3">
                  <c:v>2021</c:v>
                </c:pt>
                <c:pt idx="4">
                  <c:v>2020</c:v>
                </c:pt>
              </c:numCache>
            </c:numRef>
          </c:cat>
          <c:val>
            <c:numRef>
              <c:f>Sheet4!$C$21:$G$21</c:f>
              <c:numCache>
                <c:formatCode>0.00</c:formatCode>
                <c:ptCount val="5"/>
                <c:pt idx="0">
                  <c:v>0.16920102848551086</c:v>
                </c:pt>
                <c:pt idx="1">
                  <c:v>0.26529029215379651</c:v>
                </c:pt>
                <c:pt idx="2">
                  <c:v>0.30830634767384385</c:v>
                </c:pt>
                <c:pt idx="3">
                  <c:v>0.28051958835170004</c:v>
                </c:pt>
                <c:pt idx="4">
                  <c:v>0.31838337697064228</c:v>
                </c:pt>
              </c:numCache>
            </c:numRef>
          </c:val>
          <c:extLst>
            <c:ext xmlns:c16="http://schemas.microsoft.com/office/drawing/2014/chart" uri="{C3380CC4-5D6E-409C-BE32-E72D297353CC}">
              <c16:uniqueId val="{00000002-AA7D-4EC0-A2E2-BDA21EC69E4A}"/>
            </c:ext>
          </c:extLst>
        </c:ser>
        <c:dLbls>
          <c:dLblPos val="ctr"/>
          <c:showLegendKey val="0"/>
          <c:showVal val="1"/>
          <c:showCatName val="0"/>
          <c:showSerName val="0"/>
          <c:showPercent val="0"/>
          <c:showBubbleSize val="0"/>
        </c:dLbls>
        <c:gapWidth val="150"/>
        <c:overlap val="100"/>
        <c:axId val="540525360"/>
        <c:axId val="544333792"/>
      </c:barChart>
      <c:catAx>
        <c:axId val="540525360"/>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44333792"/>
        <c:crosses val="autoZero"/>
        <c:auto val="1"/>
        <c:lblAlgn val="ctr"/>
        <c:lblOffset val="100"/>
        <c:noMultiLvlLbl val="0"/>
      </c:catAx>
      <c:valAx>
        <c:axId val="544333792"/>
        <c:scaling>
          <c:orientation val="minMax"/>
        </c:scaling>
        <c:delete val="0"/>
        <c:axPos val="l"/>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405253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Efficiency Ratios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Sheet4!$A$32</c:f>
              <c:strCache>
                <c:ptCount val="1"/>
                <c:pt idx="0">
                  <c:v>Inventory Days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Sheet4!$C$31:$G$31</c:f>
              <c:numCache>
                <c:formatCode>General</c:formatCode>
                <c:ptCount val="5"/>
                <c:pt idx="0">
                  <c:v>2024</c:v>
                </c:pt>
                <c:pt idx="1">
                  <c:v>2023</c:v>
                </c:pt>
                <c:pt idx="2">
                  <c:v>2022</c:v>
                </c:pt>
                <c:pt idx="3">
                  <c:v>2021</c:v>
                </c:pt>
                <c:pt idx="4">
                  <c:v>2020</c:v>
                </c:pt>
              </c:numCache>
            </c:numRef>
          </c:cat>
          <c:val>
            <c:numRef>
              <c:f>Sheet4!$C$32:$G$32</c:f>
              <c:numCache>
                <c:formatCode>0</c:formatCode>
                <c:ptCount val="5"/>
                <c:pt idx="0">
                  <c:v>103.11898107766524</c:v>
                </c:pt>
                <c:pt idx="1">
                  <c:v>99.783042270445378</c:v>
                </c:pt>
                <c:pt idx="2">
                  <c:v>131.04081350410669</c:v>
                </c:pt>
                <c:pt idx="3">
                  <c:v>114.51887135837381</c:v>
                </c:pt>
                <c:pt idx="4">
                  <c:v>100.26127675492218</c:v>
                </c:pt>
              </c:numCache>
            </c:numRef>
          </c:val>
          <c:extLst>
            <c:ext xmlns:c16="http://schemas.microsoft.com/office/drawing/2014/chart" uri="{C3380CC4-5D6E-409C-BE32-E72D297353CC}">
              <c16:uniqueId val="{00000000-AD6F-4882-B97B-D1610F1557C3}"/>
            </c:ext>
          </c:extLst>
        </c:ser>
        <c:ser>
          <c:idx val="1"/>
          <c:order val="1"/>
          <c:tx>
            <c:strRef>
              <c:f>Sheet4!$A$33</c:f>
              <c:strCache>
                <c:ptCount val="1"/>
                <c:pt idx="0">
                  <c:v>Receivables Days</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dLbl>
              <c:idx val="0"/>
              <c:layout>
                <c:manualLayout>
                  <c:x val="1.9230769230769232E-2"/>
                  <c:y val="-6.7616517749335928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AD6F-4882-B97B-D1610F1557C3}"/>
                </c:ext>
              </c:extLst>
            </c:dLbl>
            <c:dLbl>
              <c:idx val="1"/>
              <c:layout>
                <c:manualLayout>
                  <c:x val="4.4871794871794872E-2"/>
                  <c:y val="-6.2786766481526202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AD6F-4882-B97B-D1610F1557C3}"/>
                </c:ext>
              </c:extLst>
            </c:dLbl>
            <c:dLbl>
              <c:idx val="2"/>
              <c:layout>
                <c:manualLayout>
                  <c:x val="2.77777777777777E-2"/>
                  <c:y val="-7.2446269017145667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AD6F-4882-B97B-D1610F1557C3}"/>
                </c:ext>
              </c:extLst>
            </c:dLbl>
            <c:dLbl>
              <c:idx val="3"/>
              <c:layout>
                <c:manualLayout>
                  <c:x val="2.5641025641025564E-2"/>
                  <c:y val="-0.11108427915962328"/>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AD6F-4882-B97B-D1610F1557C3}"/>
                </c:ext>
              </c:extLst>
            </c:dLbl>
            <c:dLbl>
              <c:idx val="4"/>
              <c:layout>
                <c:manualLayout>
                  <c:x val="2.9914529914529756E-2"/>
                  <c:y val="-8.693552282057479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AD6F-4882-B97B-D1610F1557C3}"/>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Sheet4!$C$31:$G$31</c:f>
              <c:numCache>
                <c:formatCode>General</c:formatCode>
                <c:ptCount val="5"/>
                <c:pt idx="0">
                  <c:v>2024</c:v>
                </c:pt>
                <c:pt idx="1">
                  <c:v>2023</c:v>
                </c:pt>
                <c:pt idx="2">
                  <c:v>2022</c:v>
                </c:pt>
                <c:pt idx="3">
                  <c:v>2021</c:v>
                </c:pt>
                <c:pt idx="4">
                  <c:v>2020</c:v>
                </c:pt>
              </c:numCache>
            </c:numRef>
          </c:cat>
          <c:val>
            <c:numRef>
              <c:f>Sheet4!$C$33:$G$33</c:f>
              <c:numCache>
                <c:formatCode>General</c:formatCode>
                <c:ptCount val="5"/>
                <c:pt idx="0">
                  <c:v>115.10543736182476</c:v>
                </c:pt>
                <c:pt idx="1">
                  <c:v>101.42568681220672</c:v>
                </c:pt>
                <c:pt idx="2">
                  <c:v>80.929984468015718</c:v>
                </c:pt>
                <c:pt idx="3">
                  <c:v>81.437320687098776</c:v>
                </c:pt>
                <c:pt idx="4">
                  <c:v>82.608950998893732</c:v>
                </c:pt>
              </c:numCache>
            </c:numRef>
          </c:val>
          <c:extLst>
            <c:ext xmlns:c16="http://schemas.microsoft.com/office/drawing/2014/chart" uri="{C3380CC4-5D6E-409C-BE32-E72D297353CC}">
              <c16:uniqueId val="{00000006-AD6F-4882-B97B-D1610F1557C3}"/>
            </c:ext>
          </c:extLst>
        </c:ser>
        <c:ser>
          <c:idx val="2"/>
          <c:order val="2"/>
          <c:tx>
            <c:strRef>
              <c:f>Sheet4!$A$34</c:f>
              <c:strCache>
                <c:ptCount val="1"/>
                <c:pt idx="0">
                  <c:v>Payables Days</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Sheet4!$C$31:$G$31</c:f>
              <c:numCache>
                <c:formatCode>General</c:formatCode>
                <c:ptCount val="5"/>
                <c:pt idx="0">
                  <c:v>2024</c:v>
                </c:pt>
                <c:pt idx="1">
                  <c:v>2023</c:v>
                </c:pt>
                <c:pt idx="2">
                  <c:v>2022</c:v>
                </c:pt>
                <c:pt idx="3">
                  <c:v>2021</c:v>
                </c:pt>
                <c:pt idx="4">
                  <c:v>2020</c:v>
                </c:pt>
              </c:numCache>
            </c:numRef>
          </c:cat>
          <c:val>
            <c:numRef>
              <c:f>Sheet4!$C$34:$G$34</c:f>
              <c:numCache>
                <c:formatCode>0</c:formatCode>
                <c:ptCount val="5"/>
                <c:pt idx="0">
                  <c:v>93.601705324243014</c:v>
                </c:pt>
                <c:pt idx="1">
                  <c:v>64.469614149403682</c:v>
                </c:pt>
                <c:pt idx="2">
                  <c:v>66.719284227025113</c:v>
                </c:pt>
                <c:pt idx="3">
                  <c:v>78.952777272239402</c:v>
                </c:pt>
                <c:pt idx="4">
                  <c:v>69.290424338083682</c:v>
                </c:pt>
              </c:numCache>
            </c:numRef>
          </c:val>
          <c:extLst>
            <c:ext xmlns:c16="http://schemas.microsoft.com/office/drawing/2014/chart" uri="{C3380CC4-5D6E-409C-BE32-E72D297353CC}">
              <c16:uniqueId val="{00000007-AD6F-4882-B97B-D1610F1557C3}"/>
            </c:ext>
          </c:extLst>
        </c:ser>
        <c:dLbls>
          <c:dLblPos val="outEnd"/>
          <c:showLegendKey val="0"/>
          <c:showVal val="1"/>
          <c:showCatName val="0"/>
          <c:showSerName val="0"/>
          <c:showPercent val="0"/>
          <c:showBubbleSize val="0"/>
        </c:dLbls>
        <c:gapWidth val="100"/>
        <c:overlap val="-24"/>
        <c:axId val="544330656"/>
        <c:axId val="544331048"/>
      </c:barChart>
      <c:catAx>
        <c:axId val="544330656"/>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44331048"/>
        <c:crosses val="autoZero"/>
        <c:auto val="1"/>
        <c:lblAlgn val="ctr"/>
        <c:lblOffset val="100"/>
        <c:noMultiLvlLbl val="0"/>
      </c:catAx>
      <c:valAx>
        <c:axId val="544331048"/>
        <c:scaling>
          <c:orientation val="minMax"/>
        </c:scaling>
        <c:delete val="0"/>
        <c:axPos val="l"/>
        <c:majorGridlines>
          <c:spPr>
            <a:ln w="9525" cap="flat" cmpd="sng" algn="ctr">
              <a:solidFill>
                <a:schemeClr val="lt1">
                  <a:lumMod val="95000"/>
                  <a:alpha val="10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443306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30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0BE575-3ED6-43A8-8EE1-E39C0F528E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7197</Words>
  <Characters>41023</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2025-12-18T15:27:00Z</dcterms:created>
  <dcterms:modified xsi:type="dcterms:W3CDTF">2025-12-18T15:37:00Z</dcterms:modified>
</cp:coreProperties>
</file>