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7C246" w14:textId="0222763D" w:rsidR="00890A23" w:rsidRPr="00A722CE" w:rsidRDefault="002A51CE" w:rsidP="00A722CE">
      <w:pPr>
        <w:jc w:val="center"/>
      </w:pPr>
      <w:r>
        <w:rPr>
          <w:rFonts w:ascii="Arial" w:hAnsi="Arial" w:cs="Arial"/>
          <w:b/>
          <w:bCs/>
          <w:sz w:val="56"/>
          <w:szCs w:val="56"/>
        </w:rPr>
        <w:t xml:space="preserve">To evaluate </w:t>
      </w:r>
      <w:r w:rsidR="00A722CE">
        <w:rPr>
          <w:rFonts w:ascii="Arial" w:hAnsi="Arial" w:cs="Arial"/>
          <w:b/>
          <w:bCs/>
          <w:sz w:val="56"/>
          <w:szCs w:val="56"/>
        </w:rPr>
        <w:t xml:space="preserve">how </w:t>
      </w:r>
      <w:r w:rsidR="00D76EBC">
        <w:rPr>
          <w:rFonts w:ascii="Arial" w:hAnsi="Arial" w:cs="Arial"/>
          <w:b/>
          <w:bCs/>
          <w:sz w:val="56"/>
          <w:szCs w:val="56"/>
        </w:rPr>
        <w:t>te</w:t>
      </w:r>
      <w:r w:rsidR="00E4118C">
        <w:rPr>
          <w:rFonts w:ascii="Arial" w:hAnsi="Arial" w:cs="Arial"/>
          <w:b/>
          <w:bCs/>
          <w:sz w:val="56"/>
          <w:szCs w:val="56"/>
        </w:rPr>
        <w:t>chn</w:t>
      </w:r>
      <w:r w:rsidR="00084D05">
        <w:rPr>
          <w:rFonts w:ascii="Arial" w:hAnsi="Arial" w:cs="Arial"/>
          <w:b/>
          <w:bCs/>
          <w:sz w:val="56"/>
          <w:szCs w:val="56"/>
        </w:rPr>
        <w:t>ology</w:t>
      </w:r>
      <w:r w:rsidR="0049518C" w:rsidRPr="0049518C">
        <w:rPr>
          <w:rFonts w:ascii="Arial" w:hAnsi="Arial" w:cs="Arial"/>
          <w:b/>
          <w:bCs/>
          <w:sz w:val="56"/>
          <w:szCs w:val="56"/>
        </w:rPr>
        <w:t xml:space="preserve"> </w:t>
      </w:r>
      <w:proofErr w:type="gramStart"/>
      <w:r w:rsidR="0049518C" w:rsidRPr="0049518C">
        <w:rPr>
          <w:rFonts w:ascii="Arial" w:hAnsi="Arial" w:cs="Arial"/>
          <w:b/>
          <w:bCs/>
          <w:sz w:val="56"/>
          <w:szCs w:val="56"/>
        </w:rPr>
        <w:t xml:space="preserve">has </w:t>
      </w:r>
      <w:r w:rsidR="005B485F">
        <w:rPr>
          <w:rFonts w:ascii="Arial" w:hAnsi="Arial" w:cs="Arial"/>
          <w:b/>
          <w:bCs/>
          <w:sz w:val="56"/>
          <w:szCs w:val="56"/>
        </w:rPr>
        <w:t xml:space="preserve"> </w:t>
      </w:r>
      <w:r w:rsidR="00F71AE3" w:rsidRPr="008366EA">
        <w:rPr>
          <w:rFonts w:ascii="Arial" w:hAnsi="Arial" w:cs="Arial"/>
          <w:b/>
          <w:bCs/>
          <w:sz w:val="56"/>
          <w:szCs w:val="56"/>
        </w:rPr>
        <w:t>improv</w:t>
      </w:r>
      <w:r w:rsidR="00900FCC">
        <w:rPr>
          <w:rFonts w:ascii="Arial" w:hAnsi="Arial" w:cs="Arial"/>
          <w:b/>
          <w:bCs/>
          <w:sz w:val="56"/>
          <w:szCs w:val="56"/>
        </w:rPr>
        <w:t>e</w:t>
      </w:r>
      <w:r w:rsidR="00943D7A">
        <w:rPr>
          <w:rFonts w:ascii="Arial" w:hAnsi="Arial" w:cs="Arial"/>
          <w:b/>
          <w:bCs/>
          <w:sz w:val="56"/>
          <w:szCs w:val="56"/>
        </w:rPr>
        <w:t>d</w:t>
      </w:r>
      <w:proofErr w:type="gramEnd"/>
      <w:r w:rsidR="00F71AE3" w:rsidRPr="008366EA">
        <w:rPr>
          <w:rFonts w:ascii="Arial" w:hAnsi="Arial" w:cs="Arial"/>
          <w:b/>
          <w:bCs/>
          <w:sz w:val="56"/>
          <w:szCs w:val="56"/>
        </w:rPr>
        <w:t xml:space="preserve"> </w:t>
      </w:r>
      <w:r w:rsidR="00943D7A" w:rsidRPr="008366EA">
        <w:rPr>
          <w:rFonts w:ascii="Arial" w:hAnsi="Arial" w:cs="Arial"/>
          <w:b/>
          <w:bCs/>
          <w:sz w:val="56"/>
          <w:szCs w:val="56"/>
        </w:rPr>
        <w:t>proficiency</w:t>
      </w:r>
      <w:r w:rsidR="008366EA" w:rsidRPr="008366EA">
        <w:rPr>
          <w:rFonts w:ascii="Arial" w:hAnsi="Arial" w:cs="Arial"/>
          <w:b/>
          <w:bCs/>
          <w:sz w:val="56"/>
          <w:szCs w:val="56"/>
        </w:rPr>
        <w:t xml:space="preserve"> in </w:t>
      </w:r>
      <w:r w:rsidR="00943D7A">
        <w:rPr>
          <w:rFonts w:ascii="Arial" w:hAnsi="Arial" w:cs="Arial"/>
          <w:b/>
          <w:bCs/>
          <w:sz w:val="56"/>
          <w:szCs w:val="56"/>
        </w:rPr>
        <w:t>GP</w:t>
      </w:r>
      <w:r w:rsidR="00C03479">
        <w:rPr>
          <w:rFonts w:ascii="Arial" w:hAnsi="Arial" w:cs="Arial"/>
          <w:b/>
          <w:bCs/>
          <w:sz w:val="56"/>
          <w:szCs w:val="56"/>
        </w:rPr>
        <w:t xml:space="preserve"> Surgeries</w:t>
      </w:r>
    </w:p>
    <w:p w14:paraId="0183E48A" w14:textId="3BE33802" w:rsidR="008366EA" w:rsidRDefault="008366EA" w:rsidP="008366EA">
      <w:pPr>
        <w:rPr>
          <w:rFonts w:ascii="Arial" w:hAnsi="Arial" w:cs="Arial"/>
          <w:b/>
          <w:bCs/>
          <w:sz w:val="56"/>
          <w:szCs w:val="56"/>
        </w:rPr>
      </w:pPr>
    </w:p>
    <w:p w14:paraId="6A9AED19" w14:textId="77777777" w:rsidR="00A87092" w:rsidRDefault="00A87092" w:rsidP="00A87092">
      <w:pPr>
        <w:jc w:val="center"/>
        <w:rPr>
          <w:rFonts w:ascii="Arial" w:hAnsi="Arial"/>
          <w:sz w:val="56"/>
          <w:szCs w:val="56"/>
        </w:rPr>
      </w:pPr>
      <w:r>
        <w:rPr>
          <w:rFonts w:ascii="Arial" w:hAnsi="Arial"/>
          <w:sz w:val="56"/>
          <w:szCs w:val="56"/>
        </w:rPr>
        <w:t>Grace Bassey Nkoyo George Duke Henshaw</w:t>
      </w:r>
    </w:p>
    <w:p w14:paraId="5486D164" w14:textId="77777777" w:rsidR="00A87092" w:rsidRDefault="00A87092" w:rsidP="00A87092">
      <w:pPr>
        <w:jc w:val="center"/>
        <w:rPr>
          <w:rFonts w:ascii="Arial" w:hAnsi="Arial"/>
          <w:sz w:val="48"/>
          <w:szCs w:val="48"/>
        </w:rPr>
      </w:pPr>
      <w:r>
        <w:rPr>
          <w:rFonts w:ascii="Arial" w:hAnsi="Arial"/>
          <w:sz w:val="48"/>
          <w:szCs w:val="48"/>
        </w:rPr>
        <w:t>Student ID: 2020571</w:t>
      </w:r>
    </w:p>
    <w:p w14:paraId="531BC617" w14:textId="77777777" w:rsidR="00A87092" w:rsidRDefault="00A87092" w:rsidP="00A87092">
      <w:pPr>
        <w:tabs>
          <w:tab w:val="left" w:pos="2160"/>
        </w:tabs>
        <w:jc w:val="center"/>
        <w:rPr>
          <w:rFonts w:ascii="Arial" w:hAnsi="Arial"/>
          <w:sz w:val="48"/>
          <w:szCs w:val="48"/>
        </w:rPr>
      </w:pPr>
    </w:p>
    <w:p w14:paraId="3AEFBF6C" w14:textId="659EF0CD" w:rsidR="008366EA" w:rsidRPr="00E54B30" w:rsidRDefault="00A87092" w:rsidP="00E54B30">
      <w:pPr>
        <w:tabs>
          <w:tab w:val="left" w:pos="2160"/>
        </w:tabs>
        <w:jc w:val="center"/>
        <w:rPr>
          <w:rFonts w:ascii="Arial" w:hAnsi="Arial"/>
          <w:sz w:val="48"/>
          <w:szCs w:val="48"/>
        </w:rPr>
      </w:pPr>
      <w:r>
        <w:rPr>
          <w:rFonts w:ascii="Arial" w:hAnsi="Arial"/>
          <w:sz w:val="48"/>
          <w:szCs w:val="48"/>
        </w:rPr>
        <w:t xml:space="preserve">Lecturer: </w:t>
      </w:r>
      <w:proofErr w:type="spellStart"/>
      <w:proofErr w:type="gramStart"/>
      <w:r>
        <w:rPr>
          <w:rFonts w:ascii="Arial" w:hAnsi="Arial"/>
          <w:sz w:val="48"/>
          <w:szCs w:val="48"/>
        </w:rPr>
        <w:t>Dr.Soban</w:t>
      </w:r>
      <w:proofErr w:type="spellEnd"/>
      <w:proofErr w:type="gramEnd"/>
      <w:r>
        <w:rPr>
          <w:rFonts w:ascii="Arial" w:hAnsi="Arial"/>
          <w:sz w:val="48"/>
          <w:szCs w:val="48"/>
        </w:rPr>
        <w:t xml:space="preserve"> Sadiq</w:t>
      </w:r>
    </w:p>
    <w:p w14:paraId="5E413514" w14:textId="77777777" w:rsidR="003A7C82" w:rsidRDefault="003A7C82" w:rsidP="003A7C82">
      <w:pPr>
        <w:tabs>
          <w:tab w:val="left" w:pos="2160"/>
        </w:tabs>
        <w:jc w:val="center"/>
        <w:rPr>
          <w:rFonts w:ascii="Arial" w:hAnsi="Arial" w:cs="Arial"/>
          <w:sz w:val="48"/>
          <w:szCs w:val="48"/>
        </w:rPr>
      </w:pPr>
    </w:p>
    <w:p w14:paraId="5DDAD791" w14:textId="77777777" w:rsidR="00FA2CD6" w:rsidRDefault="00FA2CD6" w:rsidP="003A7C82">
      <w:pPr>
        <w:tabs>
          <w:tab w:val="left" w:pos="2160"/>
        </w:tabs>
        <w:jc w:val="center"/>
        <w:rPr>
          <w:rFonts w:ascii="Arial" w:hAnsi="Arial" w:cs="Arial"/>
          <w:sz w:val="48"/>
          <w:szCs w:val="48"/>
        </w:rPr>
      </w:pPr>
    </w:p>
    <w:p w14:paraId="5BBBA835" w14:textId="1E091798" w:rsidR="008366EA" w:rsidRPr="003A7C82" w:rsidRDefault="008366EA" w:rsidP="003A7C82">
      <w:pPr>
        <w:tabs>
          <w:tab w:val="left" w:pos="2160"/>
        </w:tabs>
        <w:jc w:val="center"/>
        <w:rPr>
          <w:rFonts w:ascii="Arial" w:hAnsi="Arial" w:cs="Arial"/>
          <w:sz w:val="48"/>
          <w:szCs w:val="48"/>
        </w:rPr>
      </w:pPr>
      <w:r w:rsidRPr="003A7C82">
        <w:rPr>
          <w:rFonts w:ascii="Arial" w:hAnsi="Arial" w:cs="Arial"/>
          <w:sz w:val="48"/>
          <w:szCs w:val="48"/>
        </w:rPr>
        <w:t>BMSW4003</w:t>
      </w:r>
    </w:p>
    <w:p w14:paraId="00918F90" w14:textId="3B910FD5" w:rsidR="008366EA" w:rsidRPr="003A7C82" w:rsidRDefault="008366EA" w:rsidP="003A7C82">
      <w:pPr>
        <w:tabs>
          <w:tab w:val="left" w:pos="2160"/>
        </w:tabs>
        <w:jc w:val="center"/>
        <w:rPr>
          <w:rFonts w:ascii="Arial" w:hAnsi="Arial" w:cs="Arial"/>
          <w:sz w:val="48"/>
          <w:szCs w:val="48"/>
        </w:rPr>
      </w:pPr>
      <w:r w:rsidRPr="003A7C82">
        <w:rPr>
          <w:rFonts w:ascii="Arial" w:hAnsi="Arial" w:cs="Arial"/>
          <w:sz w:val="48"/>
          <w:szCs w:val="48"/>
        </w:rPr>
        <w:t>Digital Skills and Research Methods</w:t>
      </w:r>
    </w:p>
    <w:p w14:paraId="04E3D720" w14:textId="0BD037F6" w:rsidR="008366EA" w:rsidRDefault="008366EA" w:rsidP="003A7C82">
      <w:pPr>
        <w:tabs>
          <w:tab w:val="left" w:pos="2160"/>
        </w:tabs>
        <w:jc w:val="center"/>
        <w:rPr>
          <w:rFonts w:ascii="Arial" w:hAnsi="Arial" w:cs="Arial"/>
          <w:sz w:val="48"/>
          <w:szCs w:val="48"/>
        </w:rPr>
      </w:pPr>
      <w:r w:rsidRPr="003A7C82">
        <w:rPr>
          <w:rFonts w:ascii="Arial" w:hAnsi="Arial" w:cs="Arial"/>
          <w:sz w:val="48"/>
          <w:szCs w:val="48"/>
        </w:rPr>
        <w:t xml:space="preserve">Level 4: Certificate in </w:t>
      </w:r>
      <w:r w:rsidR="003A7C82">
        <w:rPr>
          <w:rFonts w:ascii="Arial" w:hAnsi="Arial" w:cs="Arial"/>
          <w:sz w:val="48"/>
          <w:szCs w:val="48"/>
        </w:rPr>
        <w:t>H</w:t>
      </w:r>
      <w:r w:rsidRPr="003A7C82">
        <w:rPr>
          <w:rFonts w:ascii="Arial" w:hAnsi="Arial" w:cs="Arial"/>
          <w:sz w:val="48"/>
          <w:szCs w:val="48"/>
        </w:rPr>
        <w:t xml:space="preserve">igher </w:t>
      </w:r>
      <w:r w:rsidR="003A7C82">
        <w:rPr>
          <w:rFonts w:ascii="Arial" w:hAnsi="Arial" w:cs="Arial"/>
          <w:sz w:val="48"/>
          <w:szCs w:val="48"/>
        </w:rPr>
        <w:t>E</w:t>
      </w:r>
      <w:r w:rsidRPr="003A7C82">
        <w:rPr>
          <w:rFonts w:ascii="Arial" w:hAnsi="Arial" w:cs="Arial"/>
          <w:sz w:val="48"/>
          <w:szCs w:val="48"/>
        </w:rPr>
        <w:t>ducation: Health and Social care</w:t>
      </w:r>
    </w:p>
    <w:p w14:paraId="326B8DFF" w14:textId="45FFD36C" w:rsidR="00BE47AA" w:rsidRDefault="007377E4" w:rsidP="00BE47AA">
      <w:pPr>
        <w:tabs>
          <w:tab w:val="left" w:pos="2160"/>
        </w:tabs>
        <w:jc w:val="center"/>
        <w:rPr>
          <w:rFonts w:ascii="Arial" w:hAnsi="Arial" w:cs="Arial"/>
          <w:sz w:val="48"/>
          <w:szCs w:val="48"/>
        </w:rPr>
      </w:pPr>
      <w:r>
        <w:rPr>
          <w:rFonts w:ascii="Arial" w:hAnsi="Arial" w:cs="Arial"/>
          <w:sz w:val="48"/>
          <w:szCs w:val="48"/>
        </w:rPr>
        <w:t>5th</w:t>
      </w:r>
      <w:r w:rsidR="004F6003">
        <w:rPr>
          <w:rFonts w:ascii="Arial" w:hAnsi="Arial" w:cs="Arial"/>
          <w:sz w:val="48"/>
          <w:szCs w:val="48"/>
        </w:rPr>
        <w:t xml:space="preserve"> </w:t>
      </w:r>
      <w:r w:rsidR="002A51CE">
        <w:rPr>
          <w:rFonts w:ascii="Arial" w:hAnsi="Arial" w:cs="Arial"/>
          <w:sz w:val="48"/>
          <w:szCs w:val="48"/>
        </w:rPr>
        <w:t>May</w:t>
      </w:r>
      <w:r w:rsidR="00BE47AA">
        <w:rPr>
          <w:rFonts w:ascii="Arial" w:hAnsi="Arial" w:cs="Arial"/>
          <w:sz w:val="48"/>
          <w:szCs w:val="48"/>
        </w:rPr>
        <w:t xml:space="preserve"> 2021</w:t>
      </w:r>
    </w:p>
    <w:p w14:paraId="26283F7B" w14:textId="77777777" w:rsidR="00E54B30" w:rsidRPr="003A7C82" w:rsidRDefault="00E54B30" w:rsidP="00BE47AA">
      <w:pPr>
        <w:tabs>
          <w:tab w:val="left" w:pos="2160"/>
        </w:tabs>
        <w:jc w:val="center"/>
        <w:rPr>
          <w:rFonts w:ascii="Arial" w:hAnsi="Arial" w:cs="Arial"/>
          <w:sz w:val="48"/>
          <w:szCs w:val="48"/>
        </w:rPr>
      </w:pPr>
    </w:p>
    <w:p w14:paraId="7957D444" w14:textId="6F9E32C5" w:rsidR="008366EA" w:rsidRDefault="008366EA" w:rsidP="008366EA">
      <w:pPr>
        <w:tabs>
          <w:tab w:val="left" w:pos="2760"/>
        </w:tabs>
        <w:rPr>
          <w:rFonts w:ascii="Arial" w:hAnsi="Arial" w:cs="Arial"/>
          <w:sz w:val="56"/>
          <w:szCs w:val="56"/>
        </w:rPr>
      </w:pPr>
      <w:r>
        <w:rPr>
          <w:rFonts w:ascii="Arial" w:hAnsi="Arial" w:cs="Arial"/>
          <w:sz w:val="56"/>
          <w:szCs w:val="56"/>
        </w:rPr>
        <w:tab/>
      </w:r>
    </w:p>
    <w:p w14:paraId="230E94CC" w14:textId="475F71B6" w:rsidR="00BE47AA" w:rsidRDefault="00BE47AA" w:rsidP="008366EA">
      <w:pPr>
        <w:tabs>
          <w:tab w:val="left" w:pos="2760"/>
        </w:tabs>
        <w:rPr>
          <w:rFonts w:ascii="Arial" w:hAnsi="Arial" w:cs="Arial"/>
          <w:sz w:val="24"/>
          <w:szCs w:val="24"/>
        </w:rPr>
      </w:pPr>
    </w:p>
    <w:p w14:paraId="339A3D24" w14:textId="1DEEB710" w:rsidR="00FA2CD6" w:rsidRDefault="00FA2CD6" w:rsidP="00C03479">
      <w:pPr>
        <w:tabs>
          <w:tab w:val="left" w:pos="2760"/>
        </w:tabs>
        <w:jc w:val="center"/>
        <w:rPr>
          <w:rFonts w:ascii="Arial" w:hAnsi="Arial" w:cs="Arial"/>
          <w:b/>
          <w:bCs/>
          <w:sz w:val="36"/>
          <w:szCs w:val="36"/>
        </w:rPr>
      </w:pPr>
      <w:r w:rsidRPr="002A7850">
        <w:rPr>
          <w:rFonts w:ascii="Arial" w:hAnsi="Arial" w:cs="Arial"/>
          <w:b/>
          <w:bCs/>
          <w:sz w:val="36"/>
          <w:szCs w:val="36"/>
        </w:rPr>
        <w:lastRenderedPageBreak/>
        <w:t>Table of Contents</w:t>
      </w:r>
    </w:p>
    <w:p w14:paraId="69F190FD" w14:textId="77777777" w:rsidR="002A7850" w:rsidRPr="002A7850" w:rsidRDefault="002A7850" w:rsidP="008366EA">
      <w:pPr>
        <w:tabs>
          <w:tab w:val="left" w:pos="2760"/>
        </w:tabs>
        <w:rPr>
          <w:rFonts w:ascii="Arial" w:hAnsi="Arial" w:cs="Arial"/>
          <w:b/>
          <w:bCs/>
          <w:sz w:val="36"/>
          <w:szCs w:val="36"/>
        </w:rPr>
      </w:pPr>
    </w:p>
    <w:tbl>
      <w:tblPr>
        <w:tblStyle w:val="TableGrid"/>
        <w:tblW w:w="9209" w:type="dxa"/>
        <w:tblLook w:val="04A0" w:firstRow="1" w:lastRow="0" w:firstColumn="1" w:lastColumn="0" w:noHBand="0" w:noVBand="1"/>
      </w:tblPr>
      <w:tblGrid>
        <w:gridCol w:w="7083"/>
        <w:gridCol w:w="2126"/>
      </w:tblGrid>
      <w:tr w:rsidR="00FA2CD6" w14:paraId="0EADA1B2" w14:textId="77777777" w:rsidTr="00561E22">
        <w:tc>
          <w:tcPr>
            <w:tcW w:w="7083" w:type="dxa"/>
          </w:tcPr>
          <w:p w14:paraId="56A15EC5" w14:textId="151BF661" w:rsidR="00FA2CD6" w:rsidRPr="002A7850" w:rsidRDefault="002A7850" w:rsidP="002A7850">
            <w:pPr>
              <w:tabs>
                <w:tab w:val="left" w:pos="2760"/>
              </w:tabs>
              <w:jc w:val="center"/>
              <w:rPr>
                <w:rFonts w:ascii="Arial" w:hAnsi="Arial" w:cs="Arial"/>
                <w:b/>
                <w:bCs/>
                <w:sz w:val="28"/>
                <w:szCs w:val="28"/>
              </w:rPr>
            </w:pPr>
            <w:r w:rsidRPr="002A7850">
              <w:rPr>
                <w:rFonts w:ascii="Arial" w:hAnsi="Arial" w:cs="Arial"/>
                <w:b/>
                <w:bCs/>
                <w:sz w:val="28"/>
                <w:szCs w:val="28"/>
              </w:rPr>
              <w:t>Contents</w:t>
            </w:r>
          </w:p>
        </w:tc>
        <w:tc>
          <w:tcPr>
            <w:tcW w:w="2126" w:type="dxa"/>
          </w:tcPr>
          <w:p w14:paraId="07BD9299" w14:textId="5919B2E8" w:rsidR="00FA2CD6" w:rsidRPr="002A7850" w:rsidRDefault="002A7850" w:rsidP="002A7850">
            <w:pPr>
              <w:tabs>
                <w:tab w:val="left" w:pos="2760"/>
              </w:tabs>
              <w:jc w:val="center"/>
              <w:rPr>
                <w:rFonts w:ascii="Arial" w:hAnsi="Arial" w:cs="Arial"/>
                <w:b/>
                <w:bCs/>
                <w:sz w:val="28"/>
                <w:szCs w:val="28"/>
              </w:rPr>
            </w:pPr>
            <w:r w:rsidRPr="002A7850">
              <w:rPr>
                <w:rFonts w:ascii="Arial" w:hAnsi="Arial" w:cs="Arial"/>
                <w:b/>
                <w:bCs/>
                <w:sz w:val="28"/>
                <w:szCs w:val="28"/>
              </w:rPr>
              <w:t>Page Number</w:t>
            </w:r>
          </w:p>
        </w:tc>
      </w:tr>
      <w:tr w:rsidR="00FA2CD6" w14:paraId="624F218C" w14:textId="77777777" w:rsidTr="00561E22">
        <w:tc>
          <w:tcPr>
            <w:tcW w:w="7083" w:type="dxa"/>
          </w:tcPr>
          <w:p w14:paraId="3620E04A" w14:textId="198024F7" w:rsidR="00FA2CD6" w:rsidRPr="002A7850" w:rsidRDefault="002A7850" w:rsidP="002A7850">
            <w:pPr>
              <w:tabs>
                <w:tab w:val="left" w:pos="2760"/>
              </w:tabs>
              <w:spacing w:line="480" w:lineRule="auto"/>
              <w:rPr>
                <w:rFonts w:ascii="Arial" w:hAnsi="Arial" w:cs="Arial"/>
                <w:sz w:val="24"/>
                <w:szCs w:val="24"/>
              </w:rPr>
            </w:pPr>
            <w:r w:rsidRPr="002A7850">
              <w:rPr>
                <w:rFonts w:ascii="Arial" w:hAnsi="Arial" w:cs="Arial"/>
                <w:sz w:val="24"/>
                <w:szCs w:val="24"/>
              </w:rPr>
              <w:t>1.Introduction</w:t>
            </w:r>
            <w:r w:rsidR="002A51CE">
              <w:rPr>
                <w:rFonts w:ascii="Arial" w:hAnsi="Arial" w:cs="Arial"/>
                <w:sz w:val="24"/>
                <w:szCs w:val="24"/>
              </w:rPr>
              <w:t xml:space="preserve"> </w:t>
            </w:r>
          </w:p>
        </w:tc>
        <w:tc>
          <w:tcPr>
            <w:tcW w:w="2126" w:type="dxa"/>
          </w:tcPr>
          <w:p w14:paraId="26493A52" w14:textId="77777777" w:rsidR="00FA2CD6" w:rsidRDefault="00FA2CD6" w:rsidP="008366EA">
            <w:pPr>
              <w:tabs>
                <w:tab w:val="left" w:pos="2760"/>
              </w:tabs>
              <w:rPr>
                <w:rFonts w:ascii="Arial" w:hAnsi="Arial" w:cs="Arial"/>
                <w:sz w:val="24"/>
                <w:szCs w:val="24"/>
              </w:rPr>
            </w:pPr>
          </w:p>
        </w:tc>
      </w:tr>
      <w:tr w:rsidR="00FA2CD6" w14:paraId="6F6E1967" w14:textId="77777777" w:rsidTr="00561E22">
        <w:tc>
          <w:tcPr>
            <w:tcW w:w="7083" w:type="dxa"/>
          </w:tcPr>
          <w:p w14:paraId="10C6D5D3" w14:textId="1B5094A1" w:rsidR="00FA2CD6" w:rsidRPr="002A7850" w:rsidRDefault="002A7850" w:rsidP="002A7850">
            <w:pPr>
              <w:tabs>
                <w:tab w:val="left" w:pos="2760"/>
              </w:tabs>
              <w:spacing w:line="480" w:lineRule="auto"/>
              <w:rPr>
                <w:rFonts w:ascii="Arial" w:hAnsi="Arial" w:cs="Arial"/>
                <w:sz w:val="24"/>
                <w:szCs w:val="24"/>
              </w:rPr>
            </w:pPr>
            <w:r w:rsidRPr="002A7850">
              <w:rPr>
                <w:rFonts w:ascii="Arial" w:hAnsi="Arial" w:cs="Arial"/>
                <w:sz w:val="24"/>
                <w:szCs w:val="24"/>
              </w:rPr>
              <w:t xml:space="preserve">2. </w:t>
            </w:r>
            <w:r w:rsidR="00DA2DEA">
              <w:rPr>
                <w:rFonts w:ascii="Arial" w:hAnsi="Arial" w:cs="Arial"/>
                <w:sz w:val="24"/>
                <w:szCs w:val="24"/>
              </w:rPr>
              <w:t xml:space="preserve">General Technological </w:t>
            </w:r>
            <w:r w:rsidR="002D677C">
              <w:rPr>
                <w:rFonts w:ascii="Arial" w:hAnsi="Arial" w:cs="Arial"/>
                <w:sz w:val="24"/>
                <w:szCs w:val="24"/>
              </w:rPr>
              <w:t>Adjustments</w:t>
            </w:r>
          </w:p>
        </w:tc>
        <w:tc>
          <w:tcPr>
            <w:tcW w:w="2126" w:type="dxa"/>
          </w:tcPr>
          <w:p w14:paraId="3705AA96" w14:textId="77777777" w:rsidR="00FA2CD6" w:rsidRDefault="00FA2CD6" w:rsidP="008366EA">
            <w:pPr>
              <w:tabs>
                <w:tab w:val="left" w:pos="2760"/>
              </w:tabs>
              <w:rPr>
                <w:rFonts w:ascii="Arial" w:hAnsi="Arial" w:cs="Arial"/>
                <w:sz w:val="24"/>
                <w:szCs w:val="24"/>
              </w:rPr>
            </w:pPr>
          </w:p>
        </w:tc>
      </w:tr>
      <w:tr w:rsidR="00FA2CD6" w14:paraId="11C6D64B" w14:textId="77777777" w:rsidTr="00561E22">
        <w:tc>
          <w:tcPr>
            <w:tcW w:w="7083" w:type="dxa"/>
          </w:tcPr>
          <w:p w14:paraId="50E77C7C" w14:textId="67B4F32C" w:rsidR="00FA2CD6" w:rsidRPr="002A7850" w:rsidRDefault="002A7850" w:rsidP="002A7850">
            <w:pPr>
              <w:tabs>
                <w:tab w:val="left" w:pos="2760"/>
              </w:tabs>
              <w:spacing w:line="480" w:lineRule="auto"/>
              <w:rPr>
                <w:rFonts w:ascii="Arial" w:hAnsi="Arial" w:cs="Arial"/>
                <w:sz w:val="24"/>
                <w:szCs w:val="24"/>
              </w:rPr>
            </w:pPr>
            <w:r w:rsidRPr="002A7850">
              <w:rPr>
                <w:rFonts w:ascii="Arial" w:hAnsi="Arial" w:cs="Arial"/>
                <w:sz w:val="24"/>
                <w:szCs w:val="24"/>
              </w:rPr>
              <w:t>3.</w:t>
            </w:r>
            <w:r w:rsidR="00902378">
              <w:rPr>
                <w:rFonts w:ascii="Arial" w:hAnsi="Arial" w:cs="Arial"/>
                <w:sz w:val="24"/>
                <w:szCs w:val="24"/>
              </w:rPr>
              <w:t xml:space="preserve"> Ethical Impl</w:t>
            </w:r>
            <w:r w:rsidR="000C2D54">
              <w:rPr>
                <w:rFonts w:ascii="Arial" w:hAnsi="Arial" w:cs="Arial"/>
                <w:sz w:val="24"/>
                <w:szCs w:val="24"/>
              </w:rPr>
              <w:t xml:space="preserve">ications </w:t>
            </w:r>
          </w:p>
        </w:tc>
        <w:tc>
          <w:tcPr>
            <w:tcW w:w="2126" w:type="dxa"/>
          </w:tcPr>
          <w:p w14:paraId="5B9F853A" w14:textId="77777777" w:rsidR="00FA2CD6" w:rsidRDefault="00FA2CD6" w:rsidP="008366EA">
            <w:pPr>
              <w:tabs>
                <w:tab w:val="left" w:pos="2760"/>
              </w:tabs>
              <w:rPr>
                <w:rFonts w:ascii="Arial" w:hAnsi="Arial" w:cs="Arial"/>
                <w:sz w:val="24"/>
                <w:szCs w:val="24"/>
              </w:rPr>
            </w:pPr>
          </w:p>
        </w:tc>
      </w:tr>
      <w:tr w:rsidR="002A7850" w14:paraId="72386893" w14:textId="77777777" w:rsidTr="00561E22">
        <w:tc>
          <w:tcPr>
            <w:tcW w:w="7083" w:type="dxa"/>
          </w:tcPr>
          <w:p w14:paraId="3CBD6F91" w14:textId="071D1CA8" w:rsidR="002A7850" w:rsidRPr="002A7850" w:rsidRDefault="002A7850" w:rsidP="002A7850">
            <w:pPr>
              <w:tabs>
                <w:tab w:val="left" w:pos="2760"/>
              </w:tabs>
              <w:spacing w:line="480" w:lineRule="auto"/>
              <w:rPr>
                <w:rFonts w:ascii="Arial" w:hAnsi="Arial" w:cs="Arial"/>
                <w:sz w:val="24"/>
                <w:szCs w:val="24"/>
              </w:rPr>
            </w:pPr>
            <w:r>
              <w:rPr>
                <w:rFonts w:ascii="Arial" w:hAnsi="Arial" w:cs="Arial"/>
                <w:sz w:val="24"/>
                <w:szCs w:val="24"/>
              </w:rPr>
              <w:t>4.</w:t>
            </w:r>
            <w:r w:rsidR="000C2D54">
              <w:rPr>
                <w:rFonts w:ascii="Arial" w:hAnsi="Arial" w:cs="Arial"/>
                <w:sz w:val="24"/>
                <w:szCs w:val="24"/>
              </w:rPr>
              <w:t xml:space="preserve"> Legal Guidelines</w:t>
            </w:r>
          </w:p>
        </w:tc>
        <w:tc>
          <w:tcPr>
            <w:tcW w:w="2126" w:type="dxa"/>
          </w:tcPr>
          <w:p w14:paraId="4A6DD2AF" w14:textId="77777777" w:rsidR="002A7850" w:rsidRDefault="002A7850" w:rsidP="002A7850">
            <w:pPr>
              <w:tabs>
                <w:tab w:val="left" w:pos="2760"/>
              </w:tabs>
              <w:rPr>
                <w:rFonts w:ascii="Arial" w:hAnsi="Arial" w:cs="Arial"/>
                <w:sz w:val="24"/>
                <w:szCs w:val="24"/>
              </w:rPr>
            </w:pPr>
          </w:p>
        </w:tc>
      </w:tr>
      <w:tr w:rsidR="002A7850" w14:paraId="2709D3DE" w14:textId="77777777" w:rsidTr="00561E22">
        <w:tc>
          <w:tcPr>
            <w:tcW w:w="7083" w:type="dxa"/>
          </w:tcPr>
          <w:p w14:paraId="281720DA" w14:textId="69473F58" w:rsidR="002A7850" w:rsidRPr="002A7850" w:rsidRDefault="002A7850" w:rsidP="002A7850">
            <w:pPr>
              <w:tabs>
                <w:tab w:val="left" w:pos="2760"/>
              </w:tabs>
              <w:spacing w:line="480" w:lineRule="auto"/>
              <w:rPr>
                <w:rFonts w:ascii="Arial" w:hAnsi="Arial" w:cs="Arial"/>
                <w:sz w:val="24"/>
                <w:szCs w:val="24"/>
              </w:rPr>
            </w:pPr>
            <w:r>
              <w:rPr>
                <w:rFonts w:ascii="Arial" w:hAnsi="Arial" w:cs="Arial"/>
                <w:sz w:val="24"/>
                <w:szCs w:val="24"/>
              </w:rPr>
              <w:t>5.</w:t>
            </w:r>
            <w:r w:rsidR="002A51CE">
              <w:rPr>
                <w:rFonts w:ascii="Arial" w:hAnsi="Arial" w:cs="Arial"/>
                <w:sz w:val="24"/>
                <w:szCs w:val="24"/>
              </w:rPr>
              <w:t>S</w:t>
            </w:r>
            <w:r w:rsidR="002961F4">
              <w:rPr>
                <w:rFonts w:ascii="Arial" w:hAnsi="Arial" w:cs="Arial"/>
                <w:sz w:val="24"/>
                <w:szCs w:val="24"/>
              </w:rPr>
              <w:t>ecu</w:t>
            </w:r>
            <w:r w:rsidR="00183AFC">
              <w:rPr>
                <w:rFonts w:ascii="Arial" w:hAnsi="Arial" w:cs="Arial"/>
                <w:sz w:val="24"/>
                <w:szCs w:val="24"/>
              </w:rPr>
              <w:t xml:space="preserve">rity </w:t>
            </w:r>
            <w:r w:rsidR="006F1C0D">
              <w:rPr>
                <w:rFonts w:ascii="Arial" w:hAnsi="Arial" w:cs="Arial"/>
                <w:sz w:val="24"/>
                <w:szCs w:val="24"/>
              </w:rPr>
              <w:t>Regulations</w:t>
            </w:r>
          </w:p>
        </w:tc>
        <w:tc>
          <w:tcPr>
            <w:tcW w:w="2126" w:type="dxa"/>
          </w:tcPr>
          <w:p w14:paraId="1A54172D" w14:textId="77777777" w:rsidR="002A7850" w:rsidRDefault="002A7850" w:rsidP="002A7850">
            <w:pPr>
              <w:tabs>
                <w:tab w:val="left" w:pos="2760"/>
              </w:tabs>
              <w:rPr>
                <w:rFonts w:ascii="Arial" w:hAnsi="Arial" w:cs="Arial"/>
                <w:sz w:val="24"/>
                <w:szCs w:val="24"/>
              </w:rPr>
            </w:pPr>
          </w:p>
        </w:tc>
      </w:tr>
      <w:tr w:rsidR="002A7850" w14:paraId="13D0198E" w14:textId="77777777" w:rsidTr="00561E22">
        <w:tc>
          <w:tcPr>
            <w:tcW w:w="7083" w:type="dxa"/>
          </w:tcPr>
          <w:p w14:paraId="2D5186C8" w14:textId="21E85E7E" w:rsidR="002A7850" w:rsidRPr="002A7850" w:rsidRDefault="00C72FE9" w:rsidP="002A7850">
            <w:pPr>
              <w:tabs>
                <w:tab w:val="left" w:pos="2760"/>
              </w:tabs>
              <w:spacing w:line="480" w:lineRule="auto"/>
              <w:rPr>
                <w:rFonts w:ascii="Arial" w:hAnsi="Arial" w:cs="Arial"/>
                <w:sz w:val="24"/>
                <w:szCs w:val="24"/>
              </w:rPr>
            </w:pPr>
            <w:r>
              <w:rPr>
                <w:rFonts w:ascii="Arial" w:hAnsi="Arial" w:cs="Arial"/>
                <w:sz w:val="24"/>
                <w:szCs w:val="24"/>
              </w:rPr>
              <w:t>6.</w:t>
            </w:r>
            <w:r w:rsidR="00292554">
              <w:rPr>
                <w:rFonts w:ascii="Arial" w:hAnsi="Arial" w:cs="Arial"/>
                <w:sz w:val="24"/>
                <w:szCs w:val="24"/>
              </w:rPr>
              <w:t xml:space="preserve"> Financial </w:t>
            </w:r>
            <w:r w:rsidR="002D677C">
              <w:rPr>
                <w:rFonts w:ascii="Arial" w:hAnsi="Arial" w:cs="Arial"/>
                <w:sz w:val="24"/>
                <w:szCs w:val="24"/>
              </w:rPr>
              <w:t>restrictions</w:t>
            </w:r>
          </w:p>
        </w:tc>
        <w:tc>
          <w:tcPr>
            <w:tcW w:w="2126" w:type="dxa"/>
          </w:tcPr>
          <w:p w14:paraId="2BAC80A6" w14:textId="77777777" w:rsidR="002A7850" w:rsidRDefault="002A7850" w:rsidP="002A7850">
            <w:pPr>
              <w:tabs>
                <w:tab w:val="left" w:pos="2760"/>
              </w:tabs>
              <w:rPr>
                <w:rFonts w:ascii="Arial" w:hAnsi="Arial" w:cs="Arial"/>
                <w:sz w:val="24"/>
                <w:szCs w:val="24"/>
              </w:rPr>
            </w:pPr>
          </w:p>
        </w:tc>
      </w:tr>
      <w:tr w:rsidR="002A7850" w14:paraId="043744F6" w14:textId="77777777" w:rsidTr="00561E22">
        <w:tc>
          <w:tcPr>
            <w:tcW w:w="7083" w:type="dxa"/>
          </w:tcPr>
          <w:p w14:paraId="747DFE1E" w14:textId="04A413B1" w:rsidR="002A7850" w:rsidRPr="002A7850" w:rsidRDefault="00C72FE9" w:rsidP="002A7850">
            <w:pPr>
              <w:tabs>
                <w:tab w:val="left" w:pos="2760"/>
              </w:tabs>
              <w:spacing w:line="480" w:lineRule="auto"/>
              <w:rPr>
                <w:rFonts w:ascii="Arial" w:hAnsi="Arial" w:cs="Arial"/>
                <w:sz w:val="24"/>
                <w:szCs w:val="24"/>
              </w:rPr>
            </w:pPr>
            <w:r>
              <w:rPr>
                <w:rFonts w:ascii="Arial" w:hAnsi="Arial" w:cs="Arial"/>
                <w:sz w:val="24"/>
                <w:szCs w:val="24"/>
              </w:rPr>
              <w:t>7.Conclusio</w:t>
            </w:r>
            <w:r w:rsidR="00561E22">
              <w:rPr>
                <w:rFonts w:ascii="Arial" w:hAnsi="Arial" w:cs="Arial"/>
                <w:sz w:val="24"/>
                <w:szCs w:val="24"/>
              </w:rPr>
              <w:t>n</w:t>
            </w:r>
          </w:p>
        </w:tc>
        <w:tc>
          <w:tcPr>
            <w:tcW w:w="2126" w:type="dxa"/>
          </w:tcPr>
          <w:p w14:paraId="208AB465" w14:textId="77777777" w:rsidR="002A7850" w:rsidRDefault="002A7850" w:rsidP="002A7850">
            <w:pPr>
              <w:tabs>
                <w:tab w:val="left" w:pos="2760"/>
              </w:tabs>
              <w:rPr>
                <w:rFonts w:ascii="Arial" w:hAnsi="Arial" w:cs="Arial"/>
                <w:sz w:val="24"/>
                <w:szCs w:val="24"/>
              </w:rPr>
            </w:pPr>
          </w:p>
        </w:tc>
      </w:tr>
      <w:tr w:rsidR="002A7850" w14:paraId="00F40558" w14:textId="77777777" w:rsidTr="00561E22">
        <w:tc>
          <w:tcPr>
            <w:tcW w:w="7083" w:type="dxa"/>
          </w:tcPr>
          <w:p w14:paraId="42003B46" w14:textId="77777777" w:rsidR="002A7850" w:rsidRDefault="002A7850" w:rsidP="002A7850">
            <w:pPr>
              <w:tabs>
                <w:tab w:val="left" w:pos="2760"/>
              </w:tabs>
              <w:rPr>
                <w:rFonts w:ascii="Arial" w:hAnsi="Arial" w:cs="Arial"/>
                <w:sz w:val="24"/>
                <w:szCs w:val="24"/>
              </w:rPr>
            </w:pPr>
            <w:r>
              <w:rPr>
                <w:rFonts w:ascii="Arial" w:hAnsi="Arial" w:cs="Arial"/>
                <w:sz w:val="24"/>
                <w:szCs w:val="24"/>
              </w:rPr>
              <w:t>8. References</w:t>
            </w:r>
          </w:p>
          <w:p w14:paraId="611113A3" w14:textId="18319A7C" w:rsidR="002A7850" w:rsidRDefault="002A7850" w:rsidP="002A7850">
            <w:pPr>
              <w:tabs>
                <w:tab w:val="left" w:pos="2760"/>
              </w:tabs>
              <w:rPr>
                <w:rFonts w:ascii="Arial" w:hAnsi="Arial" w:cs="Arial"/>
                <w:sz w:val="24"/>
                <w:szCs w:val="24"/>
              </w:rPr>
            </w:pPr>
          </w:p>
        </w:tc>
        <w:tc>
          <w:tcPr>
            <w:tcW w:w="2126" w:type="dxa"/>
          </w:tcPr>
          <w:p w14:paraId="672B3DF0" w14:textId="77777777" w:rsidR="002A7850" w:rsidRDefault="002A7850" w:rsidP="002A7850">
            <w:pPr>
              <w:tabs>
                <w:tab w:val="left" w:pos="2760"/>
              </w:tabs>
              <w:rPr>
                <w:rFonts w:ascii="Arial" w:hAnsi="Arial" w:cs="Arial"/>
                <w:sz w:val="24"/>
                <w:szCs w:val="24"/>
              </w:rPr>
            </w:pPr>
          </w:p>
        </w:tc>
      </w:tr>
    </w:tbl>
    <w:p w14:paraId="0C4712A0" w14:textId="1DA2302F" w:rsidR="00FA2CD6" w:rsidRDefault="00FA2CD6" w:rsidP="008366EA">
      <w:pPr>
        <w:tabs>
          <w:tab w:val="left" w:pos="2760"/>
        </w:tabs>
        <w:rPr>
          <w:rFonts w:ascii="Arial" w:hAnsi="Arial" w:cs="Arial"/>
          <w:sz w:val="24"/>
          <w:szCs w:val="24"/>
        </w:rPr>
      </w:pPr>
    </w:p>
    <w:p w14:paraId="721F4D6B" w14:textId="35E9F39D" w:rsidR="00FA2CD6" w:rsidRDefault="00FA2CD6" w:rsidP="008366EA">
      <w:pPr>
        <w:tabs>
          <w:tab w:val="left" w:pos="2760"/>
        </w:tabs>
        <w:rPr>
          <w:rFonts w:ascii="Arial" w:hAnsi="Arial" w:cs="Arial"/>
          <w:sz w:val="24"/>
          <w:szCs w:val="24"/>
        </w:rPr>
      </w:pPr>
    </w:p>
    <w:p w14:paraId="6902B9C7" w14:textId="080D7AE2" w:rsidR="009E4BD5" w:rsidRDefault="009E4BD5" w:rsidP="009E4BD5">
      <w:pPr>
        <w:tabs>
          <w:tab w:val="left" w:pos="2760"/>
        </w:tabs>
        <w:rPr>
          <w:rFonts w:ascii="Arial" w:hAnsi="Arial" w:cs="Arial"/>
          <w:sz w:val="24"/>
          <w:szCs w:val="24"/>
        </w:rPr>
      </w:pPr>
    </w:p>
    <w:p w14:paraId="082FDB90" w14:textId="2F06E447" w:rsidR="00156ABC" w:rsidRDefault="00156ABC" w:rsidP="009E4BD5">
      <w:pPr>
        <w:tabs>
          <w:tab w:val="left" w:pos="2760"/>
        </w:tabs>
        <w:rPr>
          <w:rFonts w:ascii="Arial" w:hAnsi="Arial" w:cs="Arial"/>
          <w:sz w:val="24"/>
          <w:szCs w:val="24"/>
        </w:rPr>
      </w:pPr>
    </w:p>
    <w:p w14:paraId="36703DC7" w14:textId="0AFEC7CC" w:rsidR="00156ABC" w:rsidRDefault="00156ABC" w:rsidP="009E4BD5">
      <w:pPr>
        <w:tabs>
          <w:tab w:val="left" w:pos="2760"/>
        </w:tabs>
        <w:rPr>
          <w:rFonts w:ascii="Arial" w:hAnsi="Arial" w:cs="Arial"/>
          <w:sz w:val="24"/>
          <w:szCs w:val="24"/>
        </w:rPr>
      </w:pPr>
    </w:p>
    <w:p w14:paraId="6B43A20B" w14:textId="1CAC5E09" w:rsidR="00156ABC" w:rsidRDefault="00156ABC" w:rsidP="009E4BD5">
      <w:pPr>
        <w:tabs>
          <w:tab w:val="left" w:pos="2760"/>
        </w:tabs>
        <w:rPr>
          <w:rFonts w:ascii="Arial" w:hAnsi="Arial" w:cs="Arial"/>
          <w:sz w:val="24"/>
          <w:szCs w:val="24"/>
        </w:rPr>
      </w:pPr>
    </w:p>
    <w:p w14:paraId="62074E02" w14:textId="025EB5FF" w:rsidR="00FA2CD6" w:rsidRDefault="00FA2CD6" w:rsidP="008366EA">
      <w:pPr>
        <w:tabs>
          <w:tab w:val="left" w:pos="2760"/>
        </w:tabs>
        <w:rPr>
          <w:rFonts w:ascii="Arial" w:hAnsi="Arial" w:cs="Arial"/>
          <w:sz w:val="24"/>
          <w:szCs w:val="24"/>
        </w:rPr>
      </w:pPr>
    </w:p>
    <w:p w14:paraId="0678B05C" w14:textId="5F128028" w:rsidR="004F6003" w:rsidRDefault="004F6003" w:rsidP="008366EA">
      <w:pPr>
        <w:tabs>
          <w:tab w:val="left" w:pos="2760"/>
        </w:tabs>
        <w:rPr>
          <w:rFonts w:ascii="Arial" w:hAnsi="Arial" w:cs="Arial"/>
          <w:sz w:val="24"/>
          <w:szCs w:val="24"/>
        </w:rPr>
      </w:pPr>
    </w:p>
    <w:p w14:paraId="63CB5AFB" w14:textId="0B6E45A6" w:rsidR="004F6003" w:rsidRDefault="004F6003" w:rsidP="008366EA">
      <w:pPr>
        <w:tabs>
          <w:tab w:val="left" w:pos="2760"/>
        </w:tabs>
        <w:rPr>
          <w:rFonts w:ascii="Arial" w:hAnsi="Arial" w:cs="Arial"/>
          <w:sz w:val="24"/>
          <w:szCs w:val="24"/>
        </w:rPr>
      </w:pPr>
    </w:p>
    <w:p w14:paraId="2072AB74" w14:textId="6A2832D1" w:rsidR="004F6003" w:rsidRDefault="004F6003" w:rsidP="008366EA">
      <w:pPr>
        <w:tabs>
          <w:tab w:val="left" w:pos="2760"/>
        </w:tabs>
        <w:rPr>
          <w:rFonts w:ascii="Arial" w:hAnsi="Arial" w:cs="Arial"/>
          <w:sz w:val="24"/>
          <w:szCs w:val="24"/>
        </w:rPr>
      </w:pPr>
    </w:p>
    <w:p w14:paraId="2332662D" w14:textId="5F86958D" w:rsidR="004F6003" w:rsidRDefault="004F6003" w:rsidP="008366EA">
      <w:pPr>
        <w:tabs>
          <w:tab w:val="left" w:pos="2760"/>
        </w:tabs>
        <w:rPr>
          <w:rFonts w:ascii="Arial" w:hAnsi="Arial" w:cs="Arial"/>
          <w:sz w:val="24"/>
          <w:szCs w:val="24"/>
        </w:rPr>
      </w:pPr>
    </w:p>
    <w:p w14:paraId="49242DD2" w14:textId="0BFEA4D6" w:rsidR="004F6003" w:rsidRDefault="004F6003" w:rsidP="008366EA">
      <w:pPr>
        <w:tabs>
          <w:tab w:val="left" w:pos="2760"/>
        </w:tabs>
        <w:rPr>
          <w:rFonts w:ascii="Arial" w:hAnsi="Arial" w:cs="Arial"/>
          <w:sz w:val="24"/>
          <w:szCs w:val="24"/>
        </w:rPr>
      </w:pPr>
    </w:p>
    <w:p w14:paraId="43066D86" w14:textId="68A487F7" w:rsidR="004F6003" w:rsidRDefault="004F6003" w:rsidP="008366EA">
      <w:pPr>
        <w:tabs>
          <w:tab w:val="left" w:pos="2760"/>
        </w:tabs>
        <w:rPr>
          <w:rFonts w:ascii="Arial" w:hAnsi="Arial" w:cs="Arial"/>
          <w:sz w:val="24"/>
          <w:szCs w:val="24"/>
        </w:rPr>
      </w:pPr>
    </w:p>
    <w:p w14:paraId="0B010A37" w14:textId="41F1A0A5" w:rsidR="004F6003" w:rsidRDefault="004F6003" w:rsidP="008366EA">
      <w:pPr>
        <w:tabs>
          <w:tab w:val="left" w:pos="2760"/>
        </w:tabs>
        <w:rPr>
          <w:rFonts w:ascii="Arial" w:hAnsi="Arial" w:cs="Arial"/>
          <w:sz w:val="24"/>
          <w:szCs w:val="24"/>
        </w:rPr>
      </w:pPr>
    </w:p>
    <w:p w14:paraId="6DACAA69" w14:textId="1412817F" w:rsidR="004F6003" w:rsidRDefault="004F6003" w:rsidP="008366EA">
      <w:pPr>
        <w:tabs>
          <w:tab w:val="left" w:pos="2760"/>
        </w:tabs>
        <w:rPr>
          <w:rFonts w:ascii="Arial" w:hAnsi="Arial" w:cs="Arial"/>
          <w:sz w:val="24"/>
          <w:szCs w:val="24"/>
        </w:rPr>
      </w:pPr>
    </w:p>
    <w:p w14:paraId="24FEA8A6" w14:textId="5898B508" w:rsidR="004F6003" w:rsidRDefault="004F6003" w:rsidP="008366EA">
      <w:pPr>
        <w:tabs>
          <w:tab w:val="left" w:pos="2760"/>
        </w:tabs>
        <w:rPr>
          <w:rFonts w:ascii="Arial" w:hAnsi="Arial" w:cs="Arial"/>
          <w:sz w:val="24"/>
          <w:szCs w:val="24"/>
        </w:rPr>
      </w:pPr>
    </w:p>
    <w:p w14:paraId="7565CDBE" w14:textId="5D92EA0F" w:rsidR="004F6003" w:rsidRDefault="004F6003" w:rsidP="008366EA">
      <w:pPr>
        <w:tabs>
          <w:tab w:val="left" w:pos="2760"/>
        </w:tabs>
        <w:rPr>
          <w:rFonts w:ascii="Arial" w:hAnsi="Arial" w:cs="Arial"/>
          <w:sz w:val="24"/>
          <w:szCs w:val="24"/>
        </w:rPr>
      </w:pPr>
    </w:p>
    <w:p w14:paraId="28F30C13" w14:textId="0F694B58" w:rsidR="00125A7B" w:rsidRDefault="00125A7B" w:rsidP="00A16AFA">
      <w:pPr>
        <w:spacing w:line="360" w:lineRule="auto"/>
        <w:jc w:val="both"/>
        <w:rPr>
          <w:rFonts w:ascii="Arial" w:hAnsi="Arial" w:cs="Arial"/>
        </w:rPr>
      </w:pPr>
      <w:r w:rsidRPr="002A7850">
        <w:rPr>
          <w:rFonts w:ascii="Arial" w:hAnsi="Arial" w:cs="Arial"/>
          <w:sz w:val="24"/>
          <w:szCs w:val="24"/>
        </w:rPr>
        <w:lastRenderedPageBreak/>
        <w:t>Introduction</w:t>
      </w:r>
    </w:p>
    <w:p w14:paraId="744DBD28" w14:textId="585DFE56" w:rsidR="00A16AFA" w:rsidRPr="00A16AFA" w:rsidRDefault="00A16AFA" w:rsidP="00A16AFA">
      <w:pPr>
        <w:spacing w:line="360" w:lineRule="auto"/>
        <w:jc w:val="both"/>
        <w:rPr>
          <w:rFonts w:ascii="Arial" w:hAnsi="Arial" w:cs="Arial"/>
        </w:rPr>
      </w:pPr>
      <w:r w:rsidRPr="00A16AFA">
        <w:rPr>
          <w:rFonts w:ascii="Arial" w:hAnsi="Arial" w:cs="Arial"/>
        </w:rPr>
        <w:t xml:space="preserve">As technology has progressed, human beings have found exciting ways to implement it into almost every aspect of life, especially healthcare. One of the reasons for these technological changes is </w:t>
      </w:r>
      <w:r w:rsidR="00571F0B">
        <w:rPr>
          <w:rFonts w:ascii="Arial" w:hAnsi="Arial" w:cs="Arial"/>
        </w:rPr>
        <w:t>that healthcare sectors worldwide face a rising population, low death rates,</w:t>
      </w:r>
      <w:r w:rsidRPr="00A16AFA">
        <w:rPr>
          <w:rFonts w:ascii="Arial" w:hAnsi="Arial" w:cs="Arial"/>
        </w:rPr>
        <w:t xml:space="preserve"> and numerous new health conditions appearing. Moreover, those from the older generations have experienced significant modifications to the process of accessing medical assistance at our local GP surgeries. GP’s surgeries have come a long way from using an analogue system to integrating technological methods into their practice. However, it has been debated whether technology’s influence has had a more positive or negative effect on GP surgeries overall. Throughout this essay, one will be looking at the changes in technology’s legal, ethical and security aspects within GP surgeries. In addition to exploring some of the significant contributions’ technology has provided.</w:t>
      </w:r>
    </w:p>
    <w:p w14:paraId="655EA40F" w14:textId="3EDD0257" w:rsidR="00A16AFA" w:rsidRPr="0089147A" w:rsidRDefault="00A16AFA" w:rsidP="0089147A">
      <w:pPr>
        <w:pStyle w:val="ListParagraph"/>
        <w:spacing w:line="360" w:lineRule="auto"/>
        <w:jc w:val="both"/>
        <w:rPr>
          <w:rFonts w:ascii="Arial" w:hAnsi="Arial" w:cs="Arial"/>
        </w:rPr>
      </w:pPr>
    </w:p>
    <w:p w14:paraId="3FAF961A" w14:textId="4E1E3CC2" w:rsidR="0089147A" w:rsidRPr="00125A7B" w:rsidRDefault="0089147A" w:rsidP="00125A7B">
      <w:pPr>
        <w:spacing w:line="360" w:lineRule="auto"/>
        <w:jc w:val="both"/>
        <w:rPr>
          <w:rFonts w:ascii="Arial" w:hAnsi="Arial" w:cs="Arial"/>
          <w:b/>
          <w:bCs/>
        </w:rPr>
      </w:pPr>
      <w:r w:rsidRPr="00125A7B">
        <w:rPr>
          <w:rFonts w:ascii="Arial" w:hAnsi="Arial" w:cs="Arial"/>
          <w:b/>
          <w:bCs/>
          <w:sz w:val="24"/>
          <w:szCs w:val="24"/>
        </w:rPr>
        <w:t>General Technological Adjustments</w:t>
      </w:r>
    </w:p>
    <w:p w14:paraId="7AC8CF74" w14:textId="151B756F" w:rsidR="00A16AFA" w:rsidRPr="00A16AFA" w:rsidRDefault="00A16AFA" w:rsidP="00A16AFA">
      <w:pPr>
        <w:spacing w:line="360" w:lineRule="auto"/>
        <w:jc w:val="both"/>
        <w:rPr>
          <w:rFonts w:ascii="Arial" w:hAnsi="Arial" w:cs="Arial"/>
        </w:rPr>
      </w:pPr>
      <w:r w:rsidRPr="00A16AFA">
        <w:rPr>
          <w:rFonts w:ascii="Arial" w:hAnsi="Arial" w:cs="Arial"/>
        </w:rPr>
        <w:t>Over 95% of GP surgeries in the UK are currently storing patients’ information electronically</w:t>
      </w:r>
      <w:r w:rsidR="00AC4FA5">
        <w:rPr>
          <w:rFonts w:ascii="Arial" w:hAnsi="Arial" w:cs="Arial"/>
        </w:rPr>
        <w:t>. M</w:t>
      </w:r>
      <w:r w:rsidRPr="00A16AFA">
        <w:rPr>
          <w:rFonts w:ascii="Arial" w:hAnsi="Arial" w:cs="Arial"/>
        </w:rPr>
        <w:t xml:space="preserve">edical professionals have played a crucial role in developing and implementing the UK’s national electronic medical record system. With this level of accessibility, it is interesting that fewer patients (18.7%) were aware they could access medical records online, an increase of 3.3 percentage points compared with 2019 (15.4%) (GP Patient Survey, 2020). Technological innovations arguably have improved time management and structure to GP Surgeries. Traditionally consultations took place face to face at various places; according to Dr Purvis based in Hull, they expressed that in the 80s, their schedules were varied. For example, they could have appointments every five minutes in the afternoon or evening, sit and wait all morning and be on call at night. Whilst other times could see 100 patients back-to-back in a day. Technology has enabled GP Surgeries to consult with patients remotely, especially during the Covid 19 pandemic. With remote access, patients with chronic illnesses can have their routine checks carried out at home, which could cut down on the number of times ill patients have to travel to a clinic (Liddell, et al.,2008).  Nevertheless, it should be considered that not everyone has internet access and are unable to use the system.  </w:t>
      </w:r>
    </w:p>
    <w:p w14:paraId="04CB8696" w14:textId="0FF94140" w:rsidR="00A16AFA" w:rsidRPr="00A16AFA" w:rsidRDefault="00A16AFA" w:rsidP="00A16AFA">
      <w:pPr>
        <w:spacing w:line="360" w:lineRule="auto"/>
        <w:jc w:val="both"/>
        <w:rPr>
          <w:rFonts w:ascii="Arial" w:hAnsi="Arial" w:cs="Arial"/>
        </w:rPr>
      </w:pPr>
      <w:r w:rsidRPr="00A16AFA">
        <w:rPr>
          <w:rFonts w:ascii="Arial" w:hAnsi="Arial" w:cs="Arial"/>
        </w:rPr>
        <w:t>Furthermore, the electronic appointment booking service called “Choose and Book” has allowed more freedom and provided an excellent work balance for GP Surgeries</w:t>
      </w:r>
      <w:bookmarkStart w:id="0" w:name="_Hlk71579376"/>
      <w:r w:rsidRPr="00A16AFA">
        <w:rPr>
          <w:rFonts w:ascii="Arial" w:hAnsi="Arial" w:cs="Arial"/>
        </w:rPr>
        <w:t xml:space="preserve"> (Liddell, et al.,2008). </w:t>
      </w:r>
      <w:bookmarkEnd w:id="0"/>
      <w:r w:rsidRPr="00A16AFA">
        <w:rPr>
          <w:rFonts w:ascii="Arial" w:hAnsi="Arial" w:cs="Arial"/>
        </w:rPr>
        <w:t>GP Surgeries now have a range of hospitals, appointment dates and times they can choose from. Currently, around 97% of GP surgeries use Choose and Book to make referrals</w:t>
      </w:r>
      <w:r w:rsidR="003734BE">
        <w:rPr>
          <w:rFonts w:ascii="Arial" w:hAnsi="Arial" w:cs="Arial"/>
        </w:rPr>
        <w:t>,</w:t>
      </w:r>
      <w:r w:rsidRPr="00A16AFA">
        <w:rPr>
          <w:rFonts w:ascii="Arial" w:hAnsi="Arial" w:cs="Arial"/>
        </w:rPr>
        <w:t xml:space="preserve"> and approximately 40% of all referrals to specialist care go through the Choose and Book </w:t>
      </w:r>
      <w:r w:rsidRPr="00A16AFA">
        <w:rPr>
          <w:rFonts w:ascii="Arial" w:hAnsi="Arial" w:cs="Arial"/>
        </w:rPr>
        <w:lastRenderedPageBreak/>
        <w:t>system. (Liddell, et al.,2008).  In addition, almost half of patients (48.3%) were aware they could book appointments online, an increase of 4.2% compared with 2019 (44.1%) (GP Patient Survey, 2020).</w:t>
      </w:r>
    </w:p>
    <w:p w14:paraId="0EF6DC45" w14:textId="3B39C69A" w:rsidR="00A16AFA" w:rsidRPr="00A16AFA" w:rsidRDefault="00A16AFA" w:rsidP="00A16AFA">
      <w:pPr>
        <w:spacing w:line="360" w:lineRule="auto"/>
        <w:jc w:val="both"/>
        <w:rPr>
          <w:rFonts w:ascii="Arial" w:hAnsi="Arial" w:cs="Arial"/>
        </w:rPr>
      </w:pPr>
      <w:r w:rsidRPr="00A16AFA">
        <w:rPr>
          <w:rFonts w:ascii="Arial" w:hAnsi="Arial" w:cs="Arial"/>
        </w:rPr>
        <w:t>The usual open hours for GP Surgeries are 8</w:t>
      </w:r>
      <w:r w:rsidR="003734BE">
        <w:rPr>
          <w:rFonts w:ascii="Arial" w:hAnsi="Arial" w:cs="Arial"/>
        </w:rPr>
        <w:t xml:space="preserve"> </w:t>
      </w:r>
      <w:r w:rsidRPr="00A16AFA">
        <w:rPr>
          <w:rFonts w:ascii="Arial" w:hAnsi="Arial" w:cs="Arial"/>
        </w:rPr>
        <w:t>am -6</w:t>
      </w:r>
      <w:r w:rsidR="003734BE">
        <w:rPr>
          <w:rFonts w:ascii="Arial" w:hAnsi="Arial" w:cs="Arial"/>
        </w:rPr>
        <w:t xml:space="preserve"> </w:t>
      </w:r>
      <w:r w:rsidRPr="00A16AFA">
        <w:rPr>
          <w:rFonts w:ascii="Arial" w:hAnsi="Arial" w:cs="Arial"/>
        </w:rPr>
        <w:t xml:space="preserve">pm, and in the past, prescriptions given by the GP need to be collected from the reception and then taken to the chemist. However, this is not conducive for those who work 9-5 and travel at least an hour back home. Furthermore, the out-of-hours period from 6.30 pm to 8 am on weekdays and all day at weekends and bank holidays are only for emergencies. The Electronic Prescription Service (EPS) was created to combat this issue; it helps dispense and reimburse prescriptions. Initially, this has been a prolonged process, where only 10% of prescriptions were sent through EPS, and the EPS is dispensing only 2% in 2008 (Liddell, et al.,2008). However, the GP Patient Survey 2020 conducted demonstrated that more than two in five patients (43.7%) was aware they could order repeat prescriptions online, increasing 3.0% than 2019 (40.6%) (GP Patient Survey, 2020). </w:t>
      </w:r>
    </w:p>
    <w:p w14:paraId="2F6D0A40" w14:textId="77777777" w:rsidR="00A16AFA" w:rsidRPr="00A16AFA" w:rsidRDefault="00A16AFA" w:rsidP="00A16AFA">
      <w:pPr>
        <w:spacing w:line="360" w:lineRule="auto"/>
        <w:jc w:val="both"/>
        <w:rPr>
          <w:rFonts w:ascii="Arial" w:hAnsi="Arial" w:cs="Arial"/>
        </w:rPr>
      </w:pPr>
      <w:r w:rsidRPr="00A16AFA">
        <w:rPr>
          <w:rFonts w:ascii="Arial" w:hAnsi="Arial" w:cs="Arial"/>
        </w:rPr>
        <w:t>Moreover, technology allows patients to manage and be more vigilant about their health. Patients have access to general information about medical conditions, which could be relieved through holistic self-treatment and self-care.  With the rapid evolution of technology, it has been stated that innovations such as Wi-Fi scales, blood pressures cuffs, the google contact lens (that monitors glucose levels), to even the propeller inhaler could transform the way respiratory conditions are treated (Young, 2016).</w:t>
      </w:r>
    </w:p>
    <w:p w14:paraId="052F0229" w14:textId="77777777" w:rsidR="00A16AFA" w:rsidRPr="00A16AFA" w:rsidRDefault="00A16AFA" w:rsidP="00A16AFA">
      <w:pPr>
        <w:spacing w:line="360" w:lineRule="auto"/>
        <w:jc w:val="both"/>
        <w:rPr>
          <w:rFonts w:ascii="Arial" w:hAnsi="Arial" w:cs="Arial"/>
        </w:rPr>
      </w:pPr>
      <w:r w:rsidRPr="00A16AFA">
        <w:rPr>
          <w:rFonts w:ascii="Arial" w:hAnsi="Arial" w:cs="Arial"/>
        </w:rPr>
        <w:t>On the other hand, patients may become too independent with their health and no longer feel the need to seek professional advice. Patients may have digital health kits, where doctors act as advisors and navigators through the health system (Young, 2016). Possibly because of increased awareness of the different treatment options available, consumers are becoming more demanding in asking clinicians for specific treatments, whether via active campaigning by patient groups or an individual requesting a specific treatment from his or her GP (Liddell, et al.,2008). There are over 160 000 health care apps in the Apple and Android stores; however, these apps have not been approved by the NHS (Young, 2016). Additionally, one of the critical findings of the Whole System Demonstrator trial was that patients with ‘technology’ felt more socially isolated (Young, 2016).</w:t>
      </w:r>
    </w:p>
    <w:p w14:paraId="77728840" w14:textId="038B43BD" w:rsidR="00A16AFA" w:rsidRDefault="00A16AFA" w:rsidP="00A16AFA">
      <w:pPr>
        <w:spacing w:line="360" w:lineRule="auto"/>
        <w:jc w:val="both"/>
        <w:rPr>
          <w:rFonts w:ascii="Arial" w:hAnsi="Arial" w:cs="Arial"/>
        </w:rPr>
      </w:pPr>
      <w:r w:rsidRPr="00A16AFA">
        <w:rPr>
          <w:rFonts w:ascii="Arial" w:hAnsi="Arial" w:cs="Arial"/>
        </w:rPr>
        <w:t xml:space="preserve">Additionally, it has been stated that technology could improve GP Surgeries’ quality of care. Practice-based commissioning facilitates GP Surgeries to deliver new services through technology (Liddell, et al.,2008). For example, GP Surgeries could purchase equipment to treat more patients rather than referring them to a hospital specialist. However, GP premises cannot accommodate new clinical services, such as treatment rooms for physiotherapy or </w:t>
      </w:r>
      <w:r w:rsidRPr="00A16AFA">
        <w:rPr>
          <w:rFonts w:ascii="Arial" w:hAnsi="Arial" w:cs="Arial"/>
        </w:rPr>
        <w:lastRenderedPageBreak/>
        <w:t>audiology (Liddell, et al.,2008). Likewise, it has been voiced that these technological advances could increase the workload of GP surgeries, thus reducing the quality of care. Furthermore, it is publicly known that the adoption of technology into the healthcare sector is slow and disparate; yet this could be due to government policy.</w:t>
      </w:r>
    </w:p>
    <w:p w14:paraId="10B2526D" w14:textId="77777777" w:rsidR="0089147A" w:rsidRDefault="0089147A" w:rsidP="00A16AFA">
      <w:pPr>
        <w:spacing w:line="360" w:lineRule="auto"/>
        <w:jc w:val="both"/>
        <w:rPr>
          <w:rFonts w:ascii="Arial" w:hAnsi="Arial" w:cs="Arial"/>
        </w:rPr>
      </w:pPr>
    </w:p>
    <w:p w14:paraId="6B768947" w14:textId="12A4984B" w:rsidR="0089147A" w:rsidRPr="00A16AFA" w:rsidRDefault="0089147A" w:rsidP="0089147A">
      <w:pPr>
        <w:tabs>
          <w:tab w:val="left" w:pos="2760"/>
        </w:tabs>
        <w:spacing w:line="480" w:lineRule="auto"/>
        <w:jc w:val="both"/>
        <w:rPr>
          <w:rFonts w:ascii="Arial" w:hAnsi="Arial" w:cs="Arial"/>
          <w:sz w:val="24"/>
          <w:szCs w:val="24"/>
        </w:rPr>
      </w:pPr>
      <w:r w:rsidRPr="002A7850">
        <w:rPr>
          <w:rFonts w:ascii="Arial" w:hAnsi="Arial" w:cs="Arial"/>
          <w:sz w:val="24"/>
          <w:szCs w:val="24"/>
        </w:rPr>
        <w:t>3.</w:t>
      </w:r>
      <w:r>
        <w:rPr>
          <w:rFonts w:ascii="Arial" w:hAnsi="Arial" w:cs="Arial"/>
          <w:sz w:val="24"/>
          <w:szCs w:val="24"/>
        </w:rPr>
        <w:t xml:space="preserve"> Ethical Implications </w:t>
      </w:r>
    </w:p>
    <w:p w14:paraId="7FE209A4" w14:textId="77777777" w:rsidR="00A16AFA" w:rsidRPr="00A16AFA" w:rsidRDefault="00A16AFA" w:rsidP="00A16AFA">
      <w:pPr>
        <w:spacing w:line="360" w:lineRule="auto"/>
        <w:jc w:val="both"/>
        <w:rPr>
          <w:rFonts w:ascii="Arial" w:hAnsi="Arial" w:cs="Arial"/>
        </w:rPr>
      </w:pPr>
      <w:r w:rsidRPr="00A16AFA">
        <w:rPr>
          <w:rFonts w:ascii="Arial" w:hAnsi="Arial" w:cs="Arial"/>
        </w:rPr>
        <w:t>When discussing the changes occurring in healthcare, ethical contributions to medical technology should go beyond issues of application in clinical practice. Nevertheless, Hossein (2020) believes that current technology is not ready for mass deployment due to deficits between care ethics and efficiency of technology in healthcare. An ethical issue that has arisen is companies monetising information about the patient and medical staff. By the ethical standards of care for patients and family, trust is required to build a relationship between doctors and patients; technology can destroy this trust, affects the quality of care and patient safety. Furthermore, an ethics committee works with all medical community members to find moral solutions to complex medical cases (Hossein, 2020).</w:t>
      </w:r>
    </w:p>
    <w:p w14:paraId="1D98C54D" w14:textId="010DB0A7" w:rsidR="00A16AFA" w:rsidRPr="00A16AFA" w:rsidRDefault="00A16AFA" w:rsidP="00A16AFA">
      <w:pPr>
        <w:spacing w:line="360" w:lineRule="auto"/>
        <w:jc w:val="both"/>
        <w:rPr>
          <w:rFonts w:ascii="Arial" w:hAnsi="Arial" w:cs="Arial"/>
        </w:rPr>
      </w:pPr>
      <w:r w:rsidRPr="00A16AFA">
        <w:rPr>
          <w:rFonts w:ascii="Arial" w:hAnsi="Arial" w:cs="Arial"/>
        </w:rPr>
        <w:t xml:space="preserve">Nevertheless, many have argued that this committee does not address significant concerns about the effects of technology on GP Surgeries. Hossein (2020) declared that the main challenges with technology are conflicting goals, as many stakeholders may have ulterior motives, breaches to confidentiality and privacy due to third-party involvement without patients consent, and handling conflicts between instrumental rationality and care in respecting dignity and vulnerability. On the other hand, the Data Ethics Framework promotes and ensures data is handled appropriately and responsibly by </w:t>
      </w:r>
      <w:r w:rsidR="000A6CEE">
        <w:rPr>
          <w:rFonts w:ascii="Arial" w:hAnsi="Arial" w:cs="Arial"/>
        </w:rPr>
        <w:t xml:space="preserve">the </w:t>
      </w:r>
      <w:r w:rsidRPr="00A16AFA">
        <w:rPr>
          <w:rFonts w:ascii="Arial" w:hAnsi="Arial" w:cs="Arial"/>
        </w:rPr>
        <w:t>government and the wider public sector. It also facilitates public servants to understand ethical considerations to address within their schemes and provides specific actions to encourage sensible innovation, advance transparency, accountability, and fairness (Government digital services,2020).</w:t>
      </w:r>
    </w:p>
    <w:p w14:paraId="08D5E408" w14:textId="4F968415" w:rsidR="00A16AFA" w:rsidRDefault="00A16AFA" w:rsidP="00A16AFA">
      <w:pPr>
        <w:spacing w:line="360" w:lineRule="auto"/>
        <w:jc w:val="both"/>
        <w:rPr>
          <w:rFonts w:ascii="Arial" w:hAnsi="Arial" w:cs="Arial"/>
        </w:rPr>
      </w:pPr>
    </w:p>
    <w:p w14:paraId="5C56073F" w14:textId="6814D932" w:rsidR="00125A7B" w:rsidRPr="00A16AFA" w:rsidRDefault="00125A7B" w:rsidP="00125A7B">
      <w:pPr>
        <w:tabs>
          <w:tab w:val="left" w:pos="2760"/>
        </w:tabs>
        <w:spacing w:line="480" w:lineRule="auto"/>
        <w:jc w:val="both"/>
        <w:rPr>
          <w:rFonts w:ascii="Arial" w:hAnsi="Arial" w:cs="Arial"/>
          <w:sz w:val="24"/>
          <w:szCs w:val="24"/>
        </w:rPr>
      </w:pPr>
      <w:r>
        <w:rPr>
          <w:rFonts w:ascii="Arial" w:hAnsi="Arial" w:cs="Arial"/>
          <w:sz w:val="24"/>
          <w:szCs w:val="24"/>
        </w:rPr>
        <w:t>4. Legal Guidelines</w:t>
      </w:r>
    </w:p>
    <w:p w14:paraId="1099BE35" w14:textId="053E9C36" w:rsidR="00A16AFA" w:rsidRPr="00A16AFA" w:rsidRDefault="00A16AFA" w:rsidP="00A16AFA">
      <w:pPr>
        <w:spacing w:line="360" w:lineRule="auto"/>
        <w:jc w:val="both"/>
        <w:rPr>
          <w:rFonts w:ascii="Arial" w:hAnsi="Arial" w:cs="Arial"/>
        </w:rPr>
      </w:pPr>
      <w:r w:rsidRPr="00A16AFA">
        <w:rPr>
          <w:rFonts w:ascii="Arial" w:hAnsi="Arial" w:cs="Arial"/>
        </w:rPr>
        <w:t xml:space="preserve">It should be noted that the government policy in the last few decades has influenced how technology has been utilised in healthcare. One initiative that had a </w:t>
      </w:r>
      <w:proofErr w:type="gramStart"/>
      <w:r w:rsidRPr="00A16AFA">
        <w:rPr>
          <w:rFonts w:ascii="Arial" w:hAnsi="Arial" w:cs="Arial"/>
        </w:rPr>
        <w:t>significant</w:t>
      </w:r>
      <w:proofErr w:type="gramEnd"/>
      <w:r w:rsidRPr="00A16AFA">
        <w:rPr>
          <w:rFonts w:ascii="Arial" w:hAnsi="Arial" w:cs="Arial"/>
        </w:rPr>
        <w:t xml:space="preserve"> yet problematic impact was the NPFIT. As a result of the NHS review conducted by Lord Darzi, the NPFIT was established in the year 2002 - 2005 to encourage the use of electronic health records for patients and create interconnected pathways for GP surgeries &amp; hospitals (Liddell, et al.,2008). Although in the NPFIT early stages, it received a positive response due to the </w:t>
      </w:r>
      <w:r w:rsidRPr="00A16AFA">
        <w:rPr>
          <w:rFonts w:ascii="Arial" w:hAnsi="Arial" w:cs="Arial"/>
        </w:rPr>
        <w:lastRenderedPageBreak/>
        <w:t>advantages of electronic exchange of patient data (Eason, 2007). However, negative aspects began to emerge when the implementing stage happened. Many realised that the application was not appropriate for their needs; for example, 60% of GP surgeries were upset that the systems they had already purchased would be replaced for the NPFIT recommended system despite it having the same function as the previous ones (Eason, 2007). Nevertheless, this matter was resolved by collaborating with the NPFIT and the company that supply systems for GP Surgeries to create a new product that became available to GP surgeries (Eason, 2007).</w:t>
      </w:r>
    </w:p>
    <w:p w14:paraId="7522ACAD" w14:textId="585CA509" w:rsidR="00A16AFA" w:rsidRPr="00A16AFA" w:rsidRDefault="00A16AFA" w:rsidP="00A16AFA">
      <w:pPr>
        <w:spacing w:line="360" w:lineRule="auto"/>
        <w:jc w:val="both"/>
        <w:rPr>
          <w:rFonts w:ascii="Arial" w:hAnsi="Arial" w:cs="Arial"/>
        </w:rPr>
      </w:pPr>
      <w:r w:rsidRPr="00A16AFA">
        <w:rPr>
          <w:rFonts w:ascii="Arial" w:hAnsi="Arial" w:cs="Arial"/>
        </w:rPr>
        <w:t>Strategic Health Authorities legally</w:t>
      </w:r>
      <w:r w:rsidR="003F0E9C">
        <w:rPr>
          <w:rFonts w:ascii="Arial" w:hAnsi="Arial" w:cs="Arial"/>
        </w:rPr>
        <w:t xml:space="preserve"> required to </w:t>
      </w:r>
      <w:r w:rsidRPr="00A16AFA">
        <w:rPr>
          <w:rFonts w:ascii="Arial" w:hAnsi="Arial" w:cs="Arial"/>
        </w:rPr>
        <w:t xml:space="preserve">stimulate innovation </w:t>
      </w:r>
      <w:r w:rsidR="003F0E9C" w:rsidRPr="00A16AFA">
        <w:rPr>
          <w:rFonts w:ascii="Arial" w:hAnsi="Arial" w:cs="Arial"/>
        </w:rPr>
        <w:t>through</w:t>
      </w:r>
      <w:r w:rsidRPr="00A16AFA">
        <w:rPr>
          <w:rFonts w:ascii="Arial" w:hAnsi="Arial" w:cs="Arial"/>
        </w:rPr>
        <w:t xml:space="preserve"> funds and prizes for new advances that directly benefit patients and the public (Liddell, et al.,2008). Furthermore, under national mandate and GP contract, digital clinical competencies must be accredited through the GP IT Futures Framework (NHS England, 2019). For instance, the NHS funds GP Contract holders’ solutions and a signed CCG-Practice Agreement. Individual practices from the accredited systems offered in the GP IT Futures Catalogue will determine GP IT Futures Foundation Capabilities (NHS England, 2019).</w:t>
      </w:r>
    </w:p>
    <w:p w14:paraId="7C6B00BF" w14:textId="77777777" w:rsidR="00044C9E" w:rsidRDefault="00044C9E" w:rsidP="00A16AFA">
      <w:pPr>
        <w:spacing w:line="360" w:lineRule="auto"/>
        <w:jc w:val="both"/>
        <w:rPr>
          <w:rFonts w:ascii="Arial" w:hAnsi="Arial" w:cs="Arial"/>
          <w:sz w:val="24"/>
          <w:szCs w:val="24"/>
        </w:rPr>
      </w:pPr>
    </w:p>
    <w:p w14:paraId="4E47563E" w14:textId="6DE16EF8" w:rsidR="00A16AFA" w:rsidRPr="00A16AFA" w:rsidRDefault="00044C9E" w:rsidP="00A16AFA">
      <w:pPr>
        <w:spacing w:line="360" w:lineRule="auto"/>
        <w:jc w:val="both"/>
        <w:rPr>
          <w:rFonts w:ascii="Arial" w:hAnsi="Arial" w:cs="Arial"/>
        </w:rPr>
      </w:pPr>
      <w:r>
        <w:rPr>
          <w:rFonts w:ascii="Arial" w:hAnsi="Arial" w:cs="Arial"/>
          <w:sz w:val="24"/>
          <w:szCs w:val="24"/>
        </w:rPr>
        <w:t>Security Regulations</w:t>
      </w:r>
    </w:p>
    <w:p w14:paraId="21C469DC" w14:textId="77777777" w:rsidR="00A16AFA" w:rsidRPr="00A16AFA" w:rsidRDefault="00A16AFA" w:rsidP="00A16AFA">
      <w:pPr>
        <w:spacing w:line="360" w:lineRule="auto"/>
        <w:jc w:val="both"/>
        <w:rPr>
          <w:rFonts w:ascii="Arial" w:hAnsi="Arial" w:cs="Arial"/>
        </w:rPr>
      </w:pPr>
      <w:r w:rsidRPr="00A16AFA">
        <w:rPr>
          <w:rFonts w:ascii="Arial" w:hAnsi="Arial" w:cs="Arial"/>
        </w:rPr>
        <w:t>There are two ways of interaction with service users in the health care record system. Such as healthcare staff documenting the results from the patient’s consultation and subsequent users who can access data about patients (Eason, 2007). Regarding the NPFIT programme, confidentiality issues arose as many GP surgeries were concerned about patient’s data falling into the wrong hands. This concern resulted in two staff failing to record clinical information regarding patients; by ending the first feedback session, approximately 30% of records were noted (Hendy et al.,2005). Nevertheless, technology resulted in an immense collection of data that has been made easily accessible for research. However, this information can be confusing for GP surgeries and patients, as there is too much information to sort through.</w:t>
      </w:r>
    </w:p>
    <w:p w14:paraId="071DCE87" w14:textId="77777777" w:rsidR="00A16AFA" w:rsidRPr="00A16AFA" w:rsidRDefault="00A16AFA" w:rsidP="00A16AFA">
      <w:pPr>
        <w:spacing w:line="360" w:lineRule="auto"/>
        <w:jc w:val="both"/>
        <w:rPr>
          <w:rFonts w:ascii="Arial" w:hAnsi="Arial" w:cs="Arial"/>
        </w:rPr>
      </w:pPr>
      <w:r w:rsidRPr="00A16AFA">
        <w:rPr>
          <w:rFonts w:ascii="Arial" w:hAnsi="Arial" w:cs="Arial"/>
        </w:rPr>
        <w:t xml:space="preserve">NHS Digital have guidelines on reporting data breaches available in the DSP Toolkit. It should be noted that data breaches may occur without data loss or loss of access to data, therefore, holds severe continuity risk (NHS England, 2019). As data controllers, GP Surgeries must follow GDPR Article 33 and report personal data security breaches to the Information Commissioner’s Office (ICO) without undue delay within 72 hours (NHS England, 2019). Data controllers have access to specialist services that can provide expert advice and guidance in a data breach. Management of a High Severity Total Loss of access to Patient Records Incident may occur due to several possible causes, perhaps a host system failure, network </w:t>
      </w:r>
      <w:r w:rsidRPr="00A16AFA">
        <w:rPr>
          <w:rFonts w:ascii="Arial" w:hAnsi="Arial" w:cs="Arial"/>
        </w:rPr>
        <w:lastRenderedPageBreak/>
        <w:t xml:space="preserve">failure, power failure, premises disruption and system configuration fault denying permissions (NHS England, 2019). Each GP surgery should have an activated Business Continuity Plan approved by the CCG, which response to threats to data security and will also include a response to the loss of access to patient records (NHS England, 2019).   </w:t>
      </w:r>
    </w:p>
    <w:p w14:paraId="1D88CDF6" w14:textId="77777777" w:rsidR="00A16AFA" w:rsidRPr="00A16AFA" w:rsidRDefault="00A16AFA" w:rsidP="00A16AFA">
      <w:pPr>
        <w:spacing w:line="360" w:lineRule="auto"/>
        <w:jc w:val="both"/>
        <w:rPr>
          <w:rFonts w:ascii="Arial" w:hAnsi="Arial" w:cs="Arial"/>
        </w:rPr>
      </w:pPr>
    </w:p>
    <w:p w14:paraId="6E603D6F" w14:textId="14340B60" w:rsidR="00BF3F40" w:rsidRDefault="00044C9E" w:rsidP="00A16AFA">
      <w:pPr>
        <w:spacing w:line="360" w:lineRule="auto"/>
        <w:jc w:val="both"/>
        <w:rPr>
          <w:rFonts w:ascii="Arial" w:hAnsi="Arial" w:cs="Arial"/>
        </w:rPr>
      </w:pPr>
      <w:r>
        <w:rPr>
          <w:rFonts w:ascii="Arial" w:hAnsi="Arial" w:cs="Arial"/>
          <w:sz w:val="24"/>
          <w:szCs w:val="24"/>
        </w:rPr>
        <w:t>Financial restrictions</w:t>
      </w:r>
    </w:p>
    <w:p w14:paraId="245223B2" w14:textId="2C4857E2" w:rsidR="00A16AFA" w:rsidRPr="00A16AFA" w:rsidRDefault="00A16AFA" w:rsidP="00A16AFA">
      <w:pPr>
        <w:spacing w:line="360" w:lineRule="auto"/>
        <w:jc w:val="both"/>
        <w:rPr>
          <w:rFonts w:ascii="Arial" w:hAnsi="Arial" w:cs="Arial"/>
        </w:rPr>
      </w:pPr>
      <w:r w:rsidRPr="00A16AFA">
        <w:rPr>
          <w:rFonts w:ascii="Arial" w:hAnsi="Arial" w:cs="Arial"/>
        </w:rPr>
        <w:t>A key barrier to implementing technological advance</w:t>
      </w:r>
      <w:r w:rsidR="007113A6">
        <w:rPr>
          <w:rFonts w:ascii="Arial" w:hAnsi="Arial" w:cs="Arial"/>
        </w:rPr>
        <w:t>s</w:t>
      </w:r>
      <w:r w:rsidRPr="00A16AFA">
        <w:rPr>
          <w:rFonts w:ascii="Arial" w:hAnsi="Arial" w:cs="Arial"/>
        </w:rPr>
        <w:t xml:space="preserve"> is funding, as technology can cause unanticipated costs and create new demands. The lack of funds to invest in the essential medical equipment and trained staff contributes to the inefficient resources to deliver the support services</w:t>
      </w:r>
      <w:r w:rsidR="0041056C">
        <w:rPr>
          <w:rFonts w:ascii="Arial" w:hAnsi="Arial" w:cs="Arial"/>
        </w:rPr>
        <w:t xml:space="preserve"> needed</w:t>
      </w:r>
      <w:r w:rsidRPr="00A16AFA">
        <w:rPr>
          <w:rFonts w:ascii="Arial" w:hAnsi="Arial" w:cs="Arial"/>
        </w:rPr>
        <w:t xml:space="preserve"> (Liddell, et al.,2008).  Furthermore, there is a tipping point at which the cost of collecting information from patients outweighs the benefits it provides, a point at which technology is no longer feasible. Arguably, the benefits of technologies are often comprehended over long timescales (between four to five years or longer). Hence, strategies like silo budgeting, short-term financial planning, and diverse requirements across commissioned hinder local uptake (Liddell, et al.,2008). For example, GP Surgeries need to get approval for their spending plans from PCTs, which creates a barrier of showing evidence case for booking systems; GP Surgeries do not always know how best to present their plans (Liddell, et al.,2008). There is a diversity of buying points that prevent the health service from achieving economies when purchasing technologies, which means that the technologies are more expensive for local buyers (Liddell, et al.,2008).</w:t>
      </w:r>
    </w:p>
    <w:p w14:paraId="4F1DDDDB" w14:textId="77777777" w:rsidR="00B50767" w:rsidRDefault="00B50767" w:rsidP="008366EA">
      <w:pPr>
        <w:tabs>
          <w:tab w:val="left" w:pos="2760"/>
        </w:tabs>
        <w:rPr>
          <w:rFonts w:ascii="Arial" w:hAnsi="Arial" w:cs="Arial"/>
          <w:sz w:val="24"/>
          <w:szCs w:val="24"/>
        </w:rPr>
      </w:pPr>
    </w:p>
    <w:p w14:paraId="3E8AAC6B" w14:textId="334A9409" w:rsidR="0018358A" w:rsidRDefault="00044C9E" w:rsidP="008366EA">
      <w:pPr>
        <w:tabs>
          <w:tab w:val="left" w:pos="2760"/>
        </w:tabs>
        <w:rPr>
          <w:rFonts w:ascii="Arial" w:hAnsi="Arial" w:cs="Arial"/>
          <w:sz w:val="24"/>
          <w:szCs w:val="24"/>
        </w:rPr>
      </w:pPr>
      <w:r>
        <w:rPr>
          <w:rFonts w:ascii="Arial" w:hAnsi="Arial" w:cs="Arial"/>
          <w:sz w:val="24"/>
          <w:szCs w:val="24"/>
        </w:rPr>
        <w:t>Conclusion</w:t>
      </w:r>
    </w:p>
    <w:p w14:paraId="66C6654D" w14:textId="49E99EA4" w:rsidR="00A05E56" w:rsidRPr="00A05E56" w:rsidRDefault="00A05E56" w:rsidP="00EA33CC">
      <w:pPr>
        <w:spacing w:after="0" w:line="360" w:lineRule="auto"/>
        <w:jc w:val="both"/>
        <w:rPr>
          <w:rFonts w:ascii="Arial" w:eastAsia="Times New Roman" w:hAnsi="Arial" w:cs="Arial"/>
          <w:lang w:eastAsia="en-GB"/>
        </w:rPr>
      </w:pPr>
      <w:r w:rsidRPr="00A05E56">
        <w:rPr>
          <w:rFonts w:ascii="Arial" w:eastAsia="Times New Roman" w:hAnsi="Arial" w:cs="Arial"/>
          <w:lang w:eastAsia="en-GB"/>
        </w:rPr>
        <w:t>To conclude technology has made some significant contributions to how GP surgeries operate</w:t>
      </w:r>
      <w:r w:rsidR="00026A37" w:rsidRPr="00EA33CC">
        <w:rPr>
          <w:rFonts w:ascii="Arial" w:eastAsia="Times New Roman" w:hAnsi="Arial" w:cs="Arial"/>
          <w:lang w:eastAsia="en-GB"/>
        </w:rPr>
        <w:t>, from improved booking systems</w:t>
      </w:r>
      <w:r w:rsidRPr="00A05E56">
        <w:rPr>
          <w:rFonts w:ascii="Arial" w:eastAsia="Times New Roman" w:hAnsi="Arial" w:cs="Arial"/>
          <w:lang w:eastAsia="en-GB"/>
        </w:rPr>
        <w:t xml:space="preserve">. Furthermore, </w:t>
      </w:r>
      <w:r w:rsidR="00164E1D" w:rsidRPr="00EA33CC">
        <w:rPr>
          <w:rFonts w:ascii="Arial" w:eastAsia="Times New Roman" w:hAnsi="Arial" w:cs="Arial"/>
          <w:lang w:eastAsia="en-GB"/>
        </w:rPr>
        <w:t>it</w:t>
      </w:r>
      <w:r w:rsidRPr="00A05E56">
        <w:rPr>
          <w:rFonts w:ascii="Arial" w:eastAsia="Times New Roman" w:hAnsi="Arial" w:cs="Arial"/>
          <w:lang w:eastAsia="en-GB"/>
        </w:rPr>
        <w:t xml:space="preserve"> has increased </w:t>
      </w:r>
      <w:r w:rsidR="00164E1D" w:rsidRPr="00EA33CC">
        <w:rPr>
          <w:rFonts w:ascii="Arial" w:eastAsia="Times New Roman" w:hAnsi="Arial" w:cs="Arial"/>
          <w:lang w:eastAsia="en-GB"/>
        </w:rPr>
        <w:t>accessibility</w:t>
      </w:r>
      <w:r w:rsidRPr="00A05E56">
        <w:rPr>
          <w:rFonts w:ascii="Arial" w:eastAsia="Times New Roman" w:hAnsi="Arial" w:cs="Arial"/>
          <w:lang w:eastAsia="en-GB"/>
        </w:rPr>
        <w:t xml:space="preserve"> between medical professionals and the wider public, encourage patients to be more concerns about the health. </w:t>
      </w:r>
      <w:r w:rsidR="00164E1D" w:rsidRPr="00EA33CC">
        <w:rPr>
          <w:rFonts w:ascii="Arial" w:eastAsia="Times New Roman" w:hAnsi="Arial" w:cs="Arial"/>
          <w:lang w:eastAsia="en-GB"/>
        </w:rPr>
        <w:t>However,</w:t>
      </w:r>
      <w:r w:rsidRPr="00A05E56">
        <w:rPr>
          <w:rFonts w:ascii="Arial" w:eastAsia="Times New Roman" w:hAnsi="Arial" w:cs="Arial"/>
          <w:lang w:eastAsia="en-GB"/>
        </w:rPr>
        <w:t xml:space="preserve"> there are still some ethical issues that need to be addressed, continuous funding needs to be explored to maintain and develop these technological advances further and legislation needs to </w:t>
      </w:r>
      <w:r w:rsidR="00026A37" w:rsidRPr="00EA33CC">
        <w:rPr>
          <w:rFonts w:ascii="Arial" w:eastAsia="Times New Roman" w:hAnsi="Arial" w:cs="Arial"/>
          <w:lang w:eastAsia="en-GB"/>
        </w:rPr>
        <w:t>c</w:t>
      </w:r>
      <w:r w:rsidRPr="00A05E56">
        <w:rPr>
          <w:rFonts w:ascii="Arial" w:eastAsia="Times New Roman" w:hAnsi="Arial" w:cs="Arial"/>
          <w:lang w:eastAsia="en-GB"/>
        </w:rPr>
        <w:t>ontinue to be vigilant with how Technology is used and safeguard the rights, dignities of patients. </w:t>
      </w:r>
    </w:p>
    <w:p w14:paraId="3D6E9374" w14:textId="77777777" w:rsidR="00A05E56" w:rsidRDefault="00A05E56" w:rsidP="008366EA">
      <w:pPr>
        <w:tabs>
          <w:tab w:val="left" w:pos="2760"/>
        </w:tabs>
        <w:rPr>
          <w:rFonts w:ascii="Arial" w:hAnsi="Arial" w:cs="Arial"/>
          <w:sz w:val="24"/>
          <w:szCs w:val="24"/>
        </w:rPr>
      </w:pPr>
    </w:p>
    <w:p w14:paraId="0FE0E8D7" w14:textId="42514A0F" w:rsidR="0018358A" w:rsidRDefault="0018358A" w:rsidP="008366EA">
      <w:pPr>
        <w:tabs>
          <w:tab w:val="left" w:pos="2760"/>
        </w:tabs>
        <w:rPr>
          <w:rFonts w:ascii="Arial" w:hAnsi="Arial" w:cs="Arial"/>
          <w:sz w:val="24"/>
          <w:szCs w:val="24"/>
        </w:rPr>
      </w:pPr>
    </w:p>
    <w:p w14:paraId="43930601" w14:textId="7A5A250F" w:rsidR="0018358A" w:rsidRDefault="0018358A" w:rsidP="008366EA">
      <w:pPr>
        <w:tabs>
          <w:tab w:val="left" w:pos="2760"/>
        </w:tabs>
        <w:rPr>
          <w:rFonts w:ascii="Arial" w:hAnsi="Arial" w:cs="Arial"/>
          <w:sz w:val="24"/>
          <w:szCs w:val="24"/>
        </w:rPr>
      </w:pPr>
    </w:p>
    <w:p w14:paraId="6F4CA256" w14:textId="69FCC10A" w:rsidR="0018358A" w:rsidRDefault="0018358A" w:rsidP="008366EA">
      <w:pPr>
        <w:tabs>
          <w:tab w:val="left" w:pos="2760"/>
        </w:tabs>
        <w:rPr>
          <w:rFonts w:ascii="Arial" w:hAnsi="Arial" w:cs="Arial"/>
          <w:sz w:val="24"/>
          <w:szCs w:val="24"/>
        </w:rPr>
      </w:pPr>
    </w:p>
    <w:p w14:paraId="4B1C02B1" w14:textId="0CA02E99" w:rsidR="0018358A" w:rsidRDefault="0018358A" w:rsidP="008366EA">
      <w:pPr>
        <w:tabs>
          <w:tab w:val="left" w:pos="2760"/>
        </w:tabs>
        <w:rPr>
          <w:rFonts w:ascii="Arial" w:hAnsi="Arial" w:cs="Arial"/>
          <w:sz w:val="24"/>
          <w:szCs w:val="24"/>
        </w:rPr>
      </w:pPr>
    </w:p>
    <w:sdt>
      <w:sdtPr>
        <w:rPr>
          <w:rFonts w:asciiTheme="majorHAnsi" w:eastAsiaTheme="majorEastAsia" w:hAnsiTheme="majorHAnsi" w:cstheme="majorBidi"/>
          <w:color w:val="2F5496" w:themeColor="accent1" w:themeShade="BF"/>
          <w:sz w:val="32"/>
          <w:szCs w:val="32"/>
          <w:lang w:val="en-US"/>
        </w:rPr>
        <w:id w:val="-705480987"/>
        <w:docPartObj>
          <w:docPartGallery w:val="Bibliographies"/>
          <w:docPartUnique/>
        </w:docPartObj>
      </w:sdtPr>
      <w:sdtEndPr>
        <w:rPr>
          <w:rFonts w:ascii="Calibri" w:eastAsia="Calibri" w:hAnsi="Calibri" w:cs="Times New Roman"/>
          <w:color w:val="auto"/>
          <w:sz w:val="22"/>
          <w:szCs w:val="22"/>
          <w:lang w:val="en-GB"/>
        </w:rPr>
      </w:sdtEndPr>
      <w:sdtContent>
        <w:p w14:paraId="64861F90" w14:textId="77777777" w:rsidR="00690F18" w:rsidRPr="00690F18" w:rsidRDefault="00690F18" w:rsidP="00690F18">
          <w:pPr>
            <w:keepNext/>
            <w:keepLines/>
            <w:spacing w:before="240" w:after="0"/>
            <w:outlineLvl w:val="0"/>
            <w:rPr>
              <w:rFonts w:asciiTheme="majorHAnsi" w:eastAsiaTheme="majorEastAsia" w:hAnsiTheme="majorHAnsi" w:cstheme="majorBidi"/>
              <w:color w:val="2F5496" w:themeColor="accent1" w:themeShade="BF"/>
              <w:sz w:val="32"/>
              <w:szCs w:val="32"/>
              <w:lang w:val="en-US"/>
            </w:rPr>
          </w:pPr>
          <w:r w:rsidRPr="00690F18">
            <w:rPr>
              <w:rFonts w:asciiTheme="majorHAnsi" w:eastAsiaTheme="majorEastAsia" w:hAnsiTheme="majorHAnsi" w:cstheme="majorBidi"/>
              <w:color w:val="2F5496" w:themeColor="accent1" w:themeShade="BF"/>
              <w:sz w:val="32"/>
              <w:szCs w:val="32"/>
              <w:lang w:val="en-US"/>
            </w:rPr>
            <w:t>References</w:t>
          </w:r>
        </w:p>
        <w:sdt>
          <w:sdtPr>
            <w:rPr>
              <w:rFonts w:ascii="Calibri" w:eastAsia="Calibri" w:hAnsi="Calibri" w:cs="Times New Roman"/>
            </w:rPr>
            <w:id w:val="-573587230"/>
            <w:bibliography/>
          </w:sdtPr>
          <w:sdtContent>
            <w:p w14:paraId="0875BEDE" w14:textId="77777777" w:rsidR="00690F18" w:rsidRPr="00690F18" w:rsidRDefault="00690F18" w:rsidP="00690F18">
              <w:pPr>
                <w:numPr>
                  <w:ilvl w:val="0"/>
                  <w:numId w:val="3"/>
                </w:numPr>
                <w:suppressAutoHyphens/>
                <w:autoSpaceDN w:val="0"/>
                <w:spacing w:line="251" w:lineRule="auto"/>
                <w:contextualSpacing/>
                <w:textAlignment w:val="baseline"/>
                <w:rPr>
                  <w:rFonts w:ascii="Arial" w:eastAsia="Calibri" w:hAnsi="Arial" w:cs="Arial"/>
                  <w:color w:val="222222"/>
                  <w:shd w:val="clear" w:color="auto" w:fill="FFFFFF"/>
                </w:rPr>
              </w:pPr>
              <w:proofErr w:type="spellStart"/>
              <w:r w:rsidRPr="00690F18">
                <w:rPr>
                  <w:rFonts w:ascii="Arial" w:eastAsia="Calibri" w:hAnsi="Arial" w:cs="Arial"/>
                  <w:color w:val="222222"/>
                  <w:shd w:val="clear" w:color="auto" w:fill="FFFFFF"/>
                </w:rPr>
                <w:t>Alalwany</w:t>
              </w:r>
              <w:proofErr w:type="spellEnd"/>
              <w:r w:rsidRPr="00690F18">
                <w:rPr>
                  <w:rFonts w:ascii="Arial" w:eastAsia="Calibri" w:hAnsi="Arial" w:cs="Arial"/>
                  <w:color w:val="222222"/>
                  <w:shd w:val="clear" w:color="auto" w:fill="FFFFFF"/>
                </w:rPr>
                <w:t xml:space="preserve">, H. and </w:t>
              </w:r>
              <w:proofErr w:type="spellStart"/>
              <w:r w:rsidRPr="00690F18">
                <w:rPr>
                  <w:rFonts w:ascii="Arial" w:eastAsia="Calibri" w:hAnsi="Arial" w:cs="Arial"/>
                  <w:color w:val="222222"/>
                  <w:shd w:val="clear" w:color="auto" w:fill="FFFFFF"/>
                </w:rPr>
                <w:t>Alshawi</w:t>
              </w:r>
              <w:proofErr w:type="spellEnd"/>
              <w:r w:rsidRPr="00690F18">
                <w:rPr>
                  <w:rFonts w:ascii="Arial" w:eastAsia="Calibri" w:hAnsi="Arial" w:cs="Arial"/>
                  <w:color w:val="222222"/>
                  <w:shd w:val="clear" w:color="auto" w:fill="FFFFFF"/>
                </w:rPr>
                <w:t>, S., 2012. The rationale of e-health evaluation: the case of NHS Direct. </w:t>
              </w:r>
              <w:r w:rsidRPr="00690F18">
                <w:rPr>
                  <w:rFonts w:ascii="Arial" w:eastAsia="Calibri" w:hAnsi="Arial" w:cs="Arial"/>
                  <w:i/>
                  <w:iCs/>
                  <w:color w:val="222222"/>
                  <w:shd w:val="clear" w:color="auto" w:fill="FFFFFF"/>
                </w:rPr>
                <w:t>International Journal of Business Information Systems</w:t>
              </w:r>
              <w:r w:rsidRPr="00690F18">
                <w:rPr>
                  <w:rFonts w:ascii="Arial" w:eastAsia="Calibri" w:hAnsi="Arial" w:cs="Arial"/>
                  <w:color w:val="222222"/>
                  <w:shd w:val="clear" w:color="auto" w:fill="FFFFFF"/>
                </w:rPr>
                <w:t>, </w:t>
              </w:r>
              <w:r w:rsidRPr="00690F18">
                <w:rPr>
                  <w:rFonts w:ascii="Arial" w:eastAsia="Calibri" w:hAnsi="Arial" w:cs="Arial"/>
                  <w:i/>
                  <w:iCs/>
                  <w:color w:val="222222"/>
                  <w:shd w:val="clear" w:color="auto" w:fill="FFFFFF"/>
                </w:rPr>
                <w:t>9</w:t>
              </w:r>
              <w:r w:rsidRPr="00690F18">
                <w:rPr>
                  <w:rFonts w:ascii="Arial" w:eastAsia="Calibri" w:hAnsi="Arial" w:cs="Arial"/>
                  <w:color w:val="222222"/>
                  <w:shd w:val="clear" w:color="auto" w:fill="FFFFFF"/>
                </w:rPr>
                <w:t>(4), pp.484-497.</w:t>
              </w:r>
            </w:p>
            <w:p w14:paraId="2827FF2D" w14:textId="77777777" w:rsidR="00690F18" w:rsidRPr="00690F18" w:rsidRDefault="00690F18" w:rsidP="00690F18">
              <w:pPr>
                <w:suppressAutoHyphens/>
                <w:autoSpaceDN w:val="0"/>
                <w:spacing w:line="251" w:lineRule="auto"/>
                <w:ind w:left="720"/>
                <w:contextualSpacing/>
                <w:textAlignment w:val="baseline"/>
                <w:rPr>
                  <w:rFonts w:ascii="Arial" w:eastAsia="Calibri" w:hAnsi="Arial" w:cs="Arial"/>
                  <w:color w:val="222222"/>
                  <w:shd w:val="clear" w:color="auto" w:fill="FFFFFF"/>
                </w:rPr>
              </w:pPr>
            </w:p>
            <w:p w14:paraId="25927E78" w14:textId="288FBEA5" w:rsidR="00690F18" w:rsidRPr="00690F18" w:rsidRDefault="00690F18" w:rsidP="00B50767">
              <w:pPr>
                <w:numPr>
                  <w:ilvl w:val="0"/>
                  <w:numId w:val="3"/>
                </w:numPr>
                <w:suppressAutoHyphens/>
                <w:autoSpaceDN w:val="0"/>
                <w:spacing w:line="251" w:lineRule="auto"/>
                <w:contextualSpacing/>
                <w:textAlignment w:val="baseline"/>
                <w:rPr>
                  <w:rFonts w:ascii="Arial" w:eastAsia="Calibri" w:hAnsi="Arial" w:cs="Arial"/>
                  <w:color w:val="222222"/>
                  <w:shd w:val="clear" w:color="auto" w:fill="FFFFFF"/>
                </w:rPr>
              </w:pPr>
              <w:proofErr w:type="spellStart"/>
              <w:r w:rsidRPr="00690F18">
                <w:rPr>
                  <w:rFonts w:ascii="Arial" w:eastAsia="Calibri" w:hAnsi="Arial" w:cs="Arial"/>
                  <w:color w:val="222222"/>
                  <w:shd w:val="clear" w:color="auto" w:fill="FFFFFF"/>
                </w:rPr>
                <w:t>Bhavnani</w:t>
              </w:r>
              <w:proofErr w:type="spellEnd"/>
              <w:r w:rsidRPr="00690F18">
                <w:rPr>
                  <w:rFonts w:ascii="Arial" w:eastAsia="Calibri" w:hAnsi="Arial" w:cs="Arial"/>
                  <w:color w:val="222222"/>
                  <w:shd w:val="clear" w:color="auto" w:fill="FFFFFF"/>
                </w:rPr>
                <w:t>, V., Fisher, B., Winfield, M. and Seed, P., 2011. How patients use access to their electronic GP record—a quantitative study. </w:t>
              </w:r>
              <w:r w:rsidRPr="00690F18">
                <w:rPr>
                  <w:rFonts w:ascii="Arial" w:eastAsia="Calibri" w:hAnsi="Arial" w:cs="Arial"/>
                  <w:i/>
                  <w:iCs/>
                  <w:color w:val="222222"/>
                  <w:shd w:val="clear" w:color="auto" w:fill="FFFFFF"/>
                </w:rPr>
                <w:t>Family Practice</w:t>
              </w:r>
              <w:r w:rsidRPr="00690F18">
                <w:rPr>
                  <w:rFonts w:ascii="Arial" w:eastAsia="Calibri" w:hAnsi="Arial" w:cs="Arial"/>
                  <w:color w:val="222222"/>
                  <w:shd w:val="clear" w:color="auto" w:fill="FFFFFF"/>
                </w:rPr>
                <w:t>, </w:t>
              </w:r>
              <w:r w:rsidRPr="00690F18">
                <w:rPr>
                  <w:rFonts w:ascii="Arial" w:eastAsia="Calibri" w:hAnsi="Arial" w:cs="Arial"/>
                  <w:i/>
                  <w:iCs/>
                  <w:color w:val="222222"/>
                  <w:shd w:val="clear" w:color="auto" w:fill="FFFFFF"/>
                </w:rPr>
                <w:t>28</w:t>
              </w:r>
              <w:r w:rsidRPr="00690F18">
                <w:rPr>
                  <w:rFonts w:ascii="Arial" w:eastAsia="Calibri" w:hAnsi="Arial" w:cs="Arial"/>
                  <w:color w:val="222222"/>
                  <w:shd w:val="clear" w:color="auto" w:fill="FFFFFF"/>
                </w:rPr>
                <w:t>(2), pp.188-194.</w:t>
              </w:r>
            </w:p>
            <w:p w14:paraId="000A9511" w14:textId="77777777" w:rsidR="00690F18" w:rsidRPr="00690F18" w:rsidRDefault="00690F18" w:rsidP="00690F18">
              <w:pPr>
                <w:suppressAutoHyphens/>
                <w:autoSpaceDN w:val="0"/>
                <w:spacing w:line="251" w:lineRule="auto"/>
                <w:ind w:left="720"/>
                <w:contextualSpacing/>
                <w:textAlignment w:val="baseline"/>
                <w:rPr>
                  <w:rFonts w:ascii="Arial" w:eastAsia="Calibri" w:hAnsi="Arial" w:cs="Arial"/>
                  <w:color w:val="222222"/>
                  <w:shd w:val="clear" w:color="auto" w:fill="FFFFFF"/>
                </w:rPr>
              </w:pPr>
            </w:p>
            <w:p w14:paraId="31056DFD" w14:textId="77777777" w:rsidR="00690F18" w:rsidRPr="00690F18" w:rsidRDefault="00690F18" w:rsidP="00690F18">
              <w:pPr>
                <w:numPr>
                  <w:ilvl w:val="0"/>
                  <w:numId w:val="3"/>
                </w:numPr>
                <w:suppressAutoHyphens/>
                <w:autoSpaceDN w:val="0"/>
                <w:spacing w:line="251" w:lineRule="auto"/>
                <w:contextualSpacing/>
                <w:textAlignment w:val="baseline"/>
                <w:rPr>
                  <w:rFonts w:ascii="Arial" w:eastAsia="Calibri" w:hAnsi="Arial" w:cs="Arial"/>
                </w:rPr>
              </w:pPr>
              <w:bookmarkStart w:id="1" w:name="_Hlk71660728"/>
              <w:r w:rsidRPr="00690F18">
                <w:rPr>
                  <w:rFonts w:ascii="Arial" w:eastAsia="Calibri" w:hAnsi="Arial" w:cs="Arial"/>
                </w:rPr>
                <w:t>Eason, K. (2007) ‘</w:t>
              </w:r>
              <w:bookmarkEnd w:id="1"/>
              <w:r w:rsidRPr="00690F18">
                <w:rPr>
                  <w:rFonts w:ascii="Arial" w:eastAsia="Calibri" w:hAnsi="Arial" w:cs="Arial"/>
                </w:rPr>
                <w:t>Local Sociotechnical System Development in the NHS. National Programme for Information Technology’, </w:t>
              </w:r>
              <w:r w:rsidRPr="00690F18">
                <w:rPr>
                  <w:rFonts w:ascii="Arial" w:eastAsia="Calibri" w:hAnsi="Arial" w:cs="Arial"/>
                  <w:i/>
                  <w:iCs/>
                </w:rPr>
                <w:t>Journal of Information Technology</w:t>
              </w:r>
              <w:r w:rsidRPr="00690F18">
                <w:rPr>
                  <w:rFonts w:ascii="Arial" w:eastAsia="Calibri" w:hAnsi="Arial" w:cs="Arial"/>
                </w:rPr>
                <w:t>, 22(3), pp. 257–264. </w:t>
              </w:r>
              <w:proofErr w:type="spellStart"/>
              <w:r w:rsidRPr="00690F18">
                <w:rPr>
                  <w:rFonts w:ascii="Arial" w:eastAsia="Calibri" w:hAnsi="Arial" w:cs="Arial"/>
                </w:rPr>
                <w:t>doi</w:t>
              </w:r>
              <w:proofErr w:type="spellEnd"/>
              <w:r w:rsidRPr="00690F18">
                <w:rPr>
                  <w:rFonts w:ascii="Arial" w:eastAsia="Calibri" w:hAnsi="Arial" w:cs="Arial"/>
                </w:rPr>
                <w:t>: </w:t>
              </w:r>
              <w:hyperlink r:id="rId6" w:history="1">
                <w:r w:rsidRPr="00690F18">
                  <w:rPr>
                    <w:rFonts w:ascii="Arial" w:eastAsia="Calibri" w:hAnsi="Arial" w:cs="Arial"/>
                    <w:color w:val="0563C1"/>
                    <w:u w:val="single"/>
                  </w:rPr>
                  <w:t>10.1057/palgrave.jit.2000101</w:t>
                </w:r>
              </w:hyperlink>
              <w:r w:rsidRPr="00690F18">
                <w:rPr>
                  <w:rFonts w:ascii="Arial" w:eastAsia="Calibri" w:hAnsi="Arial" w:cs="Arial"/>
                </w:rPr>
                <w:t>. Accessed </w:t>
              </w:r>
              <w:proofErr w:type="gramStart"/>
              <w:r w:rsidRPr="00690F18">
                <w:rPr>
                  <w:rFonts w:ascii="Arial" w:eastAsia="Calibri" w:hAnsi="Arial" w:cs="Arial"/>
                </w:rPr>
                <w:t>28/03/2021</w:t>
              </w:r>
              <w:proofErr w:type="gramEnd"/>
              <w:r w:rsidRPr="00690F18">
                <w:rPr>
                  <w:rFonts w:ascii="Arial" w:eastAsia="Calibri" w:hAnsi="Arial" w:cs="Arial"/>
                </w:rPr>
                <w:t> </w:t>
              </w:r>
            </w:p>
            <w:p w14:paraId="38596152" w14:textId="77777777" w:rsidR="00690F18" w:rsidRPr="00690F18" w:rsidRDefault="00690F18" w:rsidP="00690F18">
              <w:pPr>
                <w:suppressAutoHyphens/>
                <w:autoSpaceDN w:val="0"/>
                <w:spacing w:line="251" w:lineRule="auto"/>
                <w:ind w:left="720"/>
                <w:contextualSpacing/>
                <w:textAlignment w:val="baseline"/>
                <w:rPr>
                  <w:rFonts w:ascii="Arial" w:eastAsia="Calibri" w:hAnsi="Arial" w:cs="Arial"/>
                </w:rPr>
              </w:pPr>
            </w:p>
            <w:p w14:paraId="57F7692B" w14:textId="77777777" w:rsidR="00690F18" w:rsidRPr="00690F18" w:rsidRDefault="00690F18" w:rsidP="00690F18">
              <w:pPr>
                <w:numPr>
                  <w:ilvl w:val="0"/>
                  <w:numId w:val="3"/>
                </w:numPr>
                <w:suppressAutoHyphens/>
                <w:autoSpaceDN w:val="0"/>
                <w:spacing w:line="251" w:lineRule="auto"/>
                <w:contextualSpacing/>
                <w:textAlignment w:val="baseline"/>
                <w:rPr>
                  <w:rFonts w:ascii="Arial" w:eastAsia="Calibri" w:hAnsi="Arial" w:cs="Arial"/>
                </w:rPr>
              </w:pPr>
              <w:r w:rsidRPr="00690F18">
                <w:rPr>
                  <w:rFonts w:ascii="Arial" w:eastAsia="Calibri" w:hAnsi="Arial" w:cs="Arial"/>
                </w:rPr>
                <w:t>Glendinning, C., 1999. GPs and contracts: bringing general practice into primary care. Social Policy &amp; Administration, 33(2), pp.115-131.</w:t>
              </w:r>
            </w:p>
            <w:p w14:paraId="61E06FD1" w14:textId="77777777" w:rsidR="00690F18" w:rsidRPr="00690F18" w:rsidRDefault="00690F18" w:rsidP="00B50767">
              <w:pPr>
                <w:suppressAutoHyphens/>
                <w:autoSpaceDN w:val="0"/>
                <w:spacing w:line="251" w:lineRule="auto"/>
                <w:contextualSpacing/>
                <w:textAlignment w:val="baseline"/>
                <w:rPr>
                  <w:rFonts w:ascii="Arial" w:eastAsia="Calibri" w:hAnsi="Arial" w:cs="Arial"/>
                </w:rPr>
              </w:pPr>
            </w:p>
            <w:p w14:paraId="7A2E9DDB" w14:textId="77777777" w:rsidR="00690F18" w:rsidRPr="00690F18" w:rsidRDefault="00690F18" w:rsidP="00690F18">
              <w:pPr>
                <w:numPr>
                  <w:ilvl w:val="0"/>
                  <w:numId w:val="3"/>
                </w:numPr>
                <w:suppressAutoHyphens/>
                <w:autoSpaceDN w:val="0"/>
                <w:spacing w:line="251" w:lineRule="auto"/>
                <w:contextualSpacing/>
                <w:textAlignment w:val="baseline"/>
                <w:rPr>
                  <w:rFonts w:ascii="Arial" w:eastAsia="Calibri" w:hAnsi="Arial" w:cs="Arial"/>
                </w:rPr>
              </w:pPr>
              <w:bookmarkStart w:id="2" w:name="_Hlk71658081"/>
              <w:r w:rsidRPr="00690F18">
                <w:rPr>
                  <w:rFonts w:ascii="Arial" w:eastAsia="Calibri" w:hAnsi="Arial" w:cs="Arial"/>
                </w:rPr>
                <w:t>Government digital services</w:t>
              </w:r>
              <w:bookmarkEnd w:id="2"/>
              <w:r w:rsidRPr="00690F18">
                <w:rPr>
                  <w:rFonts w:ascii="Arial" w:eastAsia="Calibri" w:hAnsi="Arial" w:cs="Arial"/>
                </w:rPr>
                <w:t xml:space="preserve">, Data Ethics framework, 2020 </w:t>
              </w:r>
              <w:hyperlink r:id="rId7" w:history="1">
                <w:r w:rsidRPr="00690F18">
                  <w:rPr>
                    <w:rFonts w:ascii="Arial" w:eastAsia="Calibri" w:hAnsi="Arial" w:cs="Arial"/>
                    <w:color w:val="0563C1"/>
                    <w:u w:val="single"/>
                  </w:rPr>
                  <w:t>https://assets.publishing.service.gov.uk/government/uploads/system/uploads/attachment_data/file/923108/Data_Ethics_Framework_2020.pdf</w:t>
                </w:r>
              </w:hyperlink>
            </w:p>
            <w:p w14:paraId="696AE134" w14:textId="77777777" w:rsidR="00690F18" w:rsidRPr="00690F18" w:rsidRDefault="00690F18" w:rsidP="00690F18">
              <w:pPr>
                <w:autoSpaceDN w:val="0"/>
                <w:spacing w:line="251" w:lineRule="auto"/>
                <w:ind w:left="720"/>
                <w:contextualSpacing/>
                <w:textAlignment w:val="baseline"/>
                <w:rPr>
                  <w:rFonts w:ascii="Arial" w:eastAsia="Calibri" w:hAnsi="Arial" w:cs="Arial"/>
                </w:rPr>
              </w:pPr>
            </w:p>
            <w:p w14:paraId="444E7177" w14:textId="77777777" w:rsidR="00690F18" w:rsidRPr="00690F18" w:rsidRDefault="00690F18" w:rsidP="00690F18">
              <w:pPr>
                <w:numPr>
                  <w:ilvl w:val="0"/>
                  <w:numId w:val="3"/>
                </w:numPr>
                <w:suppressAutoHyphens/>
                <w:autoSpaceDN w:val="0"/>
                <w:spacing w:line="251" w:lineRule="auto"/>
                <w:contextualSpacing/>
                <w:textAlignment w:val="baseline"/>
                <w:rPr>
                  <w:rFonts w:ascii="Arial" w:eastAsia="Calibri" w:hAnsi="Arial" w:cs="Arial"/>
                </w:rPr>
              </w:pPr>
              <w:bookmarkStart w:id="3" w:name="_Hlk71661795"/>
              <w:r w:rsidRPr="00690F18">
                <w:rPr>
                  <w:rFonts w:ascii="Arial" w:eastAsia="Calibri" w:hAnsi="Arial" w:cs="Arial"/>
                </w:rPr>
                <w:t xml:space="preserve">Hendy, J., Reeves, B.C., </w:t>
              </w:r>
              <w:proofErr w:type="spellStart"/>
              <w:r w:rsidRPr="00690F18">
                <w:rPr>
                  <w:rFonts w:ascii="Arial" w:eastAsia="Calibri" w:hAnsi="Arial" w:cs="Arial"/>
                </w:rPr>
                <w:t>Fulop</w:t>
              </w:r>
              <w:proofErr w:type="spellEnd"/>
              <w:r w:rsidRPr="00690F18">
                <w:rPr>
                  <w:rFonts w:ascii="Arial" w:eastAsia="Calibri" w:hAnsi="Arial" w:cs="Arial"/>
                </w:rPr>
                <w:t xml:space="preserve">, N., Hutchings, A. and </w:t>
              </w:r>
              <w:proofErr w:type="spellStart"/>
              <w:r w:rsidRPr="00690F18">
                <w:rPr>
                  <w:rFonts w:ascii="Arial" w:eastAsia="Calibri" w:hAnsi="Arial" w:cs="Arial"/>
                </w:rPr>
                <w:t>Masseria</w:t>
              </w:r>
              <w:proofErr w:type="spellEnd"/>
              <w:r w:rsidRPr="00690F18">
                <w:rPr>
                  <w:rFonts w:ascii="Arial" w:eastAsia="Calibri" w:hAnsi="Arial" w:cs="Arial"/>
                </w:rPr>
                <w:t xml:space="preserve">, C., 2005. </w:t>
              </w:r>
              <w:bookmarkEnd w:id="3"/>
              <w:r w:rsidRPr="00690F18">
                <w:rPr>
                  <w:rFonts w:ascii="Arial" w:eastAsia="Calibri" w:hAnsi="Arial" w:cs="Arial"/>
                </w:rPr>
                <w:t>Challenges to implementing the national programme for information technology (</w:t>
              </w:r>
              <w:proofErr w:type="spellStart"/>
              <w:r w:rsidRPr="00690F18">
                <w:rPr>
                  <w:rFonts w:ascii="Arial" w:eastAsia="Calibri" w:hAnsi="Arial" w:cs="Arial"/>
                </w:rPr>
                <w:t>NPfIT</w:t>
              </w:r>
              <w:proofErr w:type="spellEnd"/>
              <w:r w:rsidRPr="00690F18">
                <w:rPr>
                  <w:rFonts w:ascii="Arial" w:eastAsia="Calibri" w:hAnsi="Arial" w:cs="Arial"/>
                </w:rPr>
                <w:t>): a qualitative study. </w:t>
              </w:r>
              <w:proofErr w:type="spellStart"/>
              <w:r w:rsidRPr="00690F18">
                <w:rPr>
                  <w:rFonts w:ascii="Arial" w:eastAsia="Calibri" w:hAnsi="Arial" w:cs="Arial"/>
                  <w:i/>
                  <w:iCs/>
                </w:rPr>
                <w:t>Bmj</w:t>
              </w:r>
              <w:proofErr w:type="spellEnd"/>
              <w:r w:rsidRPr="00690F18">
                <w:rPr>
                  <w:rFonts w:ascii="Arial" w:eastAsia="Calibri" w:hAnsi="Arial" w:cs="Arial"/>
                </w:rPr>
                <w:t>, </w:t>
              </w:r>
              <w:r w:rsidRPr="00690F18">
                <w:rPr>
                  <w:rFonts w:ascii="Arial" w:eastAsia="Calibri" w:hAnsi="Arial" w:cs="Arial"/>
                  <w:i/>
                  <w:iCs/>
                </w:rPr>
                <w:t>331</w:t>
              </w:r>
              <w:r w:rsidRPr="00690F18">
                <w:rPr>
                  <w:rFonts w:ascii="Arial" w:eastAsia="Calibri" w:hAnsi="Arial" w:cs="Arial"/>
                </w:rPr>
                <w:t>(7512), pp.331-336. Accessed </w:t>
              </w:r>
              <w:proofErr w:type="gramStart"/>
              <w:r w:rsidRPr="00690F18">
                <w:rPr>
                  <w:rFonts w:ascii="Arial" w:eastAsia="Calibri" w:hAnsi="Arial" w:cs="Arial"/>
                </w:rPr>
                <w:t>28/03/2021</w:t>
              </w:r>
              <w:proofErr w:type="gramEnd"/>
              <w:r w:rsidRPr="00690F18">
                <w:rPr>
                  <w:rFonts w:ascii="Arial" w:eastAsia="Calibri" w:hAnsi="Arial" w:cs="Arial"/>
                </w:rPr>
                <w:t> </w:t>
              </w:r>
            </w:p>
            <w:p w14:paraId="5CCE34BC" w14:textId="77777777" w:rsidR="00690F18" w:rsidRPr="00690F18" w:rsidRDefault="00690F18" w:rsidP="00B50767">
              <w:pPr>
                <w:suppressAutoHyphens/>
                <w:autoSpaceDN w:val="0"/>
                <w:spacing w:line="251" w:lineRule="auto"/>
                <w:contextualSpacing/>
                <w:textAlignment w:val="baseline"/>
                <w:rPr>
                  <w:rFonts w:ascii="Arial" w:eastAsia="Calibri" w:hAnsi="Arial" w:cs="Arial"/>
                </w:rPr>
              </w:pPr>
            </w:p>
            <w:p w14:paraId="6DCA06D5" w14:textId="77777777" w:rsidR="00690F18" w:rsidRPr="00690F18" w:rsidRDefault="00690F18" w:rsidP="00690F18">
              <w:pPr>
                <w:numPr>
                  <w:ilvl w:val="0"/>
                  <w:numId w:val="3"/>
                </w:numPr>
                <w:suppressAutoHyphens/>
                <w:autoSpaceDN w:val="0"/>
                <w:spacing w:line="251" w:lineRule="auto"/>
                <w:contextualSpacing/>
                <w:textAlignment w:val="baseline"/>
                <w:rPr>
                  <w:rFonts w:ascii="Arial" w:eastAsia="Calibri" w:hAnsi="Arial" w:cs="Arial"/>
                  <w:shd w:val="clear" w:color="auto" w:fill="FFFFFF"/>
                </w:rPr>
              </w:pPr>
              <w:r w:rsidRPr="00690F18">
                <w:rPr>
                  <w:rFonts w:ascii="Arial" w:eastAsia="Calibri" w:hAnsi="Arial" w:cs="Arial"/>
                  <w:shd w:val="clear" w:color="auto" w:fill="FFFFFF"/>
                </w:rPr>
                <w:t>Hossein Ali YR (2020) Ethical impact of the technology on the healthcare system. J Clin Invest Stud. 3. DOI: 10.15761/JCIS.1000124</w:t>
              </w:r>
            </w:p>
            <w:p w14:paraId="7A7500DA" w14:textId="77777777" w:rsidR="00690F18" w:rsidRPr="00690F18" w:rsidRDefault="00690F18" w:rsidP="00690F18">
              <w:pPr>
                <w:autoSpaceDN w:val="0"/>
                <w:spacing w:line="251" w:lineRule="auto"/>
                <w:ind w:left="720"/>
                <w:contextualSpacing/>
                <w:textAlignment w:val="baseline"/>
                <w:rPr>
                  <w:rFonts w:ascii="Arial" w:eastAsia="Calibri" w:hAnsi="Arial" w:cs="Arial"/>
                  <w:shd w:val="clear" w:color="auto" w:fill="FFFFFF"/>
                </w:rPr>
              </w:pPr>
            </w:p>
            <w:p w14:paraId="75AEA58D" w14:textId="77777777" w:rsidR="00690F18" w:rsidRPr="00690F18" w:rsidRDefault="00690F18" w:rsidP="00690F18">
              <w:pPr>
                <w:numPr>
                  <w:ilvl w:val="0"/>
                  <w:numId w:val="3"/>
                </w:numPr>
                <w:suppressAutoHyphens/>
                <w:autoSpaceDN w:val="0"/>
                <w:spacing w:line="251" w:lineRule="auto"/>
                <w:contextualSpacing/>
                <w:textAlignment w:val="baseline"/>
                <w:rPr>
                  <w:rFonts w:ascii="Arial" w:eastAsia="Calibri" w:hAnsi="Arial" w:cs="Arial"/>
                </w:rPr>
              </w:pPr>
              <w:r w:rsidRPr="00690F18">
                <w:rPr>
                  <w:rFonts w:ascii="Arial" w:eastAsia="Calibri" w:hAnsi="Arial" w:cs="Arial"/>
                  <w:color w:val="222222"/>
                  <w:shd w:val="clear" w:color="auto" w:fill="FFFFFF"/>
                </w:rPr>
                <w:t>Johnston, M.P., 2017. Secondary data analysis: A method of which the time has come. </w:t>
              </w:r>
              <w:r w:rsidRPr="00690F18">
                <w:rPr>
                  <w:rFonts w:ascii="Arial" w:eastAsia="Calibri" w:hAnsi="Arial" w:cs="Arial"/>
                  <w:i/>
                  <w:iCs/>
                  <w:color w:val="222222"/>
                  <w:shd w:val="clear" w:color="auto" w:fill="FFFFFF"/>
                </w:rPr>
                <w:t>Qualitative and quantitative methods in libraries</w:t>
              </w:r>
              <w:r w:rsidRPr="00690F18">
                <w:rPr>
                  <w:rFonts w:ascii="Arial" w:eastAsia="Calibri" w:hAnsi="Arial" w:cs="Arial"/>
                  <w:color w:val="222222"/>
                  <w:shd w:val="clear" w:color="auto" w:fill="FFFFFF"/>
                </w:rPr>
                <w:t>, </w:t>
              </w:r>
              <w:r w:rsidRPr="00690F18">
                <w:rPr>
                  <w:rFonts w:ascii="Arial" w:eastAsia="Calibri" w:hAnsi="Arial" w:cs="Arial"/>
                  <w:i/>
                  <w:iCs/>
                  <w:color w:val="222222"/>
                  <w:shd w:val="clear" w:color="auto" w:fill="FFFFFF"/>
                </w:rPr>
                <w:t>3</w:t>
              </w:r>
              <w:r w:rsidRPr="00690F18">
                <w:rPr>
                  <w:rFonts w:ascii="Arial" w:eastAsia="Calibri" w:hAnsi="Arial" w:cs="Arial"/>
                  <w:color w:val="222222"/>
                  <w:shd w:val="clear" w:color="auto" w:fill="FFFFFF"/>
                </w:rPr>
                <w:t>(3), pp.619-626.</w:t>
              </w:r>
            </w:p>
            <w:p w14:paraId="481203E4" w14:textId="77777777" w:rsidR="00690F18" w:rsidRPr="00690F18" w:rsidRDefault="00690F18" w:rsidP="00690F18">
              <w:pPr>
                <w:suppressAutoHyphens/>
                <w:autoSpaceDN w:val="0"/>
                <w:spacing w:line="251" w:lineRule="auto"/>
                <w:ind w:left="720"/>
                <w:contextualSpacing/>
                <w:textAlignment w:val="baseline"/>
                <w:rPr>
                  <w:rFonts w:ascii="Arial" w:eastAsia="Calibri" w:hAnsi="Arial" w:cs="Arial"/>
                </w:rPr>
              </w:pPr>
            </w:p>
            <w:p w14:paraId="762C0A6E" w14:textId="77777777" w:rsidR="00690F18" w:rsidRPr="00690F18" w:rsidRDefault="00690F18" w:rsidP="00690F18">
              <w:pPr>
                <w:numPr>
                  <w:ilvl w:val="0"/>
                  <w:numId w:val="3"/>
                </w:numPr>
                <w:suppressAutoHyphens/>
                <w:autoSpaceDN w:val="0"/>
                <w:spacing w:line="251" w:lineRule="auto"/>
                <w:contextualSpacing/>
                <w:textAlignment w:val="baseline"/>
                <w:rPr>
                  <w:rFonts w:ascii="Arial" w:eastAsia="Calibri" w:hAnsi="Arial" w:cs="Arial"/>
                </w:rPr>
              </w:pPr>
              <w:bookmarkStart w:id="4" w:name="_Hlk71577904"/>
              <w:r w:rsidRPr="00690F18">
                <w:rPr>
                  <w:rFonts w:ascii="Arial" w:eastAsia="Calibri" w:hAnsi="Arial" w:cs="Arial"/>
                </w:rPr>
                <w:t xml:space="preserve">Liddell, A., </w:t>
              </w:r>
              <w:proofErr w:type="spellStart"/>
              <w:r w:rsidRPr="00690F18">
                <w:rPr>
                  <w:rFonts w:ascii="Arial" w:eastAsia="Calibri" w:hAnsi="Arial" w:cs="Arial"/>
                </w:rPr>
                <w:t>Adshead</w:t>
              </w:r>
              <w:proofErr w:type="spellEnd"/>
              <w:r w:rsidRPr="00690F18">
                <w:rPr>
                  <w:rFonts w:ascii="Arial" w:eastAsia="Calibri" w:hAnsi="Arial" w:cs="Arial"/>
                </w:rPr>
                <w:t xml:space="preserve">, S. and Burgess, E., </w:t>
              </w:r>
              <w:bookmarkEnd w:id="4"/>
              <w:r w:rsidRPr="00690F18">
                <w:rPr>
                  <w:rFonts w:ascii="Arial" w:eastAsia="Calibri" w:hAnsi="Arial" w:cs="Arial"/>
                </w:rPr>
                <w:t>Technology in the NHS: Transforming the patient’s experience of care. 2008. </w:t>
              </w:r>
              <w:r w:rsidRPr="00690F18">
                <w:rPr>
                  <w:rFonts w:ascii="Arial" w:eastAsia="Calibri" w:hAnsi="Arial" w:cs="Arial"/>
                  <w:i/>
                  <w:iCs/>
                </w:rPr>
                <w:t>URL: http://www. kingsfund. org. uk/sites/files/kf/Technology-in-the-NHS-Transforming-patients-experience-of-care-Liddell-Adshead-and-Burgess-Kings-Fund-October-2008_0. pdf [</w:t>
              </w:r>
              <w:r w:rsidRPr="00690F18">
                <w:rPr>
                  <w:rFonts w:ascii="Arial" w:eastAsia="Calibri" w:hAnsi="Arial" w:cs="Arial"/>
                </w:rPr>
                <w:t>Accessed </w:t>
              </w:r>
              <w:proofErr w:type="gramStart"/>
              <w:r w:rsidRPr="00690F18">
                <w:rPr>
                  <w:rFonts w:ascii="Arial" w:eastAsia="Calibri" w:hAnsi="Arial" w:cs="Arial"/>
                </w:rPr>
                <w:t>27/03/2021</w:t>
              </w:r>
              <w:proofErr w:type="gramEnd"/>
              <w:r w:rsidRPr="00690F18">
                <w:rPr>
                  <w:rFonts w:ascii="Arial" w:eastAsia="Calibri" w:hAnsi="Arial" w:cs="Arial"/>
                </w:rPr>
                <w:t> </w:t>
              </w:r>
            </w:p>
            <w:p w14:paraId="12991E8A" w14:textId="77777777" w:rsidR="00690F18" w:rsidRPr="00690F18" w:rsidRDefault="00690F18" w:rsidP="00690F18">
              <w:pPr>
                <w:suppressAutoHyphens/>
                <w:autoSpaceDN w:val="0"/>
                <w:spacing w:line="251" w:lineRule="auto"/>
                <w:ind w:left="720"/>
                <w:contextualSpacing/>
                <w:textAlignment w:val="baseline"/>
                <w:rPr>
                  <w:rFonts w:ascii="Arial" w:eastAsia="Calibri" w:hAnsi="Arial" w:cs="Arial"/>
                </w:rPr>
              </w:pPr>
            </w:p>
            <w:p w14:paraId="17356249" w14:textId="77777777" w:rsidR="00690F18" w:rsidRPr="00690F18" w:rsidRDefault="00690F18" w:rsidP="00690F18">
              <w:pPr>
                <w:numPr>
                  <w:ilvl w:val="0"/>
                  <w:numId w:val="3"/>
                </w:numPr>
                <w:suppressAutoHyphens/>
                <w:autoSpaceDN w:val="0"/>
                <w:spacing w:line="251" w:lineRule="auto"/>
                <w:contextualSpacing/>
                <w:textAlignment w:val="baseline"/>
                <w:rPr>
                  <w:rFonts w:ascii="Arial" w:eastAsia="Calibri" w:hAnsi="Arial" w:cs="Arial"/>
                </w:rPr>
              </w:pPr>
              <w:bookmarkStart w:id="5" w:name="_Hlk71663246"/>
              <w:r w:rsidRPr="00690F18">
                <w:rPr>
                  <w:rFonts w:ascii="Arial" w:eastAsia="Calibri" w:hAnsi="Arial" w:cs="Arial"/>
                </w:rPr>
                <w:t>NHS England, (2019</w:t>
              </w:r>
              <w:bookmarkEnd w:id="5"/>
              <w:r w:rsidRPr="00690F18">
                <w:rPr>
                  <w:rFonts w:ascii="Arial" w:eastAsia="Calibri" w:hAnsi="Arial" w:cs="Arial"/>
                </w:rPr>
                <w:t xml:space="preserve">). Securing Excellence in Primary Care (GP) Digital Services, The Primary Care GP Digital Services Operating Model 2019-21, </w:t>
              </w:r>
              <w:hyperlink r:id="rId8" w:history="1">
                <w:r w:rsidRPr="00690F18">
                  <w:rPr>
                    <w:rFonts w:ascii="Arial" w:eastAsia="Calibri" w:hAnsi="Arial" w:cs="Arial"/>
                    <w:color w:val="0563C1"/>
                    <w:u w:val="single"/>
                  </w:rPr>
                  <w:t>https://www.england.nhs.uk/wp-content/uploads/2019/10/gp-it-operating-model-v4-sept-2019.pdf</w:t>
                </w:r>
              </w:hyperlink>
              <w:r w:rsidRPr="00690F18">
                <w:rPr>
                  <w:rFonts w:ascii="Arial" w:eastAsia="Calibri" w:hAnsi="Arial" w:cs="Arial"/>
                </w:rPr>
                <w:t xml:space="preserve">   </w:t>
              </w:r>
            </w:p>
            <w:p w14:paraId="37D7336F" w14:textId="77777777" w:rsidR="00690F18" w:rsidRPr="00690F18" w:rsidRDefault="00690F18" w:rsidP="00B50767">
              <w:pPr>
                <w:autoSpaceDN w:val="0"/>
                <w:spacing w:line="251" w:lineRule="auto"/>
                <w:contextualSpacing/>
                <w:textAlignment w:val="baseline"/>
                <w:rPr>
                  <w:rFonts w:ascii="Arial" w:eastAsia="Calibri" w:hAnsi="Arial" w:cs="Arial"/>
                </w:rPr>
              </w:pPr>
            </w:p>
            <w:p w14:paraId="55DD09E8" w14:textId="5BA7D4B2" w:rsidR="00690F18" w:rsidRDefault="00690F18" w:rsidP="00690F18">
              <w:pPr>
                <w:numPr>
                  <w:ilvl w:val="0"/>
                  <w:numId w:val="3"/>
                </w:numPr>
                <w:suppressAutoHyphens/>
                <w:autoSpaceDN w:val="0"/>
                <w:spacing w:line="251" w:lineRule="auto"/>
                <w:contextualSpacing/>
                <w:textAlignment w:val="baseline"/>
                <w:rPr>
                  <w:rFonts w:ascii="Arial" w:eastAsia="Calibri" w:hAnsi="Arial" w:cs="Arial"/>
                </w:rPr>
              </w:pPr>
              <w:proofErr w:type="spellStart"/>
              <w:r w:rsidRPr="00690F18">
                <w:rPr>
                  <w:rFonts w:ascii="Arial" w:eastAsia="Calibri" w:hAnsi="Arial" w:cs="Arial"/>
                </w:rPr>
                <w:t>Sibbald</w:t>
              </w:r>
              <w:proofErr w:type="spellEnd"/>
              <w:r w:rsidRPr="00690F18">
                <w:rPr>
                  <w:rFonts w:ascii="Arial" w:eastAsia="Calibri" w:hAnsi="Arial" w:cs="Arial"/>
                </w:rPr>
                <w:t xml:space="preserve">, B., </w:t>
              </w:r>
              <w:proofErr w:type="spellStart"/>
              <w:r w:rsidRPr="00690F18">
                <w:rPr>
                  <w:rFonts w:ascii="Arial" w:eastAsia="Calibri" w:hAnsi="Arial" w:cs="Arial"/>
                </w:rPr>
                <w:t>Enzer</w:t>
              </w:r>
              <w:proofErr w:type="spellEnd"/>
              <w:r w:rsidRPr="00690F18">
                <w:rPr>
                  <w:rFonts w:ascii="Arial" w:eastAsia="Calibri" w:hAnsi="Arial" w:cs="Arial"/>
                </w:rPr>
                <w:t>, I., Cooper, C., Rout, U. and Sutherland, V., 2000. GP job satisfaction in 1987, 1990 and 1998: lessons for the </w:t>
              </w:r>
              <w:proofErr w:type="gramStart"/>
              <w:r w:rsidRPr="00690F18">
                <w:rPr>
                  <w:rFonts w:ascii="Arial" w:eastAsia="Calibri" w:hAnsi="Arial" w:cs="Arial"/>
                </w:rPr>
                <w:t>future?.</w:t>
              </w:r>
              <w:proofErr w:type="gramEnd"/>
              <w:r w:rsidRPr="00690F18">
                <w:rPr>
                  <w:rFonts w:ascii="Arial" w:eastAsia="Calibri" w:hAnsi="Arial" w:cs="Arial"/>
                </w:rPr>
                <w:t> </w:t>
              </w:r>
              <w:r w:rsidRPr="00690F18">
                <w:rPr>
                  <w:rFonts w:ascii="Arial" w:eastAsia="Calibri" w:hAnsi="Arial" w:cs="Arial"/>
                  <w:i/>
                  <w:iCs/>
                </w:rPr>
                <w:t>Family practice</w:t>
              </w:r>
              <w:r w:rsidRPr="00690F18">
                <w:rPr>
                  <w:rFonts w:ascii="Arial" w:eastAsia="Calibri" w:hAnsi="Arial" w:cs="Arial"/>
                </w:rPr>
                <w:t>, </w:t>
              </w:r>
              <w:r w:rsidRPr="00690F18">
                <w:rPr>
                  <w:rFonts w:ascii="Arial" w:eastAsia="Calibri" w:hAnsi="Arial" w:cs="Arial"/>
                  <w:i/>
                  <w:iCs/>
                </w:rPr>
                <w:t>17</w:t>
              </w:r>
              <w:r w:rsidRPr="00690F18">
                <w:rPr>
                  <w:rFonts w:ascii="Arial" w:eastAsia="Calibri" w:hAnsi="Arial" w:cs="Arial"/>
                </w:rPr>
                <w:t>(5), pp.364-371. Accessed </w:t>
              </w:r>
              <w:proofErr w:type="gramStart"/>
              <w:r w:rsidRPr="00690F18">
                <w:rPr>
                  <w:rFonts w:ascii="Arial" w:eastAsia="Calibri" w:hAnsi="Arial" w:cs="Arial"/>
                </w:rPr>
                <w:t>28/03/2021</w:t>
              </w:r>
              <w:proofErr w:type="gramEnd"/>
              <w:r w:rsidRPr="00690F18">
                <w:rPr>
                  <w:rFonts w:ascii="Arial" w:eastAsia="Calibri" w:hAnsi="Arial" w:cs="Arial"/>
                </w:rPr>
                <w:t> </w:t>
              </w:r>
            </w:p>
            <w:p w14:paraId="509789FA" w14:textId="77777777" w:rsidR="00690F18" w:rsidRPr="00690F18" w:rsidRDefault="00690F18" w:rsidP="000E0E2D">
              <w:pPr>
                <w:suppressAutoHyphens/>
                <w:autoSpaceDN w:val="0"/>
                <w:spacing w:line="251" w:lineRule="auto"/>
                <w:ind w:left="720"/>
                <w:contextualSpacing/>
                <w:textAlignment w:val="baseline"/>
                <w:rPr>
                  <w:rFonts w:ascii="Arial" w:eastAsia="Calibri" w:hAnsi="Arial" w:cs="Arial"/>
                </w:rPr>
              </w:pPr>
            </w:p>
            <w:p w14:paraId="1BD1E84B" w14:textId="1D1221CF" w:rsidR="00690F18" w:rsidRPr="00690F18" w:rsidRDefault="00690F18" w:rsidP="000E0E2D">
              <w:pPr>
                <w:numPr>
                  <w:ilvl w:val="0"/>
                  <w:numId w:val="3"/>
                </w:numPr>
                <w:suppressAutoHyphens/>
                <w:autoSpaceDN w:val="0"/>
                <w:spacing w:line="251" w:lineRule="auto"/>
                <w:contextualSpacing/>
                <w:textAlignment w:val="baseline"/>
                <w:rPr>
                  <w:rFonts w:ascii="Arial" w:eastAsia="Calibri" w:hAnsi="Arial" w:cs="Arial"/>
                </w:rPr>
              </w:pPr>
              <w:r w:rsidRPr="00690F18">
                <w:rPr>
                  <w:rFonts w:ascii="Arial" w:eastAsia="Calibri" w:hAnsi="Arial" w:cs="Arial"/>
                </w:rPr>
                <w:t xml:space="preserve">Statistics » GP Patient Survey 2020. </w:t>
              </w:r>
              <w:hyperlink r:id="rId9" w:history="1">
                <w:r w:rsidRPr="00690F18">
                  <w:rPr>
                    <w:rFonts w:ascii="Arial" w:eastAsia="Calibri" w:hAnsi="Arial" w:cs="Arial"/>
                    <w:color w:val="0563C1"/>
                    <w:u w:val="single"/>
                  </w:rPr>
                  <w:t>https://www.england.nhs.uk/statistics/2020/07/09/gp-patient-survey-2020/</w:t>
                </w:r>
              </w:hyperlink>
            </w:p>
            <w:p w14:paraId="5EC94502" w14:textId="77777777" w:rsidR="00690F18" w:rsidRPr="00690F18" w:rsidRDefault="00690F18" w:rsidP="00690F18">
              <w:pPr>
                <w:autoSpaceDN w:val="0"/>
                <w:spacing w:line="251" w:lineRule="auto"/>
                <w:ind w:left="720"/>
                <w:contextualSpacing/>
                <w:textAlignment w:val="baseline"/>
                <w:rPr>
                  <w:rFonts w:ascii="Arial" w:eastAsia="Calibri" w:hAnsi="Arial" w:cs="Arial"/>
                </w:rPr>
              </w:pPr>
            </w:p>
            <w:p w14:paraId="6A694DAB" w14:textId="77777777" w:rsidR="00690F18" w:rsidRPr="00690F18" w:rsidRDefault="00690F18" w:rsidP="00690F18">
              <w:pPr>
                <w:numPr>
                  <w:ilvl w:val="0"/>
                  <w:numId w:val="3"/>
                </w:numPr>
                <w:suppressAutoHyphens/>
                <w:autoSpaceDN w:val="0"/>
                <w:spacing w:line="251" w:lineRule="auto"/>
                <w:contextualSpacing/>
                <w:textAlignment w:val="baseline"/>
                <w:rPr>
                  <w:rFonts w:ascii="Arial" w:eastAsia="Calibri" w:hAnsi="Arial" w:cs="Arial"/>
                </w:rPr>
              </w:pPr>
              <w:r w:rsidRPr="00690F18">
                <w:rPr>
                  <w:rFonts w:ascii="Arial" w:eastAsia="Calibri" w:hAnsi="Arial" w:cs="Arial"/>
                </w:rPr>
                <w:t xml:space="preserve">Young, A.J., 2016. New technologies and general practice, </w:t>
              </w:r>
              <w:r w:rsidRPr="00690F18">
                <w:rPr>
                  <w:rFonts w:ascii="Arial" w:eastAsia="Calibri" w:hAnsi="Arial" w:cs="Arial"/>
                  <w:color w:val="333333"/>
                  <w:bdr w:val="none" w:sz="0" w:space="0" w:color="auto" w:frame="1"/>
                  <w:shd w:val="clear" w:color="auto" w:fill="FFFFFF"/>
                </w:rPr>
                <w:t>British Journal of General Practice 2016; 66 (653): 601-602</w:t>
              </w:r>
              <w:r w:rsidRPr="00690F18">
                <w:rPr>
                  <w:rFonts w:ascii="Arial" w:eastAsia="Calibri" w:hAnsi="Arial" w:cs="Arial"/>
                </w:rPr>
                <w:t>. Accessed </w:t>
              </w:r>
              <w:proofErr w:type="gramStart"/>
              <w:r w:rsidRPr="00690F18">
                <w:rPr>
                  <w:rFonts w:ascii="Arial" w:eastAsia="Calibri" w:hAnsi="Arial" w:cs="Arial"/>
                </w:rPr>
                <w:t>27/03/2021</w:t>
              </w:r>
              <w:proofErr w:type="gramEnd"/>
              <w:r w:rsidRPr="00690F18">
                <w:rPr>
                  <w:rFonts w:ascii="Arial" w:eastAsia="Calibri" w:hAnsi="Arial" w:cs="Arial"/>
                </w:rPr>
                <w:t> </w:t>
              </w:r>
            </w:p>
            <w:p w14:paraId="78286571" w14:textId="0665C138" w:rsidR="0018358A" w:rsidRPr="00B50767" w:rsidRDefault="00690F18" w:rsidP="00B50767">
              <w:pPr>
                <w:suppressAutoHyphens/>
                <w:autoSpaceDN w:val="0"/>
                <w:spacing w:line="251" w:lineRule="auto"/>
                <w:textAlignment w:val="baseline"/>
                <w:rPr>
                  <w:rFonts w:ascii="Calibri" w:eastAsia="Calibri" w:hAnsi="Calibri" w:cs="Times New Roman"/>
                </w:rPr>
              </w:pPr>
            </w:p>
          </w:sdtContent>
        </w:sdt>
      </w:sdtContent>
    </w:sdt>
    <w:sectPr w:rsidR="0018358A" w:rsidRPr="00B507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2658DB"/>
    <w:multiLevelType w:val="hybridMultilevel"/>
    <w:tmpl w:val="19C4B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9545BB"/>
    <w:multiLevelType w:val="hybridMultilevel"/>
    <w:tmpl w:val="9392AEBE"/>
    <w:lvl w:ilvl="0" w:tplc="5A804AD0">
      <w:start w:val="1"/>
      <w:numFmt w:val="decimal"/>
      <w:lvlText w:val="%1."/>
      <w:lvlJc w:val="left"/>
      <w:pPr>
        <w:tabs>
          <w:tab w:val="num" w:pos="720"/>
        </w:tabs>
        <w:ind w:left="720" w:hanging="360"/>
      </w:pPr>
    </w:lvl>
    <w:lvl w:ilvl="1" w:tplc="5D563578" w:tentative="1">
      <w:start w:val="1"/>
      <w:numFmt w:val="decimal"/>
      <w:lvlText w:val="%2."/>
      <w:lvlJc w:val="left"/>
      <w:pPr>
        <w:tabs>
          <w:tab w:val="num" w:pos="1440"/>
        </w:tabs>
        <w:ind w:left="1440" w:hanging="360"/>
      </w:pPr>
    </w:lvl>
    <w:lvl w:ilvl="2" w:tplc="C8C85A06" w:tentative="1">
      <w:start w:val="1"/>
      <w:numFmt w:val="decimal"/>
      <w:lvlText w:val="%3."/>
      <w:lvlJc w:val="left"/>
      <w:pPr>
        <w:tabs>
          <w:tab w:val="num" w:pos="2160"/>
        </w:tabs>
        <w:ind w:left="2160" w:hanging="360"/>
      </w:pPr>
    </w:lvl>
    <w:lvl w:ilvl="3" w:tplc="017EA7B2" w:tentative="1">
      <w:start w:val="1"/>
      <w:numFmt w:val="decimal"/>
      <w:lvlText w:val="%4."/>
      <w:lvlJc w:val="left"/>
      <w:pPr>
        <w:tabs>
          <w:tab w:val="num" w:pos="2880"/>
        </w:tabs>
        <w:ind w:left="2880" w:hanging="360"/>
      </w:pPr>
    </w:lvl>
    <w:lvl w:ilvl="4" w:tplc="DFDEE0D0" w:tentative="1">
      <w:start w:val="1"/>
      <w:numFmt w:val="decimal"/>
      <w:lvlText w:val="%5."/>
      <w:lvlJc w:val="left"/>
      <w:pPr>
        <w:tabs>
          <w:tab w:val="num" w:pos="3600"/>
        </w:tabs>
        <w:ind w:left="3600" w:hanging="360"/>
      </w:pPr>
    </w:lvl>
    <w:lvl w:ilvl="5" w:tplc="1D4A0A42" w:tentative="1">
      <w:start w:val="1"/>
      <w:numFmt w:val="decimal"/>
      <w:lvlText w:val="%6."/>
      <w:lvlJc w:val="left"/>
      <w:pPr>
        <w:tabs>
          <w:tab w:val="num" w:pos="4320"/>
        </w:tabs>
        <w:ind w:left="4320" w:hanging="360"/>
      </w:pPr>
    </w:lvl>
    <w:lvl w:ilvl="6" w:tplc="CC80E8D4" w:tentative="1">
      <w:start w:val="1"/>
      <w:numFmt w:val="decimal"/>
      <w:lvlText w:val="%7."/>
      <w:lvlJc w:val="left"/>
      <w:pPr>
        <w:tabs>
          <w:tab w:val="num" w:pos="5040"/>
        </w:tabs>
        <w:ind w:left="5040" w:hanging="360"/>
      </w:pPr>
    </w:lvl>
    <w:lvl w:ilvl="7" w:tplc="BDF01738" w:tentative="1">
      <w:start w:val="1"/>
      <w:numFmt w:val="decimal"/>
      <w:lvlText w:val="%8."/>
      <w:lvlJc w:val="left"/>
      <w:pPr>
        <w:tabs>
          <w:tab w:val="num" w:pos="5760"/>
        </w:tabs>
        <w:ind w:left="5760" w:hanging="360"/>
      </w:pPr>
    </w:lvl>
    <w:lvl w:ilvl="8" w:tplc="3AE823A4" w:tentative="1">
      <w:start w:val="1"/>
      <w:numFmt w:val="decimal"/>
      <w:lvlText w:val="%9."/>
      <w:lvlJc w:val="left"/>
      <w:pPr>
        <w:tabs>
          <w:tab w:val="num" w:pos="6480"/>
        </w:tabs>
        <w:ind w:left="6480" w:hanging="360"/>
      </w:pPr>
    </w:lvl>
  </w:abstractNum>
  <w:abstractNum w:abstractNumId="2" w15:restartNumberingAfterBreak="0">
    <w:nsid w:val="7173195B"/>
    <w:multiLevelType w:val="hybridMultilevel"/>
    <w:tmpl w:val="292E36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0C215B"/>
    <w:multiLevelType w:val="hybridMultilevel"/>
    <w:tmpl w:val="68BC57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QzNzK2NLQ0tLAwMDZS0lEKTi0uzszPAykwrwUAGemEFCwAAAA="/>
  </w:docVars>
  <w:rsids>
    <w:rsidRoot w:val="00890A23"/>
    <w:rsid w:val="00026A37"/>
    <w:rsid w:val="00044C9E"/>
    <w:rsid w:val="00084D05"/>
    <w:rsid w:val="000A6CEE"/>
    <w:rsid w:val="000C2D54"/>
    <w:rsid w:val="000E0E2D"/>
    <w:rsid w:val="000F6A02"/>
    <w:rsid w:val="00125A7B"/>
    <w:rsid w:val="0013473A"/>
    <w:rsid w:val="00136326"/>
    <w:rsid w:val="00156ABC"/>
    <w:rsid w:val="00164E1D"/>
    <w:rsid w:val="0018358A"/>
    <w:rsid w:val="00183AFC"/>
    <w:rsid w:val="001F5F23"/>
    <w:rsid w:val="00217E25"/>
    <w:rsid w:val="00272BDD"/>
    <w:rsid w:val="00292554"/>
    <w:rsid w:val="002961F4"/>
    <w:rsid w:val="002A51CE"/>
    <w:rsid w:val="002A7850"/>
    <w:rsid w:val="002D677C"/>
    <w:rsid w:val="003734BE"/>
    <w:rsid w:val="003A7C82"/>
    <w:rsid w:val="003E77D2"/>
    <w:rsid w:val="003F0E9C"/>
    <w:rsid w:val="0041056C"/>
    <w:rsid w:val="0049518C"/>
    <w:rsid w:val="004F4F0D"/>
    <w:rsid w:val="004F6003"/>
    <w:rsid w:val="00550DA7"/>
    <w:rsid w:val="00561E22"/>
    <w:rsid w:val="0056743C"/>
    <w:rsid w:val="00571F0B"/>
    <w:rsid w:val="005B485F"/>
    <w:rsid w:val="006533A5"/>
    <w:rsid w:val="00690F18"/>
    <w:rsid w:val="006F1C0D"/>
    <w:rsid w:val="00703798"/>
    <w:rsid w:val="007113A6"/>
    <w:rsid w:val="007377E4"/>
    <w:rsid w:val="008366EA"/>
    <w:rsid w:val="00890A23"/>
    <w:rsid w:val="0089147A"/>
    <w:rsid w:val="008B7FA8"/>
    <w:rsid w:val="008E5D1A"/>
    <w:rsid w:val="00900FCC"/>
    <w:rsid w:val="00902378"/>
    <w:rsid w:val="009120BE"/>
    <w:rsid w:val="00943D7A"/>
    <w:rsid w:val="00984F8A"/>
    <w:rsid w:val="009E4BD5"/>
    <w:rsid w:val="00A0175B"/>
    <w:rsid w:val="00A05E56"/>
    <w:rsid w:val="00A16AFA"/>
    <w:rsid w:val="00A55D5B"/>
    <w:rsid w:val="00A722CE"/>
    <w:rsid w:val="00A87092"/>
    <w:rsid w:val="00AC4FA5"/>
    <w:rsid w:val="00B13948"/>
    <w:rsid w:val="00B50767"/>
    <w:rsid w:val="00B63E0F"/>
    <w:rsid w:val="00BE47AA"/>
    <w:rsid w:val="00BF3F40"/>
    <w:rsid w:val="00C03479"/>
    <w:rsid w:val="00C32EE9"/>
    <w:rsid w:val="00C72FE9"/>
    <w:rsid w:val="00CC0EC1"/>
    <w:rsid w:val="00D76EBC"/>
    <w:rsid w:val="00DA2DEA"/>
    <w:rsid w:val="00E20B5A"/>
    <w:rsid w:val="00E4118C"/>
    <w:rsid w:val="00E54B30"/>
    <w:rsid w:val="00E7132B"/>
    <w:rsid w:val="00EA33CC"/>
    <w:rsid w:val="00F71AE3"/>
    <w:rsid w:val="00FA2CD6"/>
    <w:rsid w:val="00FF07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17526"/>
  <w15:chartTrackingRefBased/>
  <w15:docId w15:val="{4FED1C46-04E2-4940-BD42-7AD8582EE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F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2C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A2CD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A2CD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A2CD6"/>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FA2CD6"/>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F23"/>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1F5F2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F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F2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F5F23"/>
    <w:rPr>
      <w:rFonts w:eastAsiaTheme="minorEastAsia"/>
      <w:color w:val="5A5A5A" w:themeColor="text1" w:themeTint="A5"/>
      <w:spacing w:val="15"/>
    </w:rPr>
  </w:style>
  <w:style w:type="paragraph" w:styleId="TOCHeading">
    <w:name w:val="TOC Heading"/>
    <w:basedOn w:val="Heading1"/>
    <w:next w:val="Normal"/>
    <w:uiPriority w:val="39"/>
    <w:unhideWhenUsed/>
    <w:qFormat/>
    <w:rsid w:val="001F5F23"/>
    <w:pPr>
      <w:outlineLvl w:val="9"/>
    </w:pPr>
    <w:rPr>
      <w:lang w:val="en-US"/>
    </w:rPr>
  </w:style>
  <w:style w:type="paragraph" w:styleId="NoSpacing">
    <w:name w:val="No Spacing"/>
    <w:uiPriority w:val="1"/>
    <w:qFormat/>
    <w:rsid w:val="001F5F23"/>
    <w:pPr>
      <w:spacing w:after="0" w:line="240" w:lineRule="auto"/>
    </w:pPr>
  </w:style>
  <w:style w:type="paragraph" w:customStyle="1" w:styleId="Default">
    <w:name w:val="Default"/>
    <w:rsid w:val="001F5F23"/>
    <w:pPr>
      <w:autoSpaceDE w:val="0"/>
      <w:autoSpaceDN w:val="0"/>
      <w:adjustRightInd w:val="0"/>
      <w:spacing w:after="0" w:line="240" w:lineRule="auto"/>
    </w:pPr>
    <w:rPr>
      <w:rFonts w:ascii="Symbol" w:hAnsi="Symbol" w:cs="Symbol"/>
      <w:color w:val="000000"/>
      <w:sz w:val="24"/>
      <w:szCs w:val="24"/>
    </w:rPr>
  </w:style>
  <w:style w:type="character" w:customStyle="1" w:styleId="Heading2Char">
    <w:name w:val="Heading 2 Char"/>
    <w:basedOn w:val="DefaultParagraphFont"/>
    <w:link w:val="Heading2"/>
    <w:uiPriority w:val="9"/>
    <w:rsid w:val="00FA2CD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A2CD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FA2CD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FA2CD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FA2CD6"/>
    <w:rPr>
      <w:rFonts w:asciiTheme="majorHAnsi" w:eastAsiaTheme="majorEastAsia" w:hAnsiTheme="majorHAnsi" w:cstheme="majorBidi"/>
      <w:color w:val="1F3763" w:themeColor="accent1" w:themeShade="7F"/>
    </w:rPr>
  </w:style>
  <w:style w:type="paragraph" w:styleId="TOC1">
    <w:name w:val="toc 1"/>
    <w:basedOn w:val="Normal"/>
    <w:next w:val="Normal"/>
    <w:autoRedefine/>
    <w:uiPriority w:val="39"/>
    <w:unhideWhenUsed/>
    <w:rsid w:val="00FA2CD6"/>
    <w:pPr>
      <w:spacing w:after="100"/>
    </w:pPr>
  </w:style>
  <w:style w:type="paragraph" w:styleId="TOC2">
    <w:name w:val="toc 2"/>
    <w:basedOn w:val="Normal"/>
    <w:next w:val="Normal"/>
    <w:autoRedefine/>
    <w:uiPriority w:val="39"/>
    <w:unhideWhenUsed/>
    <w:rsid w:val="00FA2CD6"/>
    <w:pPr>
      <w:spacing w:after="100"/>
      <w:ind w:left="220"/>
    </w:pPr>
  </w:style>
  <w:style w:type="paragraph" w:styleId="TOC3">
    <w:name w:val="toc 3"/>
    <w:basedOn w:val="Normal"/>
    <w:next w:val="Normal"/>
    <w:autoRedefine/>
    <w:uiPriority w:val="39"/>
    <w:unhideWhenUsed/>
    <w:rsid w:val="00FA2CD6"/>
    <w:pPr>
      <w:spacing w:after="100"/>
      <w:ind w:left="440"/>
    </w:pPr>
  </w:style>
  <w:style w:type="character" w:styleId="Hyperlink">
    <w:name w:val="Hyperlink"/>
    <w:basedOn w:val="DefaultParagraphFont"/>
    <w:uiPriority w:val="99"/>
    <w:unhideWhenUsed/>
    <w:rsid w:val="00FA2CD6"/>
    <w:rPr>
      <w:color w:val="0563C1" w:themeColor="hyperlink"/>
      <w:u w:val="single"/>
    </w:rPr>
  </w:style>
  <w:style w:type="table" w:styleId="TableGrid">
    <w:name w:val="Table Grid"/>
    <w:basedOn w:val="TableNormal"/>
    <w:uiPriority w:val="39"/>
    <w:rsid w:val="00FA2C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4B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281720">
      <w:bodyDiv w:val="1"/>
      <w:marLeft w:val="0"/>
      <w:marRight w:val="0"/>
      <w:marTop w:val="0"/>
      <w:marBottom w:val="0"/>
      <w:divBdr>
        <w:top w:val="none" w:sz="0" w:space="0" w:color="auto"/>
        <w:left w:val="none" w:sz="0" w:space="0" w:color="auto"/>
        <w:bottom w:val="none" w:sz="0" w:space="0" w:color="auto"/>
        <w:right w:val="none" w:sz="0" w:space="0" w:color="auto"/>
      </w:divBdr>
      <w:divsChild>
        <w:div w:id="746994983">
          <w:marLeft w:val="720"/>
          <w:marRight w:val="0"/>
          <w:marTop w:val="115"/>
          <w:marBottom w:val="0"/>
          <w:divBdr>
            <w:top w:val="none" w:sz="0" w:space="0" w:color="auto"/>
            <w:left w:val="none" w:sz="0" w:space="0" w:color="auto"/>
            <w:bottom w:val="none" w:sz="0" w:space="0" w:color="auto"/>
            <w:right w:val="none" w:sz="0" w:space="0" w:color="auto"/>
          </w:divBdr>
        </w:div>
      </w:divsChild>
    </w:div>
    <w:div w:id="654139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wp-content/uploads/2019/10/gp-it-operating-model-v4-sept-2019.pdf" TargetMode="External"/><Relationship Id="rId3" Type="http://schemas.openxmlformats.org/officeDocument/2006/relationships/styles" Target="styles.xml"/><Relationship Id="rId7" Type="http://schemas.openxmlformats.org/officeDocument/2006/relationships/hyperlink" Target="https://assets.publishing.service.gov.uk/government/uploads/system/uploads/attachment_data/file/923108/Data_Ethics_Framework_2020.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057/palgrave.jit.2000101"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ngland.nhs.uk/statistics/2020/07/09/gp-patient-survey-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F09B5-F9C2-4721-AD81-DDDA91888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TotalTime>
  <Pages>8</Pages>
  <Words>2498</Words>
  <Characters>14241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Sadiq, Soban</dc:creator>
  <cp:keywords/>
  <dc:description/>
  <cp:lastModifiedBy>Nkoyohenshaw@outlook.com</cp:lastModifiedBy>
  <cp:revision>68</cp:revision>
  <dcterms:created xsi:type="dcterms:W3CDTF">2021-03-16T13:40:00Z</dcterms:created>
  <dcterms:modified xsi:type="dcterms:W3CDTF">2021-05-12T09:37:00Z</dcterms:modified>
</cp:coreProperties>
</file>