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1A5A16B2"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D57B80">
        <w:rPr>
          <w:rStyle w:val="Strong"/>
          <w:rFonts w:ascii="Arial" w:hAnsi="Arial" w:cs="Arial"/>
          <w:color w:val="1D2125"/>
          <w:sz w:val="32"/>
          <w:szCs w:val="32"/>
        </w:rPr>
        <w:t xml:space="preserve"> VENISHA HENRY</w:t>
      </w:r>
    </w:p>
    <w:p w14:paraId="227AC82E" w14:textId="3C1836C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4975A2">
        <w:rPr>
          <w:rStyle w:val="Strong"/>
          <w:rFonts w:ascii="Arial" w:hAnsi="Arial" w:cs="Arial"/>
          <w:color w:val="1D2125"/>
          <w:sz w:val="32"/>
          <w:szCs w:val="32"/>
        </w:rPr>
        <w:t xml:space="preserve"> 2316686</w:t>
      </w:r>
    </w:p>
    <w:p w14:paraId="5B5E64AD" w14:textId="6C2EC3ED"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516082">
        <w:rPr>
          <w:rStyle w:val="Strong"/>
          <w:rFonts w:ascii="Arial" w:hAnsi="Arial" w:cs="Arial"/>
          <w:color w:val="1D2125"/>
          <w:sz w:val="32"/>
          <w:szCs w:val="32"/>
        </w:rPr>
        <w:t xml:space="preserve"> </w:t>
      </w:r>
      <w:r w:rsidR="006F3F5F" w:rsidRPr="006F3F5F">
        <w:rPr>
          <w:rStyle w:val="Strong"/>
          <w:rFonts w:ascii="Arial" w:hAnsi="Arial" w:cs="Arial"/>
          <w:color w:val="1D2125"/>
          <w:sz w:val="32"/>
          <w:szCs w:val="32"/>
        </w:rPr>
        <w:t>Shepherd Ziko</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189C3566" w:rsidR="008375B5" w:rsidRPr="0048782A" w:rsidRDefault="008375B5" w:rsidP="008375B5">
      <w:pPr>
        <w:pStyle w:val="NormalWeb"/>
        <w:spacing w:line="360" w:lineRule="auto"/>
        <w:rPr>
          <w:rFonts w:ascii="Arial" w:hAnsi="Arial" w:cs="Arial"/>
          <w:b/>
          <w:bCs/>
          <w:color w:val="000000"/>
          <w:sz w:val="40"/>
          <w:szCs w:val="40"/>
          <w:u w:val="single"/>
        </w:rPr>
      </w:pPr>
      <w:r w:rsidRPr="0048782A">
        <w:rPr>
          <w:rFonts w:ascii="Arial" w:hAnsi="Arial" w:cs="Arial"/>
          <w:b/>
          <w:bCs/>
          <w:color w:val="000000"/>
          <w:sz w:val="40"/>
          <w:szCs w:val="40"/>
          <w:u w:val="single"/>
        </w:rPr>
        <w:lastRenderedPageBreak/>
        <w:t xml:space="preserve">Table of </w:t>
      </w:r>
      <w:r w:rsidR="0048782A">
        <w:rPr>
          <w:rFonts w:ascii="Arial" w:hAnsi="Arial" w:cs="Arial"/>
          <w:b/>
          <w:bCs/>
          <w:color w:val="000000"/>
          <w:sz w:val="40"/>
          <w:szCs w:val="40"/>
          <w:u w:val="single"/>
        </w:rPr>
        <w:t>C</w:t>
      </w:r>
      <w:r w:rsidRPr="0048782A">
        <w:rPr>
          <w:rFonts w:ascii="Arial" w:hAnsi="Arial" w:cs="Arial"/>
          <w:b/>
          <w:bCs/>
          <w:color w:val="000000"/>
          <w:sz w:val="40"/>
          <w:szCs w:val="40"/>
          <w:u w:val="single"/>
        </w:rPr>
        <w:t>ontents</w:t>
      </w:r>
      <w:r w:rsidR="0048782A">
        <w:rPr>
          <w:rFonts w:ascii="Arial" w:hAnsi="Arial" w:cs="Arial"/>
          <w:b/>
          <w:bCs/>
          <w:color w:val="000000"/>
          <w:sz w:val="40"/>
          <w:szCs w:val="40"/>
          <w:u w:val="single"/>
        </w:rPr>
        <w:t xml:space="preserve">                                        Page</w:t>
      </w:r>
    </w:p>
    <w:p w14:paraId="6C3163C1" w14:textId="77777777" w:rsidR="00545E43" w:rsidRDefault="00545E43" w:rsidP="008375B5">
      <w:pPr>
        <w:pStyle w:val="NormalWeb"/>
        <w:spacing w:line="360" w:lineRule="auto"/>
        <w:rPr>
          <w:color w:val="000000"/>
          <w:sz w:val="40"/>
          <w:szCs w:val="40"/>
        </w:rPr>
      </w:pPr>
    </w:p>
    <w:p w14:paraId="6997D827" w14:textId="690115FA" w:rsidR="008375B5" w:rsidRPr="0048782A" w:rsidRDefault="009936F9" w:rsidP="008375B5">
      <w:pPr>
        <w:pStyle w:val="NormalWeb"/>
        <w:spacing w:line="360" w:lineRule="auto"/>
        <w:rPr>
          <w:color w:val="000000"/>
          <w:sz w:val="40"/>
          <w:szCs w:val="40"/>
        </w:rPr>
      </w:pPr>
      <w:r w:rsidRPr="0048782A">
        <w:rPr>
          <w:color w:val="000000"/>
          <w:sz w:val="40"/>
          <w:szCs w:val="40"/>
        </w:rPr>
        <w:t>Introduction</w:t>
      </w:r>
      <w:r w:rsidR="009C36B8">
        <w:rPr>
          <w:color w:val="000000"/>
          <w:sz w:val="40"/>
          <w:szCs w:val="40"/>
        </w:rPr>
        <w:t xml:space="preserve">                                                              3</w:t>
      </w:r>
    </w:p>
    <w:p w14:paraId="6C6EF877" w14:textId="2355935E" w:rsidR="009936F9" w:rsidRPr="0048782A" w:rsidRDefault="009936F9" w:rsidP="009936F9">
      <w:pPr>
        <w:pStyle w:val="NormalWeb"/>
        <w:spacing w:line="360" w:lineRule="auto"/>
        <w:rPr>
          <w:color w:val="000000"/>
          <w:sz w:val="40"/>
          <w:szCs w:val="40"/>
        </w:rPr>
      </w:pPr>
      <w:r w:rsidRPr="0048782A">
        <w:rPr>
          <w:color w:val="000000"/>
          <w:sz w:val="40"/>
          <w:szCs w:val="40"/>
        </w:rPr>
        <w:t xml:space="preserve">Impact on </w:t>
      </w:r>
      <w:r w:rsidR="00545E43">
        <w:rPr>
          <w:color w:val="000000"/>
          <w:sz w:val="40"/>
          <w:szCs w:val="40"/>
        </w:rPr>
        <w:t>W</w:t>
      </w:r>
      <w:r w:rsidRPr="0048782A">
        <w:rPr>
          <w:color w:val="000000"/>
          <w:sz w:val="40"/>
          <w:szCs w:val="40"/>
        </w:rPr>
        <w:t>orkforce</w:t>
      </w:r>
      <w:r w:rsidR="009C36B8">
        <w:rPr>
          <w:color w:val="000000"/>
          <w:sz w:val="40"/>
          <w:szCs w:val="40"/>
        </w:rPr>
        <w:t xml:space="preserve">                                              </w:t>
      </w:r>
      <w:r w:rsidR="0026020C">
        <w:rPr>
          <w:color w:val="000000"/>
          <w:sz w:val="40"/>
          <w:szCs w:val="40"/>
        </w:rPr>
        <w:t xml:space="preserve"> </w:t>
      </w:r>
      <w:r w:rsidR="009C36B8">
        <w:rPr>
          <w:color w:val="000000"/>
          <w:sz w:val="40"/>
          <w:szCs w:val="40"/>
        </w:rPr>
        <w:t>4</w:t>
      </w:r>
    </w:p>
    <w:p w14:paraId="783EDB4C" w14:textId="0BF867B8" w:rsidR="009936F9" w:rsidRPr="0048782A" w:rsidRDefault="009936F9" w:rsidP="009936F9">
      <w:pPr>
        <w:pStyle w:val="NormalWeb"/>
        <w:spacing w:line="360" w:lineRule="auto"/>
        <w:rPr>
          <w:color w:val="000000"/>
          <w:sz w:val="40"/>
          <w:szCs w:val="40"/>
        </w:rPr>
      </w:pPr>
      <w:r w:rsidRPr="0048782A">
        <w:rPr>
          <w:color w:val="000000"/>
          <w:sz w:val="40"/>
          <w:szCs w:val="40"/>
        </w:rPr>
        <w:t xml:space="preserve">Impact on </w:t>
      </w:r>
      <w:r w:rsidR="00545E43">
        <w:rPr>
          <w:color w:val="000000"/>
          <w:sz w:val="40"/>
          <w:szCs w:val="40"/>
        </w:rPr>
        <w:t>S</w:t>
      </w:r>
      <w:r w:rsidRPr="0048782A">
        <w:rPr>
          <w:color w:val="000000"/>
          <w:sz w:val="40"/>
          <w:szCs w:val="40"/>
        </w:rPr>
        <w:t xml:space="preserve">ervice </w:t>
      </w:r>
      <w:r w:rsidR="00545E43">
        <w:rPr>
          <w:color w:val="000000"/>
          <w:sz w:val="40"/>
          <w:szCs w:val="40"/>
        </w:rPr>
        <w:t>D</w:t>
      </w:r>
      <w:r w:rsidRPr="0048782A">
        <w:rPr>
          <w:color w:val="000000"/>
          <w:sz w:val="40"/>
          <w:szCs w:val="40"/>
        </w:rPr>
        <w:t>elivery</w:t>
      </w:r>
      <w:r w:rsidR="0026020C">
        <w:rPr>
          <w:color w:val="000000"/>
          <w:sz w:val="40"/>
          <w:szCs w:val="40"/>
        </w:rPr>
        <w:t xml:space="preserve">                                     5</w:t>
      </w:r>
    </w:p>
    <w:p w14:paraId="1E6FEC5F" w14:textId="31111916" w:rsidR="009936F9" w:rsidRPr="0048782A" w:rsidRDefault="009936F9" w:rsidP="009936F9">
      <w:pPr>
        <w:pStyle w:val="NormalWeb"/>
        <w:spacing w:line="360" w:lineRule="auto"/>
        <w:rPr>
          <w:color w:val="000000"/>
          <w:sz w:val="40"/>
          <w:szCs w:val="40"/>
        </w:rPr>
      </w:pPr>
      <w:r w:rsidRPr="0048782A">
        <w:rPr>
          <w:color w:val="000000"/>
          <w:sz w:val="40"/>
          <w:szCs w:val="40"/>
        </w:rPr>
        <w:t xml:space="preserve">Impact on </w:t>
      </w:r>
      <w:r w:rsidR="00545E43">
        <w:rPr>
          <w:color w:val="000000"/>
          <w:sz w:val="40"/>
          <w:szCs w:val="40"/>
        </w:rPr>
        <w:t>P</w:t>
      </w:r>
      <w:r w:rsidRPr="0048782A">
        <w:rPr>
          <w:color w:val="000000"/>
          <w:sz w:val="40"/>
          <w:szCs w:val="40"/>
        </w:rPr>
        <w:t>atients</w:t>
      </w:r>
      <w:r w:rsidR="0026020C">
        <w:rPr>
          <w:color w:val="000000"/>
          <w:sz w:val="40"/>
          <w:szCs w:val="40"/>
        </w:rPr>
        <w:t xml:space="preserve">                                                   6</w:t>
      </w:r>
    </w:p>
    <w:p w14:paraId="46CBB26E" w14:textId="65FD43BD" w:rsidR="009936F9" w:rsidRPr="0048782A" w:rsidRDefault="009936F9" w:rsidP="009936F9">
      <w:pPr>
        <w:pStyle w:val="NormalWeb"/>
        <w:spacing w:line="360" w:lineRule="auto"/>
        <w:rPr>
          <w:color w:val="000000"/>
          <w:sz w:val="40"/>
          <w:szCs w:val="40"/>
        </w:rPr>
      </w:pPr>
      <w:r w:rsidRPr="0048782A">
        <w:rPr>
          <w:color w:val="000000"/>
          <w:sz w:val="40"/>
          <w:szCs w:val="40"/>
        </w:rPr>
        <w:t xml:space="preserve">Impact on </w:t>
      </w:r>
      <w:r w:rsidR="00545E43">
        <w:rPr>
          <w:color w:val="000000"/>
          <w:sz w:val="40"/>
          <w:szCs w:val="40"/>
        </w:rPr>
        <w:t>C</w:t>
      </w:r>
      <w:r w:rsidRPr="0048782A">
        <w:rPr>
          <w:color w:val="000000"/>
          <w:sz w:val="40"/>
          <w:szCs w:val="40"/>
        </w:rPr>
        <w:t>ommunity</w:t>
      </w:r>
      <w:r w:rsidR="0026020C">
        <w:rPr>
          <w:color w:val="000000"/>
          <w:sz w:val="40"/>
          <w:szCs w:val="40"/>
        </w:rPr>
        <w:t xml:space="preserve">                                             7</w:t>
      </w:r>
    </w:p>
    <w:p w14:paraId="045A119C" w14:textId="42192A85" w:rsidR="0050244A" w:rsidRPr="0048782A" w:rsidRDefault="0050244A" w:rsidP="009936F9">
      <w:pPr>
        <w:pStyle w:val="NormalWeb"/>
        <w:spacing w:line="360" w:lineRule="auto"/>
        <w:rPr>
          <w:color w:val="000000"/>
          <w:sz w:val="40"/>
          <w:szCs w:val="40"/>
        </w:rPr>
      </w:pPr>
      <w:r w:rsidRPr="0048782A">
        <w:rPr>
          <w:color w:val="000000"/>
          <w:sz w:val="40"/>
          <w:szCs w:val="40"/>
        </w:rPr>
        <w:t>Impact on Policy and Future Planning</w:t>
      </w:r>
      <w:r w:rsidR="0026020C">
        <w:rPr>
          <w:color w:val="000000"/>
          <w:sz w:val="40"/>
          <w:szCs w:val="40"/>
        </w:rPr>
        <w:t xml:space="preserve">                    8</w:t>
      </w:r>
    </w:p>
    <w:p w14:paraId="63E2CA27" w14:textId="322F2077" w:rsidR="008375B5" w:rsidRDefault="009936F9" w:rsidP="008375B5">
      <w:pPr>
        <w:pStyle w:val="NormalWeb"/>
        <w:spacing w:line="360" w:lineRule="auto"/>
        <w:rPr>
          <w:color w:val="000000"/>
          <w:sz w:val="40"/>
          <w:szCs w:val="40"/>
        </w:rPr>
      </w:pPr>
      <w:r w:rsidRPr="0048782A">
        <w:rPr>
          <w:color w:val="000000"/>
          <w:sz w:val="40"/>
          <w:szCs w:val="40"/>
        </w:rPr>
        <w:t>Conclusion</w:t>
      </w:r>
      <w:r w:rsidR="0026020C">
        <w:rPr>
          <w:color w:val="000000"/>
          <w:sz w:val="40"/>
          <w:szCs w:val="40"/>
        </w:rPr>
        <w:t xml:space="preserve">                                                              9</w:t>
      </w:r>
    </w:p>
    <w:p w14:paraId="09541759" w14:textId="2619E0F1" w:rsidR="0026020C" w:rsidRPr="0026020C" w:rsidRDefault="0026020C" w:rsidP="008375B5">
      <w:pPr>
        <w:pStyle w:val="NormalWeb"/>
        <w:spacing w:line="360" w:lineRule="auto"/>
        <w:rPr>
          <w:color w:val="000000"/>
          <w:sz w:val="40"/>
          <w:szCs w:val="40"/>
        </w:rPr>
      </w:pPr>
      <w:r>
        <w:rPr>
          <w:color w:val="000000"/>
          <w:sz w:val="40"/>
          <w:szCs w:val="40"/>
        </w:rPr>
        <w:t>Refere</w:t>
      </w:r>
      <w:r w:rsidR="000928C6">
        <w:rPr>
          <w:color w:val="000000"/>
          <w:sz w:val="40"/>
          <w:szCs w:val="40"/>
        </w:rPr>
        <w:t>nce                                                               10</w:t>
      </w:r>
    </w:p>
    <w:p w14:paraId="0E7227A5" w14:textId="77777777" w:rsidR="008375B5" w:rsidRPr="00F05554" w:rsidRDefault="008375B5" w:rsidP="008375B5">
      <w:pPr>
        <w:pStyle w:val="NormalWeb"/>
        <w:spacing w:line="360" w:lineRule="auto"/>
        <w:rPr>
          <w:rFonts w:ascii="Arial" w:hAnsi="Arial" w:cs="Arial"/>
          <w:b/>
          <w:bCs/>
          <w:color w:val="000000"/>
          <w:sz w:val="40"/>
          <w:szCs w:val="40"/>
        </w:rPr>
      </w:pPr>
    </w:p>
    <w:p w14:paraId="4C678BFB" w14:textId="77777777" w:rsidR="008375B5" w:rsidRPr="00F05554" w:rsidRDefault="008375B5" w:rsidP="008375B5">
      <w:pPr>
        <w:pStyle w:val="NormalWeb"/>
        <w:spacing w:line="360" w:lineRule="auto"/>
        <w:rPr>
          <w:rFonts w:ascii="Arial" w:hAnsi="Arial" w:cs="Arial"/>
          <w:b/>
          <w:bCs/>
          <w:color w:val="000000"/>
          <w:sz w:val="40"/>
          <w:szCs w:val="40"/>
        </w:rPr>
      </w:pPr>
    </w:p>
    <w:p w14:paraId="3B71E803" w14:textId="77777777" w:rsidR="008375B5" w:rsidRPr="00F05554" w:rsidRDefault="008375B5" w:rsidP="008375B5">
      <w:pPr>
        <w:pStyle w:val="NormalWeb"/>
        <w:spacing w:line="360" w:lineRule="auto"/>
        <w:rPr>
          <w:rFonts w:ascii="Arial" w:hAnsi="Arial" w:cs="Arial"/>
          <w:b/>
          <w:bCs/>
          <w:color w:val="000000"/>
          <w:sz w:val="40"/>
          <w:szCs w:val="40"/>
        </w:rPr>
      </w:pPr>
    </w:p>
    <w:p w14:paraId="2F97C8DA" w14:textId="77777777" w:rsidR="008375B5" w:rsidRPr="00F05554" w:rsidRDefault="008375B5" w:rsidP="008375B5">
      <w:pPr>
        <w:pStyle w:val="NormalWeb"/>
        <w:spacing w:line="360" w:lineRule="auto"/>
        <w:rPr>
          <w:rFonts w:ascii="Arial" w:hAnsi="Arial" w:cs="Arial"/>
          <w:color w:val="000000"/>
          <w:sz w:val="40"/>
          <w:szCs w:val="40"/>
        </w:rPr>
      </w:pPr>
    </w:p>
    <w:p w14:paraId="3650E235" w14:textId="5EBD5E90" w:rsidR="001A2F0F" w:rsidRDefault="00A9474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Introduction</w:t>
      </w:r>
    </w:p>
    <w:p w14:paraId="01FBFCD1" w14:textId="46DA86B6" w:rsidR="001A2F0F" w:rsidRPr="001A2F0F" w:rsidRDefault="00CA6698" w:rsidP="008375B5">
      <w:pPr>
        <w:spacing w:line="360" w:lineRule="auto"/>
        <w:rPr>
          <w:rFonts w:ascii="Times New Roman" w:hAnsi="Times New Roman"/>
        </w:rPr>
      </w:pPr>
      <w:r w:rsidRPr="00CA6698">
        <w:rPr>
          <w:rFonts w:ascii="Times New Roman" w:hAnsi="Times New Roman"/>
        </w:rPr>
        <w:t xml:space="preserve">Cardiovascular disease remains one of the leading causes of morbidity and mortality worldwide, with atrial fibrillation (AF) affecting approximately 59 million people globally and carrying a lifetime risk of 1 in 3–5 individuals after the age of 45 </w:t>
      </w:r>
      <w:r w:rsidRPr="001A2F0F">
        <w:rPr>
          <w:rFonts w:ascii="Times New Roman" w:hAnsi="Times New Roman"/>
        </w:rPr>
        <w:t>representing a significant risk factor for stroke and other serious complications</w:t>
      </w:r>
      <w:r w:rsidRPr="00CA6698">
        <w:rPr>
          <w:rFonts w:ascii="Times New Roman" w:hAnsi="Times New Roman"/>
        </w:rPr>
        <w:t xml:space="preserve"> </w:t>
      </w:r>
      <w:r w:rsidRPr="00CA6698">
        <w:rPr>
          <w:rFonts w:ascii="Times New Roman" w:hAnsi="Times New Roman"/>
        </w:rPr>
        <w:t>(The Lancet, 2023).</w:t>
      </w:r>
      <w:r w:rsidR="001A2F0F" w:rsidRPr="001A2F0F">
        <w:rPr>
          <w:rFonts w:ascii="Times New Roman" w:hAnsi="Times New Roman"/>
        </w:rPr>
        <w:t xml:space="preserve"> Early detection and effective management of AF are therefore critical priorities for healthcare systems such as the NHS. In recent years, digital health innovations have emerged as powerful tools to support both clinicians and patients in addressing these challenges. </w:t>
      </w:r>
      <w:r w:rsidR="005D5AD4" w:rsidRPr="005D5AD4">
        <w:rPr>
          <w:rFonts w:ascii="Times New Roman" w:hAnsi="Times New Roman"/>
        </w:rPr>
        <w:t>One such innovation is KardiaMobile, a portable electrocardiogram (ECG) device that connects to smartphones and enables patients to record medical-grade heart readings in real time. By shifting diagnostic capabilities into community and home settings, KardiaMobile has the potential to transform how cardiovascular care is delivered, empowering patients while easing the burden on hospital services. Its clinical value has been recognised in the UK, with NICE guidance recommending KardiaMobile for detecting atrial fibrillation in primary care and community settings (NICE, 2022).</w:t>
      </w:r>
      <w:r w:rsidR="005D5AD4" w:rsidRPr="005D5AD4">
        <w:rPr>
          <w:rFonts w:ascii="Times New Roman" w:hAnsi="Times New Roman"/>
        </w:rPr>
        <w:t xml:space="preserve"> </w:t>
      </w:r>
      <w:r w:rsidR="001A2F0F" w:rsidRPr="001A2F0F">
        <w:rPr>
          <w:rFonts w:ascii="Times New Roman" w:hAnsi="Times New Roman"/>
        </w:rPr>
        <w:t>This aligns with broader NHS digital transformation goals, which emphasise prevention, patient-centred care, and the integration of technology into everyday practice (NHS England, 2019).</w:t>
      </w:r>
    </w:p>
    <w:p w14:paraId="691F69C1" w14:textId="77777777" w:rsidR="001A2F0F" w:rsidRDefault="001A2F0F" w:rsidP="008375B5">
      <w:pPr>
        <w:spacing w:line="360" w:lineRule="auto"/>
        <w:rPr>
          <w:rFonts w:ascii="Times New Roman" w:hAnsi="Times New Roman"/>
          <w:b/>
          <w:bCs/>
          <w:sz w:val="40"/>
          <w:szCs w:val="40"/>
          <w:u w:val="single"/>
        </w:rPr>
      </w:pPr>
    </w:p>
    <w:p w14:paraId="43A400EF" w14:textId="77777777" w:rsidR="001A2F0F" w:rsidRDefault="001A2F0F" w:rsidP="008375B5">
      <w:pPr>
        <w:spacing w:line="360" w:lineRule="auto"/>
        <w:rPr>
          <w:rFonts w:ascii="Times New Roman" w:hAnsi="Times New Roman"/>
          <w:b/>
          <w:bCs/>
          <w:sz w:val="40"/>
          <w:szCs w:val="40"/>
          <w:u w:val="single"/>
        </w:rPr>
      </w:pPr>
    </w:p>
    <w:p w14:paraId="64F68BE0" w14:textId="77777777" w:rsidR="001A2F0F" w:rsidRDefault="001A2F0F" w:rsidP="008375B5">
      <w:pPr>
        <w:spacing w:line="360" w:lineRule="auto"/>
        <w:rPr>
          <w:rFonts w:ascii="Times New Roman" w:hAnsi="Times New Roman"/>
          <w:b/>
          <w:bCs/>
          <w:sz w:val="40"/>
          <w:szCs w:val="40"/>
          <w:u w:val="single"/>
        </w:rPr>
      </w:pPr>
    </w:p>
    <w:p w14:paraId="620B235A" w14:textId="77777777" w:rsidR="001A2F0F" w:rsidRDefault="001A2F0F" w:rsidP="008375B5">
      <w:pPr>
        <w:spacing w:line="360" w:lineRule="auto"/>
        <w:rPr>
          <w:rFonts w:ascii="Times New Roman" w:hAnsi="Times New Roman"/>
          <w:b/>
          <w:bCs/>
          <w:sz w:val="40"/>
          <w:szCs w:val="40"/>
          <w:u w:val="single"/>
        </w:rPr>
      </w:pPr>
    </w:p>
    <w:p w14:paraId="3019EF44" w14:textId="77777777" w:rsidR="001A2F0F" w:rsidRDefault="001A2F0F" w:rsidP="008375B5">
      <w:pPr>
        <w:spacing w:line="360" w:lineRule="auto"/>
        <w:rPr>
          <w:rFonts w:ascii="Times New Roman" w:hAnsi="Times New Roman"/>
          <w:b/>
          <w:bCs/>
          <w:sz w:val="40"/>
          <w:szCs w:val="40"/>
          <w:u w:val="single"/>
        </w:rPr>
      </w:pPr>
    </w:p>
    <w:p w14:paraId="575289E2" w14:textId="77777777" w:rsidR="001A2F0F" w:rsidRDefault="001A2F0F" w:rsidP="008375B5">
      <w:pPr>
        <w:spacing w:line="360" w:lineRule="auto"/>
        <w:rPr>
          <w:rFonts w:ascii="Times New Roman" w:hAnsi="Times New Roman"/>
          <w:b/>
          <w:bCs/>
          <w:sz w:val="40"/>
          <w:szCs w:val="40"/>
          <w:u w:val="single"/>
        </w:rPr>
      </w:pPr>
    </w:p>
    <w:p w14:paraId="62A1B87D" w14:textId="77777777" w:rsidR="009C36B8" w:rsidRDefault="009C36B8" w:rsidP="008375B5">
      <w:pPr>
        <w:spacing w:line="360" w:lineRule="auto"/>
        <w:rPr>
          <w:rFonts w:ascii="Times New Roman" w:hAnsi="Times New Roman"/>
          <w:b/>
          <w:bCs/>
          <w:sz w:val="40"/>
          <w:szCs w:val="40"/>
          <w:u w:val="single"/>
        </w:rPr>
      </w:pPr>
    </w:p>
    <w:p w14:paraId="6341855D" w14:textId="7F2C0897" w:rsidR="00C80D0F" w:rsidRPr="00545E43" w:rsidRDefault="00C80D0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 xml:space="preserve">Impact on </w:t>
      </w:r>
      <w:r w:rsidR="00545E43">
        <w:rPr>
          <w:rFonts w:ascii="Times New Roman" w:hAnsi="Times New Roman"/>
          <w:b/>
          <w:bCs/>
          <w:sz w:val="40"/>
          <w:szCs w:val="40"/>
          <w:u w:val="single"/>
        </w:rPr>
        <w:t>W</w:t>
      </w:r>
      <w:r w:rsidRPr="00545E43">
        <w:rPr>
          <w:rFonts w:ascii="Times New Roman" w:hAnsi="Times New Roman"/>
          <w:b/>
          <w:bCs/>
          <w:sz w:val="40"/>
          <w:szCs w:val="40"/>
          <w:u w:val="single"/>
        </w:rPr>
        <w:t xml:space="preserve">ork </w:t>
      </w:r>
      <w:r w:rsidR="00545E43">
        <w:rPr>
          <w:rFonts w:ascii="Times New Roman" w:hAnsi="Times New Roman"/>
          <w:b/>
          <w:bCs/>
          <w:sz w:val="40"/>
          <w:szCs w:val="40"/>
          <w:u w:val="single"/>
        </w:rPr>
        <w:t>F</w:t>
      </w:r>
      <w:r w:rsidRPr="00545E43">
        <w:rPr>
          <w:rFonts w:ascii="Times New Roman" w:hAnsi="Times New Roman"/>
          <w:b/>
          <w:bCs/>
          <w:sz w:val="40"/>
          <w:szCs w:val="40"/>
          <w:u w:val="single"/>
        </w:rPr>
        <w:t xml:space="preserve">orce </w:t>
      </w:r>
    </w:p>
    <w:p w14:paraId="663D85E0" w14:textId="35F9FE9B" w:rsidR="00A7473F" w:rsidRPr="0048782A" w:rsidRDefault="00A7473F" w:rsidP="00A7473F">
      <w:pPr>
        <w:spacing w:before="100" w:beforeAutospacing="1" w:after="100" w:afterAutospacing="1" w:line="240" w:lineRule="auto"/>
        <w:rPr>
          <w:rFonts w:ascii="Times New Roman" w:eastAsia="Times New Roman" w:hAnsi="Times New Roman"/>
          <w:kern w:val="0"/>
          <w:lang w:eastAsia="en-GB"/>
        </w:rPr>
      </w:pPr>
      <w:r w:rsidRPr="0048782A">
        <w:rPr>
          <w:rFonts w:ascii="Times New Roman" w:eastAsia="Times New Roman" w:hAnsi="Times New Roman"/>
          <w:kern w:val="0"/>
          <w:lang w:eastAsia="en-GB"/>
        </w:rPr>
        <w:t>The introduction of KardiaMobile into UK healthcare settings</w:t>
      </w:r>
      <w:r w:rsidR="009C31FF" w:rsidRPr="0048782A">
        <w:rPr>
          <w:rFonts w:ascii="Times New Roman" w:eastAsia="Times New Roman" w:hAnsi="Times New Roman"/>
          <w:kern w:val="0"/>
          <w:lang w:eastAsia="en-GB"/>
        </w:rPr>
        <w:t xml:space="preserve"> would have the aim of </w:t>
      </w:r>
      <w:r w:rsidRPr="0048782A">
        <w:rPr>
          <w:rFonts w:ascii="Times New Roman" w:eastAsia="Times New Roman" w:hAnsi="Times New Roman"/>
          <w:kern w:val="0"/>
          <w:lang w:eastAsia="en-GB"/>
        </w:rPr>
        <w:t>reshap</w:t>
      </w:r>
      <w:r w:rsidR="009C31FF" w:rsidRPr="0048782A">
        <w:rPr>
          <w:rFonts w:ascii="Times New Roman" w:eastAsia="Times New Roman" w:hAnsi="Times New Roman"/>
          <w:kern w:val="0"/>
          <w:lang w:eastAsia="en-GB"/>
        </w:rPr>
        <w:t xml:space="preserve">ing </w:t>
      </w:r>
      <w:r w:rsidRPr="0048782A">
        <w:rPr>
          <w:rFonts w:ascii="Times New Roman" w:eastAsia="Times New Roman" w:hAnsi="Times New Roman"/>
          <w:kern w:val="0"/>
          <w:lang w:eastAsia="en-GB"/>
        </w:rPr>
        <w:t xml:space="preserve">how healthcare </w:t>
      </w:r>
      <w:r w:rsidR="007E23C5" w:rsidRPr="0048782A">
        <w:rPr>
          <w:rFonts w:ascii="Times New Roman" w:eastAsia="Times New Roman" w:hAnsi="Times New Roman"/>
          <w:kern w:val="0"/>
          <w:lang w:eastAsia="en-GB"/>
        </w:rPr>
        <w:t>professional’s</w:t>
      </w:r>
      <w:r w:rsidRPr="0048782A">
        <w:rPr>
          <w:rFonts w:ascii="Times New Roman" w:eastAsia="Times New Roman" w:hAnsi="Times New Roman"/>
          <w:kern w:val="0"/>
          <w:lang w:eastAsia="en-GB"/>
        </w:rPr>
        <w:t xml:space="preserve"> work. While the device offers faster diagnosis and empowers patients to monitor their heart health independently, it also challenges staff to adapt to new ways of working, especially when it comes to digital skills and remote diagnostics.</w:t>
      </w:r>
    </w:p>
    <w:p w14:paraId="2E3EB4A3" w14:textId="6F52F6A2" w:rsidR="00A7473F" w:rsidRPr="0048782A" w:rsidRDefault="00A7473F" w:rsidP="00A7473F">
      <w:pPr>
        <w:spacing w:before="100" w:beforeAutospacing="1" w:after="100" w:afterAutospacing="1" w:line="240" w:lineRule="auto"/>
        <w:rPr>
          <w:rFonts w:ascii="Times New Roman" w:eastAsia="Times New Roman" w:hAnsi="Times New Roman"/>
          <w:kern w:val="0"/>
          <w:lang w:eastAsia="en-GB"/>
        </w:rPr>
      </w:pPr>
      <w:r w:rsidRPr="0048782A">
        <w:rPr>
          <w:rFonts w:ascii="Times New Roman" w:eastAsia="Times New Roman" w:hAnsi="Times New Roman"/>
          <w:kern w:val="0"/>
          <w:lang w:eastAsia="en-GB"/>
        </w:rPr>
        <w:t>For many frontline professionals, particularly those in primary care, digital tools like KardiaMobile are becoming part of everyday practice. G</w:t>
      </w:r>
      <w:r w:rsidR="00CA7989" w:rsidRPr="0048782A">
        <w:rPr>
          <w:rFonts w:ascii="Times New Roman" w:eastAsia="Times New Roman" w:hAnsi="Times New Roman"/>
          <w:kern w:val="0"/>
          <w:lang w:eastAsia="en-GB"/>
        </w:rPr>
        <w:t xml:space="preserve">eneral </w:t>
      </w:r>
      <w:r w:rsidRPr="0048782A">
        <w:rPr>
          <w:rFonts w:ascii="Times New Roman" w:eastAsia="Times New Roman" w:hAnsi="Times New Roman"/>
          <w:kern w:val="0"/>
          <w:lang w:eastAsia="en-GB"/>
        </w:rPr>
        <w:t>P</w:t>
      </w:r>
      <w:r w:rsidR="00CA7989" w:rsidRPr="0048782A">
        <w:rPr>
          <w:rFonts w:ascii="Times New Roman" w:eastAsia="Times New Roman" w:hAnsi="Times New Roman"/>
          <w:kern w:val="0"/>
          <w:lang w:eastAsia="en-GB"/>
        </w:rPr>
        <w:t>ractitioner</w:t>
      </w:r>
      <w:r w:rsidRPr="0048782A">
        <w:rPr>
          <w:rFonts w:ascii="Times New Roman" w:eastAsia="Times New Roman" w:hAnsi="Times New Roman"/>
          <w:kern w:val="0"/>
          <w:lang w:eastAsia="en-GB"/>
        </w:rPr>
        <w:t xml:space="preserve">s, nurses, and community health workers are now expected to interpret </w:t>
      </w:r>
      <w:r w:rsidR="006E55C7" w:rsidRPr="0048782A">
        <w:rPr>
          <w:rFonts w:ascii="Times New Roman" w:eastAsia="Times New Roman" w:hAnsi="Times New Roman"/>
          <w:kern w:val="0"/>
          <w:lang w:eastAsia="en-GB"/>
        </w:rPr>
        <w:t>electrocardiogram</w:t>
      </w:r>
      <w:r w:rsidR="00A662C8" w:rsidRPr="0048782A">
        <w:rPr>
          <w:rFonts w:ascii="Times New Roman" w:eastAsia="Times New Roman" w:hAnsi="Times New Roman"/>
          <w:kern w:val="0"/>
          <w:lang w:eastAsia="en-GB"/>
        </w:rPr>
        <w:t xml:space="preserve"> (ECG)</w:t>
      </w:r>
      <w:r w:rsidRPr="0048782A">
        <w:rPr>
          <w:rFonts w:ascii="Times New Roman" w:eastAsia="Times New Roman" w:hAnsi="Times New Roman"/>
          <w:kern w:val="0"/>
          <w:lang w:eastAsia="en-GB"/>
        </w:rPr>
        <w:t xml:space="preserve"> readings generated by patients, guide them on how to use the device, and incorporate this data into clinical decisions. Tasks that were once the domain of secondary care such as basic ECG interpretation are increasingly being carried out in community and outpatient settings (Topol, 2019).</w:t>
      </w:r>
      <w:r w:rsidR="00FC6065"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Th</w:t>
      </w:r>
      <w:r w:rsidR="0073589B" w:rsidRPr="0048782A">
        <w:rPr>
          <w:rFonts w:ascii="Times New Roman" w:eastAsia="Times New Roman" w:hAnsi="Times New Roman"/>
          <w:kern w:val="0"/>
          <w:lang w:eastAsia="en-GB"/>
        </w:rPr>
        <w:t>is</w:t>
      </w:r>
      <w:r w:rsidRPr="0048782A">
        <w:rPr>
          <w:rFonts w:ascii="Times New Roman" w:eastAsia="Times New Roman" w:hAnsi="Times New Roman"/>
          <w:kern w:val="0"/>
          <w:lang w:eastAsia="en-GB"/>
        </w:rPr>
        <w:t xml:space="preserve"> shift</w:t>
      </w:r>
      <w:r w:rsidR="004B12BF" w:rsidRPr="0048782A">
        <w:rPr>
          <w:rFonts w:ascii="Times New Roman" w:eastAsia="Times New Roman" w:hAnsi="Times New Roman"/>
          <w:kern w:val="0"/>
          <w:lang w:eastAsia="en-GB"/>
        </w:rPr>
        <w:t xml:space="preserve"> in advanced medical devices</w:t>
      </w:r>
      <w:r w:rsidRPr="0048782A">
        <w:rPr>
          <w:rFonts w:ascii="Times New Roman" w:eastAsia="Times New Roman" w:hAnsi="Times New Roman"/>
          <w:kern w:val="0"/>
          <w:lang w:eastAsia="en-GB"/>
        </w:rPr>
        <w:t xml:space="preserve"> helps make better use of specialist resources, but it also means that frontline staff must be equipped to manage clinical data collected outside traditional environments often in real time and with patients who are more digitally engaged.</w:t>
      </w:r>
      <w:r w:rsidR="00FC6065"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KardiaMobile also brings to light the growing importance of digital literacy across the healthcare workforce. Clinicians now need to do more than understand clinical guidelines they must be confident using mobile health technologies, assessing the reliability of digital outputs, and responding appropriately to what the data shows. Competency now includes the ability to troubleshoot tech</w:t>
      </w:r>
      <w:r w:rsidR="00CE3FFA" w:rsidRPr="0048782A">
        <w:rPr>
          <w:rFonts w:ascii="Times New Roman" w:eastAsia="Times New Roman" w:hAnsi="Times New Roman"/>
          <w:kern w:val="0"/>
          <w:lang w:eastAsia="en-GB"/>
        </w:rPr>
        <w:t xml:space="preserve">nological </w:t>
      </w:r>
      <w:r w:rsidRPr="0048782A">
        <w:rPr>
          <w:rFonts w:ascii="Times New Roman" w:eastAsia="Times New Roman" w:hAnsi="Times New Roman"/>
          <w:kern w:val="0"/>
          <w:lang w:eastAsia="en-GB"/>
        </w:rPr>
        <w:t>issues and communicate clearly with patients who are actively involved in their own care.</w:t>
      </w:r>
      <w:r w:rsidR="00CE3FFA"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To support this shift, training programmes are evolving to include modules on digital health tools. But without proper support and ongoing professional development, there’s a risk that technology could be underused</w:t>
      </w:r>
      <w:r w:rsidR="00CE3FFA"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misused leading to clinical errors or missed opportunities (Health Education England, 2021).</w:t>
      </w:r>
    </w:p>
    <w:p w14:paraId="79063DFA" w14:textId="77777777" w:rsidR="00A7473F" w:rsidRPr="00F05554" w:rsidRDefault="00A7473F" w:rsidP="008375B5">
      <w:pPr>
        <w:spacing w:line="360" w:lineRule="auto"/>
        <w:rPr>
          <w:rFonts w:ascii="Arial" w:hAnsi="Arial" w:cs="Arial"/>
          <w:color w:val="0070C0"/>
          <w:sz w:val="40"/>
          <w:szCs w:val="40"/>
        </w:rPr>
      </w:pPr>
    </w:p>
    <w:p w14:paraId="78BF621E" w14:textId="77777777" w:rsidR="00C80D0F" w:rsidRDefault="00C80D0F" w:rsidP="008375B5">
      <w:pPr>
        <w:spacing w:line="360" w:lineRule="auto"/>
        <w:rPr>
          <w:rFonts w:ascii="Arial" w:hAnsi="Arial" w:cs="Arial"/>
          <w:sz w:val="40"/>
          <w:szCs w:val="40"/>
        </w:rPr>
      </w:pPr>
    </w:p>
    <w:p w14:paraId="6ACF5157" w14:textId="77777777" w:rsidR="00CE3FFA" w:rsidRDefault="00CE3FFA" w:rsidP="008375B5">
      <w:pPr>
        <w:spacing w:line="360" w:lineRule="auto"/>
        <w:rPr>
          <w:rFonts w:ascii="Times New Roman" w:hAnsi="Times New Roman"/>
          <w:sz w:val="40"/>
          <w:szCs w:val="40"/>
        </w:rPr>
      </w:pPr>
    </w:p>
    <w:p w14:paraId="476D14A8" w14:textId="77777777" w:rsidR="009C36B8" w:rsidRDefault="009C36B8" w:rsidP="008375B5">
      <w:pPr>
        <w:spacing w:line="360" w:lineRule="auto"/>
        <w:rPr>
          <w:rFonts w:ascii="Times New Roman" w:hAnsi="Times New Roman"/>
          <w:sz w:val="40"/>
          <w:szCs w:val="40"/>
        </w:rPr>
      </w:pPr>
    </w:p>
    <w:p w14:paraId="278A04D2" w14:textId="77777777" w:rsidR="009C36B8" w:rsidRDefault="009C36B8" w:rsidP="008375B5">
      <w:pPr>
        <w:spacing w:line="360" w:lineRule="auto"/>
        <w:rPr>
          <w:rFonts w:ascii="Times New Roman" w:hAnsi="Times New Roman"/>
          <w:sz w:val="40"/>
          <w:szCs w:val="40"/>
        </w:rPr>
      </w:pPr>
    </w:p>
    <w:p w14:paraId="77CE9281" w14:textId="77777777" w:rsidR="009C36B8" w:rsidRDefault="009C36B8" w:rsidP="008375B5">
      <w:pPr>
        <w:spacing w:line="360" w:lineRule="auto"/>
        <w:rPr>
          <w:rFonts w:ascii="Times New Roman" w:hAnsi="Times New Roman"/>
          <w:sz w:val="40"/>
          <w:szCs w:val="40"/>
        </w:rPr>
      </w:pPr>
    </w:p>
    <w:p w14:paraId="44F94ED1" w14:textId="77777777" w:rsidR="009C36B8" w:rsidRPr="00545E43" w:rsidRDefault="009C36B8" w:rsidP="008375B5">
      <w:pPr>
        <w:spacing w:line="360" w:lineRule="auto"/>
        <w:rPr>
          <w:rFonts w:ascii="Times New Roman" w:hAnsi="Times New Roman"/>
          <w:sz w:val="40"/>
          <w:szCs w:val="40"/>
        </w:rPr>
      </w:pPr>
    </w:p>
    <w:p w14:paraId="61241919" w14:textId="7D064E54" w:rsidR="00C80D0F" w:rsidRPr="00545E43" w:rsidRDefault="00C80D0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 xml:space="preserve">Impact on </w:t>
      </w:r>
      <w:r w:rsidR="00545E43">
        <w:rPr>
          <w:rFonts w:ascii="Times New Roman" w:hAnsi="Times New Roman"/>
          <w:b/>
          <w:bCs/>
          <w:sz w:val="40"/>
          <w:szCs w:val="40"/>
          <w:u w:val="single"/>
        </w:rPr>
        <w:t>S</w:t>
      </w:r>
      <w:r w:rsidRPr="00545E43">
        <w:rPr>
          <w:rFonts w:ascii="Times New Roman" w:hAnsi="Times New Roman"/>
          <w:b/>
          <w:bCs/>
          <w:sz w:val="40"/>
          <w:szCs w:val="40"/>
          <w:u w:val="single"/>
        </w:rPr>
        <w:t xml:space="preserve">ervice </w:t>
      </w:r>
      <w:r w:rsidR="00545E43">
        <w:rPr>
          <w:rFonts w:ascii="Times New Roman" w:hAnsi="Times New Roman"/>
          <w:b/>
          <w:bCs/>
          <w:sz w:val="40"/>
          <w:szCs w:val="40"/>
          <w:u w:val="single"/>
        </w:rPr>
        <w:t>D</w:t>
      </w:r>
      <w:r w:rsidRPr="00545E43">
        <w:rPr>
          <w:rFonts w:ascii="Times New Roman" w:hAnsi="Times New Roman"/>
          <w:b/>
          <w:bCs/>
          <w:sz w:val="40"/>
          <w:szCs w:val="40"/>
          <w:u w:val="single"/>
        </w:rPr>
        <w:t xml:space="preserve">elivery </w:t>
      </w:r>
    </w:p>
    <w:p w14:paraId="507C016B" w14:textId="369FECE7" w:rsidR="007F1ABA" w:rsidRPr="0048782A" w:rsidRDefault="007F1ABA" w:rsidP="007F1ABA">
      <w:pPr>
        <w:spacing w:before="100" w:beforeAutospacing="1" w:after="100" w:afterAutospacing="1" w:line="240" w:lineRule="auto"/>
        <w:rPr>
          <w:rFonts w:ascii="Times New Roman" w:eastAsia="Times New Roman" w:hAnsi="Times New Roman"/>
          <w:kern w:val="0"/>
          <w:lang w:eastAsia="en-GB"/>
        </w:rPr>
      </w:pPr>
      <w:r w:rsidRPr="0048782A">
        <w:rPr>
          <w:rFonts w:ascii="Times New Roman" w:eastAsia="Times New Roman" w:hAnsi="Times New Roman"/>
          <w:kern w:val="0"/>
          <w:lang w:eastAsia="en-GB"/>
        </w:rPr>
        <w:t>The integration of KardiaMobile into everyday clinical practice is reshaping how cardiovascular care is delivered especially in primary care and outpatient settings. As a portable ECG device that connects to smartphones, it</w:t>
      </w:r>
      <w:r w:rsidR="007C0870" w:rsidRPr="0048782A">
        <w:rPr>
          <w:rFonts w:ascii="Times New Roman" w:eastAsia="Times New Roman" w:hAnsi="Times New Roman"/>
          <w:kern w:val="0"/>
          <w:lang w:eastAsia="en-GB"/>
        </w:rPr>
        <w:t xml:space="preserve"> has</w:t>
      </w:r>
      <w:r w:rsidRPr="0048782A">
        <w:rPr>
          <w:rFonts w:ascii="Times New Roman" w:eastAsia="Times New Roman" w:hAnsi="Times New Roman"/>
          <w:kern w:val="0"/>
          <w:lang w:eastAsia="en-GB"/>
        </w:rPr>
        <w:t xml:space="preserve"> </w:t>
      </w:r>
      <w:r w:rsidR="00337798" w:rsidRPr="0048782A">
        <w:rPr>
          <w:rFonts w:ascii="Times New Roman" w:eastAsia="Times New Roman" w:hAnsi="Times New Roman"/>
          <w:kern w:val="0"/>
          <w:lang w:eastAsia="en-GB"/>
        </w:rPr>
        <w:t>assisted</w:t>
      </w:r>
      <w:r w:rsidR="003808E7" w:rsidRPr="0048782A">
        <w:rPr>
          <w:rFonts w:ascii="Times New Roman" w:eastAsia="Times New Roman" w:hAnsi="Times New Roman"/>
          <w:kern w:val="0"/>
          <w:lang w:eastAsia="en-GB"/>
        </w:rPr>
        <w:t xml:space="preserve"> with</w:t>
      </w:r>
      <w:r w:rsidRPr="0048782A">
        <w:rPr>
          <w:rFonts w:ascii="Times New Roman" w:eastAsia="Times New Roman" w:hAnsi="Times New Roman"/>
          <w:kern w:val="0"/>
          <w:lang w:eastAsia="en-GB"/>
        </w:rPr>
        <w:t xml:space="preserve"> shift</w:t>
      </w:r>
      <w:r w:rsidR="003808E7" w:rsidRPr="0048782A">
        <w:rPr>
          <w:rFonts w:ascii="Times New Roman" w:eastAsia="Times New Roman" w:hAnsi="Times New Roman"/>
          <w:kern w:val="0"/>
          <w:lang w:eastAsia="en-GB"/>
        </w:rPr>
        <w:t>ing</w:t>
      </w:r>
      <w:r w:rsidRPr="0048782A">
        <w:rPr>
          <w:rFonts w:ascii="Times New Roman" w:eastAsia="Times New Roman" w:hAnsi="Times New Roman"/>
          <w:kern w:val="0"/>
          <w:lang w:eastAsia="en-GB"/>
        </w:rPr>
        <w:t xml:space="preserve"> certain diagnostic tasks out of hospital environments and into the hands of patients and community-based healthcare professionals.</w:t>
      </w:r>
      <w:r w:rsidR="00431C66"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In the past, patients experiencing symptoms of arrhythmia</w:t>
      </w:r>
      <w:r w:rsidR="00FC7146" w:rsidRPr="0048782A">
        <w:rPr>
          <w:rFonts w:ascii="Times New Roman" w:eastAsia="Times New Roman" w:hAnsi="Times New Roman"/>
          <w:kern w:val="0"/>
          <w:lang w:eastAsia="en-GB"/>
        </w:rPr>
        <w:t xml:space="preserve"> (</w:t>
      </w:r>
      <w:r w:rsidR="00FC7146" w:rsidRPr="0048782A">
        <w:rPr>
          <w:rFonts w:ascii="Times New Roman" w:eastAsia="Times New Roman" w:hAnsi="Times New Roman"/>
          <w:kern w:val="0"/>
          <w:lang w:eastAsia="en-GB"/>
        </w:rPr>
        <w:t>when your heart beats too quickly or too slowly or your heartbeat is not steady</w:t>
      </w:r>
      <w:r w:rsidR="00FC7146" w:rsidRPr="0048782A">
        <w:rPr>
          <w:rFonts w:ascii="Times New Roman" w:eastAsia="Times New Roman" w:hAnsi="Times New Roman"/>
          <w:kern w:val="0"/>
          <w:lang w:eastAsia="en-GB"/>
        </w:rPr>
        <w:t>)</w:t>
      </w:r>
      <w:r w:rsidRPr="0048782A">
        <w:rPr>
          <w:rFonts w:ascii="Times New Roman" w:eastAsia="Times New Roman" w:hAnsi="Times New Roman"/>
          <w:kern w:val="0"/>
          <w:lang w:eastAsia="en-GB"/>
        </w:rPr>
        <w:t xml:space="preserve"> would typically need to attend a hospital or specialist clinic for ECG testing. Now, with KardiaMobile, they can record heart readings at home or during a routine GP visit often while symptoms are still present. These readings can be shared remotely with clinicians, allowing for faster identification of conditions like atrial fibrillation and earlier medical intervention (NHS England, 2022).</w:t>
      </w:r>
      <w:r w:rsidR="00A83C75"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This approach supports the NHS’s broader digital transformation goals</w:t>
      </w:r>
      <w:r w:rsidR="00A83C75" w:rsidRPr="0048782A">
        <w:rPr>
          <w:rFonts w:ascii="Times New Roman" w:eastAsia="Times New Roman" w:hAnsi="Times New Roman"/>
          <w:kern w:val="0"/>
          <w:lang w:eastAsia="en-GB"/>
        </w:rPr>
        <w:t xml:space="preserve"> which includes </w:t>
      </w:r>
      <w:r w:rsidRPr="0048782A">
        <w:rPr>
          <w:rFonts w:ascii="Times New Roman" w:eastAsia="Times New Roman" w:hAnsi="Times New Roman"/>
          <w:kern w:val="0"/>
          <w:lang w:eastAsia="en-GB"/>
        </w:rPr>
        <w:t>reducing waiting times, avoiding unnecessary hospital visits, and improving access to diagnostic services.</w:t>
      </w:r>
      <w:r w:rsidR="00A83C75"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 xml:space="preserve">Remote monitoring through KardiaMobile is helping to ease the burden on cardiology departments by reducing non-urgent referrals. This </w:t>
      </w:r>
      <w:r w:rsidR="00FA6EE8" w:rsidRPr="0048782A">
        <w:rPr>
          <w:rFonts w:ascii="Times New Roman" w:eastAsia="Times New Roman" w:hAnsi="Times New Roman"/>
          <w:kern w:val="0"/>
          <w:lang w:eastAsia="en-GB"/>
        </w:rPr>
        <w:t>reduces the strain on</w:t>
      </w:r>
      <w:r w:rsidRPr="0048782A">
        <w:rPr>
          <w:rFonts w:ascii="Times New Roman" w:eastAsia="Times New Roman" w:hAnsi="Times New Roman"/>
          <w:kern w:val="0"/>
          <w:lang w:eastAsia="en-GB"/>
        </w:rPr>
        <w:t xml:space="preserve"> hospital resources for more complex or acute cases and supports the NHS Long Term Plan’s commitment to delivering care closer to home and reducing reliance on hospital-based services (NHS England, 2019).</w:t>
      </w:r>
      <w:r w:rsidR="00FA6EE8"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 xml:space="preserve">KardiaMobile also encourages a more patient-centred model of care. By giving </w:t>
      </w:r>
      <w:r w:rsidR="0005327D" w:rsidRPr="0048782A">
        <w:rPr>
          <w:rFonts w:ascii="Times New Roman" w:eastAsia="Times New Roman" w:hAnsi="Times New Roman"/>
          <w:kern w:val="0"/>
          <w:lang w:eastAsia="en-GB"/>
        </w:rPr>
        <w:t>individuals,</w:t>
      </w:r>
      <w:r w:rsidR="001E4B64"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the tools to monitor their heart health, it fosters greater engagement and a sense of ownership over their condition. This can lead to better adherence to treatment plans and more proactive health behaviours especially important for managing long-term conditions like atrial fibrillation.</w:t>
      </w:r>
      <w:r w:rsidR="00973D86" w:rsidRPr="0048782A">
        <w:rPr>
          <w:rFonts w:ascii="Times New Roman" w:eastAsia="Times New Roman" w:hAnsi="Times New Roman"/>
          <w:kern w:val="0"/>
          <w:lang w:eastAsia="en-GB"/>
        </w:rPr>
        <w:t xml:space="preserve"> </w:t>
      </w:r>
      <w:r w:rsidR="0005327D" w:rsidRPr="0048782A">
        <w:rPr>
          <w:rFonts w:ascii="Times New Roman" w:eastAsia="Times New Roman" w:hAnsi="Times New Roman"/>
          <w:kern w:val="0"/>
          <w:lang w:eastAsia="en-GB"/>
        </w:rPr>
        <w:t>Cl</w:t>
      </w:r>
      <w:r w:rsidRPr="0048782A">
        <w:rPr>
          <w:rFonts w:ascii="Times New Roman" w:eastAsia="Times New Roman" w:hAnsi="Times New Roman"/>
          <w:kern w:val="0"/>
          <w:lang w:eastAsia="en-GB"/>
        </w:rPr>
        <w:t>ear communication and digital support are essential to ensure patients understand how to use the device correctly and interpret results safely. Without this, there’s a risk of confusion or mismanagement, which could undermine the benefits of the technology.</w:t>
      </w:r>
    </w:p>
    <w:p w14:paraId="082B26D4" w14:textId="77777777" w:rsidR="007F1ABA" w:rsidRPr="00F05554" w:rsidRDefault="007F1ABA" w:rsidP="008375B5">
      <w:pPr>
        <w:spacing w:line="360" w:lineRule="auto"/>
        <w:rPr>
          <w:rFonts w:ascii="Arial" w:hAnsi="Arial" w:cs="Arial"/>
          <w:color w:val="0070C0"/>
          <w:sz w:val="40"/>
          <w:szCs w:val="40"/>
        </w:rPr>
      </w:pPr>
    </w:p>
    <w:p w14:paraId="7E1D5428" w14:textId="77777777" w:rsidR="00C80D0F" w:rsidRDefault="00C80D0F" w:rsidP="008375B5">
      <w:pPr>
        <w:spacing w:line="360" w:lineRule="auto"/>
        <w:rPr>
          <w:rFonts w:ascii="Arial" w:hAnsi="Arial" w:cs="Arial"/>
          <w:sz w:val="40"/>
          <w:szCs w:val="40"/>
        </w:rPr>
      </w:pPr>
    </w:p>
    <w:p w14:paraId="71ACA535" w14:textId="77777777" w:rsidR="009C36B8" w:rsidRDefault="009C36B8" w:rsidP="008375B5">
      <w:pPr>
        <w:spacing w:line="360" w:lineRule="auto"/>
        <w:rPr>
          <w:rFonts w:ascii="Arial" w:hAnsi="Arial" w:cs="Arial"/>
          <w:sz w:val="40"/>
          <w:szCs w:val="40"/>
        </w:rPr>
      </w:pPr>
    </w:p>
    <w:p w14:paraId="5DAAE203" w14:textId="77777777" w:rsidR="009C36B8" w:rsidRDefault="009C36B8" w:rsidP="008375B5">
      <w:pPr>
        <w:spacing w:line="360" w:lineRule="auto"/>
        <w:rPr>
          <w:rFonts w:ascii="Arial" w:hAnsi="Arial" w:cs="Arial"/>
          <w:sz w:val="40"/>
          <w:szCs w:val="40"/>
        </w:rPr>
      </w:pPr>
    </w:p>
    <w:p w14:paraId="3D188A31" w14:textId="77777777" w:rsidR="009C36B8" w:rsidRDefault="009C36B8" w:rsidP="008375B5">
      <w:pPr>
        <w:spacing w:line="360" w:lineRule="auto"/>
        <w:rPr>
          <w:rFonts w:ascii="Arial" w:hAnsi="Arial" w:cs="Arial"/>
          <w:sz w:val="40"/>
          <w:szCs w:val="40"/>
        </w:rPr>
      </w:pPr>
    </w:p>
    <w:p w14:paraId="79C87033" w14:textId="77777777" w:rsidR="009C36B8" w:rsidRDefault="009C36B8" w:rsidP="008375B5">
      <w:pPr>
        <w:spacing w:line="360" w:lineRule="auto"/>
        <w:rPr>
          <w:rFonts w:ascii="Arial" w:hAnsi="Arial" w:cs="Arial"/>
          <w:sz w:val="40"/>
          <w:szCs w:val="40"/>
        </w:rPr>
      </w:pPr>
    </w:p>
    <w:p w14:paraId="14D12E6A" w14:textId="77777777" w:rsidR="00766469" w:rsidRPr="00F05554" w:rsidRDefault="00766469" w:rsidP="008375B5">
      <w:pPr>
        <w:spacing w:line="360" w:lineRule="auto"/>
        <w:rPr>
          <w:rFonts w:ascii="Arial" w:hAnsi="Arial" w:cs="Arial"/>
          <w:sz w:val="40"/>
          <w:szCs w:val="40"/>
        </w:rPr>
      </w:pPr>
    </w:p>
    <w:p w14:paraId="46327300" w14:textId="42D9A53F" w:rsidR="00C80D0F" w:rsidRPr="00545E43" w:rsidRDefault="00C80D0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 xml:space="preserve">Impact on </w:t>
      </w:r>
      <w:r w:rsidR="00545E43">
        <w:rPr>
          <w:rFonts w:ascii="Times New Roman" w:hAnsi="Times New Roman"/>
          <w:b/>
          <w:bCs/>
          <w:sz w:val="40"/>
          <w:szCs w:val="40"/>
          <w:u w:val="single"/>
        </w:rPr>
        <w:t>P</w:t>
      </w:r>
      <w:r w:rsidRPr="00545E43">
        <w:rPr>
          <w:rFonts w:ascii="Times New Roman" w:hAnsi="Times New Roman"/>
          <w:b/>
          <w:bCs/>
          <w:sz w:val="40"/>
          <w:szCs w:val="40"/>
          <w:u w:val="single"/>
        </w:rPr>
        <w:t xml:space="preserve">atients </w:t>
      </w:r>
    </w:p>
    <w:p w14:paraId="6B605D18" w14:textId="77777777" w:rsidR="00592D49" w:rsidRPr="0048782A" w:rsidRDefault="007F1ABA" w:rsidP="007F1ABA">
      <w:pPr>
        <w:spacing w:before="100" w:beforeAutospacing="1" w:after="100" w:afterAutospacing="1" w:line="240" w:lineRule="auto"/>
        <w:rPr>
          <w:rFonts w:ascii="Times New Roman" w:eastAsia="Times New Roman" w:hAnsi="Times New Roman"/>
          <w:kern w:val="0"/>
          <w:lang w:eastAsia="en-GB"/>
        </w:rPr>
      </w:pPr>
      <w:r w:rsidRPr="0048782A">
        <w:rPr>
          <w:rFonts w:ascii="Times New Roman" w:eastAsia="Times New Roman" w:hAnsi="Times New Roman"/>
          <w:kern w:val="0"/>
          <w:lang w:eastAsia="en-GB"/>
        </w:rPr>
        <w:t>The integration of KardiaMobile into healthcare services is changing how patients experience and engage with their care. As a patient-facing digital health tool, it offers individuals more control over managing heart conditions promoting autonomy, confidence, and a stronger sense of involvement. At the same time, it introduces new challenges, especially for those who may struggle with digital technology or interpreting medical data.</w:t>
      </w:r>
      <w:r w:rsidR="0040002C"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KardiaMobile enables patients to take medical-grade ECGs from the comfort of their own home, often during or shortly after experiencing symptoms. For those living with long-term or intermittent cardiac conditions like atrial fibrillation, this can be deeply reassuring. It reduces the need to wait for appointments or travel to clinics, helping patients feel more in control of their health and less anxious about their symptoms (Lau et al., 2022).</w:t>
      </w:r>
      <w:r w:rsidR="003521C6" w:rsidRPr="0048782A">
        <w:rPr>
          <w:rFonts w:ascii="Times New Roman" w:eastAsia="Times New Roman" w:hAnsi="Times New Roman"/>
          <w:kern w:val="0"/>
          <w:lang w:eastAsia="en-GB"/>
        </w:rPr>
        <w:t xml:space="preserve"> Kardia</w:t>
      </w:r>
      <w:r w:rsidR="008F640D" w:rsidRPr="0048782A">
        <w:rPr>
          <w:rFonts w:ascii="Times New Roman" w:eastAsia="Times New Roman" w:hAnsi="Times New Roman"/>
          <w:kern w:val="0"/>
          <w:lang w:eastAsia="en-GB"/>
        </w:rPr>
        <w:t>Mobile</w:t>
      </w:r>
      <w:r w:rsidRPr="0048782A">
        <w:rPr>
          <w:rFonts w:ascii="Times New Roman" w:eastAsia="Times New Roman" w:hAnsi="Times New Roman"/>
          <w:kern w:val="0"/>
          <w:lang w:eastAsia="en-GB"/>
        </w:rPr>
        <w:t xml:space="preserve"> is portable and easy</w:t>
      </w:r>
      <w:r w:rsidR="008F640D" w:rsidRPr="0048782A">
        <w:rPr>
          <w:rFonts w:ascii="Times New Roman" w:eastAsia="Times New Roman" w:hAnsi="Times New Roman"/>
          <w:kern w:val="0"/>
          <w:lang w:eastAsia="en-GB"/>
        </w:rPr>
        <w:t xml:space="preserve"> device</w:t>
      </w:r>
      <w:r w:rsidRPr="0048782A">
        <w:rPr>
          <w:rFonts w:ascii="Times New Roman" w:eastAsia="Times New Roman" w:hAnsi="Times New Roman"/>
          <w:kern w:val="0"/>
          <w:lang w:eastAsia="en-GB"/>
        </w:rPr>
        <w:t xml:space="preserve"> to use, </w:t>
      </w:r>
      <w:r w:rsidR="008F640D" w:rsidRPr="0048782A">
        <w:rPr>
          <w:rFonts w:ascii="Times New Roman" w:eastAsia="Times New Roman" w:hAnsi="Times New Roman"/>
          <w:kern w:val="0"/>
          <w:lang w:eastAsia="en-GB"/>
        </w:rPr>
        <w:t xml:space="preserve">which means that </w:t>
      </w:r>
      <w:r w:rsidRPr="0048782A">
        <w:rPr>
          <w:rFonts w:ascii="Times New Roman" w:eastAsia="Times New Roman" w:hAnsi="Times New Roman"/>
          <w:kern w:val="0"/>
          <w:lang w:eastAsia="en-GB"/>
        </w:rPr>
        <w:t>patients can record ECGs at the exact moment symptoms occur rather than relying on scheduled appointments when symptoms may have passed. This improves diagnostic accuracy and allows clinicians to make faster, more informed decisions. It’s especially beneficial for patients in rural areas or those with mobility challenges, offering a more flexible and accessible approach to care.</w:t>
      </w:r>
      <w:r w:rsidR="008C6789" w:rsidRPr="0048782A">
        <w:rPr>
          <w:rFonts w:ascii="Times New Roman" w:eastAsia="Times New Roman" w:hAnsi="Times New Roman"/>
          <w:kern w:val="0"/>
          <w:lang w:eastAsia="en-GB"/>
        </w:rPr>
        <w:t xml:space="preserve"> </w:t>
      </w:r>
      <w:r w:rsidRPr="0048782A">
        <w:rPr>
          <w:rFonts w:ascii="Times New Roman" w:eastAsia="Times New Roman" w:hAnsi="Times New Roman"/>
          <w:kern w:val="0"/>
          <w:lang w:eastAsia="en-GB"/>
        </w:rPr>
        <w:t>KardiaMobile also supports a more collaborative relationship between patients and healthcare professionals. ECG data can be shared instantly via mobile apps, encouraging shared decision-making and improving communication. Patients feel more informed and actively involved in their care, which has been linked to better health outcomes and higher satisfaction with services (Topol, 2019).</w:t>
      </w:r>
      <w:r w:rsidR="00592D49" w:rsidRPr="0048782A">
        <w:rPr>
          <w:rFonts w:ascii="Times New Roman" w:eastAsia="Times New Roman" w:hAnsi="Times New Roman"/>
          <w:kern w:val="0"/>
          <w:lang w:eastAsia="en-GB"/>
        </w:rPr>
        <w:t xml:space="preserve"> </w:t>
      </w:r>
    </w:p>
    <w:p w14:paraId="66A07340" w14:textId="38D5348E" w:rsidR="007F1ABA" w:rsidRPr="0048782A" w:rsidRDefault="007F1ABA" w:rsidP="007F1ABA">
      <w:pPr>
        <w:spacing w:before="100" w:beforeAutospacing="1" w:after="100" w:afterAutospacing="1" w:line="240" w:lineRule="auto"/>
        <w:rPr>
          <w:rFonts w:ascii="Times New Roman" w:eastAsia="Times New Roman" w:hAnsi="Times New Roman"/>
          <w:kern w:val="0"/>
          <w:lang w:eastAsia="en-GB"/>
        </w:rPr>
      </w:pPr>
      <w:r w:rsidRPr="0048782A">
        <w:rPr>
          <w:rFonts w:ascii="Times New Roman" w:eastAsia="Times New Roman" w:hAnsi="Times New Roman"/>
          <w:kern w:val="0"/>
          <w:lang w:eastAsia="en-GB"/>
        </w:rPr>
        <w:t>Despite these advantages, not all patients find the technology easy to navigate. Older adults or those with limited digital literacy may struggle to operate the device or access results through the app. In some cases, patients may misinterpret readings, leading to unnecessary worry or incorrect assumptions about their condition. This highlights the importance of clear guidance, training, and support when introducing digital tools into patient care ensuring that no one is left behind in the shift towards tech-enabled healthcare.</w:t>
      </w:r>
    </w:p>
    <w:p w14:paraId="7C490A7C" w14:textId="77777777" w:rsidR="007F1ABA" w:rsidRDefault="007F1ABA" w:rsidP="008375B5">
      <w:pPr>
        <w:spacing w:line="360" w:lineRule="auto"/>
        <w:rPr>
          <w:rFonts w:ascii="Arial" w:hAnsi="Arial" w:cs="Arial"/>
          <w:color w:val="0070C0"/>
          <w:sz w:val="40"/>
          <w:szCs w:val="40"/>
        </w:rPr>
      </w:pPr>
    </w:p>
    <w:p w14:paraId="3159EF13" w14:textId="77777777" w:rsidR="00C37486" w:rsidRPr="00F05554" w:rsidRDefault="00C37486" w:rsidP="008375B5">
      <w:pPr>
        <w:spacing w:line="360" w:lineRule="auto"/>
        <w:rPr>
          <w:rFonts w:ascii="Arial" w:hAnsi="Arial" w:cs="Arial"/>
          <w:color w:val="0070C0"/>
          <w:sz w:val="40"/>
          <w:szCs w:val="40"/>
        </w:rPr>
      </w:pPr>
    </w:p>
    <w:p w14:paraId="7E860150" w14:textId="77777777" w:rsidR="00C80D0F" w:rsidRDefault="00C80D0F" w:rsidP="008375B5">
      <w:pPr>
        <w:spacing w:line="360" w:lineRule="auto"/>
        <w:rPr>
          <w:rFonts w:ascii="Times New Roman" w:hAnsi="Times New Roman"/>
          <w:b/>
          <w:bCs/>
          <w:sz w:val="40"/>
          <w:szCs w:val="40"/>
          <w:u w:val="single"/>
        </w:rPr>
      </w:pPr>
    </w:p>
    <w:p w14:paraId="2A35E583" w14:textId="77777777" w:rsidR="009C36B8" w:rsidRDefault="009C36B8" w:rsidP="008375B5">
      <w:pPr>
        <w:spacing w:line="360" w:lineRule="auto"/>
        <w:rPr>
          <w:rFonts w:ascii="Times New Roman" w:hAnsi="Times New Roman"/>
          <w:b/>
          <w:bCs/>
          <w:sz w:val="40"/>
          <w:szCs w:val="40"/>
          <w:u w:val="single"/>
        </w:rPr>
      </w:pPr>
    </w:p>
    <w:p w14:paraId="0DB995BC" w14:textId="77777777" w:rsidR="009C36B8" w:rsidRDefault="009C36B8" w:rsidP="008375B5">
      <w:pPr>
        <w:spacing w:line="360" w:lineRule="auto"/>
        <w:rPr>
          <w:rFonts w:ascii="Times New Roman" w:hAnsi="Times New Roman"/>
          <w:b/>
          <w:bCs/>
          <w:sz w:val="40"/>
          <w:szCs w:val="40"/>
          <w:u w:val="single"/>
        </w:rPr>
      </w:pPr>
    </w:p>
    <w:p w14:paraId="0266947B" w14:textId="77777777" w:rsidR="009C36B8" w:rsidRPr="00545E43" w:rsidRDefault="009C36B8" w:rsidP="008375B5">
      <w:pPr>
        <w:spacing w:line="360" w:lineRule="auto"/>
        <w:rPr>
          <w:rFonts w:ascii="Times New Roman" w:hAnsi="Times New Roman"/>
          <w:b/>
          <w:bCs/>
          <w:sz w:val="40"/>
          <w:szCs w:val="40"/>
          <w:u w:val="single"/>
        </w:rPr>
      </w:pPr>
    </w:p>
    <w:p w14:paraId="75ED4894" w14:textId="082A9DA9" w:rsidR="00C80D0F" w:rsidRPr="00545E43" w:rsidRDefault="00C80D0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 xml:space="preserve">Impact on </w:t>
      </w:r>
      <w:r w:rsidR="00545E43">
        <w:rPr>
          <w:rFonts w:ascii="Times New Roman" w:hAnsi="Times New Roman"/>
          <w:b/>
          <w:bCs/>
          <w:sz w:val="40"/>
          <w:szCs w:val="40"/>
          <w:u w:val="single"/>
        </w:rPr>
        <w:t>C</w:t>
      </w:r>
      <w:r w:rsidRPr="00545E43">
        <w:rPr>
          <w:rFonts w:ascii="Times New Roman" w:hAnsi="Times New Roman"/>
          <w:b/>
          <w:bCs/>
          <w:sz w:val="40"/>
          <w:szCs w:val="40"/>
          <w:u w:val="single"/>
        </w:rPr>
        <w:t xml:space="preserve">ommunity </w:t>
      </w:r>
    </w:p>
    <w:p w14:paraId="47920D50" w14:textId="77777777" w:rsidR="00F01868" w:rsidRPr="0048782A" w:rsidRDefault="00DF7AA5" w:rsidP="00DF7AA5">
      <w:pPr>
        <w:pStyle w:val="NormalWeb"/>
      </w:pPr>
      <w:r w:rsidRPr="0048782A">
        <w:t xml:space="preserve">The adoption of KardiaMobile goes beyond individual patient care it’s helping to reshape the wider healthcare landscape. By supporting a shift from hospital-based services to community settings, improving access for underserved groups, and </w:t>
      </w:r>
      <w:r w:rsidR="002163ED" w:rsidRPr="0048782A">
        <w:t>ensuring</w:t>
      </w:r>
      <w:r w:rsidR="00960729" w:rsidRPr="0048782A">
        <w:t xml:space="preserve"> it is </w:t>
      </w:r>
      <w:r w:rsidR="002163ED" w:rsidRPr="0048782A">
        <w:t>family-inclusive</w:t>
      </w:r>
      <w:r w:rsidRPr="0048782A">
        <w:t>, this technology is contributing to a more inclusive and proactive model of care. It also plays a role in public health efforts by enabling earlier detection and prevention of serious conditions.</w:t>
      </w:r>
    </w:p>
    <w:p w14:paraId="0FFF0E0A" w14:textId="4A60E3E3" w:rsidR="00DF7AA5" w:rsidRPr="0048782A" w:rsidRDefault="00DF7AA5" w:rsidP="00D7595E">
      <w:pPr>
        <w:pStyle w:val="NormalWeb"/>
      </w:pPr>
      <w:r w:rsidRPr="0048782A">
        <w:t>KardiaMobile is helping decentralise healthcare by making diagnostics available in everyday settings GP surgeries, care homes, and even patients’ own homes. This is especially valuable for people in rural or remote areas who may struggle to access specialist hospital services. In line with the NHS’s commitment to providing care “closer to home” (NHS England, 2019), the device allows for quicker interventions without relying on hospital-based equipment or cardiology clinics.</w:t>
      </w:r>
    </w:p>
    <w:p w14:paraId="46CA47E9" w14:textId="73A1DDE9" w:rsidR="00DF7AA5" w:rsidRPr="0048782A" w:rsidRDefault="00DF7AA5" w:rsidP="00DF7AA5">
      <w:pPr>
        <w:pStyle w:val="NormalWeb"/>
      </w:pPr>
      <w:r w:rsidRPr="0048782A">
        <w:t>When patients can monitor their heart health at home, it eases the pressure on family members and carers. They no longer need to coordinate frequent clinic visits, and they gain peace of mind knowing that health data can be accessed and shared quickly. In cases where patients need help using the device such as older adults with cognitive challenges</w:t>
      </w:r>
      <w:r w:rsidR="00446A4B" w:rsidRPr="0048782A">
        <w:t xml:space="preserve">, </w:t>
      </w:r>
      <w:r w:rsidRPr="0048782A">
        <w:t>carers can be trained to support its use, strengthening their role in day-to-day care.</w:t>
      </w:r>
    </w:p>
    <w:p w14:paraId="761F019B" w14:textId="77777777" w:rsidR="00DF7AA5" w:rsidRPr="0048782A" w:rsidRDefault="00DF7AA5" w:rsidP="00DF7AA5">
      <w:pPr>
        <w:pStyle w:val="NormalWeb"/>
      </w:pPr>
      <w:r w:rsidRPr="0048782A">
        <w:t>KardiaMobile also supports public health goals by improving early detection of atrial fibrillation, a leading cause of preventable stroke. Catching this condition early means treatment can begin sooner, reducing the risk of long-term disability or death and easing the financial strain on the healthcare system. Distributing devices more widely in high-risk communities could significantly reduce stroke rates and improve population health outcomes (Jones et al., 2018).</w:t>
      </w:r>
    </w:p>
    <w:p w14:paraId="1FE87EDF" w14:textId="3BBE0080" w:rsidR="00DF7AA5" w:rsidRDefault="00DF7AA5" w:rsidP="00545E43">
      <w:pPr>
        <w:pStyle w:val="NormalWeb"/>
      </w:pPr>
      <w:r w:rsidRPr="0048782A">
        <w:t>The use of KardiaMobile encourages co-production  where patients and professionals work together to manage care. Patients take a more active role in monitoring their health, collecting data, and sharing it with clinicians. This strengthens community engagement and reflects a broader shift towards patient-centred</w:t>
      </w:r>
      <w:r w:rsidR="0081588A" w:rsidRPr="0048782A">
        <w:t xml:space="preserve"> and </w:t>
      </w:r>
      <w:r w:rsidRPr="0048782A">
        <w:t>collaborative healthcare models</w:t>
      </w:r>
      <w:r w:rsidR="0081588A" w:rsidRPr="0048782A">
        <w:t>.</w:t>
      </w:r>
    </w:p>
    <w:p w14:paraId="1B19A2A2" w14:textId="77777777" w:rsidR="00545E43" w:rsidRDefault="00545E43" w:rsidP="00545E43">
      <w:pPr>
        <w:pStyle w:val="NormalWeb"/>
      </w:pPr>
    </w:p>
    <w:p w14:paraId="099A46F2" w14:textId="77777777" w:rsidR="00545E43" w:rsidRDefault="00545E43" w:rsidP="00545E43">
      <w:pPr>
        <w:pStyle w:val="NormalWeb"/>
        <w:rPr>
          <w:b/>
          <w:bCs/>
          <w:u w:val="single"/>
        </w:rPr>
      </w:pPr>
    </w:p>
    <w:p w14:paraId="1D3F8FF4" w14:textId="77777777" w:rsidR="009C36B8" w:rsidRDefault="009C36B8" w:rsidP="00545E43">
      <w:pPr>
        <w:pStyle w:val="NormalWeb"/>
        <w:rPr>
          <w:b/>
          <w:bCs/>
          <w:u w:val="single"/>
        </w:rPr>
      </w:pPr>
    </w:p>
    <w:p w14:paraId="60C5A8DA" w14:textId="77777777" w:rsidR="009C36B8" w:rsidRDefault="009C36B8" w:rsidP="00545E43">
      <w:pPr>
        <w:pStyle w:val="NormalWeb"/>
        <w:rPr>
          <w:b/>
          <w:bCs/>
          <w:u w:val="single"/>
        </w:rPr>
      </w:pPr>
    </w:p>
    <w:p w14:paraId="00C45373" w14:textId="77777777" w:rsidR="009C36B8" w:rsidRDefault="009C36B8" w:rsidP="00545E43">
      <w:pPr>
        <w:pStyle w:val="NormalWeb"/>
        <w:rPr>
          <w:b/>
          <w:bCs/>
          <w:u w:val="single"/>
        </w:rPr>
      </w:pPr>
    </w:p>
    <w:p w14:paraId="5D2A80D0" w14:textId="77777777" w:rsidR="009C36B8" w:rsidRDefault="009C36B8" w:rsidP="00545E43">
      <w:pPr>
        <w:pStyle w:val="NormalWeb"/>
        <w:rPr>
          <w:b/>
          <w:bCs/>
          <w:u w:val="single"/>
        </w:rPr>
      </w:pPr>
    </w:p>
    <w:p w14:paraId="0CA36071" w14:textId="77777777" w:rsidR="009C36B8" w:rsidRPr="00545E43" w:rsidRDefault="009C36B8" w:rsidP="00545E43">
      <w:pPr>
        <w:pStyle w:val="NormalWeb"/>
        <w:rPr>
          <w:b/>
          <w:bCs/>
          <w:u w:val="single"/>
        </w:rPr>
      </w:pPr>
    </w:p>
    <w:p w14:paraId="2CA9E204" w14:textId="7961BD8B" w:rsidR="00C80D0F" w:rsidRPr="00545E43" w:rsidRDefault="00545E43" w:rsidP="00545E43">
      <w:pPr>
        <w:pStyle w:val="NormalWeb"/>
        <w:spacing w:line="360" w:lineRule="auto"/>
        <w:rPr>
          <w:b/>
          <w:bCs/>
          <w:color w:val="000000"/>
          <w:sz w:val="40"/>
          <w:szCs w:val="40"/>
          <w:u w:val="single"/>
        </w:rPr>
      </w:pPr>
      <w:r w:rsidRPr="00545E43">
        <w:rPr>
          <w:b/>
          <w:bCs/>
          <w:color w:val="000000"/>
          <w:sz w:val="40"/>
          <w:szCs w:val="40"/>
          <w:u w:val="single"/>
        </w:rPr>
        <w:lastRenderedPageBreak/>
        <w:t>Impact on Policy and Future Planning</w:t>
      </w:r>
    </w:p>
    <w:p w14:paraId="0C7FEF8F" w14:textId="77777777" w:rsidR="0048782A" w:rsidRPr="0048782A" w:rsidRDefault="0048782A" w:rsidP="0048782A">
      <w:pPr>
        <w:spacing w:line="360" w:lineRule="auto"/>
        <w:rPr>
          <w:rFonts w:ascii="Times New Roman" w:hAnsi="Times New Roman"/>
        </w:rPr>
      </w:pPr>
      <w:r w:rsidRPr="0048782A">
        <w:rPr>
          <w:rFonts w:ascii="Times New Roman" w:hAnsi="Times New Roman"/>
        </w:rPr>
        <w:t>The integration of mobile health technologies such as KardiaMobile has wider implications beyond clinical practice, influencing healthcare policy and long-term strategic planning. National and international frameworks increasingly emphasise the role of digital innovation in improving population health outcomes and ensuring sustainable service delivery. The World Health Organization’s Global Strategy on Digital Health 2020–2025 highlights the importance of embedding digital tools into health systems to enhance equity, resilience, and efficiency (World Health Organization, 2021). Within the UK, professional bodies such as the Royal College of Physicians have identified digital health as a priority for both the NHS and patients, stressing the need for investment in infrastructure, governance, and workforce development to ensure safe and effective implementation (Royal College of Physicians, 2022).</w:t>
      </w:r>
    </w:p>
    <w:p w14:paraId="2315FE9E" w14:textId="77777777" w:rsidR="0048782A" w:rsidRPr="0048782A" w:rsidRDefault="0048782A" w:rsidP="0048782A">
      <w:pPr>
        <w:spacing w:line="360" w:lineRule="auto"/>
        <w:rPr>
          <w:rFonts w:ascii="Times New Roman" w:hAnsi="Times New Roman"/>
        </w:rPr>
      </w:pPr>
      <w:r w:rsidRPr="0048782A">
        <w:rPr>
          <w:rFonts w:ascii="Times New Roman" w:hAnsi="Times New Roman"/>
        </w:rPr>
        <w:t>At the same time, challenges remain in scaling up and sustaining the use of digital technologies. Research by Greenhalgh et al. (2017) shows that barriers such as nonadoption, abandonment, and difficulties in spreading innovations across diverse healthcare settings can limit the impact of new tools. Addressing these challenges requires ongoing support, training, and evaluation to ensure technologies like KardiaMobile are fully integrated into everyday practice. From a patient perspective, organisations such as the British Heart Foundation have emphasised the importance of involving patients in the design and rollout of digital health solutions, ensuring that tools meet real-world needs and do not exacerbate inequalities (British Heart Foundation, 2021).</w:t>
      </w:r>
    </w:p>
    <w:p w14:paraId="2E672154" w14:textId="17C5C16A" w:rsidR="0050244A" w:rsidRPr="00F66FCF" w:rsidRDefault="0048782A" w:rsidP="008375B5">
      <w:pPr>
        <w:spacing w:line="360" w:lineRule="auto"/>
        <w:rPr>
          <w:rFonts w:ascii="Times New Roman" w:hAnsi="Times New Roman"/>
        </w:rPr>
      </w:pPr>
      <w:r w:rsidRPr="0048782A">
        <w:rPr>
          <w:rFonts w:ascii="Times New Roman" w:hAnsi="Times New Roman"/>
        </w:rPr>
        <w:t>By embedding digital health into policy and future planning, the NHS can ensure that innovations such as KardiaMobile not only improve individual patient care but also contribute to broader public health goals, reduce health inequalities, and build a more resilient healthcare system.</w:t>
      </w:r>
    </w:p>
    <w:p w14:paraId="05A42062" w14:textId="77777777" w:rsidR="009C36B8" w:rsidRDefault="009C36B8" w:rsidP="008375B5">
      <w:pPr>
        <w:spacing w:line="360" w:lineRule="auto"/>
        <w:rPr>
          <w:rFonts w:ascii="Times New Roman" w:hAnsi="Times New Roman"/>
          <w:b/>
          <w:bCs/>
          <w:sz w:val="40"/>
          <w:szCs w:val="40"/>
          <w:u w:val="single"/>
        </w:rPr>
      </w:pPr>
    </w:p>
    <w:p w14:paraId="660BC00D" w14:textId="77777777" w:rsidR="009C36B8" w:rsidRDefault="009C36B8" w:rsidP="008375B5">
      <w:pPr>
        <w:spacing w:line="360" w:lineRule="auto"/>
        <w:rPr>
          <w:rFonts w:ascii="Times New Roman" w:hAnsi="Times New Roman"/>
          <w:b/>
          <w:bCs/>
          <w:sz w:val="40"/>
          <w:szCs w:val="40"/>
          <w:u w:val="single"/>
        </w:rPr>
      </w:pPr>
    </w:p>
    <w:p w14:paraId="2F0BF33E" w14:textId="77777777" w:rsidR="009C36B8" w:rsidRDefault="009C36B8" w:rsidP="008375B5">
      <w:pPr>
        <w:spacing w:line="360" w:lineRule="auto"/>
        <w:rPr>
          <w:rFonts w:ascii="Times New Roman" w:hAnsi="Times New Roman"/>
          <w:b/>
          <w:bCs/>
          <w:sz w:val="40"/>
          <w:szCs w:val="40"/>
          <w:u w:val="single"/>
        </w:rPr>
      </w:pPr>
    </w:p>
    <w:p w14:paraId="0C5078D7" w14:textId="6BD3951A" w:rsidR="00C80D0F" w:rsidRPr="00545E43" w:rsidRDefault="00C80D0F" w:rsidP="008375B5">
      <w:pPr>
        <w:spacing w:line="360" w:lineRule="auto"/>
        <w:rPr>
          <w:rFonts w:ascii="Times New Roman" w:hAnsi="Times New Roman"/>
          <w:b/>
          <w:bCs/>
          <w:sz w:val="40"/>
          <w:szCs w:val="40"/>
          <w:u w:val="single"/>
        </w:rPr>
      </w:pPr>
      <w:r w:rsidRPr="00545E43">
        <w:rPr>
          <w:rFonts w:ascii="Times New Roman" w:hAnsi="Times New Roman"/>
          <w:b/>
          <w:bCs/>
          <w:sz w:val="40"/>
          <w:szCs w:val="40"/>
          <w:u w:val="single"/>
        </w:rPr>
        <w:lastRenderedPageBreak/>
        <w:t>Conclusion</w:t>
      </w:r>
    </w:p>
    <w:p w14:paraId="7EC124DB" w14:textId="29F61837" w:rsidR="00A8318C" w:rsidRPr="0048782A" w:rsidRDefault="00A8318C" w:rsidP="00A8318C">
      <w:pPr>
        <w:pStyle w:val="NormalWeb"/>
      </w:pPr>
      <w:r w:rsidRPr="0048782A">
        <w:t>KardiaMobile stands out as a meaningful advancement in mobile health technology</w:t>
      </w:r>
      <w:r w:rsidR="00B634C0" w:rsidRPr="0048782A">
        <w:t xml:space="preserve"> by </w:t>
      </w:r>
      <w:r w:rsidRPr="0048782A">
        <w:t xml:space="preserve">offering rapid, accurate, and user-friendly heart monitoring </w:t>
      </w:r>
      <w:r w:rsidR="00B634C0" w:rsidRPr="0048782A">
        <w:t xml:space="preserve">which </w:t>
      </w:r>
      <w:r w:rsidR="008E6C2C" w:rsidRPr="0048782A">
        <w:t>is deemed as an improvement from</w:t>
      </w:r>
      <w:r w:rsidRPr="0048782A">
        <w:t xml:space="preserve"> traditional clinical settings. Its integration into NHS services has already shown positive outcomes  enabling earlier detection of atrial fibrillation, improving patient safety, and easing pressure on hospital departments.</w:t>
      </w:r>
    </w:p>
    <w:p w14:paraId="52AFE53C" w14:textId="2E4DD00D" w:rsidR="00A8318C" w:rsidRPr="0048782A" w:rsidRDefault="00A8318C" w:rsidP="00A8318C">
      <w:pPr>
        <w:pStyle w:val="NormalWeb"/>
      </w:pPr>
      <w:r w:rsidRPr="0048782A">
        <w:t>Beyond diagnostics, the technology is reshaping the healthcare workforce. Professionals are adapting to new digital responsibilities, while patients are becoming more active participants in their care. This shift supports broader goals around community-based service delivery and public health prevention.</w:t>
      </w:r>
      <w:r w:rsidR="004C7A27">
        <w:t xml:space="preserve"> Significantly</w:t>
      </w:r>
      <w:r w:rsidR="004C7A27" w:rsidRPr="004C7A27">
        <w:t>, the successful adoption of KardiaMobile must also be viewed through the lens of policy and future planning. National and global strategies highlight the need for investment in digital infrastructure, workforce training, and patient-centred design to ensure technologies are implemented safely and equitably.</w:t>
      </w:r>
    </w:p>
    <w:p w14:paraId="2C4C78D2" w14:textId="486B8EB8" w:rsidR="00A8318C" w:rsidRDefault="00A8318C" w:rsidP="000D724B">
      <w:pPr>
        <w:pStyle w:val="NormalWeb"/>
      </w:pPr>
      <w:r w:rsidRPr="0048782A">
        <w:t xml:space="preserve">Ultimately, KardiaMobile illustrates the potential of digital innovation to transform </w:t>
      </w:r>
      <w:r w:rsidR="00F66FCF" w:rsidRPr="0048782A">
        <w:t>healthcare,</w:t>
      </w:r>
      <w:r w:rsidRPr="0048782A">
        <w:t xml:space="preserve"> but its long-term success will depend on sustained investment in staff training, patient education, and </w:t>
      </w:r>
      <w:r w:rsidR="003A3AE2" w:rsidRPr="003A3AE2">
        <w:t>strategic policy support</w:t>
      </w:r>
      <w:r w:rsidRPr="0048782A">
        <w:t>. With the right support, tools like KardiaMobile can help build a more responsive, inclusive, and forward-thinking healthcare system.</w:t>
      </w:r>
    </w:p>
    <w:p w14:paraId="374A6383" w14:textId="77777777" w:rsidR="000D724B" w:rsidRPr="000D724B" w:rsidRDefault="000D724B" w:rsidP="000D724B">
      <w:pPr>
        <w:pStyle w:val="NormalWeb"/>
      </w:pPr>
    </w:p>
    <w:p w14:paraId="06388B3A" w14:textId="77777777" w:rsidR="00C80D0F" w:rsidRPr="00F05554" w:rsidRDefault="008375B5" w:rsidP="008375B5">
      <w:pPr>
        <w:spacing w:line="360" w:lineRule="auto"/>
        <w:rPr>
          <w:rFonts w:ascii="Arial" w:hAnsi="Arial" w:cs="Arial"/>
          <w:sz w:val="40"/>
          <w:szCs w:val="40"/>
        </w:rPr>
      </w:pPr>
      <w:r w:rsidRPr="00F05554">
        <w:rPr>
          <w:rFonts w:ascii="Arial" w:hAnsi="Arial" w:cs="Arial"/>
          <w:sz w:val="40"/>
          <w:szCs w:val="40"/>
        </w:rPr>
        <w:t xml:space="preserve"> </w:t>
      </w:r>
    </w:p>
    <w:p w14:paraId="4241EF9C" w14:textId="77777777" w:rsidR="00C80D0F" w:rsidRPr="00F05554" w:rsidRDefault="00C80D0F" w:rsidP="008375B5">
      <w:pPr>
        <w:spacing w:line="360" w:lineRule="auto"/>
        <w:rPr>
          <w:rFonts w:ascii="Arial" w:hAnsi="Arial" w:cs="Arial"/>
          <w:sz w:val="40"/>
          <w:szCs w:val="40"/>
        </w:rPr>
      </w:pPr>
    </w:p>
    <w:p w14:paraId="76920EB5" w14:textId="77777777" w:rsidR="00C80D0F" w:rsidRPr="00F05554" w:rsidRDefault="00C80D0F" w:rsidP="008375B5">
      <w:pPr>
        <w:spacing w:line="360" w:lineRule="auto"/>
        <w:rPr>
          <w:rFonts w:ascii="Arial" w:hAnsi="Arial" w:cs="Arial"/>
          <w:sz w:val="40"/>
          <w:szCs w:val="40"/>
        </w:rPr>
      </w:pPr>
    </w:p>
    <w:p w14:paraId="5C4B2A31" w14:textId="77777777" w:rsidR="00C80D0F" w:rsidRDefault="00C80D0F" w:rsidP="008375B5">
      <w:pPr>
        <w:spacing w:line="360" w:lineRule="auto"/>
        <w:rPr>
          <w:rFonts w:ascii="Arial" w:hAnsi="Arial" w:cs="Arial"/>
          <w:sz w:val="40"/>
          <w:szCs w:val="40"/>
        </w:rPr>
      </w:pPr>
    </w:p>
    <w:p w14:paraId="49CB3187" w14:textId="77777777" w:rsidR="009C36B8" w:rsidRDefault="009C36B8" w:rsidP="008375B5">
      <w:pPr>
        <w:spacing w:line="360" w:lineRule="auto"/>
        <w:rPr>
          <w:rFonts w:ascii="Arial" w:hAnsi="Arial" w:cs="Arial"/>
          <w:sz w:val="40"/>
          <w:szCs w:val="40"/>
        </w:rPr>
      </w:pPr>
    </w:p>
    <w:p w14:paraId="62D8A1A6" w14:textId="77777777" w:rsidR="009C36B8" w:rsidRDefault="009C36B8" w:rsidP="008375B5">
      <w:pPr>
        <w:spacing w:line="360" w:lineRule="auto"/>
        <w:rPr>
          <w:rFonts w:ascii="Arial" w:hAnsi="Arial" w:cs="Arial"/>
          <w:sz w:val="40"/>
          <w:szCs w:val="40"/>
        </w:rPr>
      </w:pPr>
    </w:p>
    <w:p w14:paraId="0DB9A4DE" w14:textId="77777777" w:rsidR="003A4D40" w:rsidRPr="00F05554" w:rsidRDefault="003A4D40" w:rsidP="008375B5">
      <w:pPr>
        <w:spacing w:line="360" w:lineRule="auto"/>
        <w:rPr>
          <w:rFonts w:ascii="Arial" w:hAnsi="Arial" w:cs="Arial"/>
          <w:sz w:val="40"/>
          <w:szCs w:val="40"/>
        </w:rPr>
      </w:pPr>
    </w:p>
    <w:p w14:paraId="317B5555" w14:textId="77777777" w:rsidR="008375B5" w:rsidRPr="00F05554" w:rsidRDefault="008375B5" w:rsidP="008375B5">
      <w:pPr>
        <w:spacing w:line="360" w:lineRule="auto"/>
        <w:rPr>
          <w:rFonts w:ascii="Arial" w:hAnsi="Arial" w:cs="Arial"/>
          <w:sz w:val="40"/>
          <w:szCs w:val="40"/>
        </w:rPr>
      </w:pPr>
    </w:p>
    <w:p w14:paraId="63857A30" w14:textId="77777777" w:rsidR="008375B5" w:rsidRDefault="008375B5" w:rsidP="008375B5">
      <w:pPr>
        <w:spacing w:line="360" w:lineRule="auto"/>
        <w:rPr>
          <w:rFonts w:ascii="Times New Roman" w:hAnsi="Times New Roman"/>
          <w:b/>
          <w:bCs/>
          <w:sz w:val="40"/>
          <w:szCs w:val="40"/>
          <w:u w:val="single"/>
        </w:rPr>
      </w:pPr>
      <w:r w:rsidRPr="00F66FCF">
        <w:rPr>
          <w:rFonts w:ascii="Times New Roman" w:hAnsi="Times New Roman"/>
          <w:b/>
          <w:bCs/>
          <w:sz w:val="40"/>
          <w:szCs w:val="40"/>
          <w:u w:val="single"/>
        </w:rPr>
        <w:lastRenderedPageBreak/>
        <w:t>References</w:t>
      </w:r>
    </w:p>
    <w:p w14:paraId="6B54672D" w14:textId="77777777" w:rsidR="00515154" w:rsidRPr="00F66FCF" w:rsidRDefault="00515154" w:rsidP="008375B5">
      <w:pPr>
        <w:spacing w:line="360" w:lineRule="auto"/>
        <w:rPr>
          <w:rFonts w:ascii="Times New Roman" w:hAnsi="Times New Roman"/>
          <w:b/>
          <w:bCs/>
          <w:sz w:val="40"/>
          <w:szCs w:val="40"/>
          <w:u w:val="single"/>
        </w:rPr>
      </w:pPr>
    </w:p>
    <w:p w14:paraId="6799D26F" w14:textId="77777777" w:rsidR="00515154" w:rsidRDefault="00EE3BC1" w:rsidP="00FE43BD">
      <w:pPr>
        <w:spacing w:line="360" w:lineRule="auto"/>
        <w:rPr>
          <w:rFonts w:ascii="Arial" w:hAnsi="Arial" w:cs="Arial"/>
          <w:sz w:val="22"/>
          <w:szCs w:val="22"/>
        </w:rPr>
      </w:pPr>
      <w:r w:rsidRPr="00EE3BC1">
        <w:rPr>
          <w:rFonts w:ascii="Arial" w:hAnsi="Arial" w:cs="Arial"/>
          <w:sz w:val="22"/>
          <w:szCs w:val="22"/>
        </w:rPr>
        <w:t xml:space="preserve">British Heart Foundation, 2021. Atrial fibrillation: the patient perspective. [pdf] Available at: </w:t>
      </w:r>
      <w:hyperlink r:id="rId9" w:history="1">
        <w:r w:rsidR="00914605" w:rsidRPr="00C20E08">
          <w:rPr>
            <w:rStyle w:val="Hyperlink"/>
            <w:rFonts w:ascii="Arial" w:hAnsi="Arial" w:cs="Arial"/>
            <w:sz w:val="22"/>
            <w:szCs w:val="22"/>
          </w:rPr>
          <w:t>https://www.bhf.org.uk/-/media/files/atrial-fibrillation-patient-perspective.pdf</w:t>
        </w:r>
      </w:hyperlink>
      <w:r w:rsidR="00914605">
        <w:rPr>
          <w:rFonts w:ascii="Arial" w:hAnsi="Arial" w:cs="Arial"/>
          <w:sz w:val="22"/>
          <w:szCs w:val="22"/>
        </w:rPr>
        <w:t xml:space="preserve"> </w:t>
      </w:r>
      <w:r w:rsidR="00515154">
        <w:rPr>
          <w:rFonts w:ascii="Arial" w:hAnsi="Arial" w:cs="Arial"/>
          <w:sz w:val="22"/>
          <w:szCs w:val="22"/>
        </w:rPr>
        <w:t>(</w:t>
      </w:r>
      <w:r w:rsidR="00515154" w:rsidRPr="00C33B4C">
        <w:rPr>
          <w:rFonts w:ascii="Arial" w:hAnsi="Arial" w:cs="Arial"/>
          <w:sz w:val="22"/>
          <w:szCs w:val="22"/>
        </w:rPr>
        <w:t xml:space="preserve">Accessed </w:t>
      </w:r>
      <w:r w:rsidR="00515154">
        <w:rPr>
          <w:rFonts w:ascii="Arial" w:hAnsi="Arial" w:cs="Arial"/>
          <w:sz w:val="22"/>
          <w:szCs w:val="22"/>
        </w:rPr>
        <w:t>Nov.12.</w:t>
      </w:r>
      <w:r w:rsidR="00515154" w:rsidRPr="00C33B4C">
        <w:rPr>
          <w:rFonts w:ascii="Arial" w:hAnsi="Arial" w:cs="Arial"/>
          <w:sz w:val="22"/>
          <w:szCs w:val="22"/>
        </w:rPr>
        <w:t xml:space="preserve"> 2025</w:t>
      </w:r>
      <w:r w:rsidR="00515154">
        <w:rPr>
          <w:rFonts w:ascii="Arial" w:hAnsi="Arial" w:cs="Arial"/>
          <w:sz w:val="22"/>
          <w:szCs w:val="22"/>
        </w:rPr>
        <w:t>)</w:t>
      </w:r>
      <w:r w:rsidR="00515154" w:rsidRPr="00C33B4C">
        <w:rPr>
          <w:rFonts w:ascii="Arial" w:hAnsi="Arial" w:cs="Arial"/>
          <w:sz w:val="22"/>
          <w:szCs w:val="22"/>
        </w:rPr>
        <w:t>.</w:t>
      </w:r>
    </w:p>
    <w:p w14:paraId="1336BA3E" w14:textId="2FB9024B" w:rsidR="00A17FFE" w:rsidRDefault="00A17FFE" w:rsidP="00FE43BD">
      <w:pPr>
        <w:spacing w:line="360" w:lineRule="auto"/>
        <w:rPr>
          <w:rFonts w:ascii="Arial" w:hAnsi="Arial" w:cs="Arial"/>
          <w:sz w:val="22"/>
          <w:szCs w:val="22"/>
        </w:rPr>
      </w:pPr>
      <w:r w:rsidRPr="00A17FFE">
        <w:rPr>
          <w:rFonts w:ascii="Arial" w:hAnsi="Arial" w:cs="Arial"/>
          <w:sz w:val="22"/>
          <w:szCs w:val="22"/>
        </w:rPr>
        <w:t xml:space="preserve">Greenhalgh, T., </w:t>
      </w:r>
      <w:proofErr w:type="spellStart"/>
      <w:r w:rsidRPr="00A17FFE">
        <w:rPr>
          <w:rFonts w:ascii="Arial" w:hAnsi="Arial" w:cs="Arial"/>
          <w:sz w:val="22"/>
          <w:szCs w:val="22"/>
        </w:rPr>
        <w:t>Wherton</w:t>
      </w:r>
      <w:proofErr w:type="spellEnd"/>
      <w:r w:rsidRPr="00A17FFE">
        <w:rPr>
          <w:rFonts w:ascii="Arial" w:hAnsi="Arial" w:cs="Arial"/>
          <w:sz w:val="22"/>
          <w:szCs w:val="22"/>
        </w:rPr>
        <w:t xml:space="preserve">, J., Papoutsi, C., Lynch, J., and Hughes, G., 2017. </w:t>
      </w:r>
      <w:r w:rsidR="00420BB9" w:rsidRPr="00420BB9">
        <w:rPr>
          <w:rFonts w:ascii="Arial" w:hAnsi="Arial" w:cs="Arial"/>
          <w:sz w:val="22"/>
          <w:szCs w:val="22"/>
        </w:rPr>
        <w:t>Beyond Adoption: A New Framework for Theorizing and Evaluating Nonadoption, Abandonment, and Challenges to the Scale-Up, Spread, and Sustainability of Health and Care Technologies</w:t>
      </w:r>
      <w:r w:rsidR="00420BB9">
        <w:rPr>
          <w:rFonts w:ascii="Arial" w:hAnsi="Arial" w:cs="Arial"/>
          <w:sz w:val="22"/>
          <w:szCs w:val="22"/>
        </w:rPr>
        <w:t xml:space="preserve">. </w:t>
      </w:r>
      <w:proofErr w:type="spellStart"/>
      <w:r w:rsidRPr="00A17FFE">
        <w:rPr>
          <w:rFonts w:ascii="Arial" w:hAnsi="Arial" w:cs="Arial"/>
          <w:sz w:val="22"/>
          <w:szCs w:val="22"/>
        </w:rPr>
        <w:t>Journal</w:t>
      </w:r>
      <w:proofErr w:type="spellEnd"/>
      <w:r w:rsidRPr="00A17FFE">
        <w:rPr>
          <w:rFonts w:ascii="Arial" w:hAnsi="Arial" w:cs="Arial"/>
          <w:sz w:val="22"/>
          <w:szCs w:val="22"/>
        </w:rPr>
        <w:t xml:space="preserve"> of Medical Internet Research, 19(11), e367. Available at:</w:t>
      </w:r>
      <w:r w:rsidR="00AD6522">
        <w:rPr>
          <w:rFonts w:ascii="Arial" w:hAnsi="Arial" w:cs="Arial"/>
          <w:sz w:val="22"/>
          <w:szCs w:val="22"/>
        </w:rPr>
        <w:t xml:space="preserve"> </w:t>
      </w:r>
      <w:hyperlink r:id="rId10" w:history="1">
        <w:r w:rsidR="00BB29BE" w:rsidRPr="00C20E08">
          <w:rPr>
            <w:rStyle w:val="Hyperlink"/>
            <w:rFonts w:ascii="Arial" w:hAnsi="Arial" w:cs="Arial"/>
            <w:sz w:val="22"/>
            <w:szCs w:val="22"/>
          </w:rPr>
          <w:t>https://doi.org/10.2196/jmir.8775</w:t>
        </w:r>
      </w:hyperlink>
      <w:r w:rsidR="00AD6522">
        <w:rPr>
          <w:rFonts w:ascii="Arial" w:hAnsi="Arial" w:cs="Arial"/>
          <w:sz w:val="22"/>
          <w:szCs w:val="22"/>
        </w:rPr>
        <w:t xml:space="preserve"> </w:t>
      </w:r>
      <w:r w:rsidR="00914605">
        <w:rPr>
          <w:rFonts w:ascii="Arial" w:hAnsi="Arial" w:cs="Arial"/>
          <w:sz w:val="22"/>
          <w:szCs w:val="22"/>
        </w:rPr>
        <w:t xml:space="preserve"> </w:t>
      </w:r>
      <w:r w:rsidR="00914605">
        <w:rPr>
          <w:rFonts w:ascii="Arial" w:hAnsi="Arial" w:cs="Arial"/>
          <w:sz w:val="22"/>
          <w:szCs w:val="22"/>
        </w:rPr>
        <w:t>(</w:t>
      </w:r>
      <w:r w:rsidR="00914605" w:rsidRPr="00C33B4C">
        <w:rPr>
          <w:rFonts w:ascii="Arial" w:hAnsi="Arial" w:cs="Arial"/>
          <w:sz w:val="22"/>
          <w:szCs w:val="22"/>
        </w:rPr>
        <w:t xml:space="preserve">Accessed </w:t>
      </w:r>
      <w:r w:rsidR="00515154">
        <w:rPr>
          <w:rFonts w:ascii="Arial" w:hAnsi="Arial" w:cs="Arial"/>
          <w:sz w:val="22"/>
          <w:szCs w:val="22"/>
        </w:rPr>
        <w:t>Nov.12.</w:t>
      </w:r>
      <w:r w:rsidR="00914605" w:rsidRPr="00C33B4C">
        <w:rPr>
          <w:rFonts w:ascii="Arial" w:hAnsi="Arial" w:cs="Arial"/>
          <w:sz w:val="22"/>
          <w:szCs w:val="22"/>
        </w:rPr>
        <w:t xml:space="preserve"> 2025</w:t>
      </w:r>
      <w:r w:rsidR="00914605">
        <w:rPr>
          <w:rFonts w:ascii="Arial" w:hAnsi="Arial" w:cs="Arial"/>
          <w:sz w:val="22"/>
          <w:szCs w:val="22"/>
        </w:rPr>
        <w:t>)</w:t>
      </w:r>
      <w:r w:rsidR="00914605" w:rsidRPr="00C33B4C">
        <w:rPr>
          <w:rFonts w:ascii="Arial" w:hAnsi="Arial" w:cs="Arial"/>
          <w:sz w:val="22"/>
          <w:szCs w:val="22"/>
        </w:rPr>
        <w:t>.</w:t>
      </w:r>
    </w:p>
    <w:p w14:paraId="31BDA8B7" w14:textId="6979FF2F" w:rsidR="00FE43BD" w:rsidRPr="00FE43BD" w:rsidRDefault="00FE43BD" w:rsidP="00FE43BD">
      <w:pPr>
        <w:spacing w:line="360" w:lineRule="auto"/>
        <w:rPr>
          <w:rFonts w:ascii="Arial" w:hAnsi="Arial" w:cs="Arial"/>
          <w:sz w:val="22"/>
          <w:szCs w:val="22"/>
        </w:rPr>
      </w:pPr>
      <w:r w:rsidRPr="00FE43BD">
        <w:rPr>
          <w:rFonts w:ascii="Arial" w:hAnsi="Arial" w:cs="Arial"/>
          <w:sz w:val="22"/>
          <w:szCs w:val="22"/>
        </w:rPr>
        <w:t xml:space="preserve">Health Education England, 2019. The NHS Long Term Plan. Available at: </w:t>
      </w:r>
      <w:hyperlink r:id="rId11" w:history="1">
        <w:r w:rsidR="005D5D41" w:rsidRPr="00C20E08">
          <w:rPr>
            <w:rStyle w:val="Hyperlink"/>
            <w:rFonts w:ascii="Arial" w:hAnsi="Arial" w:cs="Arial"/>
            <w:sz w:val="22"/>
            <w:szCs w:val="22"/>
          </w:rPr>
          <w:t>https://www.longtermplan.nhs.uk/wp-content/uploads/2019/01/nhs-long-term-plan.pdf</w:t>
        </w:r>
      </w:hyperlink>
      <w:r w:rsidR="005D5D41">
        <w:rPr>
          <w:rFonts w:ascii="Arial" w:hAnsi="Arial" w:cs="Arial"/>
          <w:sz w:val="22"/>
          <w:szCs w:val="22"/>
        </w:rPr>
        <w:t xml:space="preserve"> </w:t>
      </w:r>
      <w:r w:rsidR="00515154">
        <w:rPr>
          <w:rFonts w:ascii="Arial" w:hAnsi="Arial" w:cs="Arial"/>
          <w:sz w:val="22"/>
          <w:szCs w:val="22"/>
        </w:rPr>
        <w:t>(</w:t>
      </w:r>
      <w:r w:rsidR="00515154" w:rsidRPr="00FE43BD">
        <w:rPr>
          <w:rFonts w:ascii="Arial" w:hAnsi="Arial" w:cs="Arial"/>
          <w:sz w:val="22"/>
          <w:szCs w:val="22"/>
        </w:rPr>
        <w:t>Accessed</w:t>
      </w:r>
      <w:r w:rsidR="00515154">
        <w:rPr>
          <w:rFonts w:ascii="Arial" w:hAnsi="Arial" w:cs="Arial"/>
          <w:sz w:val="22"/>
          <w:szCs w:val="22"/>
        </w:rPr>
        <w:t>: Oct.12.</w:t>
      </w:r>
      <w:r w:rsidR="00515154" w:rsidRPr="00FE43BD">
        <w:rPr>
          <w:rFonts w:ascii="Arial" w:hAnsi="Arial" w:cs="Arial"/>
          <w:sz w:val="22"/>
          <w:szCs w:val="22"/>
        </w:rPr>
        <w:t>2025</w:t>
      </w:r>
      <w:r w:rsidR="00515154">
        <w:rPr>
          <w:rFonts w:ascii="Arial" w:hAnsi="Arial" w:cs="Arial"/>
          <w:sz w:val="22"/>
          <w:szCs w:val="22"/>
        </w:rPr>
        <w:t>)</w:t>
      </w:r>
      <w:r w:rsidR="00515154" w:rsidRPr="00FE43BD">
        <w:rPr>
          <w:rFonts w:ascii="Arial" w:hAnsi="Arial" w:cs="Arial"/>
          <w:sz w:val="22"/>
          <w:szCs w:val="22"/>
        </w:rPr>
        <w:t>.</w:t>
      </w:r>
    </w:p>
    <w:p w14:paraId="7FA7D903" w14:textId="6489DAFE" w:rsidR="005D5D41" w:rsidRDefault="00FE43BD" w:rsidP="00FE43BD">
      <w:pPr>
        <w:spacing w:line="360" w:lineRule="auto"/>
        <w:rPr>
          <w:rFonts w:ascii="Arial" w:hAnsi="Arial" w:cs="Arial"/>
          <w:sz w:val="22"/>
          <w:szCs w:val="22"/>
        </w:rPr>
      </w:pPr>
      <w:r w:rsidRPr="00FE43BD">
        <w:rPr>
          <w:rFonts w:ascii="Arial" w:hAnsi="Arial" w:cs="Arial"/>
          <w:sz w:val="22"/>
          <w:szCs w:val="22"/>
        </w:rPr>
        <w:t>Health Education England, 2021. Improving digital literacy. Available at:</w:t>
      </w:r>
      <w:r w:rsidR="005D5D41">
        <w:rPr>
          <w:rFonts w:ascii="Arial" w:hAnsi="Arial" w:cs="Arial"/>
          <w:sz w:val="22"/>
          <w:szCs w:val="22"/>
        </w:rPr>
        <w:t xml:space="preserve"> </w:t>
      </w:r>
      <w:hyperlink r:id="rId12" w:history="1">
        <w:r w:rsidR="005D5D41" w:rsidRPr="00C20E08">
          <w:rPr>
            <w:rStyle w:val="Hyperlink"/>
            <w:rFonts w:ascii="Arial" w:hAnsi="Arial" w:cs="Arial"/>
            <w:sz w:val="22"/>
            <w:szCs w:val="22"/>
          </w:rPr>
          <w:t>https://www.rcn.org.uk/-/media/royal-college-of-nursing/documents/clinical-topics/improving-digital-literacy.pdf</w:t>
        </w:r>
      </w:hyperlink>
      <w:r w:rsidR="005D5D41">
        <w:rPr>
          <w:rFonts w:ascii="Arial" w:hAnsi="Arial" w:cs="Arial"/>
          <w:sz w:val="22"/>
          <w:szCs w:val="22"/>
        </w:rPr>
        <w:t xml:space="preserve"> </w:t>
      </w:r>
      <w:r w:rsidR="00515154">
        <w:rPr>
          <w:rFonts w:ascii="Arial" w:hAnsi="Arial" w:cs="Arial"/>
          <w:sz w:val="22"/>
          <w:szCs w:val="22"/>
        </w:rPr>
        <w:t>(</w:t>
      </w:r>
      <w:r w:rsidR="00515154" w:rsidRPr="00FE43BD">
        <w:rPr>
          <w:rFonts w:ascii="Arial" w:hAnsi="Arial" w:cs="Arial"/>
          <w:sz w:val="22"/>
          <w:szCs w:val="22"/>
        </w:rPr>
        <w:t>Accessed</w:t>
      </w:r>
      <w:r w:rsidR="00515154">
        <w:rPr>
          <w:rFonts w:ascii="Arial" w:hAnsi="Arial" w:cs="Arial"/>
          <w:sz w:val="22"/>
          <w:szCs w:val="22"/>
        </w:rPr>
        <w:t>: Oct.12.</w:t>
      </w:r>
      <w:r w:rsidR="00515154" w:rsidRPr="00FE43BD">
        <w:rPr>
          <w:rFonts w:ascii="Arial" w:hAnsi="Arial" w:cs="Arial"/>
          <w:sz w:val="22"/>
          <w:szCs w:val="22"/>
        </w:rPr>
        <w:t>2025</w:t>
      </w:r>
      <w:r w:rsidR="00515154">
        <w:rPr>
          <w:rFonts w:ascii="Arial" w:hAnsi="Arial" w:cs="Arial"/>
          <w:sz w:val="22"/>
          <w:szCs w:val="22"/>
        </w:rPr>
        <w:t>)</w:t>
      </w:r>
      <w:r w:rsidR="00515154" w:rsidRPr="00FE43BD">
        <w:rPr>
          <w:rFonts w:ascii="Arial" w:hAnsi="Arial" w:cs="Arial"/>
          <w:sz w:val="22"/>
          <w:szCs w:val="22"/>
        </w:rPr>
        <w:t>.</w:t>
      </w:r>
    </w:p>
    <w:p w14:paraId="5D491A62" w14:textId="124096FB" w:rsidR="00FE43BD" w:rsidRPr="00FE43BD" w:rsidRDefault="00FE43BD" w:rsidP="00FE43BD">
      <w:pPr>
        <w:spacing w:line="360" w:lineRule="auto"/>
        <w:rPr>
          <w:rFonts w:ascii="Arial" w:hAnsi="Arial" w:cs="Arial"/>
          <w:sz w:val="22"/>
          <w:szCs w:val="22"/>
        </w:rPr>
      </w:pPr>
      <w:r w:rsidRPr="00FE43BD">
        <w:rPr>
          <w:rFonts w:ascii="Arial" w:hAnsi="Arial" w:cs="Arial"/>
          <w:sz w:val="22"/>
          <w:szCs w:val="22"/>
        </w:rPr>
        <w:t>Jones, N.R., Hobbs, F.D.R., and Fitzmaurice, D.A., 2018. Screening for atrial fibrillation: a call for evidence. British Journal of General Practice, 68(676), pp.292–293. Available at:</w:t>
      </w:r>
      <w:r w:rsidR="005D5D41">
        <w:rPr>
          <w:rFonts w:ascii="Arial" w:hAnsi="Arial" w:cs="Arial"/>
          <w:sz w:val="22"/>
          <w:szCs w:val="22"/>
        </w:rPr>
        <w:t xml:space="preserve"> </w:t>
      </w:r>
      <w:hyperlink r:id="rId13" w:history="1">
        <w:r w:rsidR="005D5D41" w:rsidRPr="00C20E08">
          <w:rPr>
            <w:rStyle w:val="Hyperlink"/>
            <w:rFonts w:ascii="Arial" w:hAnsi="Arial" w:cs="Arial"/>
            <w:sz w:val="22"/>
            <w:szCs w:val="22"/>
          </w:rPr>
          <w:t>https://doi.org/10.3399/bjgp18X697625</w:t>
        </w:r>
      </w:hyperlink>
      <w:r w:rsidR="005D5D41">
        <w:rPr>
          <w:rFonts w:ascii="Arial" w:hAnsi="Arial" w:cs="Arial"/>
          <w:sz w:val="22"/>
          <w:szCs w:val="22"/>
        </w:rPr>
        <w:t xml:space="preserve">  </w:t>
      </w:r>
      <w:r w:rsidR="00515154">
        <w:rPr>
          <w:rFonts w:ascii="Arial" w:hAnsi="Arial" w:cs="Arial"/>
          <w:sz w:val="22"/>
          <w:szCs w:val="22"/>
        </w:rPr>
        <w:t>(</w:t>
      </w:r>
      <w:r w:rsidR="00515154" w:rsidRPr="00FE43BD">
        <w:rPr>
          <w:rFonts w:ascii="Arial" w:hAnsi="Arial" w:cs="Arial"/>
          <w:sz w:val="22"/>
          <w:szCs w:val="22"/>
        </w:rPr>
        <w:t>Accessed</w:t>
      </w:r>
      <w:r w:rsidR="00515154">
        <w:rPr>
          <w:rFonts w:ascii="Arial" w:hAnsi="Arial" w:cs="Arial"/>
          <w:sz w:val="22"/>
          <w:szCs w:val="22"/>
        </w:rPr>
        <w:t>: Oct.12.</w:t>
      </w:r>
      <w:r w:rsidR="00515154" w:rsidRPr="00FE43BD">
        <w:rPr>
          <w:rFonts w:ascii="Arial" w:hAnsi="Arial" w:cs="Arial"/>
          <w:sz w:val="22"/>
          <w:szCs w:val="22"/>
        </w:rPr>
        <w:t>2025</w:t>
      </w:r>
      <w:r w:rsidR="00515154">
        <w:rPr>
          <w:rFonts w:ascii="Arial" w:hAnsi="Arial" w:cs="Arial"/>
          <w:sz w:val="22"/>
          <w:szCs w:val="22"/>
        </w:rPr>
        <w:t>)</w:t>
      </w:r>
      <w:r w:rsidR="00515154" w:rsidRPr="00FE43BD">
        <w:rPr>
          <w:rFonts w:ascii="Arial" w:hAnsi="Arial" w:cs="Arial"/>
          <w:sz w:val="22"/>
          <w:szCs w:val="22"/>
        </w:rPr>
        <w:t>.</w:t>
      </w:r>
    </w:p>
    <w:p w14:paraId="5FBBE00B" w14:textId="49BC6F6B" w:rsidR="005D5D41" w:rsidRDefault="00FE43BD" w:rsidP="00FE43BD">
      <w:pPr>
        <w:spacing w:line="360" w:lineRule="auto"/>
        <w:rPr>
          <w:rFonts w:ascii="Arial" w:hAnsi="Arial" w:cs="Arial"/>
          <w:sz w:val="22"/>
          <w:szCs w:val="22"/>
        </w:rPr>
      </w:pPr>
      <w:r w:rsidRPr="00FE43BD">
        <w:rPr>
          <w:rFonts w:ascii="Arial" w:hAnsi="Arial" w:cs="Arial"/>
          <w:sz w:val="22"/>
          <w:szCs w:val="22"/>
        </w:rPr>
        <w:t xml:space="preserve">Lau, J.K., </w:t>
      </w:r>
      <w:proofErr w:type="spellStart"/>
      <w:r w:rsidRPr="00FE43BD">
        <w:rPr>
          <w:rFonts w:ascii="Arial" w:hAnsi="Arial" w:cs="Arial"/>
          <w:sz w:val="22"/>
          <w:szCs w:val="22"/>
        </w:rPr>
        <w:t>Lowres</w:t>
      </w:r>
      <w:proofErr w:type="spellEnd"/>
      <w:r w:rsidRPr="00FE43BD">
        <w:rPr>
          <w:rFonts w:ascii="Arial" w:hAnsi="Arial" w:cs="Arial"/>
          <w:sz w:val="22"/>
          <w:szCs w:val="22"/>
        </w:rPr>
        <w:t xml:space="preserve">, N., Neubeck, L., Brieger, D.B., Sy, R.W., Galloway, C.D., and Freedman, B., 2022. Patient experience using mobile ECG technology for atrial fibrillation detection: a systematic review. European Journal of Cardiovascular Nursing, 21(1), pp.10–20. Available </w:t>
      </w:r>
      <w:proofErr w:type="spellStart"/>
      <w:r w:rsidRPr="00FE43BD">
        <w:rPr>
          <w:rFonts w:ascii="Arial" w:hAnsi="Arial" w:cs="Arial"/>
          <w:sz w:val="22"/>
          <w:szCs w:val="22"/>
        </w:rPr>
        <w:t>at:</w:t>
      </w:r>
      <w:hyperlink r:id="rId14" w:history="1">
        <w:r w:rsidR="005D5D41" w:rsidRPr="00C20E08">
          <w:rPr>
            <w:rStyle w:val="Hyperlink"/>
            <w:rFonts w:ascii="Arial" w:hAnsi="Arial" w:cs="Arial"/>
            <w:sz w:val="22"/>
            <w:szCs w:val="22"/>
          </w:rPr>
          <w:t>https</w:t>
        </w:r>
        <w:proofErr w:type="spellEnd"/>
        <w:r w:rsidR="005D5D41" w:rsidRPr="00C20E08">
          <w:rPr>
            <w:rStyle w:val="Hyperlink"/>
            <w:rFonts w:ascii="Arial" w:hAnsi="Arial" w:cs="Arial"/>
            <w:sz w:val="22"/>
            <w:szCs w:val="22"/>
          </w:rPr>
          <w:t>://doi.org/10.1093/</w:t>
        </w:r>
        <w:proofErr w:type="spellStart"/>
        <w:r w:rsidR="005D5D41" w:rsidRPr="00C20E08">
          <w:rPr>
            <w:rStyle w:val="Hyperlink"/>
            <w:rFonts w:ascii="Arial" w:hAnsi="Arial" w:cs="Arial"/>
            <w:sz w:val="22"/>
            <w:szCs w:val="22"/>
          </w:rPr>
          <w:t>eurjcn</w:t>
        </w:r>
        <w:proofErr w:type="spellEnd"/>
        <w:r w:rsidR="005D5D41" w:rsidRPr="00C20E08">
          <w:rPr>
            <w:rStyle w:val="Hyperlink"/>
            <w:rFonts w:ascii="Arial" w:hAnsi="Arial" w:cs="Arial"/>
            <w:sz w:val="22"/>
            <w:szCs w:val="22"/>
          </w:rPr>
          <w:t>/zvab097</w:t>
        </w:r>
      </w:hyperlink>
      <w:r w:rsidR="005D5D41">
        <w:rPr>
          <w:rFonts w:ascii="Arial" w:hAnsi="Arial" w:cs="Arial"/>
          <w:sz w:val="22"/>
          <w:szCs w:val="22"/>
        </w:rPr>
        <w:t xml:space="preserve"> </w:t>
      </w:r>
      <w:r w:rsidR="00515154">
        <w:rPr>
          <w:rFonts w:ascii="Arial" w:hAnsi="Arial" w:cs="Arial"/>
          <w:sz w:val="22"/>
          <w:szCs w:val="22"/>
        </w:rPr>
        <w:t>(</w:t>
      </w:r>
      <w:r w:rsidR="00515154" w:rsidRPr="00FE43BD">
        <w:rPr>
          <w:rFonts w:ascii="Arial" w:hAnsi="Arial" w:cs="Arial"/>
          <w:sz w:val="22"/>
          <w:szCs w:val="22"/>
        </w:rPr>
        <w:t>Accessed</w:t>
      </w:r>
      <w:r w:rsidR="00515154">
        <w:rPr>
          <w:rFonts w:ascii="Arial" w:hAnsi="Arial" w:cs="Arial"/>
          <w:sz w:val="22"/>
          <w:szCs w:val="22"/>
        </w:rPr>
        <w:t>: Oct.12.</w:t>
      </w:r>
      <w:r w:rsidR="00515154" w:rsidRPr="00FE43BD">
        <w:rPr>
          <w:rFonts w:ascii="Arial" w:hAnsi="Arial" w:cs="Arial"/>
          <w:sz w:val="22"/>
          <w:szCs w:val="22"/>
        </w:rPr>
        <w:t>2025</w:t>
      </w:r>
      <w:r w:rsidR="00515154">
        <w:rPr>
          <w:rFonts w:ascii="Arial" w:hAnsi="Arial" w:cs="Arial"/>
          <w:sz w:val="22"/>
          <w:szCs w:val="22"/>
        </w:rPr>
        <w:t>)</w:t>
      </w:r>
      <w:r w:rsidR="00515154" w:rsidRPr="00FE43BD">
        <w:rPr>
          <w:rFonts w:ascii="Arial" w:hAnsi="Arial" w:cs="Arial"/>
          <w:sz w:val="22"/>
          <w:szCs w:val="22"/>
        </w:rPr>
        <w:t>.</w:t>
      </w:r>
    </w:p>
    <w:p w14:paraId="29593536" w14:textId="26CFFEC3" w:rsidR="00FE43BD" w:rsidRDefault="00FE43BD" w:rsidP="00FE43BD">
      <w:pPr>
        <w:spacing w:line="360" w:lineRule="auto"/>
        <w:rPr>
          <w:rFonts w:ascii="Arial" w:hAnsi="Arial" w:cs="Arial"/>
          <w:sz w:val="22"/>
          <w:szCs w:val="22"/>
        </w:rPr>
      </w:pPr>
      <w:r w:rsidRPr="00FE43BD">
        <w:rPr>
          <w:rFonts w:ascii="Arial" w:hAnsi="Arial" w:cs="Arial"/>
          <w:sz w:val="22"/>
          <w:szCs w:val="22"/>
        </w:rPr>
        <w:t>NHS England</w:t>
      </w:r>
      <w:r w:rsidR="009C36B8">
        <w:rPr>
          <w:rFonts w:ascii="Arial" w:hAnsi="Arial" w:cs="Arial"/>
          <w:sz w:val="22"/>
          <w:szCs w:val="22"/>
        </w:rPr>
        <w:t xml:space="preserve">, </w:t>
      </w:r>
      <w:r w:rsidRPr="00FE43BD">
        <w:rPr>
          <w:rFonts w:ascii="Arial" w:hAnsi="Arial" w:cs="Arial"/>
          <w:sz w:val="22"/>
          <w:szCs w:val="22"/>
        </w:rPr>
        <w:t xml:space="preserve">2022. Making a decision about further treatment for atrial fibrillation. Available at: </w:t>
      </w:r>
      <w:hyperlink r:id="rId15" w:history="1">
        <w:r w:rsidR="005D5D41" w:rsidRPr="00C20E08">
          <w:rPr>
            <w:rStyle w:val="Hyperlink"/>
            <w:rFonts w:ascii="Arial" w:hAnsi="Arial" w:cs="Arial"/>
            <w:sz w:val="22"/>
            <w:szCs w:val="22"/>
          </w:rPr>
          <w:t>https://www.england.nhs.uk/wp-content/uploads/2022/07/Making-a-decision-about-further-treatment-for-atrial-fibrillation.pdf</w:t>
        </w:r>
      </w:hyperlink>
      <w:r w:rsidR="00B9687E">
        <w:rPr>
          <w:rFonts w:ascii="Arial" w:hAnsi="Arial" w:cs="Arial"/>
          <w:sz w:val="22"/>
          <w:szCs w:val="22"/>
        </w:rPr>
        <w:t xml:space="preserve"> </w:t>
      </w:r>
      <w:r w:rsidR="005D5D41">
        <w:rPr>
          <w:rFonts w:ascii="Arial" w:hAnsi="Arial" w:cs="Arial"/>
          <w:sz w:val="22"/>
          <w:szCs w:val="22"/>
        </w:rPr>
        <w:t>(</w:t>
      </w:r>
      <w:r w:rsidR="005D5D41" w:rsidRPr="00FE43BD">
        <w:rPr>
          <w:rFonts w:ascii="Arial" w:hAnsi="Arial" w:cs="Arial"/>
          <w:sz w:val="22"/>
          <w:szCs w:val="22"/>
        </w:rPr>
        <w:t>Accessed</w:t>
      </w:r>
      <w:r w:rsidR="00311713">
        <w:rPr>
          <w:rFonts w:ascii="Arial" w:hAnsi="Arial" w:cs="Arial"/>
          <w:sz w:val="22"/>
          <w:szCs w:val="22"/>
        </w:rPr>
        <w:t>: Oct.12.</w:t>
      </w:r>
      <w:r w:rsidR="005D5D41" w:rsidRPr="00FE43BD">
        <w:rPr>
          <w:rFonts w:ascii="Arial" w:hAnsi="Arial" w:cs="Arial"/>
          <w:sz w:val="22"/>
          <w:szCs w:val="22"/>
        </w:rPr>
        <w:t>2025</w:t>
      </w:r>
      <w:r w:rsidR="005D5D41">
        <w:rPr>
          <w:rFonts w:ascii="Arial" w:hAnsi="Arial" w:cs="Arial"/>
          <w:sz w:val="22"/>
          <w:szCs w:val="22"/>
        </w:rPr>
        <w:t>)</w:t>
      </w:r>
      <w:r w:rsidR="005D5D41" w:rsidRPr="00FE43BD">
        <w:rPr>
          <w:rFonts w:ascii="Arial" w:hAnsi="Arial" w:cs="Arial"/>
          <w:sz w:val="22"/>
          <w:szCs w:val="22"/>
        </w:rPr>
        <w:t>.</w:t>
      </w:r>
    </w:p>
    <w:p w14:paraId="5BC41C01" w14:textId="77777777" w:rsidR="00232186" w:rsidRDefault="00232186" w:rsidP="00FE43BD">
      <w:pPr>
        <w:spacing w:line="360" w:lineRule="auto"/>
        <w:rPr>
          <w:rFonts w:ascii="Arial" w:hAnsi="Arial" w:cs="Arial"/>
          <w:sz w:val="22"/>
          <w:szCs w:val="22"/>
        </w:rPr>
      </w:pPr>
    </w:p>
    <w:p w14:paraId="1756AE59" w14:textId="77777777" w:rsidR="00232186" w:rsidRDefault="00232186" w:rsidP="00FE43BD">
      <w:pPr>
        <w:spacing w:line="360" w:lineRule="auto"/>
        <w:rPr>
          <w:rFonts w:ascii="Arial" w:hAnsi="Arial" w:cs="Arial"/>
          <w:sz w:val="22"/>
          <w:szCs w:val="22"/>
        </w:rPr>
      </w:pPr>
    </w:p>
    <w:p w14:paraId="775E78A2" w14:textId="4D17004D" w:rsidR="00232186" w:rsidRDefault="00232186" w:rsidP="00FE43BD">
      <w:pPr>
        <w:spacing w:line="360" w:lineRule="auto"/>
        <w:rPr>
          <w:rFonts w:ascii="Arial" w:hAnsi="Arial" w:cs="Arial"/>
          <w:sz w:val="22"/>
          <w:szCs w:val="22"/>
        </w:rPr>
      </w:pPr>
      <w:r w:rsidRPr="00232186">
        <w:rPr>
          <w:rFonts w:ascii="Arial" w:hAnsi="Arial" w:cs="Arial"/>
          <w:sz w:val="22"/>
          <w:szCs w:val="22"/>
        </w:rPr>
        <w:t>National Institute for Health and Care Excellence (NICE), 2022. KardiaMobile for detecting atrial fibrillation. Medical technologies guidance</w:t>
      </w:r>
      <w:r>
        <w:rPr>
          <w:rFonts w:ascii="Arial" w:hAnsi="Arial" w:cs="Arial"/>
          <w:sz w:val="22"/>
          <w:szCs w:val="22"/>
        </w:rPr>
        <w:t xml:space="preserve">. </w:t>
      </w:r>
      <w:r w:rsidRPr="00232186">
        <w:rPr>
          <w:rFonts w:ascii="Arial" w:hAnsi="Arial" w:cs="Arial"/>
          <w:sz w:val="22"/>
          <w:szCs w:val="22"/>
        </w:rPr>
        <w:t xml:space="preserve"> Available at: </w:t>
      </w:r>
      <w:r>
        <w:rPr>
          <w:rFonts w:ascii="Arial" w:hAnsi="Arial" w:cs="Arial"/>
          <w:sz w:val="22"/>
          <w:szCs w:val="22"/>
        </w:rPr>
        <w:t xml:space="preserve"> </w:t>
      </w:r>
      <w:hyperlink r:id="rId16" w:history="1">
        <w:r w:rsidRPr="00C20E08">
          <w:rPr>
            <w:rStyle w:val="Hyperlink"/>
            <w:rFonts w:ascii="Arial" w:hAnsi="Arial" w:cs="Arial"/>
            <w:sz w:val="22"/>
            <w:szCs w:val="22"/>
          </w:rPr>
          <w:t>https://www.nice.org.uk/guidance/mtg64/resources/kardiamobile-for-detecting-atrial-fibrillation-pdf-64372176710341</w:t>
        </w:r>
      </w:hyperlink>
      <w:r>
        <w:rPr>
          <w:rFonts w:ascii="Arial" w:hAnsi="Arial" w:cs="Arial"/>
          <w:sz w:val="22"/>
          <w:szCs w:val="22"/>
        </w:rPr>
        <w:t xml:space="preserve"> </w:t>
      </w:r>
      <w:r w:rsidR="00515154">
        <w:rPr>
          <w:rFonts w:ascii="Arial" w:hAnsi="Arial" w:cs="Arial"/>
          <w:sz w:val="22"/>
          <w:szCs w:val="22"/>
        </w:rPr>
        <w:t>(</w:t>
      </w:r>
      <w:r w:rsidR="00515154" w:rsidRPr="00C33B4C">
        <w:rPr>
          <w:rFonts w:ascii="Arial" w:hAnsi="Arial" w:cs="Arial"/>
          <w:sz w:val="22"/>
          <w:szCs w:val="22"/>
        </w:rPr>
        <w:t xml:space="preserve">Accessed </w:t>
      </w:r>
      <w:r w:rsidR="00515154">
        <w:rPr>
          <w:rFonts w:ascii="Arial" w:hAnsi="Arial" w:cs="Arial"/>
          <w:sz w:val="22"/>
          <w:szCs w:val="22"/>
        </w:rPr>
        <w:t>Nov.12.</w:t>
      </w:r>
      <w:r w:rsidR="00515154" w:rsidRPr="00C33B4C">
        <w:rPr>
          <w:rFonts w:ascii="Arial" w:hAnsi="Arial" w:cs="Arial"/>
          <w:sz w:val="22"/>
          <w:szCs w:val="22"/>
        </w:rPr>
        <w:t xml:space="preserve"> 2025</w:t>
      </w:r>
      <w:r w:rsidR="00515154">
        <w:rPr>
          <w:rFonts w:ascii="Arial" w:hAnsi="Arial" w:cs="Arial"/>
          <w:sz w:val="22"/>
          <w:szCs w:val="22"/>
        </w:rPr>
        <w:t>)</w:t>
      </w:r>
      <w:r w:rsidR="00515154" w:rsidRPr="00C33B4C">
        <w:rPr>
          <w:rFonts w:ascii="Arial" w:hAnsi="Arial" w:cs="Arial"/>
          <w:sz w:val="22"/>
          <w:szCs w:val="22"/>
        </w:rPr>
        <w:t>.</w:t>
      </w:r>
    </w:p>
    <w:p w14:paraId="6411C5E0" w14:textId="35C89904" w:rsidR="00EE3BC1" w:rsidRDefault="00EE3BC1" w:rsidP="00FE43BD">
      <w:pPr>
        <w:spacing w:line="360" w:lineRule="auto"/>
        <w:rPr>
          <w:rFonts w:ascii="Arial" w:hAnsi="Arial" w:cs="Arial"/>
          <w:sz w:val="22"/>
          <w:szCs w:val="22"/>
        </w:rPr>
      </w:pPr>
      <w:r w:rsidRPr="00EE3BC1">
        <w:rPr>
          <w:rFonts w:ascii="Arial" w:hAnsi="Arial" w:cs="Arial"/>
          <w:sz w:val="22"/>
          <w:szCs w:val="22"/>
        </w:rPr>
        <w:t>Royal College of Physicians, 2022. Digital health: priorities for the NHS and patients.</w:t>
      </w:r>
      <w:r w:rsidR="004D20A8">
        <w:rPr>
          <w:rFonts w:ascii="Arial" w:hAnsi="Arial" w:cs="Arial"/>
          <w:sz w:val="22"/>
          <w:szCs w:val="22"/>
        </w:rPr>
        <w:t xml:space="preserve"> </w:t>
      </w:r>
      <w:r w:rsidRPr="00EE3BC1">
        <w:rPr>
          <w:rFonts w:ascii="Arial" w:hAnsi="Arial" w:cs="Arial"/>
          <w:sz w:val="22"/>
          <w:szCs w:val="22"/>
        </w:rPr>
        <w:t>Available at:</w:t>
      </w:r>
      <w:r w:rsidR="00515154">
        <w:rPr>
          <w:rFonts w:ascii="Arial" w:hAnsi="Arial" w:cs="Arial"/>
          <w:sz w:val="22"/>
          <w:szCs w:val="22"/>
        </w:rPr>
        <w:t xml:space="preserve"> </w:t>
      </w:r>
      <w:hyperlink r:id="rId17" w:history="1">
        <w:r w:rsidR="00515154" w:rsidRPr="00C20E08">
          <w:rPr>
            <w:rStyle w:val="Hyperlink"/>
            <w:rFonts w:ascii="Arial" w:hAnsi="Arial" w:cs="Arial"/>
            <w:sz w:val="22"/>
            <w:szCs w:val="22"/>
          </w:rPr>
          <w:t>https://www.rcplondon.ac.uk/projects/outputs/digital-health-priorities-nhs-and-patients</w:t>
        </w:r>
      </w:hyperlink>
      <w:r w:rsidR="00515154">
        <w:rPr>
          <w:rFonts w:ascii="Arial" w:hAnsi="Arial" w:cs="Arial"/>
          <w:sz w:val="22"/>
          <w:szCs w:val="22"/>
        </w:rPr>
        <w:t xml:space="preserve"> </w:t>
      </w:r>
      <w:r w:rsidR="00515154">
        <w:rPr>
          <w:rFonts w:ascii="Arial" w:hAnsi="Arial" w:cs="Arial"/>
          <w:sz w:val="22"/>
          <w:szCs w:val="22"/>
        </w:rPr>
        <w:t>(</w:t>
      </w:r>
      <w:r w:rsidR="00515154" w:rsidRPr="00C33B4C">
        <w:rPr>
          <w:rFonts w:ascii="Arial" w:hAnsi="Arial" w:cs="Arial"/>
          <w:sz w:val="22"/>
          <w:szCs w:val="22"/>
        </w:rPr>
        <w:t xml:space="preserve">Accessed </w:t>
      </w:r>
      <w:r w:rsidR="00515154">
        <w:rPr>
          <w:rFonts w:ascii="Arial" w:hAnsi="Arial" w:cs="Arial"/>
          <w:sz w:val="22"/>
          <w:szCs w:val="22"/>
        </w:rPr>
        <w:t>Nov.12.</w:t>
      </w:r>
      <w:r w:rsidR="00515154" w:rsidRPr="00C33B4C">
        <w:rPr>
          <w:rFonts w:ascii="Arial" w:hAnsi="Arial" w:cs="Arial"/>
          <w:sz w:val="22"/>
          <w:szCs w:val="22"/>
        </w:rPr>
        <w:t xml:space="preserve"> 2025</w:t>
      </w:r>
      <w:r w:rsidR="00515154">
        <w:rPr>
          <w:rFonts w:ascii="Arial" w:hAnsi="Arial" w:cs="Arial"/>
          <w:sz w:val="22"/>
          <w:szCs w:val="22"/>
        </w:rPr>
        <w:t>)</w:t>
      </w:r>
      <w:r w:rsidR="00515154" w:rsidRPr="00C33B4C">
        <w:rPr>
          <w:rFonts w:ascii="Arial" w:hAnsi="Arial" w:cs="Arial"/>
          <w:sz w:val="22"/>
          <w:szCs w:val="22"/>
        </w:rPr>
        <w:t>.</w:t>
      </w:r>
    </w:p>
    <w:p w14:paraId="02F92E7E" w14:textId="4E9021D7" w:rsidR="005B5F72" w:rsidRDefault="00587F95" w:rsidP="00FE43BD">
      <w:pPr>
        <w:spacing w:line="360" w:lineRule="auto"/>
        <w:rPr>
          <w:rFonts w:ascii="Arial" w:hAnsi="Arial" w:cs="Arial"/>
          <w:sz w:val="22"/>
          <w:szCs w:val="22"/>
        </w:rPr>
      </w:pPr>
      <w:r w:rsidRPr="00587F95">
        <w:rPr>
          <w:rFonts w:ascii="Arial" w:hAnsi="Arial" w:cs="Arial"/>
          <w:sz w:val="22"/>
          <w:szCs w:val="22"/>
        </w:rPr>
        <w:t xml:space="preserve">The Lancet, 2023. Atrial fibrillation: epidemiology, screening and digital health. The Lancet Regional Health – Europe. Available at: </w:t>
      </w:r>
      <w:hyperlink r:id="rId18" w:history="1">
        <w:r w:rsidR="005B5F72" w:rsidRPr="00C20E08">
          <w:rPr>
            <w:rStyle w:val="Hyperlink"/>
            <w:rFonts w:ascii="Arial" w:hAnsi="Arial" w:cs="Arial"/>
            <w:sz w:val="22"/>
            <w:szCs w:val="22"/>
          </w:rPr>
          <w:t>https://www.thelancet.com/journals/lanepe/article/PIIS2666-7762%2823%2900205-3/fulltext</w:t>
        </w:r>
      </w:hyperlink>
      <w:r w:rsidR="005B5F72">
        <w:rPr>
          <w:rFonts w:ascii="Arial" w:hAnsi="Arial" w:cs="Arial"/>
          <w:sz w:val="22"/>
          <w:szCs w:val="22"/>
        </w:rPr>
        <w:t xml:space="preserve"> </w:t>
      </w:r>
      <w:r w:rsidR="005B5F72">
        <w:rPr>
          <w:rFonts w:ascii="Arial" w:hAnsi="Arial" w:cs="Arial"/>
          <w:sz w:val="22"/>
          <w:szCs w:val="22"/>
        </w:rPr>
        <w:t>(</w:t>
      </w:r>
      <w:r w:rsidR="005B5F72" w:rsidRPr="00C33B4C">
        <w:rPr>
          <w:rFonts w:ascii="Arial" w:hAnsi="Arial" w:cs="Arial"/>
          <w:sz w:val="22"/>
          <w:szCs w:val="22"/>
        </w:rPr>
        <w:t xml:space="preserve">Accessed </w:t>
      </w:r>
      <w:r w:rsidR="005B5F72">
        <w:rPr>
          <w:rFonts w:ascii="Arial" w:hAnsi="Arial" w:cs="Arial"/>
          <w:sz w:val="22"/>
          <w:szCs w:val="22"/>
        </w:rPr>
        <w:t>Nov.12.</w:t>
      </w:r>
      <w:r w:rsidR="005B5F72" w:rsidRPr="00C33B4C">
        <w:rPr>
          <w:rFonts w:ascii="Arial" w:hAnsi="Arial" w:cs="Arial"/>
          <w:sz w:val="22"/>
          <w:szCs w:val="22"/>
        </w:rPr>
        <w:t xml:space="preserve"> 2025</w:t>
      </w:r>
      <w:r w:rsidR="005B5F72">
        <w:rPr>
          <w:rFonts w:ascii="Arial" w:hAnsi="Arial" w:cs="Arial"/>
          <w:sz w:val="22"/>
          <w:szCs w:val="22"/>
        </w:rPr>
        <w:t>)</w:t>
      </w:r>
      <w:r w:rsidR="005B5F72" w:rsidRPr="00C33B4C">
        <w:rPr>
          <w:rFonts w:ascii="Arial" w:hAnsi="Arial" w:cs="Arial"/>
          <w:sz w:val="22"/>
          <w:szCs w:val="22"/>
        </w:rPr>
        <w:t>.</w:t>
      </w:r>
    </w:p>
    <w:p w14:paraId="57D2CD33" w14:textId="36089998" w:rsidR="00515154" w:rsidRDefault="00FE43BD" w:rsidP="00FE43BD">
      <w:pPr>
        <w:spacing w:line="360" w:lineRule="auto"/>
        <w:rPr>
          <w:rFonts w:ascii="Arial" w:hAnsi="Arial" w:cs="Arial"/>
          <w:sz w:val="22"/>
          <w:szCs w:val="22"/>
        </w:rPr>
      </w:pPr>
      <w:r w:rsidRPr="00FE43BD">
        <w:rPr>
          <w:rFonts w:ascii="Arial" w:hAnsi="Arial" w:cs="Arial"/>
          <w:sz w:val="22"/>
          <w:szCs w:val="22"/>
        </w:rPr>
        <w:t xml:space="preserve">Topol, E., 2019. Preparing the healthcare workforce to deliver the digital future: An independent report on behalf of the Secretary of State for Health and Social Care. Health Education England. Available at: </w:t>
      </w:r>
      <w:hyperlink r:id="rId19" w:history="1">
        <w:r w:rsidR="005D5D41" w:rsidRPr="00C20E08">
          <w:rPr>
            <w:rStyle w:val="Hyperlink"/>
            <w:rFonts w:ascii="Arial" w:hAnsi="Arial" w:cs="Arial"/>
            <w:sz w:val="22"/>
            <w:szCs w:val="22"/>
          </w:rPr>
          <w:t>https://topol.hee.nhs.uk/wp-content/uploads/HEE-Topol-Review-2019.pdf</w:t>
        </w:r>
      </w:hyperlink>
      <w:r w:rsidRPr="00FE43BD">
        <w:rPr>
          <w:rFonts w:ascii="Arial" w:hAnsi="Arial" w:cs="Arial"/>
          <w:sz w:val="22"/>
          <w:szCs w:val="22"/>
        </w:rPr>
        <w:t xml:space="preserve"> </w:t>
      </w:r>
      <w:r w:rsidR="00515154">
        <w:rPr>
          <w:rFonts w:ascii="Arial" w:hAnsi="Arial" w:cs="Arial"/>
          <w:sz w:val="22"/>
          <w:szCs w:val="22"/>
        </w:rPr>
        <w:t>(</w:t>
      </w:r>
      <w:r w:rsidR="00515154" w:rsidRPr="00FE43BD">
        <w:rPr>
          <w:rFonts w:ascii="Arial" w:hAnsi="Arial" w:cs="Arial"/>
          <w:sz w:val="22"/>
          <w:szCs w:val="22"/>
        </w:rPr>
        <w:t>Accessed</w:t>
      </w:r>
      <w:r w:rsidR="00515154">
        <w:rPr>
          <w:rFonts w:ascii="Arial" w:hAnsi="Arial" w:cs="Arial"/>
          <w:sz w:val="22"/>
          <w:szCs w:val="22"/>
        </w:rPr>
        <w:t>: Oct.12.</w:t>
      </w:r>
      <w:r w:rsidR="00515154" w:rsidRPr="00FE43BD">
        <w:rPr>
          <w:rFonts w:ascii="Arial" w:hAnsi="Arial" w:cs="Arial"/>
          <w:sz w:val="22"/>
          <w:szCs w:val="22"/>
        </w:rPr>
        <w:t>2025</w:t>
      </w:r>
      <w:r w:rsidR="00515154">
        <w:rPr>
          <w:rFonts w:ascii="Arial" w:hAnsi="Arial" w:cs="Arial"/>
          <w:sz w:val="22"/>
          <w:szCs w:val="22"/>
        </w:rPr>
        <w:t>)</w:t>
      </w:r>
      <w:r w:rsidR="00515154" w:rsidRPr="00FE43BD">
        <w:rPr>
          <w:rFonts w:ascii="Arial" w:hAnsi="Arial" w:cs="Arial"/>
          <w:sz w:val="22"/>
          <w:szCs w:val="22"/>
        </w:rPr>
        <w:t>.</w:t>
      </w:r>
    </w:p>
    <w:p w14:paraId="43F50637" w14:textId="4940138A" w:rsidR="00C33B4C" w:rsidRPr="00BE3116" w:rsidRDefault="00C33B4C" w:rsidP="00FE43BD">
      <w:pPr>
        <w:spacing w:line="360" w:lineRule="auto"/>
        <w:rPr>
          <w:rFonts w:ascii="Arial" w:hAnsi="Arial" w:cs="Arial"/>
          <w:sz w:val="22"/>
          <w:szCs w:val="22"/>
        </w:rPr>
      </w:pPr>
      <w:r w:rsidRPr="00C33B4C">
        <w:rPr>
          <w:rFonts w:ascii="Arial" w:hAnsi="Arial" w:cs="Arial"/>
          <w:sz w:val="22"/>
          <w:szCs w:val="22"/>
        </w:rPr>
        <w:t>World Health Organization, 2021. Global strategy on digital health 2020–2025</w:t>
      </w:r>
      <w:r>
        <w:rPr>
          <w:rFonts w:ascii="Arial" w:hAnsi="Arial" w:cs="Arial"/>
          <w:sz w:val="22"/>
          <w:szCs w:val="22"/>
        </w:rPr>
        <w:t xml:space="preserve">. </w:t>
      </w:r>
      <w:r w:rsidRPr="00C33B4C">
        <w:rPr>
          <w:rFonts w:ascii="Arial" w:hAnsi="Arial" w:cs="Arial"/>
          <w:sz w:val="22"/>
          <w:szCs w:val="22"/>
        </w:rPr>
        <w:t xml:space="preserve">Available at: </w:t>
      </w:r>
      <w:hyperlink r:id="rId20" w:history="1">
        <w:r w:rsidRPr="00C20E08">
          <w:rPr>
            <w:rStyle w:val="Hyperlink"/>
            <w:rFonts w:ascii="Arial" w:hAnsi="Arial" w:cs="Arial"/>
            <w:sz w:val="22"/>
            <w:szCs w:val="22"/>
          </w:rPr>
          <w:t>https://www.who.int/docs/default-source/documents/digital-health/global-strategy-on-digital-health-2020-2025.pdf</w:t>
        </w:r>
      </w:hyperlink>
      <w:r>
        <w:rPr>
          <w:rFonts w:ascii="Arial" w:hAnsi="Arial" w:cs="Arial"/>
          <w:sz w:val="22"/>
          <w:szCs w:val="22"/>
        </w:rPr>
        <w:t xml:space="preserve"> </w:t>
      </w:r>
      <w:r w:rsidR="00515154">
        <w:rPr>
          <w:rFonts w:ascii="Arial" w:hAnsi="Arial" w:cs="Arial"/>
          <w:sz w:val="22"/>
          <w:szCs w:val="22"/>
        </w:rPr>
        <w:t>(</w:t>
      </w:r>
      <w:r w:rsidR="00515154" w:rsidRPr="00C33B4C">
        <w:rPr>
          <w:rFonts w:ascii="Arial" w:hAnsi="Arial" w:cs="Arial"/>
          <w:sz w:val="22"/>
          <w:szCs w:val="22"/>
        </w:rPr>
        <w:t xml:space="preserve">Accessed </w:t>
      </w:r>
      <w:r w:rsidR="00515154">
        <w:rPr>
          <w:rFonts w:ascii="Arial" w:hAnsi="Arial" w:cs="Arial"/>
          <w:sz w:val="22"/>
          <w:szCs w:val="22"/>
        </w:rPr>
        <w:t>Nov.12.</w:t>
      </w:r>
      <w:r w:rsidR="00515154" w:rsidRPr="00C33B4C">
        <w:rPr>
          <w:rFonts w:ascii="Arial" w:hAnsi="Arial" w:cs="Arial"/>
          <w:sz w:val="22"/>
          <w:szCs w:val="22"/>
        </w:rPr>
        <w:t xml:space="preserve"> 2025</w:t>
      </w:r>
      <w:r w:rsidR="00515154">
        <w:rPr>
          <w:rFonts w:ascii="Arial" w:hAnsi="Arial" w:cs="Arial"/>
          <w:sz w:val="22"/>
          <w:szCs w:val="22"/>
        </w:rPr>
        <w:t>)</w:t>
      </w:r>
      <w:r w:rsidR="00515154" w:rsidRPr="00C33B4C">
        <w:rPr>
          <w:rFonts w:ascii="Arial" w:hAnsi="Arial" w:cs="Arial"/>
          <w:sz w:val="22"/>
          <w:szCs w:val="22"/>
        </w:rPr>
        <w:t>.</w:t>
      </w:r>
    </w:p>
    <w:p w14:paraId="5E68B0A0" w14:textId="77777777" w:rsidR="00DF7AA5" w:rsidRPr="00BE3116" w:rsidRDefault="00DF7AA5" w:rsidP="00DF7AA5">
      <w:pPr>
        <w:spacing w:line="360" w:lineRule="auto"/>
        <w:rPr>
          <w:rFonts w:ascii="Arial" w:hAnsi="Arial" w:cs="Arial"/>
          <w:sz w:val="22"/>
          <w:szCs w:val="22"/>
        </w:rPr>
      </w:pPr>
    </w:p>
    <w:p w14:paraId="1151A28D" w14:textId="77777777" w:rsidR="007F1ABA" w:rsidRPr="008375B5" w:rsidRDefault="007F1ABA" w:rsidP="007F1ABA">
      <w:pPr>
        <w:spacing w:line="360" w:lineRule="auto"/>
        <w:rPr>
          <w:rFonts w:ascii="Arial" w:hAnsi="Arial" w:cs="Arial"/>
          <w:sz w:val="22"/>
          <w:szCs w:val="22"/>
        </w:rPr>
      </w:pPr>
    </w:p>
    <w:sectPr w:rsidR="007F1ABA" w:rsidRPr="008375B5"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AEFE1" w14:textId="77777777" w:rsidR="00FA2191" w:rsidRDefault="00FA2191" w:rsidP="008375B5">
      <w:pPr>
        <w:spacing w:after="0" w:line="240" w:lineRule="auto"/>
      </w:pPr>
      <w:r>
        <w:separator/>
      </w:r>
    </w:p>
  </w:endnote>
  <w:endnote w:type="continuationSeparator" w:id="0">
    <w:p w14:paraId="538AC358" w14:textId="77777777" w:rsidR="00FA2191" w:rsidRDefault="00FA2191"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DE706" w14:textId="77777777" w:rsidR="00FA2191" w:rsidRDefault="00FA2191" w:rsidP="008375B5">
      <w:pPr>
        <w:spacing w:after="0" w:line="240" w:lineRule="auto"/>
      </w:pPr>
      <w:r>
        <w:separator/>
      </w:r>
    </w:p>
  </w:footnote>
  <w:footnote w:type="continuationSeparator" w:id="0">
    <w:p w14:paraId="78AB7551" w14:textId="77777777" w:rsidR="00FA2191" w:rsidRDefault="00FA2191"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1B09"/>
    <w:rsid w:val="0001696D"/>
    <w:rsid w:val="00043D83"/>
    <w:rsid w:val="0005327D"/>
    <w:rsid w:val="000548F7"/>
    <w:rsid w:val="00063887"/>
    <w:rsid w:val="00074DEA"/>
    <w:rsid w:val="000928C6"/>
    <w:rsid w:val="00094C76"/>
    <w:rsid w:val="000D4B55"/>
    <w:rsid w:val="000D724B"/>
    <w:rsid w:val="000F3A47"/>
    <w:rsid w:val="000F576C"/>
    <w:rsid w:val="00144DEE"/>
    <w:rsid w:val="00152139"/>
    <w:rsid w:val="00172CD8"/>
    <w:rsid w:val="00194113"/>
    <w:rsid w:val="001972CF"/>
    <w:rsid w:val="001A2F0F"/>
    <w:rsid w:val="001D000F"/>
    <w:rsid w:val="001D6067"/>
    <w:rsid w:val="001D79C6"/>
    <w:rsid w:val="001E4B64"/>
    <w:rsid w:val="001E556D"/>
    <w:rsid w:val="002163ED"/>
    <w:rsid w:val="00230C9B"/>
    <w:rsid w:val="00232186"/>
    <w:rsid w:val="00255D51"/>
    <w:rsid w:val="0026020C"/>
    <w:rsid w:val="002636D2"/>
    <w:rsid w:val="002E77F2"/>
    <w:rsid w:val="002F1DEC"/>
    <w:rsid w:val="00311713"/>
    <w:rsid w:val="00337798"/>
    <w:rsid w:val="003521C6"/>
    <w:rsid w:val="003808E7"/>
    <w:rsid w:val="003A3AE2"/>
    <w:rsid w:val="003A4D40"/>
    <w:rsid w:val="003B30AD"/>
    <w:rsid w:val="003B6D9A"/>
    <w:rsid w:val="003B7C9F"/>
    <w:rsid w:val="003D5E71"/>
    <w:rsid w:val="003E2970"/>
    <w:rsid w:val="0040002C"/>
    <w:rsid w:val="004037C5"/>
    <w:rsid w:val="00420BB9"/>
    <w:rsid w:val="00431C66"/>
    <w:rsid w:val="00446A4B"/>
    <w:rsid w:val="004630E7"/>
    <w:rsid w:val="0048782A"/>
    <w:rsid w:val="004901C9"/>
    <w:rsid w:val="004975A2"/>
    <w:rsid w:val="004976DE"/>
    <w:rsid w:val="004B12BF"/>
    <w:rsid w:val="004C7A27"/>
    <w:rsid w:val="004D20A8"/>
    <w:rsid w:val="0050244A"/>
    <w:rsid w:val="00504ABB"/>
    <w:rsid w:val="00515154"/>
    <w:rsid w:val="00516082"/>
    <w:rsid w:val="005374F8"/>
    <w:rsid w:val="00545E43"/>
    <w:rsid w:val="0058254B"/>
    <w:rsid w:val="00587F95"/>
    <w:rsid w:val="00592D49"/>
    <w:rsid w:val="005A63CE"/>
    <w:rsid w:val="005B5F72"/>
    <w:rsid w:val="005D5AD4"/>
    <w:rsid w:val="005D5D41"/>
    <w:rsid w:val="00627098"/>
    <w:rsid w:val="006314EB"/>
    <w:rsid w:val="006B788E"/>
    <w:rsid w:val="006C7D96"/>
    <w:rsid w:val="006D6D09"/>
    <w:rsid w:val="006D7599"/>
    <w:rsid w:val="006E55C7"/>
    <w:rsid w:val="006E7B23"/>
    <w:rsid w:val="006F3F5F"/>
    <w:rsid w:val="0073589B"/>
    <w:rsid w:val="00766469"/>
    <w:rsid w:val="00790880"/>
    <w:rsid w:val="00796E2A"/>
    <w:rsid w:val="007A4402"/>
    <w:rsid w:val="007C0870"/>
    <w:rsid w:val="007E23C5"/>
    <w:rsid w:val="007F1ABA"/>
    <w:rsid w:val="0081588A"/>
    <w:rsid w:val="00817CD5"/>
    <w:rsid w:val="008265EC"/>
    <w:rsid w:val="008358C1"/>
    <w:rsid w:val="008375B5"/>
    <w:rsid w:val="00847DAA"/>
    <w:rsid w:val="008571FB"/>
    <w:rsid w:val="00884BE6"/>
    <w:rsid w:val="008C6789"/>
    <w:rsid w:val="008D1EE7"/>
    <w:rsid w:val="008E31E6"/>
    <w:rsid w:val="008E6C2C"/>
    <w:rsid w:val="008F369D"/>
    <w:rsid w:val="008F44CB"/>
    <w:rsid w:val="008F640D"/>
    <w:rsid w:val="00914605"/>
    <w:rsid w:val="009334D8"/>
    <w:rsid w:val="00940499"/>
    <w:rsid w:val="0095242B"/>
    <w:rsid w:val="00960729"/>
    <w:rsid w:val="00973D86"/>
    <w:rsid w:val="00987802"/>
    <w:rsid w:val="009936F9"/>
    <w:rsid w:val="009A6014"/>
    <w:rsid w:val="009C31FF"/>
    <w:rsid w:val="009C36B8"/>
    <w:rsid w:val="00A050AC"/>
    <w:rsid w:val="00A17FFE"/>
    <w:rsid w:val="00A25256"/>
    <w:rsid w:val="00A26D63"/>
    <w:rsid w:val="00A53CE0"/>
    <w:rsid w:val="00A662C8"/>
    <w:rsid w:val="00A7473F"/>
    <w:rsid w:val="00A8318C"/>
    <w:rsid w:val="00A83C75"/>
    <w:rsid w:val="00A875D4"/>
    <w:rsid w:val="00A9474F"/>
    <w:rsid w:val="00AC2DCE"/>
    <w:rsid w:val="00AC3FDE"/>
    <w:rsid w:val="00AD6522"/>
    <w:rsid w:val="00AF3A21"/>
    <w:rsid w:val="00B25157"/>
    <w:rsid w:val="00B278EA"/>
    <w:rsid w:val="00B31AB2"/>
    <w:rsid w:val="00B33487"/>
    <w:rsid w:val="00B36E7D"/>
    <w:rsid w:val="00B50142"/>
    <w:rsid w:val="00B634C0"/>
    <w:rsid w:val="00B67CC1"/>
    <w:rsid w:val="00B9687E"/>
    <w:rsid w:val="00BA62A4"/>
    <w:rsid w:val="00BB29BE"/>
    <w:rsid w:val="00BD2160"/>
    <w:rsid w:val="00BE3116"/>
    <w:rsid w:val="00BF69B1"/>
    <w:rsid w:val="00C33B4C"/>
    <w:rsid w:val="00C37486"/>
    <w:rsid w:val="00C65432"/>
    <w:rsid w:val="00C80D0F"/>
    <w:rsid w:val="00C847DD"/>
    <w:rsid w:val="00CA1390"/>
    <w:rsid w:val="00CA6698"/>
    <w:rsid w:val="00CA7989"/>
    <w:rsid w:val="00CE3FFA"/>
    <w:rsid w:val="00D12908"/>
    <w:rsid w:val="00D40915"/>
    <w:rsid w:val="00D57B80"/>
    <w:rsid w:val="00D7257C"/>
    <w:rsid w:val="00D7595E"/>
    <w:rsid w:val="00D76999"/>
    <w:rsid w:val="00D77B2E"/>
    <w:rsid w:val="00D865F1"/>
    <w:rsid w:val="00DA1799"/>
    <w:rsid w:val="00DC64E2"/>
    <w:rsid w:val="00DD0CA6"/>
    <w:rsid w:val="00DF7AA5"/>
    <w:rsid w:val="00E46031"/>
    <w:rsid w:val="00EA09F8"/>
    <w:rsid w:val="00ED51FF"/>
    <w:rsid w:val="00EE3BC1"/>
    <w:rsid w:val="00F01868"/>
    <w:rsid w:val="00F05554"/>
    <w:rsid w:val="00F66FCF"/>
    <w:rsid w:val="00FA2191"/>
    <w:rsid w:val="00FA6EE8"/>
    <w:rsid w:val="00FB6038"/>
    <w:rsid w:val="00FC6065"/>
    <w:rsid w:val="00FC7146"/>
    <w:rsid w:val="00FD2C0D"/>
    <w:rsid w:val="00FE43BD"/>
    <w:rsid w:val="00FF33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styleId="Emphasis">
    <w:name w:val="Emphasis"/>
    <w:basedOn w:val="DefaultParagraphFont"/>
    <w:uiPriority w:val="20"/>
    <w:qFormat/>
    <w:rsid w:val="00847DAA"/>
    <w:rPr>
      <w:i/>
      <w:iCs/>
    </w:rPr>
  </w:style>
  <w:style w:type="character" w:styleId="Hyperlink">
    <w:name w:val="Hyperlink"/>
    <w:basedOn w:val="DefaultParagraphFont"/>
    <w:uiPriority w:val="99"/>
    <w:unhideWhenUsed/>
    <w:rsid w:val="005D5D41"/>
    <w:rPr>
      <w:color w:val="467886" w:themeColor="hyperlink"/>
      <w:u w:val="single"/>
    </w:rPr>
  </w:style>
  <w:style w:type="character" w:styleId="UnresolvedMention">
    <w:name w:val="Unresolved Mention"/>
    <w:basedOn w:val="DefaultParagraphFont"/>
    <w:uiPriority w:val="99"/>
    <w:semiHidden/>
    <w:unhideWhenUsed/>
    <w:rsid w:val="005D5D41"/>
    <w:rPr>
      <w:color w:val="605E5C"/>
      <w:shd w:val="clear" w:color="auto" w:fill="E1DFDD"/>
    </w:rPr>
  </w:style>
  <w:style w:type="character" w:styleId="FollowedHyperlink">
    <w:name w:val="FollowedHyperlink"/>
    <w:basedOn w:val="DefaultParagraphFont"/>
    <w:uiPriority w:val="99"/>
    <w:semiHidden/>
    <w:unhideWhenUsed/>
    <w:rsid w:val="009146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8872">
      <w:bodyDiv w:val="1"/>
      <w:marLeft w:val="0"/>
      <w:marRight w:val="0"/>
      <w:marTop w:val="0"/>
      <w:marBottom w:val="0"/>
      <w:divBdr>
        <w:top w:val="none" w:sz="0" w:space="0" w:color="auto"/>
        <w:left w:val="none" w:sz="0" w:space="0" w:color="auto"/>
        <w:bottom w:val="none" w:sz="0" w:space="0" w:color="auto"/>
        <w:right w:val="none" w:sz="0" w:space="0" w:color="auto"/>
      </w:divBdr>
    </w:div>
    <w:div w:id="43451308">
      <w:bodyDiv w:val="1"/>
      <w:marLeft w:val="0"/>
      <w:marRight w:val="0"/>
      <w:marTop w:val="0"/>
      <w:marBottom w:val="0"/>
      <w:divBdr>
        <w:top w:val="none" w:sz="0" w:space="0" w:color="auto"/>
        <w:left w:val="none" w:sz="0" w:space="0" w:color="auto"/>
        <w:bottom w:val="none" w:sz="0" w:space="0" w:color="auto"/>
        <w:right w:val="none" w:sz="0" w:space="0" w:color="auto"/>
      </w:divBdr>
    </w:div>
    <w:div w:id="57749290">
      <w:bodyDiv w:val="1"/>
      <w:marLeft w:val="0"/>
      <w:marRight w:val="0"/>
      <w:marTop w:val="0"/>
      <w:marBottom w:val="0"/>
      <w:divBdr>
        <w:top w:val="none" w:sz="0" w:space="0" w:color="auto"/>
        <w:left w:val="none" w:sz="0" w:space="0" w:color="auto"/>
        <w:bottom w:val="none" w:sz="0" w:space="0" w:color="auto"/>
        <w:right w:val="none" w:sz="0" w:space="0" w:color="auto"/>
      </w:divBdr>
    </w:div>
    <w:div w:id="133259401">
      <w:bodyDiv w:val="1"/>
      <w:marLeft w:val="0"/>
      <w:marRight w:val="0"/>
      <w:marTop w:val="0"/>
      <w:marBottom w:val="0"/>
      <w:divBdr>
        <w:top w:val="none" w:sz="0" w:space="0" w:color="auto"/>
        <w:left w:val="none" w:sz="0" w:space="0" w:color="auto"/>
        <w:bottom w:val="none" w:sz="0" w:space="0" w:color="auto"/>
        <w:right w:val="none" w:sz="0" w:space="0" w:color="auto"/>
      </w:divBdr>
    </w:div>
    <w:div w:id="135999220">
      <w:bodyDiv w:val="1"/>
      <w:marLeft w:val="0"/>
      <w:marRight w:val="0"/>
      <w:marTop w:val="0"/>
      <w:marBottom w:val="0"/>
      <w:divBdr>
        <w:top w:val="none" w:sz="0" w:space="0" w:color="auto"/>
        <w:left w:val="none" w:sz="0" w:space="0" w:color="auto"/>
        <w:bottom w:val="none" w:sz="0" w:space="0" w:color="auto"/>
        <w:right w:val="none" w:sz="0" w:space="0" w:color="auto"/>
      </w:divBdr>
    </w:div>
    <w:div w:id="258491759">
      <w:bodyDiv w:val="1"/>
      <w:marLeft w:val="0"/>
      <w:marRight w:val="0"/>
      <w:marTop w:val="0"/>
      <w:marBottom w:val="0"/>
      <w:divBdr>
        <w:top w:val="none" w:sz="0" w:space="0" w:color="auto"/>
        <w:left w:val="none" w:sz="0" w:space="0" w:color="auto"/>
        <w:bottom w:val="none" w:sz="0" w:space="0" w:color="auto"/>
        <w:right w:val="none" w:sz="0" w:space="0" w:color="auto"/>
      </w:divBdr>
    </w:div>
    <w:div w:id="408190019">
      <w:bodyDiv w:val="1"/>
      <w:marLeft w:val="0"/>
      <w:marRight w:val="0"/>
      <w:marTop w:val="0"/>
      <w:marBottom w:val="0"/>
      <w:divBdr>
        <w:top w:val="none" w:sz="0" w:space="0" w:color="auto"/>
        <w:left w:val="none" w:sz="0" w:space="0" w:color="auto"/>
        <w:bottom w:val="none" w:sz="0" w:space="0" w:color="auto"/>
        <w:right w:val="none" w:sz="0" w:space="0" w:color="auto"/>
      </w:divBdr>
    </w:div>
    <w:div w:id="455682764">
      <w:bodyDiv w:val="1"/>
      <w:marLeft w:val="0"/>
      <w:marRight w:val="0"/>
      <w:marTop w:val="0"/>
      <w:marBottom w:val="0"/>
      <w:divBdr>
        <w:top w:val="none" w:sz="0" w:space="0" w:color="auto"/>
        <w:left w:val="none" w:sz="0" w:space="0" w:color="auto"/>
        <w:bottom w:val="none" w:sz="0" w:space="0" w:color="auto"/>
        <w:right w:val="none" w:sz="0" w:space="0" w:color="auto"/>
      </w:divBdr>
    </w:div>
    <w:div w:id="473915989">
      <w:bodyDiv w:val="1"/>
      <w:marLeft w:val="0"/>
      <w:marRight w:val="0"/>
      <w:marTop w:val="0"/>
      <w:marBottom w:val="0"/>
      <w:divBdr>
        <w:top w:val="none" w:sz="0" w:space="0" w:color="auto"/>
        <w:left w:val="none" w:sz="0" w:space="0" w:color="auto"/>
        <w:bottom w:val="none" w:sz="0" w:space="0" w:color="auto"/>
        <w:right w:val="none" w:sz="0" w:space="0" w:color="auto"/>
      </w:divBdr>
    </w:div>
    <w:div w:id="558128136">
      <w:bodyDiv w:val="1"/>
      <w:marLeft w:val="0"/>
      <w:marRight w:val="0"/>
      <w:marTop w:val="0"/>
      <w:marBottom w:val="0"/>
      <w:divBdr>
        <w:top w:val="none" w:sz="0" w:space="0" w:color="auto"/>
        <w:left w:val="none" w:sz="0" w:space="0" w:color="auto"/>
        <w:bottom w:val="none" w:sz="0" w:space="0" w:color="auto"/>
        <w:right w:val="none" w:sz="0" w:space="0" w:color="auto"/>
      </w:divBdr>
    </w:div>
    <w:div w:id="601105038">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732240077">
      <w:bodyDiv w:val="1"/>
      <w:marLeft w:val="0"/>
      <w:marRight w:val="0"/>
      <w:marTop w:val="0"/>
      <w:marBottom w:val="0"/>
      <w:divBdr>
        <w:top w:val="none" w:sz="0" w:space="0" w:color="auto"/>
        <w:left w:val="none" w:sz="0" w:space="0" w:color="auto"/>
        <w:bottom w:val="none" w:sz="0" w:space="0" w:color="auto"/>
        <w:right w:val="none" w:sz="0" w:space="0" w:color="auto"/>
      </w:divBdr>
    </w:div>
    <w:div w:id="758604362">
      <w:bodyDiv w:val="1"/>
      <w:marLeft w:val="0"/>
      <w:marRight w:val="0"/>
      <w:marTop w:val="0"/>
      <w:marBottom w:val="0"/>
      <w:divBdr>
        <w:top w:val="none" w:sz="0" w:space="0" w:color="auto"/>
        <w:left w:val="none" w:sz="0" w:space="0" w:color="auto"/>
        <w:bottom w:val="none" w:sz="0" w:space="0" w:color="auto"/>
        <w:right w:val="none" w:sz="0" w:space="0" w:color="auto"/>
      </w:divBdr>
    </w:div>
    <w:div w:id="865294424">
      <w:bodyDiv w:val="1"/>
      <w:marLeft w:val="0"/>
      <w:marRight w:val="0"/>
      <w:marTop w:val="0"/>
      <w:marBottom w:val="0"/>
      <w:divBdr>
        <w:top w:val="none" w:sz="0" w:space="0" w:color="auto"/>
        <w:left w:val="none" w:sz="0" w:space="0" w:color="auto"/>
        <w:bottom w:val="none" w:sz="0" w:space="0" w:color="auto"/>
        <w:right w:val="none" w:sz="0" w:space="0" w:color="auto"/>
      </w:divBdr>
    </w:div>
    <w:div w:id="895624564">
      <w:bodyDiv w:val="1"/>
      <w:marLeft w:val="0"/>
      <w:marRight w:val="0"/>
      <w:marTop w:val="0"/>
      <w:marBottom w:val="0"/>
      <w:divBdr>
        <w:top w:val="none" w:sz="0" w:space="0" w:color="auto"/>
        <w:left w:val="none" w:sz="0" w:space="0" w:color="auto"/>
        <w:bottom w:val="none" w:sz="0" w:space="0" w:color="auto"/>
        <w:right w:val="none" w:sz="0" w:space="0" w:color="auto"/>
      </w:divBdr>
    </w:div>
    <w:div w:id="996155150">
      <w:bodyDiv w:val="1"/>
      <w:marLeft w:val="0"/>
      <w:marRight w:val="0"/>
      <w:marTop w:val="0"/>
      <w:marBottom w:val="0"/>
      <w:divBdr>
        <w:top w:val="none" w:sz="0" w:space="0" w:color="auto"/>
        <w:left w:val="none" w:sz="0" w:space="0" w:color="auto"/>
        <w:bottom w:val="none" w:sz="0" w:space="0" w:color="auto"/>
        <w:right w:val="none" w:sz="0" w:space="0" w:color="auto"/>
      </w:divBdr>
    </w:div>
    <w:div w:id="1199202666">
      <w:bodyDiv w:val="1"/>
      <w:marLeft w:val="0"/>
      <w:marRight w:val="0"/>
      <w:marTop w:val="0"/>
      <w:marBottom w:val="0"/>
      <w:divBdr>
        <w:top w:val="none" w:sz="0" w:space="0" w:color="auto"/>
        <w:left w:val="none" w:sz="0" w:space="0" w:color="auto"/>
        <w:bottom w:val="none" w:sz="0" w:space="0" w:color="auto"/>
        <w:right w:val="none" w:sz="0" w:space="0" w:color="auto"/>
      </w:divBdr>
    </w:div>
    <w:div w:id="1307200453">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343703386">
      <w:bodyDiv w:val="1"/>
      <w:marLeft w:val="0"/>
      <w:marRight w:val="0"/>
      <w:marTop w:val="0"/>
      <w:marBottom w:val="0"/>
      <w:divBdr>
        <w:top w:val="none" w:sz="0" w:space="0" w:color="auto"/>
        <w:left w:val="none" w:sz="0" w:space="0" w:color="auto"/>
        <w:bottom w:val="none" w:sz="0" w:space="0" w:color="auto"/>
        <w:right w:val="none" w:sz="0" w:space="0" w:color="auto"/>
      </w:divBdr>
    </w:div>
    <w:div w:id="1438646615">
      <w:bodyDiv w:val="1"/>
      <w:marLeft w:val="0"/>
      <w:marRight w:val="0"/>
      <w:marTop w:val="0"/>
      <w:marBottom w:val="0"/>
      <w:divBdr>
        <w:top w:val="none" w:sz="0" w:space="0" w:color="auto"/>
        <w:left w:val="none" w:sz="0" w:space="0" w:color="auto"/>
        <w:bottom w:val="none" w:sz="0" w:space="0" w:color="auto"/>
        <w:right w:val="none" w:sz="0" w:space="0" w:color="auto"/>
      </w:divBdr>
    </w:div>
    <w:div w:id="1498494158">
      <w:bodyDiv w:val="1"/>
      <w:marLeft w:val="0"/>
      <w:marRight w:val="0"/>
      <w:marTop w:val="0"/>
      <w:marBottom w:val="0"/>
      <w:divBdr>
        <w:top w:val="none" w:sz="0" w:space="0" w:color="auto"/>
        <w:left w:val="none" w:sz="0" w:space="0" w:color="auto"/>
        <w:bottom w:val="none" w:sz="0" w:space="0" w:color="auto"/>
        <w:right w:val="none" w:sz="0" w:space="0" w:color="auto"/>
      </w:divBdr>
    </w:div>
    <w:div w:id="1505582494">
      <w:bodyDiv w:val="1"/>
      <w:marLeft w:val="0"/>
      <w:marRight w:val="0"/>
      <w:marTop w:val="0"/>
      <w:marBottom w:val="0"/>
      <w:divBdr>
        <w:top w:val="none" w:sz="0" w:space="0" w:color="auto"/>
        <w:left w:val="none" w:sz="0" w:space="0" w:color="auto"/>
        <w:bottom w:val="none" w:sz="0" w:space="0" w:color="auto"/>
        <w:right w:val="none" w:sz="0" w:space="0" w:color="auto"/>
      </w:divBdr>
    </w:div>
    <w:div w:id="151213714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603108195">
      <w:bodyDiv w:val="1"/>
      <w:marLeft w:val="0"/>
      <w:marRight w:val="0"/>
      <w:marTop w:val="0"/>
      <w:marBottom w:val="0"/>
      <w:divBdr>
        <w:top w:val="none" w:sz="0" w:space="0" w:color="auto"/>
        <w:left w:val="none" w:sz="0" w:space="0" w:color="auto"/>
        <w:bottom w:val="none" w:sz="0" w:space="0" w:color="auto"/>
        <w:right w:val="none" w:sz="0" w:space="0" w:color="auto"/>
      </w:divBdr>
    </w:div>
    <w:div w:id="1812481369">
      <w:bodyDiv w:val="1"/>
      <w:marLeft w:val="0"/>
      <w:marRight w:val="0"/>
      <w:marTop w:val="0"/>
      <w:marBottom w:val="0"/>
      <w:divBdr>
        <w:top w:val="none" w:sz="0" w:space="0" w:color="auto"/>
        <w:left w:val="none" w:sz="0" w:space="0" w:color="auto"/>
        <w:bottom w:val="none" w:sz="0" w:space="0" w:color="auto"/>
        <w:right w:val="none" w:sz="0" w:space="0" w:color="auto"/>
      </w:divBdr>
    </w:div>
    <w:div w:id="1860510814">
      <w:bodyDiv w:val="1"/>
      <w:marLeft w:val="0"/>
      <w:marRight w:val="0"/>
      <w:marTop w:val="0"/>
      <w:marBottom w:val="0"/>
      <w:divBdr>
        <w:top w:val="none" w:sz="0" w:space="0" w:color="auto"/>
        <w:left w:val="none" w:sz="0" w:space="0" w:color="auto"/>
        <w:bottom w:val="none" w:sz="0" w:space="0" w:color="auto"/>
        <w:right w:val="none" w:sz="0" w:space="0" w:color="auto"/>
      </w:divBdr>
    </w:div>
    <w:div w:id="2045784563">
      <w:bodyDiv w:val="1"/>
      <w:marLeft w:val="0"/>
      <w:marRight w:val="0"/>
      <w:marTop w:val="0"/>
      <w:marBottom w:val="0"/>
      <w:divBdr>
        <w:top w:val="none" w:sz="0" w:space="0" w:color="auto"/>
        <w:left w:val="none" w:sz="0" w:space="0" w:color="auto"/>
        <w:bottom w:val="none" w:sz="0" w:space="0" w:color="auto"/>
        <w:right w:val="none" w:sz="0" w:space="0" w:color="auto"/>
      </w:divBdr>
    </w:div>
    <w:div w:id="2132045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file:///C:\Users\biancasanfilippo\Library\Group%20Containers\UBF8T346G9.ms\WebArchiveCopyPasteTempFiles\com.microsoft.Word\UWTSD-Logo.jpg" TargetMode="External"/><Relationship Id="rId13" Type="http://schemas.openxmlformats.org/officeDocument/2006/relationships/hyperlink" Target="https://doi.org/10.3399/bjgp18X697625" TargetMode="External"/><Relationship Id="rId18" Type="http://schemas.openxmlformats.org/officeDocument/2006/relationships/hyperlink" Target="https://www.thelancet.com/journals/lanepe/article/PIIS2666-7762%2823%2900205-3/fulltext"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rcn.org.uk/-/media/royal-college-of-nursing/documents/clinical-topics/improving-digital-literacy.pdf" TargetMode="External"/><Relationship Id="rId17" Type="http://schemas.openxmlformats.org/officeDocument/2006/relationships/hyperlink" Target="https://www.rcplondon.ac.uk/projects/outputs/digital-health-priorities-nhs-and-patients" TargetMode="External"/><Relationship Id="rId2" Type="http://schemas.openxmlformats.org/officeDocument/2006/relationships/styles" Target="styles.xml"/><Relationship Id="rId16" Type="http://schemas.openxmlformats.org/officeDocument/2006/relationships/hyperlink" Target="https://www.nice.org.uk/guidance/mtg64/resources/kardiamobile-for-detecting-atrial-fibrillation-pdf-64372176710341" TargetMode="External"/><Relationship Id="rId20" Type="http://schemas.openxmlformats.org/officeDocument/2006/relationships/hyperlink" Target="https://www.who.int/docs/default-source/documents/digital-health/global-strategy-on-digital-health-2020-202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ngtermplan.nhs.uk/wp-content/uploads/2019/01/nhs-long-term-plan.pdf" TargetMode="External"/><Relationship Id="rId5" Type="http://schemas.openxmlformats.org/officeDocument/2006/relationships/footnotes" Target="footnotes.xml"/><Relationship Id="rId15" Type="http://schemas.openxmlformats.org/officeDocument/2006/relationships/hyperlink" Target="https://www.england.nhs.uk/wp-content/uploads/2022/07/Making-a-decision-about-further-treatment-for-atrial-fibrillation.pdf" TargetMode="External"/><Relationship Id="rId23" Type="http://schemas.openxmlformats.org/officeDocument/2006/relationships/theme" Target="theme/theme1.xml"/><Relationship Id="rId10" Type="http://schemas.openxmlformats.org/officeDocument/2006/relationships/hyperlink" Target="https://doi.org/10.2196/jmir.8775" TargetMode="External"/><Relationship Id="rId19" Type="http://schemas.openxmlformats.org/officeDocument/2006/relationships/hyperlink" Target="https://topol.hee.nhs.uk/wp-content/uploads/HEE-Topol-Review-2019.pdf" TargetMode="External"/><Relationship Id="rId4" Type="http://schemas.openxmlformats.org/officeDocument/2006/relationships/webSettings" Target="webSettings.xml"/><Relationship Id="rId9" Type="http://schemas.openxmlformats.org/officeDocument/2006/relationships/hyperlink" Target="https://www.bhf.org.uk/-/media/files/atrial-fibrillation-patient-perspective.pdf" TargetMode="External"/><Relationship Id="rId14" Type="http://schemas.openxmlformats.org/officeDocument/2006/relationships/hyperlink" Target="https://doi.org/10.1093/eurjcn/zvab09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167</TotalTime>
  <Pages>11</Pages>
  <Words>2774</Words>
  <Characters>15816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Venisha Henry (2316686)</cp:lastModifiedBy>
  <cp:revision>128</cp:revision>
  <dcterms:created xsi:type="dcterms:W3CDTF">2025-10-12T16:41:00Z</dcterms:created>
  <dcterms:modified xsi:type="dcterms:W3CDTF">2025-11-12T15:54:00Z</dcterms:modified>
</cp:coreProperties>
</file>