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C44286" wp14:paraId="12FD9B17" wp14:textId="6B5AA4B6">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 xml:space="preserve">Student Name: </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Gloria Margarita Ramos Agramonte</w:t>
      </w:r>
    </w:p>
    <w:p xmlns:wp14="http://schemas.microsoft.com/office/word/2010/wordml" w:rsidP="13C44286" wp14:paraId="602CD950" wp14:textId="683D935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Student Number:</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2426859</w:t>
      </w:r>
    </w:p>
    <w:p xmlns:wp14="http://schemas.microsoft.com/office/word/2010/wordml" w:rsidP="13C44286" wp14:paraId="0E1B837D" wp14:textId="23177FE4">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Module Title:</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Principles of Health and Social Care Practice</w:t>
      </w:r>
    </w:p>
    <w:p xmlns:wp14="http://schemas.microsoft.com/office/word/2010/wordml" w:rsidP="13C44286" wp14:paraId="6E743CBE" wp14:textId="78E934C3">
      <w:pPr>
        <w:pStyle w:val="NoSpacing"/>
        <w:spacing w:before="20" w:beforeAutospacing="off" w:after="0" w:afterAutospacing="on" w:line="360" w:lineRule="auto"/>
        <w:rPr>
          <w:rFonts w:ascii="Arial" w:hAnsi="Arial" w:eastAsia="Arial" w:cs="Arial"/>
          <w:noProof w:val="0"/>
          <w:sz w:val="40"/>
          <w:szCs w:val="40"/>
          <w:lang w:val="en-GB"/>
        </w:rPr>
      </w:pPr>
      <w:r w:rsidRPr="13C44286" w:rsidR="1483DF20">
        <w:rPr>
          <w:rFonts w:ascii="Arial" w:hAnsi="Arial" w:eastAsia="Arial" w:cs="Arial"/>
          <w:b w:val="1"/>
          <w:bCs w:val="1"/>
          <w:i w:val="0"/>
          <w:iCs w:val="0"/>
          <w:caps w:val="0"/>
          <w:smallCaps w:val="0"/>
          <w:noProof w:val="0"/>
          <w:color w:val="000000" w:themeColor="text1" w:themeTint="FF" w:themeShade="FF"/>
          <w:sz w:val="40"/>
          <w:szCs w:val="40"/>
          <w:lang w:val="en-GB"/>
        </w:rPr>
        <w:t xml:space="preserve">Lecture Name: </w:t>
      </w:r>
      <w:r w:rsidRPr="13C44286" w:rsidR="7A1B32D0">
        <w:rPr>
          <w:rFonts w:ascii="Source Sans Pro" w:hAnsi="Source Sans Pro" w:eastAsia="Source Sans Pro" w:cs="Source Sans Pro"/>
          <w:b w:val="0"/>
          <w:bCs w:val="0"/>
          <w:i w:val="0"/>
          <w:iCs w:val="0"/>
          <w:caps w:val="0"/>
          <w:smallCaps w:val="0"/>
          <w:noProof w:val="0"/>
          <w:color w:val="242130"/>
          <w:sz w:val="40"/>
          <w:szCs w:val="40"/>
          <w:lang w:val="en-GB"/>
        </w:rPr>
        <w:t>Tsiwani</w:t>
      </w:r>
      <w:r w:rsidRPr="13C44286" w:rsidR="7A1B32D0">
        <w:rPr>
          <w:rFonts w:ascii="Source Sans Pro" w:hAnsi="Source Sans Pro" w:eastAsia="Source Sans Pro" w:cs="Source Sans Pro"/>
          <w:b w:val="0"/>
          <w:bCs w:val="0"/>
          <w:i w:val="0"/>
          <w:iCs w:val="0"/>
          <w:caps w:val="0"/>
          <w:smallCaps w:val="0"/>
          <w:noProof w:val="0"/>
          <w:color w:val="242130"/>
          <w:sz w:val="40"/>
          <w:szCs w:val="40"/>
          <w:lang w:val="en-GB"/>
        </w:rPr>
        <w:t xml:space="preserve"> Khumalo</w:t>
      </w:r>
    </w:p>
    <w:p xmlns:wp14="http://schemas.microsoft.com/office/word/2010/wordml" w:rsidP="13C44286" wp14:paraId="4569568D" wp14:textId="5990FCF5">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Module Code:</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BMHP5016</w:t>
      </w:r>
    </w:p>
    <w:p xmlns:wp14="http://schemas.microsoft.com/office/word/2010/wordml" w:rsidP="13C44286" wp14:paraId="5BD5B6F8" wp14:textId="731B29B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 xml:space="preserve">Assignment: </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Component</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1 Reflective Report</w:t>
      </w:r>
    </w:p>
    <w:p xmlns:wp14="http://schemas.microsoft.com/office/word/2010/wordml" w:rsidP="13C44286" wp14:paraId="78347E72" wp14:textId="70E2B742">
      <w:pPr>
        <w:pStyle w:val="NoSpacing"/>
        <w:spacing w:before="20" w:beforeAutospacing="off" w:after="0" w:afterAutospacing="on" w:line="360" w:lineRule="auto"/>
        <w:rPr>
          <w:rFonts w:ascii="Aptos" w:hAnsi="Aptos" w:eastAsia="Aptos" w:cs="Aptos"/>
          <w:b w:val="0"/>
          <w:bCs w:val="0"/>
          <w:i w:val="0"/>
          <w:iCs w:val="0"/>
          <w:caps w:val="0"/>
          <w:smallCaps w:val="0"/>
          <w:noProof w:val="0"/>
          <w:color w:val="000000" w:themeColor="text1" w:themeTint="FF" w:themeShade="FF"/>
          <w:sz w:val="40"/>
          <w:szCs w:val="40"/>
          <w:lang w:val="en-GB"/>
        </w:rPr>
      </w:pPr>
      <w:r w:rsidRPr="13C44286" w:rsidR="28C39C82">
        <w:rPr>
          <w:rFonts w:ascii="Aptos" w:hAnsi="Aptos" w:eastAsia="Aptos" w:cs="Aptos"/>
          <w:b w:val="1"/>
          <w:bCs w:val="1"/>
          <w:i w:val="0"/>
          <w:iCs w:val="0"/>
          <w:caps w:val="0"/>
          <w:smallCaps w:val="0"/>
          <w:noProof w:val="0"/>
          <w:color w:val="000000" w:themeColor="text1" w:themeTint="FF" w:themeShade="FF"/>
          <w:sz w:val="40"/>
          <w:szCs w:val="40"/>
          <w:lang w:val="en-GB"/>
        </w:rPr>
        <w:t>Word Count:</w:t>
      </w:r>
      <w:r w:rsidRPr="13C44286" w:rsidR="28C39C82">
        <w:rPr>
          <w:rFonts w:ascii="Aptos" w:hAnsi="Aptos" w:eastAsia="Aptos" w:cs="Aptos"/>
          <w:b w:val="0"/>
          <w:bCs w:val="0"/>
          <w:i w:val="0"/>
          <w:iCs w:val="0"/>
          <w:caps w:val="0"/>
          <w:smallCaps w:val="0"/>
          <w:noProof w:val="0"/>
          <w:color w:val="000000" w:themeColor="text1" w:themeTint="FF" w:themeShade="FF"/>
          <w:sz w:val="40"/>
          <w:szCs w:val="40"/>
          <w:lang w:val="en-GB"/>
        </w:rPr>
        <w:t xml:space="preserve"> Approx. 2,000 words</w:t>
      </w:r>
    </w:p>
    <w:p xmlns:wp14="http://schemas.microsoft.com/office/word/2010/wordml" w:rsidP="13C44286" wp14:paraId="5E5787A5" wp14:textId="56B3A583">
      <w:pPr>
        <w:rPr>
          <w:sz w:val="48"/>
          <w:szCs w:val="48"/>
        </w:rPr>
      </w:pPr>
    </w:p>
    <w:p w:rsidR="13C44286" w:rsidRDefault="13C44286" w14:paraId="7870234F" w14:textId="14B55DA7"/>
    <w:p w:rsidR="13C44286" w:rsidRDefault="13C44286" w14:paraId="4C258F37" w14:textId="3C98E641"/>
    <w:p w:rsidR="13C44286" w:rsidRDefault="13C44286" w14:paraId="06E5FB6D" w14:textId="69685E39"/>
    <w:p w:rsidR="13C44286" w:rsidRDefault="13C44286" w14:paraId="2AAECEEF" w14:textId="0197CEFB"/>
    <w:p w:rsidR="13C44286" w:rsidRDefault="13C44286" w14:paraId="399626A2" w14:textId="40D21055"/>
    <w:p w:rsidR="13C44286" w:rsidRDefault="13C44286" w14:paraId="6D6CF651" w14:textId="67EB1B9C"/>
    <w:p w:rsidR="13C44286" w:rsidRDefault="13C44286" w14:paraId="5A61906D" w14:textId="3712F9B6"/>
    <w:p w:rsidR="13C44286" w:rsidRDefault="13C44286" w14:paraId="1EA138CF" w14:textId="5A961914"/>
    <w:p w:rsidR="13C44286" w:rsidP="13C44286" w:rsidRDefault="13C44286" w14:paraId="27EE2810" w14:textId="3942B670">
      <w:pPr>
        <w:pStyle w:val="NoSpacing"/>
        <w:spacing w:before="20" w:beforeAutospacing="off" w:after="0" w:afterAutospacing="on" w:line="36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13C44286" w:rsidP="13C44286" w:rsidRDefault="13C44286" w14:paraId="6EB4DC62" w14:textId="7EB5A865">
      <w:pPr>
        <w:pStyle w:val="NoSpacing"/>
        <w:spacing w:before="20" w:beforeAutospacing="off" w:after="0" w:afterAutospacing="on" w:line="360" w:lineRule="auto"/>
        <w:rPr>
          <w:rFonts w:ascii="Aptos" w:hAnsi="Aptos" w:eastAsia="Aptos" w:cs="Aptos"/>
          <w:b w:val="1"/>
          <w:bCs w:val="1"/>
          <w:i w:val="0"/>
          <w:iCs w:val="0"/>
          <w:caps w:val="0"/>
          <w:smallCaps w:val="0"/>
          <w:noProof w:val="0"/>
          <w:color w:val="000000" w:themeColor="text1" w:themeTint="FF" w:themeShade="FF"/>
          <w:sz w:val="24"/>
          <w:szCs w:val="24"/>
          <w:lang w:val="en-GB"/>
        </w:rPr>
      </w:pPr>
    </w:p>
    <w:p w:rsidR="233253B9" w:rsidP="13C44286" w:rsidRDefault="233253B9" w14:paraId="7ADDD1D0" w14:textId="1CE5FDD4">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233253B9">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w:rsidR="0625B288" w:rsidP="13C44286" w:rsidRDefault="0625B288" w14:paraId="76823401" w14:textId="430BB82B">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Introduction ……………………………………………………………… 1</w:t>
      </w:r>
      <w:r w:rsidRPr="13C44286" w:rsidR="67E1839F">
        <w:rPr>
          <w:rFonts w:ascii="Arial" w:hAnsi="Arial" w:eastAsia="Arial" w:cs="Arial"/>
          <w:b w:val="1"/>
          <w:bCs w:val="1"/>
          <w:i w:val="0"/>
          <w:iCs w:val="0"/>
          <w:caps w:val="0"/>
          <w:smallCaps w:val="0"/>
          <w:noProof w:val="0"/>
          <w:color w:val="000000" w:themeColor="text1" w:themeTint="FF" w:themeShade="FF"/>
          <w:sz w:val="22"/>
          <w:szCs w:val="22"/>
          <w:lang w:val="en-GB"/>
        </w:rPr>
        <w:t>-2</w:t>
      </w:r>
    </w:p>
    <w:p w:rsidR="0625B288" w:rsidP="13C44286" w:rsidRDefault="0625B288" w14:paraId="379F73B7" w14:textId="22F73909">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Main Body ……………………………………………………………</w:t>
      </w:r>
      <w:r w:rsidRPr="13C44286" w:rsidR="668A8972">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2</w:t>
      </w:r>
    </w:p>
    <w:p w:rsidR="0625B288" w:rsidP="13C44286" w:rsidRDefault="0625B288" w14:paraId="13A745E2" w14:textId="5CE34342">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Communication in Health and Social Care ……………</w:t>
      </w:r>
      <w:r w:rsidRPr="13C44286" w:rsidR="5F385B24">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2–3</w:t>
      </w:r>
    </w:p>
    <w:p w:rsidR="0625B288" w:rsidP="13C44286" w:rsidRDefault="0625B288" w14:paraId="32481EB5" w14:textId="690BB1C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Maslow’s Hierarchy of Needs (1943) ………………………… 3–5</w:t>
      </w:r>
    </w:p>
    <w:p w:rsidR="0625B288" w:rsidP="13C44286" w:rsidRDefault="0625B288" w14:paraId="7D9379F2" w14:textId="27C40B27">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Partnership Working …………………………………………</w:t>
      </w:r>
      <w:r w:rsidRPr="13C44286" w:rsidR="5F916370">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5–8</w:t>
      </w:r>
    </w:p>
    <w:p w:rsidR="0625B288" w:rsidP="13C44286" w:rsidRDefault="0625B288" w14:paraId="1EB33206" w14:textId="6A866B1A">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Record Keeping and Data Protection ………………………… 8–10</w:t>
      </w:r>
    </w:p>
    <w:p w:rsidR="0625B288" w:rsidP="13C44286" w:rsidRDefault="0625B288" w14:paraId="0A146031" w14:textId="3D75A257">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Continuing Professional Development (CPD) …………</w:t>
      </w:r>
      <w:r w:rsidRPr="13C44286" w:rsidR="01F4F041">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10–11</w:t>
      </w:r>
    </w:p>
    <w:p w:rsidR="0625B288" w:rsidP="13C44286" w:rsidRDefault="0625B288" w14:paraId="63F8DCFB" w14:textId="4DC9238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Conclusion ………………………………………………………………. 11</w:t>
      </w:r>
    </w:p>
    <w:p w:rsidR="0625B288" w:rsidP="13C44286" w:rsidRDefault="0625B288" w14:paraId="57BCB894" w14:textId="2D84A24C">
      <w:pPr>
        <w:pStyle w:val="NoSpacing"/>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Reference List ………………………………………………………</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w:t>
      </w:r>
      <w:r w:rsidRPr="13C44286" w:rsidR="0625B288">
        <w:rPr>
          <w:rFonts w:ascii="Arial" w:hAnsi="Arial" w:eastAsia="Arial" w:cs="Arial"/>
          <w:b w:val="1"/>
          <w:bCs w:val="1"/>
          <w:i w:val="0"/>
          <w:iCs w:val="0"/>
          <w:caps w:val="0"/>
          <w:smallCaps w:val="0"/>
          <w:noProof w:val="0"/>
          <w:color w:val="000000" w:themeColor="text1" w:themeTint="FF" w:themeShade="FF"/>
          <w:sz w:val="22"/>
          <w:szCs w:val="22"/>
          <w:lang w:val="en-GB"/>
        </w:rPr>
        <w:t xml:space="preserve"> 12</w:t>
      </w:r>
    </w:p>
    <w:p w:rsidR="5727DDDA" w:rsidP="13C44286" w:rsidRDefault="5727DDDA" w14:paraId="0AEBD905" w14:textId="3F7F8A6A">
      <w:pPr>
        <w:spacing w:before="240" w:beforeAutospacing="off" w:after="240" w:afterAutospacing="off" w:line="360" w:lineRule="auto"/>
        <w:rPr>
          <w:rFonts w:ascii="Arial" w:hAnsi="Arial" w:eastAsia="Arial" w:cs="Arial"/>
          <w:noProof w:val="0"/>
          <w:sz w:val="22"/>
          <w:szCs w:val="22"/>
          <w:lang w:val="en-GB"/>
        </w:rPr>
      </w:pPr>
      <w:r w:rsidRPr="13C44286" w:rsidR="5727DDDA">
        <w:rPr>
          <w:rFonts w:ascii="Arial" w:hAnsi="Arial" w:eastAsia="Arial" w:cs="Arial"/>
          <w:noProof w:val="0"/>
          <w:sz w:val="22"/>
          <w:szCs w:val="22"/>
          <w:lang w:val="en-GB"/>
        </w:rPr>
        <w:t xml:space="preserve"> </w:t>
      </w:r>
    </w:p>
    <w:p w:rsidR="13C44286" w:rsidP="13C44286" w:rsidRDefault="13C44286" w14:paraId="67E4DE83" w14:textId="3A41A81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0E51A291" w14:textId="7B591FA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45D1F7BC" w14:textId="6FE3342D">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1597C222" w14:textId="4F14906B">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2E89511" w14:textId="34E75294">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10220514" w14:textId="2F9D90A4">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FDF45B5" w14:textId="5AF62862">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77854D9F" w14:textId="63CC1737">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3C4C4970" w14:textId="40DAC00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FE126D7" w14:textId="650ADBD9">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25E10029" w14:textId="6F36D73C">
      <w:pPr>
        <w:spacing w:before="240" w:beforeAutospacing="off" w:after="240" w:afterAutospacing="off" w:line="360" w:lineRule="auto"/>
        <w:rPr>
          <w:rFonts w:ascii="Arial" w:hAnsi="Arial" w:eastAsia="Arial" w:cs="Arial"/>
          <w:noProof w:val="0"/>
          <w:sz w:val="22"/>
          <w:szCs w:val="22"/>
          <w:lang w:val="en-GB"/>
        </w:rPr>
      </w:pPr>
    </w:p>
    <w:p w:rsidR="13C44286" w:rsidP="13C44286" w:rsidRDefault="13C44286" w14:paraId="6393DE69" w14:textId="4221C141">
      <w:pPr>
        <w:spacing w:before="240" w:beforeAutospacing="off" w:after="240" w:afterAutospacing="off" w:line="360" w:lineRule="auto"/>
        <w:rPr>
          <w:rFonts w:ascii="Arial" w:hAnsi="Arial" w:eastAsia="Arial" w:cs="Arial"/>
          <w:noProof w:val="0"/>
          <w:sz w:val="22"/>
          <w:szCs w:val="22"/>
          <w:lang w:val="en-GB"/>
        </w:rPr>
      </w:pPr>
    </w:p>
    <w:p w:rsidR="5727DDDA" w:rsidP="13C44286" w:rsidRDefault="5727DDDA" w14:paraId="3B2BE951" w14:textId="61F5F0F7">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5727DDDA">
        <w:rPr>
          <w:rFonts w:ascii="Arial" w:hAnsi="Arial" w:eastAsia="Arial" w:cs="Arial"/>
          <w:noProof w:val="0"/>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7B97E253" w:rsidP="13C44286" w:rsidRDefault="7B97E253" w14:paraId="37C940B7" w14:textId="2FE7511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Health and social care practice in the United Kingdom is guided by key principles that ensure care is safe,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effective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responsive to individual needs (Department of Health and Social Care, 2014). In understanding, these principles are not only theoretical concepts but form the foundation of everyday professional practice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B97E253" w:rsidP="13C44286" w:rsidRDefault="7B97E253" w14:paraId="200DD679" w14:textId="12CB4EB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focuses on three essential principles: person-centred care, partnership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working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ethical practice, which underpin professional standards and current legislation. The aim of this report is to critically explore the importance of these principles, examine how they are applied in real-life settings and reflect on my own professional development. Task 1 discusses academic definitions, their significance in practice and the challenges of implementation, supported by relevant theory and policy such as the Care Act 2014 and ethical frameworks (Banks, 2021). Task 2 applies these principles to a case study involving an elderly patient with complex health needs,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how person-centred care, partnership working and ethical practice are implemented in a UK care setting. Task 3 uses Gibbs’ Reflective Cycle to support reflective practice and future development</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Introduction </w:t>
      </w:r>
    </w:p>
    <w:p w:rsidR="13C44286" w:rsidP="13C44286" w:rsidRDefault="13C44286" w14:paraId="6512C985" w14:textId="341FAB9A">
      <w:pPr>
        <w:spacing w:before="20" w:beforeAutospacing="off" w:after="0" w:afterAutospacing="on" w:line="360" w:lineRule="auto"/>
        <w:rPr>
          <w:rFonts w:ascii="Arial" w:hAnsi="Arial" w:eastAsia="Arial" w:cs="Arial"/>
          <w:b w:val="0"/>
          <w:bCs w:val="0"/>
          <w:i w:val="0"/>
          <w:iCs w:val="0"/>
          <w:caps w:val="0"/>
          <w:smallCaps w:val="0"/>
          <w:noProof w:val="0"/>
          <w:color w:val="FF0000"/>
          <w:sz w:val="22"/>
          <w:szCs w:val="22"/>
          <w:lang w:val="en-GB"/>
        </w:rPr>
      </w:pPr>
    </w:p>
    <w:p w:rsidR="7B97E253" w:rsidP="13C44286" w:rsidRDefault="7B97E253" w14:paraId="1A9190D8" w14:textId="34055102">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1"/>
          <w:bCs w:val="1"/>
          <w:i w:val="0"/>
          <w:iCs w:val="0"/>
          <w:caps w:val="0"/>
          <w:smallCaps w:val="0"/>
          <w:noProof w:val="0"/>
          <w:color w:val="000000" w:themeColor="text1" w:themeTint="FF" w:themeShade="FF"/>
          <w:sz w:val="22"/>
          <w:szCs w:val="22"/>
          <w:lang w:val="en-GB"/>
        </w:rPr>
        <w:t xml:space="preserve"> Task 1: Reflection on the Importance of Principles of Health and Social Care</w:t>
      </w:r>
    </w:p>
    <w:p w:rsidR="7B97E253" w:rsidP="13C44286" w:rsidRDefault="7B97E253" w14:paraId="43C5D0CB" w14:textId="7B950DC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1"/>
          <w:bCs w:val="1"/>
          <w:i w:val="0"/>
          <w:iCs w:val="0"/>
          <w:caps w:val="0"/>
          <w:smallCaps w:val="0"/>
          <w:noProof w:val="0"/>
          <w:color w:val="000000" w:themeColor="text1" w:themeTint="FF" w:themeShade="FF"/>
          <w:sz w:val="22"/>
          <w:szCs w:val="22"/>
          <w:lang w:val="en-GB"/>
        </w:rPr>
        <w:t>Person-centred care (PCC</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is a fundamental principle in health and social care, emphasising that individuals should be actively involved in decisions about their care. NICE (2021) defines person-centred care as care that respects and responds to a person’s needs,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preferences</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values. Similarly, McCormack and McCance (2017) describe PCC as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a holistic approach</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built upon therapeutic relationships,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dignity</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shared decision-making. While both definitions prioritise individual involvement, McCormack and McCance extend the concept by highlighting the importance of meaningful emotional connections,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that person-centred care goes beyond providing choice to fostering trust and respect within professional relationships. </w:t>
      </w:r>
    </w:p>
    <w:p w:rsidR="7B97E253" w:rsidP="13C44286" w:rsidRDefault="7B97E253" w14:paraId="5B534B9A" w14:textId="6ABB44D9">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Legislation strongly reinforces this principle. The Care Act 2014 places a statutory duty on professionals to promote wellbeing, </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independence</w:t>
      </w:r>
      <w:r w:rsidRPr="13C44286" w:rsidR="7B97E253">
        <w:rPr>
          <w:rFonts w:ascii="Arial" w:hAnsi="Arial" w:eastAsia="Arial" w:cs="Arial"/>
          <w:b w:val="0"/>
          <w:bCs w:val="0"/>
          <w:i w:val="0"/>
          <w:iCs w:val="0"/>
          <w:caps w:val="0"/>
          <w:smallCaps w:val="0"/>
          <w:noProof w:val="0"/>
          <w:color w:val="000000" w:themeColor="text1" w:themeTint="FF" w:themeShade="FF"/>
          <w:sz w:val="22"/>
          <w:szCs w:val="22"/>
          <w:lang w:val="en-GB"/>
        </w:rPr>
        <w:t xml:space="preserve"> and dignity (Department of Health and Social Care, 2014).</w:t>
      </w:r>
    </w:p>
    <w:p w:rsidR="2395C68B" w:rsidP="13C44286" w:rsidRDefault="2395C68B" w14:paraId="7B27A60A" w14:textId="526ACC38">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The benefits of person-centred care (PCC) include improved service user satisfaction, stronger trust in professionals and better health outcomes. When individuals are involved in decision-making, they are more likely to engage with treatment and adhere to care plans (NICE, 2021). PCC also promotes dignity and emotional wellbeing by recognising the whole person rather than focusing only on medical needs (McCormack and McCance, 2017).</w:t>
      </w:r>
    </w:p>
    <w:p w:rsidR="2395C68B" w:rsidP="13C44286" w:rsidRDefault="2395C68B" w14:paraId="408BF397" w14:textId="2ADF7CD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a key challenge is time constraints in busy care settings, which can limit opportunities for meaningful communication and personalised support (Beresford et al., 2016).</w:t>
      </w:r>
    </w:p>
    <w:p w:rsidR="2395C68B" w:rsidP="13C44286" w:rsidRDefault="2395C68B" w14:paraId="7A748F0E" w14:textId="34AC72F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Maslow’s Hierarchy of Needs (Maslow, 1943) provides a theoretical foundation by suggesting that individuals must have physiological and safety needs met before progressing to psychological needs such as belonging and esteem. In practice, this means ensuring nutrition, comfort,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safety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emotional reassurance before addressing higher-level goals. Therefore, Maslow’s framework reinforces holistic,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structured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compassionate approaches to care planning (Maslow, 1943).</w:t>
      </w:r>
    </w:p>
    <w:p w:rsidR="2395C68B" w:rsidP="13C44286" w:rsidRDefault="2395C68B" w14:paraId="71458118" w14:textId="4AA443F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Partnership working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is another essential principle within health and social care. Glasby and Dickinson (2014) define partnership working as coordinated action between agencies to reduce fragmentation and improve outcomes. In contrast, the Royal College of Nursing (RCN, 2020) focuses more on frontline collaboration and shared responsibility among multidisciplinary teams. While Glasby and Dickinson (2014)</w:t>
      </w:r>
      <w:r w:rsidRPr="13C44286" w:rsidR="2395C68B">
        <w:rPr>
          <w:rFonts w:ascii="Arial" w:hAnsi="Arial" w:eastAsia="Arial" w:cs="Arial"/>
          <w:b w:val="0"/>
          <w:bCs w:val="0"/>
          <w:i w:val="0"/>
          <w:iCs w:val="0"/>
          <w:caps w:val="0"/>
          <w:smallCaps w:val="0"/>
          <w:noProof w:val="0"/>
          <w:color w:val="FF0000"/>
          <w:sz w:val="22"/>
          <w:szCs w:val="22"/>
          <w:lang w:val="en-GB"/>
        </w:rPr>
        <w:t xml:space="preserv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emphasise organisational integration, the RCN stresses communication between professionals. Both perspectives highlight collaboration as central to safe and effective care.</w:t>
      </w:r>
    </w:p>
    <w:p w:rsidR="2395C68B" w:rsidP="13C44286" w:rsidRDefault="2395C68B" w14:paraId="670F279D" w14:textId="5BC12F1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Partnership working enhances continuity, reduces duplication of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services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supports individuals with complex needs. However, barriers such as professional boundaries, organisational differences and data protection concerns may limit effective communication (Beresford et al., 2016). </w:t>
      </w:r>
    </w:p>
    <w:p w:rsidR="2395C68B" w:rsidP="13C44286" w:rsidRDefault="2395C68B" w14:paraId="5F4F8C20" w14:textId="42841B3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Bronfenbrenner’s Ecological Systems Theory provides a theoretical explanation for the necessity of partnership approaches, as it emphasises that individuals are influenced by interconnected systems including family,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professionals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wider societal structures (Bronfenbrenner, 1979). This reinforces the need for collaborative and coordinated support.</w:t>
      </w:r>
    </w:p>
    <w:p w:rsidR="2395C68B" w:rsidP="13C44286" w:rsidRDefault="2395C68B" w14:paraId="6965E156" w14:textId="62AC2C2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The Health and Care Act 2022 formally recognise the importance of integrated practice through the development of Integrated Care Systems (ICS) (Department of Health and Social Care, 2022).</w:t>
      </w:r>
    </w:p>
    <w:p w:rsidR="13C44286" w:rsidP="13C44286" w:rsidRDefault="13C44286" w14:paraId="05DF6ACC" w14:textId="5521E885">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35451690" w14:textId="2BA2468E">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95C68B" w:rsidP="13C44286" w:rsidRDefault="2395C68B" w14:paraId="4DEEF3EC" w14:textId="2E815B0E">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Ethical practice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underpins safe professional decision-making. Beauchamp and Childress (2019) outline four key principles: autonomy, beneficence, non-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maleficence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justice. In comparison, the Health and Care Professions Council (HCPC, 2016) translates these ethical principles into professional standards, requiring practitioners to act in service users’ best interests while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integrity. Ethical challenges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arise when balancing autonomy with safeguarding responsibilities. </w:t>
      </w:r>
    </w:p>
    <w:p w:rsidR="2395C68B" w:rsidP="13C44286" w:rsidRDefault="2395C68B" w14:paraId="45C67027" w14:textId="291A7982">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The Mental Capacity Act 2005 provides a legal framework for decision-making when individuals lack capacity, ensuring that actions are taken in their best interests while respecting rights wherever possible. </w:t>
      </w:r>
    </w:p>
    <w:p w:rsidR="2395C68B" w:rsidP="13C44286" w:rsidRDefault="2395C68B" w14:paraId="03B1BFD3" w14:textId="0D396F7B">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Overall, person-centred care, partnership working and ethical practice are interconnected principles that ensure safe,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compassionate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legally compliant service delivery. Integrating legislation, theory and professional standards is essential for high-quality health and social care practice</w:t>
      </w:r>
    </w:p>
    <w:p w:rsidR="2395C68B" w:rsidP="13C44286" w:rsidRDefault="2395C68B" w14:paraId="19CD6A34" w14:textId="2554EA67">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Task 2: Practical Example in Practice Case Study </w:t>
      </w:r>
    </w:p>
    <w:p w:rsidR="2395C68B" w:rsidP="13C44286" w:rsidRDefault="2395C68B" w14:paraId="700BA8EE" w14:textId="6B63E47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Mrs C is a widow living alone with advanced Chronic Obstructive Pulmonary Disease (COPD) and metastatic lung cancer affecting her bones and liver. Her condition is progressive and life-limiting, with recent hospital admissions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clinical deterioration. This case clearly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practical application of person-centred care, partnership working and ethical practice within UK community and palliative care services, guided by national legislation and professional standards.</w:t>
      </w:r>
    </w:p>
    <w:p w:rsidR="2395C68B" w:rsidP="13C44286" w:rsidRDefault="2395C68B" w14:paraId="208FCB4A" w14:textId="3CDA2CC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 Person-centred care (PCC)</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is the foundation of Mrs C’s support. NICE (2021) emphasises that individuals receiving end-of-life care must be involved in decisions about their treatment and supported to express their preferences. In practice, this means engaging in shared decision-making conversations about symptom management, prognosis, and preferred place of care (NICE, 2021). The Care Act 2014 statutory guidance also highlights the promotion of wellbeing, including dignity, physical and emotional health, and control over daily life (Department of Health and Social Care, 2022).</w:t>
      </w:r>
    </w:p>
    <w:p w:rsidR="2395C68B" w:rsidP="13C44286" w:rsidRDefault="2395C68B" w14:paraId="26C34A6B" w14:textId="4084963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For Mrs C, this requires holistic assessment—not only addressing breathlessness, fatigue and cancer-related pain but also recognising the emotional impact of bereavement and social isolation. NICE (2021) recommends proactive advance care planning, enabling individuals to communicate their wishes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resuscitation decisions and escalation of care. Research from NHS England (2023) further supports personalised care models,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stating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that shared care planning improves patient satisfaction and reduces avoidable hospital admissions. Therefore, adopting PCC in Mrs C’s case enhances both quality of life and healthcare efficiency.</w:t>
      </w:r>
    </w:p>
    <w:p w:rsidR="2395C68B" w:rsidP="13C44286" w:rsidRDefault="2395C68B" w14:paraId="43EF8FFB" w14:textId="7216B2E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 xml:space="preserve"> Partnership working (PW)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is essential given the complexity of her physical and psychosocial needs. The Health and Care Act 2022 promote Integrated Care Systems (ICSs) to improve collaboration between NHS services, local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authorities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voluntary sector partners (Department of Health and Social Care, 2022). Effective multidisciplinary teamwork involving GPs, oncology consultants, respiratory specialists, district nurses, palliative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teams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social workers ensures coordinated symptom management and crisis prevention.</w:t>
      </w:r>
    </w:p>
    <w:p w:rsidR="2395C68B" w:rsidP="13C44286" w:rsidRDefault="2395C68B" w14:paraId="4EB61370" w14:textId="586E6291">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NHS England (2023) highlights that integrated working improves communication pathways and strengthens continuity of care in complex, long-term conditions. In Mrs C’s case, regular multidisciplinary team (MDT) meetings allow professionals to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deterioration, review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medication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adjust support needs. Family engagement, with Mrs C’s consent, is equally important, as partnership working extends beyond professionals to include informal carers (NICE, 2021). However, barriers such as delayed communication and fragmented documentation can occur. These challenges can be addressed through shared electronic health records and clear role allocation within the MDT, consistent with integrated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2022).</w:t>
      </w:r>
    </w:p>
    <w:p w:rsidR="2395C68B" w:rsidP="13C44286" w:rsidRDefault="2395C68B" w14:paraId="2C13A8E1" w14:textId="4D788AA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Ethical practice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underpins safe decision-making in life-limiting illness. The Mental Capacity Act 2005, reinforced by its updated Code of Practice guidance (2022), requires professionals to presume capacity unless proven otherwise and to support individuals in decision-making. If Mrs C’s condition deteriorates and she temporarily lacks capacity, decisions must follow best-interest principles and reflect her previously expressed wishes. This ensures respect for autonomy while safeguarding wellbeing.</w:t>
      </w:r>
    </w:p>
    <w:p w:rsidR="2395C68B" w:rsidP="13C44286" w:rsidRDefault="2395C68B" w14:paraId="335FA685" w14:textId="700B70DF">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professional standards require practitioners to communicate openly and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dignity (HCPC, 2024). Ethical care also involves balancing beneficence and non-maleficence, particularly when discussing prognosis or withdrawing aggressive treatment. NICE (2021) stresses the importance of honest but compassionate communication in end-of-life discussions to prevent emotional harm. Overall, the integration of person-centred care, partnership working and ethical frameworks supported by current UK legislation, NICE guidance and professional standards enhances continuity,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autonomy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compassionate care delivery. In Mrs C’s case, applying these principles reduces fragmentation, respects her individual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values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promotes coordinated, holistic palliative support aligned with modern health and social care policy.</w:t>
      </w:r>
    </w:p>
    <w:p w:rsidR="2395C68B" w:rsidP="13C44286" w:rsidRDefault="2395C68B" w14:paraId="4059BFE8" w14:textId="0ACC338A">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1"/>
          <w:bCs w:val="1"/>
          <w:i w:val="0"/>
          <w:iCs w:val="0"/>
          <w:caps w:val="0"/>
          <w:smallCaps w:val="0"/>
          <w:noProof w:val="0"/>
          <w:color w:val="000000" w:themeColor="text1" w:themeTint="FF" w:themeShade="FF"/>
          <w:sz w:val="22"/>
          <w:szCs w:val="22"/>
          <w:lang w:val="en-GB"/>
        </w:rPr>
        <w:t>Task 3: Self-Reflection on Health and Social Care</w:t>
      </w:r>
    </w:p>
    <w:p w:rsidR="2395C68B" w:rsidP="13C44286" w:rsidRDefault="2395C68B" w14:paraId="2251F2BD" w14:textId="12A65C14">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(Gibbs’ Reflective Cycle developed in 1988)</w:t>
      </w:r>
    </w:p>
    <w:p w:rsidR="2395C68B" w:rsidP="13C44286" w:rsidRDefault="2395C68B" w14:paraId="45FF1533" w14:textId="45C8881F">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Reflective practice is essential in health and social care as it supports continuous learning,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accountability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professional development. Gibbs’ Reflective Cycle (1988) provides a structured framework that enables practitioners to critically examine experiences through description, feelings, evaluation,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analysis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conclusion. This reflection explores my experience of supporting an elderly patient living with dementia in a UK care setting, applying person-centred care, partnership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working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ethical practice within current legislative and professional frameworks.</w:t>
      </w:r>
    </w:p>
    <w:p w:rsidR="2395C68B" w:rsidP="13C44286" w:rsidRDefault="2395C68B" w14:paraId="5FEE28E6" w14:textId="1005D6C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Description </w:t>
      </w:r>
    </w:p>
    <w:p w:rsidR="2395C68B" w:rsidP="13C44286" w:rsidRDefault="2395C68B" w14:paraId="3C6F4C84" w14:textId="5E751106">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During my placement, I supported an elderly patient diagnosed with moderate dementia who experienced memory loss,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anxiety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disorientation, especially when routines changed (NHS, 2023). Dementia affects cognition, emotional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regulation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independence, increasing reliance on structured support.</w:t>
      </w:r>
    </w:p>
    <w:p w:rsidR="2395C68B" w:rsidP="13C44286" w:rsidRDefault="2395C68B" w14:paraId="5F8B1834" w14:textId="7ECD5B7D">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followed an individualised care plan focused 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routine, promoting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dignity</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reducing distress. My responsibilities included assisting with personal care, supporting mobility, encouraging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nutrition</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communicating calmly and respectfully. Safeguarding procedures and confidentiality were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professional standards.</w:t>
      </w:r>
    </w:p>
    <w:p w:rsidR="2395C68B" w:rsidP="13C44286" w:rsidRDefault="2395C68B" w14:paraId="04F617C7" w14:textId="54E798F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Care was delivered collaboratively by healthcare assistants, nurses, the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GP</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family members, reflecting person-centred principles outlined in NICE (2021) guidance. This multidisciplinary approach aligns with the integrated care framework reinforced in the Health and Care Act 2022 (Department of Health and Social Care, 2022). Ethical decision-making was informed by the Mental Capacity Act 2005, particularly when the patient’s capacity fluctuated.</w:t>
      </w:r>
    </w:p>
    <w:p w:rsidR="2395C68B" w:rsidP="13C44286" w:rsidRDefault="2395C68B" w14:paraId="1D9D0D86" w14:textId="39BCA66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Feelings</w:t>
      </w:r>
    </w:p>
    <w:p w:rsidR="2395C68B" w:rsidP="13C44286" w:rsidRDefault="2395C68B" w14:paraId="2516BEF0" w14:textId="505B8D46">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Initially, I felt nervous and lacked confidence communicating with a patient experiencing cognitive decline. As a Spanish-speaking student studying in the UK, I sometimes feel uncertain using professional terminology in multidisciplinary discussions. I was concerned about increasing confusion or misunderstanding the patient’s needs. However,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patient’s distress strengthened my empathy and awareness of the importance of reassurance and dignity in care. Statutory guidance under the Care Act 2014 emphasises promoting wellbeing and respect (Department of Health and Social Care, 2022). This reinforced my understanding that compassionate communication is a professional and ethical responsibility. As I gained experience, my confidence improved.</w:t>
      </w:r>
    </w:p>
    <w:p w:rsidR="2395C68B" w:rsidP="13C44286" w:rsidRDefault="2395C68B" w14:paraId="2A103E59" w14:textId="5C00FB08">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Evaluation</w:t>
      </w:r>
    </w:p>
    <w:p w:rsidR="2395C68B" w:rsidP="13C44286" w:rsidRDefault="2395C68B" w14:paraId="34991049" w14:textId="23B986C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A key strength of my practice was applying person-centred communication strategies, including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eye contact, using simple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language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and following familiar routines. NICE (2021) highlights that consistency and familiarity reduce anxiety in people living with dementia. I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that adherence to the care plan positively influenced the patient’s emotional stability. I also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maintained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confidentiality and safeguarding responsibilities in line with HCPC (2023) professional standards. However, partnership working presented challenges when communication between professionals and family members lacked clarity. Additionally, fluctuating capacity required careful adherence to the Mental Capacity Act 2005. Although I followed guidance from senior staff, I recognised the need to enhance my confidence in applying legal frameworks independently.</w:t>
      </w:r>
    </w:p>
    <w:p w:rsidR="2395C68B" w:rsidP="13C44286" w:rsidRDefault="2395C68B" w14:paraId="61AE2FE0" w14:textId="41BEDA5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Analysis  </w:t>
      </w:r>
    </w:p>
    <w:p w:rsidR="2395C68B" w:rsidP="13C44286" w:rsidRDefault="2395C68B" w14:paraId="557E869C" w14:textId="4E2381E3">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This experience confirmed that legislation and theory underpin safe practice. Person-centred care emphasises preserving dignity and recognising the individual beyond their diagnosis (NICE, 2021). Observing reduced anxiety when care aligned with the patient’s preferences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the effectiveness of this approach. The Mental Capacity Act 2005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establishes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principles of presuming capacity and acting in best interests where capacity is impaired. Applying this legislation required balancing autonomy with safeguarding responsibilities. Ethical practice involves critical judgement and accountability, not only procedural compliance.</w:t>
      </w:r>
    </w:p>
    <w:p w:rsidR="2395C68B" w:rsidP="13C44286" w:rsidRDefault="2395C68B" w14:paraId="2D1D4057" w14:textId="7602FD76">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Partnership working reflects the integrated care principles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established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Health and Care Act 2022 (Department of Health and Social Care, 2022). Effective multidisciplinary communication supports coordinated care and minimises risk. This experience highlighted the importance of developing confident professional communication skills to contribute effectively within teams.</w:t>
      </w:r>
    </w:p>
    <w:p w:rsidR="13C44286" w:rsidP="13C44286" w:rsidRDefault="13C44286" w14:paraId="0C3BA848" w14:textId="21B4475C">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6DE55CFE" w14:textId="61852983">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7927E0F" w14:textId="173F7DB3">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4EA7C79" w14:textId="3AF76DF8">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0B28FDFC" w14:textId="0B1EDD03">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2D49F880" w14:textId="034D6A7F">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57FEE712" w14:textId="353B9486">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814E355" w14:textId="341CF687">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6E19A646" w14:textId="4172207F">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6D7B812A" w14:textId="5ED5615E">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0145E108" w14:textId="633EDFAB">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3DCC8B53" w14:textId="37607430">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FA5190A" w14:textId="0E8BA234">
      <w:pPr>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017ED466" w14:textId="3AB66237">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658B3D8" w14:textId="509A85F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414FB9D" w14:textId="4BCA2557">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14FDEAD9" w14:textId="0B33F825">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Action Plan</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1800"/>
        <w:gridCol w:w="1800"/>
        <w:gridCol w:w="1800"/>
        <w:gridCol w:w="3705"/>
      </w:tblGrid>
      <w:tr w:rsidR="13C44286" w:rsidTr="13C44286" w14:paraId="5B1CC599">
        <w:trPr>
          <w:trHeight w:val="300"/>
        </w:trPr>
        <w:tc>
          <w:tcPr>
            <w:tcW w:w="1800" w:type="dxa"/>
            <w:tcMar>
              <w:left w:w="105" w:type="dxa"/>
              <w:right w:w="105" w:type="dxa"/>
            </w:tcMar>
            <w:vAlign w:val="top"/>
          </w:tcPr>
          <w:p w:rsidR="13C44286" w:rsidP="13C44286" w:rsidRDefault="13C44286" w14:paraId="398F9C08" w14:textId="083F1549">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Development Need</w:t>
            </w:r>
          </w:p>
        </w:tc>
        <w:tc>
          <w:tcPr>
            <w:tcW w:w="1800" w:type="dxa"/>
            <w:tcMar>
              <w:left w:w="105" w:type="dxa"/>
              <w:right w:w="105" w:type="dxa"/>
            </w:tcMar>
            <w:vAlign w:val="top"/>
          </w:tcPr>
          <w:p w:rsidR="13C44286" w:rsidP="13C44286" w:rsidRDefault="13C44286" w14:paraId="1B8DCFB3" w14:textId="1340EA39">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Action Required</w:t>
            </w:r>
          </w:p>
          <w:p w:rsidR="13C44286" w:rsidP="13C44286" w:rsidRDefault="13C44286" w14:paraId="622A1B40" w14:textId="091F8B64">
            <w:pPr>
              <w:spacing w:before="20" w:beforeAutospacing="off" w:after="0" w:afterAutospacing="on" w:line="360" w:lineRule="auto"/>
              <w:rPr>
                <w:rFonts w:ascii="Arial" w:hAnsi="Arial" w:eastAsia="Arial" w:cs="Arial"/>
                <w:b w:val="0"/>
                <w:bCs w:val="0"/>
                <w:i w:val="0"/>
                <w:iCs w:val="0"/>
                <w:sz w:val="22"/>
                <w:szCs w:val="22"/>
              </w:rPr>
            </w:pPr>
          </w:p>
        </w:tc>
        <w:tc>
          <w:tcPr>
            <w:tcW w:w="1800" w:type="dxa"/>
            <w:tcMar>
              <w:left w:w="105" w:type="dxa"/>
              <w:right w:w="105" w:type="dxa"/>
            </w:tcMar>
            <w:vAlign w:val="top"/>
          </w:tcPr>
          <w:p w:rsidR="13C44286" w:rsidP="13C44286" w:rsidRDefault="13C44286" w14:paraId="0B3FF452" w14:textId="53D2674A">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Timeframe</w:t>
            </w:r>
          </w:p>
          <w:p w:rsidR="13C44286" w:rsidP="13C44286" w:rsidRDefault="13C44286" w14:paraId="61C3E190" w14:textId="0EB02B24">
            <w:pPr>
              <w:spacing w:before="20" w:beforeAutospacing="off" w:after="0" w:afterAutospacing="on" w:line="360" w:lineRule="auto"/>
              <w:rPr>
                <w:rFonts w:ascii="Arial" w:hAnsi="Arial" w:eastAsia="Arial" w:cs="Arial"/>
                <w:b w:val="0"/>
                <w:bCs w:val="0"/>
                <w:i w:val="0"/>
                <w:iCs w:val="0"/>
                <w:sz w:val="22"/>
                <w:szCs w:val="22"/>
              </w:rPr>
            </w:pPr>
          </w:p>
        </w:tc>
        <w:tc>
          <w:tcPr>
            <w:tcW w:w="3705" w:type="dxa"/>
            <w:tcMar>
              <w:left w:w="105" w:type="dxa"/>
              <w:right w:w="105" w:type="dxa"/>
            </w:tcMar>
            <w:vAlign w:val="top"/>
          </w:tcPr>
          <w:p w:rsidR="13C44286" w:rsidP="13C44286" w:rsidRDefault="13C44286" w14:paraId="0CD1249C" w14:textId="5F047EA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Evidence of Achievement</w:t>
            </w:r>
          </w:p>
        </w:tc>
      </w:tr>
      <w:tr w:rsidR="13C44286" w:rsidTr="13C44286" w14:paraId="570CFD4E">
        <w:trPr>
          <w:trHeight w:val="300"/>
        </w:trPr>
        <w:tc>
          <w:tcPr>
            <w:tcW w:w="1800" w:type="dxa"/>
            <w:tcMar>
              <w:left w:w="105" w:type="dxa"/>
              <w:right w:w="105" w:type="dxa"/>
            </w:tcMar>
            <w:vAlign w:val="top"/>
          </w:tcPr>
          <w:p w:rsidR="13C44286" w:rsidP="13C44286" w:rsidRDefault="13C44286" w14:paraId="6DCFCE28" w14:textId="31A503D2">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Improve knowledge of dementia care</w:t>
            </w:r>
          </w:p>
        </w:tc>
        <w:tc>
          <w:tcPr>
            <w:tcW w:w="1800" w:type="dxa"/>
            <w:tcMar>
              <w:left w:w="105" w:type="dxa"/>
              <w:right w:w="105" w:type="dxa"/>
            </w:tcMar>
            <w:vAlign w:val="top"/>
          </w:tcPr>
          <w:p w:rsidR="13C44286" w:rsidP="13C44286" w:rsidRDefault="13C44286" w14:paraId="17137404" w14:textId="01E29827">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Attend CPD training on dementia and person-centred approaches</w:t>
            </w:r>
          </w:p>
        </w:tc>
        <w:tc>
          <w:tcPr>
            <w:tcW w:w="1800" w:type="dxa"/>
            <w:tcMar>
              <w:left w:w="105" w:type="dxa"/>
              <w:right w:w="105" w:type="dxa"/>
            </w:tcMar>
            <w:vAlign w:val="top"/>
          </w:tcPr>
          <w:p w:rsidR="13C44286" w:rsidP="13C44286" w:rsidRDefault="13C44286" w14:paraId="020076FA" w14:textId="74AD9816">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Within 6 months</w:t>
            </w:r>
          </w:p>
        </w:tc>
        <w:tc>
          <w:tcPr>
            <w:tcW w:w="3705" w:type="dxa"/>
            <w:tcMar>
              <w:left w:w="105" w:type="dxa"/>
              <w:right w:w="105" w:type="dxa"/>
            </w:tcMar>
            <w:vAlign w:val="top"/>
          </w:tcPr>
          <w:p w:rsidR="13C44286" w:rsidP="13C44286" w:rsidRDefault="13C44286" w14:paraId="22B969AD" w14:textId="1553C78D">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CPD certificate</w:t>
            </w:r>
          </w:p>
        </w:tc>
      </w:tr>
      <w:tr w:rsidR="13C44286" w:rsidTr="13C44286" w14:paraId="652F8009">
        <w:trPr>
          <w:trHeight w:val="300"/>
        </w:trPr>
        <w:tc>
          <w:tcPr>
            <w:tcW w:w="1800" w:type="dxa"/>
            <w:tcMar>
              <w:left w:w="105" w:type="dxa"/>
              <w:right w:w="105" w:type="dxa"/>
            </w:tcMar>
            <w:vAlign w:val="top"/>
          </w:tcPr>
          <w:p w:rsidR="13C44286" w:rsidP="13C44286" w:rsidRDefault="13C44286" w14:paraId="6F91C66E" w14:textId="366A3165">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Develop confidence in MDT communication</w:t>
            </w:r>
          </w:p>
        </w:tc>
        <w:tc>
          <w:tcPr>
            <w:tcW w:w="1800" w:type="dxa"/>
            <w:tcMar>
              <w:left w:w="105" w:type="dxa"/>
              <w:right w:w="105" w:type="dxa"/>
            </w:tcMar>
            <w:vAlign w:val="top"/>
          </w:tcPr>
          <w:p w:rsidR="13C44286" w:rsidP="13C44286" w:rsidRDefault="13C44286" w14:paraId="1D54A10A" w14:textId="060EB11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Observe and actively contribute to multidisciplinary meetings</w:t>
            </w:r>
          </w:p>
        </w:tc>
        <w:tc>
          <w:tcPr>
            <w:tcW w:w="1800" w:type="dxa"/>
            <w:tcMar>
              <w:left w:w="105" w:type="dxa"/>
              <w:right w:w="105" w:type="dxa"/>
            </w:tcMar>
            <w:vAlign w:val="top"/>
          </w:tcPr>
          <w:p w:rsidR="13C44286" w:rsidP="13C44286" w:rsidRDefault="13C44286" w14:paraId="6CBA6449" w14:textId="48845113">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Ongoing placement</w:t>
            </w:r>
          </w:p>
        </w:tc>
        <w:tc>
          <w:tcPr>
            <w:tcW w:w="3705" w:type="dxa"/>
            <w:tcMar>
              <w:left w:w="105" w:type="dxa"/>
              <w:right w:w="105" w:type="dxa"/>
            </w:tcMar>
            <w:vAlign w:val="top"/>
          </w:tcPr>
          <w:p w:rsidR="13C44286" w:rsidP="13C44286" w:rsidRDefault="13C44286" w14:paraId="5F9E59F2" w14:textId="1010071B">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Supervisor feedback</w:t>
            </w:r>
          </w:p>
        </w:tc>
      </w:tr>
      <w:tr w:rsidR="13C44286" w:rsidTr="13C44286" w14:paraId="4A990877">
        <w:trPr>
          <w:trHeight w:val="300"/>
        </w:trPr>
        <w:tc>
          <w:tcPr>
            <w:tcW w:w="1800" w:type="dxa"/>
            <w:tcMar>
              <w:left w:w="105" w:type="dxa"/>
              <w:right w:w="105" w:type="dxa"/>
            </w:tcMar>
            <w:vAlign w:val="top"/>
          </w:tcPr>
          <w:p w:rsidR="13C44286" w:rsidP="13C44286" w:rsidRDefault="13C44286" w14:paraId="7F66329F" w14:textId="51631F41">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Strengthen understanding of Mental Capacity Act 2005</w:t>
            </w:r>
          </w:p>
        </w:tc>
        <w:tc>
          <w:tcPr>
            <w:tcW w:w="1800" w:type="dxa"/>
            <w:tcMar>
              <w:left w:w="105" w:type="dxa"/>
              <w:right w:w="105" w:type="dxa"/>
            </w:tcMar>
            <w:vAlign w:val="top"/>
          </w:tcPr>
          <w:p w:rsidR="13C44286" w:rsidP="13C44286" w:rsidRDefault="13C44286" w14:paraId="1C9A4C4A" w14:textId="5A6E0B91">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Complete e-learning module and review case law examples</w:t>
            </w:r>
          </w:p>
        </w:tc>
        <w:tc>
          <w:tcPr>
            <w:tcW w:w="1800" w:type="dxa"/>
            <w:tcMar>
              <w:left w:w="105" w:type="dxa"/>
              <w:right w:w="105" w:type="dxa"/>
            </w:tcMar>
            <w:vAlign w:val="top"/>
          </w:tcPr>
          <w:p w:rsidR="13C44286" w:rsidP="13C44286" w:rsidRDefault="13C44286" w14:paraId="744943DB" w14:textId="4CB3228B">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3 months</w:t>
            </w:r>
          </w:p>
        </w:tc>
        <w:tc>
          <w:tcPr>
            <w:tcW w:w="3705" w:type="dxa"/>
            <w:tcMar>
              <w:left w:w="105" w:type="dxa"/>
              <w:right w:w="105" w:type="dxa"/>
            </w:tcMar>
            <w:vAlign w:val="top"/>
          </w:tcPr>
          <w:p w:rsidR="13C44286" w:rsidP="13C44286" w:rsidRDefault="13C44286" w14:paraId="1F3EF946" w14:textId="321ACC96">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Reflection log entry</w:t>
            </w:r>
          </w:p>
        </w:tc>
      </w:tr>
      <w:tr w:rsidR="13C44286" w:rsidTr="13C44286" w14:paraId="5FAE17F3">
        <w:trPr>
          <w:trHeight w:val="765"/>
        </w:trPr>
        <w:tc>
          <w:tcPr>
            <w:tcW w:w="1800" w:type="dxa"/>
            <w:tcMar>
              <w:left w:w="105" w:type="dxa"/>
              <w:right w:w="105" w:type="dxa"/>
            </w:tcMar>
            <w:vAlign w:val="top"/>
          </w:tcPr>
          <w:p w:rsidR="13C44286" w:rsidP="13C44286" w:rsidRDefault="13C44286" w14:paraId="0AC1A1CC" w14:textId="0DECFF95">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Enhance professional terminology</w:t>
            </w:r>
          </w:p>
        </w:tc>
        <w:tc>
          <w:tcPr>
            <w:tcW w:w="1800" w:type="dxa"/>
            <w:tcMar>
              <w:left w:w="105" w:type="dxa"/>
              <w:right w:w="105" w:type="dxa"/>
            </w:tcMar>
            <w:vAlign w:val="top"/>
          </w:tcPr>
          <w:p w:rsidR="13C44286" w:rsidP="13C44286" w:rsidRDefault="13C44286" w14:paraId="66A9A1FD" w14:textId="226AED93">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Practice reflective writing and seek academic feedback</w:t>
            </w:r>
          </w:p>
        </w:tc>
        <w:tc>
          <w:tcPr>
            <w:tcW w:w="1800" w:type="dxa"/>
            <w:tcMar>
              <w:left w:w="105" w:type="dxa"/>
              <w:right w:w="105" w:type="dxa"/>
            </w:tcMar>
            <w:vAlign w:val="top"/>
          </w:tcPr>
          <w:p w:rsidR="13C44286" w:rsidP="13C44286" w:rsidRDefault="13C44286" w14:paraId="248D946A" w14:textId="2A379B98">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Ongoing</w:t>
            </w:r>
          </w:p>
        </w:tc>
        <w:tc>
          <w:tcPr>
            <w:tcW w:w="3705" w:type="dxa"/>
            <w:tcMar>
              <w:left w:w="105" w:type="dxa"/>
              <w:right w:w="105" w:type="dxa"/>
            </w:tcMar>
            <w:vAlign w:val="top"/>
          </w:tcPr>
          <w:p w:rsidR="13C44286" w:rsidP="13C44286" w:rsidRDefault="13C44286" w14:paraId="6999DC52" w14:textId="476263DC">
            <w:pPr>
              <w:pStyle w:val="NoSpacing"/>
              <w:spacing w:before="20" w:beforeAutospacing="off" w:after="0" w:afterAutospacing="on" w:line="360" w:lineRule="auto"/>
              <w:rPr>
                <w:rFonts w:ascii="Arial" w:hAnsi="Arial" w:eastAsia="Arial" w:cs="Arial"/>
                <w:b w:val="0"/>
                <w:bCs w:val="0"/>
                <w:i w:val="0"/>
                <w:iCs w:val="0"/>
                <w:sz w:val="22"/>
                <w:szCs w:val="22"/>
              </w:rPr>
            </w:pPr>
            <w:r w:rsidRPr="13C44286" w:rsidR="13C44286">
              <w:rPr>
                <w:rFonts w:ascii="Arial" w:hAnsi="Arial" w:eastAsia="Arial" w:cs="Arial"/>
                <w:b w:val="0"/>
                <w:bCs w:val="0"/>
                <w:i w:val="0"/>
                <w:iCs w:val="0"/>
                <w:sz w:val="22"/>
                <w:szCs w:val="22"/>
                <w:lang w:val="en-GB"/>
              </w:rPr>
              <w:t>Improved assignment grades</w:t>
            </w:r>
          </w:p>
        </w:tc>
      </w:tr>
    </w:tbl>
    <w:p w:rsidR="13C44286" w:rsidP="13C44286" w:rsidRDefault="13C44286" w14:paraId="6E6B4DB4" w14:textId="20DC827E">
      <w:pPr>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68093096" w14:textId="48FB1DD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To improve my practice, I plan to undertake CPD in dementia care,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observe</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multidisciplinary meetings, and continue developing my professional communication skills. These actions will support my growth as a health and social care practitioner and enhance the quality of care I provide and making sure that action plan will be fallow.</w:t>
      </w:r>
    </w:p>
    <w:p w:rsidR="13C44286" w:rsidP="13C44286" w:rsidRDefault="13C44286" w14:paraId="50282BC4" w14:textId="13B6E95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95C68B" w:rsidP="13C44286" w:rsidRDefault="2395C68B" w14:paraId="767623C6" w14:textId="04CDF729">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95C68B" w:rsidP="13C44286" w:rsidRDefault="2395C68B" w14:paraId="3898EDC2" w14:textId="206B799E">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Conclusion </w:t>
      </w:r>
    </w:p>
    <w:p w:rsidR="2395C68B" w:rsidP="13C44286" w:rsidRDefault="2395C68B" w14:paraId="22028AB1" w14:textId="35B41B1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has critically examined the importance of person-centred care, partnership working, and ethical practice in health and social care. Through engagement with academic literature, theory, and legislation, the report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how these principles support quality care and professional development. The dementia case study illustrated their practical application, while self-reflection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strengths and areas for improvement. Overall, understanding and applying these principles is essential for delivering safe, effective, and compassionate care in line with UK policy and professional standards. Through this reflection, I </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13C44286" w:rsidR="2395C68B">
        <w:rPr>
          <w:rFonts w:ascii="Arial" w:hAnsi="Arial" w:eastAsia="Arial" w:cs="Arial"/>
          <w:b w:val="0"/>
          <w:bCs w:val="0"/>
          <w:i w:val="0"/>
          <w:iCs w:val="0"/>
          <w:caps w:val="0"/>
          <w:smallCaps w:val="0"/>
          <w:noProof w:val="0"/>
          <w:color w:val="000000" w:themeColor="text1" w:themeTint="FF" w:themeShade="FF"/>
          <w:sz w:val="22"/>
          <w:szCs w:val="22"/>
          <w:lang w:val="en-GB"/>
        </w:rPr>
        <w:t xml:space="preserve"> strengths in empathy, patience, and person-centred values. However, I also recognised the need to improve confidence in multidisciplinary communication and ethical decision-making. Supporting a patient with dementia highlighted the importance of balancing safety, dignity, and autonomy within protectional practice (Department of Health and Social Care,2014).</w:t>
      </w:r>
    </w:p>
    <w:p w:rsidR="13C44286" w:rsidP="13C44286" w:rsidRDefault="13C44286" w14:paraId="55F93CCE" w14:textId="5FDB148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5B9C9AC" w14:textId="7C3392E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654CF5F8" w14:textId="5B47833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BFEF1D9" w14:textId="1B464A82">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5E1BBB8A" w14:textId="6FC2211C">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9810512" w14:textId="0C35EC66">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536C17F" w14:textId="6BC313C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2005F765" w14:textId="79DCB447">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08D619D6" w14:textId="19ADE754">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C77BAA1" w14:textId="5D258A40">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1C5453D5" w14:textId="34E75F9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7DE18952" w14:textId="1A77A9A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CC63C2C" w14:textId="0A671BBE">
      <w:pPr>
        <w:pStyle w:val="NoSpacing"/>
        <w:bidi w:val="0"/>
        <w:spacing w:before="20" w:beforeAutospacing="off" w:after="0" w:afterAutospacing="on"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3B5F70C" w:rsidP="13C44286" w:rsidRDefault="13B5F70C" w14:paraId="04874B6E" w14:textId="19ED1E9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 List; </w:t>
      </w:r>
    </w:p>
    <w:p w:rsidR="13B5F70C" w:rsidP="13C44286" w:rsidRDefault="13B5F70C" w14:paraId="276A372D" w14:textId="36D9BD4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Banks, S. (2021) Ethics and values in social work. 5th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edn</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Bloomsbury Publishing.</w:t>
      </w:r>
    </w:p>
    <w:p w:rsidR="13B5F70C" w:rsidP="13C44286" w:rsidRDefault="13B5F70C" w14:paraId="25AAB30B" w14:textId="71FA4BED">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Beauchamp, T.L. and Childress, J.F. (2019) Principles of biomedical ethics. 8th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edn</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Oxford University Press.</w:t>
      </w:r>
    </w:p>
    <w:p w:rsidR="13B5F70C" w:rsidP="13C44286" w:rsidRDefault="13B5F70C" w14:paraId="2ACC4259" w14:textId="0C7E3EF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Beresford, P., Croft, S. and Adshead, L. (2016) ‘“We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don’t</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see her as a social worker”: A service user case study of the importance of the social worker’s relationship and humanity’, British Journal of Social Work, 46(4), pp. 1014–1034.</w:t>
      </w:r>
    </w:p>
    <w:p w:rsidR="13B5F70C" w:rsidP="13C44286" w:rsidRDefault="13B5F70C" w14:paraId="25BC6D87" w14:textId="57F355D5">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Bronfenbrenner, U. (1979) The ecology of human development: Experiments by nature and design. Harvard University Press.</w:t>
      </w:r>
    </w:p>
    <w:p w:rsidR="13B5F70C" w:rsidP="13C44286" w:rsidRDefault="13B5F70C" w14:paraId="021879B0" w14:textId="1700AD8A">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(2014) Care Act 2014. Available at: </w:t>
      </w:r>
      <w:hyperlink r:id="R7dec15765abd4c98">
        <w:r w:rsidRPr="13C44286" w:rsidR="13B5F70C">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https://www.legislation.gov.uk/ukpga/2014/23/contents</w:t>
        </w:r>
      </w:hyperlink>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13B5F70C" w:rsidP="13C44286" w:rsidRDefault="13B5F70C" w14:paraId="02227AE6" w14:textId="1156CA37">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Department of Health and Social Care (2022) Health and Care Act 2022. Available at: </w:t>
      </w:r>
      <w:hyperlink r:id="R1afd86e89afc4949">
        <w:r w:rsidRPr="13C44286" w:rsidR="13B5F70C">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https://www.legislation.gov.uk/ukpga/2022/31/contents</w:t>
        </w:r>
      </w:hyperlink>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13B5F70C" w:rsidP="13C44286" w:rsidRDefault="13B5F70C" w14:paraId="162BAABC" w14:textId="24C6B201">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Glasby, J. and Dickinson, H. (2014) Partnership working in health and social care: What is integrated care and how can we deliver it? 2nd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edn</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Policy Press.</w:t>
      </w:r>
    </w:p>
    <w:p w:rsidR="13B5F70C" w:rsidP="13C44286" w:rsidRDefault="13B5F70C" w14:paraId="4025BDB9" w14:textId="6EA5428F">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Care Professions Council (2016) Standards of conduct,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performance</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ethics. Available at: </w:t>
      </w:r>
      <w:hyperlink r:id="R097ae12a3cc44337">
        <w:r w:rsidRPr="13C44286" w:rsidR="13B5F70C">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https://www.hcpc-uk.org/standards/</w:t>
        </w:r>
      </w:hyperlink>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13B5F70C" w:rsidP="13C44286" w:rsidRDefault="13B5F70C" w14:paraId="22C86343" w14:textId="48BBD36E">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Care Professions Council (2024) Standards of conduct, </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performance</w:t>
      </w: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and ethics. Available at: </w:t>
      </w:r>
      <w:hyperlink r:id="R776b97531ad94d3f">
        <w:r w:rsidRPr="13C44286" w:rsidR="13B5F70C">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https://www.hcpc-uk.org/standards/</w:t>
        </w:r>
      </w:hyperlink>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 February 2026).</w:t>
      </w:r>
    </w:p>
    <w:p w:rsidR="13B5F70C" w:rsidP="13C44286" w:rsidRDefault="13B5F70C" w14:paraId="38F7941D" w14:textId="512A0D26">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3C44286" w:rsidR="13B5F70C">
        <w:rPr>
          <w:rFonts w:ascii="Arial" w:hAnsi="Arial" w:eastAsia="Arial" w:cs="Arial"/>
          <w:b w:val="0"/>
          <w:bCs w:val="0"/>
          <w:i w:val="0"/>
          <w:iCs w:val="0"/>
          <w:caps w:val="0"/>
          <w:smallCaps w:val="0"/>
          <w:noProof w:val="0"/>
          <w:color w:val="000000" w:themeColor="text1" w:themeTint="FF" w:themeShade="FF"/>
          <w:sz w:val="22"/>
          <w:szCs w:val="22"/>
          <w:lang w:val="en-GB"/>
        </w:rPr>
        <w:t xml:space="preserve"> Maslow, A.H. (1943) ‘A theory of human motivation’, Psychological Review, 50(4), pp. 370–396.</w:t>
      </w:r>
    </w:p>
    <w:p w:rsidR="13C44286" w:rsidP="13C44286" w:rsidRDefault="13C44286" w14:paraId="73EF2ADE" w14:textId="3C35E93C">
      <w:pPr>
        <w:pStyle w:val="NoSpacing"/>
        <w:bidi w:val="0"/>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35F73703" w14:textId="089D0CEC">
      <w:pPr>
        <w:pStyle w:val="NoSpacing"/>
        <w:spacing w:before="20" w:beforeAutospacing="off"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C44286" w:rsidP="13C44286" w:rsidRDefault="13C44286" w14:paraId="4552C942" w14:textId="06123381">
      <w:pPr>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66e0f0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15f9e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BDE7CD"/>
    <w:rsid w:val="01448B11"/>
    <w:rsid w:val="01F4F041"/>
    <w:rsid w:val="045B0C91"/>
    <w:rsid w:val="0625B288"/>
    <w:rsid w:val="08BF4298"/>
    <w:rsid w:val="0975B0F1"/>
    <w:rsid w:val="09E70435"/>
    <w:rsid w:val="0BBDE7CD"/>
    <w:rsid w:val="0CC3A6D4"/>
    <w:rsid w:val="0EFA5166"/>
    <w:rsid w:val="125BABA4"/>
    <w:rsid w:val="133365FF"/>
    <w:rsid w:val="13B5F70C"/>
    <w:rsid w:val="13C44286"/>
    <w:rsid w:val="1483DF20"/>
    <w:rsid w:val="1617C1B5"/>
    <w:rsid w:val="18778677"/>
    <w:rsid w:val="191F5C95"/>
    <w:rsid w:val="233253B9"/>
    <w:rsid w:val="233611BA"/>
    <w:rsid w:val="237C3C16"/>
    <w:rsid w:val="2395C68B"/>
    <w:rsid w:val="24D05885"/>
    <w:rsid w:val="25EC37E2"/>
    <w:rsid w:val="28C39C82"/>
    <w:rsid w:val="2CF21299"/>
    <w:rsid w:val="2E42AEB4"/>
    <w:rsid w:val="30B2C940"/>
    <w:rsid w:val="32DA1DC9"/>
    <w:rsid w:val="33B6D18B"/>
    <w:rsid w:val="33FF9D60"/>
    <w:rsid w:val="34F98270"/>
    <w:rsid w:val="34F98270"/>
    <w:rsid w:val="3704772A"/>
    <w:rsid w:val="389367B5"/>
    <w:rsid w:val="3DDE4516"/>
    <w:rsid w:val="3DEFABCF"/>
    <w:rsid w:val="4182CF21"/>
    <w:rsid w:val="4B93EC72"/>
    <w:rsid w:val="4BBE07EA"/>
    <w:rsid w:val="4CC89321"/>
    <w:rsid w:val="4DCD4A67"/>
    <w:rsid w:val="4DCD4A67"/>
    <w:rsid w:val="4FE4E422"/>
    <w:rsid w:val="5134AE8E"/>
    <w:rsid w:val="5642D1F9"/>
    <w:rsid w:val="5642D1F9"/>
    <w:rsid w:val="5727DDDA"/>
    <w:rsid w:val="59A01682"/>
    <w:rsid w:val="5A1B0BA5"/>
    <w:rsid w:val="5AF579A3"/>
    <w:rsid w:val="5E4C8AA7"/>
    <w:rsid w:val="5F385B24"/>
    <w:rsid w:val="5F916370"/>
    <w:rsid w:val="60E2D3D6"/>
    <w:rsid w:val="668A8972"/>
    <w:rsid w:val="67E1839F"/>
    <w:rsid w:val="67E66AD6"/>
    <w:rsid w:val="6BDBB625"/>
    <w:rsid w:val="6BF23186"/>
    <w:rsid w:val="7123E548"/>
    <w:rsid w:val="73D1F58C"/>
    <w:rsid w:val="779D8DFD"/>
    <w:rsid w:val="793FC558"/>
    <w:rsid w:val="7A1B32D0"/>
    <w:rsid w:val="7B469766"/>
    <w:rsid w:val="7B97E253"/>
    <w:rsid w:val="7CE201BF"/>
    <w:rsid w:val="7DCFBD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C6559"/>
  <w15:chartTrackingRefBased/>
  <w15:docId w15:val="{600DD091-CF21-45E5-B4E5-4594C1B4F3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13C44286"/>
    <w:pPr>
      <w:spacing w:after="0"/>
    </w:pPr>
  </w:style>
  <w:style w:type="character" w:styleId="Hyperlink">
    <w:uiPriority w:val="99"/>
    <w:name w:val="Hyperlink"/>
    <w:basedOn w:val="DefaultParagraphFont"/>
    <w:unhideWhenUsed/>
    <w:rsid w:val="13C44286"/>
    <w:rPr>
      <w:color w:val="467886"/>
      <w:u w:val="single"/>
    </w:rPr>
  </w:style>
  <w:style w:type="paragraph" w:styleId="ListParagraph">
    <w:uiPriority w:val="34"/>
    <w:name w:val="List Paragraph"/>
    <w:basedOn w:val="Normal"/>
    <w:qFormat/>
    <w:rsid w:val="13C4428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contents" TargetMode="External" Id="R7dec15765abd4c98" /><Relationship Type="http://schemas.openxmlformats.org/officeDocument/2006/relationships/hyperlink" Target="https://www.legislation.gov.uk/ukpga/2022/31/contents" TargetMode="External" Id="R1afd86e89afc4949" /><Relationship Type="http://schemas.openxmlformats.org/officeDocument/2006/relationships/hyperlink" Target="https://www.hcpc-uk.org/standards/" TargetMode="External" Id="R097ae12a3cc44337" /><Relationship Type="http://schemas.openxmlformats.org/officeDocument/2006/relationships/hyperlink" Target="https://www.hcpc-uk.org/standards/" TargetMode="External" Id="R776b97531ad94d3f" /><Relationship Type="http://schemas.openxmlformats.org/officeDocument/2006/relationships/numbering" Target="/word/numbering.xml" Id="R010ec52213e340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2</revision>
  <dcterms:created xsi:type="dcterms:W3CDTF">2026-02-21T15:48:42.2049850Z</dcterms:created>
  <dcterms:modified xsi:type="dcterms:W3CDTF">2026-02-21T16:52:36.4164591Z</dcterms:modified>
</coreProperties>
</file>