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eastAsia="Times New Roman"/>
          <w:b/>
          <w:bCs/>
          <w:sz w:val="32"/>
          <w:szCs w:val="32"/>
          <w:lang w:val="en-GB"/>
        </w:rPr>
      </w:pPr>
      <w:r>
        <w:rPr>
          <w:rFonts w:eastAsia="Times New Roman"/>
          <w:b/>
          <w:bCs/>
          <w:noProof/>
          <w:sz w:val="32"/>
          <w:szCs w:val="32"/>
          <w:lang w:val="en-GB"/>
        </w:rPr>
        <w:drawing>
          <wp:inline distL="0" distT="0" distB="0" distR="0">
            <wp:extent cx="2499360" cy="1028700"/>
            <wp:effectExtent l="19050" t="0" r="0" b="0"/>
            <wp:docPr id="1026"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2499360" cy="1028700"/>
                    </a:xfrm>
                    <a:prstGeom prst="rect"/>
                    <a:ln>
                      <a:noFill/>
                    </a:ln>
                  </pic:spPr>
                </pic:pic>
              </a:graphicData>
            </a:graphic>
          </wp:inline>
        </w:drawing>
      </w:r>
    </w:p>
    <w:p>
      <w:pPr>
        <w:pStyle w:val="style0"/>
        <w:spacing w:lineRule="auto" w:line="360"/>
        <w:jc w:val="center"/>
        <w:rPr>
          <w:rFonts w:eastAsia="Times New Roman"/>
          <w:b/>
          <w:bCs/>
          <w:sz w:val="32"/>
          <w:szCs w:val="32"/>
          <w:lang w:val="en-GB"/>
        </w:rPr>
      </w:pPr>
    </w:p>
    <w:p>
      <w:pPr>
        <w:pStyle w:val="style0"/>
        <w:spacing w:lineRule="auto" w:line="360"/>
        <w:jc w:val="center"/>
        <w:rPr>
          <w:rFonts w:eastAsia="Times New Roman"/>
          <w:b/>
          <w:bCs/>
          <w:sz w:val="32"/>
          <w:szCs w:val="32"/>
          <w:lang w:val="en-GB"/>
        </w:rPr>
      </w:pPr>
    </w:p>
    <w:p>
      <w:pPr>
        <w:pStyle w:val="style0"/>
        <w:spacing w:lineRule="auto" w:line="360"/>
        <w:jc w:val="center"/>
        <w:rPr>
          <w:rFonts w:eastAsia="Times New Roman"/>
          <w:b/>
          <w:bCs/>
          <w:sz w:val="32"/>
          <w:szCs w:val="32"/>
          <w:lang w:val="en-GB"/>
        </w:rPr>
      </w:pPr>
    </w:p>
    <w:p>
      <w:pPr>
        <w:pStyle w:val="style0"/>
        <w:spacing w:lineRule="auto" w:line="360"/>
        <w:jc w:val="center"/>
        <w:rPr>
          <w:rFonts w:eastAsia="Times New Roman"/>
          <w:b/>
          <w:bCs/>
          <w:sz w:val="32"/>
          <w:szCs w:val="32"/>
          <w:lang w:val="en-GB"/>
        </w:rPr>
      </w:pPr>
    </w:p>
    <w:p>
      <w:pPr>
        <w:pStyle w:val="style0"/>
        <w:spacing w:lineRule="auto" w:line="360"/>
        <w:jc w:val="center"/>
        <w:rPr>
          <w:rFonts w:eastAsia="Times New Roman"/>
          <w:b/>
          <w:bCs/>
          <w:sz w:val="32"/>
          <w:szCs w:val="32"/>
          <w:lang w:val="en-GB"/>
        </w:rPr>
      </w:pPr>
    </w:p>
    <w:p>
      <w:pPr>
        <w:pStyle w:val="style0"/>
        <w:spacing w:lineRule="auto" w:line="360"/>
        <w:jc w:val="center"/>
        <w:rPr>
          <w:rFonts w:eastAsia="Times New Roman"/>
          <w:b/>
          <w:bCs/>
          <w:sz w:val="32"/>
          <w:szCs w:val="32"/>
          <w:lang w:val="en-GB"/>
        </w:rPr>
      </w:pPr>
    </w:p>
    <w:p>
      <w:pPr>
        <w:pStyle w:val="style0"/>
        <w:spacing w:lineRule="auto" w:line="360"/>
        <w:jc w:val="center"/>
        <w:rPr>
          <w:rFonts w:eastAsia="Times New Roman"/>
          <w:b/>
          <w:bCs/>
          <w:sz w:val="32"/>
          <w:szCs w:val="32"/>
          <w:lang w:val="en-GB"/>
        </w:rPr>
      </w:pPr>
      <w:r>
        <w:rPr>
          <w:rFonts w:eastAsia="Times New Roman"/>
          <w:b/>
          <w:bCs/>
          <w:sz w:val="32"/>
          <w:szCs w:val="32"/>
          <w:lang w:val="en-GB"/>
        </w:rPr>
        <w:t>MODULE NAME: MARKETING MANAGEMENT</w:t>
      </w:r>
    </w:p>
    <w:p>
      <w:pPr>
        <w:pStyle w:val="style0"/>
        <w:spacing w:lineRule="auto" w:line="360"/>
        <w:jc w:val="center"/>
        <w:rPr>
          <w:rFonts w:eastAsia="Times New Roman"/>
          <w:b/>
          <w:bCs/>
          <w:sz w:val="32"/>
          <w:szCs w:val="32"/>
          <w:lang w:val="en-GB"/>
        </w:rPr>
      </w:pPr>
      <w:r>
        <w:rPr>
          <w:rFonts w:eastAsia="Times New Roman"/>
          <w:b/>
          <w:bCs/>
          <w:sz w:val="32"/>
          <w:szCs w:val="32"/>
          <w:lang w:val="en-GB"/>
        </w:rPr>
        <w:t>MODULE CODE: LCMB7024</w:t>
      </w:r>
    </w:p>
    <w:p>
      <w:pPr>
        <w:pStyle w:val="style0"/>
        <w:spacing w:lineRule="auto" w:line="360"/>
        <w:jc w:val="center"/>
        <w:rPr>
          <w:rFonts w:eastAsia="Times New Roman"/>
          <w:b/>
          <w:bCs/>
          <w:sz w:val="32"/>
          <w:szCs w:val="32"/>
          <w:lang w:val="en-GB"/>
        </w:rPr>
      </w:pPr>
      <w:r>
        <w:rPr>
          <w:rFonts w:eastAsia="Times New Roman"/>
          <w:b/>
          <w:bCs/>
          <w:sz w:val="32"/>
          <w:szCs w:val="32"/>
          <w:lang w:val="en-GB"/>
        </w:rPr>
        <w:t>ASSESSMENT COMPONENT 2: MARKETING PORTFOLIO</w:t>
      </w:r>
    </w:p>
    <w:p>
      <w:pPr>
        <w:pStyle w:val="style0"/>
        <w:spacing w:lineRule="auto" w:line="360"/>
        <w:jc w:val="center"/>
        <w:rPr>
          <w:rFonts w:eastAsia="Times New Roman"/>
          <w:b/>
          <w:bCs/>
          <w:sz w:val="32"/>
          <w:szCs w:val="32"/>
          <w:lang w:val="en-GB"/>
        </w:rPr>
      </w:pPr>
      <w:r>
        <w:rPr>
          <w:rFonts w:eastAsia="Times New Roman"/>
          <w:b/>
          <w:bCs/>
          <w:sz w:val="32"/>
          <w:szCs w:val="32"/>
          <w:lang w:val="en-GB"/>
        </w:rPr>
        <w:t>LECTURER'S NAME:</w:t>
      </w:r>
      <w:r>
        <w:rPr>
          <w:rFonts w:eastAsia="Times New Roman"/>
          <w:b/>
          <w:bCs/>
          <w:sz w:val="32"/>
          <w:szCs w:val="32"/>
          <w:lang w:val="en-GB"/>
        </w:rPr>
        <w:t xml:space="preserve"> Dr </w:t>
      </w:r>
      <w:r>
        <w:rPr>
          <w:rFonts w:eastAsia="Times New Roman"/>
          <w:b/>
          <w:bCs/>
          <w:sz w:val="32"/>
          <w:szCs w:val="32"/>
          <w:lang w:val="en-GB"/>
        </w:rPr>
        <w:t>jayalakhshmi</w:t>
      </w:r>
      <w:r>
        <w:rPr>
          <w:rFonts w:eastAsia="Times New Roman"/>
          <w:b/>
          <w:bCs/>
          <w:sz w:val="32"/>
          <w:szCs w:val="32"/>
          <w:lang w:val="en-GB"/>
        </w:rPr>
        <w:t xml:space="preserve"> Gopalkrishnan</w:t>
      </w:r>
    </w:p>
    <w:p>
      <w:pPr>
        <w:pStyle w:val="style0"/>
        <w:spacing w:lineRule="auto" w:line="360"/>
        <w:jc w:val="center"/>
        <w:rPr>
          <w:rFonts w:eastAsia="Times New Roman"/>
          <w:b/>
          <w:bCs/>
          <w:sz w:val="32"/>
          <w:szCs w:val="32"/>
          <w:lang w:val="en-GB"/>
        </w:rPr>
      </w:pPr>
      <w:r>
        <w:rPr>
          <w:rFonts w:eastAsia="Times New Roman"/>
          <w:b/>
          <w:bCs/>
          <w:sz w:val="32"/>
          <w:szCs w:val="32"/>
          <w:lang w:val="en-GB"/>
        </w:rPr>
        <w:t>STUDENT NAME:</w:t>
      </w:r>
      <w:r>
        <w:rPr>
          <w:rFonts w:eastAsia="Times New Roman"/>
          <w:b/>
          <w:bCs/>
          <w:sz w:val="32"/>
          <w:szCs w:val="32"/>
          <w:lang w:val="en-GB"/>
        </w:rPr>
        <w:t xml:space="preserve"> </w:t>
      </w:r>
      <w:r>
        <w:rPr>
          <w:rFonts w:eastAsia="Times New Roman"/>
          <w:b/>
          <w:bCs/>
          <w:sz w:val="32"/>
          <w:szCs w:val="32"/>
          <w:lang w:val="en-GB"/>
        </w:rPr>
        <w:t>Aayushy</w:t>
      </w:r>
      <w:r>
        <w:rPr>
          <w:rFonts w:eastAsia="Times New Roman"/>
          <w:b/>
          <w:bCs/>
          <w:sz w:val="32"/>
          <w:szCs w:val="32"/>
          <w:lang w:val="en-GB"/>
        </w:rPr>
        <w:t xml:space="preserve"> Patel</w:t>
      </w:r>
    </w:p>
    <w:p>
      <w:pPr>
        <w:pStyle w:val="style0"/>
        <w:spacing w:lineRule="auto" w:line="360"/>
        <w:jc w:val="center"/>
        <w:rPr>
          <w:rFonts w:eastAsia="Times New Roman"/>
          <w:b/>
          <w:bCs/>
          <w:sz w:val="32"/>
          <w:szCs w:val="32"/>
          <w:lang w:val="en-GB"/>
        </w:rPr>
      </w:pPr>
      <w:r>
        <w:rPr>
          <w:rFonts w:eastAsia="Times New Roman"/>
          <w:b/>
          <w:bCs/>
          <w:sz w:val="32"/>
          <w:szCs w:val="32"/>
          <w:lang w:val="en-GB"/>
        </w:rPr>
        <w:t xml:space="preserve">STUDENT ID: </w:t>
      </w:r>
      <w:r>
        <w:rPr>
          <w:rFonts w:eastAsia="Times New Roman"/>
          <w:b/>
          <w:bCs/>
          <w:sz w:val="32"/>
          <w:szCs w:val="32"/>
          <w:lang w:val="en-US"/>
        </w:rPr>
        <w:t>2503361</w:t>
      </w:r>
    </w:p>
    <w:p>
      <w:pPr>
        <w:pStyle w:val="style0"/>
        <w:spacing w:lineRule="auto" w:line="360"/>
        <w:jc w:val="center"/>
        <w:rPr>
          <w:rFonts w:eastAsia="Times New Roman"/>
          <w:b/>
          <w:bCs/>
          <w:sz w:val="32"/>
          <w:szCs w:val="32"/>
          <w:lang w:val="en-GB"/>
        </w:rPr>
      </w:pPr>
      <w:r>
        <w:rPr>
          <w:rFonts w:eastAsia="Times New Roman"/>
          <w:b/>
          <w:bCs/>
          <w:sz w:val="32"/>
          <w:szCs w:val="32"/>
          <w:lang w:val="en-GB"/>
        </w:rPr>
        <w:t xml:space="preserve">WORD COUNT: </w:t>
      </w:r>
      <w:r>
        <w:rPr>
          <w:rFonts w:eastAsia="Times New Roman"/>
          <w:b/>
          <w:bCs/>
          <w:sz w:val="32"/>
          <w:szCs w:val="32"/>
          <w:lang w:val="en-GB"/>
        </w:rPr>
        <w:t>2591</w:t>
      </w:r>
    </w:p>
    <w:p>
      <w:pPr>
        <w:pStyle w:val="style0"/>
        <w:spacing w:lineRule="auto" w:line="360"/>
        <w:jc w:val="center"/>
        <w:rPr>
          <w:rFonts w:eastAsia="Times New Roman"/>
          <w:b/>
          <w:bCs/>
          <w:sz w:val="32"/>
          <w:szCs w:val="32"/>
          <w:lang w:val="en-GB"/>
        </w:rPr>
      </w:pPr>
    </w:p>
    <w:p>
      <w:pPr>
        <w:pStyle w:val="style0"/>
        <w:rPr>
          <w:rFonts w:eastAsia="Times New Roman"/>
          <w:b/>
          <w:bCs/>
          <w:sz w:val="32"/>
          <w:szCs w:val="32"/>
          <w:lang w:val="en-GB"/>
        </w:rPr>
      </w:pPr>
      <w:r>
        <w:rPr>
          <w:rFonts w:eastAsia="Times New Roman"/>
          <w:b/>
          <w:bCs/>
          <w:sz w:val="32"/>
          <w:szCs w:val="32"/>
          <w:lang w:val="en-GB"/>
        </w:rPr>
        <w:br w:type="page"/>
      </w:r>
    </w:p>
    <w:p>
      <w:pPr>
        <w:pStyle w:val="style266"/>
        <w:spacing w:lineRule="auto" w:line="360"/>
        <w:jc w:val="center"/>
        <w:rPr>
          <w:rFonts w:ascii="Arial" w:cs="Arial" w:hAnsi="Arial"/>
          <w:color w:val="auto"/>
          <w:sz w:val="24"/>
          <w:szCs w:val="24"/>
          <w:lang w:val="en-GB"/>
        </w:rPr>
      </w:pPr>
      <w:r>
        <w:rPr>
          <w:rFonts w:ascii="Arial" w:cs="Arial" w:hAnsi="Arial"/>
          <w:color w:val="auto"/>
          <w:szCs w:val="24"/>
          <w:lang w:val="en-GB"/>
        </w:rPr>
        <w:t>Table of Contents</w:t>
      </w:r>
    </w:p>
    <w:p>
      <w:pPr>
        <w:pStyle w:val="style19"/>
        <w:tabs>
          <w:tab w:val="right" w:leader="dot" w:pos="9350"/>
        </w:tabs>
        <w:spacing w:lineRule="auto" w:line="360"/>
        <w:jc w:val="both"/>
        <w:rPr>
          <w:noProof/>
          <w:sz w:val="24"/>
          <w:szCs w:val="24"/>
          <w:lang w:val="en-GB"/>
        </w:rPr>
      </w:pPr>
      <w:r>
        <w:rPr>
          <w:sz w:val="24"/>
          <w:szCs w:val="24"/>
          <w:lang w:val="en-GB"/>
        </w:rPr>
        <w:fldChar w:fldCharType="begin"/>
      </w:r>
      <w:r>
        <w:rPr>
          <w:sz w:val="24"/>
          <w:szCs w:val="24"/>
          <w:lang w:val="en-GB"/>
        </w:rPr>
        <w:instrText xml:space="preserve"> TOC \o "1-3" \h \z \u </w:instrText>
      </w:r>
      <w:r>
        <w:rPr>
          <w:sz w:val="24"/>
          <w:szCs w:val="24"/>
          <w:lang w:val="en-GB"/>
        </w:rPr>
        <w:fldChar w:fldCharType="separate"/>
      </w:r>
      <w:r>
        <w:rPr/>
        <w:fldChar w:fldCharType="begin"/>
      </w:r>
      <w:r>
        <w:instrText xml:space="preserve"> HYPERLINK \l "_Toc216368619" </w:instrText>
      </w:r>
      <w:r>
        <w:rPr/>
        <w:fldChar w:fldCharType="separate"/>
      </w:r>
      <w:r>
        <w:rPr>
          <w:rStyle w:val="style85"/>
          <w:noProof/>
          <w:color w:val="auto"/>
          <w:sz w:val="24"/>
          <w:szCs w:val="24"/>
          <w:lang w:val="en-GB"/>
        </w:rPr>
        <w:t>Element 1: Company selection and development of Segmentation, Targeting, Differentiation, and Positioning (STDP) for the new brand concept</w:t>
      </w:r>
      <w:r>
        <w:rPr>
          <w:noProof/>
          <w:webHidden/>
          <w:sz w:val="24"/>
          <w:szCs w:val="24"/>
          <w:lang w:val="en-GB"/>
        </w:rPr>
        <w:tab/>
      </w:r>
      <w:r>
        <w:rPr>
          <w:noProof/>
          <w:webHidden/>
          <w:sz w:val="24"/>
          <w:szCs w:val="24"/>
          <w:lang w:val="en-GB"/>
        </w:rPr>
        <w:fldChar w:fldCharType="begin"/>
      </w:r>
      <w:r>
        <w:rPr>
          <w:noProof/>
          <w:webHidden/>
          <w:sz w:val="24"/>
          <w:szCs w:val="24"/>
          <w:lang w:val="en-GB"/>
        </w:rPr>
        <w:instrText xml:space="preserve"> PAGEREF _Toc216368619 \h </w:instrText>
      </w:r>
      <w:r>
        <w:rPr>
          <w:noProof/>
          <w:webHidden/>
          <w:sz w:val="24"/>
          <w:szCs w:val="24"/>
          <w:lang w:val="en-GB"/>
        </w:rPr>
        <w:fldChar w:fldCharType="separate"/>
      </w:r>
      <w:r>
        <w:rPr>
          <w:noProof/>
          <w:webHidden/>
          <w:sz w:val="24"/>
          <w:szCs w:val="24"/>
          <w:lang w:val="en-GB"/>
        </w:rPr>
        <w:t>3</w:t>
      </w:r>
      <w:r>
        <w:rPr>
          <w:noProof/>
          <w:webHidden/>
          <w:sz w:val="24"/>
          <w:szCs w:val="24"/>
          <w:lang w:val="en-GB"/>
        </w:rPr>
        <w:fldChar w:fldCharType="end"/>
      </w:r>
      <w:r>
        <w:rPr/>
        <w:fldChar w:fldCharType="end"/>
      </w:r>
    </w:p>
    <w:p>
      <w:pPr>
        <w:pStyle w:val="style19"/>
        <w:tabs>
          <w:tab w:val="right" w:leader="dot" w:pos="9350"/>
        </w:tabs>
        <w:spacing w:lineRule="auto" w:line="360"/>
        <w:jc w:val="both"/>
        <w:rPr>
          <w:noProof/>
          <w:sz w:val="24"/>
          <w:szCs w:val="24"/>
          <w:lang w:val="en-GB"/>
        </w:rPr>
      </w:pPr>
      <w:r>
        <w:rPr/>
        <w:fldChar w:fldCharType="begin"/>
      </w:r>
      <w:r>
        <w:instrText xml:space="preserve"> HYPERLINK \l "_Toc216368620" </w:instrText>
      </w:r>
      <w:r>
        <w:rPr/>
        <w:fldChar w:fldCharType="separate"/>
      </w:r>
      <w:r>
        <w:rPr>
          <w:rStyle w:val="style85"/>
          <w:noProof/>
          <w:color w:val="auto"/>
          <w:sz w:val="24"/>
          <w:szCs w:val="24"/>
          <w:lang w:val="en-GB"/>
        </w:rPr>
        <w:t>Element 2: Marketing Mix with 4Ps</w:t>
      </w:r>
      <w:r>
        <w:rPr>
          <w:noProof/>
          <w:webHidden/>
          <w:sz w:val="24"/>
          <w:szCs w:val="24"/>
          <w:lang w:val="en-GB"/>
        </w:rPr>
        <w:tab/>
      </w:r>
      <w:r>
        <w:rPr>
          <w:noProof/>
          <w:webHidden/>
          <w:sz w:val="24"/>
          <w:szCs w:val="24"/>
          <w:lang w:val="en-GB"/>
        </w:rPr>
        <w:fldChar w:fldCharType="begin"/>
      </w:r>
      <w:r>
        <w:rPr>
          <w:noProof/>
          <w:webHidden/>
          <w:sz w:val="24"/>
          <w:szCs w:val="24"/>
          <w:lang w:val="en-GB"/>
        </w:rPr>
        <w:instrText xml:space="preserve"> PAGEREF _Toc216368620 \h </w:instrText>
      </w:r>
      <w:r>
        <w:rPr>
          <w:noProof/>
          <w:webHidden/>
          <w:sz w:val="24"/>
          <w:szCs w:val="24"/>
          <w:lang w:val="en-GB"/>
        </w:rPr>
        <w:fldChar w:fldCharType="separate"/>
      </w:r>
      <w:r>
        <w:rPr>
          <w:noProof/>
          <w:webHidden/>
          <w:sz w:val="24"/>
          <w:szCs w:val="24"/>
          <w:lang w:val="en-GB"/>
        </w:rPr>
        <w:t>6</w:t>
      </w:r>
      <w:r>
        <w:rPr>
          <w:noProof/>
          <w:webHidden/>
          <w:sz w:val="24"/>
          <w:szCs w:val="24"/>
          <w:lang w:val="en-GB"/>
        </w:rPr>
        <w:fldChar w:fldCharType="end"/>
      </w:r>
      <w:r>
        <w:rPr/>
        <w:fldChar w:fldCharType="end"/>
      </w:r>
    </w:p>
    <w:p>
      <w:pPr>
        <w:pStyle w:val="style19"/>
        <w:tabs>
          <w:tab w:val="right" w:leader="dot" w:pos="9350"/>
        </w:tabs>
        <w:spacing w:lineRule="auto" w:line="360"/>
        <w:jc w:val="both"/>
        <w:rPr>
          <w:noProof/>
          <w:sz w:val="24"/>
          <w:szCs w:val="24"/>
          <w:lang w:val="en-GB"/>
        </w:rPr>
      </w:pPr>
      <w:r>
        <w:rPr/>
        <w:fldChar w:fldCharType="begin"/>
      </w:r>
      <w:r>
        <w:instrText xml:space="preserve"> HYPERLINK \l "_Toc216368621" </w:instrText>
      </w:r>
      <w:r>
        <w:rPr/>
        <w:fldChar w:fldCharType="separate"/>
      </w:r>
      <w:r>
        <w:rPr>
          <w:rStyle w:val="style85"/>
          <w:noProof/>
          <w:color w:val="auto"/>
          <w:sz w:val="24"/>
          <w:szCs w:val="24"/>
          <w:lang w:val="en-GB"/>
        </w:rPr>
        <w:t>Element 3: Marketing strategy pitch</w:t>
      </w:r>
      <w:r>
        <w:rPr>
          <w:noProof/>
          <w:webHidden/>
          <w:sz w:val="24"/>
          <w:szCs w:val="24"/>
          <w:lang w:val="en-GB"/>
        </w:rPr>
        <w:tab/>
      </w:r>
      <w:r>
        <w:rPr>
          <w:noProof/>
          <w:webHidden/>
          <w:sz w:val="24"/>
          <w:szCs w:val="24"/>
          <w:lang w:val="en-GB"/>
        </w:rPr>
        <w:fldChar w:fldCharType="begin"/>
      </w:r>
      <w:r>
        <w:rPr>
          <w:noProof/>
          <w:webHidden/>
          <w:sz w:val="24"/>
          <w:szCs w:val="24"/>
          <w:lang w:val="en-GB"/>
        </w:rPr>
        <w:instrText xml:space="preserve"> PAGEREF _Toc216368621 \h </w:instrText>
      </w:r>
      <w:r>
        <w:rPr>
          <w:noProof/>
          <w:webHidden/>
          <w:sz w:val="24"/>
          <w:szCs w:val="24"/>
          <w:lang w:val="en-GB"/>
        </w:rPr>
        <w:fldChar w:fldCharType="separate"/>
      </w:r>
      <w:r>
        <w:rPr>
          <w:noProof/>
          <w:webHidden/>
          <w:sz w:val="24"/>
          <w:szCs w:val="24"/>
          <w:lang w:val="en-GB"/>
        </w:rPr>
        <w:t>9</w:t>
      </w:r>
      <w:r>
        <w:rPr>
          <w:noProof/>
          <w:webHidden/>
          <w:sz w:val="24"/>
          <w:szCs w:val="24"/>
          <w:lang w:val="en-GB"/>
        </w:rPr>
        <w:fldChar w:fldCharType="end"/>
      </w:r>
      <w:r>
        <w:rPr/>
        <w:fldChar w:fldCharType="end"/>
      </w:r>
    </w:p>
    <w:p>
      <w:pPr>
        <w:pStyle w:val="style19"/>
        <w:tabs>
          <w:tab w:val="right" w:leader="dot" w:pos="9350"/>
        </w:tabs>
        <w:spacing w:lineRule="auto" w:line="360"/>
        <w:jc w:val="both"/>
        <w:rPr>
          <w:noProof/>
          <w:sz w:val="24"/>
          <w:szCs w:val="24"/>
          <w:lang w:val="en-GB"/>
        </w:rPr>
      </w:pPr>
      <w:r>
        <w:rPr/>
        <w:fldChar w:fldCharType="begin"/>
      </w:r>
      <w:r>
        <w:instrText xml:space="preserve"> HYPERLINK \l "_Toc216368622" </w:instrText>
      </w:r>
      <w:r>
        <w:rPr/>
        <w:fldChar w:fldCharType="separate"/>
      </w:r>
      <w:r>
        <w:rPr>
          <w:rStyle w:val="style85"/>
          <w:noProof/>
          <w:color w:val="auto"/>
          <w:sz w:val="24"/>
          <w:szCs w:val="24"/>
          <w:lang w:val="en-GB"/>
        </w:rPr>
        <w:t>Element 4: Reflection</w:t>
      </w:r>
      <w:r>
        <w:rPr>
          <w:noProof/>
          <w:webHidden/>
          <w:sz w:val="24"/>
          <w:szCs w:val="24"/>
          <w:lang w:val="en-GB"/>
        </w:rPr>
        <w:tab/>
      </w:r>
      <w:r>
        <w:rPr>
          <w:noProof/>
          <w:webHidden/>
          <w:sz w:val="24"/>
          <w:szCs w:val="24"/>
          <w:lang w:val="en-GB"/>
        </w:rPr>
        <w:fldChar w:fldCharType="begin"/>
      </w:r>
      <w:r>
        <w:rPr>
          <w:noProof/>
          <w:webHidden/>
          <w:sz w:val="24"/>
          <w:szCs w:val="24"/>
          <w:lang w:val="en-GB"/>
        </w:rPr>
        <w:instrText xml:space="preserve"> PAGEREF _Toc216368622 \h </w:instrText>
      </w:r>
      <w:r>
        <w:rPr>
          <w:noProof/>
          <w:webHidden/>
          <w:sz w:val="24"/>
          <w:szCs w:val="24"/>
          <w:lang w:val="en-GB"/>
        </w:rPr>
        <w:fldChar w:fldCharType="separate"/>
      </w:r>
      <w:r>
        <w:rPr>
          <w:noProof/>
          <w:webHidden/>
          <w:sz w:val="24"/>
          <w:szCs w:val="24"/>
          <w:lang w:val="en-GB"/>
        </w:rPr>
        <w:t>9</w:t>
      </w:r>
      <w:r>
        <w:rPr>
          <w:noProof/>
          <w:webHidden/>
          <w:sz w:val="24"/>
          <w:szCs w:val="24"/>
          <w:lang w:val="en-GB"/>
        </w:rPr>
        <w:fldChar w:fldCharType="end"/>
      </w:r>
      <w:r>
        <w:rPr/>
        <w:fldChar w:fldCharType="end"/>
      </w:r>
    </w:p>
    <w:p>
      <w:pPr>
        <w:pStyle w:val="style19"/>
        <w:tabs>
          <w:tab w:val="right" w:leader="dot" w:pos="9350"/>
        </w:tabs>
        <w:spacing w:lineRule="auto" w:line="360"/>
        <w:jc w:val="both"/>
        <w:rPr>
          <w:noProof/>
          <w:sz w:val="24"/>
          <w:szCs w:val="24"/>
          <w:lang w:val="en-GB"/>
        </w:rPr>
      </w:pPr>
      <w:r>
        <w:rPr/>
        <w:fldChar w:fldCharType="begin"/>
      </w:r>
      <w:r>
        <w:instrText xml:space="preserve"> HYPERLINK \l "_Toc216368623" </w:instrText>
      </w:r>
      <w:r>
        <w:rPr/>
        <w:fldChar w:fldCharType="separate"/>
      </w:r>
      <w:r>
        <w:rPr>
          <w:rStyle w:val="style85"/>
          <w:noProof/>
          <w:color w:val="auto"/>
          <w:sz w:val="24"/>
          <w:szCs w:val="24"/>
          <w:lang w:val="en-GB"/>
        </w:rPr>
        <w:t>Appendix: Marketing strategy pitch poster</w:t>
      </w:r>
      <w:r>
        <w:rPr>
          <w:noProof/>
          <w:webHidden/>
          <w:sz w:val="24"/>
          <w:szCs w:val="24"/>
          <w:lang w:val="en-GB"/>
        </w:rPr>
        <w:tab/>
      </w:r>
      <w:r>
        <w:rPr>
          <w:noProof/>
          <w:webHidden/>
          <w:sz w:val="24"/>
          <w:szCs w:val="24"/>
          <w:lang w:val="en-GB"/>
        </w:rPr>
        <w:fldChar w:fldCharType="begin"/>
      </w:r>
      <w:r>
        <w:rPr>
          <w:noProof/>
          <w:webHidden/>
          <w:sz w:val="24"/>
          <w:szCs w:val="24"/>
          <w:lang w:val="en-GB"/>
        </w:rPr>
        <w:instrText xml:space="preserve"> PAGEREF _Toc216368623 \h </w:instrText>
      </w:r>
      <w:r>
        <w:rPr>
          <w:noProof/>
          <w:webHidden/>
          <w:sz w:val="24"/>
          <w:szCs w:val="24"/>
          <w:lang w:val="en-GB"/>
        </w:rPr>
        <w:fldChar w:fldCharType="separate"/>
      </w:r>
      <w:r>
        <w:rPr>
          <w:noProof/>
          <w:webHidden/>
          <w:sz w:val="24"/>
          <w:szCs w:val="24"/>
          <w:lang w:val="en-GB"/>
        </w:rPr>
        <w:t>15</w:t>
      </w:r>
      <w:r>
        <w:rPr>
          <w:noProof/>
          <w:webHidden/>
          <w:sz w:val="24"/>
          <w:szCs w:val="24"/>
          <w:lang w:val="en-GB"/>
        </w:rPr>
        <w:fldChar w:fldCharType="end"/>
      </w:r>
      <w:r>
        <w:rPr/>
        <w:fldChar w:fldCharType="end"/>
      </w:r>
    </w:p>
    <w:p>
      <w:pPr>
        <w:pStyle w:val="style0"/>
        <w:spacing w:lineRule="auto" w:line="360"/>
        <w:jc w:val="both"/>
        <w:rPr>
          <w:lang w:val="en-GB"/>
        </w:rPr>
      </w:pPr>
      <w:r>
        <w:rPr>
          <w:sz w:val="24"/>
          <w:szCs w:val="24"/>
          <w:lang w:val="en-GB"/>
        </w:rPr>
        <w:fldChar w:fldCharType="end"/>
      </w:r>
    </w:p>
    <w:p>
      <w:pPr>
        <w:pStyle w:val="style0"/>
        <w:spacing w:lineRule="auto" w:line="360"/>
        <w:jc w:val="center"/>
        <w:rPr>
          <w:rFonts w:eastAsia="Times New Roman"/>
          <w:b/>
          <w:bCs/>
          <w:sz w:val="32"/>
          <w:szCs w:val="32"/>
          <w:lang w:val="en-GB"/>
        </w:rPr>
      </w:pPr>
      <w:r>
        <w:rPr>
          <w:lang w:val="en-GB"/>
        </w:rPr>
        <w:br w:type="page"/>
      </w:r>
    </w:p>
    <w:bookmarkStart w:id="0" w:name="_Toc216368619"/>
    <w:p>
      <w:pPr>
        <w:pStyle w:val="style1"/>
        <w:rPr>
          <w:rFonts w:ascii="Arial" w:cs="Arial" w:hAnsi="Arial"/>
          <w:lang w:val="en-GB"/>
        </w:rPr>
      </w:pPr>
      <w:r>
        <w:rPr>
          <w:rFonts w:ascii="Arial" w:cs="Arial" w:hAnsi="Arial"/>
          <w:lang w:val="en-GB"/>
        </w:rPr>
        <w:t>Element 1: Company selection and development of Segmentation, Targeting, Differentiation, and Positioning (</w:t>
      </w:r>
      <w:r>
        <w:rPr>
          <w:rFonts w:ascii="Arial" w:cs="Arial" w:hAnsi="Arial"/>
          <w:lang w:val="en-GB"/>
        </w:rPr>
        <w:t>STDP</w:t>
      </w:r>
      <w:r>
        <w:rPr>
          <w:rFonts w:ascii="Arial" w:cs="Arial" w:hAnsi="Arial"/>
          <w:lang w:val="en-GB"/>
        </w:rPr>
        <w:t>) for the new brand concept</w:t>
      </w:r>
      <w:bookmarkEnd w:id="0"/>
    </w:p>
    <w:p>
      <w:pPr>
        <w:pStyle w:val="style0"/>
        <w:spacing w:lineRule="auto" w:line="360"/>
        <w:jc w:val="both"/>
        <w:rPr>
          <w:rFonts w:eastAsia="Times New Roman"/>
          <w:sz w:val="24"/>
          <w:szCs w:val="24"/>
          <w:lang w:val="en-GB"/>
        </w:rPr>
      </w:pPr>
      <w:r>
        <w:rPr>
          <w:rFonts w:eastAsia="Times New Roman"/>
          <w:sz w:val="24"/>
          <w:szCs w:val="24"/>
          <w:lang w:val="en-GB"/>
        </w:rPr>
        <w:t>The chosen brand is BMW, a globally known leader in high-performance and luxury automobiles. The proposed new sub-brand is G-Drive, which will offer cars using renewable energy, along with using AI to make unique features (</w:t>
      </w:r>
      <w:r>
        <w:rPr>
          <w:rFonts w:eastAsia="Times New Roman"/>
          <w:sz w:val="24"/>
          <w:szCs w:val="24"/>
          <w:lang w:val="en-GB"/>
        </w:rPr>
        <w:t>Muslemani</w:t>
      </w:r>
      <w:r>
        <w:rPr>
          <w:rFonts w:eastAsia="Times New Roman"/>
          <w:sz w:val="24"/>
          <w:szCs w:val="24"/>
          <w:lang w:val="en-GB"/>
        </w:rPr>
        <w:t xml:space="preserve"> </w:t>
      </w:r>
      <w:r>
        <w:rPr>
          <w:rFonts w:eastAsia="Times New Roman"/>
          <w:i/>
          <w:iCs/>
          <w:sz w:val="24"/>
          <w:szCs w:val="24"/>
          <w:lang w:val="en-GB"/>
        </w:rPr>
        <w:t xml:space="preserve">et al. </w:t>
      </w:r>
      <w:r>
        <w:rPr>
          <w:rFonts w:eastAsia="Times New Roman"/>
          <w:sz w:val="24"/>
          <w:szCs w:val="24"/>
          <w:lang w:val="en-GB"/>
        </w:rPr>
        <w:t xml:space="preserve">2021). The concept behind G-Drive is to redefine luxury that can be conceived as the pinnacle of intelligent, sustainable, and accessible luxury. A circular economy model will be strictly used in every component of the car, starting from the renewable energy-driven manufacturing process to its end-of-life recycling (Sun </w:t>
      </w:r>
      <w:r>
        <w:rPr>
          <w:rFonts w:eastAsia="Times New Roman"/>
          <w:i/>
          <w:iCs/>
          <w:sz w:val="24"/>
          <w:szCs w:val="24"/>
          <w:lang w:val="en-GB"/>
        </w:rPr>
        <w:t xml:space="preserve">et al. </w:t>
      </w:r>
      <w:r>
        <w:rPr>
          <w:rFonts w:eastAsia="Times New Roman"/>
          <w:sz w:val="24"/>
          <w:szCs w:val="24"/>
          <w:lang w:val="en-GB"/>
        </w:rPr>
        <w:t xml:space="preserve">2022). The G-Drive vehicle will offer more than transportation, with a seamlessly connected digital hub, using an AI assistant and predictive maintenance. Hence, selling these cars at an affordable price point can democratise sustainable luxury to attract high-value customers. </w:t>
      </w:r>
    </w:p>
    <w:tbl>
      <w:tblPr>
        <w:tblStyle w:val="style410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62"/>
        <w:gridCol w:w="5598"/>
      </w:tblGrid>
      <w:tr>
        <w:trPr>
          <w:cantSplit/>
          <w:tblHeader/>
          <w:jc w:val="center"/>
        </w:trPr>
        <w:tc>
          <w:tcPr>
            <w:tcW w:w="24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b/>
                <w:sz w:val="24"/>
                <w:szCs w:val="24"/>
                <w:lang w:val="en-GB"/>
              </w:rPr>
            </w:pPr>
            <w:r>
              <w:rPr>
                <w:rFonts w:eastAsia="Times New Roman"/>
                <w:b/>
                <w:sz w:val="24"/>
                <w:szCs w:val="24"/>
                <w:lang w:val="en-GB"/>
              </w:rPr>
              <w:t xml:space="preserve">Elements </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b/>
                <w:sz w:val="24"/>
                <w:szCs w:val="24"/>
                <w:lang w:val="en-GB"/>
              </w:rPr>
            </w:pPr>
            <w:r>
              <w:rPr>
                <w:rFonts w:eastAsia="Times New Roman"/>
                <w:b/>
                <w:sz w:val="24"/>
                <w:szCs w:val="24"/>
                <w:lang w:val="en-GB"/>
              </w:rPr>
              <w:t xml:space="preserve">The UK market (Developed European market) </w:t>
            </w:r>
          </w:p>
        </w:tc>
      </w:tr>
      <w:tr>
        <w:tblPrEx/>
        <w:trPr>
          <w:cantSplit/>
          <w:tblHeader/>
          <w:jc w:val="center"/>
        </w:trPr>
        <w:tc>
          <w:tcPr>
            <w:tcW w:w="24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sz w:val="24"/>
                <w:szCs w:val="24"/>
                <w:lang w:val="en-GB"/>
              </w:rPr>
              <w:t>Segmentation (Key variables)</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Driving and performance experience: </w:t>
            </w:r>
            <w:r>
              <w:rPr>
                <w:rFonts w:eastAsia="Times New Roman"/>
                <w:sz w:val="24"/>
                <w:szCs w:val="24"/>
                <w:lang w:val="en-GB"/>
              </w:rPr>
              <w:t>Strong emphasis on the heritage of “Responsible and Intelligent ownership” (</w:t>
            </w:r>
            <w:r>
              <w:rPr>
                <w:rFonts w:eastAsia="Times New Roman"/>
                <w:sz w:val="24"/>
                <w:szCs w:val="24"/>
                <w:lang w:val="en-GB"/>
              </w:rPr>
              <w:t>Dezhi</w:t>
            </w:r>
            <w:r>
              <w:rPr>
                <w:rFonts w:eastAsia="Times New Roman"/>
                <w:sz w:val="24"/>
                <w:szCs w:val="24"/>
                <w:lang w:val="en-GB"/>
              </w:rPr>
              <w:t xml:space="preserve"> </w:t>
            </w:r>
            <w:r>
              <w:rPr>
                <w:rFonts w:eastAsia="Times New Roman"/>
                <w:i/>
                <w:sz w:val="24"/>
                <w:szCs w:val="24"/>
                <w:lang w:val="en-GB"/>
              </w:rPr>
              <w:t xml:space="preserve">et al. </w:t>
            </w:r>
            <w:r>
              <w:rPr>
                <w:rFonts w:eastAsia="Times New Roman"/>
                <w:sz w:val="24"/>
                <w:szCs w:val="24"/>
                <w:lang w:val="en-GB"/>
              </w:rPr>
              <w:t>2022).</w:t>
            </w:r>
          </w:p>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Electrification: </w:t>
            </w:r>
            <w:r>
              <w:rPr>
                <w:rFonts w:eastAsia="Times New Roman"/>
                <w:sz w:val="24"/>
                <w:szCs w:val="24"/>
                <w:lang w:val="en-GB"/>
              </w:rPr>
              <w:t xml:space="preserve">Exponential growth in </w:t>
            </w:r>
            <w:r>
              <w:rPr>
                <w:rFonts w:eastAsia="Times New Roman"/>
                <w:sz w:val="24"/>
                <w:szCs w:val="24"/>
                <w:lang w:val="en-GB"/>
              </w:rPr>
              <w:t>SDVs</w:t>
            </w:r>
            <w:r>
              <w:rPr>
                <w:rFonts w:eastAsia="Times New Roman"/>
                <w:sz w:val="24"/>
                <w:szCs w:val="24"/>
                <w:lang w:val="en-GB"/>
              </w:rPr>
              <w:t xml:space="preserve"> across all segments. </w:t>
            </w:r>
          </w:p>
        </w:tc>
      </w:tr>
      <w:tr>
        <w:tblPrEx/>
        <w:trPr>
          <w:cantSplit/>
          <w:tblHeader/>
          <w:jc w:val="center"/>
        </w:trPr>
        <w:tc>
          <w:tcPr>
            <w:tcW w:w="24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sz w:val="24"/>
                <w:szCs w:val="24"/>
                <w:lang w:val="en-GB"/>
              </w:rPr>
              <w:t xml:space="preserve">Targeting </w:t>
            </w:r>
            <w:r>
              <w:rPr>
                <w:rFonts w:eastAsia="Times New Roman"/>
                <w:sz w:val="24"/>
                <w:szCs w:val="24"/>
                <w:lang w:val="en-GB"/>
              </w:rPr>
              <w:t xml:space="preserve">and Demographic </w:t>
            </w:r>
            <w:r>
              <w:rPr>
                <w:rFonts w:eastAsia="Times New Roman"/>
                <w:sz w:val="24"/>
                <w:szCs w:val="24"/>
                <w:lang w:val="en-GB"/>
              </w:rPr>
              <w:t xml:space="preserve">(Key segments) </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Affluent young professionals: </w:t>
            </w:r>
            <w:r>
              <w:rPr>
                <w:rFonts w:eastAsia="Times New Roman"/>
                <w:sz w:val="24"/>
                <w:szCs w:val="24"/>
                <w:lang w:val="en-GB"/>
              </w:rPr>
              <w:t xml:space="preserve">Career-oriented individuals aged between 25 and 40 seeking authentic circularity in their cars (El Islami and </w:t>
            </w:r>
            <w:r>
              <w:rPr>
                <w:rFonts w:eastAsia="Times New Roman"/>
                <w:sz w:val="24"/>
                <w:szCs w:val="24"/>
                <w:lang w:val="en-GB"/>
              </w:rPr>
              <w:t>Wandebori</w:t>
            </w:r>
            <w:r>
              <w:rPr>
                <w:rFonts w:eastAsia="Times New Roman"/>
                <w:sz w:val="24"/>
                <w:szCs w:val="24"/>
                <w:lang w:val="en-GB"/>
              </w:rPr>
              <w:t>, 2025).</w:t>
            </w:r>
          </w:p>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Performance enthusiasts: </w:t>
            </w:r>
            <w:r>
              <w:rPr>
                <w:rFonts w:eastAsia="Times New Roman"/>
                <w:sz w:val="24"/>
                <w:szCs w:val="24"/>
                <w:lang w:val="en-GB"/>
              </w:rPr>
              <w:t>Consumers who value powerful car handling, engines, and sustainable features.</w:t>
            </w:r>
          </w:p>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Early EV adopters: </w:t>
            </w:r>
            <w:r>
              <w:rPr>
                <w:rFonts w:eastAsia="Times New Roman"/>
                <w:sz w:val="24"/>
                <w:szCs w:val="24"/>
                <w:lang w:val="en-GB"/>
              </w:rPr>
              <w:t xml:space="preserve">A target for the growing </w:t>
            </w:r>
            <w:r>
              <w:rPr>
                <w:rFonts w:eastAsia="Times New Roman"/>
                <w:sz w:val="24"/>
                <w:szCs w:val="24"/>
                <w:lang w:val="en-GB"/>
              </w:rPr>
              <w:t>SDV</w:t>
            </w:r>
            <w:r>
              <w:rPr>
                <w:rFonts w:eastAsia="Times New Roman"/>
                <w:sz w:val="24"/>
                <w:szCs w:val="24"/>
                <w:lang w:val="en-GB"/>
              </w:rPr>
              <w:t xml:space="preserve"> segment with AI integration. </w:t>
            </w:r>
          </w:p>
        </w:tc>
      </w:tr>
      <w:tr>
        <w:tblPrEx/>
        <w:trPr>
          <w:cantSplit/>
          <w:tblHeader/>
          <w:jc w:val="center"/>
        </w:trPr>
        <w:tc>
          <w:tcPr>
            <w:tcW w:w="24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sz w:val="24"/>
                <w:szCs w:val="24"/>
                <w:lang w:val="en-GB"/>
              </w:rPr>
              <w:t xml:space="preserve">Positioning (Brand value and image) </w:t>
            </w:r>
          </w:p>
        </w:tc>
        <w:tc>
          <w:tcPr>
            <w:tcW w:w="3660" w:type="dxa"/>
            <w:tcBorders/>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Premium segment leaders: </w:t>
            </w:r>
            <w:r>
              <w:rPr>
                <w:rFonts w:eastAsia="Times New Roman"/>
                <w:sz w:val="24"/>
                <w:szCs w:val="24"/>
                <w:lang w:val="en-GB"/>
              </w:rPr>
              <w:t>The position of G-Drive as a direct and strong competitor to companies like Audi and Mercedes-Benz, capturing the top spots of premium EVs at an affordable price.</w:t>
            </w:r>
          </w:p>
          <w:p>
            <w:pPr>
              <w:pStyle w:val="style0"/>
              <w:widowControl w:val="false"/>
              <w:pBdr>
                <w:left w:val="nil"/>
                <w:right w:val="nil"/>
                <w:top w:val="nil"/>
                <w:bottom w:val="nil"/>
                <w:between w:val="nil"/>
              </w:pBdr>
              <w:spacing w:lineRule="auto" w:line="360"/>
              <w:rPr>
                <w:rFonts w:eastAsia="Times New Roman"/>
                <w:sz w:val="24"/>
                <w:szCs w:val="24"/>
                <w:lang w:val="en-GB"/>
              </w:rPr>
            </w:pPr>
            <w:r>
              <w:rPr>
                <w:rFonts w:eastAsia="Times New Roman"/>
                <w:b/>
                <w:sz w:val="24"/>
                <w:szCs w:val="24"/>
                <w:lang w:val="en-GB"/>
              </w:rPr>
              <w:t xml:space="preserve">The Ultimate Driving Machine: </w:t>
            </w:r>
            <w:r>
              <w:rPr>
                <w:rFonts w:eastAsia="Times New Roman"/>
                <w:sz w:val="24"/>
                <w:szCs w:val="24"/>
                <w:lang w:val="en-GB"/>
              </w:rPr>
              <w:t>In an aggressively centred position with performance, driving dynamics, and emotional connection to the cars (</w:t>
            </w:r>
            <w:r>
              <w:rPr>
                <w:rFonts w:eastAsia="Times New Roman"/>
                <w:sz w:val="24"/>
                <w:szCs w:val="24"/>
                <w:lang w:val="en-GB"/>
              </w:rPr>
              <w:t>Dezhi</w:t>
            </w:r>
            <w:r>
              <w:rPr>
                <w:rFonts w:eastAsia="Times New Roman"/>
                <w:sz w:val="24"/>
                <w:szCs w:val="24"/>
                <w:lang w:val="en-GB"/>
              </w:rPr>
              <w:t xml:space="preserve"> </w:t>
            </w:r>
            <w:r>
              <w:rPr>
                <w:rFonts w:eastAsia="Times New Roman"/>
                <w:i/>
                <w:sz w:val="24"/>
                <w:szCs w:val="24"/>
                <w:lang w:val="en-GB"/>
              </w:rPr>
              <w:t xml:space="preserve">et al. </w:t>
            </w:r>
            <w:r>
              <w:rPr>
                <w:rFonts w:eastAsia="Times New Roman"/>
                <w:sz w:val="24"/>
                <w:szCs w:val="24"/>
                <w:lang w:val="en-GB"/>
              </w:rPr>
              <w:t xml:space="preserve">2022). </w:t>
            </w:r>
          </w:p>
        </w:tc>
      </w:tr>
    </w:tbl>
    <w:p>
      <w:pPr>
        <w:pStyle w:val="style0"/>
        <w:spacing w:lineRule="auto" w:line="360"/>
        <w:jc w:val="center"/>
        <w:rPr>
          <w:rFonts w:eastAsia="Times New Roman"/>
          <w:b/>
          <w:sz w:val="24"/>
          <w:szCs w:val="24"/>
          <w:lang w:val="en-GB"/>
        </w:rPr>
      </w:pPr>
      <w:r>
        <w:rPr>
          <w:rFonts w:eastAsia="Times New Roman"/>
          <w:b/>
          <w:sz w:val="24"/>
          <w:szCs w:val="24"/>
          <w:lang w:val="en-GB"/>
        </w:rPr>
        <w:t xml:space="preserve">Table 1: </w:t>
      </w:r>
      <w:r>
        <w:rPr>
          <w:rFonts w:eastAsia="Times New Roman"/>
          <w:b/>
          <w:sz w:val="24"/>
          <w:szCs w:val="24"/>
          <w:lang w:val="en-GB"/>
        </w:rPr>
        <w:t>STDP</w:t>
      </w:r>
      <w:r>
        <w:rPr>
          <w:rFonts w:eastAsia="Times New Roman"/>
          <w:b/>
          <w:sz w:val="24"/>
          <w:szCs w:val="24"/>
          <w:lang w:val="en-GB"/>
        </w:rPr>
        <w:t xml:space="preserve"> of G-Drive</w:t>
      </w:r>
    </w:p>
    <w:p>
      <w:pPr>
        <w:pStyle w:val="style0"/>
        <w:spacing w:lineRule="auto" w:line="360"/>
        <w:jc w:val="center"/>
        <w:rPr>
          <w:rFonts w:eastAsia="Times New Roman"/>
          <w:sz w:val="24"/>
          <w:szCs w:val="24"/>
          <w:lang w:val="en-GB"/>
        </w:rPr>
      </w:pPr>
      <w:r>
        <w:rPr>
          <w:rFonts w:eastAsia="Times New Roman"/>
          <w:sz w:val="24"/>
          <w:szCs w:val="24"/>
          <w:lang w:val="en-GB"/>
        </w:rPr>
        <w:t xml:space="preserve">(Source: Influenced by </w:t>
      </w:r>
      <w:r>
        <w:rPr>
          <w:rFonts w:eastAsia="Times New Roman"/>
          <w:sz w:val="24"/>
          <w:szCs w:val="24"/>
          <w:lang w:val="en-GB"/>
        </w:rPr>
        <w:t>Dezhi</w:t>
      </w:r>
      <w:r>
        <w:rPr>
          <w:rFonts w:eastAsia="Times New Roman"/>
          <w:sz w:val="24"/>
          <w:szCs w:val="24"/>
          <w:lang w:val="en-GB"/>
        </w:rPr>
        <w:t xml:space="preserve"> </w:t>
      </w:r>
      <w:r>
        <w:rPr>
          <w:rFonts w:eastAsia="Times New Roman"/>
          <w:i/>
          <w:sz w:val="24"/>
          <w:szCs w:val="24"/>
          <w:lang w:val="en-GB"/>
        </w:rPr>
        <w:t xml:space="preserve">et al. </w:t>
      </w:r>
      <w:r>
        <w:rPr>
          <w:rFonts w:eastAsia="Times New Roman"/>
          <w:sz w:val="24"/>
          <w:szCs w:val="24"/>
          <w:lang w:val="en-GB"/>
        </w:rPr>
        <w:t xml:space="preserve">2022; El Islami and </w:t>
      </w:r>
      <w:r>
        <w:rPr>
          <w:rFonts w:eastAsia="Times New Roman"/>
          <w:sz w:val="24"/>
          <w:szCs w:val="24"/>
          <w:lang w:val="en-GB"/>
        </w:rPr>
        <w:t>Wandebori</w:t>
      </w:r>
      <w:r>
        <w:rPr>
          <w:rFonts w:eastAsia="Times New Roman"/>
          <w:sz w:val="24"/>
          <w:szCs w:val="24"/>
          <w:lang w:val="en-GB"/>
        </w:rPr>
        <w:t>, 2025)</w:t>
      </w:r>
    </w:p>
    <w:p>
      <w:pPr>
        <w:pStyle w:val="style0"/>
        <w:spacing w:lineRule="auto" w:line="360"/>
        <w:jc w:val="both"/>
        <w:rPr>
          <w:rFonts w:eastAsia="Times New Roman"/>
          <w:b/>
          <w:bCs/>
          <w:sz w:val="24"/>
          <w:szCs w:val="24"/>
          <w:lang w:val="en-GB"/>
        </w:rPr>
      </w:pPr>
      <w:r>
        <w:rPr>
          <w:rFonts w:eastAsia="Times New Roman"/>
          <w:b/>
          <w:bCs/>
          <w:sz w:val="24"/>
          <w:szCs w:val="24"/>
          <w:lang w:val="en-GB"/>
        </w:rPr>
        <w:t>Market appeal: G-Drive resonating with customers</w:t>
      </w:r>
    </w:p>
    <w:p>
      <w:pPr>
        <w:pStyle w:val="style0"/>
        <w:spacing w:lineRule="auto" w:line="360"/>
        <w:jc w:val="both"/>
        <w:rPr>
          <w:rFonts w:eastAsia="Times New Roman"/>
          <w:sz w:val="24"/>
          <w:szCs w:val="24"/>
          <w:lang w:val="en-GB"/>
        </w:rPr>
      </w:pPr>
      <w:r>
        <w:rPr>
          <w:rFonts w:eastAsia="Times New Roman"/>
          <w:sz w:val="24"/>
          <w:szCs w:val="24"/>
          <w:lang w:val="en-GB"/>
        </w:rPr>
        <w:t xml:space="preserve">G-Drive will be strategically positioned to capitalise on four key emerging trends in the automotive sector, in line with changing consumer behaviour. </w:t>
      </w:r>
    </w:p>
    <w:p>
      <w:pPr>
        <w:pStyle w:val="style0"/>
        <w:spacing w:lineRule="auto" w:line="360"/>
        <w:jc w:val="both"/>
        <w:rPr>
          <w:rFonts w:eastAsia="Times New Roman"/>
          <w:b/>
          <w:bCs/>
          <w:sz w:val="24"/>
          <w:szCs w:val="24"/>
          <w:lang w:val="en-GB"/>
        </w:rPr>
      </w:pPr>
      <w:r>
        <w:rPr>
          <w:rFonts w:eastAsia="Times New Roman"/>
          <w:b/>
          <w:bCs/>
          <w:sz w:val="24"/>
          <w:szCs w:val="24"/>
          <w:lang w:val="en-GB"/>
        </w:rPr>
        <w:t xml:space="preserve">a) The demand for authentic sustainable products </w:t>
      </w:r>
    </w:p>
    <w:p>
      <w:pPr>
        <w:pStyle w:val="style0"/>
        <w:spacing w:lineRule="auto" w:line="360"/>
        <w:jc w:val="both"/>
        <w:rPr>
          <w:rFonts w:eastAsia="Times New Roman"/>
          <w:sz w:val="24"/>
          <w:szCs w:val="24"/>
          <w:lang w:val="en-GB"/>
        </w:rPr>
      </w:pPr>
      <w:r>
        <w:rPr>
          <w:rFonts w:eastAsia="Times New Roman"/>
          <w:sz w:val="24"/>
          <w:szCs w:val="24"/>
          <w:lang w:val="en-GB"/>
        </w:rPr>
        <w:t>G-Drive will go beyond simple “electric” features, with circular-economy development and 100% carbon-neutral operations. This addresses authenticity as modern consumers seek, and it will differentiate this sub-brand of BMW from its competitors (</w:t>
      </w:r>
      <w:r>
        <w:rPr>
          <w:rFonts w:eastAsia="Times New Roman"/>
          <w:sz w:val="24"/>
          <w:szCs w:val="24"/>
          <w:lang w:val="en-GB"/>
        </w:rPr>
        <w:t>Piromalis</w:t>
      </w:r>
      <w:r>
        <w:rPr>
          <w:rFonts w:eastAsia="Times New Roman"/>
          <w:sz w:val="24"/>
          <w:szCs w:val="24"/>
          <w:lang w:val="en-GB"/>
        </w:rPr>
        <w:t xml:space="preserve"> and </w:t>
      </w:r>
      <w:r>
        <w:rPr>
          <w:rFonts w:eastAsia="Times New Roman"/>
          <w:sz w:val="24"/>
          <w:szCs w:val="24"/>
          <w:lang w:val="en-GB"/>
        </w:rPr>
        <w:t>Kantaros</w:t>
      </w:r>
      <w:r>
        <w:rPr>
          <w:rFonts w:eastAsia="Times New Roman"/>
          <w:sz w:val="24"/>
          <w:szCs w:val="24"/>
          <w:lang w:val="en-GB"/>
        </w:rPr>
        <w:t xml:space="preserve">, 2022). It will directly appeal to the ethical and environmentally aware buyer who values the company's commitments to full life-cycle transparency and renewable energy. </w:t>
      </w:r>
    </w:p>
    <w:p>
      <w:pPr>
        <w:pStyle w:val="style0"/>
        <w:spacing w:lineRule="auto" w:line="360"/>
        <w:jc w:val="center"/>
        <w:rPr>
          <w:rFonts w:eastAsia="Times New Roman"/>
          <w:sz w:val="24"/>
          <w:szCs w:val="24"/>
          <w:lang w:val="en-GB"/>
        </w:rPr>
      </w:pPr>
      <w:r>
        <w:rPr>
          <w:rFonts w:eastAsia="Times New Roman"/>
          <w:noProof/>
          <w:sz w:val="24"/>
          <w:szCs w:val="24"/>
          <w:lang w:val="en-GB"/>
        </w:rPr>
        <w:drawing>
          <wp:inline distL="0" distT="0" distB="0" distR="0">
            <wp:extent cx="5433874" cy="2690813"/>
            <wp:effectExtent l="25400" t="25400" r="25400" b="25400"/>
            <wp:docPr id="1027"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 cstate="print"/>
                    <a:srcRect l="0" t="0" r="0" b="0"/>
                    <a:stretch/>
                  </pic:blipFill>
                  <pic:spPr>
                    <a:xfrm rot="0">
                      <a:off x="0" y="0"/>
                      <a:ext cx="5433874" cy="2690813"/>
                    </a:xfrm>
                    <a:prstGeom prst="rect"/>
                    <a:ln cmpd="sng" cap="flat" w="25400">
                      <a:solidFill>
                        <a:srgbClr val="000000"/>
                      </a:solidFill>
                      <a:prstDash val="solid"/>
                      <a:round/>
                      <a:headEnd/>
                      <a:tailEnd/>
                    </a:ln>
                  </pic:spPr>
                </pic:pic>
              </a:graphicData>
            </a:graphic>
          </wp:inline>
        </w:drawing>
      </w:r>
    </w:p>
    <w:p>
      <w:pPr>
        <w:pStyle w:val="style0"/>
        <w:spacing w:lineRule="auto" w:line="360"/>
        <w:jc w:val="center"/>
        <w:rPr>
          <w:rFonts w:eastAsia="Times New Roman"/>
          <w:b/>
          <w:bCs/>
          <w:sz w:val="24"/>
          <w:szCs w:val="24"/>
          <w:lang w:val="en-GB"/>
        </w:rPr>
      </w:pPr>
      <w:r>
        <w:rPr>
          <w:rFonts w:eastAsia="Times New Roman"/>
          <w:b/>
          <w:bCs/>
          <w:sz w:val="24"/>
          <w:szCs w:val="24"/>
          <w:lang w:val="en-GB"/>
        </w:rPr>
        <w:t xml:space="preserve">Figure 1: Number of electric cars sold in the UK </w:t>
      </w:r>
    </w:p>
    <w:p>
      <w:pPr>
        <w:pStyle w:val="style0"/>
        <w:spacing w:lineRule="auto" w:line="360"/>
        <w:jc w:val="center"/>
        <w:rPr>
          <w:rFonts w:eastAsia="Times New Roman"/>
          <w:sz w:val="24"/>
          <w:szCs w:val="24"/>
          <w:lang w:val="en-GB"/>
        </w:rPr>
      </w:pPr>
      <w:r>
        <w:rPr>
          <w:rFonts w:eastAsia="Times New Roman"/>
          <w:sz w:val="24"/>
          <w:szCs w:val="24"/>
          <w:lang w:val="en-GB"/>
        </w:rPr>
        <w:t>(Source: Road Genius, 2024)</w:t>
      </w:r>
    </w:p>
    <w:p>
      <w:pPr>
        <w:pStyle w:val="style0"/>
        <w:spacing w:lineRule="auto" w:line="360"/>
        <w:jc w:val="both"/>
        <w:rPr>
          <w:rFonts w:eastAsia="Times New Roman"/>
          <w:sz w:val="24"/>
          <w:szCs w:val="24"/>
          <w:lang w:val="en-GB"/>
        </w:rPr>
      </w:pPr>
      <w:r>
        <w:rPr>
          <w:rFonts w:eastAsia="Times New Roman"/>
          <w:sz w:val="24"/>
          <w:szCs w:val="24"/>
          <w:lang w:val="en-GB"/>
        </w:rPr>
        <w:t xml:space="preserve">Figure 1 shows that a total of 75,000 electric vehicles (EVs) were sold in the UK in 2019, which became 455,200 in 2023 (Road Genius, 2024). It shows the rising demand for EVs, where BMW needs to compete with its top competitors, like Tesla, Kia, Nissan, Audi, and others. </w:t>
      </w:r>
    </w:p>
    <w:p>
      <w:pPr>
        <w:pStyle w:val="style0"/>
        <w:spacing w:lineRule="auto" w:line="360"/>
        <w:jc w:val="both"/>
        <w:rPr>
          <w:rFonts w:eastAsia="Times New Roman"/>
          <w:b/>
          <w:bCs/>
          <w:sz w:val="24"/>
          <w:szCs w:val="24"/>
          <w:lang w:val="en-GB"/>
        </w:rPr>
      </w:pPr>
      <w:r>
        <w:rPr>
          <w:rFonts w:eastAsia="Times New Roman"/>
          <w:b/>
          <w:bCs/>
          <w:sz w:val="24"/>
          <w:szCs w:val="24"/>
          <w:lang w:val="en-GB"/>
        </w:rPr>
        <w:t>b) The rise of software-defined and connected vehicles</w:t>
      </w:r>
    </w:p>
    <w:p>
      <w:pPr>
        <w:pStyle w:val="style0"/>
        <w:spacing w:lineRule="auto" w:line="360"/>
        <w:jc w:val="both"/>
        <w:rPr>
          <w:rFonts w:eastAsia="Times New Roman"/>
          <w:sz w:val="24"/>
          <w:szCs w:val="24"/>
          <w:lang w:val="en-GB"/>
        </w:rPr>
      </w:pPr>
      <w:r>
        <w:rPr>
          <w:rFonts w:eastAsia="Times New Roman"/>
          <w:sz w:val="24"/>
          <w:szCs w:val="24"/>
          <w:lang w:val="en-GB"/>
        </w:rPr>
        <w:t>The automotive industry of the UK is rapidly shifting to Software-Defined Vehicles (</w:t>
      </w:r>
      <w:r>
        <w:rPr>
          <w:rFonts w:eastAsia="Times New Roman"/>
          <w:sz w:val="24"/>
          <w:szCs w:val="24"/>
          <w:lang w:val="en-GB"/>
        </w:rPr>
        <w:t>SDVs</w:t>
      </w:r>
      <w:r>
        <w:rPr>
          <w:rFonts w:eastAsia="Times New Roman"/>
          <w:sz w:val="24"/>
          <w:szCs w:val="24"/>
          <w:lang w:val="en-GB"/>
        </w:rPr>
        <w:t xml:space="preserve">) with AI connectivity. G-Drive will provide a personal AI assistant and a digital ecosystem with features like personalised recommendations, predictive risk identification, and smart-home connectivity tap (Zhang </w:t>
      </w:r>
      <w:r>
        <w:rPr>
          <w:rFonts w:eastAsia="Times New Roman"/>
          <w:i/>
          <w:iCs/>
          <w:sz w:val="24"/>
          <w:szCs w:val="24"/>
          <w:lang w:val="en-GB"/>
        </w:rPr>
        <w:t xml:space="preserve">et al. </w:t>
      </w:r>
      <w:r>
        <w:rPr>
          <w:rFonts w:eastAsia="Times New Roman"/>
          <w:sz w:val="24"/>
          <w:szCs w:val="24"/>
          <w:lang w:val="en-GB"/>
        </w:rPr>
        <w:t xml:space="preserve">2022). </w:t>
      </w:r>
    </w:p>
    <w:p>
      <w:pPr>
        <w:pStyle w:val="style0"/>
        <w:spacing w:lineRule="auto" w:line="360"/>
        <w:jc w:val="center"/>
        <w:rPr>
          <w:rFonts w:eastAsia="Times New Roman"/>
          <w:b/>
          <w:bCs/>
          <w:sz w:val="24"/>
          <w:szCs w:val="24"/>
          <w:lang w:val="en-GB"/>
        </w:rPr>
      </w:pPr>
      <w:r>
        <w:rPr>
          <w:rFonts w:eastAsia="Times New Roman"/>
          <w:b/>
          <w:bCs/>
          <w:noProof/>
          <w:sz w:val="24"/>
          <w:szCs w:val="24"/>
          <w:lang w:val="en-GB"/>
        </w:rPr>
        <w:drawing>
          <wp:inline distL="0" distT="0" distB="0" distR="0">
            <wp:extent cx="5943600" cy="3225800"/>
            <wp:effectExtent l="25400" t="25400" r="25400" b="25400"/>
            <wp:docPr id="102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5943600" cy="3225800"/>
                    </a:xfrm>
                    <a:prstGeom prst="rect"/>
                    <a:ln cmpd="sng" cap="flat" w="25400">
                      <a:solidFill>
                        <a:srgbClr val="000000"/>
                      </a:solidFill>
                      <a:prstDash val="solid"/>
                      <a:round/>
                      <a:headEnd/>
                      <a:tailEnd/>
                    </a:ln>
                  </pic:spPr>
                </pic:pic>
              </a:graphicData>
            </a:graphic>
          </wp:inline>
        </w:drawing>
      </w:r>
    </w:p>
    <w:p>
      <w:pPr>
        <w:pStyle w:val="style0"/>
        <w:spacing w:lineRule="auto" w:line="360"/>
        <w:jc w:val="center"/>
        <w:rPr>
          <w:rFonts w:eastAsia="Times New Roman"/>
          <w:b/>
          <w:bCs/>
          <w:sz w:val="24"/>
          <w:szCs w:val="24"/>
          <w:lang w:val="en-GB"/>
        </w:rPr>
      </w:pPr>
      <w:r>
        <w:rPr>
          <w:rFonts w:eastAsia="Times New Roman"/>
          <w:b/>
          <w:bCs/>
          <w:sz w:val="24"/>
          <w:szCs w:val="24"/>
          <w:lang w:val="en-GB"/>
        </w:rPr>
        <w:t>Figure 2: Number of EVs registered in the UK in 2023</w:t>
      </w:r>
    </w:p>
    <w:p>
      <w:pPr>
        <w:pStyle w:val="style0"/>
        <w:spacing w:lineRule="auto" w:line="360"/>
        <w:jc w:val="center"/>
        <w:rPr>
          <w:rFonts w:eastAsia="Times New Roman"/>
          <w:sz w:val="24"/>
          <w:szCs w:val="24"/>
          <w:lang w:val="en-GB"/>
        </w:rPr>
      </w:pPr>
      <w:r>
        <w:rPr>
          <w:rFonts w:eastAsia="Times New Roman"/>
          <w:sz w:val="24"/>
          <w:szCs w:val="24"/>
          <w:lang w:val="en-GB"/>
        </w:rPr>
        <w:t xml:space="preserve">(Source: Road Genius, 2024) </w:t>
      </w:r>
    </w:p>
    <w:p>
      <w:pPr>
        <w:pStyle w:val="style0"/>
        <w:spacing w:lineRule="auto" w:line="360"/>
        <w:jc w:val="both"/>
        <w:rPr>
          <w:rFonts w:eastAsia="Times New Roman"/>
          <w:sz w:val="24"/>
          <w:szCs w:val="24"/>
          <w:lang w:val="en-GB"/>
        </w:rPr>
      </w:pPr>
      <w:r>
        <w:rPr>
          <w:rFonts w:eastAsia="Times New Roman"/>
          <w:sz w:val="24"/>
          <w:szCs w:val="24"/>
          <w:lang w:val="en-GB"/>
        </w:rPr>
        <w:t xml:space="preserve">Figure 2 demonstrates that the Hybrid Electric Vehicles (HEVs) are dominating the market with approximately 1,726,371 registrations in 2023 (Road Genius, 2024). It is followed by Battery Electric Vehicles (BEVs), Plug-in Hybrid Electric Vehicles (PHEVs), and others, which justifies </w:t>
      </w:r>
      <w:r>
        <w:rPr>
          <w:rFonts w:eastAsia="Times New Roman"/>
          <w:sz w:val="24"/>
          <w:szCs w:val="24"/>
          <w:lang w:val="en-GB"/>
        </w:rPr>
        <w:t>SDVs</w:t>
      </w:r>
      <w:r>
        <w:rPr>
          <w:rFonts w:eastAsia="Times New Roman"/>
          <w:sz w:val="24"/>
          <w:szCs w:val="24"/>
          <w:lang w:val="en-GB"/>
        </w:rPr>
        <w:t xml:space="preserve"> resonating with current customers. </w:t>
      </w:r>
    </w:p>
    <w:p>
      <w:pPr>
        <w:pStyle w:val="style0"/>
        <w:spacing w:lineRule="auto" w:line="360"/>
        <w:jc w:val="both"/>
        <w:rPr>
          <w:rFonts w:eastAsia="Times New Roman"/>
          <w:b/>
          <w:bCs/>
          <w:sz w:val="24"/>
          <w:szCs w:val="24"/>
          <w:lang w:val="en-GB"/>
        </w:rPr>
      </w:pPr>
      <w:r>
        <w:rPr>
          <w:rFonts w:eastAsia="Times New Roman"/>
          <w:b/>
          <w:bCs/>
          <w:sz w:val="24"/>
          <w:szCs w:val="24"/>
          <w:lang w:val="en-GB"/>
        </w:rPr>
        <w:t>c) A shift in meaningful luxury</w:t>
      </w:r>
    </w:p>
    <w:p>
      <w:pPr>
        <w:pStyle w:val="style0"/>
        <w:spacing w:lineRule="auto" w:line="360"/>
        <w:jc w:val="both"/>
        <w:rPr>
          <w:rFonts w:eastAsia="Times New Roman"/>
          <w:sz w:val="24"/>
          <w:szCs w:val="24"/>
          <w:lang w:val="en-GB"/>
        </w:rPr>
      </w:pPr>
      <w:r>
        <w:rPr>
          <w:rFonts w:eastAsia="Times New Roman"/>
          <w:sz w:val="24"/>
          <w:szCs w:val="24"/>
          <w:lang w:val="en-GB"/>
        </w:rPr>
        <w:t>The definition of luxury is changing in the luxury consumer base as more young people are participating. Technology, transparency, and purpose are the current emerging trends of luxury automobiles (</w:t>
      </w:r>
      <w:r>
        <w:rPr>
          <w:rFonts w:eastAsia="Times New Roman"/>
          <w:sz w:val="24"/>
          <w:szCs w:val="24"/>
          <w:lang w:val="en-GB"/>
        </w:rPr>
        <w:t>Dezhi</w:t>
      </w:r>
      <w:r>
        <w:rPr>
          <w:rFonts w:eastAsia="Times New Roman"/>
          <w:sz w:val="24"/>
          <w:szCs w:val="24"/>
          <w:lang w:val="en-GB"/>
        </w:rPr>
        <w:t xml:space="preserve"> </w:t>
      </w:r>
      <w:r>
        <w:rPr>
          <w:rFonts w:eastAsia="Times New Roman"/>
          <w:i/>
          <w:iCs/>
          <w:sz w:val="24"/>
          <w:szCs w:val="24"/>
          <w:lang w:val="en-GB"/>
        </w:rPr>
        <w:t xml:space="preserve">et al. </w:t>
      </w:r>
      <w:r>
        <w:rPr>
          <w:rFonts w:eastAsia="Times New Roman"/>
          <w:sz w:val="24"/>
          <w:szCs w:val="24"/>
          <w:lang w:val="en-GB"/>
        </w:rPr>
        <w:t xml:space="preserve">2022). Hence, G-Drive will be appealing to such a consumer base using an affordable pricing strategy to tap into the younger consumer base. </w:t>
      </w:r>
    </w:p>
    <w:p>
      <w:pPr>
        <w:pStyle w:val="style0"/>
        <w:spacing w:lineRule="auto" w:line="360"/>
        <w:jc w:val="both"/>
        <w:rPr>
          <w:rFonts w:eastAsia="Times New Roman"/>
          <w:b/>
          <w:bCs/>
          <w:sz w:val="24"/>
          <w:szCs w:val="24"/>
          <w:lang w:val="en-GB"/>
        </w:rPr>
      </w:pPr>
      <w:r>
        <w:rPr>
          <w:rFonts w:eastAsia="Times New Roman"/>
          <w:b/>
          <w:bCs/>
          <w:sz w:val="24"/>
          <w:szCs w:val="24"/>
          <w:lang w:val="en-GB"/>
        </w:rPr>
        <w:t xml:space="preserve">d) Desire for investment value and longevity </w:t>
      </w:r>
    </w:p>
    <w:p>
      <w:pPr>
        <w:pStyle w:val="style0"/>
        <w:spacing w:lineRule="auto" w:line="360"/>
        <w:jc w:val="both"/>
        <w:rPr>
          <w:rFonts w:eastAsia="Times New Roman"/>
          <w:sz w:val="24"/>
          <w:szCs w:val="24"/>
          <w:lang w:val="en-GB"/>
        </w:rPr>
      </w:pPr>
      <w:r>
        <w:rPr>
          <w:rFonts w:eastAsia="Times New Roman"/>
          <w:sz w:val="24"/>
          <w:szCs w:val="24"/>
          <w:lang w:val="en-GB"/>
        </w:rPr>
        <w:t xml:space="preserve">Circular economy is an emerging trend that inherently promotes reusability, longevity, and a high residual value. Thus, G-Drive will offer modular parts with the "design of circularity", meaning the vehicles will be more cost-effective (El Islami and </w:t>
      </w:r>
      <w:r>
        <w:rPr>
          <w:rFonts w:eastAsia="Times New Roman"/>
          <w:sz w:val="24"/>
          <w:szCs w:val="24"/>
          <w:lang w:val="en-GB"/>
        </w:rPr>
        <w:t>Wandebori</w:t>
      </w:r>
      <w:r>
        <w:rPr>
          <w:rFonts w:eastAsia="Times New Roman"/>
          <w:sz w:val="24"/>
          <w:szCs w:val="24"/>
          <w:lang w:val="en-GB"/>
        </w:rPr>
        <w:t xml:space="preserve">, 2025). This will align with the consumer trend of product value for futuristic designs. </w:t>
      </w:r>
    </w:p>
    <w:p>
      <w:pPr>
        <w:pStyle w:val="style0"/>
        <w:spacing w:lineRule="auto" w:line="360"/>
        <w:jc w:val="both"/>
        <w:rPr>
          <w:rFonts w:eastAsia="Times New Roman"/>
          <w:sz w:val="24"/>
          <w:szCs w:val="24"/>
          <w:lang w:val="en-GB"/>
        </w:rPr>
      </w:pPr>
      <w:r>
        <w:rPr>
          <w:rFonts w:eastAsia="Times New Roman"/>
          <w:sz w:val="24"/>
          <w:szCs w:val="24"/>
          <w:lang w:val="en-GB"/>
        </w:rPr>
        <w:t>Choosing this set of audience will be justified for G-Drive as this demographic is gradually entering its prime earning and spending times. It makes them ideal for an “affordable luxury” car that has the inherent value of technology and sustainability (</w:t>
      </w:r>
      <w:r>
        <w:rPr>
          <w:rFonts w:eastAsia="Times New Roman"/>
          <w:sz w:val="24"/>
          <w:szCs w:val="24"/>
          <w:lang w:val="en-GB"/>
        </w:rPr>
        <w:t>Muslemani</w:t>
      </w:r>
      <w:r>
        <w:rPr>
          <w:rFonts w:eastAsia="Times New Roman"/>
          <w:sz w:val="24"/>
          <w:szCs w:val="24"/>
          <w:lang w:val="en-GB"/>
        </w:rPr>
        <w:t xml:space="preserve"> </w:t>
      </w:r>
      <w:r>
        <w:rPr>
          <w:rFonts w:eastAsia="Times New Roman"/>
          <w:i/>
          <w:iCs/>
          <w:sz w:val="24"/>
          <w:szCs w:val="24"/>
          <w:lang w:val="en-GB"/>
        </w:rPr>
        <w:t xml:space="preserve">et al. </w:t>
      </w:r>
      <w:r>
        <w:rPr>
          <w:rFonts w:eastAsia="Times New Roman"/>
          <w:sz w:val="24"/>
          <w:szCs w:val="24"/>
          <w:lang w:val="en-GB"/>
        </w:rPr>
        <w:t xml:space="preserve">2021). G-Drive can also influence social natives by building an emotional connection with the target audience, rather than offering mere transportation. </w:t>
      </w:r>
    </w:p>
    <w:p>
      <w:pPr>
        <w:pStyle w:val="style0"/>
        <w:spacing w:lineRule="auto" w:line="360"/>
        <w:jc w:val="both"/>
        <w:rPr>
          <w:rFonts w:eastAsia="Times New Roman"/>
          <w:b/>
          <w:bCs/>
          <w:sz w:val="24"/>
          <w:szCs w:val="24"/>
          <w:lang w:val="en-GB"/>
        </w:rPr>
      </w:pPr>
      <w:r>
        <w:rPr>
          <w:rFonts w:eastAsia="Times New Roman"/>
          <w:b/>
          <w:bCs/>
          <w:sz w:val="24"/>
          <w:szCs w:val="24"/>
          <w:lang w:val="en-GB"/>
        </w:rPr>
        <w:t xml:space="preserve">Differentiation from competitors </w:t>
      </w:r>
    </w:p>
    <w:p>
      <w:pPr>
        <w:pStyle w:val="style0"/>
        <w:spacing w:lineRule="auto" w:line="360"/>
        <w:jc w:val="both"/>
        <w:rPr>
          <w:rFonts w:eastAsia="Times New Roman"/>
          <w:sz w:val="24"/>
          <w:szCs w:val="24"/>
          <w:lang w:val="en-GB"/>
        </w:rPr>
      </w:pPr>
      <w:r>
        <w:rPr>
          <w:rFonts w:eastAsia="Times New Roman"/>
          <w:sz w:val="24"/>
          <w:szCs w:val="24"/>
          <w:lang w:val="en-GB"/>
        </w:rPr>
        <w:t xml:space="preserve">In terms of sustainability, competitors of BMW offer “Green EVs” but lack transparent circularity that will be addressed by G-Drive with 100% carbon neutrality and circular economy (Sun </w:t>
      </w:r>
      <w:r>
        <w:rPr>
          <w:rFonts w:eastAsia="Times New Roman"/>
          <w:i/>
          <w:iCs/>
          <w:sz w:val="24"/>
          <w:szCs w:val="24"/>
          <w:lang w:val="en-GB"/>
        </w:rPr>
        <w:t xml:space="preserve">et al. </w:t>
      </w:r>
      <w:r>
        <w:rPr>
          <w:rFonts w:eastAsia="Times New Roman"/>
          <w:sz w:val="24"/>
          <w:szCs w:val="24"/>
          <w:lang w:val="en-GB"/>
        </w:rPr>
        <w:t xml:space="preserve">2022). Besides, competitors still use traditional car designs in their EVs with non-modular parts, and G-Drive will utilise sustainable interiors that are easily separable and can be upgraded to differentiate the products and services. </w:t>
      </w:r>
    </w:p>
    <w:p>
      <w:pPr>
        <w:pStyle w:val="style0"/>
        <w:spacing w:lineRule="auto" w:line="360"/>
        <w:jc w:val="both"/>
        <w:rPr>
          <w:rFonts w:eastAsia="Times New Roman"/>
          <w:b/>
          <w:bCs/>
          <w:sz w:val="24"/>
          <w:szCs w:val="24"/>
          <w:lang w:val="en-GB"/>
        </w:rPr>
      </w:pPr>
      <w:r>
        <w:rPr>
          <w:rFonts w:eastAsia="Times New Roman"/>
          <w:b/>
          <w:bCs/>
          <w:sz w:val="24"/>
          <w:szCs w:val="24"/>
          <w:lang w:val="en-GB"/>
        </w:rPr>
        <w:t>Desired positioning</w:t>
      </w:r>
    </w:p>
    <w:p>
      <w:pPr>
        <w:pStyle w:val="style0"/>
        <w:spacing w:lineRule="auto" w:line="360"/>
        <w:jc w:val="both"/>
        <w:rPr>
          <w:rFonts w:eastAsia="Times New Roman"/>
          <w:sz w:val="24"/>
          <w:szCs w:val="24"/>
          <w:lang w:val="en-GB"/>
        </w:rPr>
      </w:pPr>
      <w:r>
        <w:rPr>
          <w:rFonts w:eastAsia="Times New Roman"/>
          <w:sz w:val="24"/>
          <w:szCs w:val="24"/>
          <w:lang w:val="en-GB"/>
        </w:rPr>
        <w:t>G-Drive will position itself to the connected conscious young, ethical, and affluent drivers by offering an AI-integrated ecosystem unlike conventional luxury. The car will position itself as the epitome of accessible, intelligent, and responsible luxury to create a better future (</w:t>
      </w:r>
      <w:r>
        <w:rPr>
          <w:rFonts w:eastAsia="Times New Roman"/>
          <w:sz w:val="24"/>
          <w:szCs w:val="24"/>
          <w:lang w:val="en-GB"/>
        </w:rPr>
        <w:t>Piromalis</w:t>
      </w:r>
      <w:r>
        <w:rPr>
          <w:rFonts w:eastAsia="Times New Roman"/>
          <w:sz w:val="24"/>
          <w:szCs w:val="24"/>
          <w:lang w:val="en-GB"/>
        </w:rPr>
        <w:t xml:space="preserve"> and </w:t>
      </w:r>
      <w:r>
        <w:rPr>
          <w:rFonts w:eastAsia="Times New Roman"/>
          <w:sz w:val="24"/>
          <w:szCs w:val="24"/>
          <w:lang w:val="en-GB"/>
        </w:rPr>
        <w:t>Kantaros</w:t>
      </w:r>
      <w:r>
        <w:rPr>
          <w:rFonts w:eastAsia="Times New Roman"/>
          <w:sz w:val="24"/>
          <w:szCs w:val="24"/>
          <w:lang w:val="en-GB"/>
        </w:rPr>
        <w:t>, 2022). Key highlights from the positioning include the following:</w:t>
      </w:r>
    </w:p>
    <w:p>
      <w:pPr>
        <w:pStyle w:val="style0"/>
        <w:spacing w:lineRule="auto" w:line="360"/>
        <w:jc w:val="both"/>
        <w:rPr>
          <w:rFonts w:eastAsia="Times New Roman"/>
          <w:bCs/>
          <w:sz w:val="24"/>
          <w:szCs w:val="24"/>
          <w:lang w:val="en-GB"/>
        </w:rPr>
      </w:pPr>
      <w:r>
        <w:rPr>
          <w:rFonts w:eastAsia="Times New Roman"/>
          <w:b/>
          <w:bCs/>
          <w:i/>
          <w:iCs/>
          <w:sz w:val="24"/>
          <w:szCs w:val="24"/>
          <w:lang w:val="en-GB"/>
        </w:rPr>
        <w:t xml:space="preserve">Target audience: </w:t>
      </w:r>
      <w:r>
        <w:rPr>
          <w:rFonts w:eastAsia="Times New Roman"/>
          <w:bCs/>
          <w:sz w:val="24"/>
          <w:szCs w:val="24"/>
          <w:lang w:val="en-GB"/>
        </w:rPr>
        <w:t>Early EV adopters</w:t>
      </w:r>
      <w:r>
        <w:rPr>
          <w:rFonts w:eastAsia="Times New Roman"/>
          <w:bCs/>
          <w:sz w:val="24"/>
          <w:szCs w:val="24"/>
          <w:lang w:val="en-GB"/>
        </w:rPr>
        <w:t xml:space="preserve"> </w:t>
      </w:r>
    </w:p>
    <w:p>
      <w:pPr>
        <w:pStyle w:val="style0"/>
        <w:spacing w:lineRule="auto" w:line="360"/>
        <w:jc w:val="both"/>
        <w:rPr>
          <w:rFonts w:eastAsia="Times New Roman"/>
          <w:sz w:val="24"/>
          <w:szCs w:val="24"/>
          <w:lang w:val="en-GB"/>
        </w:rPr>
      </w:pPr>
      <w:r>
        <w:rPr>
          <w:rFonts w:eastAsia="Times New Roman"/>
          <w:bCs/>
          <w:sz w:val="24"/>
          <w:szCs w:val="24"/>
          <w:lang w:val="en-GB"/>
        </w:rPr>
        <w:t xml:space="preserve">The chosen target market is of early EV adopters because as per PwC report there has been a growing number of EV registration in UK indicating rising number of EV consumers. The report comprised of a survey were in 70% people showed interest in buying an EV indicating the potential market. </w:t>
      </w:r>
    </w:p>
    <w:p>
      <w:pPr>
        <w:pStyle w:val="style0"/>
        <w:spacing w:lineRule="auto" w:line="360"/>
        <w:jc w:val="both"/>
        <w:rPr>
          <w:rFonts w:eastAsia="Times New Roman"/>
          <w:sz w:val="24"/>
          <w:szCs w:val="24"/>
          <w:lang w:val="en-GB"/>
        </w:rPr>
      </w:pPr>
      <w:r>
        <w:rPr>
          <w:rFonts w:eastAsia="Times New Roman"/>
          <w:b/>
          <w:bCs/>
          <w:i/>
          <w:iCs/>
          <w:sz w:val="24"/>
          <w:szCs w:val="24"/>
          <w:lang w:val="en-GB"/>
        </w:rPr>
        <w:t xml:space="preserve">Product category: </w:t>
      </w:r>
      <w:r>
        <w:rPr>
          <w:rFonts w:eastAsia="Times New Roman"/>
          <w:sz w:val="24"/>
          <w:szCs w:val="24"/>
          <w:lang w:val="en-GB"/>
        </w:rPr>
        <w:t xml:space="preserve">Sustainable luxury and EV sub-brand of BMW. </w:t>
      </w:r>
    </w:p>
    <w:p>
      <w:pPr>
        <w:pStyle w:val="style0"/>
        <w:spacing w:lineRule="auto" w:line="360"/>
        <w:jc w:val="both"/>
        <w:rPr>
          <w:rFonts w:eastAsia="Times New Roman"/>
          <w:sz w:val="24"/>
          <w:szCs w:val="24"/>
          <w:lang w:val="en-GB"/>
        </w:rPr>
      </w:pPr>
      <w:r>
        <w:rPr>
          <w:rFonts w:eastAsia="Times New Roman"/>
          <w:b/>
          <w:bCs/>
          <w:i/>
          <w:iCs/>
          <w:sz w:val="24"/>
          <w:szCs w:val="24"/>
          <w:lang w:val="en-GB"/>
        </w:rPr>
        <w:t xml:space="preserve">Key benefits: </w:t>
      </w:r>
      <w:r>
        <w:rPr>
          <w:rFonts w:eastAsia="Times New Roman"/>
          <w:sz w:val="24"/>
          <w:szCs w:val="24"/>
          <w:lang w:val="en-GB"/>
        </w:rPr>
        <w:t xml:space="preserve">Transparent circular manufacturing and an integrated AI ecosystem. </w:t>
      </w:r>
    </w:p>
    <w:p>
      <w:pPr>
        <w:pStyle w:val="style0"/>
        <w:spacing w:lineRule="auto" w:line="360"/>
        <w:jc w:val="both"/>
        <w:rPr>
          <w:rFonts w:eastAsia="Times New Roman"/>
          <w:sz w:val="24"/>
          <w:szCs w:val="24"/>
          <w:lang w:val="en-GB"/>
        </w:rPr>
      </w:pPr>
      <w:r>
        <w:rPr>
          <w:rFonts w:eastAsia="Times New Roman"/>
          <w:b/>
          <w:bCs/>
          <w:i/>
          <w:iCs/>
          <w:sz w:val="24"/>
          <w:szCs w:val="24"/>
          <w:lang w:val="en-GB"/>
        </w:rPr>
        <w:t xml:space="preserve">Key differentiator: </w:t>
      </w:r>
      <w:r>
        <w:rPr>
          <w:rFonts w:eastAsia="Times New Roman"/>
          <w:sz w:val="24"/>
          <w:szCs w:val="24"/>
          <w:lang w:val="en-GB"/>
        </w:rPr>
        <w:t xml:space="preserve">Accessible luxury, focused on intelligence and responsibility, beyond legacy. </w:t>
      </w:r>
    </w:p>
    <w:bookmarkStart w:id="1" w:name="_Toc216368620"/>
    <w:p>
      <w:pPr>
        <w:pStyle w:val="style1"/>
        <w:rPr>
          <w:rFonts w:ascii="Arial" w:cs="Arial" w:hAnsi="Arial"/>
          <w:lang w:val="en-GB"/>
        </w:rPr>
      </w:pPr>
      <w:r>
        <w:rPr>
          <w:rFonts w:ascii="Arial" w:cs="Arial" w:hAnsi="Arial"/>
          <w:lang w:val="en-GB"/>
        </w:rPr>
        <w:t>Element 2: Marketing Mix with 4Ps</w:t>
      </w:r>
      <w:bookmarkEnd w:id="1"/>
    </w:p>
    <w:p>
      <w:pPr>
        <w:pStyle w:val="style0"/>
        <w:spacing w:lineRule="auto" w:line="360"/>
        <w:jc w:val="both"/>
        <w:rPr>
          <w:rFonts w:eastAsia="Times New Roman"/>
          <w:sz w:val="24"/>
          <w:szCs w:val="24"/>
          <w:lang w:val="en-GB"/>
        </w:rPr>
      </w:pPr>
      <w:r>
        <w:rPr>
          <w:rFonts w:eastAsia="Times New Roman"/>
          <w:sz w:val="24"/>
          <w:szCs w:val="24"/>
          <w:lang w:val="en-GB"/>
        </w:rPr>
        <w:t xml:space="preserve">The marketing mix for G-Drive can be designed to synergise the core strategies of the brand, involving intelligent, responsible luxury, and accessibility. Each of these components is essential to be tailored to connect with the conscious audience and </w:t>
      </w:r>
      <w:r>
        <w:rPr>
          <w:rFonts w:eastAsia="Times New Roman"/>
          <w:sz w:val="24"/>
          <w:szCs w:val="24"/>
          <w:lang w:val="en-GB"/>
        </w:rPr>
        <w:t xml:space="preserve">differentiate the brand (Karim </w:t>
      </w:r>
      <w:r>
        <w:rPr>
          <w:rFonts w:eastAsia="Times New Roman"/>
          <w:i/>
          <w:iCs/>
          <w:sz w:val="24"/>
          <w:szCs w:val="24"/>
          <w:lang w:val="en-GB"/>
        </w:rPr>
        <w:t xml:space="preserve">et al. </w:t>
      </w:r>
      <w:r>
        <w:rPr>
          <w:rFonts w:eastAsia="Times New Roman"/>
          <w:sz w:val="24"/>
          <w:szCs w:val="24"/>
          <w:lang w:val="en-GB"/>
        </w:rPr>
        <w:t xml:space="preserve">2021). The major focus of this differentiation will rely on technological integration and sustainability. </w:t>
      </w:r>
    </w:p>
    <w:p>
      <w:pPr>
        <w:pStyle w:val="style0"/>
        <w:spacing w:lineRule="auto" w:line="360"/>
        <w:jc w:val="both"/>
        <w:rPr>
          <w:rFonts w:eastAsia="Times New Roman"/>
          <w:b/>
          <w:bCs/>
          <w:sz w:val="24"/>
          <w:szCs w:val="24"/>
          <w:lang w:val="en-GB"/>
        </w:rPr>
      </w:pPr>
      <w:r>
        <w:rPr>
          <w:rFonts w:eastAsia="Times New Roman"/>
          <w:b/>
          <w:bCs/>
          <w:sz w:val="24"/>
          <w:szCs w:val="24"/>
          <w:lang w:val="en-GB"/>
        </w:rPr>
        <w:t>a) Product</w:t>
      </w:r>
    </w:p>
    <w:p>
      <w:pPr>
        <w:pStyle w:val="style0"/>
        <w:spacing w:lineRule="auto" w:line="360"/>
        <w:jc w:val="both"/>
        <w:rPr>
          <w:rFonts w:eastAsia="Times New Roman"/>
          <w:sz w:val="24"/>
          <w:szCs w:val="24"/>
          <w:lang w:val="en-GB"/>
        </w:rPr>
      </w:pPr>
      <w:r>
        <w:rPr>
          <w:rFonts w:eastAsia="Times New Roman"/>
          <w:sz w:val="24"/>
          <w:szCs w:val="24"/>
          <w:lang w:val="en-GB"/>
        </w:rPr>
        <w:t xml:space="preserve">The core product </w:t>
      </w:r>
      <w:r>
        <w:rPr>
          <w:rFonts w:eastAsia="Times New Roman"/>
          <w:sz w:val="24"/>
          <w:szCs w:val="24"/>
          <w:lang w:val="en-GB"/>
        </w:rPr>
        <w:t>will be</w:t>
      </w:r>
      <w:r>
        <w:rPr>
          <w:rFonts w:eastAsia="Times New Roman"/>
          <w:sz w:val="24"/>
          <w:szCs w:val="24"/>
          <w:lang w:val="en-GB"/>
        </w:rPr>
        <w:t xml:space="preserve"> a range of compact and mid-size luxury EV models, such as sporty sedans or crossovers, having non-BMW-resembling and distinctive designs. </w:t>
      </w:r>
      <w:r>
        <w:rPr>
          <w:rFonts w:eastAsia="Times New Roman"/>
          <w:sz w:val="24"/>
          <w:szCs w:val="24"/>
          <w:lang w:val="en-GB"/>
        </w:rPr>
        <w:t>The product designs</w:t>
      </w:r>
      <w:r>
        <w:rPr>
          <w:rFonts w:eastAsia="Times New Roman"/>
          <w:sz w:val="24"/>
          <w:szCs w:val="24"/>
          <w:lang w:val="en-GB"/>
        </w:rPr>
        <w:t xml:space="preserve"> will align with the target of the younger generation by offering them aesthetically distinct models (</w:t>
      </w:r>
      <w:r>
        <w:rPr>
          <w:rFonts w:eastAsia="Times New Roman"/>
          <w:sz w:val="24"/>
          <w:szCs w:val="24"/>
          <w:lang w:val="en-GB"/>
        </w:rPr>
        <w:t>Elfadel</w:t>
      </w:r>
      <w:r>
        <w:rPr>
          <w:rFonts w:eastAsia="Times New Roman"/>
          <w:sz w:val="24"/>
          <w:szCs w:val="24"/>
          <w:lang w:val="en-GB"/>
        </w:rPr>
        <w:t xml:space="preserve"> </w:t>
      </w:r>
      <w:r>
        <w:rPr>
          <w:rFonts w:eastAsia="Times New Roman"/>
          <w:i/>
          <w:iCs/>
          <w:sz w:val="24"/>
          <w:szCs w:val="24"/>
          <w:lang w:val="en-GB"/>
        </w:rPr>
        <w:t xml:space="preserve">et al. </w:t>
      </w:r>
      <w:r>
        <w:rPr>
          <w:rFonts w:eastAsia="Times New Roman"/>
          <w:sz w:val="24"/>
          <w:szCs w:val="24"/>
          <w:lang w:val="en-GB"/>
        </w:rPr>
        <w:t>2024). Sustainability will be one of the core elements that will be applied in G-Drive</w:t>
      </w:r>
      <w:r>
        <w:rPr>
          <w:rFonts w:eastAsia="Times New Roman"/>
          <w:sz w:val="24"/>
          <w:szCs w:val="24"/>
          <w:lang w:val="en-GB"/>
        </w:rPr>
        <w:t>. Based on this the sustainable principles will be applied in the product by</w:t>
      </w:r>
      <w:r>
        <w:rPr>
          <w:rFonts w:eastAsia="Times New Roman"/>
          <w:sz w:val="24"/>
          <w:szCs w:val="24"/>
          <w:lang w:val="en-GB"/>
        </w:rPr>
        <w:t xml:space="preserve"> utilising a 100% circular economic procedure</w:t>
      </w:r>
      <w:r>
        <w:rPr>
          <w:rFonts w:eastAsia="Times New Roman"/>
          <w:sz w:val="24"/>
          <w:szCs w:val="24"/>
          <w:lang w:val="en-GB"/>
        </w:rPr>
        <w:t>.</w:t>
      </w:r>
      <w:r>
        <w:rPr>
          <w:rFonts w:eastAsia="Times New Roman"/>
          <w:sz w:val="24"/>
          <w:szCs w:val="24"/>
          <w:lang w:val="en-GB"/>
        </w:rPr>
        <w:t xml:space="preserve"> </w:t>
      </w:r>
      <w:r>
        <w:rPr>
          <w:rFonts w:eastAsia="Times New Roman"/>
          <w:sz w:val="24"/>
          <w:szCs w:val="24"/>
          <w:lang w:val="en-GB"/>
        </w:rPr>
        <w:t xml:space="preserve">in order to promote sustainable products all the car models will </w:t>
      </w:r>
      <w:r>
        <w:rPr>
          <w:rFonts w:eastAsia="Times New Roman"/>
          <w:sz w:val="24"/>
          <w:szCs w:val="24"/>
          <w:lang w:val="en-GB"/>
        </w:rPr>
        <w:t xml:space="preserve">include full lifecycle transparency and minimal usage of virgin materials, which </w:t>
      </w:r>
      <w:r>
        <w:rPr>
          <w:rFonts w:eastAsia="Times New Roman"/>
          <w:sz w:val="24"/>
          <w:szCs w:val="24"/>
          <w:lang w:val="en-GB"/>
        </w:rPr>
        <w:t xml:space="preserve">will be </w:t>
      </w:r>
      <w:r>
        <w:rPr>
          <w:rFonts w:eastAsia="Times New Roman"/>
          <w:sz w:val="24"/>
          <w:szCs w:val="24"/>
          <w:lang w:val="en-GB"/>
        </w:rPr>
        <w:t>powered by renewable energy</w:t>
      </w:r>
      <w:r>
        <w:rPr>
          <w:rFonts w:eastAsia="Times New Roman"/>
          <w:sz w:val="24"/>
          <w:szCs w:val="24"/>
          <w:lang w:val="en-GB"/>
        </w:rPr>
        <w:t xml:space="preserve"> </w:t>
      </w:r>
      <w:r>
        <w:rPr>
          <w:rFonts w:eastAsia="Times New Roman"/>
          <w:sz w:val="24"/>
          <w:szCs w:val="24"/>
          <w:lang w:val="en-GB"/>
        </w:rPr>
        <w:t xml:space="preserve">(Hanifah </w:t>
      </w:r>
      <w:r>
        <w:rPr>
          <w:rFonts w:eastAsia="Times New Roman"/>
          <w:i/>
          <w:iCs/>
          <w:sz w:val="24"/>
          <w:szCs w:val="24"/>
          <w:lang w:val="en-GB"/>
        </w:rPr>
        <w:t xml:space="preserve">et al. </w:t>
      </w:r>
      <w:r>
        <w:rPr>
          <w:rFonts w:eastAsia="Times New Roman"/>
          <w:sz w:val="24"/>
          <w:szCs w:val="24"/>
          <w:lang w:val="en-GB"/>
        </w:rPr>
        <w:t xml:space="preserve">2022). </w:t>
      </w:r>
      <w:r>
        <w:rPr>
          <w:rFonts w:eastAsia="Times New Roman"/>
          <w:sz w:val="24"/>
          <w:szCs w:val="24"/>
          <w:lang w:val="en-GB"/>
        </w:rPr>
        <w:t>Based on these features of the product</w:t>
      </w:r>
      <w:r>
        <w:rPr>
          <w:rFonts w:eastAsia="Times New Roman"/>
          <w:sz w:val="24"/>
          <w:szCs w:val="24"/>
          <w:lang w:val="en-GB"/>
        </w:rPr>
        <w:t xml:space="preserve"> the demand of the ethical segment can be fulfilled with this pioneering innovation. </w:t>
      </w:r>
      <w:r>
        <w:rPr>
          <w:rFonts w:eastAsia="Times New Roman"/>
          <w:sz w:val="24"/>
          <w:szCs w:val="24"/>
          <w:lang w:val="en-GB"/>
        </w:rPr>
        <w:t xml:space="preserve">Majority of the car models will reply on </w:t>
      </w:r>
      <w:r>
        <w:rPr>
          <w:rFonts w:eastAsia="Times New Roman"/>
          <w:sz w:val="24"/>
          <w:szCs w:val="24"/>
          <w:lang w:val="en-GB"/>
        </w:rPr>
        <w:t xml:space="preserve">high-performance M models and a diverse range of PHEV and BEV, reflecting consumer interests (Sze Yeoh </w:t>
      </w:r>
      <w:r>
        <w:rPr>
          <w:rFonts w:eastAsia="Times New Roman"/>
          <w:i/>
          <w:sz w:val="24"/>
          <w:szCs w:val="24"/>
          <w:lang w:val="en-GB"/>
        </w:rPr>
        <w:t xml:space="preserve">et al. </w:t>
      </w:r>
      <w:r>
        <w:rPr>
          <w:rFonts w:eastAsia="Times New Roman"/>
          <w:sz w:val="24"/>
          <w:szCs w:val="24"/>
          <w:lang w:val="en-GB"/>
        </w:rPr>
        <w:t xml:space="preserve">2022). </w:t>
      </w:r>
    </w:p>
    <w:p>
      <w:pPr>
        <w:pStyle w:val="style0"/>
        <w:spacing w:lineRule="auto" w:line="360"/>
        <w:jc w:val="both"/>
        <w:rPr>
          <w:rFonts w:eastAsia="Times New Roman"/>
          <w:sz w:val="24"/>
          <w:szCs w:val="24"/>
          <w:lang w:val="en-GB"/>
        </w:rPr>
      </w:pPr>
      <w:r>
        <w:rPr>
          <w:rFonts w:eastAsia="Times New Roman"/>
          <w:sz w:val="24"/>
          <w:szCs w:val="24"/>
          <w:lang w:val="en-GB"/>
        </w:rPr>
        <w:t xml:space="preserve">On another note, AI integration is a key component of G-Drive by adding features of an Intelligent Personal AI Assistant that can learn user habits. This feature </w:t>
      </w:r>
      <w:r>
        <w:rPr>
          <w:rFonts w:eastAsia="Times New Roman"/>
          <w:sz w:val="24"/>
          <w:szCs w:val="24"/>
          <w:lang w:val="en-GB"/>
        </w:rPr>
        <w:t xml:space="preserve">will be present in all the high end as well as medium range model of the product and it </w:t>
      </w:r>
      <w:r>
        <w:rPr>
          <w:rFonts w:eastAsia="Times New Roman"/>
          <w:sz w:val="24"/>
          <w:szCs w:val="24"/>
          <w:lang w:val="en-GB"/>
        </w:rPr>
        <w:t xml:space="preserve">will be able to identify the impending driving risks and manage energy usage (Tay </w:t>
      </w:r>
      <w:r>
        <w:rPr>
          <w:rFonts w:eastAsia="Times New Roman"/>
          <w:i/>
          <w:iCs/>
          <w:sz w:val="24"/>
          <w:szCs w:val="24"/>
          <w:lang w:val="en-GB"/>
        </w:rPr>
        <w:t xml:space="preserve">et al. </w:t>
      </w:r>
      <w:r>
        <w:rPr>
          <w:rFonts w:eastAsia="Times New Roman"/>
          <w:sz w:val="24"/>
          <w:szCs w:val="24"/>
          <w:lang w:val="en-GB"/>
        </w:rPr>
        <w:t xml:space="preserve">2025). For instance, charging of these EVs can be optimised based on renewable grid availability that can connect with users' smart homes. </w:t>
      </w:r>
      <w:r>
        <w:rPr>
          <w:rFonts w:eastAsia="Times New Roman"/>
          <w:sz w:val="24"/>
          <w:szCs w:val="24"/>
          <w:lang w:val="en-GB"/>
        </w:rPr>
        <w:t xml:space="preserve">Features associated with long-distance driving, handling, and </w:t>
      </w:r>
      <w:r>
        <w:rPr>
          <w:rFonts w:eastAsia="Times New Roman"/>
          <w:sz w:val="24"/>
          <w:szCs w:val="24"/>
          <w:lang w:val="en-GB"/>
        </w:rPr>
        <w:t>speed is</w:t>
      </w:r>
      <w:r>
        <w:rPr>
          <w:rFonts w:eastAsia="Times New Roman"/>
          <w:sz w:val="24"/>
          <w:szCs w:val="24"/>
          <w:lang w:val="en-GB"/>
        </w:rPr>
        <w:t xml:space="preserve"> fundamental. </w:t>
      </w:r>
      <w:r>
        <w:rPr>
          <w:rFonts w:eastAsia="Times New Roman"/>
          <w:sz w:val="24"/>
          <w:szCs w:val="24"/>
          <w:lang w:val="en-GB"/>
        </w:rPr>
        <w:t xml:space="preserve">It will </w:t>
      </w:r>
      <w:r>
        <w:rPr>
          <w:rFonts w:eastAsia="Times New Roman"/>
          <w:sz w:val="24"/>
          <w:szCs w:val="24"/>
          <w:lang w:val="en-GB"/>
        </w:rPr>
        <w:t>fulfil</w:t>
      </w:r>
      <w:r>
        <w:rPr>
          <w:rFonts w:eastAsia="Times New Roman"/>
          <w:sz w:val="24"/>
          <w:szCs w:val="24"/>
          <w:lang w:val="en-GB"/>
        </w:rPr>
        <w:t xml:space="preserve"> the requirements of the digital natives for a hyper-personalised, connected, and proactive digital ecosystem. Another important element of the G-Drive product will be its interior and design using sustainably sourced and renewable materials (Niazi </w:t>
      </w:r>
      <w:r>
        <w:rPr>
          <w:rFonts w:eastAsia="Times New Roman"/>
          <w:i/>
          <w:iCs/>
          <w:sz w:val="24"/>
          <w:szCs w:val="24"/>
          <w:lang w:val="en-GB"/>
        </w:rPr>
        <w:t xml:space="preserve">et al. </w:t>
      </w:r>
      <w:r>
        <w:rPr>
          <w:rFonts w:eastAsia="Times New Roman"/>
          <w:sz w:val="24"/>
          <w:szCs w:val="24"/>
          <w:lang w:val="en-GB"/>
        </w:rPr>
        <w:t xml:space="preserve">2021). Recycled </w:t>
      </w:r>
      <w:r>
        <w:rPr>
          <w:rFonts w:eastAsia="Times New Roman"/>
          <w:sz w:val="24"/>
          <w:szCs w:val="24"/>
          <w:lang w:val="en-GB"/>
        </w:rPr>
        <w:t>aluminium</w:t>
      </w:r>
      <w:r>
        <w:rPr>
          <w:rFonts w:eastAsia="Times New Roman"/>
          <w:sz w:val="24"/>
          <w:szCs w:val="24"/>
          <w:lang w:val="en-GB"/>
        </w:rPr>
        <w:t xml:space="preserve"> or bio-based textiles can be used for modular interior parts to support the strategy of longevity positioning and accessible luxury, aligning with the circular economy. </w:t>
      </w:r>
    </w:p>
    <w:p>
      <w:pPr>
        <w:pStyle w:val="style0"/>
        <w:spacing w:lineRule="auto" w:line="360"/>
        <w:jc w:val="both"/>
        <w:rPr>
          <w:rFonts w:eastAsia="Times New Roman"/>
          <w:b/>
          <w:bCs/>
          <w:sz w:val="24"/>
          <w:szCs w:val="24"/>
          <w:lang w:val="en-GB"/>
        </w:rPr>
      </w:pPr>
      <w:r>
        <w:rPr>
          <w:rFonts w:eastAsia="Times New Roman"/>
          <w:b/>
          <w:bCs/>
          <w:sz w:val="24"/>
          <w:szCs w:val="24"/>
          <w:lang w:val="en-GB"/>
        </w:rPr>
        <w:t>b) Price</w:t>
      </w:r>
    </w:p>
    <w:p>
      <w:pPr>
        <w:pStyle w:val="style0"/>
        <w:spacing w:lineRule="auto" w:line="360"/>
        <w:jc w:val="center"/>
        <w:rPr>
          <w:rFonts w:eastAsia="Times New Roman"/>
          <w:b/>
          <w:bCs/>
          <w:sz w:val="24"/>
          <w:szCs w:val="24"/>
          <w:lang w:val="en-GB"/>
        </w:rPr>
      </w:pPr>
      <w:r>
        <w:rPr>
          <w:rFonts w:eastAsia="Times New Roman"/>
          <w:b/>
          <w:bCs/>
          <w:noProof/>
          <w:sz w:val="24"/>
          <w:szCs w:val="24"/>
          <w:lang w:val="en-GB"/>
        </w:rPr>
        <w:drawing>
          <wp:inline distL="0" distT="0" distB="0" distR="0">
            <wp:extent cx="5943600" cy="1684287"/>
            <wp:effectExtent l="25400" t="25400" r="25400" b="25400"/>
            <wp:docPr id="1029"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5" cstate="print"/>
                    <a:srcRect l="0" t="27337" r="0" b="14259"/>
                    <a:stretch/>
                  </pic:blipFill>
                  <pic:spPr>
                    <a:xfrm rot="0">
                      <a:off x="0" y="0"/>
                      <a:ext cx="5943600" cy="1684287"/>
                    </a:xfrm>
                    <a:prstGeom prst="rect"/>
                    <a:ln cmpd="sng" cap="flat" w="25400">
                      <a:solidFill>
                        <a:srgbClr val="000000"/>
                      </a:solidFill>
                      <a:prstDash val="solid"/>
                      <a:round/>
                      <a:headEnd/>
                      <a:tailEnd/>
                    </a:ln>
                  </pic:spPr>
                </pic:pic>
              </a:graphicData>
            </a:graphic>
          </wp:inline>
        </w:drawing>
      </w:r>
    </w:p>
    <w:p>
      <w:pPr>
        <w:pStyle w:val="style0"/>
        <w:spacing w:lineRule="auto" w:line="360"/>
        <w:jc w:val="center"/>
        <w:rPr>
          <w:rFonts w:eastAsia="Times New Roman"/>
          <w:b/>
          <w:bCs/>
          <w:sz w:val="24"/>
          <w:szCs w:val="24"/>
          <w:lang w:val="en-GB"/>
        </w:rPr>
      </w:pPr>
      <w:r>
        <w:rPr>
          <w:rFonts w:eastAsia="Times New Roman"/>
          <w:b/>
          <w:bCs/>
          <w:sz w:val="24"/>
          <w:szCs w:val="24"/>
          <w:lang w:val="en-GB"/>
        </w:rPr>
        <w:t>Figure 3: Steps of the value-based pricing strategy</w:t>
      </w:r>
    </w:p>
    <w:p>
      <w:pPr>
        <w:pStyle w:val="style0"/>
        <w:spacing w:lineRule="auto" w:line="360"/>
        <w:jc w:val="center"/>
        <w:rPr>
          <w:rFonts w:eastAsia="Times New Roman"/>
          <w:sz w:val="24"/>
          <w:szCs w:val="24"/>
          <w:lang w:val="en-GB"/>
        </w:rPr>
      </w:pPr>
      <w:r>
        <w:rPr>
          <w:rFonts w:eastAsia="Times New Roman"/>
          <w:sz w:val="24"/>
          <w:szCs w:val="24"/>
          <w:lang w:val="en-GB"/>
        </w:rPr>
        <w:t xml:space="preserve">(Source: Influenced by Arifin and </w:t>
      </w:r>
      <w:r>
        <w:rPr>
          <w:rFonts w:eastAsia="Times New Roman"/>
          <w:sz w:val="24"/>
          <w:szCs w:val="24"/>
          <w:lang w:val="en-GB"/>
        </w:rPr>
        <w:t>Awaluddin</w:t>
      </w:r>
      <w:r>
        <w:rPr>
          <w:rFonts w:eastAsia="Times New Roman"/>
          <w:sz w:val="24"/>
          <w:szCs w:val="24"/>
          <w:lang w:val="en-GB"/>
        </w:rPr>
        <w:t>, 2023)</w:t>
      </w:r>
    </w:p>
    <w:p>
      <w:pPr>
        <w:pStyle w:val="style0"/>
        <w:spacing w:lineRule="auto" w:line="360"/>
        <w:jc w:val="both"/>
        <w:rPr>
          <w:rFonts w:eastAsia="Times New Roman"/>
          <w:sz w:val="24"/>
          <w:szCs w:val="24"/>
          <w:lang w:val="en-GB"/>
        </w:rPr>
      </w:pPr>
      <w:r>
        <w:rPr>
          <w:rFonts w:eastAsia="Times New Roman"/>
          <w:sz w:val="24"/>
          <w:szCs w:val="24"/>
          <w:lang w:val="en-GB"/>
        </w:rPr>
        <w:t xml:space="preserve">Using a value-based skimming strategy will be beneficial as a core pricing strategy for G-Driven, as it will strive to make affordable EVs. It will position this sub-brand below the core BMW EVs, yet premium compared to the mass-market, such as the 3/Y entry-level Model of Tesla (Arifin and </w:t>
      </w:r>
      <w:r>
        <w:rPr>
          <w:rFonts w:eastAsia="Times New Roman"/>
          <w:sz w:val="24"/>
          <w:szCs w:val="24"/>
          <w:lang w:val="en-GB"/>
        </w:rPr>
        <w:t>Awaluddin</w:t>
      </w:r>
      <w:r>
        <w:rPr>
          <w:rFonts w:eastAsia="Times New Roman"/>
          <w:sz w:val="24"/>
          <w:szCs w:val="24"/>
          <w:lang w:val="en-GB"/>
        </w:rPr>
        <w:t>, 2023). The strategic alignment in this context involves achieving accessible luxury positioning by creating a high perceived value. Another effective pricing strategy will involve the Total Cost of Ownership (</w:t>
      </w:r>
      <w:r>
        <w:rPr>
          <w:rFonts w:eastAsia="Times New Roman"/>
          <w:sz w:val="24"/>
          <w:szCs w:val="24"/>
          <w:lang w:val="en-GB"/>
        </w:rPr>
        <w:t>TCO</w:t>
      </w:r>
      <w:r>
        <w:rPr>
          <w:rFonts w:eastAsia="Times New Roman"/>
          <w:sz w:val="24"/>
          <w:szCs w:val="24"/>
          <w:lang w:val="en-GB"/>
        </w:rPr>
        <w:t xml:space="preserve">) due to reduced maintenance needs, electric power, and the modular design (Idris, 2021). Thus, this strategy will appear as a pragmatic nature of the brand to transform purchase into a reasonably long-term investment. </w:t>
      </w:r>
    </w:p>
    <w:p>
      <w:pPr>
        <w:pStyle w:val="style0"/>
        <w:spacing w:lineRule="auto" w:line="360"/>
        <w:jc w:val="both"/>
        <w:rPr>
          <w:rFonts w:eastAsia="Times New Roman"/>
          <w:sz w:val="24"/>
          <w:szCs w:val="24"/>
          <w:lang w:val="en-GB"/>
        </w:rPr>
      </w:pPr>
      <w:r>
        <w:rPr>
          <w:rFonts w:eastAsia="Times New Roman"/>
          <w:sz w:val="24"/>
          <w:szCs w:val="24"/>
          <w:lang w:val="en-GB"/>
        </w:rPr>
        <w:t xml:space="preserve">The strategy of sustainability narrative will be aligned with the financing or leasing element by offering a flexible and transparent leasing option (Gokhale </w:t>
      </w:r>
      <w:r>
        <w:rPr>
          <w:rFonts w:eastAsia="Times New Roman"/>
          <w:i/>
          <w:iCs/>
          <w:sz w:val="24"/>
          <w:szCs w:val="24"/>
          <w:lang w:val="en-GB"/>
        </w:rPr>
        <w:t xml:space="preserve">et al. </w:t>
      </w:r>
      <w:r>
        <w:rPr>
          <w:rFonts w:eastAsia="Times New Roman"/>
          <w:sz w:val="24"/>
          <w:szCs w:val="24"/>
          <w:lang w:val="en-GB"/>
        </w:rPr>
        <w:t xml:space="preserve">2021). It will also address the sustainability goals, such as decreased lease payments for users who charge during high-renewable energy hours or off-peak hours managed by the in-car AI. </w:t>
      </w:r>
      <w:r>
        <w:rPr>
          <w:rFonts w:eastAsia="Times New Roman"/>
          <w:sz w:val="24"/>
          <w:szCs w:val="24"/>
          <w:lang w:val="en-GB"/>
        </w:rPr>
        <w:t>It will h</w:t>
      </w:r>
      <w:r>
        <w:rPr>
          <w:rFonts w:eastAsia="Times New Roman"/>
          <w:sz w:val="24"/>
          <w:szCs w:val="24"/>
          <w:lang w:val="en-GB"/>
        </w:rPr>
        <w:t xml:space="preserve">eavily dependent on </w:t>
      </w:r>
      <w:r>
        <w:rPr>
          <w:rFonts w:eastAsia="Times New Roman"/>
          <w:b/>
          <w:i/>
          <w:sz w:val="24"/>
          <w:szCs w:val="24"/>
          <w:lang w:val="en-GB"/>
        </w:rPr>
        <w:t xml:space="preserve">Personal Contract Purchase (PCP) </w:t>
      </w:r>
      <w:r>
        <w:rPr>
          <w:rFonts w:eastAsia="Times New Roman"/>
          <w:sz w:val="24"/>
          <w:szCs w:val="24"/>
          <w:lang w:val="en-GB"/>
        </w:rPr>
        <w:t xml:space="preserve">and business fleet sales, which are essential for the UK car market. </w:t>
      </w:r>
      <w:r>
        <w:rPr>
          <w:rFonts w:eastAsia="Times New Roman"/>
          <w:sz w:val="24"/>
          <w:szCs w:val="24"/>
          <w:lang w:val="en-GB"/>
        </w:rPr>
        <w:t xml:space="preserve">This strategy will also align with the sustainability narrative to deepen the brand-customer relationship. </w:t>
      </w:r>
    </w:p>
    <w:p>
      <w:pPr>
        <w:pStyle w:val="style0"/>
        <w:spacing w:lineRule="auto" w:line="360"/>
        <w:jc w:val="both"/>
        <w:rPr>
          <w:rFonts w:eastAsia="Times New Roman"/>
          <w:b/>
          <w:bCs/>
          <w:sz w:val="24"/>
          <w:szCs w:val="24"/>
          <w:lang w:val="en-GB"/>
        </w:rPr>
      </w:pPr>
      <w:r>
        <w:rPr>
          <w:rFonts w:eastAsia="Times New Roman"/>
          <w:b/>
          <w:bCs/>
          <w:sz w:val="24"/>
          <w:szCs w:val="24"/>
          <w:lang w:val="en-GB"/>
        </w:rPr>
        <w:t>c) Place</w:t>
      </w:r>
    </w:p>
    <w:p>
      <w:pPr>
        <w:pStyle w:val="style0"/>
        <w:spacing w:lineRule="auto" w:line="360"/>
        <w:jc w:val="both"/>
        <w:rPr>
          <w:rFonts w:eastAsia="Times New Roman"/>
          <w:sz w:val="24"/>
          <w:szCs w:val="24"/>
          <w:lang w:val="en-GB"/>
        </w:rPr>
      </w:pPr>
      <w:r>
        <w:rPr>
          <w:rFonts w:eastAsia="Times New Roman"/>
          <w:sz w:val="24"/>
          <w:szCs w:val="24"/>
          <w:lang w:val="en-GB"/>
        </w:rPr>
        <w:t xml:space="preserve">This will aim to provide a digital-first experience with strategic physical hubs, as the distribution channels will focus on a seamless digital buying experience. However, G-Drive will maintain the essential luxury “touch and feel” experience with the element of primary channels (Sze Yeoh </w:t>
      </w:r>
      <w:r>
        <w:rPr>
          <w:rFonts w:eastAsia="Times New Roman"/>
          <w:i/>
          <w:iCs/>
          <w:sz w:val="24"/>
          <w:szCs w:val="24"/>
          <w:lang w:val="en-GB"/>
        </w:rPr>
        <w:t xml:space="preserve">et al. </w:t>
      </w:r>
      <w:r>
        <w:rPr>
          <w:rFonts w:eastAsia="Times New Roman"/>
          <w:sz w:val="24"/>
          <w:szCs w:val="24"/>
          <w:lang w:val="en-GB"/>
        </w:rPr>
        <w:t xml:space="preserve">2022). For instance, a Direct-to-Consumer Digital platform will be used as an immersive and sophisticated online portal. It will allow </w:t>
      </w:r>
      <w:r>
        <w:rPr>
          <w:rFonts w:eastAsia="Times New Roman"/>
          <w:sz w:val="24"/>
          <w:szCs w:val="24"/>
          <w:lang w:val="en-GB"/>
        </w:rPr>
        <w:t>customers to full customisation along with complete material and lifecycle transparency. This strategy will be appealing to the digital native audience who prefer online research and buying efficiency (</w:t>
      </w:r>
      <w:r>
        <w:rPr>
          <w:rFonts w:eastAsia="Times New Roman"/>
          <w:sz w:val="24"/>
          <w:szCs w:val="24"/>
          <w:lang w:val="en-GB"/>
        </w:rPr>
        <w:t>Wongsunopparat</w:t>
      </w:r>
      <w:r>
        <w:rPr>
          <w:rFonts w:eastAsia="Times New Roman"/>
          <w:sz w:val="24"/>
          <w:szCs w:val="24"/>
          <w:lang w:val="en-GB"/>
        </w:rPr>
        <w:t xml:space="preserve"> and </w:t>
      </w:r>
      <w:r>
        <w:rPr>
          <w:rFonts w:eastAsia="Times New Roman"/>
          <w:sz w:val="24"/>
          <w:szCs w:val="24"/>
          <w:lang w:val="en-GB"/>
        </w:rPr>
        <w:t>Tapanya</w:t>
      </w:r>
      <w:r>
        <w:rPr>
          <w:rFonts w:eastAsia="Times New Roman"/>
          <w:sz w:val="24"/>
          <w:szCs w:val="24"/>
          <w:lang w:val="en-GB"/>
        </w:rPr>
        <w:t xml:space="preserve">, 2022). </w:t>
      </w:r>
    </w:p>
    <w:p>
      <w:pPr>
        <w:pStyle w:val="style0"/>
        <w:spacing w:lineRule="auto" w:line="360"/>
        <w:jc w:val="both"/>
        <w:rPr>
          <w:rFonts w:eastAsia="Times New Roman"/>
          <w:sz w:val="24"/>
          <w:szCs w:val="24"/>
          <w:lang w:val="en-GB"/>
        </w:rPr>
      </w:pPr>
      <w:r>
        <w:rPr>
          <w:rFonts w:eastAsia="Times New Roman"/>
          <w:sz w:val="24"/>
          <w:szCs w:val="24"/>
          <w:lang w:val="en-GB"/>
        </w:rPr>
        <w:t xml:space="preserve">The physical presence will consider urban G-Drive Hubs, including small-footprint and high-design showrooms placed in high-foot-traffic areas in urban lifestyle centres. This strategy will address the crucial luxury experience and status display, while keeping a low distribution cost (Yang </w:t>
      </w:r>
      <w:r>
        <w:rPr>
          <w:rFonts w:eastAsia="Times New Roman"/>
          <w:i/>
          <w:iCs/>
          <w:sz w:val="24"/>
          <w:szCs w:val="24"/>
          <w:lang w:val="en-GB"/>
        </w:rPr>
        <w:t xml:space="preserve">et al. </w:t>
      </w:r>
      <w:r>
        <w:rPr>
          <w:rFonts w:eastAsia="Times New Roman"/>
          <w:sz w:val="24"/>
          <w:szCs w:val="24"/>
          <w:lang w:val="en-GB"/>
        </w:rPr>
        <w:t xml:space="preserve">2024). Besides, the aftercare service will leverage existing BMW service networks with a dedicated G-Drive “Circular Service”. In this way, the reliability of the parent company can be leveraged while focusing on longevity and modularity. </w:t>
      </w:r>
      <w:r>
        <w:rPr>
          <w:rFonts w:eastAsia="Times New Roman"/>
          <w:sz w:val="24"/>
          <w:szCs w:val="24"/>
          <w:lang w:val="en-GB"/>
        </w:rPr>
        <w:t xml:space="preserve">A dense and established independent network of franchised dealerships is used, supported by production sites (Gokhale </w:t>
      </w:r>
      <w:r>
        <w:rPr>
          <w:rFonts w:eastAsia="Times New Roman"/>
          <w:i/>
          <w:sz w:val="24"/>
          <w:szCs w:val="24"/>
          <w:lang w:val="en-GB"/>
        </w:rPr>
        <w:t xml:space="preserve">et al. </w:t>
      </w:r>
      <w:r>
        <w:rPr>
          <w:rFonts w:eastAsia="Times New Roman"/>
          <w:sz w:val="24"/>
          <w:szCs w:val="24"/>
          <w:lang w:val="en-GB"/>
        </w:rPr>
        <w:t>2021). Digital tools, like booking test drives, online configuration, and access to after-sales support through My BMW App.</w:t>
      </w:r>
    </w:p>
    <w:p>
      <w:pPr>
        <w:pStyle w:val="style0"/>
        <w:spacing w:lineRule="auto" w:line="360"/>
        <w:jc w:val="both"/>
        <w:rPr>
          <w:rFonts w:eastAsia="Times New Roman"/>
          <w:b/>
          <w:bCs/>
          <w:sz w:val="24"/>
          <w:szCs w:val="24"/>
          <w:lang w:val="en-GB"/>
        </w:rPr>
      </w:pPr>
      <w:r>
        <w:rPr>
          <w:rFonts w:eastAsia="Times New Roman"/>
          <w:b/>
          <w:bCs/>
          <w:sz w:val="24"/>
          <w:szCs w:val="24"/>
          <w:lang w:val="en-GB"/>
        </w:rPr>
        <w:t xml:space="preserve">d) Promotion </w:t>
      </w:r>
    </w:p>
    <w:p>
      <w:pPr>
        <w:pStyle w:val="style0"/>
        <w:spacing w:lineRule="auto" w:line="360"/>
        <w:jc w:val="both"/>
        <w:rPr>
          <w:rFonts w:eastAsia="Times New Roman"/>
          <w:sz w:val="24"/>
          <w:szCs w:val="24"/>
          <w:lang w:val="en-GB"/>
        </w:rPr>
      </w:pPr>
      <w:r>
        <w:rPr>
          <w:rFonts w:eastAsia="Times New Roman"/>
          <w:sz w:val="24"/>
          <w:szCs w:val="24"/>
          <w:lang w:val="en-GB"/>
        </w:rPr>
        <w:t xml:space="preserve">The core message during the promotion of G-Drive is "Luxury with a Conscience" as a campaign narrative that will focus on materials from the circular economy. It will also project an ethical supply chain, followed by a proactive and personalised intelligence with the AI Assistant (Karim </w:t>
      </w:r>
      <w:r>
        <w:rPr>
          <w:rFonts w:eastAsia="Times New Roman"/>
          <w:i/>
          <w:iCs/>
          <w:sz w:val="24"/>
          <w:szCs w:val="24"/>
          <w:lang w:val="en-GB"/>
        </w:rPr>
        <w:t xml:space="preserve">et al. </w:t>
      </w:r>
      <w:r>
        <w:rPr>
          <w:rFonts w:eastAsia="Times New Roman"/>
          <w:sz w:val="24"/>
          <w:szCs w:val="24"/>
          <w:lang w:val="en-GB"/>
        </w:rPr>
        <w:t xml:space="preserve">2021). The strategic alignment in this context involves a </w:t>
      </w:r>
      <w:r>
        <w:rPr>
          <w:rFonts w:eastAsia="Times New Roman"/>
          <w:i/>
          <w:iCs/>
          <w:sz w:val="24"/>
          <w:szCs w:val="24"/>
          <w:lang w:val="en-GB"/>
        </w:rPr>
        <w:t>Connected Conscience</w:t>
      </w:r>
      <w:r>
        <w:rPr>
          <w:rFonts w:eastAsia="Times New Roman"/>
          <w:sz w:val="24"/>
          <w:szCs w:val="24"/>
          <w:lang w:val="en-GB"/>
        </w:rPr>
        <w:t xml:space="preserve"> for the demand of the target audience. Digital and social media will be primarily used for video storytelling, and influencers with heavy usage of Instagram, YouTube, and TikTok to circulate high-production videos. For instance, AR filters can be used to showcase the AI-to-Smart-Home integration of the car and the sustainability journey (</w:t>
      </w:r>
      <w:r>
        <w:rPr>
          <w:rFonts w:eastAsia="Times New Roman"/>
          <w:sz w:val="24"/>
          <w:szCs w:val="24"/>
          <w:lang w:val="en-GB"/>
        </w:rPr>
        <w:t>Elfadel</w:t>
      </w:r>
      <w:r>
        <w:rPr>
          <w:rFonts w:eastAsia="Times New Roman"/>
          <w:sz w:val="24"/>
          <w:szCs w:val="24"/>
          <w:lang w:val="en-GB"/>
        </w:rPr>
        <w:t xml:space="preserve"> </w:t>
      </w:r>
      <w:r>
        <w:rPr>
          <w:rFonts w:eastAsia="Times New Roman"/>
          <w:i/>
          <w:iCs/>
          <w:sz w:val="24"/>
          <w:szCs w:val="24"/>
          <w:lang w:val="en-GB"/>
        </w:rPr>
        <w:t xml:space="preserve">et al. </w:t>
      </w:r>
      <w:r>
        <w:rPr>
          <w:rFonts w:eastAsia="Times New Roman"/>
          <w:sz w:val="24"/>
          <w:szCs w:val="24"/>
          <w:lang w:val="en-GB"/>
        </w:rPr>
        <w:t>2024).</w:t>
      </w:r>
      <w:r>
        <w:rPr>
          <w:rFonts w:eastAsia="Times New Roman"/>
          <w:sz w:val="24"/>
          <w:szCs w:val="24"/>
          <w:lang w:val="en-GB"/>
        </w:rPr>
        <w:t xml:space="preserve"> A combination of digital media, high-profile TV or print, and motorsport sponsorship will also be used (Yeoh </w:t>
      </w:r>
      <w:r>
        <w:rPr>
          <w:rFonts w:eastAsia="Times New Roman"/>
          <w:i/>
          <w:sz w:val="24"/>
          <w:szCs w:val="24"/>
          <w:lang w:val="en-GB"/>
        </w:rPr>
        <w:t xml:space="preserve">et al. </w:t>
      </w:r>
      <w:r>
        <w:rPr>
          <w:rFonts w:eastAsia="Times New Roman"/>
          <w:sz w:val="24"/>
          <w:szCs w:val="24"/>
          <w:lang w:val="en-GB"/>
        </w:rPr>
        <w:t xml:space="preserve">2022). </w:t>
      </w:r>
      <w:r>
        <w:rPr>
          <w:rFonts w:eastAsia="Times New Roman"/>
          <w:sz w:val="24"/>
          <w:szCs w:val="24"/>
          <w:lang w:val="en-GB"/>
        </w:rPr>
        <w:t xml:space="preserve"> It will help in engaging more digital-native younger audiences who mostly consume such content. Besides, PR and partnerships, along with experiential marketing, will be part of G-Drive promotion by hosting “Circular Design” workshops and AI-integration demos. Such strategies will assist in providing high-value and memorable experiences to the target audience by focusing on core differentiators of the products (Hanifah </w:t>
      </w:r>
      <w:r>
        <w:rPr>
          <w:rFonts w:eastAsia="Times New Roman"/>
          <w:i/>
          <w:iCs/>
          <w:sz w:val="24"/>
          <w:szCs w:val="24"/>
          <w:lang w:val="en-GB"/>
        </w:rPr>
        <w:t xml:space="preserve">et al. </w:t>
      </w:r>
      <w:r>
        <w:rPr>
          <w:rFonts w:eastAsia="Times New Roman"/>
          <w:sz w:val="24"/>
          <w:szCs w:val="24"/>
          <w:lang w:val="en-GB"/>
        </w:rPr>
        <w:t xml:space="preserve">2022). </w:t>
      </w:r>
    </w:p>
    <w:bookmarkStart w:id="2" w:name="_Toc216368621"/>
    <w:p>
      <w:pPr>
        <w:pStyle w:val="style1"/>
        <w:rPr>
          <w:rFonts w:ascii="Arial" w:cs="Arial" w:hAnsi="Arial"/>
          <w:lang w:val="en-GB"/>
        </w:rPr>
      </w:pPr>
      <w:r>
        <w:rPr>
          <w:rFonts w:ascii="Arial" w:cs="Arial" w:hAnsi="Arial"/>
          <w:lang w:val="en-GB"/>
        </w:rPr>
        <w:t>Element 3: Marketing strategy pitch</w:t>
      </w:r>
      <w:bookmarkEnd w:id="2"/>
    </w:p>
    <w:p>
      <w:pPr>
        <w:pStyle w:val="style0"/>
        <w:spacing w:lineRule="auto" w:line="360"/>
        <w:jc w:val="both"/>
        <w:rPr>
          <w:sz w:val="24"/>
          <w:szCs w:val="24"/>
        </w:rPr>
      </w:pPr>
      <w:r>
        <w:rPr>
          <w:sz w:val="24"/>
          <w:szCs w:val="24"/>
        </w:rPr>
        <w:t> </w:t>
      </w:r>
      <w:r>
        <w:rPr>
          <w:sz w:val="24"/>
          <w:szCs w:val="24"/>
        </w:rPr>
        <w:drawing>
          <wp:inline distL="0" distT="0" distB="0" distR="0">
            <wp:extent cx="5943600" cy="3346450"/>
            <wp:effectExtent l="0" t="0" r="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943600" cy="3346450"/>
                    </a:xfrm>
                    <a:prstGeom prst="rect"/>
                  </pic:spPr>
                </pic:pic>
              </a:graphicData>
            </a:graphic>
          </wp:inline>
        </w:drawing>
      </w:r>
      <w:r>
        <w:rPr>
          <w:sz w:val="24"/>
          <w:szCs w:val="24"/>
        </w:rPr>
        <w:drawing>
          <wp:inline distL="0" distT="0" distB="0" distR="0">
            <wp:extent cx="5943600" cy="3298190"/>
            <wp:effectExtent l="0" t="0" r="0" b="0"/>
            <wp:docPr id="1031"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cstate="print"/>
                    <a:srcRect l="0" t="0" r="0" b="0"/>
                    <a:stretch/>
                  </pic:blipFill>
                  <pic:spPr>
                    <a:xfrm rot="0">
                      <a:off x="0" y="0"/>
                      <a:ext cx="5943600" cy="3298190"/>
                    </a:xfrm>
                    <a:prstGeom prst="rect"/>
                  </pic:spPr>
                </pic:pic>
              </a:graphicData>
            </a:graphic>
          </wp:inline>
        </w:drawing>
      </w:r>
    </w:p>
    <w:p>
      <w:pPr>
        <w:pStyle w:val="style0"/>
        <w:spacing w:lineRule="auto" w:line="360"/>
        <w:jc w:val="both"/>
        <w:rPr>
          <w:sz w:val="24"/>
          <w:szCs w:val="24"/>
          <w:lang w:val="en-GB"/>
        </w:rPr>
      </w:pPr>
      <w:r>
        <w:rPr>
          <w:sz w:val="24"/>
          <w:szCs w:val="24"/>
          <w:lang w:val="en-GB"/>
        </w:rPr>
        <w:drawing>
          <wp:inline distL="0" distT="0" distB="0" distR="0">
            <wp:extent cx="5943600" cy="3347720"/>
            <wp:effectExtent l="0" t="0" r="0" b="0"/>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8" cstate="print"/>
                    <a:srcRect l="0" t="0" r="0" b="0"/>
                    <a:stretch/>
                  </pic:blipFill>
                  <pic:spPr>
                    <a:xfrm rot="0">
                      <a:off x="0" y="0"/>
                      <a:ext cx="5943600" cy="3347720"/>
                    </a:xfrm>
                    <a:prstGeom prst="rect"/>
                  </pic:spPr>
                </pic:pic>
              </a:graphicData>
            </a:graphic>
          </wp:inline>
        </w:drawing>
      </w:r>
      <w:r>
        <w:rPr>
          <w:sz w:val="24"/>
          <w:szCs w:val="24"/>
          <w:lang w:val="en-GB"/>
        </w:rPr>
        <w:t xml:space="preserve">. </w:t>
      </w:r>
    </w:p>
    <w:p>
      <w:pPr>
        <w:pStyle w:val="style0"/>
        <w:rPr>
          <w:lang w:val="en-GB"/>
        </w:rPr>
      </w:pPr>
    </w:p>
    <w:bookmarkStart w:id="3" w:name="_Toc216368622"/>
    <w:p>
      <w:pPr>
        <w:pStyle w:val="style1"/>
        <w:rPr>
          <w:rFonts w:ascii="Arial" w:cs="Arial" w:hAnsi="Arial"/>
          <w:lang w:val="en-GB"/>
        </w:rPr>
      </w:pPr>
      <w:r>
        <w:rPr>
          <w:rFonts w:ascii="Arial" w:cs="Arial" w:hAnsi="Arial"/>
          <w:lang w:val="en-GB"/>
        </w:rPr>
        <w:t>Element 4: Reflection</w:t>
      </w:r>
      <w:bookmarkEnd w:id="3"/>
    </w:p>
    <w:p>
      <w:pPr>
        <w:pStyle w:val="style0"/>
        <w:spacing w:lineRule="auto" w:line="360"/>
        <w:jc w:val="both"/>
        <w:rPr>
          <w:rFonts w:eastAsia="Times New Roman"/>
          <w:sz w:val="24"/>
          <w:szCs w:val="24"/>
          <w:lang w:val="en-GB"/>
        </w:rPr>
      </w:pPr>
      <w:r>
        <w:rPr>
          <w:rFonts w:eastAsia="Times New Roman"/>
          <w:sz w:val="24"/>
          <w:szCs w:val="24"/>
          <w:lang w:val="en-GB"/>
        </w:rPr>
        <w:t xml:space="preserve">My experience of developing a new brand concept and creating the marketing strategy is a combination of positive and negative elements. According to De Brito Silva </w:t>
      </w:r>
      <w:r>
        <w:rPr>
          <w:rFonts w:eastAsia="Times New Roman"/>
          <w:i/>
          <w:iCs/>
          <w:sz w:val="24"/>
          <w:szCs w:val="24"/>
          <w:lang w:val="en-GB"/>
        </w:rPr>
        <w:t xml:space="preserve">et al. </w:t>
      </w:r>
      <w:r>
        <w:rPr>
          <w:rFonts w:eastAsia="Times New Roman"/>
          <w:sz w:val="24"/>
          <w:szCs w:val="24"/>
          <w:lang w:val="en-GB"/>
        </w:rPr>
        <w:t xml:space="preserve">(2022), innovative business idea development requires a comprehensive exercise of market analysis, strategic thinking, and creative application. I have developed the idea of G-Drive after synthesising high-impact market trends, such as advanced AI, circular economy, and democratisation of luxury. Key skills that I have gained during this business development are strategic synthesis, concept cohesion, and identification of “why now?” (De Ruyter </w:t>
      </w:r>
      <w:r>
        <w:rPr>
          <w:rFonts w:eastAsia="Times New Roman"/>
          <w:i/>
          <w:iCs/>
          <w:sz w:val="24"/>
          <w:szCs w:val="24"/>
          <w:lang w:val="en-GB"/>
        </w:rPr>
        <w:t xml:space="preserve">et al. </w:t>
      </w:r>
      <w:r>
        <w:rPr>
          <w:rFonts w:eastAsia="Times New Roman"/>
          <w:sz w:val="24"/>
          <w:szCs w:val="24"/>
          <w:lang w:val="en-GB"/>
        </w:rPr>
        <w:t xml:space="preserve">2022). For instance, the skill of concept cohesion has allowed me to ensure the brand components, starting from the name to the product features. Thus, I have been able to support the central narrative regarding </w:t>
      </w:r>
      <w:r>
        <w:rPr>
          <w:rFonts w:eastAsia="Times New Roman"/>
          <w:i/>
          <w:iCs/>
          <w:sz w:val="24"/>
          <w:szCs w:val="24"/>
          <w:lang w:val="en-GB"/>
        </w:rPr>
        <w:t>Responsible Luxury,</w:t>
      </w:r>
      <w:r>
        <w:rPr>
          <w:rFonts w:eastAsia="Times New Roman"/>
          <w:sz w:val="24"/>
          <w:szCs w:val="24"/>
          <w:lang w:val="en-GB"/>
        </w:rPr>
        <w:t xml:space="preserve"> which was critical. </w:t>
      </w:r>
    </w:p>
    <w:p>
      <w:pPr>
        <w:pStyle w:val="style0"/>
        <w:spacing w:lineRule="auto" w:line="360"/>
        <w:jc w:val="both"/>
        <w:rPr>
          <w:rFonts w:eastAsia="Times New Roman"/>
          <w:sz w:val="24"/>
          <w:szCs w:val="24"/>
          <w:lang w:val="en-GB"/>
        </w:rPr>
      </w:pPr>
      <w:r>
        <w:rPr>
          <w:rFonts w:eastAsia="Times New Roman"/>
          <w:sz w:val="24"/>
          <w:szCs w:val="24"/>
          <w:lang w:val="en-GB"/>
        </w:rPr>
        <w:t xml:space="preserve">On another note, during the pitch presentation, I have prioritised clarity, structure, and persuasion. I have gained insights on maintaining a sequential flow, such as introduction, market justification, segmentation, and 4Ps for an easy narrative (Syed </w:t>
      </w:r>
      <w:r>
        <w:rPr>
          <w:rFonts w:eastAsia="Times New Roman"/>
          <w:i/>
          <w:iCs/>
          <w:sz w:val="24"/>
          <w:szCs w:val="24"/>
          <w:lang w:val="en-GB"/>
        </w:rPr>
        <w:t xml:space="preserve">et al. </w:t>
      </w:r>
      <w:r>
        <w:rPr>
          <w:rFonts w:eastAsia="Times New Roman"/>
          <w:sz w:val="24"/>
          <w:szCs w:val="24"/>
          <w:lang w:val="en-GB"/>
        </w:rPr>
        <w:t xml:space="preserve">2023). In addition, I have mainly focused on the big idea by emphasising the core pillars of the circular economy, AI, and accessibility. I believe that it will prevent the </w:t>
      </w:r>
      <w:r>
        <w:rPr>
          <w:rFonts w:eastAsia="Times New Roman"/>
          <w:sz w:val="24"/>
          <w:szCs w:val="24"/>
          <w:lang w:val="en-GB"/>
        </w:rPr>
        <w:t xml:space="preserve">audience from getting lost in the presented details. However, I could have improved justification on data and trends by relying on the current market trends (Urdea and Constantin, 2021). Hence, it would have allowed me to explore external and credible data to analyse strategic decisions. </w:t>
      </w:r>
    </w:p>
    <w:p>
      <w:pPr>
        <w:pStyle w:val="style0"/>
        <w:spacing w:lineRule="auto" w:line="360"/>
        <w:jc w:val="both"/>
        <w:rPr>
          <w:rFonts w:eastAsia="Times New Roman"/>
          <w:sz w:val="24"/>
          <w:szCs w:val="24"/>
          <w:lang w:val="en-GB"/>
        </w:rPr>
      </w:pPr>
      <w:r>
        <w:rPr>
          <w:rFonts w:eastAsia="Times New Roman"/>
          <w:sz w:val="24"/>
          <w:szCs w:val="24"/>
          <w:lang w:val="en-GB"/>
        </w:rPr>
        <w:t xml:space="preserve">During the integration of the marketing strategy of 4Ps, I have structured it according to the brand concept. I have tried to maintain a tight alignment of the marketing mix elements with the chosen positioning of the brand (Yang </w:t>
      </w:r>
      <w:r>
        <w:rPr>
          <w:rFonts w:eastAsia="Times New Roman"/>
          <w:i/>
          <w:iCs/>
          <w:sz w:val="24"/>
          <w:szCs w:val="24"/>
          <w:lang w:val="en-GB"/>
        </w:rPr>
        <w:t xml:space="preserve">et al. </w:t>
      </w:r>
      <w:r>
        <w:rPr>
          <w:rFonts w:eastAsia="Times New Roman"/>
          <w:sz w:val="24"/>
          <w:szCs w:val="24"/>
          <w:lang w:val="en-GB"/>
        </w:rPr>
        <w:t xml:space="preserve">2024). For instance, product modularity supports low </w:t>
      </w:r>
      <w:r>
        <w:rPr>
          <w:rFonts w:eastAsia="Times New Roman"/>
          <w:sz w:val="24"/>
          <w:szCs w:val="24"/>
          <w:lang w:val="en-GB"/>
        </w:rPr>
        <w:t>TCO</w:t>
      </w:r>
      <w:r>
        <w:rPr>
          <w:rFonts w:eastAsia="Times New Roman"/>
          <w:sz w:val="24"/>
          <w:szCs w:val="24"/>
          <w:lang w:val="en-GB"/>
        </w:rPr>
        <w:t xml:space="preserve"> and the focus of the places in urban “experience centres”. In the future, I would like to enhance my work with the usage of visual storytelling, especially during the pitch presentation. I have realised that the text-based strategies will require compelling visuals for better performance in the future (Sze Yeoh </w:t>
      </w:r>
      <w:r>
        <w:rPr>
          <w:rFonts w:eastAsia="Times New Roman"/>
          <w:i/>
          <w:iCs/>
          <w:sz w:val="24"/>
          <w:szCs w:val="24"/>
          <w:lang w:val="en-GB"/>
        </w:rPr>
        <w:t xml:space="preserve">et al. </w:t>
      </w:r>
      <w:r>
        <w:rPr>
          <w:rFonts w:eastAsia="Times New Roman"/>
          <w:sz w:val="24"/>
          <w:szCs w:val="24"/>
          <w:lang w:val="en-GB"/>
        </w:rPr>
        <w:t xml:space="preserve">2022). For instance, I will include more graphical presentations or mock-up product shots related to the circular economy process. I think using visual dashboards will also enhance the presentation of the AI ecosystem to make the concepts more tangible (De Ruyter </w:t>
      </w:r>
      <w:r>
        <w:rPr>
          <w:rFonts w:eastAsia="Times New Roman"/>
          <w:i/>
          <w:iCs/>
          <w:sz w:val="24"/>
          <w:szCs w:val="24"/>
          <w:lang w:val="en-GB"/>
        </w:rPr>
        <w:t xml:space="preserve">et al. </w:t>
      </w:r>
      <w:r>
        <w:rPr>
          <w:rFonts w:eastAsia="Times New Roman"/>
          <w:sz w:val="24"/>
          <w:szCs w:val="24"/>
          <w:lang w:val="en-GB"/>
        </w:rPr>
        <w:t xml:space="preserve">2022). As a result, I can reflect that I have tried to showcase my synthesis skills along with data presentation, which I need to polish more. </w:t>
      </w:r>
      <w:r>
        <w:rPr>
          <w:lang w:val="en-GB"/>
        </w:rPr>
        <w:br w:type="page"/>
      </w:r>
    </w:p>
    <w:p>
      <w:pPr>
        <w:pStyle w:val="style0"/>
        <w:spacing w:before="240" w:after="240" w:lineRule="auto" w:line="360"/>
        <w:jc w:val="both"/>
        <w:rPr>
          <w:rFonts w:eastAsia="Times New Roman"/>
          <w:b/>
          <w:bCs/>
          <w:sz w:val="24"/>
          <w:szCs w:val="24"/>
          <w:lang w:val="en-GB"/>
        </w:rPr>
      </w:pPr>
      <w:r>
        <w:rPr>
          <w:rFonts w:eastAsia="Times New Roman"/>
          <w:b/>
          <w:bCs/>
          <w:sz w:val="24"/>
          <w:szCs w:val="24"/>
          <w:lang w:val="en-GB"/>
        </w:rPr>
        <w:t>References</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Arifin, A. and </w:t>
      </w:r>
      <w:r>
        <w:rPr>
          <w:rFonts w:eastAsia="Times New Roman"/>
          <w:sz w:val="24"/>
          <w:szCs w:val="24"/>
          <w:lang w:val="en-GB"/>
        </w:rPr>
        <w:t>Awaluddin</w:t>
      </w:r>
      <w:r>
        <w:rPr>
          <w:rFonts w:eastAsia="Times New Roman"/>
          <w:sz w:val="24"/>
          <w:szCs w:val="24"/>
          <w:lang w:val="en-GB"/>
        </w:rPr>
        <w:t xml:space="preserve">, M., (2023) ‘Marketing Mix Strategy (4P) of MSME in The Pandemic Time of Covid-19’, </w:t>
      </w:r>
      <w:r>
        <w:rPr>
          <w:rFonts w:eastAsia="Times New Roman"/>
          <w:i/>
          <w:iCs/>
          <w:sz w:val="24"/>
          <w:szCs w:val="24"/>
          <w:lang w:val="en-GB"/>
        </w:rPr>
        <w:t>Indonesian Journal of Economics, Entrepreneurship, and Innovation</w:t>
      </w:r>
      <w:r>
        <w:rPr>
          <w:rFonts w:eastAsia="Times New Roman"/>
          <w:sz w:val="24"/>
          <w:szCs w:val="24"/>
          <w:lang w:val="en-GB"/>
        </w:rPr>
        <w:t xml:space="preserve">, 3(3), pp.109-117. Available at: </w:t>
      </w:r>
      <w:r>
        <w:rPr/>
        <w:fldChar w:fldCharType="begin"/>
      </w:r>
      <w:r>
        <w:instrText xml:space="preserve"> HYPERLINK "https://doi.org/10.31960/ijoeei.v3i3.1932" </w:instrText>
      </w:r>
      <w:r>
        <w:rPr/>
        <w:fldChar w:fldCharType="separate"/>
      </w:r>
      <w:r>
        <w:rPr/>
        <w:fldChar w:fldCharType="end"/>
      </w:r>
      <w:r>
        <w:rPr/>
        <w:fldChar w:fldCharType="begin"/>
      </w:r>
      <w:r>
        <w:instrText xml:space="preserve"> HYPERLINK "https://doi.org/10.31960/ijoeei.v3i3.1932" </w:instrText>
      </w:r>
      <w:r>
        <w:rPr/>
        <w:fldChar w:fldCharType="separate"/>
      </w:r>
      <w:r>
        <w:rPr>
          <w:rFonts w:eastAsia="Times New Roman"/>
          <w:sz w:val="24"/>
          <w:szCs w:val="24"/>
          <w:lang w:val="en-GB"/>
        </w:rPr>
        <w:t>https://doi.org/10.31960/ijoeei.v3i3.1932</w:t>
      </w:r>
      <w:r>
        <w:rPr/>
        <w:fldChar w:fldCharType="end"/>
      </w:r>
    </w:p>
    <w:p>
      <w:pPr>
        <w:pStyle w:val="style0"/>
        <w:spacing w:before="240" w:after="240" w:lineRule="auto" w:line="360"/>
        <w:jc w:val="both"/>
        <w:rPr>
          <w:lang w:val="en-GB"/>
        </w:rPr>
      </w:pPr>
      <w:r>
        <w:rPr>
          <w:rFonts w:eastAsia="Times New Roman"/>
          <w:sz w:val="24"/>
          <w:szCs w:val="24"/>
          <w:lang w:val="en-GB"/>
        </w:rPr>
        <w:t xml:space="preserve">De Brito Silva, M.J., de Oliveira Ramos Delfino, L., Alves Cerqueira, K. and de Oliveira Campos, P., (2022) ‘Avatar marketing: a study on the engagement and authenticity of virtual influencers on Instagram’, </w:t>
      </w:r>
      <w:r>
        <w:rPr>
          <w:rFonts w:eastAsia="Times New Roman"/>
          <w:i/>
          <w:iCs/>
          <w:sz w:val="24"/>
          <w:szCs w:val="24"/>
          <w:lang w:val="en-GB"/>
        </w:rPr>
        <w:t>Social Network Analysis and Mining</w:t>
      </w:r>
      <w:r>
        <w:rPr>
          <w:rFonts w:eastAsia="Times New Roman"/>
          <w:sz w:val="24"/>
          <w:szCs w:val="24"/>
          <w:lang w:val="en-GB"/>
        </w:rPr>
        <w:t xml:space="preserve">, 12(1), p.130. Available at: </w:t>
      </w:r>
      <w:r>
        <w:rPr/>
        <w:fldChar w:fldCharType="begin"/>
      </w:r>
      <w:r>
        <w:instrText xml:space="preserve"> HYPERLINK "https://link.springer.com/article/10.1007/s13278-022-00966-w" </w:instrText>
      </w:r>
      <w:r>
        <w:rPr/>
        <w:fldChar w:fldCharType="separate"/>
      </w:r>
      <w:r>
        <w:rPr/>
        <w:fldChar w:fldCharType="end"/>
      </w:r>
      <w:r>
        <w:rPr/>
        <w:fldChar w:fldCharType="begin"/>
      </w:r>
      <w:r>
        <w:instrText xml:space="preserve"> HYPERLINK "https://link.springer.com/article/10.1007/s13278-022-00966-w" </w:instrText>
      </w:r>
      <w:r>
        <w:rPr/>
        <w:fldChar w:fldCharType="separate"/>
      </w:r>
      <w:r>
        <w:rPr>
          <w:rFonts w:eastAsia="Times New Roman"/>
          <w:sz w:val="24"/>
          <w:szCs w:val="24"/>
          <w:lang w:val="en-GB"/>
        </w:rPr>
        <w:t>https://link.springer.com/article/10.1007/s13278-022-00966-w</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De Ruyter, K., Keeling, D.I., </w:t>
      </w:r>
      <w:r>
        <w:rPr>
          <w:rFonts w:eastAsia="Times New Roman"/>
          <w:sz w:val="24"/>
          <w:szCs w:val="24"/>
          <w:lang w:val="en-GB"/>
        </w:rPr>
        <w:t>Plangger</w:t>
      </w:r>
      <w:r>
        <w:rPr>
          <w:rFonts w:eastAsia="Times New Roman"/>
          <w:sz w:val="24"/>
          <w:szCs w:val="24"/>
          <w:lang w:val="en-GB"/>
        </w:rPr>
        <w:t xml:space="preserve">, K., Montecchi, M., Scott, </w:t>
      </w:r>
      <w:r>
        <w:rPr>
          <w:rFonts w:eastAsia="Times New Roman"/>
          <w:sz w:val="24"/>
          <w:szCs w:val="24"/>
          <w:lang w:val="en-GB"/>
        </w:rPr>
        <w:t>M.L</w:t>
      </w:r>
      <w:r>
        <w:rPr>
          <w:rFonts w:eastAsia="Times New Roman"/>
          <w:sz w:val="24"/>
          <w:szCs w:val="24"/>
          <w:lang w:val="en-GB"/>
        </w:rPr>
        <w:t xml:space="preserve">. and Dahl, </w:t>
      </w:r>
      <w:r>
        <w:rPr>
          <w:rFonts w:eastAsia="Times New Roman"/>
          <w:sz w:val="24"/>
          <w:szCs w:val="24"/>
          <w:lang w:val="en-GB"/>
        </w:rPr>
        <w:t>D.W</w:t>
      </w:r>
      <w:r>
        <w:rPr>
          <w:rFonts w:eastAsia="Times New Roman"/>
          <w:sz w:val="24"/>
          <w:szCs w:val="24"/>
          <w:lang w:val="en-GB"/>
        </w:rPr>
        <w:t xml:space="preserve">., (2022) ‘Reimagining marketing strategy: Driving the debate on grand challenges’, </w:t>
      </w:r>
      <w:r>
        <w:rPr>
          <w:rFonts w:eastAsia="Times New Roman"/>
          <w:i/>
          <w:iCs/>
          <w:sz w:val="24"/>
          <w:szCs w:val="24"/>
          <w:lang w:val="en-GB"/>
        </w:rPr>
        <w:t>Journal of the Academy of Marketing Science</w:t>
      </w:r>
      <w:r>
        <w:rPr>
          <w:rFonts w:eastAsia="Times New Roman"/>
          <w:sz w:val="24"/>
          <w:szCs w:val="24"/>
          <w:lang w:val="en-GB"/>
        </w:rPr>
        <w:t xml:space="preserve">, 50(1), pp.13-21. Available at: </w:t>
      </w:r>
      <w:r>
        <w:rPr/>
        <w:fldChar w:fldCharType="begin"/>
      </w:r>
      <w:r>
        <w:instrText xml:space="preserve"> HYPERLINK "https://doi.org/10.1007/s11747-021-00806-x" </w:instrText>
      </w:r>
      <w:r>
        <w:rPr/>
        <w:fldChar w:fldCharType="separate"/>
      </w:r>
      <w:r>
        <w:rPr/>
        <w:fldChar w:fldCharType="end"/>
      </w:r>
      <w:r>
        <w:rPr/>
        <w:fldChar w:fldCharType="begin"/>
      </w:r>
      <w:r>
        <w:instrText xml:space="preserve"> HYPERLINK "https://doi.org/10.1007/s11747-021-00806-x" </w:instrText>
      </w:r>
      <w:r>
        <w:rPr/>
        <w:fldChar w:fldCharType="separate"/>
      </w:r>
      <w:r>
        <w:rPr>
          <w:rFonts w:eastAsia="Times New Roman"/>
          <w:sz w:val="24"/>
          <w:szCs w:val="24"/>
          <w:lang w:val="en-GB"/>
        </w:rPr>
        <w:t>https://doi.org/10.1007/s11747-021-00806-x</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Dezhi</w:t>
      </w:r>
      <w:r>
        <w:rPr>
          <w:rFonts w:eastAsia="Times New Roman"/>
          <w:sz w:val="24"/>
          <w:szCs w:val="24"/>
          <w:lang w:val="en-GB"/>
        </w:rPr>
        <w:t xml:space="preserve">, P., </w:t>
      </w:r>
      <w:r>
        <w:rPr>
          <w:rFonts w:eastAsia="Times New Roman"/>
          <w:sz w:val="24"/>
          <w:szCs w:val="24"/>
          <w:lang w:val="en-GB"/>
        </w:rPr>
        <w:t>Navavongsathian</w:t>
      </w:r>
      <w:r>
        <w:rPr>
          <w:rFonts w:eastAsia="Times New Roman"/>
          <w:sz w:val="24"/>
          <w:szCs w:val="24"/>
          <w:lang w:val="en-GB"/>
        </w:rPr>
        <w:t xml:space="preserve">, A., Chen, </w:t>
      </w:r>
      <w:r>
        <w:rPr>
          <w:rFonts w:eastAsia="Times New Roman"/>
          <w:sz w:val="24"/>
          <w:szCs w:val="24"/>
          <w:lang w:val="en-GB"/>
        </w:rPr>
        <w:t>W.K</w:t>
      </w:r>
      <w:r>
        <w:rPr>
          <w:rFonts w:eastAsia="Times New Roman"/>
          <w:sz w:val="24"/>
          <w:szCs w:val="24"/>
          <w:lang w:val="en-GB"/>
        </w:rPr>
        <w:t xml:space="preserve">., </w:t>
      </w:r>
      <w:r>
        <w:rPr>
          <w:rFonts w:eastAsia="Times New Roman"/>
          <w:sz w:val="24"/>
          <w:szCs w:val="24"/>
          <w:lang w:val="en-GB"/>
        </w:rPr>
        <w:t>Rungruang</w:t>
      </w:r>
      <w:r>
        <w:rPr>
          <w:rFonts w:eastAsia="Times New Roman"/>
          <w:sz w:val="24"/>
          <w:szCs w:val="24"/>
          <w:lang w:val="en-GB"/>
        </w:rPr>
        <w:t xml:space="preserve">, P., </w:t>
      </w:r>
      <w:r>
        <w:rPr>
          <w:rFonts w:eastAsia="Times New Roman"/>
          <w:sz w:val="24"/>
          <w:szCs w:val="24"/>
          <w:lang w:val="en-GB"/>
        </w:rPr>
        <w:t>Assawasitisilp</w:t>
      </w:r>
      <w:r>
        <w:rPr>
          <w:rFonts w:eastAsia="Times New Roman"/>
          <w:sz w:val="24"/>
          <w:szCs w:val="24"/>
          <w:lang w:val="en-GB"/>
        </w:rPr>
        <w:t xml:space="preserve">, D. and </w:t>
      </w:r>
      <w:r>
        <w:rPr>
          <w:rFonts w:eastAsia="Times New Roman"/>
          <w:sz w:val="24"/>
          <w:szCs w:val="24"/>
          <w:lang w:val="en-GB"/>
        </w:rPr>
        <w:t>Sukkawan</w:t>
      </w:r>
      <w:r>
        <w:rPr>
          <w:rFonts w:eastAsia="Times New Roman"/>
          <w:sz w:val="24"/>
          <w:szCs w:val="24"/>
          <w:lang w:val="en-GB"/>
        </w:rPr>
        <w:t xml:space="preserve">, J., (2022) ‘The New Energy Vehicles Marketing Strategies: A Case Study of Li Auto Inc’, </w:t>
      </w:r>
      <w:r>
        <w:rPr>
          <w:rFonts w:eastAsia="Times New Roman"/>
          <w:i/>
          <w:iCs/>
          <w:sz w:val="24"/>
          <w:szCs w:val="24"/>
          <w:lang w:val="en-GB"/>
        </w:rPr>
        <w:t>APHEIT</w:t>
      </w:r>
      <w:r>
        <w:rPr>
          <w:rFonts w:eastAsia="Times New Roman"/>
          <w:i/>
          <w:iCs/>
          <w:sz w:val="24"/>
          <w:szCs w:val="24"/>
          <w:lang w:val="en-GB"/>
        </w:rPr>
        <w:t xml:space="preserve"> International Journal of Interdisciplinary Social Sciences and Technology</w:t>
      </w:r>
      <w:r>
        <w:rPr>
          <w:rFonts w:eastAsia="Times New Roman"/>
          <w:sz w:val="24"/>
          <w:szCs w:val="24"/>
          <w:lang w:val="en-GB"/>
        </w:rPr>
        <w:t xml:space="preserve">, 11(2), pp.104-115. Available </w:t>
      </w:r>
      <w:r>
        <w:rPr>
          <w:rFonts w:eastAsia="Times New Roman"/>
          <w:sz w:val="24"/>
          <w:szCs w:val="24"/>
          <w:lang w:val="en-GB"/>
        </w:rPr>
        <w:t>at:</w:t>
      </w:r>
      <w:r>
        <w:rPr/>
        <w:fldChar w:fldCharType="begin"/>
      </w:r>
      <w:r>
        <w:instrText xml:space="preserve"> HYPERLINK "https://so04.tci-thaijo.org/index.php/ATI/article/view/260385" </w:instrText>
      </w:r>
      <w:r>
        <w:rPr/>
        <w:fldChar w:fldCharType="separate"/>
      </w:r>
      <w:r>
        <w:rPr/>
        <w:fldChar w:fldCharType="end"/>
      </w:r>
      <w:r>
        <w:rPr/>
        <w:fldChar w:fldCharType="begin"/>
      </w:r>
      <w:r>
        <w:instrText xml:space="preserve"> HYPERLINK "https://so04.tci-thaijo.org/index.php/ATI/article/view/260385" </w:instrText>
      </w:r>
      <w:r>
        <w:rPr/>
        <w:fldChar w:fldCharType="separate"/>
      </w:r>
      <w:r>
        <w:rPr>
          <w:rFonts w:eastAsia="Times New Roman"/>
          <w:sz w:val="24"/>
          <w:szCs w:val="24"/>
          <w:lang w:val="en-GB"/>
        </w:rPr>
        <w:t>https</w:t>
      </w:r>
      <w:r>
        <w:rPr>
          <w:rFonts w:eastAsia="Times New Roman"/>
          <w:sz w:val="24"/>
          <w:szCs w:val="24"/>
          <w:lang w:val="en-GB"/>
        </w:rPr>
        <w:t>://so04.tci-thaijo.org/</w:t>
      </w:r>
      <w:r>
        <w:rPr>
          <w:rFonts w:eastAsia="Times New Roman"/>
          <w:sz w:val="24"/>
          <w:szCs w:val="24"/>
          <w:lang w:val="en-GB"/>
        </w:rPr>
        <w:t>index.php</w:t>
      </w:r>
      <w:r>
        <w:rPr>
          <w:rFonts w:eastAsia="Times New Roman"/>
          <w:sz w:val="24"/>
          <w:szCs w:val="24"/>
          <w:lang w:val="en-GB"/>
        </w:rPr>
        <w:t>/ATI/article/view/260385</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El Islami, </w:t>
      </w:r>
      <w:r>
        <w:rPr>
          <w:rFonts w:eastAsia="Times New Roman"/>
          <w:sz w:val="24"/>
          <w:szCs w:val="24"/>
          <w:lang w:val="en-GB"/>
        </w:rPr>
        <w:t>A.K.N</w:t>
      </w:r>
      <w:r>
        <w:rPr>
          <w:rFonts w:eastAsia="Times New Roman"/>
          <w:sz w:val="24"/>
          <w:szCs w:val="24"/>
          <w:lang w:val="en-GB"/>
        </w:rPr>
        <w:t xml:space="preserve">. and </w:t>
      </w:r>
      <w:r>
        <w:rPr>
          <w:rFonts w:eastAsia="Times New Roman"/>
          <w:sz w:val="24"/>
          <w:szCs w:val="24"/>
          <w:lang w:val="en-GB"/>
        </w:rPr>
        <w:t>Wandebori</w:t>
      </w:r>
      <w:r>
        <w:rPr>
          <w:rFonts w:eastAsia="Times New Roman"/>
          <w:sz w:val="24"/>
          <w:szCs w:val="24"/>
          <w:lang w:val="en-GB"/>
        </w:rPr>
        <w:t xml:space="preserve">, H., (2025) ‘Strategic Marketing Approaches to Enhance The Adoption of Toyota Battery Electric Vehicles in Indonesia, Tunas Toyota </w:t>
      </w:r>
      <w:r>
        <w:rPr>
          <w:rFonts w:eastAsia="Times New Roman"/>
          <w:sz w:val="24"/>
          <w:szCs w:val="24"/>
          <w:lang w:val="en-GB"/>
        </w:rPr>
        <w:t>Cawang</w:t>
      </w:r>
      <w:r>
        <w:rPr>
          <w:rFonts w:eastAsia="Times New Roman"/>
          <w:sz w:val="24"/>
          <w:szCs w:val="24"/>
          <w:lang w:val="en-GB"/>
        </w:rPr>
        <w:t xml:space="preserve">’, </w:t>
      </w:r>
      <w:r>
        <w:rPr>
          <w:rFonts w:eastAsia="Times New Roman"/>
          <w:i/>
          <w:iCs/>
          <w:sz w:val="24"/>
          <w:szCs w:val="24"/>
          <w:lang w:val="en-GB"/>
        </w:rPr>
        <w:t xml:space="preserve">Syntax Literate; </w:t>
      </w:r>
      <w:r>
        <w:rPr>
          <w:rFonts w:eastAsia="Times New Roman"/>
          <w:i/>
          <w:iCs/>
          <w:sz w:val="24"/>
          <w:szCs w:val="24"/>
          <w:lang w:val="en-GB"/>
        </w:rPr>
        <w:t>Jurnal</w:t>
      </w:r>
      <w:r>
        <w:rPr>
          <w:rFonts w:eastAsia="Times New Roman"/>
          <w:i/>
          <w:iCs/>
          <w:sz w:val="24"/>
          <w:szCs w:val="24"/>
          <w:lang w:val="en-GB"/>
        </w:rPr>
        <w:t xml:space="preserve"> </w:t>
      </w:r>
      <w:r>
        <w:rPr>
          <w:rFonts w:eastAsia="Times New Roman"/>
          <w:i/>
          <w:iCs/>
          <w:sz w:val="24"/>
          <w:szCs w:val="24"/>
          <w:lang w:val="en-GB"/>
        </w:rPr>
        <w:t>Ilmiah</w:t>
      </w:r>
      <w:r>
        <w:rPr>
          <w:rFonts w:eastAsia="Times New Roman"/>
          <w:i/>
          <w:iCs/>
          <w:sz w:val="24"/>
          <w:szCs w:val="24"/>
          <w:lang w:val="en-GB"/>
        </w:rPr>
        <w:t xml:space="preserve"> Indonesia</w:t>
      </w:r>
      <w:r>
        <w:rPr>
          <w:rFonts w:eastAsia="Times New Roman"/>
          <w:sz w:val="24"/>
          <w:szCs w:val="24"/>
          <w:lang w:val="en-GB"/>
        </w:rPr>
        <w:t>, 10(3), pp.2932-2941. Available at:</w:t>
      </w:r>
      <w:r>
        <w:rPr/>
        <w:fldChar w:fldCharType="begin"/>
      </w:r>
      <w:r>
        <w:instrText xml:space="preserve"> HYPERLINK "https://digilib.itb.ac.id/assets/files/2025/MjAyNSBUUyBQUCBBTUFMWUEgS0hBTElTSEEgTlVSIEVMIElTTEFNSSAtIENPVkVSLnBkZg.pdf" </w:instrText>
      </w:r>
      <w:r>
        <w:rPr/>
        <w:fldChar w:fldCharType="separate"/>
      </w:r>
      <w:r>
        <w:rPr/>
        <w:fldChar w:fldCharType="end"/>
      </w:r>
      <w:r>
        <w:rPr/>
        <w:fldChar w:fldCharType="begin"/>
      </w:r>
      <w:r>
        <w:instrText xml:space="preserve"> HYPERLINK "https://digilib.itb.ac.id/assets/files/2025/MjAyNSBUUyBQUCBBTUFMWUEgS0hBTElTSEEgTlVSIEVMIElTTEFNSSAtIENPVkVSLnBkZg.pdf" </w:instrText>
      </w:r>
      <w:r>
        <w:rPr/>
        <w:fldChar w:fldCharType="separate"/>
      </w:r>
      <w:r>
        <w:rPr>
          <w:rFonts w:eastAsia="Times New Roman"/>
          <w:sz w:val="24"/>
          <w:szCs w:val="24"/>
          <w:lang w:val="en-GB"/>
        </w:rPr>
        <w:t>https://digilib.itb.ac.id/assets/files/2025/MjAyNSBUUyBQUCBBTUFMWUEgS0hBTElTSEEgTlVSIEVMIElTTEFNSSAtIENPVkVSLnBkZg.pdf</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Elfadel</w:t>
      </w:r>
      <w:r>
        <w:rPr>
          <w:rFonts w:eastAsia="Times New Roman"/>
          <w:sz w:val="24"/>
          <w:szCs w:val="24"/>
          <w:lang w:val="en-GB"/>
        </w:rPr>
        <w:t xml:space="preserve">, M.W., Othman, R.B., Mat, </w:t>
      </w:r>
      <w:r>
        <w:rPr>
          <w:rFonts w:eastAsia="Times New Roman"/>
          <w:sz w:val="24"/>
          <w:szCs w:val="24"/>
          <w:lang w:val="en-GB"/>
        </w:rPr>
        <w:t>N.H.B.N</w:t>
      </w:r>
      <w:r>
        <w:rPr>
          <w:rFonts w:eastAsia="Times New Roman"/>
          <w:sz w:val="24"/>
          <w:szCs w:val="24"/>
          <w:lang w:val="en-GB"/>
        </w:rPr>
        <w:t xml:space="preserve">., Hamad, F.F., Mohadis, H.M. and Ahmed, M., (2024) ‘The relationship between e-marketing mix framework (4Ps) and customer satisfaction with electronic information services: An empirical analysis of Jordanian university libraries’, </w:t>
      </w:r>
      <w:r>
        <w:rPr>
          <w:rFonts w:eastAsia="Times New Roman"/>
          <w:i/>
          <w:iCs/>
          <w:sz w:val="24"/>
          <w:szCs w:val="24"/>
          <w:lang w:val="en-GB"/>
        </w:rPr>
        <w:t>Information Services and Use</w:t>
      </w:r>
      <w:r>
        <w:rPr>
          <w:rFonts w:eastAsia="Times New Roman"/>
          <w:sz w:val="24"/>
          <w:szCs w:val="24"/>
          <w:lang w:val="en-GB"/>
        </w:rPr>
        <w:t xml:space="preserve">, 44(2), pp.139-164. Available at: </w:t>
      </w:r>
      <w:r>
        <w:rPr/>
        <w:fldChar w:fldCharType="begin"/>
      </w:r>
      <w:r>
        <w:instrText xml:space="preserve"> HYPERLINK "http://dx.doi.org/10.3233/ISU-240230" </w:instrText>
      </w:r>
      <w:r>
        <w:rPr/>
        <w:fldChar w:fldCharType="separate"/>
      </w:r>
      <w:r>
        <w:rPr/>
        <w:fldChar w:fldCharType="end"/>
      </w:r>
      <w:r>
        <w:rPr/>
        <w:fldChar w:fldCharType="begin"/>
      </w:r>
      <w:r>
        <w:instrText xml:space="preserve"> HYPERLINK "http://dx.doi.org/10.3233/ISU-240230" </w:instrText>
      </w:r>
      <w:r>
        <w:rPr/>
        <w:fldChar w:fldCharType="separate"/>
      </w:r>
      <w:r>
        <w:rPr>
          <w:rFonts w:eastAsia="Times New Roman"/>
          <w:sz w:val="24"/>
          <w:szCs w:val="24"/>
          <w:lang w:val="en-GB"/>
        </w:rPr>
        <w:t>http://dx.doi.org/10.3233/ISU-240230</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Gokhale, A., Mishra, A. and </w:t>
      </w:r>
      <w:r>
        <w:rPr>
          <w:rFonts w:eastAsia="Times New Roman"/>
          <w:sz w:val="24"/>
          <w:szCs w:val="24"/>
          <w:lang w:val="en-GB"/>
        </w:rPr>
        <w:t>Veluchamy</w:t>
      </w:r>
      <w:r>
        <w:rPr>
          <w:rFonts w:eastAsia="Times New Roman"/>
          <w:sz w:val="24"/>
          <w:szCs w:val="24"/>
          <w:lang w:val="en-GB"/>
        </w:rPr>
        <w:t xml:space="preserve">, D.R., (2021) ‘Factors influencing purchase decision and consumer </w:t>
      </w:r>
      <w:r>
        <w:rPr>
          <w:rFonts w:eastAsia="Times New Roman"/>
          <w:sz w:val="24"/>
          <w:szCs w:val="24"/>
          <w:lang w:val="en-GB"/>
        </w:rPr>
        <w:t>behavior</w:t>
      </w:r>
      <w:r>
        <w:rPr>
          <w:rFonts w:eastAsia="Times New Roman"/>
          <w:sz w:val="24"/>
          <w:szCs w:val="24"/>
          <w:lang w:val="en-GB"/>
        </w:rPr>
        <w:t xml:space="preserve"> in luxury cars’, </w:t>
      </w:r>
      <w:r>
        <w:rPr>
          <w:rFonts w:eastAsia="Times New Roman"/>
          <w:sz w:val="24"/>
          <w:szCs w:val="24"/>
          <w:lang w:val="en-GB"/>
        </w:rPr>
        <w:t>Dogo</w:t>
      </w:r>
      <w:r>
        <w:rPr>
          <w:rFonts w:eastAsia="Times New Roman"/>
          <w:sz w:val="24"/>
          <w:szCs w:val="24"/>
          <w:lang w:val="en-GB"/>
        </w:rPr>
        <w:t xml:space="preserve"> </w:t>
      </w:r>
      <w:r>
        <w:rPr>
          <w:rFonts w:eastAsia="Times New Roman"/>
          <w:sz w:val="24"/>
          <w:szCs w:val="24"/>
          <w:lang w:val="en-GB"/>
        </w:rPr>
        <w:t>Rangsang</w:t>
      </w:r>
      <w:r>
        <w:rPr>
          <w:rFonts w:eastAsia="Times New Roman"/>
          <w:sz w:val="24"/>
          <w:szCs w:val="24"/>
          <w:lang w:val="en-GB"/>
        </w:rPr>
        <w:t xml:space="preserve"> Research Journal, 11(7), pp.176-188. Available at: https://www.researchgate.net/profile/Ramar-Veluchamy-3/publication/353444488_FACTORS_INFLUENCING_PURCHASE_DECISION_AND_CONSUMER_BEHAVIOR_IN_LUXURY_CARS/links/60fd3771169a1a0103b63e26/FACTORS-INFLUENCING-PURCHASE-DECISION-AND-CONSUMER-BEHAVIOR-IN-LUXURY-CARS.pdf</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Hanifah, P., </w:t>
      </w:r>
      <w:r>
        <w:rPr>
          <w:rFonts w:eastAsia="Times New Roman"/>
          <w:sz w:val="24"/>
          <w:szCs w:val="24"/>
          <w:lang w:val="en-GB"/>
        </w:rPr>
        <w:t>Nuringwahyu</w:t>
      </w:r>
      <w:r>
        <w:rPr>
          <w:rFonts w:eastAsia="Times New Roman"/>
          <w:sz w:val="24"/>
          <w:szCs w:val="24"/>
          <w:lang w:val="en-GB"/>
        </w:rPr>
        <w:t xml:space="preserve">, S. and Krisdianto, D., (2022) ‘Effect of 4P’S Marketing Mix on Purchase Decision’, </w:t>
      </w:r>
      <w:r>
        <w:rPr>
          <w:rFonts w:eastAsia="Times New Roman"/>
          <w:i/>
          <w:iCs/>
          <w:sz w:val="24"/>
          <w:szCs w:val="24"/>
          <w:lang w:val="en-GB"/>
        </w:rPr>
        <w:t xml:space="preserve">Marg. J. Manag. Accounting, Gen. </w:t>
      </w:r>
      <w:r>
        <w:rPr>
          <w:rFonts w:eastAsia="Times New Roman"/>
          <w:i/>
          <w:iCs/>
          <w:sz w:val="24"/>
          <w:szCs w:val="24"/>
          <w:lang w:val="en-GB"/>
        </w:rPr>
        <w:t>Financ</w:t>
      </w:r>
      <w:r>
        <w:rPr>
          <w:rFonts w:eastAsia="Times New Roman"/>
          <w:i/>
          <w:iCs/>
          <w:sz w:val="24"/>
          <w:szCs w:val="24"/>
          <w:lang w:val="en-GB"/>
        </w:rPr>
        <w:t>. Int. Econ. Issues</w:t>
      </w:r>
      <w:r>
        <w:rPr>
          <w:rFonts w:eastAsia="Times New Roman"/>
          <w:sz w:val="24"/>
          <w:szCs w:val="24"/>
          <w:lang w:val="en-GB"/>
        </w:rPr>
        <w:t xml:space="preserve">, 1(4), pp.207-218. Available at: </w:t>
      </w:r>
      <w:r>
        <w:rPr/>
        <w:fldChar w:fldCharType="begin"/>
      </w:r>
      <w:r>
        <w:instrText xml:space="preserve"> HYPERLINK "https://pdfs.semanticscholar.org/12f8/b88782a4982435ebc26847affc36d1b09273.pdf" </w:instrText>
      </w:r>
      <w:r>
        <w:rPr/>
        <w:fldChar w:fldCharType="separate"/>
      </w:r>
      <w:r>
        <w:rPr/>
        <w:fldChar w:fldCharType="end"/>
      </w:r>
      <w:r>
        <w:rPr/>
        <w:fldChar w:fldCharType="begin"/>
      </w:r>
      <w:r>
        <w:instrText xml:space="preserve"> HYPERLINK "https://pdfs.semanticscholar.org/12f8/b88782a4982435ebc26847affc36d1b09273.pdf" </w:instrText>
      </w:r>
      <w:r>
        <w:rPr/>
        <w:fldChar w:fldCharType="separate"/>
      </w:r>
      <w:r>
        <w:rPr>
          <w:rFonts w:eastAsia="Times New Roman"/>
          <w:sz w:val="24"/>
          <w:szCs w:val="24"/>
          <w:lang w:val="en-GB"/>
        </w:rPr>
        <w:t>https://pdfs.semanticscholar.org/12f8/b88782a4982435ebc26847affc36d1b09273.pdf</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Idris, J., (2021, June) ‘Marketing mix 4Cs: impact on small and medium entrepreneurs (SMES) marketing performance’, </w:t>
      </w:r>
      <w:r>
        <w:rPr>
          <w:rFonts w:eastAsia="Times New Roman"/>
          <w:i/>
          <w:iCs/>
          <w:sz w:val="24"/>
          <w:szCs w:val="24"/>
          <w:lang w:val="en-GB"/>
        </w:rPr>
        <w:t>InProceeding</w:t>
      </w:r>
      <w:r>
        <w:rPr>
          <w:rFonts w:eastAsia="Times New Roman"/>
          <w:i/>
          <w:iCs/>
          <w:sz w:val="24"/>
          <w:szCs w:val="24"/>
          <w:lang w:val="en-GB"/>
        </w:rPr>
        <w:t xml:space="preserve"> of the 8th International Conference on Management and </w:t>
      </w:r>
      <w:r>
        <w:rPr>
          <w:rFonts w:eastAsia="Times New Roman"/>
          <w:i/>
          <w:iCs/>
          <w:sz w:val="24"/>
          <w:szCs w:val="24"/>
          <w:lang w:val="en-GB"/>
        </w:rPr>
        <w:t>Muamalah</w:t>
      </w:r>
      <w:r>
        <w:rPr>
          <w:rFonts w:eastAsia="Times New Roman"/>
          <w:sz w:val="24"/>
          <w:szCs w:val="24"/>
          <w:lang w:val="en-GB"/>
        </w:rPr>
        <w:t xml:space="preserve"> (pp. 221-226). Available at: </w:t>
      </w:r>
      <w:r>
        <w:rPr/>
        <w:fldChar w:fldCharType="begin"/>
      </w:r>
      <w:r>
        <w:instrText xml:space="preserve"> HYPERLINK "https://conference.uis.edu.my/icomm/8th/images/021-113.pdf" </w:instrText>
      </w:r>
      <w:r>
        <w:rPr/>
        <w:fldChar w:fldCharType="separate"/>
      </w:r>
      <w:r>
        <w:rPr/>
        <w:fldChar w:fldCharType="end"/>
      </w:r>
      <w:r>
        <w:rPr/>
        <w:fldChar w:fldCharType="begin"/>
      </w:r>
      <w:r>
        <w:instrText xml:space="preserve"> HYPERLINK "https://conference.uis.edu.my/icomm/8th/images/021-113.pdf" </w:instrText>
      </w:r>
      <w:r>
        <w:rPr/>
        <w:fldChar w:fldCharType="separate"/>
      </w:r>
      <w:r>
        <w:rPr>
          <w:rFonts w:eastAsia="Times New Roman"/>
          <w:sz w:val="24"/>
          <w:szCs w:val="24"/>
          <w:lang w:val="en-GB"/>
        </w:rPr>
        <w:t>https://conference.uis.edu.my/icomm/8th/images/021-113.pdf</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Karim, R., Latip, N.A., Marzuki, A., Haider, S., </w:t>
      </w:r>
      <w:r>
        <w:rPr>
          <w:rFonts w:eastAsia="Times New Roman"/>
          <w:sz w:val="24"/>
          <w:szCs w:val="24"/>
          <w:lang w:val="en-GB"/>
        </w:rPr>
        <w:t>Nelofar</w:t>
      </w:r>
      <w:r>
        <w:rPr>
          <w:rFonts w:eastAsia="Times New Roman"/>
          <w:sz w:val="24"/>
          <w:szCs w:val="24"/>
          <w:lang w:val="en-GB"/>
        </w:rPr>
        <w:t xml:space="preserve">, M. and Muhammad, F., (2021) ‘The impact of 4ps marketing mix in tourism development in the mountain areas: A case study’, </w:t>
      </w:r>
      <w:r>
        <w:rPr>
          <w:rFonts w:eastAsia="Times New Roman"/>
          <w:i/>
          <w:iCs/>
          <w:sz w:val="24"/>
          <w:szCs w:val="24"/>
          <w:lang w:val="en-GB"/>
        </w:rPr>
        <w:t>International Journal of Economics and Business Administration</w:t>
      </w:r>
      <w:r>
        <w:rPr>
          <w:rFonts w:eastAsia="Times New Roman"/>
          <w:sz w:val="24"/>
          <w:szCs w:val="24"/>
          <w:lang w:val="en-GB"/>
        </w:rPr>
        <w:t xml:space="preserve">, 9(2), pp.231-245. Available at: </w:t>
      </w:r>
      <w:r>
        <w:rPr/>
        <w:fldChar w:fldCharType="begin"/>
      </w:r>
      <w:r>
        <w:instrText xml:space="preserve"> HYPERLINK "https://www.researchgate.net/profile/Faqeer-Muhammad-2/publication/351746745_The_Impact_of_4Ps_Marketing_Mix_in_Tourism_Development_in_the_Mountain_Areas_A_Case_Study/links/60a7607245851522bc07151d/The-Impact-of-4Ps-Marketing-Mix-in-Tourism-Development-in-the-Mountain-Areas-A-Case-Study.pdf" </w:instrText>
      </w:r>
      <w:r>
        <w:rPr/>
        <w:fldChar w:fldCharType="separate"/>
      </w:r>
      <w:r>
        <w:rPr/>
        <w:fldChar w:fldCharType="end"/>
      </w:r>
      <w:r>
        <w:rPr/>
        <w:fldChar w:fldCharType="begin"/>
      </w:r>
      <w:r>
        <w:instrText xml:space="preserve"> HYPERLINK "https://www.researchgate.net/profile/Faqeer-Muhammad-2/publication/351746745_The_Impact_of_4Ps_Marketing_Mix_in_Tourism_Development_in_the_Mountain_Areas_A_Case_Study/links/60a7607245851522bc07151d/The-Impact-of-4Ps-Marketing-Mix-in-Tourism-Development-in-the-Mountain-Areas-A-Case-Study.pdf" </w:instrText>
      </w:r>
      <w:r>
        <w:rPr/>
        <w:fldChar w:fldCharType="separate"/>
      </w:r>
      <w:r>
        <w:rPr>
          <w:rFonts w:eastAsia="Times New Roman"/>
          <w:sz w:val="24"/>
          <w:szCs w:val="24"/>
          <w:lang w:val="en-GB"/>
        </w:rPr>
        <w:t>https://www.researchgate.net/profile/Faqeer-Muhammad-2/publication/351746745_The_Impact_of_4Ps_Marketing_Mix_in_Tourism_Development_in_the_Mountain_Areas_A_Case_Study/links/60a7607245851522bc07151d/The-Impact-of-4Ps-Marketing-Mix-in-Tourism-Development-in-the-Mountain-Areas-A-Case-Study.pdf</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Muslemani</w:t>
      </w:r>
      <w:r>
        <w:rPr>
          <w:rFonts w:eastAsia="Times New Roman"/>
          <w:sz w:val="24"/>
          <w:szCs w:val="24"/>
          <w:lang w:val="en-GB"/>
        </w:rPr>
        <w:t xml:space="preserve">, H., Liang, X., </w:t>
      </w:r>
      <w:r>
        <w:rPr>
          <w:rFonts w:eastAsia="Times New Roman"/>
          <w:sz w:val="24"/>
          <w:szCs w:val="24"/>
          <w:lang w:val="en-GB"/>
        </w:rPr>
        <w:t>Kaesehage</w:t>
      </w:r>
      <w:r>
        <w:rPr>
          <w:rFonts w:eastAsia="Times New Roman"/>
          <w:sz w:val="24"/>
          <w:szCs w:val="24"/>
          <w:lang w:val="en-GB"/>
        </w:rPr>
        <w:t xml:space="preserve">, K., </w:t>
      </w:r>
      <w:r>
        <w:rPr>
          <w:rFonts w:eastAsia="Times New Roman"/>
          <w:sz w:val="24"/>
          <w:szCs w:val="24"/>
          <w:lang w:val="en-GB"/>
        </w:rPr>
        <w:t>Ascui</w:t>
      </w:r>
      <w:r>
        <w:rPr>
          <w:rFonts w:eastAsia="Times New Roman"/>
          <w:sz w:val="24"/>
          <w:szCs w:val="24"/>
          <w:lang w:val="en-GB"/>
        </w:rPr>
        <w:t xml:space="preserve">, F. and Wilson, J., (2021) ‘Opportunities and challenges for decarbonizing steel production by creating markets for ‘green </w:t>
      </w:r>
      <w:r>
        <w:rPr>
          <w:rFonts w:eastAsia="Times New Roman"/>
          <w:sz w:val="24"/>
          <w:szCs w:val="24"/>
          <w:lang w:val="en-GB"/>
        </w:rPr>
        <w:t>steel’products</w:t>
      </w:r>
      <w:r>
        <w:rPr>
          <w:rFonts w:eastAsia="Times New Roman"/>
          <w:sz w:val="24"/>
          <w:szCs w:val="24"/>
          <w:lang w:val="en-GB"/>
        </w:rPr>
        <w:t xml:space="preserve">’, </w:t>
      </w:r>
      <w:r>
        <w:rPr>
          <w:rFonts w:eastAsia="Times New Roman"/>
          <w:i/>
          <w:iCs/>
          <w:sz w:val="24"/>
          <w:szCs w:val="24"/>
          <w:lang w:val="en-GB"/>
        </w:rPr>
        <w:t>Journal of Cleaner Production</w:t>
      </w:r>
      <w:r>
        <w:rPr>
          <w:rFonts w:eastAsia="Times New Roman"/>
          <w:sz w:val="24"/>
          <w:szCs w:val="24"/>
          <w:lang w:val="en-GB"/>
        </w:rPr>
        <w:t>, 315, p.128127. Available at: https://doi.org/10.1016/j.jclepro.2021.128127</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Niazi, N., Rashid, M. and </w:t>
      </w:r>
      <w:r>
        <w:rPr>
          <w:rFonts w:eastAsia="Times New Roman"/>
          <w:sz w:val="24"/>
          <w:szCs w:val="24"/>
          <w:lang w:val="en-GB"/>
        </w:rPr>
        <w:t>Shamugia</w:t>
      </w:r>
      <w:r>
        <w:rPr>
          <w:rFonts w:eastAsia="Times New Roman"/>
          <w:sz w:val="24"/>
          <w:szCs w:val="24"/>
          <w:lang w:val="en-GB"/>
        </w:rPr>
        <w:t xml:space="preserve">, Z., (2021) ‘Role of marketing mix (4ps) in building brand equity: Case study of Shell Petrol, UK’, </w:t>
      </w:r>
      <w:r>
        <w:rPr>
          <w:rFonts w:eastAsia="Times New Roman"/>
          <w:i/>
          <w:iCs/>
          <w:sz w:val="24"/>
          <w:szCs w:val="24"/>
          <w:lang w:val="en-GB"/>
        </w:rPr>
        <w:t>International Journal of Applied Business and Management Studies</w:t>
      </w:r>
      <w:r>
        <w:rPr>
          <w:rFonts w:eastAsia="Times New Roman"/>
          <w:sz w:val="24"/>
          <w:szCs w:val="24"/>
          <w:lang w:val="en-GB"/>
        </w:rPr>
        <w:t xml:space="preserve">, 6(1), p.2021. Available at: </w:t>
      </w:r>
      <w:r>
        <w:rPr/>
        <w:fldChar w:fldCharType="begin"/>
      </w:r>
      <w:r>
        <w:instrText xml:space="preserve"> HYPERLINK "https://www.researchgate.net/profile/Zurabi-Shamugia/publication/354340744_Role_of_Marketing_Mix_4Ps_in_Building_Brand_Equity_Case_Study_of_Shell_Petrol_UK/links/61324eb32b40ec7d8be36baf/Role-of-Marketing-Mix-4Ps-in-Building-Brand-Equity-Case-Study-of-Shell-Petrol-UK.pdf" </w:instrText>
      </w:r>
      <w:r>
        <w:rPr/>
        <w:fldChar w:fldCharType="separate"/>
      </w:r>
      <w:r>
        <w:rPr/>
        <w:fldChar w:fldCharType="end"/>
      </w:r>
      <w:r>
        <w:rPr/>
        <w:fldChar w:fldCharType="begin"/>
      </w:r>
      <w:r>
        <w:instrText xml:space="preserve"> HYPERLINK "https://www.researchgate.net/profile/Zurabi-Shamugia/publication/354340744_Role_of_Marketing_Mix_4Ps_in_Building_Brand_Equity_Case_Study_of_Shell_Petrol_UK/links/61324eb32b40ec7d8be36baf/Role-of-Marketing-Mix-4Ps-in-Building-Brand-Equity-Case-Study-of-Shell-Petrol-UK.pdf" </w:instrText>
      </w:r>
      <w:r>
        <w:rPr/>
        <w:fldChar w:fldCharType="separate"/>
      </w:r>
      <w:r>
        <w:rPr>
          <w:rFonts w:eastAsia="Times New Roman"/>
          <w:sz w:val="24"/>
          <w:szCs w:val="24"/>
          <w:lang w:val="en-GB"/>
        </w:rPr>
        <w:t>https://www.researchgate.net/profile/Zurabi-Shamugia/publication/354340744_Role_of_Marketing_Mix_4Ps_in_Building_Brand_Equity_Case_Study_of_Shell_Petrol_UK/links/61324eb32b40ec7d8be36baf/Role-of-Marketing-Mix-4Ps-in-Building-Brand-Equity-Case-Study-of-Shell-Petrol-UK.pdf</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Piromalis</w:t>
      </w:r>
      <w:r>
        <w:rPr>
          <w:rFonts w:eastAsia="Times New Roman"/>
          <w:sz w:val="24"/>
          <w:szCs w:val="24"/>
          <w:lang w:val="en-GB"/>
        </w:rPr>
        <w:t xml:space="preserve">, D. and </w:t>
      </w:r>
      <w:r>
        <w:rPr>
          <w:rFonts w:eastAsia="Times New Roman"/>
          <w:sz w:val="24"/>
          <w:szCs w:val="24"/>
          <w:lang w:val="en-GB"/>
        </w:rPr>
        <w:t>Kantaros</w:t>
      </w:r>
      <w:r>
        <w:rPr>
          <w:rFonts w:eastAsia="Times New Roman"/>
          <w:sz w:val="24"/>
          <w:szCs w:val="24"/>
          <w:lang w:val="en-GB"/>
        </w:rPr>
        <w:t xml:space="preserve">, A., (2022) ‘Digital twins in the automotive industry: The road toward physical-digital convergence’, </w:t>
      </w:r>
      <w:r>
        <w:rPr>
          <w:rFonts w:eastAsia="Times New Roman"/>
          <w:i/>
          <w:iCs/>
          <w:sz w:val="24"/>
          <w:szCs w:val="24"/>
          <w:lang w:val="en-GB"/>
        </w:rPr>
        <w:t>Applied System Innovation</w:t>
      </w:r>
      <w:r>
        <w:rPr>
          <w:rFonts w:eastAsia="Times New Roman"/>
          <w:sz w:val="24"/>
          <w:szCs w:val="24"/>
          <w:lang w:val="en-GB"/>
        </w:rPr>
        <w:t>, 5(4), p.65. Available at: https://doi.org/10.3390/asi5040065</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Road Genius 2024. UK EV Sales Statistics. </w:t>
      </w:r>
      <w:r>
        <w:rPr>
          <w:rFonts w:eastAsia="Times New Roman"/>
          <w:i/>
          <w:iCs/>
          <w:sz w:val="24"/>
          <w:szCs w:val="24"/>
          <w:lang w:val="en-GB"/>
        </w:rPr>
        <w:t>Road Genius</w:t>
      </w:r>
      <w:r>
        <w:rPr>
          <w:rFonts w:eastAsia="Times New Roman"/>
          <w:sz w:val="24"/>
          <w:szCs w:val="24"/>
          <w:lang w:val="en-GB"/>
        </w:rPr>
        <w:t xml:space="preserve">. Available </w:t>
      </w:r>
      <w:r>
        <w:rPr>
          <w:rFonts w:eastAsia="Times New Roman"/>
          <w:sz w:val="24"/>
          <w:szCs w:val="24"/>
          <w:lang w:val="en-GB"/>
        </w:rPr>
        <w:t>at:</w:t>
      </w:r>
      <w:r>
        <w:rPr/>
        <w:fldChar w:fldCharType="begin"/>
      </w:r>
      <w:r>
        <w:instrText xml:space="preserve"> HYPERLINK "https://roadgenius.com/cars/ev/statistics/uk/" </w:instrText>
      </w:r>
      <w:r>
        <w:rPr/>
        <w:fldChar w:fldCharType="separate"/>
      </w:r>
      <w:r>
        <w:rPr/>
        <w:fldChar w:fldCharType="end"/>
      </w:r>
      <w:r>
        <w:rPr/>
        <w:fldChar w:fldCharType="begin"/>
      </w:r>
      <w:r>
        <w:instrText xml:space="preserve"> HYPERLINK "https://roadgenius.com/cars/ev/statistics/uk/" </w:instrText>
      </w:r>
      <w:r>
        <w:rPr/>
        <w:fldChar w:fldCharType="separate"/>
      </w:r>
      <w:r>
        <w:rPr>
          <w:rFonts w:eastAsia="Times New Roman"/>
          <w:sz w:val="24"/>
          <w:szCs w:val="24"/>
          <w:lang w:val="en-GB"/>
        </w:rPr>
        <w:t>https</w:t>
      </w:r>
      <w:r>
        <w:rPr>
          <w:rFonts w:eastAsia="Times New Roman"/>
          <w:sz w:val="24"/>
          <w:szCs w:val="24"/>
          <w:lang w:val="en-GB"/>
        </w:rPr>
        <w:t>://roadgenius.com/cars/</w:t>
      </w:r>
      <w:r>
        <w:rPr>
          <w:rFonts w:eastAsia="Times New Roman"/>
          <w:sz w:val="24"/>
          <w:szCs w:val="24"/>
          <w:lang w:val="en-GB"/>
        </w:rPr>
        <w:t>ev</w:t>
      </w:r>
      <w:r>
        <w:rPr>
          <w:rFonts w:eastAsia="Times New Roman"/>
          <w:sz w:val="24"/>
          <w:szCs w:val="24"/>
          <w:lang w:val="en-GB"/>
        </w:rPr>
        <w:t>/statistics/</w:t>
      </w:r>
      <w:r>
        <w:rPr>
          <w:rFonts w:eastAsia="Times New Roman"/>
          <w:sz w:val="24"/>
          <w:szCs w:val="24"/>
          <w:lang w:val="en-GB"/>
        </w:rPr>
        <w:t>uk</w:t>
      </w:r>
      <w:r>
        <w:rPr>
          <w:rFonts w:eastAsia="Times New Roman"/>
          <w:sz w:val="24"/>
          <w:szCs w:val="24"/>
          <w:lang w:val="en-GB"/>
        </w:rPr>
        <w:t>/</w:t>
      </w:r>
      <w:r>
        <w:rPr/>
        <w:fldChar w:fldCharType="end"/>
      </w:r>
      <w:r>
        <w:rPr>
          <w:rFonts w:eastAsia="Times New Roman"/>
          <w:sz w:val="24"/>
          <w:szCs w:val="24"/>
          <w:lang w:val="en-GB"/>
        </w:rPr>
        <w:t xml:space="preserve"> [Accessed: 11 December 2025]</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Sun, X., Yu, H., Solvang, </w:t>
      </w:r>
      <w:r>
        <w:rPr>
          <w:rFonts w:eastAsia="Times New Roman"/>
          <w:sz w:val="24"/>
          <w:szCs w:val="24"/>
          <w:lang w:val="en-GB"/>
        </w:rPr>
        <w:t>W.D</w:t>
      </w:r>
      <w:r>
        <w:rPr>
          <w:rFonts w:eastAsia="Times New Roman"/>
          <w:sz w:val="24"/>
          <w:szCs w:val="24"/>
          <w:lang w:val="en-GB"/>
        </w:rPr>
        <w:t xml:space="preserve">., Wang, Y. and Wang, K., (2022) ‘The application of Industry 4.0 technologies in sustainable logistics: a systematic literature review (2012–2020) to explore future research opportunities’, </w:t>
      </w:r>
      <w:r>
        <w:rPr>
          <w:rFonts w:eastAsia="Times New Roman"/>
          <w:i/>
          <w:iCs/>
          <w:sz w:val="24"/>
          <w:szCs w:val="24"/>
          <w:lang w:val="en-GB"/>
        </w:rPr>
        <w:t>Environmental Science and Pollution Research</w:t>
      </w:r>
      <w:r>
        <w:rPr>
          <w:rFonts w:eastAsia="Times New Roman"/>
          <w:sz w:val="24"/>
          <w:szCs w:val="24"/>
          <w:lang w:val="en-GB"/>
        </w:rPr>
        <w:t xml:space="preserve">, </w:t>
      </w:r>
      <w:r>
        <w:rPr>
          <w:rFonts w:eastAsia="Times New Roman"/>
          <w:i/>
          <w:iCs/>
          <w:sz w:val="24"/>
          <w:szCs w:val="24"/>
          <w:lang w:val="en-GB"/>
        </w:rPr>
        <w:t>i</w:t>
      </w:r>
      <w:r>
        <w:rPr>
          <w:rFonts w:eastAsia="Times New Roman"/>
          <w:sz w:val="24"/>
          <w:szCs w:val="24"/>
          <w:lang w:val="en-GB"/>
        </w:rPr>
        <w:t>(7), pp.9560-9591. Available at: https://link.springer.com/article/10.1007/s11356-021-17693-y</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Syed, T.A., Mehmood, F. and Qaiser, T., (2023) ‘Brand–SMI collaboration in influencer marketing campaigns: A transaction cost economics perspective’, </w:t>
      </w:r>
      <w:r>
        <w:rPr>
          <w:rFonts w:eastAsia="Times New Roman"/>
          <w:i/>
          <w:iCs/>
          <w:sz w:val="24"/>
          <w:szCs w:val="24"/>
          <w:lang w:val="en-GB"/>
        </w:rPr>
        <w:t>Technological Forecasting and Social Change</w:t>
      </w:r>
      <w:r>
        <w:rPr>
          <w:rFonts w:eastAsia="Times New Roman"/>
          <w:sz w:val="24"/>
          <w:szCs w:val="24"/>
          <w:lang w:val="en-GB"/>
        </w:rPr>
        <w:t xml:space="preserve">, 192, p.122580. Available at: </w:t>
      </w:r>
      <w:r>
        <w:rPr/>
        <w:fldChar w:fldCharType="begin"/>
      </w:r>
      <w:r>
        <w:instrText xml:space="preserve"> HYPERLINK "https://doi.org/10.1016/j.techfore.2023.122580" </w:instrText>
      </w:r>
      <w:r>
        <w:rPr/>
        <w:fldChar w:fldCharType="separate"/>
      </w:r>
      <w:r>
        <w:rPr/>
        <w:fldChar w:fldCharType="end"/>
      </w:r>
      <w:r>
        <w:rPr/>
        <w:fldChar w:fldCharType="begin"/>
      </w:r>
      <w:r>
        <w:instrText xml:space="preserve"> HYPERLINK "https://doi.org/10.1016/j.techfore.2023.122580" </w:instrText>
      </w:r>
      <w:r>
        <w:rPr/>
        <w:fldChar w:fldCharType="separate"/>
      </w:r>
      <w:r>
        <w:rPr>
          <w:rFonts w:eastAsia="Times New Roman"/>
          <w:sz w:val="24"/>
          <w:szCs w:val="24"/>
          <w:lang w:val="en-GB"/>
        </w:rPr>
        <w:t>https://doi.org/10.1016/j.techfore.2023.122580</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Sze Yeoh, J.P., Han, M.G. and Spence, C., (2022) ‘The impact of musical fit and sound design on consumers’ perception of a luxury car ad’, </w:t>
      </w:r>
      <w:r>
        <w:rPr>
          <w:rFonts w:eastAsia="Times New Roman"/>
          <w:i/>
          <w:iCs/>
          <w:sz w:val="24"/>
          <w:szCs w:val="24"/>
          <w:lang w:val="en-GB"/>
        </w:rPr>
        <w:t>Luxury</w:t>
      </w:r>
      <w:r>
        <w:rPr>
          <w:rFonts w:eastAsia="Times New Roman"/>
          <w:sz w:val="24"/>
          <w:szCs w:val="24"/>
          <w:lang w:val="en-GB"/>
        </w:rPr>
        <w:t>, 9(2-3), pp.165-184. Available at: https://doi.org/10.1080/20511817.2022.2224496</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Tay, </w:t>
      </w:r>
      <w:r>
        <w:rPr>
          <w:rFonts w:eastAsia="Times New Roman"/>
          <w:sz w:val="24"/>
          <w:szCs w:val="24"/>
          <w:lang w:val="en-GB"/>
        </w:rPr>
        <w:t>K.X</w:t>
      </w:r>
      <w:r>
        <w:rPr>
          <w:rFonts w:eastAsia="Times New Roman"/>
          <w:sz w:val="24"/>
          <w:szCs w:val="24"/>
          <w:lang w:val="en-GB"/>
        </w:rPr>
        <w:t xml:space="preserve">., Chan, J.K.L. and Mohamad, D., (2025) ‘Do the 4Ps of marketing mix strategy assuage fears of travelling?’ </w:t>
      </w:r>
      <w:r>
        <w:rPr>
          <w:rFonts w:eastAsia="Times New Roman"/>
          <w:i/>
          <w:iCs/>
          <w:sz w:val="24"/>
          <w:szCs w:val="24"/>
          <w:lang w:val="en-GB"/>
        </w:rPr>
        <w:t>Journal of Vacation Marketing</w:t>
      </w:r>
      <w:r>
        <w:rPr>
          <w:rFonts w:eastAsia="Times New Roman"/>
          <w:sz w:val="24"/>
          <w:szCs w:val="24"/>
          <w:lang w:val="en-GB"/>
        </w:rPr>
        <w:t xml:space="preserve">, 31(1), pp.37-51. Available at: </w:t>
      </w:r>
      <w:r>
        <w:rPr/>
        <w:fldChar w:fldCharType="begin"/>
      </w:r>
      <w:r>
        <w:instrText xml:space="preserve"> HYPERLINK "https://us.sagepub.com/en-us/journals-permissions" </w:instrText>
      </w:r>
      <w:r>
        <w:rPr/>
        <w:fldChar w:fldCharType="separate"/>
      </w:r>
      <w:r>
        <w:rPr/>
        <w:fldChar w:fldCharType="end"/>
      </w:r>
      <w:r>
        <w:rPr/>
        <w:fldChar w:fldCharType="begin"/>
      </w:r>
      <w:r>
        <w:instrText xml:space="preserve"> HYPERLINK "https://us.sagepub.com/en-us/journals-permissions" </w:instrText>
      </w:r>
      <w:r>
        <w:rPr/>
        <w:fldChar w:fldCharType="separate"/>
      </w:r>
      <w:r>
        <w:rPr>
          <w:rFonts w:eastAsia="Times New Roman"/>
          <w:sz w:val="24"/>
          <w:szCs w:val="24"/>
          <w:lang w:val="en-GB"/>
        </w:rPr>
        <w:t>https://us.sagepub.com/en-us/journals-permissions</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Ukoba</w:t>
      </w:r>
      <w:r>
        <w:rPr>
          <w:rFonts w:eastAsia="Times New Roman"/>
          <w:sz w:val="24"/>
          <w:szCs w:val="24"/>
          <w:lang w:val="en-GB"/>
        </w:rPr>
        <w:t xml:space="preserve">, K., Olatunji, K.O., Adeoye, E., Jen, T.C. And </w:t>
      </w:r>
      <w:r>
        <w:rPr>
          <w:rFonts w:eastAsia="Times New Roman"/>
          <w:sz w:val="24"/>
          <w:szCs w:val="24"/>
          <w:lang w:val="en-GB"/>
        </w:rPr>
        <w:t>Madyira</w:t>
      </w:r>
      <w:r>
        <w:rPr>
          <w:rFonts w:eastAsia="Times New Roman"/>
          <w:sz w:val="24"/>
          <w:szCs w:val="24"/>
          <w:lang w:val="en-GB"/>
        </w:rPr>
        <w:t>, D.M., (2024) ‘Optimizing Renewable Energy Systems Through Artificial Intelligence: Review And Future Prospects’, Energy &amp; Environment, 35(7), Pp.3833-3879. Available at: DOI: 10.1177/0958305X241256293</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Urdea, A.M. and Constantin, C.P., (2021) ‘Experts’ perspective on the development of experiential marketing strategy: implementation steps, benefits, and challenges’, </w:t>
      </w:r>
      <w:r>
        <w:rPr>
          <w:rFonts w:eastAsia="Times New Roman"/>
          <w:i/>
          <w:iCs/>
          <w:sz w:val="24"/>
          <w:szCs w:val="24"/>
          <w:lang w:val="en-GB"/>
        </w:rPr>
        <w:t>Journal of risk and financial management</w:t>
      </w:r>
      <w:r>
        <w:rPr>
          <w:rFonts w:eastAsia="Times New Roman"/>
          <w:sz w:val="24"/>
          <w:szCs w:val="24"/>
          <w:lang w:val="en-GB"/>
        </w:rPr>
        <w:t xml:space="preserve">, 14(10), p.502. Available at: </w:t>
      </w:r>
      <w:r>
        <w:rPr/>
        <w:fldChar w:fldCharType="begin"/>
      </w:r>
      <w:r>
        <w:instrText xml:space="preserve"> HYPERLINK "https://doi.org/10.3390/jrfm14100502" </w:instrText>
      </w:r>
      <w:r>
        <w:rPr/>
        <w:fldChar w:fldCharType="separate"/>
      </w:r>
      <w:r>
        <w:rPr/>
        <w:fldChar w:fldCharType="end"/>
      </w:r>
      <w:r>
        <w:rPr/>
        <w:fldChar w:fldCharType="begin"/>
      </w:r>
      <w:r>
        <w:instrText xml:space="preserve"> HYPERLINK "https://doi.org/10.3390/jrfm14100502" </w:instrText>
      </w:r>
      <w:r>
        <w:rPr/>
        <w:fldChar w:fldCharType="separate"/>
      </w:r>
      <w:r>
        <w:rPr>
          <w:rFonts w:eastAsia="Times New Roman"/>
          <w:sz w:val="24"/>
          <w:szCs w:val="24"/>
          <w:lang w:val="en-GB"/>
        </w:rPr>
        <w:t>https://doi.org/10.3390/jrfm14100502</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Waseem, M., Sherwani, A.F. And Suhaib, M., (2020) ‘Application Of Renewable Solar Energy With Autonomous Vehicles: A Review’, Smart Cities—opportunities And Challenges: Select Proceedings Of </w:t>
      </w:r>
      <w:r>
        <w:rPr>
          <w:rFonts w:eastAsia="Times New Roman"/>
          <w:sz w:val="24"/>
          <w:szCs w:val="24"/>
          <w:lang w:val="en-GB"/>
        </w:rPr>
        <w:t>Icsc</w:t>
      </w:r>
      <w:r>
        <w:rPr>
          <w:rFonts w:eastAsia="Times New Roman"/>
          <w:sz w:val="24"/>
          <w:szCs w:val="24"/>
          <w:lang w:val="en-GB"/>
        </w:rPr>
        <w:t xml:space="preserve"> 2019, Pp.135-142. Available at: https://link.springer.com/chapter/10.1007/978-981-15-2545-2_13</w:t>
      </w:r>
    </w:p>
    <w:p>
      <w:pPr>
        <w:pStyle w:val="style0"/>
        <w:spacing w:before="240" w:after="240" w:lineRule="auto" w:line="360"/>
        <w:jc w:val="both"/>
        <w:rPr>
          <w:rFonts w:eastAsia="Times New Roman"/>
          <w:sz w:val="24"/>
          <w:szCs w:val="24"/>
          <w:lang w:val="en-GB"/>
        </w:rPr>
      </w:pPr>
      <w:r>
        <w:rPr>
          <w:rFonts w:eastAsia="Times New Roman"/>
          <w:sz w:val="24"/>
          <w:szCs w:val="24"/>
          <w:lang w:val="en-GB"/>
        </w:rPr>
        <w:t>Wongsunopparat</w:t>
      </w:r>
      <w:r>
        <w:rPr>
          <w:rFonts w:eastAsia="Times New Roman"/>
          <w:sz w:val="24"/>
          <w:szCs w:val="24"/>
          <w:lang w:val="en-GB"/>
        </w:rPr>
        <w:t xml:space="preserve">, S. and </w:t>
      </w:r>
      <w:r>
        <w:rPr>
          <w:rFonts w:eastAsia="Times New Roman"/>
          <w:sz w:val="24"/>
          <w:szCs w:val="24"/>
          <w:lang w:val="en-GB"/>
        </w:rPr>
        <w:t>Tapanya</w:t>
      </w:r>
      <w:r>
        <w:rPr>
          <w:rFonts w:eastAsia="Times New Roman"/>
          <w:sz w:val="24"/>
          <w:szCs w:val="24"/>
          <w:lang w:val="en-GB"/>
        </w:rPr>
        <w:t xml:space="preserve">, N., (2022) ‘Factors influencing Consumer’s Driving </w:t>
      </w:r>
      <w:r>
        <w:rPr>
          <w:rFonts w:eastAsia="Times New Roman"/>
          <w:sz w:val="24"/>
          <w:szCs w:val="24"/>
          <w:lang w:val="en-GB"/>
        </w:rPr>
        <w:t>Behavior</w:t>
      </w:r>
      <w:r>
        <w:rPr>
          <w:rFonts w:eastAsia="Times New Roman"/>
          <w:sz w:val="24"/>
          <w:szCs w:val="24"/>
          <w:lang w:val="en-GB"/>
        </w:rPr>
        <w:t xml:space="preserve"> of Most Preferred Luxury Car Brand in Bangkok Thailand’, </w:t>
      </w:r>
      <w:r>
        <w:rPr>
          <w:rFonts w:eastAsia="Times New Roman"/>
          <w:i/>
          <w:iCs/>
          <w:sz w:val="24"/>
          <w:szCs w:val="24"/>
          <w:lang w:val="en-GB"/>
        </w:rPr>
        <w:t>Journal of Asian Development</w:t>
      </w:r>
      <w:r>
        <w:rPr>
          <w:rFonts w:eastAsia="Times New Roman"/>
          <w:sz w:val="24"/>
          <w:szCs w:val="24"/>
          <w:lang w:val="en-GB"/>
        </w:rPr>
        <w:t>, 8(2), pp.20-39. Available at: https://doi.org/10.52941/jad.v8i2.38</w:t>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Yang, Z., </w:t>
      </w:r>
      <w:r>
        <w:rPr>
          <w:rFonts w:eastAsia="Times New Roman"/>
          <w:sz w:val="24"/>
          <w:szCs w:val="24"/>
          <w:lang w:val="en-GB"/>
        </w:rPr>
        <w:t>Wisedsind</w:t>
      </w:r>
      <w:r>
        <w:rPr>
          <w:rFonts w:eastAsia="Times New Roman"/>
          <w:sz w:val="24"/>
          <w:szCs w:val="24"/>
          <w:lang w:val="en-GB"/>
        </w:rPr>
        <w:t xml:space="preserve">, N. and </w:t>
      </w:r>
      <w:r>
        <w:rPr>
          <w:rFonts w:eastAsia="Times New Roman"/>
          <w:sz w:val="24"/>
          <w:szCs w:val="24"/>
          <w:lang w:val="en-GB"/>
        </w:rPr>
        <w:t>Ruanggoon</w:t>
      </w:r>
      <w:r>
        <w:rPr>
          <w:rFonts w:eastAsia="Times New Roman"/>
          <w:sz w:val="24"/>
          <w:szCs w:val="24"/>
          <w:lang w:val="en-GB"/>
        </w:rPr>
        <w:t xml:space="preserve">, J., (2024) ‘Marketing Communication Strategies for Used Car Purchase Intention: A Case of ABC Automobile Company’, </w:t>
      </w:r>
      <w:r>
        <w:rPr>
          <w:rFonts w:eastAsia="Times New Roman"/>
          <w:i/>
          <w:iCs/>
          <w:sz w:val="24"/>
          <w:szCs w:val="24"/>
          <w:lang w:val="en-GB"/>
        </w:rPr>
        <w:t>Science, Technology, and Social Sciences Procedia</w:t>
      </w:r>
      <w:r>
        <w:rPr>
          <w:rFonts w:eastAsia="Times New Roman"/>
          <w:sz w:val="24"/>
          <w:szCs w:val="24"/>
          <w:lang w:val="en-GB"/>
        </w:rPr>
        <w:t xml:space="preserve">, 2024(5), pp.CiM14-CiM14. Available </w:t>
      </w:r>
      <w:r>
        <w:rPr>
          <w:rFonts w:eastAsia="Times New Roman"/>
          <w:sz w:val="24"/>
          <w:szCs w:val="24"/>
          <w:lang w:val="en-GB"/>
        </w:rPr>
        <w:t>at:</w:t>
      </w:r>
      <w:r>
        <w:rPr/>
        <w:fldChar w:fldCharType="begin"/>
      </w:r>
      <w:r>
        <w:instrText xml:space="preserve"> HYPERLINK "https://wjst.wu.ac.th/index.php/stssp/article/view/25835" </w:instrText>
      </w:r>
      <w:r>
        <w:rPr/>
        <w:fldChar w:fldCharType="separate"/>
      </w:r>
      <w:r>
        <w:rPr/>
        <w:fldChar w:fldCharType="end"/>
      </w:r>
      <w:r>
        <w:rPr/>
        <w:fldChar w:fldCharType="begin"/>
      </w:r>
      <w:r>
        <w:instrText xml:space="preserve"> HYPERLINK "https://wjst.wu.ac.th/index.php/stssp/article/view/25835" </w:instrText>
      </w:r>
      <w:r>
        <w:rPr/>
        <w:fldChar w:fldCharType="separate"/>
      </w:r>
      <w:r>
        <w:rPr>
          <w:rFonts w:eastAsia="Times New Roman"/>
          <w:sz w:val="24"/>
          <w:szCs w:val="24"/>
          <w:lang w:val="en-GB"/>
        </w:rPr>
        <w:t>https</w:t>
      </w:r>
      <w:r>
        <w:rPr>
          <w:rFonts w:eastAsia="Times New Roman"/>
          <w:sz w:val="24"/>
          <w:szCs w:val="24"/>
          <w:lang w:val="en-GB"/>
        </w:rPr>
        <w:t>://wjst.wu.ac.th/</w:t>
      </w:r>
      <w:r>
        <w:rPr>
          <w:rFonts w:eastAsia="Times New Roman"/>
          <w:sz w:val="24"/>
          <w:szCs w:val="24"/>
          <w:lang w:val="en-GB"/>
        </w:rPr>
        <w:t>index.php</w:t>
      </w:r>
      <w:r>
        <w:rPr>
          <w:rFonts w:eastAsia="Times New Roman"/>
          <w:sz w:val="24"/>
          <w:szCs w:val="24"/>
          <w:lang w:val="en-GB"/>
        </w:rPr>
        <w:t>/</w:t>
      </w:r>
      <w:r>
        <w:rPr>
          <w:rFonts w:eastAsia="Times New Roman"/>
          <w:sz w:val="24"/>
          <w:szCs w:val="24"/>
          <w:lang w:val="en-GB"/>
        </w:rPr>
        <w:t>stssp</w:t>
      </w:r>
      <w:r>
        <w:rPr>
          <w:rFonts w:eastAsia="Times New Roman"/>
          <w:sz w:val="24"/>
          <w:szCs w:val="24"/>
          <w:lang w:val="en-GB"/>
        </w:rPr>
        <w:t>/article/view/25835</w:t>
      </w:r>
      <w:r>
        <w:rPr/>
        <w:fldChar w:fldCharType="end"/>
      </w:r>
    </w:p>
    <w:p>
      <w:pPr>
        <w:pStyle w:val="style0"/>
        <w:spacing w:before="240" w:after="240" w:lineRule="auto" w:line="360"/>
        <w:jc w:val="both"/>
        <w:rPr>
          <w:rFonts w:eastAsia="Times New Roman"/>
          <w:sz w:val="24"/>
          <w:szCs w:val="24"/>
          <w:lang w:val="en-GB"/>
        </w:rPr>
      </w:pPr>
      <w:r>
        <w:rPr>
          <w:rFonts w:eastAsia="Times New Roman"/>
          <w:sz w:val="24"/>
          <w:szCs w:val="24"/>
          <w:lang w:val="en-GB"/>
        </w:rPr>
        <w:t xml:space="preserve">Zhang, Y., Guo, Z., Wu, J., Tian, Y., Tang, H. and Guo, X., (2022) ‘Real-time vehicle detection based on improved yolo v5’, Sustainability, 14(19), p.12274. Available at: </w:t>
      </w:r>
      <w:r>
        <w:rPr/>
        <w:fldChar w:fldCharType="begin"/>
      </w:r>
      <w:r>
        <w:instrText xml:space="preserve"> HYPERLINK "https://doi.org/10.3390/su141912274" </w:instrText>
      </w:r>
      <w:r>
        <w:rPr/>
        <w:fldChar w:fldCharType="separate"/>
      </w:r>
      <w:r>
        <w:rPr>
          <w:rStyle w:val="style85"/>
          <w:rFonts w:eastAsia="Times New Roman"/>
          <w:color w:val="auto"/>
          <w:sz w:val="24"/>
          <w:szCs w:val="24"/>
          <w:u w:val="none"/>
          <w:lang w:val="en-GB"/>
        </w:rPr>
        <w:t>https://doi.org/10.3390/su141912274</w:t>
      </w:r>
      <w:r>
        <w:rPr/>
        <w:fldChar w:fldCharType="end"/>
      </w:r>
    </w:p>
    <w:p>
      <w:pPr>
        <w:pStyle w:val="style0"/>
        <w:rPr>
          <w:rFonts w:eastAsia="Times New Roman"/>
          <w:sz w:val="24"/>
          <w:szCs w:val="24"/>
          <w:lang w:val="en-GB"/>
        </w:rPr>
      </w:pPr>
      <w:r>
        <w:rPr>
          <w:rFonts w:eastAsia="Times New Roman"/>
          <w:sz w:val="24"/>
          <w:szCs w:val="24"/>
          <w:lang w:val="en-GB"/>
        </w:rPr>
        <w:br w:type="page"/>
      </w:r>
    </w:p>
    <w:p>
      <w:pPr>
        <w:pStyle w:val="style0"/>
        <w:jc w:val="center"/>
        <w:rPr>
          <w:lang w:val="en-GB"/>
        </w:rPr>
      </w:pPr>
    </w:p>
    <w:p>
      <w:pPr>
        <w:pStyle w:val="style0"/>
        <w:spacing w:lineRule="auto" w:line="360"/>
        <w:jc w:val="both"/>
        <w:rPr>
          <w:rFonts w:eastAsia="Times New Roman"/>
          <w:sz w:val="24"/>
          <w:szCs w:val="24"/>
          <w:lang w:val="en-GB"/>
        </w:rPr>
      </w:pPr>
    </w:p>
    <w:sectPr>
      <w:footerReference w:type="default" r:id="rId9"/>
      <w:pgSz w:w="12240" w:h="15840" w:orient="portrait"/>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Cambria">
    <w:altName w:val="Cambria"/>
    <w:panose1 w:val="02040503050004030204"/>
    <w:charset w:val="00"/>
    <w:family w:val="roman"/>
    <w:pitch w:val="variable"/>
    <w:sig w:usb0="E00006FF" w:usb1="420024FF" w:usb2="02000000" w:usb3="00000000" w:csb0="0000019F" w:csb1="00000000"/>
  </w:font>
  <w:font w:name="宋体">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sz w:val="20"/>
      </w:rPr>
      <w:fldChar w:fldCharType="begin"/>
    </w:r>
    <w:r>
      <w:rPr>
        <w:sz w:val="20"/>
      </w:rPr>
      <w:instrText xml:space="preserve"> PAGE   \* MERGEFORMAT </w:instrText>
    </w:r>
    <w:r>
      <w:rPr>
        <w:sz w:val="20"/>
      </w:rPr>
      <w:fldChar w:fldCharType="separate"/>
    </w:r>
    <w:r>
      <w:rPr>
        <w:noProof/>
        <w:sz w:val="20"/>
      </w:rPr>
      <w:t>17</w:t>
    </w:r>
    <w:r>
      <w:rPr>
        <w:sz w:val="20"/>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2183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embedTrueTypeFonts/>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US"/>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spacing w:lineRule="auto" w:line="360"/>
      <w:jc w:val="both"/>
      <w:outlineLvl w:val="0"/>
    </w:pPr>
    <w:rPr>
      <w:rFonts w:ascii="Times New Roman" w:cs="Times New Roman" w:eastAsia="Times New Roman" w:hAnsi="Times New Roman"/>
      <w:b/>
      <w:bCs/>
      <w:sz w:val="28"/>
      <w:szCs w:val="24"/>
    </w:rPr>
  </w:style>
  <w:style w:type="paragraph" w:styleId="style2">
    <w:name w:val="heading 2"/>
    <w:basedOn w:val="style0"/>
    <w:next w:val="style0"/>
    <w:pPr>
      <w:keepNext/>
      <w:keepLines/>
      <w:spacing w:before="360" w:after="120"/>
      <w:outlineLvl w:val="1"/>
    </w:pPr>
    <w:rPr>
      <w:sz w:val="32"/>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paragraph" w:styleId="style153">
    <w:name w:val="Balloon Text"/>
    <w:basedOn w:val="style0"/>
    <w:next w:val="style153"/>
    <w:link w:val="style4098"/>
    <w:uiPriority w:val="99"/>
    <w:pPr>
      <w:spacing w:lineRule="auto" w:line="240"/>
    </w:pPr>
    <w:rPr>
      <w:rFonts w:ascii="Tahoma" w:cs="Tahoma" w:hAnsi="Tahoma"/>
      <w:sz w:val="16"/>
      <w:szCs w:val="16"/>
    </w:rPr>
  </w:style>
  <w:style w:type="character" w:customStyle="1" w:styleId="style4098">
    <w:name w:val="Balloon Text Char"/>
    <w:basedOn w:val="style65"/>
    <w:next w:val="style4098"/>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000ff"/>
      <w:u w:val="single"/>
    </w:rPr>
  </w:style>
  <w:style w:type="paragraph" w:styleId="style266">
    <w:name w:val="TOC Heading"/>
    <w:basedOn w:val="style1"/>
    <w:next w:val="style0"/>
    <w:qFormat/>
    <w:uiPriority w:val="39"/>
    <w:pPr>
      <w:keepNext/>
      <w:keepLines/>
      <w:spacing w:before="480" w:lineRule="auto" w:line="276"/>
      <w:jc w:val="left"/>
      <w:outlineLvl w:val="9"/>
    </w:pPr>
    <w:rPr>
      <w:rFonts w:ascii="Calibri" w:cs="宋体" w:eastAsia="宋体" w:hAnsi="Calibri"/>
      <w:color w:val="365f91"/>
      <w:szCs w:val="28"/>
      <w:lang w:val="en-US"/>
    </w:rPr>
  </w:style>
  <w:style w:type="paragraph" w:styleId="style19">
    <w:name w:val="toc 1"/>
    <w:basedOn w:val="style0"/>
    <w:next w:val="style0"/>
    <w:uiPriority w:val="39"/>
    <w:pPr>
      <w:spacing w:after="100"/>
    </w:pPr>
    <w:rPr/>
  </w:style>
  <w:style w:type="paragraph" w:styleId="style31">
    <w:name w:val="header"/>
    <w:basedOn w:val="style0"/>
    <w:next w:val="style31"/>
    <w:link w:val="style4099"/>
    <w:uiPriority w:val="99"/>
    <w:pPr>
      <w:tabs>
        <w:tab w:val="center" w:leader="none" w:pos="4680"/>
        <w:tab w:val="right" w:leader="none" w:pos="9360"/>
      </w:tabs>
      <w:spacing w:lineRule="auto" w:line="240"/>
    </w:pPr>
    <w:rPr/>
  </w:style>
  <w:style w:type="character" w:customStyle="1" w:styleId="style4099">
    <w:name w:val="Header Char_be5ca3c7-23c7-482b-9185-6166ba48b48f"/>
    <w:basedOn w:val="style65"/>
    <w:next w:val="style4099"/>
    <w:link w:val="style31"/>
    <w:uiPriority w:val="99"/>
  </w:style>
  <w:style w:type="paragraph" w:styleId="style32">
    <w:name w:val="footer"/>
    <w:basedOn w:val="style0"/>
    <w:next w:val="style32"/>
    <w:link w:val="style4100"/>
    <w:uiPriority w:val="99"/>
    <w:pPr>
      <w:tabs>
        <w:tab w:val="center" w:leader="none" w:pos="4680"/>
        <w:tab w:val="right" w:leader="none" w:pos="9360"/>
      </w:tabs>
      <w:spacing w:lineRule="auto" w:line="240"/>
    </w:pPr>
    <w:rPr/>
  </w:style>
  <w:style w:type="character" w:customStyle="1" w:styleId="style4100">
    <w:name w:val="Footer Char_071a4697-23fe-4e35-ac96-1d1b67e76e7b"/>
    <w:basedOn w:val="style65"/>
    <w:next w:val="style4100"/>
    <w:link w:val="style32"/>
    <w:uiPriority w:val="99"/>
  </w:style>
  <w:style w:type="table" w:customStyle="1" w:styleId="style4101">
    <w:name w:val="Table2"/>
    <w:basedOn w:val="style105"/>
    <w:next w:val="style4101"/>
    <w:pPr/>
    <w:rPr>
      <w:lang w:val="en-US"/>
    </w:rPr>
    <w:tblPr>
      <w:tblStyleRowBandSize w:val="1"/>
      <w:tblStyleColBandSize w:val="1"/>
      <w:tblCellMar>
        <w:top w:w="100" w:type="dxa"/>
        <w:left w:w="100" w:type="dxa"/>
        <w:bottom w:w="100" w:type="dxa"/>
        <w:right w:w="100" w:type="dxa"/>
      </w:tblCellMar>
    </w:tblPr>
    <w:tcPr>
      <w:tcBorders/>
    </w:tc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2"/>
    <w:uiPriority w:val="99"/>
    <w:pPr>
      <w:spacing w:lineRule="auto" w:line="240"/>
    </w:pPr>
    <w:rPr>
      <w:sz w:val="20"/>
      <w:szCs w:val="20"/>
    </w:rPr>
  </w:style>
  <w:style w:type="character" w:customStyle="1" w:styleId="style4102">
    <w:name w:val="Comment Text Char"/>
    <w:basedOn w:val="style65"/>
    <w:next w:val="style4102"/>
    <w:link w:val="style30"/>
    <w:uiPriority w:val="99"/>
    <w:rPr>
      <w:sz w:val="20"/>
      <w:szCs w:val="20"/>
    </w:rPr>
  </w:style>
  <w:style w:type="paragraph" w:styleId="style106">
    <w:name w:val="annotation subject"/>
    <w:basedOn w:val="style30"/>
    <w:next w:val="style30"/>
    <w:link w:val="style4103"/>
    <w:uiPriority w:val="99"/>
    <w:pPr/>
    <w:rPr>
      <w:b/>
      <w:bCs/>
    </w:rPr>
  </w:style>
  <w:style w:type="character" w:customStyle="1" w:styleId="style4103">
    <w:name w:val="Comment Subject Char"/>
    <w:basedOn w:val="style4102"/>
    <w:next w:val="style4103"/>
    <w:link w:val="style106"/>
    <w:uiPriority w:val="99"/>
    <w:rPr>
      <w:b/>
      <w:bCs/>
      <w:sz w:val="20"/>
      <w:szCs w:val="20"/>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footer" Target="footer1.xml"/><Relationship Id="rId14" Type="http://schemas.openxmlformats.org/officeDocument/2006/relationships/customXml" Target="../customXml/item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01000-630E-4E97-BC5E-8648619EF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Words>3256</Words>
  <Pages>18</Pages>
  <Characters>20564</Characters>
  <Application>WPS Office</Application>
  <DocSecurity>0</DocSecurity>
  <Paragraphs>127</Paragraphs>
  <ScaleCrop>false</ScaleCrop>
  <LinksUpToDate>false</LinksUpToDate>
  <CharactersWithSpaces>23756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2025-12-11T12:26:00Z</dcterms:created>
  <dc:creator>WPS Office</dc:creator>
  <lastModifiedBy>user</lastModifiedBy>
  <dcterms:modified xsi:type="dcterms:W3CDTF">2025-12-14T13:16:14Z</dcterms:modified>
  <revision>26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6998d55e-2f9d-4b90-9d0c-04c68a847337</vt:lpwstr>
  </property>
  <property fmtid="{D5CDD505-2E9C-101B-9397-08002B2CF9AE}" pid="3" name="ICV">
    <vt:lpwstr>a3248f89ced4495bbe65d43580aeb0a6</vt:lpwstr>
  </property>
</Properties>
</file>