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CA9EC" w14:textId="77777777" w:rsidR="00503D9C" w:rsidRDefault="00503D9C" w:rsidP="003143B3">
      <w:pPr>
        <w:rPr>
          <w:u w:val="single"/>
        </w:rPr>
      </w:pPr>
      <w:r w:rsidRPr="00503D9C">
        <w:rPr>
          <w:u w:val="single"/>
        </w:rPr>
        <w:t>Primary Source Analysis:</w:t>
      </w:r>
    </w:p>
    <w:p w14:paraId="2C92A64C" w14:textId="63BCE334" w:rsidR="00503D9C" w:rsidRDefault="00503D9C" w:rsidP="003143B3">
      <w:pPr>
        <w:rPr>
          <w:u w:val="single"/>
        </w:rPr>
      </w:pPr>
      <w:r>
        <w:rPr>
          <w:u w:val="single"/>
        </w:rPr>
        <w:t xml:space="preserve">Source - </w:t>
      </w:r>
      <w:r w:rsidR="00101354" w:rsidRPr="00101354">
        <w:rPr>
          <w:u w:val="single"/>
        </w:rPr>
        <w:t>Excerpts from: Duchess of Atholl MP, Col. Rt. Hon. Josiah Wedgwood MP, Miss Eleanor Rathbone MP, ‘Memorandum on Female Slavery Within the Family’, 1932. (The National Archives, Kew FO 371/16305).</w:t>
      </w:r>
    </w:p>
    <w:p w14:paraId="05BDF85D" w14:textId="0F74C41B" w:rsidR="00BE352C" w:rsidRDefault="00606BC8" w:rsidP="003143B3">
      <w:r>
        <w:t xml:space="preserve">This </w:t>
      </w:r>
      <w:r w:rsidR="002910CC">
        <w:t>primary source is</w:t>
      </w:r>
      <w:r w:rsidR="00536EDB">
        <w:t xml:space="preserve"> a</w:t>
      </w:r>
      <w:r w:rsidR="002910CC">
        <w:t xml:space="preserve"> memorandum </w:t>
      </w:r>
      <w:r w:rsidR="00561808">
        <w:t xml:space="preserve">that discusses female slavery within the family and how this </w:t>
      </w:r>
      <w:r w:rsidR="2D36E8F8">
        <w:t>wa</w:t>
      </w:r>
      <w:r w:rsidR="00561808">
        <w:t xml:space="preserve">s a widespread </w:t>
      </w:r>
      <w:r w:rsidR="00BB547E">
        <w:t xml:space="preserve">issue. </w:t>
      </w:r>
      <w:r w:rsidR="002F3A4D">
        <w:t xml:space="preserve">The authors of this source </w:t>
      </w:r>
      <w:r w:rsidR="0040485B">
        <w:t>are Duchess of Atholl, Josiah Wedgwood and Eleanor Rathbone</w:t>
      </w:r>
      <w:r w:rsidR="00073BC4">
        <w:t>.</w:t>
      </w:r>
      <w:r w:rsidR="0040485B">
        <w:t xml:space="preserve"> They were all </w:t>
      </w:r>
      <w:r w:rsidR="00BB547E">
        <w:t>members of the British Parliament</w:t>
      </w:r>
      <w:r w:rsidR="00072D97">
        <w:t xml:space="preserve"> </w:t>
      </w:r>
      <w:r w:rsidR="00241FC9">
        <w:t>at the time t</w:t>
      </w:r>
      <w:r w:rsidR="00BB547E">
        <w:t>his</w:t>
      </w:r>
      <w:r w:rsidR="00241FC9">
        <w:t xml:space="preserve"> source was written</w:t>
      </w:r>
      <w:r w:rsidR="00F23AD6">
        <w:t xml:space="preserve">. </w:t>
      </w:r>
      <w:r w:rsidR="008039B1">
        <w:t xml:space="preserve">This document was </w:t>
      </w:r>
      <w:r w:rsidR="00BB547E">
        <w:t>written</w:t>
      </w:r>
      <w:r w:rsidR="00112D82">
        <w:t xml:space="preserve"> or published</w:t>
      </w:r>
      <w:r w:rsidR="008039B1">
        <w:t xml:space="preserve"> in </w:t>
      </w:r>
      <w:r w:rsidR="001C2744">
        <w:t>1932.</w:t>
      </w:r>
      <w:r w:rsidR="00F0520B">
        <w:t xml:space="preserve"> In 1932, Africa was </w:t>
      </w:r>
      <w:r w:rsidR="003D4590">
        <w:t>largely under European colonial rule.</w:t>
      </w:r>
      <w:r w:rsidR="00890402">
        <w:rPr>
          <w:rStyle w:val="FootnoteReference"/>
        </w:rPr>
        <w:footnoteReference w:id="1"/>
      </w:r>
      <w:r w:rsidR="00112D82">
        <w:t xml:space="preserve"> </w:t>
      </w:r>
      <w:r w:rsidR="0025264F">
        <w:t xml:space="preserve">This </w:t>
      </w:r>
      <w:r w:rsidR="003D4590">
        <w:t xml:space="preserve">document </w:t>
      </w:r>
      <w:r w:rsidR="0025264F">
        <w:t>was possibly a foreign office correspondence</w:t>
      </w:r>
      <w:r w:rsidR="00112D82">
        <w:t xml:space="preserve"> to parliament describing the conditions faced in</w:t>
      </w:r>
      <w:r w:rsidR="00494693">
        <w:t xml:space="preserve"> A</w:t>
      </w:r>
      <w:r w:rsidR="0072378E">
        <w:t>frica during the time that they were a part of the British Empire</w:t>
      </w:r>
      <w:r w:rsidR="00BE352C">
        <w:t>. Th</w:t>
      </w:r>
      <w:r w:rsidR="009C7E34">
        <w:t>e</w:t>
      </w:r>
      <w:r w:rsidR="00BE352C">
        <w:t xml:space="preserve"> documen</w:t>
      </w:r>
      <w:r w:rsidR="009018CB">
        <w:t xml:space="preserve">t describes how </w:t>
      </w:r>
      <w:r w:rsidR="003D4590">
        <w:t>the write</w:t>
      </w:r>
      <w:r w:rsidR="46FA336B">
        <w:t>r</w:t>
      </w:r>
      <w:r w:rsidR="003D4590">
        <w:t xml:space="preserve"> has observed that </w:t>
      </w:r>
      <w:r w:rsidR="009018CB">
        <w:t>women were seen to be equivalent to slaves as they could be sold and traded by husbands, fathers or other male family members</w:t>
      </w:r>
      <w:r w:rsidR="00DA3CA1">
        <w:t xml:space="preserve"> and were often treated poorly by these men.</w:t>
      </w:r>
      <w:r w:rsidR="00136123">
        <w:t xml:space="preserve"> </w:t>
      </w:r>
      <w:r w:rsidR="00AF3802">
        <w:t xml:space="preserve">This appears to have a purpose of informing </w:t>
      </w:r>
      <w:r w:rsidR="00304FBD">
        <w:t xml:space="preserve">the people in charge of Britain or in Britain of the conditions faced within the African colonies. </w:t>
      </w:r>
      <w:r w:rsidR="00835F29">
        <w:t xml:space="preserve">This document may be a type of ‘African </w:t>
      </w:r>
      <w:r w:rsidR="00841B6A">
        <w:t>welfare work’ that colonial women took part in.</w:t>
      </w:r>
      <w:r w:rsidR="00841B6A">
        <w:rPr>
          <w:rStyle w:val="FootnoteReference"/>
        </w:rPr>
        <w:footnoteReference w:id="2"/>
      </w:r>
    </w:p>
    <w:p w14:paraId="3AE4C9FA" w14:textId="5BA60E80" w:rsidR="00033097" w:rsidRDefault="005457F8" w:rsidP="003143B3">
      <w:r>
        <w:t xml:space="preserve">The Duchess of Atholl </w:t>
      </w:r>
      <w:r w:rsidR="00661BDF">
        <w:t xml:space="preserve">is known for being Scotland’s first female </w:t>
      </w:r>
      <w:r w:rsidR="00E07079">
        <w:t>member of parliament</w:t>
      </w:r>
      <w:r w:rsidR="008800F0">
        <w:t>.</w:t>
      </w:r>
      <w:r w:rsidR="008800F0">
        <w:rPr>
          <w:rStyle w:val="FootnoteReference"/>
        </w:rPr>
        <w:footnoteReference w:id="3"/>
      </w:r>
      <w:r w:rsidR="008800F0">
        <w:t xml:space="preserve"> </w:t>
      </w:r>
      <w:r w:rsidR="00432EE9">
        <w:t xml:space="preserve">Eleanor Rathbone </w:t>
      </w:r>
      <w:r w:rsidR="00747FA6">
        <w:t>was</w:t>
      </w:r>
      <w:r w:rsidR="00E07079">
        <w:t xml:space="preserve"> also a member of parliament</w:t>
      </w:r>
      <w:r w:rsidR="00025DB6">
        <w:t xml:space="preserve"> and a long-term campaigner for women’s rights.</w:t>
      </w:r>
      <w:r w:rsidR="00304FBD">
        <w:rPr>
          <w:rStyle w:val="FootnoteReference"/>
        </w:rPr>
        <w:footnoteReference w:id="4"/>
      </w:r>
      <w:r w:rsidR="00025DB6">
        <w:t xml:space="preserve"> J</w:t>
      </w:r>
      <w:r w:rsidR="00432EE9">
        <w:t xml:space="preserve">osiah </w:t>
      </w:r>
      <w:r w:rsidR="006800BC">
        <w:t xml:space="preserve">Wedgwood </w:t>
      </w:r>
      <w:r w:rsidR="00747FA6">
        <w:t xml:space="preserve">was </w:t>
      </w:r>
      <w:r w:rsidR="00A62D8C">
        <w:t>also a member of parliament.</w:t>
      </w:r>
      <w:r w:rsidR="00304FBD">
        <w:rPr>
          <w:rStyle w:val="FootnoteReference"/>
        </w:rPr>
        <w:footnoteReference w:id="5"/>
      </w:r>
    </w:p>
    <w:p w14:paraId="7D3ED2DC" w14:textId="36DC4B29" w:rsidR="00747FA6" w:rsidRDefault="005541F3" w:rsidP="003143B3">
      <w:r>
        <w:t xml:space="preserve">The source </w:t>
      </w:r>
      <w:r w:rsidR="00B343AD">
        <w:t xml:space="preserve">first states that </w:t>
      </w:r>
      <w:r w:rsidR="008603C7">
        <w:t>‘it is undeniable</w:t>
      </w:r>
      <w:r w:rsidR="00BB5A13">
        <w:t>…th</w:t>
      </w:r>
      <w:r w:rsidR="000D28D1">
        <w:t xml:space="preserve">at [the definition of </w:t>
      </w:r>
      <w:r w:rsidR="001C572B">
        <w:t>Slavery under</w:t>
      </w:r>
      <w:r w:rsidR="00EC261B">
        <w:t xml:space="preserve"> the Slavery convention] </w:t>
      </w:r>
      <w:r w:rsidR="00A01281">
        <w:t xml:space="preserve">would </w:t>
      </w:r>
      <w:r w:rsidR="001C5513">
        <w:t xml:space="preserve">cover the status </w:t>
      </w:r>
      <w:r w:rsidR="005C3622">
        <w:t xml:space="preserve">of persons over whom ‘all or any </w:t>
      </w:r>
      <w:r w:rsidR="0083085B">
        <w:t xml:space="preserve">of the powers of ownership are </w:t>
      </w:r>
      <w:r w:rsidR="00F0647A">
        <w:t>exercised</w:t>
      </w:r>
      <w:r w:rsidR="0083085B">
        <w:t>’</w:t>
      </w:r>
      <w:r w:rsidR="00F0647A">
        <w:t xml:space="preserve"> by their own husbands, </w:t>
      </w:r>
      <w:r w:rsidR="001C572B">
        <w:t>parents, brothers, etc’.</w:t>
      </w:r>
      <w:r w:rsidR="001C572B">
        <w:rPr>
          <w:rStyle w:val="FootnoteReference"/>
        </w:rPr>
        <w:footnoteReference w:id="6"/>
      </w:r>
      <w:r w:rsidR="001C572B">
        <w:t xml:space="preserve"> </w:t>
      </w:r>
      <w:r w:rsidR="008B6565">
        <w:t xml:space="preserve">This acknowledges </w:t>
      </w:r>
      <w:r w:rsidR="00A01281">
        <w:t>that people can be treated as if they were a slave</w:t>
      </w:r>
      <w:r w:rsidR="007D6566">
        <w:t xml:space="preserve"> by the people around them</w:t>
      </w:r>
      <w:r w:rsidR="00E351FF">
        <w:t>.</w:t>
      </w:r>
      <w:r w:rsidR="00B64016">
        <w:t xml:space="preserve"> The source then continues by stating </w:t>
      </w:r>
      <w:r w:rsidR="00B64016" w:rsidRPr="00B64016">
        <w:t>that ‘the status of wives and widows […] customarily and actually one of, or closely analogous to slavery’</w:t>
      </w:r>
      <w:r w:rsidR="00B64016">
        <w:t xml:space="preserve">, this suggests that the writer of the source has witnessed women in these situations being treated as slaves. The source condemns this and states that this treatment </w:t>
      </w:r>
      <w:r w:rsidR="00B64016" w:rsidRPr="00B64016">
        <w:t>is often accompanied ‘by many of the evils usually associated with slavery’.</w:t>
      </w:r>
      <w:r w:rsidR="00B64016">
        <w:rPr>
          <w:rStyle w:val="FootnoteReference"/>
        </w:rPr>
        <w:footnoteReference w:id="7"/>
      </w:r>
      <w:r w:rsidR="00A465F1">
        <w:t xml:space="preserve"> This shows the author’s disagreement with this treatment.</w:t>
      </w:r>
    </w:p>
    <w:p w14:paraId="45EAB7D4" w14:textId="4C65082A" w:rsidR="00B90705" w:rsidRDefault="002B5FFE" w:rsidP="003143B3">
      <w:r>
        <w:t xml:space="preserve">This is a very difficult </w:t>
      </w:r>
      <w:r w:rsidR="00A46FB4">
        <w:t>topic</w:t>
      </w:r>
      <w:r w:rsidR="00A465F1">
        <w:t xml:space="preserve">, as it </w:t>
      </w:r>
      <w:r w:rsidR="00B43245">
        <w:t xml:space="preserve">is sensitive to those being treated in this way, and it may be difficult for others to offer help or intervene in any way. It </w:t>
      </w:r>
      <w:r>
        <w:t xml:space="preserve">is explained within the </w:t>
      </w:r>
      <w:r w:rsidR="00BE690D">
        <w:t xml:space="preserve">text </w:t>
      </w:r>
      <w:r w:rsidR="00B43245">
        <w:t>that</w:t>
      </w:r>
      <w:r w:rsidR="00BE690D">
        <w:t xml:space="preserve"> it can become complicated when the British government involve themselves in the cultural practices of the countries they have colonised.</w:t>
      </w:r>
      <w:r w:rsidR="00A46FB4">
        <w:t xml:space="preserve"> </w:t>
      </w:r>
      <w:r w:rsidR="004307AE">
        <w:t xml:space="preserve">The authors acknowledge this difficulty through stating within </w:t>
      </w:r>
      <w:r w:rsidR="00A46FB4">
        <w:t xml:space="preserve">the text ‘we do not ignore the difficulty </w:t>
      </w:r>
      <w:r w:rsidR="00E717E2">
        <w:t>and delicacy of interfering with customs’</w:t>
      </w:r>
      <w:r w:rsidR="00B63BA3">
        <w:t>.</w:t>
      </w:r>
      <w:r w:rsidR="00890402">
        <w:rPr>
          <w:rStyle w:val="FootnoteReference"/>
        </w:rPr>
        <w:footnoteReference w:id="8"/>
      </w:r>
      <w:r w:rsidR="00FD3ADA">
        <w:t xml:space="preserve"> This shows that although the authors condemn this behav</w:t>
      </w:r>
      <w:r w:rsidR="006935A6">
        <w:t>iour, they understand that they may not be able to interfere in cultural practices.</w:t>
      </w:r>
    </w:p>
    <w:p w14:paraId="3DB18E91" w14:textId="23CBD2F0" w:rsidR="00845A41" w:rsidRDefault="00845A41" w:rsidP="003143B3">
      <w:r>
        <w:t xml:space="preserve">The source then discusses how this is an ‘intimate </w:t>
      </w:r>
      <w:r w:rsidR="0071496D">
        <w:t>and internal’ issue which makes it</w:t>
      </w:r>
      <w:r w:rsidR="27AA6789">
        <w:t>s</w:t>
      </w:r>
      <w:r w:rsidR="0071496D">
        <w:t xml:space="preserve"> </w:t>
      </w:r>
      <w:r w:rsidR="007E2386">
        <w:t>‘</w:t>
      </w:r>
      <w:r w:rsidR="00764D35">
        <w:t>consequences</w:t>
      </w:r>
      <w:r w:rsidR="007E2386">
        <w:t xml:space="preserve"> </w:t>
      </w:r>
      <w:r w:rsidR="00CE4AF8">
        <w:t>more subtle and far reaching’.</w:t>
      </w:r>
      <w:r w:rsidR="00764D35">
        <w:rPr>
          <w:rStyle w:val="FootnoteReference"/>
        </w:rPr>
        <w:footnoteReference w:id="9"/>
      </w:r>
      <w:r w:rsidR="00CE4AF8">
        <w:t xml:space="preserve"> This is due to it happening within families and homes as opposed to in public.</w:t>
      </w:r>
      <w:r w:rsidR="00764D35">
        <w:t xml:space="preserve"> </w:t>
      </w:r>
      <w:r w:rsidR="00A66A0B">
        <w:t xml:space="preserve">The author then elaborates and describes this form of slavery as </w:t>
      </w:r>
      <w:r w:rsidR="00856862">
        <w:t xml:space="preserve">resembling </w:t>
      </w:r>
      <w:r w:rsidR="00FB6AF3">
        <w:t xml:space="preserve">‘a germ </w:t>
      </w:r>
      <w:r w:rsidR="009C01A3">
        <w:t xml:space="preserve">which </w:t>
      </w:r>
      <w:r w:rsidR="002432AC">
        <w:t xml:space="preserve">impregnates and enfeebles </w:t>
      </w:r>
      <w:r w:rsidR="00D84DAF">
        <w:t xml:space="preserve">the system and </w:t>
      </w:r>
      <w:r w:rsidR="00A72295">
        <w:t>is passed on from gener</w:t>
      </w:r>
      <w:r w:rsidR="003446A1">
        <w:t>ation to generation’.</w:t>
      </w:r>
      <w:r w:rsidR="003446A1">
        <w:rPr>
          <w:rStyle w:val="FootnoteReference"/>
        </w:rPr>
        <w:footnoteReference w:id="10"/>
      </w:r>
      <w:r w:rsidR="003446A1">
        <w:t xml:space="preserve"> This </w:t>
      </w:r>
      <w:r w:rsidR="00F9650E">
        <w:t>suggests the authors</w:t>
      </w:r>
      <w:r w:rsidR="211FC25B">
        <w:t>‘</w:t>
      </w:r>
      <w:r w:rsidR="00F9650E">
        <w:t xml:space="preserve"> beliefs</w:t>
      </w:r>
      <w:r w:rsidR="00483403">
        <w:t xml:space="preserve"> on how this form of slavery</w:t>
      </w:r>
      <w:r w:rsidR="006E64CC">
        <w:t xml:space="preserve"> can</w:t>
      </w:r>
      <w:r w:rsidR="00483403">
        <w:t xml:space="preserve"> spread</w:t>
      </w:r>
      <w:r w:rsidR="006E64CC">
        <w:t>. It also</w:t>
      </w:r>
      <w:r w:rsidR="00483403">
        <w:t xml:space="preserve"> </w:t>
      </w:r>
      <w:r w:rsidR="006E64CC">
        <w:t xml:space="preserve">suggests </w:t>
      </w:r>
      <w:r w:rsidR="00483403">
        <w:t xml:space="preserve">why it may be difficult to combat this </w:t>
      </w:r>
      <w:r w:rsidR="0066520E">
        <w:t>issu</w:t>
      </w:r>
      <w:r w:rsidR="006E64CC">
        <w:t>e, as it happens in private spaces, which make it harder to speak out and could make it more dangerous to oppose.</w:t>
      </w:r>
    </w:p>
    <w:p w14:paraId="449E94DC" w14:textId="66D93294" w:rsidR="20BB2042" w:rsidRDefault="20BB2042"/>
    <w:p w14:paraId="00A20FE9" w14:textId="64CB1918" w:rsidR="009D0810" w:rsidRDefault="009D0810" w:rsidP="003143B3">
      <w:r>
        <w:t>The next paragraph acknowledges that some of these women</w:t>
      </w:r>
      <w:r w:rsidR="00527383">
        <w:t xml:space="preserve"> who</w:t>
      </w:r>
      <w:r>
        <w:t xml:space="preserve"> are being treated as slaves may appear to be well treated and </w:t>
      </w:r>
      <w:r w:rsidR="00527383">
        <w:t>possibly content</w:t>
      </w:r>
      <w:r w:rsidR="00566654">
        <w:t>,</w:t>
      </w:r>
      <w:r>
        <w:t xml:space="preserve"> but this does not mean that they do not need help</w:t>
      </w:r>
      <w:r w:rsidR="006E64CC">
        <w:t xml:space="preserve"> or </w:t>
      </w:r>
      <w:r w:rsidR="00527383">
        <w:t>protection</w:t>
      </w:r>
      <w:r>
        <w:t xml:space="preserve">. </w:t>
      </w:r>
      <w:r w:rsidR="00566654">
        <w:t>This can be seen as a disagreemen</w:t>
      </w:r>
      <w:r w:rsidR="004D536A">
        <w:t xml:space="preserve">t with those who </w:t>
      </w:r>
      <w:r w:rsidR="000A7D6E">
        <w:t xml:space="preserve">defend slavery as it </w:t>
      </w:r>
      <w:r w:rsidR="00CC75EB">
        <w:t>states,</w:t>
      </w:r>
      <w:r w:rsidR="000A7D6E">
        <w:t xml:space="preserve"> ‘</w:t>
      </w:r>
      <w:r w:rsidR="004476A1">
        <w:t xml:space="preserve">defenders of slavery in every form </w:t>
      </w:r>
      <w:r w:rsidR="00504B06">
        <w:t xml:space="preserve">have always been able to </w:t>
      </w:r>
      <w:r w:rsidR="0016789C">
        <w:t xml:space="preserve">point to well-fed </w:t>
      </w:r>
      <w:r w:rsidR="00400D09">
        <w:t xml:space="preserve">and kindly treated </w:t>
      </w:r>
      <w:r w:rsidR="006E2C34">
        <w:t>slaves as an argument for doing nothing</w:t>
      </w:r>
      <w:r w:rsidR="00CC75EB">
        <w:t>’.</w:t>
      </w:r>
      <w:r w:rsidR="00CC75EB">
        <w:rPr>
          <w:rStyle w:val="FootnoteReference"/>
        </w:rPr>
        <w:footnoteReference w:id="11"/>
      </w:r>
      <w:r w:rsidR="00CC75EB">
        <w:t xml:space="preserve"> This suggests that the author of this memorandum does not support slavery and believes that more people should speak out and act against slavery.</w:t>
      </w:r>
    </w:p>
    <w:p w14:paraId="0EEAF8A6" w14:textId="2C0CC545" w:rsidR="00C11290" w:rsidRDefault="00C11290" w:rsidP="003143B3">
      <w:r>
        <w:t xml:space="preserve">The source then </w:t>
      </w:r>
      <w:r w:rsidR="00C74A11">
        <w:t xml:space="preserve">discusses the laws that are in place to protect </w:t>
      </w:r>
      <w:r w:rsidR="000E2B69">
        <w:t xml:space="preserve">‘children, animals and property’ and the </w:t>
      </w:r>
      <w:r w:rsidR="00D87480">
        <w:t xml:space="preserve">fact that </w:t>
      </w:r>
      <w:r w:rsidR="000E2B69">
        <w:t xml:space="preserve">pressure exists </w:t>
      </w:r>
      <w:r w:rsidR="00D87480">
        <w:t xml:space="preserve">in order </w:t>
      </w:r>
      <w:r w:rsidR="000E2B69">
        <w:t>to keep these laws in place</w:t>
      </w:r>
      <w:r w:rsidR="00D87480">
        <w:t>, whereas the author suggests</w:t>
      </w:r>
      <w:r w:rsidR="00BB2EF9">
        <w:t xml:space="preserve"> th</w:t>
      </w:r>
      <w:r w:rsidR="00B13ADA">
        <w:t>at for issues of female slavery in the home</w:t>
      </w:r>
      <w:r w:rsidR="00D87480">
        <w:t xml:space="preserve"> and the lack of laws that surround this issue </w:t>
      </w:r>
      <w:r w:rsidR="00653B56">
        <w:t xml:space="preserve">‘this pressure is non-existent </w:t>
      </w:r>
      <w:r w:rsidR="00474C92">
        <w:t>or only very partially effective’.</w:t>
      </w:r>
      <w:r w:rsidR="00324CA4">
        <w:t xml:space="preserve"> </w:t>
      </w:r>
      <w:r w:rsidR="004D2AA8">
        <w:rPr>
          <w:rStyle w:val="FootnoteReference"/>
        </w:rPr>
        <w:footnoteReference w:id="12"/>
      </w:r>
      <w:r w:rsidR="00474C92">
        <w:t xml:space="preserve"> This shows that the author believes that in these </w:t>
      </w:r>
      <w:r w:rsidR="00FB4B54">
        <w:t>societies’</w:t>
      </w:r>
      <w:r w:rsidR="00474C92">
        <w:t xml:space="preserve"> </w:t>
      </w:r>
      <w:r w:rsidR="00FB4B54">
        <w:t>property has more protection laws in place than women do. This can be seen through the treatment of women in these communities</w:t>
      </w:r>
      <w:r w:rsidR="00DF68F5">
        <w:t xml:space="preserve"> and the lack of protection that they are granted. The author suggests that is unbalanced treatment</w:t>
      </w:r>
      <w:r w:rsidR="001B7309">
        <w:t>.</w:t>
      </w:r>
    </w:p>
    <w:p w14:paraId="18DA1ED0" w14:textId="43C02395" w:rsidR="00B63BA3" w:rsidRDefault="00603CB7" w:rsidP="003143B3">
      <w:r>
        <w:t xml:space="preserve">The author then begins to discuss the customs that lead to women being treated in this manner. The author’s first example is </w:t>
      </w:r>
      <w:r w:rsidR="008D72F1">
        <w:t>‘bride price’</w:t>
      </w:r>
      <w:r w:rsidR="005E6C54">
        <w:t xml:space="preserve"> which is an </w:t>
      </w:r>
      <w:r w:rsidR="00441203">
        <w:t xml:space="preserve">amount of money or payment in kind given from the </w:t>
      </w:r>
      <w:r w:rsidR="00421BE7">
        <w:t xml:space="preserve">groom or </w:t>
      </w:r>
      <w:r w:rsidR="00441203">
        <w:t xml:space="preserve">groom’s family to </w:t>
      </w:r>
      <w:r w:rsidR="00421BE7">
        <w:t xml:space="preserve">the bride’s family </w:t>
      </w:r>
      <w:r w:rsidR="00A626B2">
        <w:t xml:space="preserve">at the time of marriage, which is a common cultural practice </w:t>
      </w:r>
      <w:r w:rsidR="0009513E">
        <w:t>in many African societies</w:t>
      </w:r>
      <w:r w:rsidR="00A626B2">
        <w:t>.</w:t>
      </w:r>
      <w:r w:rsidR="005E6C54">
        <w:rPr>
          <w:rStyle w:val="FootnoteReference"/>
        </w:rPr>
        <w:footnoteReference w:id="13"/>
      </w:r>
      <w:r w:rsidR="0009513E">
        <w:t xml:space="preserve"> </w:t>
      </w:r>
      <w:r w:rsidR="006A1F7C">
        <w:t xml:space="preserve">This practice has different names </w:t>
      </w:r>
      <w:r w:rsidR="00070E2C">
        <w:t xml:space="preserve">according to the tribe and district. </w:t>
      </w:r>
      <w:r w:rsidR="004B5FBD">
        <w:t xml:space="preserve">The author suggests that </w:t>
      </w:r>
      <w:r w:rsidR="00764A3F">
        <w:t xml:space="preserve">the custom of bride price is very widespread </w:t>
      </w:r>
      <w:r w:rsidR="005C5A44">
        <w:t xml:space="preserve">and that it suggests ‘chattel ownership’. </w:t>
      </w:r>
      <w:r w:rsidR="00D277DB">
        <w:t xml:space="preserve">The source states that </w:t>
      </w:r>
      <w:r w:rsidR="005468DE">
        <w:t xml:space="preserve">‘the bargain </w:t>
      </w:r>
      <w:r w:rsidR="00923477">
        <w:t xml:space="preserve">can be made </w:t>
      </w:r>
      <w:r w:rsidR="00582B1A">
        <w:t xml:space="preserve">when the </w:t>
      </w:r>
      <w:r w:rsidR="00491387">
        <w:t xml:space="preserve">girl is in infancy or even before her </w:t>
      </w:r>
      <w:r w:rsidR="00D747A4">
        <w:t>birth’</w:t>
      </w:r>
      <w:r w:rsidR="00A066E2">
        <w:t xml:space="preserve"> </w:t>
      </w:r>
      <w:r w:rsidR="009301DE">
        <w:t>which the author suggests strengthens the argument that this is ‘chattel ownership’</w:t>
      </w:r>
      <w:r w:rsidR="00B55C02">
        <w:t>.</w:t>
      </w:r>
      <w:r w:rsidR="00B55C02">
        <w:rPr>
          <w:rStyle w:val="FootnoteReference"/>
        </w:rPr>
        <w:footnoteReference w:id="14"/>
      </w:r>
      <w:r w:rsidR="00073BC4">
        <w:t xml:space="preserve"> </w:t>
      </w:r>
      <w:r w:rsidR="00EB29B7">
        <w:t xml:space="preserve">This implication is also strengthened by the fact that </w:t>
      </w:r>
      <w:r w:rsidR="00357299">
        <w:t xml:space="preserve">defenders of the custom argue that </w:t>
      </w:r>
      <w:r w:rsidR="006870A1">
        <w:t xml:space="preserve">‘the payment of bride price is </w:t>
      </w:r>
      <w:r w:rsidR="0067076B">
        <w:t xml:space="preserve">‘regarded as necessary to </w:t>
      </w:r>
      <w:r w:rsidR="004E2A81">
        <w:t xml:space="preserve">regularise the union </w:t>
      </w:r>
      <w:r w:rsidR="006028AC">
        <w:t xml:space="preserve">and to confirm </w:t>
      </w:r>
      <w:r w:rsidR="002859AE">
        <w:t>the husband’s</w:t>
      </w:r>
      <w:r w:rsidR="00FC1777">
        <w:t xml:space="preserve"> rights </w:t>
      </w:r>
      <w:r w:rsidR="005E7BD8">
        <w:t xml:space="preserve">over the children </w:t>
      </w:r>
      <w:r w:rsidR="00E52486">
        <w:t>of the marriage’.</w:t>
      </w:r>
      <w:r w:rsidR="00E52486">
        <w:rPr>
          <w:rStyle w:val="FootnoteReference"/>
        </w:rPr>
        <w:footnoteReference w:id="15"/>
      </w:r>
      <w:r w:rsidR="00E52486">
        <w:t xml:space="preserve"> This suggests that the custom of bride price is used to ensure that a husband has more control in a marriage than a wife. </w:t>
      </w:r>
      <w:r w:rsidR="00B0029D">
        <w:t xml:space="preserve">This custom has been widely </w:t>
      </w:r>
      <w:r w:rsidR="0037334C">
        <w:t>discussed,</w:t>
      </w:r>
      <w:r w:rsidR="00B0029D">
        <w:t xml:space="preserve"> </w:t>
      </w:r>
      <w:r w:rsidR="0023003C">
        <w:t xml:space="preserve">and the author </w:t>
      </w:r>
      <w:r w:rsidR="00240806">
        <w:t xml:space="preserve">suggests that some see a positive side to this custom as well as a negative side. </w:t>
      </w:r>
      <w:r w:rsidR="0037334C">
        <w:t>The author suggests that the positive side is that it may ensure women are well treated by their family before they are married</w:t>
      </w:r>
      <w:r w:rsidR="001C316A">
        <w:t xml:space="preserve">, however this does not stop the woman being poorly treated by her husband or the husband’s family. </w:t>
      </w:r>
      <w:r w:rsidR="009D4DDC">
        <w:t xml:space="preserve">The source also states that this custom can afford women </w:t>
      </w:r>
      <w:r w:rsidR="00304A84">
        <w:t xml:space="preserve">‘the </w:t>
      </w:r>
      <w:r w:rsidR="007676C6">
        <w:t xml:space="preserve">value and </w:t>
      </w:r>
      <w:r w:rsidR="00AF2514">
        <w:t xml:space="preserve">dignity in </w:t>
      </w:r>
      <w:r w:rsidR="004F2292">
        <w:t xml:space="preserve">her own eyes and a </w:t>
      </w:r>
      <w:r w:rsidR="00742C51">
        <w:t>place in the economic structure of a tribe’.</w:t>
      </w:r>
      <w:r w:rsidR="00742C51">
        <w:rPr>
          <w:rStyle w:val="FootnoteReference"/>
        </w:rPr>
        <w:footnoteReference w:id="16"/>
      </w:r>
      <w:r w:rsidR="00742C51">
        <w:t xml:space="preserve"> Overall, the author appears to </w:t>
      </w:r>
      <w:r w:rsidR="005B1CED">
        <w:t>disagree with the practice of bride price but understands its cultural significance.</w:t>
      </w:r>
    </w:p>
    <w:p w14:paraId="1D58F902" w14:textId="32174A6E" w:rsidR="005B1CED" w:rsidRDefault="00B63D94" w:rsidP="003143B3">
      <w:r>
        <w:t xml:space="preserve">The source then begins to </w:t>
      </w:r>
      <w:r w:rsidR="00771713">
        <w:t>discuss the ‘evils’ of child marriage</w:t>
      </w:r>
      <w:r w:rsidR="00C825E0">
        <w:t xml:space="preserve">. The author states that </w:t>
      </w:r>
      <w:r w:rsidR="00EA1425">
        <w:t xml:space="preserve">children cannot resist an unwanted marriage </w:t>
      </w:r>
      <w:r w:rsidR="00555F68">
        <w:t>or escape from a</w:t>
      </w:r>
      <w:r w:rsidR="009E271E">
        <w:t xml:space="preserve">n ‘excessively </w:t>
      </w:r>
      <w:r w:rsidR="00144B90">
        <w:t xml:space="preserve">cruel husband’. </w:t>
      </w:r>
      <w:r w:rsidR="00FB38A9">
        <w:t xml:space="preserve">The author then further discusses the negatives of chid marriage through discussing how it can cause </w:t>
      </w:r>
      <w:r w:rsidR="00992493">
        <w:t>‘heavy infantile and maternal mortality’</w:t>
      </w:r>
      <w:r w:rsidR="00EB1EF2">
        <w:t>.</w:t>
      </w:r>
      <w:r w:rsidR="00EB1EF2">
        <w:rPr>
          <w:rStyle w:val="FootnoteReference"/>
        </w:rPr>
        <w:footnoteReference w:id="17"/>
      </w:r>
      <w:r w:rsidR="00825794">
        <w:t xml:space="preserve"> They state that this issue and </w:t>
      </w:r>
      <w:r w:rsidR="00B12868">
        <w:t xml:space="preserve">it’s ‘devitalising effects on the </w:t>
      </w:r>
      <w:r w:rsidR="00583207">
        <w:t>stamina of the race</w:t>
      </w:r>
      <w:r w:rsidR="008467EF">
        <w:t xml:space="preserve">, have been searchingly exposed in India and that </w:t>
      </w:r>
      <w:r w:rsidR="00560AE5">
        <w:t xml:space="preserve">it ‘cannot be essentially different in Africa’. This shows that the authors have seen the negative impacts of child marriage within communities.  </w:t>
      </w:r>
      <w:r w:rsidR="001370FF">
        <w:t>The author then implies that this issue could be solved during the British rule as the source states ‘</w:t>
      </w:r>
      <w:r w:rsidR="00E224A6">
        <w:t xml:space="preserve">it would be a misfortune there </w:t>
      </w:r>
      <w:r w:rsidR="008C3898">
        <w:t xml:space="preserve">if the </w:t>
      </w:r>
      <w:r w:rsidR="00156BA7">
        <w:t>opportunity</w:t>
      </w:r>
      <w:r w:rsidR="008C3898">
        <w:t xml:space="preserve"> of </w:t>
      </w:r>
      <w:r w:rsidR="00156BA7">
        <w:t>coping</w:t>
      </w:r>
      <w:r w:rsidR="008C3898">
        <w:t xml:space="preserve"> with the evil </w:t>
      </w:r>
      <w:r w:rsidR="007B56A0">
        <w:t xml:space="preserve">while Western </w:t>
      </w:r>
      <w:r w:rsidR="00156BA7">
        <w:t xml:space="preserve">influences </w:t>
      </w:r>
      <w:r w:rsidR="00684C29">
        <w:t xml:space="preserve">are still dominant </w:t>
      </w:r>
      <w:r w:rsidR="00156BA7">
        <w:t>should</w:t>
      </w:r>
      <w:r w:rsidR="00684C29">
        <w:t xml:space="preserve"> be lost’</w:t>
      </w:r>
      <w:r w:rsidR="00156BA7">
        <w:t>.</w:t>
      </w:r>
      <w:r w:rsidR="00156BA7">
        <w:rPr>
          <w:rStyle w:val="FootnoteReference"/>
        </w:rPr>
        <w:footnoteReference w:id="18"/>
      </w:r>
      <w:r w:rsidR="00156BA7">
        <w:t xml:space="preserve"> This suggests that the author believes Western influence can help to combat this ‘evil’ within African communities. </w:t>
      </w:r>
    </w:p>
    <w:p w14:paraId="7C551B2F" w14:textId="4D87DE8E" w:rsidR="4939F2FE" w:rsidRDefault="4939F2FE"/>
    <w:p w14:paraId="35EBCEF9" w14:textId="4713FBD5" w:rsidR="00723168" w:rsidRDefault="00723168" w:rsidP="003143B3">
      <w:r>
        <w:t>The author then begins to discuss women’s rights to refuse a marriage or the lack thereof as women in these communities often have their choices dictated to them by family members</w:t>
      </w:r>
      <w:r w:rsidR="003C2371">
        <w:t xml:space="preserve">. </w:t>
      </w:r>
      <w:r w:rsidR="00964326">
        <w:t xml:space="preserve">The author </w:t>
      </w:r>
      <w:r w:rsidR="00644457">
        <w:t>questions</w:t>
      </w:r>
      <w:r w:rsidR="00964326">
        <w:t xml:space="preserve"> that if a woman has escaped </w:t>
      </w:r>
      <w:r w:rsidR="00183A3C">
        <w:t xml:space="preserve">from an unwanted marriage ‘should </w:t>
      </w:r>
      <w:r w:rsidR="00754A6E">
        <w:t xml:space="preserve">not her right to do both </w:t>
      </w:r>
      <w:r w:rsidR="00A9737F">
        <w:t xml:space="preserve">be definitely recognised </w:t>
      </w:r>
      <w:r w:rsidR="00C621F2">
        <w:t xml:space="preserve">and made enforceable by the </w:t>
      </w:r>
      <w:r w:rsidR="00644457">
        <w:t>appropriate courts or authorities?’.</w:t>
      </w:r>
      <w:r w:rsidR="00644457">
        <w:rPr>
          <w:rStyle w:val="FootnoteReference"/>
        </w:rPr>
        <w:footnoteReference w:id="19"/>
      </w:r>
      <w:r w:rsidR="00644457">
        <w:t xml:space="preserve"> This suggests that the authors believe that more could be done to protect women who</w:t>
      </w:r>
      <w:r w:rsidR="009714C2">
        <w:t xml:space="preserve"> refuse unwanted marriages or escape cruel husbands. </w:t>
      </w:r>
      <w:r w:rsidR="002E0B2B">
        <w:t>However, this is difficult as ‘</w:t>
      </w:r>
      <w:r w:rsidR="00956C4D">
        <w:t xml:space="preserve">these rights are not defined in law </w:t>
      </w:r>
      <w:r w:rsidR="00203470">
        <w:t>nor acknowledge</w:t>
      </w:r>
      <w:r w:rsidR="560FE2F8">
        <w:t>d</w:t>
      </w:r>
      <w:r w:rsidR="00203470">
        <w:t xml:space="preserve"> by authorities</w:t>
      </w:r>
      <w:r w:rsidR="00EA538B">
        <w:t xml:space="preserve">’ and </w:t>
      </w:r>
      <w:r w:rsidR="00A72003">
        <w:t xml:space="preserve">that ‘no effort </w:t>
      </w:r>
      <w:r w:rsidR="009B67AE">
        <w:t xml:space="preserve">is made to </w:t>
      </w:r>
      <w:r w:rsidR="002B4E81">
        <w:t xml:space="preserve">make the existence of these rights </w:t>
      </w:r>
      <w:r w:rsidR="00923CF8">
        <w:t>generally known amongst natives’.</w:t>
      </w:r>
      <w:r w:rsidR="00923CF8">
        <w:rPr>
          <w:rStyle w:val="FootnoteReference"/>
        </w:rPr>
        <w:footnoteReference w:id="20"/>
      </w:r>
      <w:r w:rsidR="00923CF8">
        <w:t xml:space="preserve"> This may explain why many women in these communities are trapped in situations where they are treated like slaves. </w:t>
      </w:r>
    </w:p>
    <w:p w14:paraId="3324B844" w14:textId="5CD39A65" w:rsidR="00CD5F36" w:rsidRDefault="00CD5F36" w:rsidP="003143B3">
      <w:r>
        <w:t xml:space="preserve">The source then goes on to explain that another reason why situations like this arise is due to </w:t>
      </w:r>
      <w:r w:rsidR="00C01513">
        <w:t xml:space="preserve">the lack of recognition from authorities. The source states </w:t>
      </w:r>
      <w:r w:rsidR="0075610E">
        <w:t xml:space="preserve">that ‘not only the native courts </w:t>
      </w:r>
      <w:r w:rsidR="004D509D">
        <w:t xml:space="preserve">but European officials […] </w:t>
      </w:r>
      <w:r w:rsidR="00DC0FD9">
        <w:t>take the man’s view of men’s rights’</w:t>
      </w:r>
      <w:r w:rsidR="00BA7AB3">
        <w:t xml:space="preserve"> and that </w:t>
      </w:r>
      <w:r w:rsidR="00EB3B20">
        <w:t>‘</w:t>
      </w:r>
      <w:r w:rsidR="00BA7AB3">
        <w:t xml:space="preserve">the </w:t>
      </w:r>
      <w:r w:rsidR="00EB3B20">
        <w:t xml:space="preserve">European is apt to </w:t>
      </w:r>
      <w:r w:rsidR="00F016FB">
        <w:t xml:space="preserve">be afraid of increasing his troubles with </w:t>
      </w:r>
      <w:r w:rsidR="00077326">
        <w:t>the natives by interfering in social customs</w:t>
      </w:r>
      <w:r w:rsidR="00966C4E">
        <w:t>’</w:t>
      </w:r>
      <w:r w:rsidR="00DC0FD9">
        <w:t>.</w:t>
      </w:r>
      <w:r w:rsidR="00DC0FD9">
        <w:rPr>
          <w:rStyle w:val="FootnoteReference"/>
        </w:rPr>
        <w:footnoteReference w:id="21"/>
      </w:r>
      <w:r w:rsidR="00DC0FD9">
        <w:t xml:space="preserve"> </w:t>
      </w:r>
      <w:r w:rsidR="00966C4E">
        <w:t xml:space="preserve">This gives further reasoning for why these situations happen and further acknowledges the difficulty with </w:t>
      </w:r>
      <w:r w:rsidR="00D30128">
        <w:t xml:space="preserve">interring in social customs. This is then continued in the last paragraph as the author </w:t>
      </w:r>
      <w:r w:rsidR="000A1630">
        <w:t xml:space="preserve">discusses how British authorities in both India and Africa have neglected the importance of educating women as well as men. </w:t>
      </w:r>
    </w:p>
    <w:p w14:paraId="736ACD7F" w14:textId="033FC453" w:rsidR="00AF3802" w:rsidRDefault="004C6448" w:rsidP="003143B3">
      <w:r>
        <w:t>Overall, this source is useful for studying the treatment of women within the home in certain African communities during colonial rule. It includes a wealth of information about this negative treatment and the customs that may be the root cause of these issues. However, this source is limited as it does not state the exact communities effected and appears to be generalised. It also may be biased as it is written by British members of Parliament and is written for those who have not witnessed these conditions so it may be exaggerated in order to prove the writers’ point.</w:t>
      </w:r>
    </w:p>
    <w:p w14:paraId="4D1F84C0" w14:textId="77777777" w:rsidR="00B318E6" w:rsidRDefault="00B318E6" w:rsidP="003143B3"/>
    <w:p w14:paraId="780E6FD7" w14:textId="77777777" w:rsidR="00B318E6" w:rsidRDefault="00B318E6" w:rsidP="003143B3"/>
    <w:p w14:paraId="2560C148" w14:textId="77777777" w:rsidR="00742C51" w:rsidRDefault="00742C51" w:rsidP="003143B3"/>
    <w:p w14:paraId="7E2EB827" w14:textId="77777777" w:rsidR="00CC3229" w:rsidRDefault="00CC3229" w:rsidP="003143B3"/>
    <w:sdt>
      <w:sdtPr>
        <w:rPr>
          <w:rFonts w:asciiTheme="minorHAnsi" w:eastAsiaTheme="minorEastAsia" w:hAnsiTheme="minorHAnsi" w:cstheme="minorBidi"/>
          <w:color w:val="auto"/>
          <w:sz w:val="22"/>
          <w:szCs w:val="22"/>
        </w:rPr>
        <w:id w:val="1033305655"/>
        <w:docPartObj>
          <w:docPartGallery w:val="Bibliographies"/>
          <w:docPartUnique/>
        </w:docPartObj>
      </w:sdtPr>
      <w:sdtContent>
        <w:p w14:paraId="62293B8F" w14:textId="14D551B6" w:rsidR="00021B11" w:rsidRDefault="00021B11">
          <w:pPr>
            <w:pStyle w:val="Heading1"/>
          </w:pPr>
          <w:r>
            <w:t>Bibliography:</w:t>
          </w:r>
        </w:p>
        <w:p w14:paraId="36AD10C8" w14:textId="355EDC6B" w:rsidR="00CC3229" w:rsidRPr="00CC3229" w:rsidRDefault="00CC3229" w:rsidP="00CC3229">
          <w:r w:rsidRPr="00CC3229">
            <w:t xml:space="preserve">Bloom, C. (2009). </w:t>
          </w:r>
          <w:r w:rsidRPr="457F69E2">
            <w:t>Josiah Wedgwood and Palestine</w:t>
          </w:r>
          <w:r w:rsidRPr="00CC3229">
            <w:rPr>
              <w:i/>
              <w:iCs/>
            </w:rPr>
            <w:t>. Jewish Historical Studies, 42</w:t>
          </w:r>
          <w:r w:rsidRPr="00CC3229">
            <w:t>, 147–172. http://www.jstor.org/stable/29780127</w:t>
          </w:r>
        </w:p>
        <w:p w14:paraId="662CBF25" w14:textId="165A1892" w:rsidR="00F066D1" w:rsidRDefault="00F066D1">
          <w:r w:rsidRPr="00F066D1">
            <w:t xml:space="preserve">Bush, B. (2016). </w:t>
          </w:r>
          <w:r w:rsidRPr="753B15FC">
            <w:t xml:space="preserve">Feminising Empire? British Women’s Activist Networks in Defending and Challenging Empire from 1918 to Decolonisation. </w:t>
          </w:r>
          <w:r w:rsidRPr="00CC3229">
            <w:rPr>
              <w:i/>
              <w:iCs/>
            </w:rPr>
            <w:t>Women’s History Review, 25(4</w:t>
          </w:r>
          <w:r w:rsidRPr="00F066D1">
            <w:t xml:space="preserve">), 499–519. </w:t>
          </w:r>
          <w:hyperlink r:id="rId11">
            <w:r w:rsidRPr="753B15FC">
              <w:rPr>
                <w:rStyle w:val="Hyperlink"/>
              </w:rPr>
              <w:t>https://doi.org/10.1080/09612025.2015.1114318</w:t>
            </w:r>
          </w:hyperlink>
        </w:p>
        <w:p w14:paraId="6EB78E18" w14:textId="6E0D7FCA" w:rsidR="005A4436" w:rsidRDefault="005A4436">
          <w:r w:rsidRPr="005A4436">
            <w:t xml:space="preserve">Duchess of Atholl MP, Col. Rt. Hon. Josiah Wedgwood MP, Miss Eleanor Rathbone MP, </w:t>
          </w:r>
          <w:r w:rsidRPr="00CC3229">
            <w:rPr>
              <w:i/>
              <w:iCs/>
            </w:rPr>
            <w:t xml:space="preserve">Memorandum on Female Slavery Within the Family </w:t>
          </w:r>
          <w:r w:rsidR="00F750C7">
            <w:t>(</w:t>
          </w:r>
          <w:r w:rsidRPr="005A4436">
            <w:t>1932</w:t>
          </w:r>
          <w:r w:rsidR="00F750C7">
            <w:t>)</w:t>
          </w:r>
          <w:r w:rsidRPr="005A4436">
            <w:t>. (The National Archives, Kew FO 371/16305)</w:t>
          </w:r>
        </w:p>
        <w:p w14:paraId="7B3B8B68" w14:textId="1EE6F8D1" w:rsidR="00CC3229" w:rsidRDefault="00CC3229">
          <w:r w:rsidRPr="00CC3229">
            <w:t xml:space="preserve">Gilfillan, J. B. S. (1959). </w:t>
          </w:r>
          <w:r w:rsidRPr="79A00CB9">
            <w:t>Review of Working Partnership: Being the Lives of John George 8th Duke of Atholl and of His Wife Katharine Marjory Ramsay, by The Duchess of Atholl.</w:t>
          </w:r>
          <w:r w:rsidRPr="00CC3229">
            <w:rPr>
              <w:i/>
              <w:iCs/>
            </w:rPr>
            <w:t xml:space="preserve"> The Scottish Historical Review, 38(126),</w:t>
          </w:r>
          <w:r w:rsidRPr="00CC3229">
            <w:t xml:space="preserve"> 157–159. http://www.jstor.org/stable/25526547</w:t>
          </w:r>
        </w:p>
        <w:p w14:paraId="10EAE4BC" w14:textId="044A3FE4" w:rsidR="00073BC4" w:rsidRDefault="00073BC4">
          <w:r>
            <w:t>Lowes, Sara, and</w:t>
          </w:r>
          <w:r w:rsidR="00F750C7">
            <w:t xml:space="preserve"> </w:t>
          </w:r>
          <w:r>
            <w:t>Nunn,</w:t>
          </w:r>
          <w:r w:rsidR="00F750C7">
            <w:t xml:space="preserve"> N, </w:t>
          </w:r>
          <w:r w:rsidR="00F750C7" w:rsidRPr="49BB20F5">
            <w:rPr>
              <w:i/>
              <w:iCs/>
            </w:rPr>
            <w:t>Bride</w:t>
          </w:r>
          <w:r w:rsidRPr="49BB20F5">
            <w:rPr>
              <w:i/>
              <w:iCs/>
            </w:rPr>
            <w:t xml:space="preserve"> Price and the Well-Being of Women </w:t>
          </w:r>
          <w:r w:rsidRPr="49BB20F5">
            <w:t>(online edn, Oxford Academic, 20 Dec. 2018),</w:t>
          </w:r>
          <w:r>
            <w:t xml:space="preserve"> </w:t>
          </w:r>
          <w:hyperlink r:id="rId12">
            <w:r w:rsidR="00F750C7" w:rsidRPr="49BB20F5">
              <w:rPr>
                <w:rStyle w:val="Hyperlink"/>
              </w:rPr>
              <w:t>https://doi.org/10.1093/oso/9780198829591.003.0006</w:t>
            </w:r>
          </w:hyperlink>
          <w:r w:rsidR="00F750C7">
            <w:t xml:space="preserve"> , accessed</w:t>
          </w:r>
          <w:r>
            <w:t xml:space="preserve"> 21 Apr. 2026.</w:t>
          </w:r>
        </w:p>
        <w:p w14:paraId="56641938" w14:textId="5CD24BB8" w:rsidR="00073BC4" w:rsidRDefault="00295F32">
          <w:r>
            <w:t xml:space="preserve">Roberts, A. D. (1978). </w:t>
          </w:r>
          <w:r w:rsidRPr="49BB20F5">
            <w:t>The Earlier Historiography of Colonial Africa</w:t>
          </w:r>
          <w:r w:rsidRPr="49BB20F5">
            <w:rPr>
              <w:i/>
              <w:iCs/>
            </w:rPr>
            <w:t>. History in Africa, 5, 153</w:t>
          </w:r>
          <w:r>
            <w:t xml:space="preserve">–167. </w:t>
          </w:r>
          <w:hyperlink r:id="rId13">
            <w:r w:rsidRPr="49BB20F5">
              <w:rPr>
                <w:rStyle w:val="Hyperlink"/>
              </w:rPr>
              <w:t>https://doi.org/10.2307/3171484</w:t>
            </w:r>
          </w:hyperlink>
        </w:p>
        <w:p w14:paraId="341CCA5C" w14:textId="4B2669C5" w:rsidR="005A4436" w:rsidRDefault="00636866">
          <w:r>
            <w:t xml:space="preserve">Woolton. (1946). </w:t>
          </w:r>
          <w:r w:rsidRPr="49BB20F5">
            <w:t xml:space="preserve">Miss Eleanor Rathbone, M. P. </w:t>
          </w:r>
          <w:r w:rsidRPr="49BB20F5">
            <w:rPr>
              <w:i/>
              <w:iCs/>
            </w:rPr>
            <w:t>Journal of the Royal Statistical Society, 109(1),</w:t>
          </w:r>
          <w:r>
            <w:t xml:space="preserve"> 70–70. </w:t>
          </w:r>
          <w:hyperlink r:id="rId14">
            <w:r w:rsidRPr="49BB20F5">
              <w:rPr>
                <w:rStyle w:val="Hyperlink"/>
              </w:rPr>
              <w:t>http://www.jstor.org/stable/2981399</w:t>
            </w:r>
          </w:hyperlink>
        </w:p>
        <w:p w14:paraId="48E848D0" w14:textId="46D9154F" w:rsidR="0025264F" w:rsidRPr="002F3A4D" w:rsidRDefault="00EB6964" w:rsidP="003143B3"/>
      </w:sdtContent>
    </w:sdt>
    <w:sectPr w:rsidR="0025264F" w:rsidRPr="002F3A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8F28F" w14:textId="77777777" w:rsidR="004564D4" w:rsidRDefault="004564D4" w:rsidP="00890402">
      <w:pPr>
        <w:spacing w:after="0" w:line="240" w:lineRule="auto"/>
      </w:pPr>
      <w:r>
        <w:separator/>
      </w:r>
    </w:p>
  </w:endnote>
  <w:endnote w:type="continuationSeparator" w:id="0">
    <w:p w14:paraId="10F0B045" w14:textId="77777777" w:rsidR="004564D4" w:rsidRDefault="004564D4" w:rsidP="00890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747D7" w14:textId="77777777" w:rsidR="004564D4" w:rsidRDefault="004564D4" w:rsidP="00890402">
      <w:pPr>
        <w:spacing w:after="0" w:line="240" w:lineRule="auto"/>
      </w:pPr>
      <w:r>
        <w:separator/>
      </w:r>
    </w:p>
  </w:footnote>
  <w:footnote w:type="continuationSeparator" w:id="0">
    <w:p w14:paraId="196D95F8" w14:textId="77777777" w:rsidR="004564D4" w:rsidRDefault="004564D4" w:rsidP="00890402">
      <w:pPr>
        <w:spacing w:after="0" w:line="240" w:lineRule="auto"/>
      </w:pPr>
      <w:r>
        <w:continuationSeparator/>
      </w:r>
    </w:p>
  </w:footnote>
  <w:footnote w:id="1">
    <w:p w14:paraId="7ADB3306" w14:textId="4F53F66F" w:rsidR="00890402" w:rsidRDefault="00890402">
      <w:pPr>
        <w:pStyle w:val="FootnoteText"/>
      </w:pPr>
      <w:r>
        <w:rPr>
          <w:rStyle w:val="FootnoteReference"/>
        </w:rPr>
        <w:footnoteRef/>
      </w:r>
      <w:r>
        <w:t xml:space="preserve"> </w:t>
      </w:r>
      <w:r w:rsidR="00295F32" w:rsidRPr="00295F32">
        <w:t xml:space="preserve">Roberts, A. D. (1978). </w:t>
      </w:r>
      <w:r w:rsidR="00295F32" w:rsidRPr="00F750C7">
        <w:rPr>
          <w:i/>
          <w:iCs/>
        </w:rPr>
        <w:t>The Earlier Historiography of Colonial Africa. History in Africa, 5,</w:t>
      </w:r>
      <w:r w:rsidR="00295F32" w:rsidRPr="00295F32">
        <w:t xml:space="preserve"> 153–167.</w:t>
      </w:r>
    </w:p>
  </w:footnote>
  <w:footnote w:id="2">
    <w:p w14:paraId="6B271AFC" w14:textId="22EC83C1" w:rsidR="00841B6A" w:rsidRDefault="00841B6A">
      <w:pPr>
        <w:pStyle w:val="FootnoteText"/>
      </w:pPr>
      <w:r>
        <w:rPr>
          <w:rStyle w:val="FootnoteReference"/>
        </w:rPr>
        <w:footnoteRef/>
      </w:r>
      <w:r>
        <w:t xml:space="preserve"> </w:t>
      </w:r>
      <w:r w:rsidRPr="00841B6A">
        <w:t xml:space="preserve">Bush, B. (2016). </w:t>
      </w:r>
      <w:r w:rsidRPr="00F750C7">
        <w:rPr>
          <w:i/>
          <w:iCs/>
        </w:rPr>
        <w:t>Feminising Empire? British Women’s Activist Networks in Defending and Challenging Empire from 1918 to Decolonisation. Women’s History Review, 25(4)</w:t>
      </w:r>
      <w:r w:rsidRPr="00841B6A">
        <w:t>, 499–519.</w:t>
      </w:r>
    </w:p>
  </w:footnote>
  <w:footnote w:id="3">
    <w:p w14:paraId="2616A9CA" w14:textId="6DE6DDC6" w:rsidR="008800F0" w:rsidRDefault="008800F0">
      <w:pPr>
        <w:pStyle w:val="FootnoteText"/>
      </w:pPr>
      <w:r>
        <w:rPr>
          <w:rStyle w:val="FootnoteReference"/>
        </w:rPr>
        <w:footnoteRef/>
      </w:r>
      <w:r>
        <w:t xml:space="preserve"> </w:t>
      </w:r>
      <w:r w:rsidR="00926FEF" w:rsidRPr="00926FEF">
        <w:t xml:space="preserve">Gilfillan, J. B. S. (1959). </w:t>
      </w:r>
      <w:r w:rsidR="00926FEF" w:rsidRPr="00F750C7">
        <w:rPr>
          <w:i/>
          <w:iCs/>
        </w:rPr>
        <w:t>Review of Working Partnership: Being the Lives of John George 8th Duke of Atholl and of His Wife Katharine Marjory Ramsay, by The Duchess of Atholl. The Scottish Historical Review, 38(126)</w:t>
      </w:r>
      <w:r w:rsidR="00926FEF" w:rsidRPr="00926FEF">
        <w:t>, 157–159.</w:t>
      </w:r>
    </w:p>
  </w:footnote>
  <w:footnote w:id="4">
    <w:p w14:paraId="31098F58" w14:textId="6A25B219" w:rsidR="00304FBD" w:rsidRDefault="00304FBD">
      <w:pPr>
        <w:pStyle w:val="FootnoteText"/>
      </w:pPr>
      <w:r>
        <w:rPr>
          <w:rStyle w:val="FootnoteReference"/>
        </w:rPr>
        <w:footnoteRef/>
      </w:r>
      <w:r>
        <w:t xml:space="preserve"> </w:t>
      </w:r>
      <w:r w:rsidR="00636866" w:rsidRPr="00636866">
        <w:t xml:space="preserve">Woolton. (1946). </w:t>
      </w:r>
      <w:r w:rsidR="00636866" w:rsidRPr="00F750C7">
        <w:rPr>
          <w:i/>
          <w:iCs/>
        </w:rPr>
        <w:t xml:space="preserve">Miss Eleanor Rathbone, M. P. Journal of the Royal Statistical Society, 109(1), </w:t>
      </w:r>
      <w:r w:rsidR="00636866" w:rsidRPr="00636866">
        <w:t>70–70.</w:t>
      </w:r>
    </w:p>
  </w:footnote>
  <w:footnote w:id="5">
    <w:p w14:paraId="0C871BDF" w14:textId="64BB1C03" w:rsidR="00304FBD" w:rsidRDefault="00304FBD">
      <w:pPr>
        <w:pStyle w:val="FootnoteText"/>
      </w:pPr>
      <w:r>
        <w:rPr>
          <w:rStyle w:val="FootnoteReference"/>
        </w:rPr>
        <w:footnoteRef/>
      </w:r>
      <w:r>
        <w:t xml:space="preserve"> </w:t>
      </w:r>
      <w:r w:rsidR="00F750C7">
        <w:t>B</w:t>
      </w:r>
      <w:r w:rsidR="00F750C7" w:rsidRPr="00E0626E">
        <w:t>loom</w:t>
      </w:r>
      <w:r w:rsidR="00E0626E" w:rsidRPr="00E0626E">
        <w:t xml:space="preserve">, C. (2009). </w:t>
      </w:r>
      <w:r w:rsidR="00E0626E" w:rsidRPr="00F750C7">
        <w:rPr>
          <w:i/>
          <w:iCs/>
        </w:rPr>
        <w:t>Josiah Wedgwood and Palestine. Jewish Historical Studies, 42</w:t>
      </w:r>
      <w:r w:rsidR="00E0626E" w:rsidRPr="00E0626E">
        <w:t>, 147–172.</w:t>
      </w:r>
    </w:p>
  </w:footnote>
  <w:footnote w:id="6">
    <w:p w14:paraId="4E0227C3" w14:textId="1793A98A" w:rsidR="001C572B" w:rsidRDefault="001C572B">
      <w:pPr>
        <w:pStyle w:val="FootnoteText"/>
      </w:pPr>
      <w:r>
        <w:rPr>
          <w:rStyle w:val="FootnoteReference"/>
        </w:rPr>
        <w:footnoteRef/>
      </w:r>
      <w:r>
        <w:t xml:space="preserve"> </w:t>
      </w:r>
      <w:r w:rsidR="00F750C7" w:rsidRPr="00F750C7">
        <w:t xml:space="preserve">Duchess of Atholl MP, Col. Rt. Hon. Josiah Wedgwood MP, Miss Eleanor Rathbone MP, </w:t>
      </w:r>
      <w:r w:rsidR="00F750C7" w:rsidRPr="00F750C7">
        <w:rPr>
          <w:i/>
          <w:iCs/>
        </w:rPr>
        <w:t xml:space="preserve">Memorandum on Female Slavery Within the Family </w:t>
      </w:r>
      <w:r w:rsidR="00F750C7" w:rsidRPr="00F750C7">
        <w:t>(1932)</w:t>
      </w:r>
    </w:p>
  </w:footnote>
  <w:footnote w:id="7">
    <w:p w14:paraId="050C195A" w14:textId="7E7BAD75" w:rsidR="00B64016" w:rsidRDefault="00B64016">
      <w:pPr>
        <w:pStyle w:val="FootnoteText"/>
      </w:pPr>
      <w:r>
        <w:rPr>
          <w:rStyle w:val="FootnoteReference"/>
        </w:rPr>
        <w:footnoteRef/>
      </w:r>
      <w:r>
        <w:t xml:space="preserve"> </w:t>
      </w:r>
      <w:r w:rsidR="00F750C7" w:rsidRPr="00F750C7">
        <w:t xml:space="preserve">Duchess of Atholl MP, Col. Rt. Hon. Josiah Wedgwood MP, Miss Eleanor Rathbone MP, </w:t>
      </w:r>
      <w:r w:rsidR="00F750C7" w:rsidRPr="00F750C7">
        <w:rPr>
          <w:i/>
          <w:iCs/>
        </w:rPr>
        <w:t xml:space="preserve">Memorandum on Female Slavery Within the Family </w:t>
      </w:r>
      <w:r w:rsidR="00F750C7" w:rsidRPr="00F750C7">
        <w:t>(1932)</w:t>
      </w:r>
    </w:p>
  </w:footnote>
  <w:footnote w:id="8">
    <w:p w14:paraId="753EE64B" w14:textId="4B4FA1B0" w:rsidR="00890402" w:rsidRDefault="00890402">
      <w:pPr>
        <w:pStyle w:val="FootnoteText"/>
      </w:pPr>
      <w:r>
        <w:rPr>
          <w:rStyle w:val="FootnoteReference"/>
        </w:rPr>
        <w:footnoteRef/>
      </w:r>
      <w:r>
        <w:t xml:space="preserve"> </w:t>
      </w:r>
      <w:r w:rsidR="00B930D0" w:rsidRPr="00B930D0">
        <w:t xml:space="preserve">Duchess of Atholl MP, Col. Rt. Hon. Josiah Wedgwood MP, Miss Eleanor Rathbone MP, </w:t>
      </w:r>
      <w:r w:rsidR="00B930D0" w:rsidRPr="00B930D0">
        <w:rPr>
          <w:i/>
          <w:iCs/>
        </w:rPr>
        <w:t>Memorandum on Female Slavery Within the Family</w:t>
      </w:r>
      <w:r w:rsidR="00B930D0" w:rsidRPr="00B930D0">
        <w:t xml:space="preserve"> (1932)</w:t>
      </w:r>
    </w:p>
  </w:footnote>
  <w:footnote w:id="9">
    <w:p w14:paraId="49FB8939" w14:textId="75348E33" w:rsidR="00764D35" w:rsidRDefault="00764D35">
      <w:pPr>
        <w:pStyle w:val="FootnoteText"/>
      </w:pPr>
      <w:r>
        <w:rPr>
          <w:rStyle w:val="FootnoteReference"/>
        </w:rPr>
        <w:footnoteRef/>
      </w:r>
      <w:r>
        <w:t xml:space="preserve"> </w:t>
      </w:r>
      <w:r w:rsidR="00B930D0" w:rsidRPr="00B930D0">
        <w:t xml:space="preserve">Duchess of Atholl MP, Col. Rt. Hon. Josiah Wedgwood MP, Miss Eleanor Rathbone MP, </w:t>
      </w:r>
      <w:r w:rsidR="00B930D0" w:rsidRPr="00B930D0">
        <w:rPr>
          <w:i/>
          <w:iCs/>
        </w:rPr>
        <w:t>Memorandum on Female Slavery Within the Family</w:t>
      </w:r>
      <w:r w:rsidR="00B930D0" w:rsidRPr="00B930D0">
        <w:t xml:space="preserve"> (1932)</w:t>
      </w:r>
    </w:p>
  </w:footnote>
  <w:footnote w:id="10">
    <w:p w14:paraId="6FBEC1A1" w14:textId="1049F86B" w:rsidR="003446A1" w:rsidRDefault="003446A1">
      <w:pPr>
        <w:pStyle w:val="FootnoteText"/>
      </w:pPr>
      <w:r>
        <w:rPr>
          <w:rStyle w:val="FootnoteReference"/>
        </w:rPr>
        <w:footnoteRef/>
      </w:r>
      <w:r>
        <w:t xml:space="preserve"> </w:t>
      </w:r>
      <w:r w:rsidR="00B930D0" w:rsidRPr="00B930D0">
        <w:t xml:space="preserve">Duchess of Atholl MP, Col. Rt. Hon. Josiah Wedgwood MP, Miss Eleanor Rathbone MP, </w:t>
      </w:r>
      <w:r w:rsidR="00B930D0" w:rsidRPr="00B930D0">
        <w:rPr>
          <w:i/>
          <w:iCs/>
        </w:rPr>
        <w:t>Memorandum on Female Slavery Within the Family</w:t>
      </w:r>
      <w:r w:rsidR="00B930D0" w:rsidRPr="00B930D0">
        <w:t xml:space="preserve"> (1932)</w:t>
      </w:r>
    </w:p>
  </w:footnote>
  <w:footnote w:id="11">
    <w:p w14:paraId="4E754B10" w14:textId="4D78D97D" w:rsidR="00CC75EB" w:rsidRDefault="00CC75EB">
      <w:pPr>
        <w:pStyle w:val="FootnoteText"/>
      </w:pPr>
      <w:r>
        <w:rPr>
          <w:rStyle w:val="FootnoteReference"/>
        </w:rPr>
        <w:footnoteRef/>
      </w:r>
      <w:r>
        <w:t xml:space="preserve"> </w:t>
      </w:r>
      <w:r w:rsidR="00B930D0" w:rsidRPr="00B930D0">
        <w:t xml:space="preserve">Duchess of Atholl MP, Col. Rt. Hon. Josiah Wedgwood MP, Miss Eleanor Rathbone MP, </w:t>
      </w:r>
      <w:r w:rsidR="00B930D0" w:rsidRPr="00B930D0">
        <w:rPr>
          <w:i/>
          <w:iCs/>
        </w:rPr>
        <w:t>Memorandum on Female Slavery Within the Family</w:t>
      </w:r>
      <w:r w:rsidR="00B930D0" w:rsidRPr="00B930D0">
        <w:t xml:space="preserve"> (1932)</w:t>
      </w:r>
    </w:p>
  </w:footnote>
  <w:footnote w:id="12">
    <w:p w14:paraId="0140D52C" w14:textId="215CA037" w:rsidR="004D2AA8" w:rsidRDefault="004D2AA8">
      <w:pPr>
        <w:pStyle w:val="FootnoteText"/>
      </w:pPr>
      <w:r>
        <w:rPr>
          <w:rStyle w:val="FootnoteReference"/>
        </w:rPr>
        <w:footnoteRef/>
      </w:r>
      <w:r>
        <w:t xml:space="preserve"> </w:t>
      </w:r>
      <w:r w:rsidR="005D4481" w:rsidRPr="005D4481">
        <w:t xml:space="preserve">Duchess of Atholl MP, Col. Rt. Hon. Josiah Wedgwood MP, Miss Eleanor Rathbone MP, </w:t>
      </w:r>
      <w:r w:rsidR="005D4481" w:rsidRPr="005D4481">
        <w:rPr>
          <w:i/>
          <w:iCs/>
        </w:rPr>
        <w:t xml:space="preserve">Memorandum on Female Slavery Within the Family </w:t>
      </w:r>
      <w:r w:rsidR="005D4481" w:rsidRPr="005D4481">
        <w:t>(1932)</w:t>
      </w:r>
    </w:p>
  </w:footnote>
  <w:footnote w:id="13">
    <w:p w14:paraId="4829C3AE" w14:textId="24C48F57" w:rsidR="005E6C54" w:rsidRDefault="005E6C54">
      <w:pPr>
        <w:pStyle w:val="FootnoteText"/>
      </w:pPr>
      <w:r>
        <w:rPr>
          <w:rStyle w:val="FootnoteReference"/>
        </w:rPr>
        <w:footnoteRef/>
      </w:r>
      <w:r>
        <w:t xml:space="preserve"> </w:t>
      </w:r>
      <w:r w:rsidRPr="005E6C54">
        <w:t xml:space="preserve">Lowes, </w:t>
      </w:r>
      <w:r w:rsidR="00F750C7">
        <w:t>S</w:t>
      </w:r>
      <w:r w:rsidRPr="005E6C54">
        <w:t>, and</w:t>
      </w:r>
      <w:r w:rsidR="00F750C7">
        <w:t xml:space="preserve"> </w:t>
      </w:r>
      <w:r w:rsidRPr="005E6C54">
        <w:t>Nunn</w:t>
      </w:r>
      <w:r w:rsidR="00F750C7">
        <w:t>, N</w:t>
      </w:r>
      <w:r w:rsidRPr="005E6C54">
        <w:t xml:space="preserve">, </w:t>
      </w:r>
      <w:r w:rsidRPr="00F750C7">
        <w:rPr>
          <w:i/>
          <w:iCs/>
        </w:rPr>
        <w:t>Bride Price and the Well-Being of Women</w:t>
      </w:r>
      <w:r w:rsidRPr="005E6C54">
        <w:t xml:space="preserve">, </w:t>
      </w:r>
      <w:r w:rsidR="005D4481">
        <w:t>(</w:t>
      </w:r>
      <w:r w:rsidRPr="005E6C54">
        <w:t>Oxford Academic, 20 Dec. 2018)</w:t>
      </w:r>
    </w:p>
  </w:footnote>
  <w:footnote w:id="14">
    <w:p w14:paraId="74D233A4" w14:textId="7CE975D6" w:rsidR="00B55C02" w:rsidRDefault="00B55C02">
      <w:pPr>
        <w:pStyle w:val="FootnoteText"/>
      </w:pPr>
      <w:r>
        <w:rPr>
          <w:rStyle w:val="FootnoteReference"/>
        </w:rPr>
        <w:footnoteRef/>
      </w:r>
      <w:r>
        <w:t xml:space="preserve"> </w:t>
      </w:r>
      <w:r w:rsidR="005D4481" w:rsidRPr="005D4481">
        <w:t xml:space="preserve">Duchess of Atholl MP, Col. Rt. Hon. Josiah Wedgwood MP, Miss Eleanor Rathbone MP, </w:t>
      </w:r>
      <w:r w:rsidR="005D4481" w:rsidRPr="005D4481">
        <w:rPr>
          <w:i/>
          <w:iCs/>
        </w:rPr>
        <w:t>Memorandum on Female Slavery Within the Family</w:t>
      </w:r>
      <w:r w:rsidR="005D4481" w:rsidRPr="005D4481">
        <w:t xml:space="preserve"> (1932)</w:t>
      </w:r>
    </w:p>
  </w:footnote>
  <w:footnote w:id="15">
    <w:p w14:paraId="6E30CC71" w14:textId="55EDAF52" w:rsidR="00E52486" w:rsidRDefault="00E52486">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 w:id="16">
    <w:p w14:paraId="5949206C" w14:textId="2603E870" w:rsidR="00742C51" w:rsidRDefault="00742C51">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 w:id="17">
    <w:p w14:paraId="394179AE" w14:textId="53A4380D" w:rsidR="00EB1EF2" w:rsidRDefault="00EB1EF2">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 w:id="18">
    <w:p w14:paraId="428F20B9" w14:textId="2232AE01" w:rsidR="00156BA7" w:rsidRDefault="00156BA7">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 w:id="19">
    <w:p w14:paraId="4B600C71" w14:textId="7E7F8746" w:rsidR="00644457" w:rsidRDefault="00644457">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 w:id="20">
    <w:p w14:paraId="370015B0" w14:textId="21FEFD06" w:rsidR="00923CF8" w:rsidRDefault="00923CF8">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 w:id="21">
    <w:p w14:paraId="42893976" w14:textId="710DD57A" w:rsidR="00DC0FD9" w:rsidRDefault="00DC0FD9">
      <w:pPr>
        <w:pStyle w:val="FootnoteText"/>
      </w:pPr>
      <w:r>
        <w:rPr>
          <w:rStyle w:val="FootnoteReference"/>
        </w:rPr>
        <w:footnoteRef/>
      </w:r>
      <w:r>
        <w:t xml:space="preserve"> </w:t>
      </w:r>
      <w:r w:rsidR="00CC3229" w:rsidRPr="00CC3229">
        <w:t xml:space="preserve">Duchess of Atholl MP, Col. Rt. Hon. Josiah Wedgwood MP, Miss Eleanor Rathbone MP, </w:t>
      </w:r>
      <w:r w:rsidR="00CC3229" w:rsidRPr="00CC3229">
        <w:rPr>
          <w:i/>
          <w:iCs/>
        </w:rPr>
        <w:t>Memorandum on Female Slavery Within the Family</w:t>
      </w:r>
      <w:r w:rsidR="00CC3229" w:rsidRPr="00CC3229">
        <w:t xml:space="preserve"> (1932)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0E29"/>
    <w:multiLevelType w:val="hybridMultilevel"/>
    <w:tmpl w:val="8ACC16C2"/>
    <w:lvl w:ilvl="0" w:tplc="CD98F6E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662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A2A"/>
    <w:rsid w:val="000025E6"/>
    <w:rsid w:val="00013533"/>
    <w:rsid w:val="00021B11"/>
    <w:rsid w:val="0002520F"/>
    <w:rsid w:val="00025DB6"/>
    <w:rsid w:val="00033097"/>
    <w:rsid w:val="00054ED7"/>
    <w:rsid w:val="00070E2C"/>
    <w:rsid w:val="00072D97"/>
    <w:rsid w:val="00073BC4"/>
    <w:rsid w:val="00077326"/>
    <w:rsid w:val="0009513E"/>
    <w:rsid w:val="000A1630"/>
    <w:rsid w:val="000A7D6E"/>
    <w:rsid w:val="000D28D1"/>
    <w:rsid w:val="000E2B69"/>
    <w:rsid w:val="00101354"/>
    <w:rsid w:val="00103D0B"/>
    <w:rsid w:val="00112D82"/>
    <w:rsid w:val="001154A1"/>
    <w:rsid w:val="00136123"/>
    <w:rsid w:val="001370FF"/>
    <w:rsid w:val="00141AE4"/>
    <w:rsid w:val="00144B90"/>
    <w:rsid w:val="0015331E"/>
    <w:rsid w:val="00156BA7"/>
    <w:rsid w:val="00162817"/>
    <w:rsid w:val="0016789C"/>
    <w:rsid w:val="00171AE9"/>
    <w:rsid w:val="00183A3C"/>
    <w:rsid w:val="001A2828"/>
    <w:rsid w:val="001B7309"/>
    <w:rsid w:val="001C2744"/>
    <w:rsid w:val="001C316A"/>
    <w:rsid w:val="001C5513"/>
    <w:rsid w:val="001C572B"/>
    <w:rsid w:val="001D3974"/>
    <w:rsid w:val="001E0CBC"/>
    <w:rsid w:val="001F3249"/>
    <w:rsid w:val="00200B80"/>
    <w:rsid w:val="00203470"/>
    <w:rsid w:val="0021336C"/>
    <w:rsid w:val="0022486A"/>
    <w:rsid w:val="0023003C"/>
    <w:rsid w:val="00240806"/>
    <w:rsid w:val="00241FC9"/>
    <w:rsid w:val="002432AC"/>
    <w:rsid w:val="0024620D"/>
    <w:rsid w:val="002506AB"/>
    <w:rsid w:val="0025264F"/>
    <w:rsid w:val="00281B00"/>
    <w:rsid w:val="002859AE"/>
    <w:rsid w:val="002910CC"/>
    <w:rsid w:val="00295F32"/>
    <w:rsid w:val="002A7DC1"/>
    <w:rsid w:val="002B4E81"/>
    <w:rsid w:val="002B5FFE"/>
    <w:rsid w:val="002D0A72"/>
    <w:rsid w:val="002E0B2B"/>
    <w:rsid w:val="002F3A4D"/>
    <w:rsid w:val="00304A84"/>
    <w:rsid w:val="00304FBD"/>
    <w:rsid w:val="003143B3"/>
    <w:rsid w:val="00324CA4"/>
    <w:rsid w:val="003446A1"/>
    <w:rsid w:val="00357299"/>
    <w:rsid w:val="0037334C"/>
    <w:rsid w:val="003C2371"/>
    <w:rsid w:val="003D3C15"/>
    <w:rsid w:val="003D4590"/>
    <w:rsid w:val="003E3A2A"/>
    <w:rsid w:val="00400D09"/>
    <w:rsid w:val="0040485B"/>
    <w:rsid w:val="004149FD"/>
    <w:rsid w:val="0042134B"/>
    <w:rsid w:val="00421BE7"/>
    <w:rsid w:val="00424FE6"/>
    <w:rsid w:val="004307AE"/>
    <w:rsid w:val="004314E4"/>
    <w:rsid w:val="00432EE9"/>
    <w:rsid w:val="00441203"/>
    <w:rsid w:val="004420E1"/>
    <w:rsid w:val="004476A1"/>
    <w:rsid w:val="004476D6"/>
    <w:rsid w:val="004564D4"/>
    <w:rsid w:val="00456FDE"/>
    <w:rsid w:val="00471BE4"/>
    <w:rsid w:val="00474C92"/>
    <w:rsid w:val="00483403"/>
    <w:rsid w:val="004863A6"/>
    <w:rsid w:val="00491387"/>
    <w:rsid w:val="00494693"/>
    <w:rsid w:val="004B3FD9"/>
    <w:rsid w:val="004B5FBD"/>
    <w:rsid w:val="004C6448"/>
    <w:rsid w:val="004D0D30"/>
    <w:rsid w:val="004D2AA8"/>
    <w:rsid w:val="004D36DF"/>
    <w:rsid w:val="004D509D"/>
    <w:rsid w:val="004D536A"/>
    <w:rsid w:val="004E2A81"/>
    <w:rsid w:val="004F2292"/>
    <w:rsid w:val="00503D9C"/>
    <w:rsid w:val="00504B06"/>
    <w:rsid w:val="00511C69"/>
    <w:rsid w:val="00526BEB"/>
    <w:rsid w:val="00527383"/>
    <w:rsid w:val="00536EDB"/>
    <w:rsid w:val="005457F8"/>
    <w:rsid w:val="005468DE"/>
    <w:rsid w:val="00553F0D"/>
    <w:rsid w:val="005541F3"/>
    <w:rsid w:val="00555F68"/>
    <w:rsid w:val="00560AE5"/>
    <w:rsid w:val="00561808"/>
    <w:rsid w:val="00566654"/>
    <w:rsid w:val="00580110"/>
    <w:rsid w:val="0058133B"/>
    <w:rsid w:val="00582B1A"/>
    <w:rsid w:val="00583207"/>
    <w:rsid w:val="005A4436"/>
    <w:rsid w:val="005B1CED"/>
    <w:rsid w:val="005B21CA"/>
    <w:rsid w:val="005C3622"/>
    <w:rsid w:val="005C5A44"/>
    <w:rsid w:val="005D4481"/>
    <w:rsid w:val="005E6C54"/>
    <w:rsid w:val="005E7BD8"/>
    <w:rsid w:val="006028AC"/>
    <w:rsid w:val="00603CB7"/>
    <w:rsid w:val="0060622D"/>
    <w:rsid w:val="00606BC8"/>
    <w:rsid w:val="00626A6E"/>
    <w:rsid w:val="00636866"/>
    <w:rsid w:val="00644457"/>
    <w:rsid w:val="00653B56"/>
    <w:rsid w:val="006550BA"/>
    <w:rsid w:val="006561A6"/>
    <w:rsid w:val="00661BDF"/>
    <w:rsid w:val="0066520E"/>
    <w:rsid w:val="0067076B"/>
    <w:rsid w:val="006774F4"/>
    <w:rsid w:val="006800BC"/>
    <w:rsid w:val="0068191E"/>
    <w:rsid w:val="00684C29"/>
    <w:rsid w:val="006870A1"/>
    <w:rsid w:val="006935A6"/>
    <w:rsid w:val="006A1F7C"/>
    <w:rsid w:val="006C506F"/>
    <w:rsid w:val="006D55A6"/>
    <w:rsid w:val="006E2C34"/>
    <w:rsid w:val="006E64CC"/>
    <w:rsid w:val="006F3AF0"/>
    <w:rsid w:val="0071496D"/>
    <w:rsid w:val="00723168"/>
    <w:rsid w:val="0072378E"/>
    <w:rsid w:val="007309AC"/>
    <w:rsid w:val="0073247E"/>
    <w:rsid w:val="0074194E"/>
    <w:rsid w:val="00742C51"/>
    <w:rsid w:val="00747FA6"/>
    <w:rsid w:val="00754A6E"/>
    <w:rsid w:val="0075610E"/>
    <w:rsid w:val="00764A3F"/>
    <w:rsid w:val="00764D35"/>
    <w:rsid w:val="007676C6"/>
    <w:rsid w:val="00771713"/>
    <w:rsid w:val="0078607E"/>
    <w:rsid w:val="007A2CF3"/>
    <w:rsid w:val="007B56A0"/>
    <w:rsid w:val="007D6566"/>
    <w:rsid w:val="007E2386"/>
    <w:rsid w:val="008039B1"/>
    <w:rsid w:val="00825794"/>
    <w:rsid w:val="0083085B"/>
    <w:rsid w:val="00835F29"/>
    <w:rsid w:val="00841B6A"/>
    <w:rsid w:val="00845A41"/>
    <w:rsid w:val="008467EF"/>
    <w:rsid w:val="00856862"/>
    <w:rsid w:val="008603C7"/>
    <w:rsid w:val="008800F0"/>
    <w:rsid w:val="00886933"/>
    <w:rsid w:val="0089011C"/>
    <w:rsid w:val="00890402"/>
    <w:rsid w:val="00892240"/>
    <w:rsid w:val="008B6565"/>
    <w:rsid w:val="008C3898"/>
    <w:rsid w:val="008D3835"/>
    <w:rsid w:val="008D7006"/>
    <w:rsid w:val="008D72F1"/>
    <w:rsid w:val="0090082B"/>
    <w:rsid w:val="00900F1E"/>
    <w:rsid w:val="009018CB"/>
    <w:rsid w:val="009066D0"/>
    <w:rsid w:val="009165CB"/>
    <w:rsid w:val="00923477"/>
    <w:rsid w:val="00923CF8"/>
    <w:rsid w:val="00926FEF"/>
    <w:rsid w:val="009301DE"/>
    <w:rsid w:val="00944EAE"/>
    <w:rsid w:val="00956C4D"/>
    <w:rsid w:val="00964326"/>
    <w:rsid w:val="00966C4E"/>
    <w:rsid w:val="009714C2"/>
    <w:rsid w:val="00992493"/>
    <w:rsid w:val="009A2696"/>
    <w:rsid w:val="009B1403"/>
    <w:rsid w:val="009B67AE"/>
    <w:rsid w:val="009C01A3"/>
    <w:rsid w:val="009C7E34"/>
    <w:rsid w:val="009D0810"/>
    <w:rsid w:val="009D4DDC"/>
    <w:rsid w:val="009E271E"/>
    <w:rsid w:val="009E76A2"/>
    <w:rsid w:val="009F1492"/>
    <w:rsid w:val="00A01281"/>
    <w:rsid w:val="00A056F0"/>
    <w:rsid w:val="00A066E2"/>
    <w:rsid w:val="00A149C7"/>
    <w:rsid w:val="00A465F1"/>
    <w:rsid w:val="00A46FB4"/>
    <w:rsid w:val="00A626B2"/>
    <w:rsid w:val="00A62D8C"/>
    <w:rsid w:val="00A66A0B"/>
    <w:rsid w:val="00A72003"/>
    <w:rsid w:val="00A72295"/>
    <w:rsid w:val="00A9737F"/>
    <w:rsid w:val="00AC628E"/>
    <w:rsid w:val="00AD2E68"/>
    <w:rsid w:val="00AD4E17"/>
    <w:rsid w:val="00AF2514"/>
    <w:rsid w:val="00AF3802"/>
    <w:rsid w:val="00B0029D"/>
    <w:rsid w:val="00B07CC1"/>
    <w:rsid w:val="00B10BF0"/>
    <w:rsid w:val="00B120D8"/>
    <w:rsid w:val="00B124BF"/>
    <w:rsid w:val="00B12868"/>
    <w:rsid w:val="00B13ADA"/>
    <w:rsid w:val="00B2011E"/>
    <w:rsid w:val="00B318E6"/>
    <w:rsid w:val="00B343AD"/>
    <w:rsid w:val="00B43245"/>
    <w:rsid w:val="00B55C02"/>
    <w:rsid w:val="00B63BA3"/>
    <w:rsid w:val="00B63D94"/>
    <w:rsid w:val="00B64016"/>
    <w:rsid w:val="00B809CE"/>
    <w:rsid w:val="00B8772F"/>
    <w:rsid w:val="00B90705"/>
    <w:rsid w:val="00B930D0"/>
    <w:rsid w:val="00BA7AB3"/>
    <w:rsid w:val="00BB2EF9"/>
    <w:rsid w:val="00BB547E"/>
    <w:rsid w:val="00BB5A13"/>
    <w:rsid w:val="00BC2A48"/>
    <w:rsid w:val="00BD2209"/>
    <w:rsid w:val="00BE352C"/>
    <w:rsid w:val="00BE690D"/>
    <w:rsid w:val="00BF3910"/>
    <w:rsid w:val="00C01513"/>
    <w:rsid w:val="00C11290"/>
    <w:rsid w:val="00C27BE8"/>
    <w:rsid w:val="00C4110F"/>
    <w:rsid w:val="00C621F2"/>
    <w:rsid w:val="00C74A11"/>
    <w:rsid w:val="00C825E0"/>
    <w:rsid w:val="00CC03E4"/>
    <w:rsid w:val="00CC3229"/>
    <w:rsid w:val="00CC68E9"/>
    <w:rsid w:val="00CC75EB"/>
    <w:rsid w:val="00CD5F36"/>
    <w:rsid w:val="00CE4AF8"/>
    <w:rsid w:val="00CF50DB"/>
    <w:rsid w:val="00D06E02"/>
    <w:rsid w:val="00D172CF"/>
    <w:rsid w:val="00D277DB"/>
    <w:rsid w:val="00D30128"/>
    <w:rsid w:val="00D747A4"/>
    <w:rsid w:val="00D84DAF"/>
    <w:rsid w:val="00D87480"/>
    <w:rsid w:val="00DA3CA1"/>
    <w:rsid w:val="00DC0FD9"/>
    <w:rsid w:val="00DF68F5"/>
    <w:rsid w:val="00DF757E"/>
    <w:rsid w:val="00E0626E"/>
    <w:rsid w:val="00E07079"/>
    <w:rsid w:val="00E224A6"/>
    <w:rsid w:val="00E351FF"/>
    <w:rsid w:val="00E52486"/>
    <w:rsid w:val="00E717E2"/>
    <w:rsid w:val="00E77F71"/>
    <w:rsid w:val="00E8339B"/>
    <w:rsid w:val="00E9260C"/>
    <w:rsid w:val="00EA1425"/>
    <w:rsid w:val="00EA538B"/>
    <w:rsid w:val="00EB1EF2"/>
    <w:rsid w:val="00EB29B7"/>
    <w:rsid w:val="00EB3B20"/>
    <w:rsid w:val="00EB6964"/>
    <w:rsid w:val="00EC261B"/>
    <w:rsid w:val="00EE48A2"/>
    <w:rsid w:val="00F016FB"/>
    <w:rsid w:val="00F0520B"/>
    <w:rsid w:val="00F0647A"/>
    <w:rsid w:val="00F066D1"/>
    <w:rsid w:val="00F23AD6"/>
    <w:rsid w:val="00F750C7"/>
    <w:rsid w:val="00F91051"/>
    <w:rsid w:val="00F9650E"/>
    <w:rsid w:val="00FB1BB7"/>
    <w:rsid w:val="00FB38A9"/>
    <w:rsid w:val="00FB4B54"/>
    <w:rsid w:val="00FB6AF3"/>
    <w:rsid w:val="00FC1777"/>
    <w:rsid w:val="00FC28AC"/>
    <w:rsid w:val="00FD2B20"/>
    <w:rsid w:val="00FD3ADA"/>
    <w:rsid w:val="00FE2B41"/>
    <w:rsid w:val="00FF0E2F"/>
    <w:rsid w:val="09579E93"/>
    <w:rsid w:val="20BB2042"/>
    <w:rsid w:val="211FC25B"/>
    <w:rsid w:val="2294C678"/>
    <w:rsid w:val="23177623"/>
    <w:rsid w:val="266F3A5C"/>
    <w:rsid w:val="27011A43"/>
    <w:rsid w:val="27AA6789"/>
    <w:rsid w:val="2C6D7E5C"/>
    <w:rsid w:val="2D36E8F8"/>
    <w:rsid w:val="348AEFD4"/>
    <w:rsid w:val="3C84E30D"/>
    <w:rsid w:val="457F69E2"/>
    <w:rsid w:val="46FA336B"/>
    <w:rsid w:val="48FEC3AB"/>
    <w:rsid w:val="4939F2FE"/>
    <w:rsid w:val="49BB20F5"/>
    <w:rsid w:val="4A42B1FA"/>
    <w:rsid w:val="4E9CED0E"/>
    <w:rsid w:val="519075F4"/>
    <w:rsid w:val="560FE2F8"/>
    <w:rsid w:val="5AC1062D"/>
    <w:rsid w:val="753B15FC"/>
    <w:rsid w:val="7845172E"/>
    <w:rsid w:val="79A00CB9"/>
    <w:rsid w:val="7C39AC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C3A2F1"/>
  <w15:chartTrackingRefBased/>
  <w15:docId w15:val="{BD6A3967-FB4F-45D7-B46D-E6C8EC87B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A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A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A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A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A2A"/>
    <w:rPr>
      <w:rFonts w:eastAsiaTheme="majorEastAsia" w:cstheme="majorBidi"/>
      <w:color w:val="272727" w:themeColor="text1" w:themeTint="D8"/>
    </w:rPr>
  </w:style>
  <w:style w:type="paragraph" w:styleId="Title">
    <w:name w:val="Title"/>
    <w:basedOn w:val="Normal"/>
    <w:next w:val="Normal"/>
    <w:link w:val="TitleChar"/>
    <w:uiPriority w:val="10"/>
    <w:qFormat/>
    <w:rsid w:val="003E3A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A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A2A"/>
    <w:pPr>
      <w:spacing w:before="160"/>
      <w:jc w:val="center"/>
    </w:pPr>
    <w:rPr>
      <w:i/>
      <w:iCs/>
      <w:color w:val="404040" w:themeColor="text1" w:themeTint="BF"/>
    </w:rPr>
  </w:style>
  <w:style w:type="character" w:customStyle="1" w:styleId="QuoteChar">
    <w:name w:val="Quote Char"/>
    <w:basedOn w:val="DefaultParagraphFont"/>
    <w:link w:val="Quote"/>
    <w:uiPriority w:val="29"/>
    <w:rsid w:val="003E3A2A"/>
    <w:rPr>
      <w:i/>
      <w:iCs/>
      <w:color w:val="404040" w:themeColor="text1" w:themeTint="BF"/>
    </w:rPr>
  </w:style>
  <w:style w:type="paragraph" w:styleId="ListParagraph">
    <w:name w:val="List Paragraph"/>
    <w:basedOn w:val="Normal"/>
    <w:uiPriority w:val="34"/>
    <w:qFormat/>
    <w:rsid w:val="003E3A2A"/>
    <w:pPr>
      <w:ind w:left="720"/>
      <w:contextualSpacing/>
    </w:pPr>
  </w:style>
  <w:style w:type="character" w:styleId="IntenseEmphasis">
    <w:name w:val="Intense Emphasis"/>
    <w:basedOn w:val="DefaultParagraphFont"/>
    <w:uiPriority w:val="21"/>
    <w:qFormat/>
    <w:rsid w:val="003E3A2A"/>
    <w:rPr>
      <w:i/>
      <w:iCs/>
      <w:color w:val="0F4761" w:themeColor="accent1" w:themeShade="BF"/>
    </w:rPr>
  </w:style>
  <w:style w:type="paragraph" w:styleId="IntenseQuote">
    <w:name w:val="Intense Quote"/>
    <w:basedOn w:val="Normal"/>
    <w:next w:val="Normal"/>
    <w:link w:val="IntenseQuoteChar"/>
    <w:uiPriority w:val="30"/>
    <w:qFormat/>
    <w:rsid w:val="003E3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A2A"/>
    <w:rPr>
      <w:i/>
      <w:iCs/>
      <w:color w:val="0F4761" w:themeColor="accent1" w:themeShade="BF"/>
    </w:rPr>
  </w:style>
  <w:style w:type="character" w:styleId="IntenseReference">
    <w:name w:val="Intense Reference"/>
    <w:basedOn w:val="DefaultParagraphFont"/>
    <w:uiPriority w:val="32"/>
    <w:qFormat/>
    <w:rsid w:val="003E3A2A"/>
    <w:rPr>
      <w:b/>
      <w:bCs/>
      <w:smallCaps/>
      <w:color w:val="0F4761" w:themeColor="accent1" w:themeShade="BF"/>
      <w:spacing w:val="5"/>
    </w:rPr>
  </w:style>
  <w:style w:type="paragraph" w:styleId="FootnoteText">
    <w:name w:val="footnote text"/>
    <w:basedOn w:val="Normal"/>
    <w:link w:val="FootnoteTextChar"/>
    <w:uiPriority w:val="99"/>
    <w:semiHidden/>
    <w:unhideWhenUsed/>
    <w:rsid w:val="008904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0402"/>
    <w:rPr>
      <w:sz w:val="20"/>
      <w:szCs w:val="20"/>
    </w:rPr>
  </w:style>
  <w:style w:type="character" w:styleId="FootnoteReference">
    <w:name w:val="footnote reference"/>
    <w:basedOn w:val="DefaultParagraphFont"/>
    <w:uiPriority w:val="99"/>
    <w:semiHidden/>
    <w:unhideWhenUsed/>
    <w:rsid w:val="00890402"/>
    <w:rPr>
      <w:vertAlign w:val="superscript"/>
    </w:rPr>
  </w:style>
  <w:style w:type="character" w:styleId="Hyperlink">
    <w:name w:val="Hyperlink"/>
    <w:basedOn w:val="DefaultParagraphFont"/>
    <w:uiPriority w:val="99"/>
    <w:unhideWhenUsed/>
    <w:rsid w:val="00F066D1"/>
    <w:rPr>
      <w:color w:val="467886" w:themeColor="hyperlink"/>
      <w:u w:val="single"/>
    </w:rPr>
  </w:style>
  <w:style w:type="character" w:styleId="UnresolvedMention">
    <w:name w:val="Unresolved Mention"/>
    <w:basedOn w:val="DefaultParagraphFont"/>
    <w:uiPriority w:val="99"/>
    <w:semiHidden/>
    <w:unhideWhenUsed/>
    <w:rsid w:val="00F066D1"/>
    <w:rPr>
      <w:color w:val="605E5C"/>
      <w:shd w:val="clear" w:color="auto" w:fill="E1DFDD"/>
    </w:rPr>
  </w:style>
  <w:style w:type="paragraph" w:styleId="Header">
    <w:name w:val="header"/>
    <w:basedOn w:val="Normal"/>
    <w:link w:val="HeaderChar"/>
    <w:uiPriority w:val="99"/>
    <w:semiHidden/>
    <w:unhideWhenUsed/>
    <w:rsid w:val="00103D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09CE"/>
  </w:style>
  <w:style w:type="paragraph" w:styleId="Footer">
    <w:name w:val="footer"/>
    <w:basedOn w:val="Normal"/>
    <w:link w:val="FooterChar"/>
    <w:uiPriority w:val="99"/>
    <w:semiHidden/>
    <w:unhideWhenUsed/>
    <w:rsid w:val="00103D0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809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2307/317148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93/oso/9780198829591.003.000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09612025.2015.1114318"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jstor.org/stable/29813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3415d2da2f78a4af43c5a008b2848be">
  <xsd:schema xmlns:xsd="http://www.w3.org/2001/XMLSchema" xmlns:xs="http://www.w3.org/2001/XMLSchema" xmlns:p="http://schemas.microsoft.com/office/2006/metadata/properties" xmlns:ns3="0085e1a2-9cbf-4b92-866b-21f3c89040b6" targetNamespace="http://schemas.microsoft.com/office/2006/metadata/properties" ma:root="true" ma:fieldsID="34204d9e6ec510ac400337f2afbbfe7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B31E6E-CF17-4DDF-B542-FC8C33912CA5}">
  <ds:schemaRefs>
    <ds:schemaRef ds:uri="http://schemas.openxmlformats.org/officeDocument/2006/bibliography"/>
  </ds:schemaRefs>
</ds:datastoreItem>
</file>

<file path=customXml/itemProps2.xml><?xml version="1.0" encoding="utf-8"?>
<ds:datastoreItem xmlns:ds="http://schemas.openxmlformats.org/officeDocument/2006/customXml" ds:itemID="{70B8454D-190E-47F6-96CD-EECE41E40A56}">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3D938E67-2DB6-4F96-96E8-8CA97B8BAA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E6EC9-2749-45CE-B749-68DAF15E48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1648</Words>
  <Characters>9397</Characters>
  <Application>Microsoft Office Word</Application>
  <DocSecurity>4</DocSecurity>
  <Lines>78</Lines>
  <Paragraphs>22</Paragraphs>
  <ScaleCrop>false</ScaleCrop>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Ian Showell</cp:lastModifiedBy>
  <cp:revision>274</cp:revision>
  <dcterms:created xsi:type="dcterms:W3CDTF">2025-11-05T23:24:00Z</dcterms:created>
  <dcterms:modified xsi:type="dcterms:W3CDTF">2026-04-22T12:51:00Z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