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FB2DFA1" w:rsidP="0FB2DFA1" w:rsidRDefault="0FB2DFA1" w14:paraId="27FDD684" w14:textId="6B340A7F">
      <w:pPr>
        <w:rPr>
          <w:rFonts w:ascii="Calibri" w:hAnsi="Calibri" w:eastAsia="Calibri" w:cs="Calibri"/>
          <w:b w:val="1"/>
          <w:bCs w:val="1"/>
          <w:noProof w:val="0"/>
          <w:color w:val="0E101A"/>
          <w:sz w:val="22"/>
          <w:szCs w:val="22"/>
          <w:u w:val="single"/>
          <w:lang w:val="en-US"/>
        </w:rPr>
      </w:pPr>
    </w:p>
    <w:p w:rsidR="0FB2DFA1" w:rsidP="0FB2DFA1" w:rsidRDefault="0FB2DFA1" w14:paraId="4A14272E" w14:textId="423F5FFB">
      <w:pPr>
        <w:rPr>
          <w:rFonts w:ascii="Calibri" w:hAnsi="Calibri" w:eastAsia="Calibri" w:cs="Calibri"/>
          <w:b w:val="1"/>
          <w:bCs w:val="1"/>
          <w:noProof w:val="0"/>
          <w:color w:val="0E101A"/>
          <w:sz w:val="22"/>
          <w:szCs w:val="22"/>
          <w:u w:val="single"/>
          <w:lang w:val="en-US"/>
        </w:rPr>
      </w:pPr>
    </w:p>
    <w:p w:rsidR="0FB2DFA1" w:rsidP="0FB2DFA1" w:rsidRDefault="0FB2DFA1" w14:paraId="79606ABD" w14:textId="08FD270B">
      <w:pPr>
        <w:rPr>
          <w:rFonts w:ascii="Calibri" w:hAnsi="Calibri" w:eastAsia="Calibri" w:cs="Calibri"/>
          <w:b w:val="1"/>
          <w:bCs w:val="1"/>
          <w:noProof w:val="0"/>
          <w:color w:val="0E101A"/>
          <w:sz w:val="22"/>
          <w:szCs w:val="22"/>
          <w:u w:val="single"/>
          <w:lang w:val="en-US"/>
        </w:rPr>
      </w:pPr>
      <w:r w:rsidRPr="0FB2DFA1" w:rsidR="0FB2DFA1">
        <w:rPr>
          <w:rFonts w:ascii="Calibri" w:hAnsi="Calibri" w:eastAsia="Calibri" w:cs="Calibri"/>
          <w:b w:val="1"/>
          <w:bCs w:val="1"/>
          <w:noProof w:val="0"/>
          <w:color w:val="0E101A"/>
          <w:sz w:val="28"/>
          <w:szCs w:val="28"/>
          <w:u w:val="single"/>
          <w:lang w:val="en-US"/>
        </w:rPr>
        <w:t>Name: Samiya Emma Alexander</w:t>
      </w:r>
    </w:p>
    <w:p w:rsidR="0FB2DFA1" w:rsidP="0FB2DFA1" w:rsidRDefault="0FB2DFA1" w14:paraId="331B283F" w14:textId="2775D457">
      <w:pPr>
        <w:pStyle w:val="Normal"/>
        <w:ind w:left="0"/>
        <w:rPr>
          <w:rFonts w:ascii="Calibri" w:hAnsi="Calibri" w:eastAsia="Calibri" w:cs="Calibri"/>
          <w:b w:val="0"/>
          <w:bCs w:val="0"/>
          <w:i w:val="0"/>
          <w:iCs w:val="0"/>
          <w:caps w:val="0"/>
          <w:smallCaps w:val="0"/>
          <w:strike w:val="0"/>
          <w:dstrike w:val="0"/>
          <w:noProof w:val="0"/>
          <w:color w:val="auto"/>
          <w:sz w:val="28"/>
          <w:szCs w:val="28"/>
          <w:u w:val="none"/>
          <w:lang w:val="en-US"/>
        </w:rPr>
      </w:pPr>
      <w:r w:rsidRPr="0FB2DFA1" w:rsidR="0FB2DFA1">
        <w:rPr>
          <w:rFonts w:ascii="Calibri" w:hAnsi="Calibri" w:eastAsia="Calibri" w:cs="Calibri"/>
          <w:b w:val="1"/>
          <w:bCs w:val="1"/>
          <w:noProof w:val="0"/>
          <w:color w:val="0E101A"/>
          <w:sz w:val="28"/>
          <w:szCs w:val="28"/>
          <w:u w:val="single"/>
          <w:lang w:val="en-US"/>
        </w:rPr>
        <w:t>Module:</w:t>
      </w:r>
      <w:r w:rsidRPr="0FB2DFA1" w:rsidR="0FB2DFA1">
        <w:rPr>
          <w:rFonts w:ascii="Calibri" w:hAnsi="Calibri" w:eastAsia="Calibri" w:cs="Calibri"/>
          <w:b w:val="0"/>
          <w:bCs w:val="0"/>
          <w:noProof w:val="0"/>
          <w:color w:val="auto"/>
          <w:sz w:val="28"/>
          <w:szCs w:val="28"/>
          <w:u w:val="single"/>
          <w:lang w:val="en-US"/>
        </w:rPr>
        <w:t xml:space="preserve"> </w:t>
      </w:r>
      <w:hyperlink r:id="Re74de3b25ce9474a">
        <w:r w:rsidRPr="0FB2DFA1" w:rsidR="0FB2DFA1">
          <w:rPr>
            <w:rStyle w:val="Hyperlink"/>
            <w:rFonts w:ascii="Calibri" w:hAnsi="Calibri" w:eastAsia="Calibri" w:cs="Calibri"/>
            <w:b w:val="1"/>
            <w:bCs w:val="1"/>
            <w:i w:val="0"/>
            <w:iCs w:val="0"/>
            <w:caps w:val="0"/>
            <w:smallCaps w:val="0"/>
            <w:strike w:val="0"/>
            <w:dstrike w:val="0"/>
            <w:noProof w:val="0"/>
            <w:color w:val="auto"/>
            <w:sz w:val="28"/>
            <w:szCs w:val="28"/>
            <w:lang w:val="en-US"/>
          </w:rPr>
          <w:t>ECEY4003C</w:t>
        </w:r>
      </w:hyperlink>
    </w:p>
    <w:p w:rsidR="0FB2DFA1" w:rsidP="0FB2DFA1" w:rsidRDefault="0FB2DFA1" w14:paraId="2763B3EC" w14:textId="08F48783">
      <w:pPr>
        <w:pStyle w:val="Normal"/>
        <w:ind w:left="0"/>
        <w:rPr>
          <w:rFonts w:ascii="Calibri" w:hAnsi="Calibri" w:eastAsia="Calibri" w:cs="Calibri"/>
          <w:b w:val="1"/>
          <w:bCs w:val="1"/>
          <w:i w:val="0"/>
          <w:iCs w:val="0"/>
          <w:caps w:val="0"/>
          <w:smallCaps w:val="0"/>
          <w:strike w:val="0"/>
          <w:dstrike w:val="0"/>
          <w:noProof w:val="0"/>
          <w:color w:val="auto"/>
          <w:sz w:val="28"/>
          <w:szCs w:val="28"/>
          <w:lang w:val="en-US"/>
        </w:rPr>
      </w:pPr>
      <w:r w:rsidRPr="0FB2DFA1" w:rsidR="0FB2DFA1">
        <w:rPr>
          <w:rFonts w:ascii="Calibri" w:hAnsi="Calibri" w:eastAsia="Calibri" w:cs="Calibri"/>
          <w:b w:val="1"/>
          <w:bCs w:val="1"/>
          <w:i w:val="0"/>
          <w:iCs w:val="0"/>
          <w:caps w:val="0"/>
          <w:smallCaps w:val="0"/>
          <w:strike w:val="0"/>
          <w:dstrike w:val="0"/>
          <w:noProof w:val="0"/>
          <w:color w:val="auto"/>
          <w:sz w:val="28"/>
          <w:szCs w:val="28"/>
          <w:lang w:val="en-US"/>
        </w:rPr>
        <w:t xml:space="preserve">Children’s play: Theory and practice </w:t>
      </w:r>
    </w:p>
    <w:p w:rsidR="0FB2DFA1" w:rsidP="0FB2DFA1" w:rsidRDefault="0FB2DFA1" w14:paraId="2427CEC8" w14:textId="68575515">
      <w:pPr>
        <w:pStyle w:val="Normal"/>
        <w:ind w:left="0"/>
        <w:rPr>
          <w:rFonts w:ascii="Calibri" w:hAnsi="Calibri" w:eastAsia="Calibri" w:cs="Calibri"/>
          <w:b w:val="1"/>
          <w:bCs w:val="1"/>
          <w:i w:val="0"/>
          <w:iCs w:val="0"/>
          <w:caps w:val="0"/>
          <w:smallCaps w:val="0"/>
          <w:strike w:val="0"/>
          <w:dstrike w:val="0"/>
          <w:noProof w:val="0"/>
          <w:color w:val="auto"/>
          <w:sz w:val="28"/>
          <w:szCs w:val="28"/>
          <w:lang w:val="en-US"/>
        </w:rPr>
      </w:pPr>
      <w:r w:rsidRPr="0FB2DFA1" w:rsidR="0FB2DFA1">
        <w:rPr>
          <w:rFonts w:ascii="Calibri" w:hAnsi="Calibri" w:eastAsia="Calibri" w:cs="Calibri"/>
          <w:b w:val="1"/>
          <w:bCs w:val="1"/>
          <w:i w:val="0"/>
          <w:iCs w:val="0"/>
          <w:caps w:val="0"/>
          <w:smallCaps w:val="0"/>
          <w:strike w:val="0"/>
          <w:dstrike w:val="0"/>
          <w:noProof w:val="0"/>
          <w:color w:val="auto"/>
          <w:sz w:val="28"/>
          <w:szCs w:val="28"/>
          <w:lang w:val="en-US"/>
        </w:rPr>
        <w:t>Portfolio</w:t>
      </w:r>
    </w:p>
    <w:p w:rsidR="0FB2DFA1" w:rsidP="0FB2DFA1" w:rsidRDefault="0FB2DFA1" w14:paraId="1B470DD0" w14:textId="34E6D416">
      <w:pPr>
        <w:pStyle w:val="Normal"/>
        <w:rPr>
          <w:rFonts w:ascii="Calibri" w:hAnsi="Calibri" w:eastAsia="Calibri" w:cs="Calibri"/>
          <w:b w:val="1"/>
          <w:bCs w:val="1"/>
          <w:noProof w:val="0"/>
          <w:color w:val="0E101A"/>
          <w:sz w:val="28"/>
          <w:szCs w:val="28"/>
          <w:u w:val="single"/>
          <w:lang w:val="en-US"/>
        </w:rPr>
      </w:pPr>
      <w:r w:rsidRPr="0FB2DFA1" w:rsidR="0FB2DFA1">
        <w:rPr>
          <w:rFonts w:ascii="Calibri" w:hAnsi="Calibri" w:eastAsia="Calibri" w:cs="Calibri"/>
          <w:b w:val="1"/>
          <w:bCs w:val="1"/>
          <w:noProof w:val="0"/>
          <w:color w:val="0E101A"/>
          <w:sz w:val="28"/>
          <w:szCs w:val="28"/>
          <w:u w:val="single"/>
          <w:lang w:val="en-US"/>
        </w:rPr>
        <w:t xml:space="preserve"> </w:t>
      </w:r>
    </w:p>
    <w:p w:rsidR="0FB2DFA1" w:rsidP="0FB2DFA1" w:rsidRDefault="0FB2DFA1" w14:paraId="44A40C36" w14:textId="500B0161">
      <w:pPr>
        <w:rPr>
          <w:rFonts w:ascii="Calibri" w:hAnsi="Calibri" w:eastAsia="Calibri" w:cs="Calibri"/>
          <w:b w:val="1"/>
          <w:bCs w:val="1"/>
          <w:noProof w:val="0"/>
          <w:color w:val="0E101A"/>
          <w:sz w:val="22"/>
          <w:szCs w:val="22"/>
          <w:u w:val="single"/>
          <w:lang w:val="en-US"/>
        </w:rPr>
      </w:pPr>
    </w:p>
    <w:p w:rsidR="0FB2DFA1" w:rsidP="0FB2DFA1" w:rsidRDefault="0FB2DFA1" w14:paraId="77DE4936" w14:textId="5C33E5D0">
      <w:pPr>
        <w:rPr>
          <w:rFonts w:ascii="Calibri" w:hAnsi="Calibri" w:eastAsia="Calibri" w:cs="Calibri"/>
          <w:b w:val="1"/>
          <w:bCs w:val="1"/>
          <w:noProof w:val="0"/>
          <w:color w:val="0E101A"/>
          <w:sz w:val="22"/>
          <w:szCs w:val="22"/>
          <w:u w:val="single"/>
          <w:lang w:val="en-US"/>
        </w:rPr>
      </w:pPr>
    </w:p>
    <w:p w:rsidR="0FB2DFA1" w:rsidP="0FB2DFA1" w:rsidRDefault="0FB2DFA1" w14:paraId="1146C068" w14:textId="1AAB8A83">
      <w:pPr>
        <w:rPr>
          <w:rFonts w:ascii="Calibri" w:hAnsi="Calibri" w:eastAsia="Calibri" w:cs="Calibri"/>
          <w:b w:val="1"/>
          <w:bCs w:val="1"/>
          <w:noProof w:val="0"/>
          <w:color w:val="0E101A"/>
          <w:sz w:val="22"/>
          <w:szCs w:val="22"/>
          <w:u w:val="single"/>
          <w:lang w:val="en-US"/>
        </w:rPr>
      </w:pPr>
    </w:p>
    <w:p w:rsidR="0FB2DFA1" w:rsidP="0FB2DFA1" w:rsidRDefault="0FB2DFA1" w14:paraId="43ABFC17" w14:textId="2BB146C5">
      <w:pPr>
        <w:rPr>
          <w:rFonts w:ascii="Calibri" w:hAnsi="Calibri" w:eastAsia="Calibri" w:cs="Calibri"/>
          <w:b w:val="1"/>
          <w:bCs w:val="1"/>
          <w:noProof w:val="0"/>
          <w:color w:val="0E101A"/>
          <w:sz w:val="22"/>
          <w:szCs w:val="22"/>
          <w:u w:val="single"/>
          <w:lang w:val="en-US"/>
        </w:rPr>
      </w:pPr>
    </w:p>
    <w:p w:rsidR="0FB2DFA1" w:rsidP="0FB2DFA1" w:rsidRDefault="0FB2DFA1" w14:paraId="4C17736A" w14:textId="0C96884C">
      <w:pPr>
        <w:rPr>
          <w:rFonts w:ascii="Calibri" w:hAnsi="Calibri" w:eastAsia="Calibri" w:cs="Calibri"/>
          <w:b w:val="1"/>
          <w:bCs w:val="1"/>
          <w:noProof w:val="0"/>
          <w:color w:val="0E101A"/>
          <w:sz w:val="22"/>
          <w:szCs w:val="22"/>
          <w:u w:val="single"/>
          <w:lang w:val="en-US"/>
        </w:rPr>
      </w:pPr>
    </w:p>
    <w:p w:rsidR="0FB2DFA1" w:rsidP="0FB2DFA1" w:rsidRDefault="0FB2DFA1" w14:paraId="5441C9C0" w14:textId="0171446D">
      <w:pPr>
        <w:rPr>
          <w:rFonts w:ascii="Calibri" w:hAnsi="Calibri" w:eastAsia="Calibri" w:cs="Calibri"/>
          <w:b w:val="1"/>
          <w:bCs w:val="1"/>
          <w:noProof w:val="0"/>
          <w:color w:val="0E101A"/>
          <w:sz w:val="22"/>
          <w:szCs w:val="22"/>
          <w:u w:val="single"/>
          <w:lang w:val="en-US"/>
        </w:rPr>
      </w:pPr>
    </w:p>
    <w:p w:rsidR="0FB2DFA1" w:rsidP="0FB2DFA1" w:rsidRDefault="0FB2DFA1" w14:paraId="50B3327B" w14:textId="2A0140F7">
      <w:pPr>
        <w:rPr>
          <w:rFonts w:ascii="Calibri" w:hAnsi="Calibri" w:eastAsia="Calibri" w:cs="Calibri"/>
          <w:b w:val="1"/>
          <w:bCs w:val="1"/>
          <w:noProof w:val="0"/>
          <w:color w:val="0E101A"/>
          <w:sz w:val="22"/>
          <w:szCs w:val="22"/>
          <w:u w:val="single"/>
          <w:lang w:val="en-US"/>
        </w:rPr>
      </w:pPr>
    </w:p>
    <w:p w:rsidR="0FB2DFA1" w:rsidP="0FB2DFA1" w:rsidRDefault="0FB2DFA1" w14:paraId="0256FB08" w14:textId="39DEE3A1">
      <w:pPr>
        <w:rPr>
          <w:rFonts w:ascii="Calibri" w:hAnsi="Calibri" w:eastAsia="Calibri" w:cs="Calibri"/>
          <w:b w:val="1"/>
          <w:bCs w:val="1"/>
          <w:noProof w:val="0"/>
          <w:color w:val="0E101A"/>
          <w:sz w:val="22"/>
          <w:szCs w:val="22"/>
          <w:u w:val="single"/>
          <w:lang w:val="en-US"/>
        </w:rPr>
      </w:pPr>
    </w:p>
    <w:p w:rsidR="0FB2DFA1" w:rsidP="0FB2DFA1" w:rsidRDefault="0FB2DFA1" w14:paraId="723B7F3A" w14:textId="30D5028E">
      <w:pPr>
        <w:rPr>
          <w:rFonts w:ascii="Calibri" w:hAnsi="Calibri" w:eastAsia="Calibri" w:cs="Calibri"/>
          <w:b w:val="1"/>
          <w:bCs w:val="1"/>
          <w:noProof w:val="0"/>
          <w:color w:val="0E101A"/>
          <w:sz w:val="22"/>
          <w:szCs w:val="22"/>
          <w:u w:val="single"/>
          <w:lang w:val="en-US"/>
        </w:rPr>
      </w:pPr>
    </w:p>
    <w:p w:rsidR="0FB2DFA1" w:rsidP="0FB2DFA1" w:rsidRDefault="0FB2DFA1" w14:paraId="7E39EAF0" w14:textId="7DF96909">
      <w:pPr>
        <w:rPr>
          <w:rFonts w:ascii="Calibri" w:hAnsi="Calibri" w:eastAsia="Calibri" w:cs="Calibri"/>
          <w:b w:val="1"/>
          <w:bCs w:val="1"/>
          <w:noProof w:val="0"/>
          <w:color w:val="0E101A"/>
          <w:sz w:val="22"/>
          <w:szCs w:val="22"/>
          <w:u w:val="single"/>
          <w:lang w:val="en-US"/>
        </w:rPr>
      </w:pPr>
    </w:p>
    <w:p w:rsidR="0FB2DFA1" w:rsidP="0FB2DFA1" w:rsidRDefault="0FB2DFA1" w14:paraId="02AD7639" w14:textId="7E303186">
      <w:pPr>
        <w:rPr>
          <w:rFonts w:ascii="Calibri" w:hAnsi="Calibri" w:eastAsia="Calibri" w:cs="Calibri"/>
          <w:b w:val="1"/>
          <w:bCs w:val="1"/>
          <w:noProof w:val="0"/>
          <w:color w:val="0E101A"/>
          <w:sz w:val="22"/>
          <w:szCs w:val="22"/>
          <w:u w:val="single"/>
          <w:lang w:val="en-US"/>
        </w:rPr>
      </w:pPr>
    </w:p>
    <w:p w:rsidR="0FB2DFA1" w:rsidP="0FB2DFA1" w:rsidRDefault="0FB2DFA1" w14:paraId="1A886882" w14:textId="391439A3">
      <w:pPr>
        <w:rPr>
          <w:rFonts w:ascii="Calibri" w:hAnsi="Calibri" w:eastAsia="Calibri" w:cs="Calibri"/>
          <w:b w:val="1"/>
          <w:bCs w:val="1"/>
          <w:noProof w:val="0"/>
          <w:color w:val="0E101A"/>
          <w:sz w:val="22"/>
          <w:szCs w:val="22"/>
          <w:u w:val="single"/>
          <w:lang w:val="en-US"/>
        </w:rPr>
      </w:pPr>
    </w:p>
    <w:p w:rsidR="0FB2DFA1" w:rsidP="0FB2DFA1" w:rsidRDefault="0FB2DFA1" w14:paraId="78DEB4A8" w14:textId="30EA60FD">
      <w:pPr>
        <w:rPr>
          <w:rFonts w:ascii="Calibri" w:hAnsi="Calibri" w:eastAsia="Calibri" w:cs="Calibri"/>
          <w:b w:val="1"/>
          <w:bCs w:val="1"/>
          <w:noProof w:val="0"/>
          <w:color w:val="0E101A"/>
          <w:sz w:val="22"/>
          <w:szCs w:val="22"/>
          <w:u w:val="single"/>
          <w:lang w:val="en-US"/>
        </w:rPr>
      </w:pPr>
    </w:p>
    <w:p w:rsidR="0FB2DFA1" w:rsidP="0FB2DFA1" w:rsidRDefault="0FB2DFA1" w14:paraId="2A747ED6" w14:textId="3679D19E">
      <w:pPr>
        <w:rPr>
          <w:rFonts w:ascii="Calibri" w:hAnsi="Calibri" w:eastAsia="Calibri" w:cs="Calibri"/>
          <w:b w:val="1"/>
          <w:bCs w:val="1"/>
          <w:noProof w:val="0"/>
          <w:color w:val="0E101A"/>
          <w:sz w:val="22"/>
          <w:szCs w:val="22"/>
          <w:u w:val="single"/>
          <w:lang w:val="en-US"/>
        </w:rPr>
      </w:pPr>
    </w:p>
    <w:p w:rsidR="0FB2DFA1" w:rsidP="0FB2DFA1" w:rsidRDefault="0FB2DFA1" w14:paraId="6C2AEAFF" w14:textId="2DF4A561">
      <w:pPr>
        <w:rPr>
          <w:rFonts w:ascii="Calibri" w:hAnsi="Calibri" w:eastAsia="Calibri" w:cs="Calibri"/>
          <w:b w:val="1"/>
          <w:bCs w:val="1"/>
          <w:noProof w:val="0"/>
          <w:color w:val="0E101A"/>
          <w:sz w:val="22"/>
          <w:szCs w:val="22"/>
          <w:u w:val="single"/>
          <w:lang w:val="en-US"/>
        </w:rPr>
      </w:pPr>
    </w:p>
    <w:p w:rsidR="0FB2DFA1" w:rsidP="0FB2DFA1" w:rsidRDefault="0FB2DFA1" w14:paraId="44391BEF" w14:textId="4820814C">
      <w:pPr>
        <w:rPr>
          <w:rFonts w:ascii="Calibri" w:hAnsi="Calibri" w:eastAsia="Calibri" w:cs="Calibri"/>
          <w:b w:val="1"/>
          <w:bCs w:val="1"/>
          <w:noProof w:val="0"/>
          <w:color w:val="0E101A"/>
          <w:sz w:val="22"/>
          <w:szCs w:val="22"/>
          <w:u w:val="single"/>
          <w:lang w:val="en-US"/>
        </w:rPr>
      </w:pPr>
    </w:p>
    <w:p w:rsidR="0FB2DFA1" w:rsidP="0FB2DFA1" w:rsidRDefault="0FB2DFA1" w14:paraId="4E8CB605" w14:textId="17E256E6">
      <w:pPr>
        <w:rPr>
          <w:rFonts w:ascii="Calibri" w:hAnsi="Calibri" w:eastAsia="Calibri" w:cs="Calibri"/>
          <w:b w:val="1"/>
          <w:bCs w:val="1"/>
          <w:noProof w:val="0"/>
          <w:color w:val="0E101A"/>
          <w:sz w:val="22"/>
          <w:szCs w:val="22"/>
          <w:u w:val="single"/>
          <w:lang w:val="en-US"/>
        </w:rPr>
      </w:pPr>
    </w:p>
    <w:p w:rsidR="0FB2DFA1" w:rsidP="0FB2DFA1" w:rsidRDefault="0FB2DFA1" w14:paraId="14BC507A" w14:textId="263E9632">
      <w:pPr>
        <w:rPr>
          <w:rFonts w:ascii="Calibri" w:hAnsi="Calibri" w:eastAsia="Calibri" w:cs="Calibri"/>
          <w:b w:val="1"/>
          <w:bCs w:val="1"/>
          <w:noProof w:val="0"/>
          <w:color w:val="0E101A"/>
          <w:sz w:val="22"/>
          <w:szCs w:val="22"/>
          <w:u w:val="single"/>
          <w:lang w:val="en-US"/>
        </w:rPr>
      </w:pPr>
    </w:p>
    <w:p w:rsidR="0FB2DFA1" w:rsidP="0FB2DFA1" w:rsidRDefault="0FB2DFA1" w14:paraId="11F3B0AE" w14:textId="3E2D873B">
      <w:pPr>
        <w:rPr>
          <w:rFonts w:ascii="Calibri" w:hAnsi="Calibri" w:eastAsia="Calibri" w:cs="Calibri"/>
          <w:b w:val="1"/>
          <w:bCs w:val="1"/>
          <w:noProof w:val="0"/>
          <w:color w:val="0E101A"/>
          <w:sz w:val="22"/>
          <w:szCs w:val="22"/>
          <w:u w:val="single"/>
          <w:lang w:val="en-US"/>
        </w:rPr>
      </w:pPr>
    </w:p>
    <w:p w:rsidR="0FB2DFA1" w:rsidP="0FB2DFA1" w:rsidRDefault="0FB2DFA1" w14:paraId="1EAFEA4E" w14:textId="5D4FAE4B">
      <w:pPr>
        <w:rPr>
          <w:rFonts w:ascii="Calibri" w:hAnsi="Calibri" w:eastAsia="Calibri" w:cs="Calibri"/>
          <w:b w:val="1"/>
          <w:bCs w:val="1"/>
          <w:noProof w:val="0"/>
          <w:color w:val="0E101A"/>
          <w:sz w:val="22"/>
          <w:szCs w:val="22"/>
          <w:u w:val="single"/>
          <w:lang w:val="en-US"/>
        </w:rPr>
      </w:pPr>
    </w:p>
    <w:p w:rsidR="0FB2DFA1" w:rsidP="0FB2DFA1" w:rsidRDefault="0FB2DFA1" w14:paraId="4943855A" w14:textId="0FBB835A">
      <w:pPr>
        <w:rPr>
          <w:rFonts w:ascii="Calibri" w:hAnsi="Calibri" w:eastAsia="Calibri" w:cs="Calibri"/>
          <w:b w:val="1"/>
          <w:bCs w:val="1"/>
          <w:noProof w:val="0"/>
          <w:color w:val="0E101A"/>
          <w:sz w:val="22"/>
          <w:szCs w:val="22"/>
          <w:u w:val="single"/>
          <w:lang w:val="en-US"/>
        </w:rPr>
      </w:pPr>
    </w:p>
    <w:p w:rsidR="0FB2DFA1" w:rsidP="0FB2DFA1" w:rsidRDefault="0FB2DFA1" w14:paraId="605EC172" w14:textId="165A7477">
      <w:pPr>
        <w:rPr>
          <w:rFonts w:ascii="Calibri" w:hAnsi="Calibri" w:eastAsia="Calibri" w:cs="Calibri"/>
          <w:b w:val="1"/>
          <w:bCs w:val="1"/>
          <w:noProof w:val="0"/>
          <w:color w:val="0E101A"/>
          <w:sz w:val="22"/>
          <w:szCs w:val="22"/>
          <w:u w:val="single"/>
          <w:lang w:val="en-US"/>
        </w:rPr>
      </w:pPr>
    </w:p>
    <w:p w:rsidR="0FB2DFA1" w:rsidP="0FB2DFA1" w:rsidRDefault="0FB2DFA1" w14:paraId="2458D474" w14:textId="1F376D65">
      <w:pPr>
        <w:pStyle w:val="Normal"/>
        <w:rPr>
          <w:rFonts w:ascii="Calibri" w:hAnsi="Calibri" w:eastAsia="Calibri" w:cs="Calibri"/>
          <w:b w:val="1"/>
          <w:bCs w:val="1"/>
          <w:noProof w:val="0"/>
          <w:color w:val="0E101A"/>
          <w:sz w:val="22"/>
          <w:szCs w:val="22"/>
          <w:u w:val="single"/>
          <w:lang w:val="en-US"/>
        </w:rPr>
      </w:pPr>
      <w:r w:rsidRPr="0FB2DFA1" w:rsidR="0FB2DFA1">
        <w:rPr>
          <w:rFonts w:ascii="Calibri" w:hAnsi="Calibri" w:eastAsia="Calibri" w:cs="Calibri"/>
          <w:b w:val="1"/>
          <w:bCs w:val="1"/>
          <w:noProof w:val="0"/>
          <w:color w:val="0E101A"/>
          <w:sz w:val="22"/>
          <w:szCs w:val="22"/>
          <w:u w:val="single"/>
          <w:lang w:val="en-US"/>
        </w:rPr>
        <w:t>Table of content</w:t>
      </w:r>
    </w:p>
    <w:p w:rsidR="0FB2DFA1" w:rsidP="08E3A6D0" w:rsidRDefault="0FB2DFA1" w14:paraId="12AEEC12" w14:textId="04F2EF5A">
      <w:pPr>
        <w:pStyle w:val="Normal"/>
        <w:jc w:val="both"/>
        <w:rPr>
          <w:rFonts w:ascii="Times New Roman" w:hAnsi="Times New Roman" w:eastAsia="Times New Roman" w:cs="Times New Roman"/>
          <w:b w:val="1"/>
          <w:bCs w:val="1"/>
          <w:noProof w:val="0"/>
          <w:color w:val="0E101A"/>
          <w:sz w:val="24"/>
          <w:szCs w:val="24"/>
          <w:u w:val="single"/>
          <w:lang w:val="en-US"/>
        </w:rPr>
      </w:pPr>
      <w:r w:rsidRPr="08E3A6D0" w:rsidR="0FB2DFA1">
        <w:rPr>
          <w:rFonts w:ascii="Times New Roman" w:hAnsi="Times New Roman" w:eastAsia="Times New Roman" w:cs="Times New Roman"/>
          <w:b w:val="0"/>
          <w:bCs w:val="0"/>
          <w:noProof w:val="0"/>
          <w:color w:val="0E101A"/>
          <w:sz w:val="24"/>
          <w:szCs w:val="24"/>
          <w:u w:val="none"/>
          <w:lang w:val="en-US"/>
        </w:rPr>
        <w:t>Section 1</w:t>
      </w:r>
    </w:p>
    <w:p w:rsidR="0FB2DFA1" w:rsidP="08E3A6D0" w:rsidRDefault="0FB2DFA1" w14:paraId="3F21EE8B" w14:textId="5C090CBE">
      <w:pPr>
        <w:pStyle w:val="Normal"/>
        <w:jc w:val="both"/>
        <w:rPr>
          <w:rFonts w:ascii="Times New Roman" w:hAnsi="Times New Roman" w:eastAsia="Times New Roman" w:cs="Times New Roman"/>
          <w:b w:val="0"/>
          <w:bCs w:val="0"/>
          <w:noProof w:val="0"/>
          <w:color w:val="0E101A"/>
          <w:sz w:val="24"/>
          <w:szCs w:val="24"/>
          <w:u w:val="none"/>
          <w:lang w:val="en-US"/>
        </w:rPr>
      </w:pPr>
      <w:r w:rsidRPr="08E3A6D0" w:rsidR="0FB2DFA1">
        <w:rPr>
          <w:rFonts w:ascii="Times New Roman" w:hAnsi="Times New Roman" w:eastAsia="Times New Roman" w:cs="Times New Roman"/>
          <w:b w:val="0"/>
          <w:bCs w:val="0"/>
          <w:noProof w:val="0"/>
          <w:color w:val="0E101A"/>
          <w:sz w:val="24"/>
          <w:szCs w:val="24"/>
          <w:u w:val="none"/>
          <w:lang w:val="en-US"/>
        </w:rPr>
        <w:t xml:space="preserve">What is play? </w:t>
      </w:r>
    </w:p>
    <w:p w:rsidR="0FB2DFA1" w:rsidP="08E3A6D0" w:rsidRDefault="0FB2DFA1" w14:paraId="38D015ED" w14:textId="011F6272">
      <w:pPr>
        <w:pStyle w:val="Normal"/>
        <w:jc w:val="both"/>
        <w:rPr>
          <w:rFonts w:ascii="Times New Roman" w:hAnsi="Times New Roman" w:eastAsia="Times New Roman" w:cs="Times New Roman"/>
          <w:b w:val="0"/>
          <w:bCs w:val="0"/>
          <w:noProof w:val="0"/>
          <w:color w:val="0E101A"/>
          <w:sz w:val="24"/>
          <w:szCs w:val="24"/>
          <w:u w:val="none"/>
          <w:lang w:val="en-US"/>
        </w:rPr>
      </w:pPr>
      <w:r w:rsidRPr="08E3A6D0" w:rsidR="0FB2DFA1">
        <w:rPr>
          <w:rFonts w:ascii="Times New Roman" w:hAnsi="Times New Roman" w:eastAsia="Times New Roman" w:cs="Times New Roman"/>
          <w:b w:val="0"/>
          <w:bCs w:val="0"/>
          <w:noProof w:val="0"/>
          <w:color w:val="0E101A"/>
          <w:sz w:val="24"/>
          <w:szCs w:val="24"/>
          <w:u w:val="none"/>
          <w:lang w:val="en-US"/>
        </w:rPr>
        <w:t>Rough and Tumble Play</w:t>
      </w:r>
    </w:p>
    <w:p w:rsidR="0FB2DFA1" w:rsidP="08E3A6D0" w:rsidRDefault="0FB2DFA1" w14:paraId="2E0CC756" w14:textId="2295BB14">
      <w:pPr>
        <w:pStyle w:val="Normal"/>
        <w:jc w:val="both"/>
        <w:rPr>
          <w:rFonts w:ascii="Times New Roman" w:hAnsi="Times New Roman" w:eastAsia="Times New Roman" w:cs="Times New Roman"/>
          <w:b w:val="0"/>
          <w:bCs w:val="0"/>
          <w:noProof w:val="0"/>
          <w:color w:val="0E101A"/>
          <w:sz w:val="24"/>
          <w:szCs w:val="24"/>
          <w:u w:val="none"/>
          <w:lang w:val="en-US"/>
        </w:rPr>
      </w:pPr>
      <w:r w:rsidRPr="08E3A6D0" w:rsidR="0FB2DFA1">
        <w:rPr>
          <w:rFonts w:ascii="Times New Roman" w:hAnsi="Times New Roman" w:eastAsia="Times New Roman" w:cs="Times New Roman"/>
          <w:b w:val="0"/>
          <w:bCs w:val="0"/>
          <w:noProof w:val="0"/>
          <w:color w:val="0E101A"/>
          <w:sz w:val="24"/>
          <w:szCs w:val="24"/>
          <w:u w:val="none"/>
          <w:lang w:val="en-US"/>
        </w:rPr>
        <w:t>Constructive Play</w:t>
      </w:r>
    </w:p>
    <w:p w:rsidR="0FB2DFA1" w:rsidP="08E3A6D0" w:rsidRDefault="0FB2DFA1" w14:paraId="19AE5DD8" w14:textId="6A844B24">
      <w:pPr>
        <w:pStyle w:val="Normal"/>
        <w:jc w:val="both"/>
        <w:rPr>
          <w:rFonts w:ascii="Times New Roman" w:hAnsi="Times New Roman" w:eastAsia="Times New Roman" w:cs="Times New Roman"/>
          <w:b w:val="0"/>
          <w:bCs w:val="0"/>
          <w:noProof w:val="0"/>
          <w:color w:val="0E101A"/>
          <w:sz w:val="24"/>
          <w:szCs w:val="24"/>
          <w:u w:val="none"/>
          <w:lang w:val="en-US"/>
        </w:rPr>
      </w:pPr>
      <w:r w:rsidRPr="08E3A6D0" w:rsidR="0FB2DFA1">
        <w:rPr>
          <w:rFonts w:ascii="Times New Roman" w:hAnsi="Times New Roman" w:eastAsia="Times New Roman" w:cs="Times New Roman"/>
          <w:b w:val="0"/>
          <w:bCs w:val="0"/>
          <w:noProof w:val="0"/>
          <w:color w:val="0E101A"/>
          <w:sz w:val="24"/>
          <w:szCs w:val="24"/>
          <w:u w:val="none"/>
          <w:lang w:val="en-US"/>
        </w:rPr>
        <w:t>Section 2</w:t>
      </w:r>
    </w:p>
    <w:p w:rsidR="0FB2DFA1" w:rsidP="08E3A6D0" w:rsidRDefault="0FB2DFA1" w14:paraId="6412AFC1" w14:textId="25E19D7F">
      <w:pPr>
        <w:pStyle w:val="Normal"/>
        <w:jc w:val="both"/>
        <w:rPr>
          <w:rFonts w:ascii="Times New Roman" w:hAnsi="Times New Roman" w:eastAsia="Times New Roman" w:cs="Times New Roman"/>
          <w:b w:val="0"/>
          <w:bCs w:val="0"/>
          <w:noProof w:val="0"/>
          <w:color w:val="0E101A"/>
          <w:sz w:val="24"/>
          <w:szCs w:val="24"/>
          <w:u w:val="none"/>
          <w:lang w:val="en-US"/>
        </w:rPr>
      </w:pPr>
      <w:r w:rsidRPr="08E3A6D0" w:rsidR="0FB2DFA1">
        <w:rPr>
          <w:rFonts w:ascii="Times New Roman" w:hAnsi="Times New Roman" w:eastAsia="Times New Roman" w:cs="Times New Roman"/>
          <w:b w:val="0"/>
          <w:bCs w:val="0"/>
          <w:noProof w:val="0"/>
          <w:color w:val="0E101A"/>
          <w:sz w:val="24"/>
          <w:szCs w:val="24"/>
          <w:u w:val="none"/>
          <w:lang w:val="en-US"/>
        </w:rPr>
        <w:t>What is Self-directed play</w:t>
      </w:r>
    </w:p>
    <w:p w:rsidR="0FB2DFA1" w:rsidP="08E3A6D0" w:rsidRDefault="0FB2DFA1" w14:paraId="232F4355" w14:textId="209E890D">
      <w:pPr>
        <w:pStyle w:val="Normal"/>
        <w:jc w:val="both"/>
        <w:rPr>
          <w:rFonts w:ascii="Times New Roman" w:hAnsi="Times New Roman" w:eastAsia="Times New Roman" w:cs="Times New Roman"/>
          <w:b w:val="0"/>
          <w:bCs w:val="0"/>
          <w:noProof w:val="0"/>
          <w:color w:val="0E101A"/>
          <w:sz w:val="24"/>
          <w:szCs w:val="24"/>
          <w:u w:val="none"/>
          <w:lang w:val="en-US"/>
        </w:rPr>
      </w:pPr>
      <w:r w:rsidRPr="08E3A6D0" w:rsidR="0FB2DFA1">
        <w:rPr>
          <w:rFonts w:ascii="Times New Roman" w:hAnsi="Times New Roman" w:eastAsia="Times New Roman" w:cs="Times New Roman"/>
          <w:b w:val="0"/>
          <w:bCs w:val="0"/>
          <w:noProof w:val="0"/>
          <w:color w:val="0E101A"/>
          <w:sz w:val="24"/>
          <w:szCs w:val="24"/>
          <w:u w:val="none"/>
          <w:lang w:val="en-US"/>
        </w:rPr>
        <w:t>The importance of self-directed play</w:t>
      </w:r>
    </w:p>
    <w:p w:rsidR="0FB2DFA1" w:rsidP="08E3A6D0" w:rsidRDefault="0FB2DFA1" w14:paraId="18700E7A" w14:textId="5801E5CB">
      <w:pPr>
        <w:pStyle w:val="Normal"/>
        <w:jc w:val="both"/>
        <w:rPr>
          <w:rFonts w:ascii="Times New Roman" w:hAnsi="Times New Roman" w:eastAsia="Times New Roman" w:cs="Times New Roman"/>
          <w:b w:val="0"/>
          <w:bCs w:val="0"/>
          <w:noProof w:val="0"/>
          <w:color w:val="0E101A"/>
          <w:sz w:val="24"/>
          <w:szCs w:val="24"/>
          <w:u w:val="none"/>
          <w:lang w:val="en-US"/>
        </w:rPr>
      </w:pPr>
      <w:r w:rsidRPr="08E3A6D0" w:rsidR="0FB2DFA1">
        <w:rPr>
          <w:rFonts w:ascii="Times New Roman" w:hAnsi="Times New Roman" w:eastAsia="Times New Roman" w:cs="Times New Roman"/>
          <w:b w:val="0"/>
          <w:bCs w:val="0"/>
          <w:noProof w:val="0"/>
          <w:color w:val="0E101A"/>
          <w:sz w:val="24"/>
          <w:szCs w:val="24"/>
          <w:u w:val="none"/>
          <w:lang w:val="en-US"/>
        </w:rPr>
        <w:t>The role of the Adult</w:t>
      </w:r>
    </w:p>
    <w:p w:rsidR="0FB2DFA1" w:rsidP="08E3A6D0" w:rsidRDefault="0FB2DFA1" w14:paraId="7E84370D" w14:textId="5BBEA2F3">
      <w:pPr>
        <w:pStyle w:val="Normal"/>
        <w:jc w:val="both"/>
        <w:rPr>
          <w:rFonts w:ascii="Times New Roman" w:hAnsi="Times New Roman" w:eastAsia="Times New Roman" w:cs="Times New Roman"/>
          <w:b w:val="0"/>
          <w:bCs w:val="0"/>
          <w:noProof w:val="0"/>
          <w:color w:val="0E101A"/>
          <w:sz w:val="24"/>
          <w:szCs w:val="24"/>
          <w:u w:val="none"/>
          <w:lang w:val="en-US"/>
        </w:rPr>
      </w:pPr>
      <w:r w:rsidRPr="08E3A6D0" w:rsidR="0FB2DFA1">
        <w:rPr>
          <w:rFonts w:ascii="Times New Roman" w:hAnsi="Times New Roman" w:eastAsia="Times New Roman" w:cs="Times New Roman"/>
          <w:b w:val="0"/>
          <w:bCs w:val="0"/>
          <w:noProof w:val="0"/>
          <w:color w:val="0E101A"/>
          <w:sz w:val="24"/>
          <w:szCs w:val="24"/>
          <w:u w:val="none"/>
          <w:lang w:val="en-US"/>
        </w:rPr>
        <w:t>Section 3</w:t>
      </w:r>
    </w:p>
    <w:p w:rsidR="0FB2DFA1" w:rsidP="08E3A6D0" w:rsidRDefault="0FB2DFA1" w14:paraId="00840DBA" w14:textId="7C3319C5">
      <w:pPr>
        <w:pStyle w:val="Normal"/>
        <w:jc w:val="both"/>
        <w:rPr>
          <w:rFonts w:ascii="Times New Roman" w:hAnsi="Times New Roman" w:eastAsia="Times New Roman" w:cs="Times New Roman"/>
          <w:b w:val="0"/>
          <w:bCs w:val="0"/>
          <w:noProof w:val="0"/>
          <w:color w:val="0E101A"/>
          <w:sz w:val="24"/>
          <w:szCs w:val="24"/>
          <w:u w:val="none"/>
          <w:lang w:val="en-US"/>
        </w:rPr>
      </w:pPr>
      <w:r w:rsidRPr="08E3A6D0" w:rsidR="0FB2DFA1">
        <w:rPr>
          <w:rFonts w:ascii="Times New Roman" w:hAnsi="Times New Roman" w:eastAsia="Times New Roman" w:cs="Times New Roman"/>
          <w:b w:val="0"/>
          <w:bCs w:val="0"/>
          <w:noProof w:val="0"/>
          <w:color w:val="0E101A"/>
          <w:sz w:val="24"/>
          <w:szCs w:val="24"/>
          <w:u w:val="none"/>
          <w:lang w:val="en-US"/>
        </w:rPr>
        <w:t>Discussion of observation type</w:t>
      </w:r>
    </w:p>
    <w:p w:rsidR="0FB2DFA1" w:rsidP="08E3A6D0" w:rsidRDefault="0FB2DFA1" w14:paraId="7293A194" w14:textId="4A19E0AD">
      <w:pPr>
        <w:pStyle w:val="Normal"/>
        <w:jc w:val="both"/>
        <w:rPr>
          <w:rFonts w:ascii="Times New Roman" w:hAnsi="Times New Roman" w:eastAsia="Times New Roman" w:cs="Times New Roman"/>
          <w:b w:val="0"/>
          <w:bCs w:val="0"/>
          <w:noProof w:val="0"/>
          <w:color w:val="0E101A"/>
          <w:sz w:val="24"/>
          <w:szCs w:val="24"/>
          <w:u w:val="none"/>
          <w:lang w:val="en-US"/>
        </w:rPr>
      </w:pPr>
      <w:r w:rsidRPr="08E3A6D0" w:rsidR="0FB2DFA1">
        <w:rPr>
          <w:rFonts w:ascii="Times New Roman" w:hAnsi="Times New Roman" w:eastAsia="Times New Roman" w:cs="Times New Roman"/>
          <w:b w:val="0"/>
          <w:bCs w:val="0"/>
          <w:noProof w:val="0"/>
          <w:color w:val="0E101A"/>
          <w:sz w:val="24"/>
          <w:szCs w:val="24"/>
          <w:u w:val="none"/>
          <w:lang w:val="en-US"/>
        </w:rPr>
        <w:t>Section 4</w:t>
      </w:r>
    </w:p>
    <w:p w:rsidR="0FB2DFA1" w:rsidP="08E3A6D0" w:rsidRDefault="0FB2DFA1" w14:paraId="0B05A5D9" w14:textId="091C54A4">
      <w:pPr>
        <w:pStyle w:val="Normal"/>
        <w:jc w:val="both"/>
        <w:rPr>
          <w:rFonts w:ascii="Times New Roman" w:hAnsi="Times New Roman" w:eastAsia="Times New Roman" w:cs="Times New Roman"/>
          <w:b w:val="0"/>
          <w:bCs w:val="0"/>
          <w:noProof w:val="0"/>
          <w:color w:val="0E101A"/>
          <w:sz w:val="24"/>
          <w:szCs w:val="24"/>
          <w:u w:val="none"/>
          <w:lang w:val="en-US"/>
        </w:rPr>
      </w:pPr>
      <w:r w:rsidRPr="08E3A6D0" w:rsidR="0FB2DFA1">
        <w:rPr>
          <w:rFonts w:ascii="Times New Roman" w:hAnsi="Times New Roman" w:eastAsia="Times New Roman" w:cs="Times New Roman"/>
          <w:b w:val="0"/>
          <w:bCs w:val="0"/>
          <w:noProof w:val="0"/>
          <w:color w:val="0E101A"/>
          <w:sz w:val="24"/>
          <w:szCs w:val="24"/>
          <w:u w:val="none"/>
          <w:lang w:val="en-US"/>
        </w:rPr>
        <w:t>The role of play when overserving</w:t>
      </w:r>
    </w:p>
    <w:p w:rsidR="0FB2DFA1" w:rsidP="08E3A6D0" w:rsidRDefault="0FB2DFA1" w14:paraId="2CABDF21" w14:textId="719B0606">
      <w:pPr>
        <w:jc w:val="both"/>
        <w:rPr>
          <w:rFonts w:ascii="Times New Roman" w:hAnsi="Times New Roman" w:eastAsia="Times New Roman" w:cs="Times New Roman"/>
          <w:b w:val="1"/>
          <w:bCs w:val="1"/>
          <w:noProof w:val="0"/>
          <w:color w:val="0E101A"/>
          <w:sz w:val="24"/>
          <w:szCs w:val="24"/>
          <w:u w:val="single"/>
          <w:lang w:val="en-US"/>
        </w:rPr>
      </w:pPr>
      <w:r w:rsidRPr="08E3A6D0" w:rsidR="0FB2DFA1">
        <w:rPr>
          <w:rFonts w:ascii="Times New Roman" w:hAnsi="Times New Roman" w:eastAsia="Times New Roman" w:cs="Times New Roman"/>
          <w:b w:val="0"/>
          <w:bCs w:val="0"/>
          <w:noProof w:val="0"/>
          <w:color w:val="0E101A"/>
          <w:sz w:val="24"/>
          <w:szCs w:val="24"/>
          <w:u w:val="none"/>
          <w:lang w:val="en-US"/>
        </w:rPr>
        <w:t>References</w:t>
      </w:r>
    </w:p>
    <w:p w:rsidR="0FB2DFA1" w:rsidP="08E3A6D0" w:rsidRDefault="0FB2DFA1" w14:paraId="1D7CC5DF" w14:textId="05D958EA">
      <w:pPr>
        <w:jc w:val="both"/>
        <w:rPr>
          <w:rFonts w:ascii="Times New Roman" w:hAnsi="Times New Roman" w:eastAsia="Times New Roman" w:cs="Times New Roman"/>
          <w:b w:val="1"/>
          <w:bCs w:val="1"/>
          <w:noProof w:val="0"/>
          <w:color w:val="0E101A"/>
          <w:sz w:val="24"/>
          <w:szCs w:val="24"/>
          <w:u w:val="single"/>
          <w:lang w:val="en-US"/>
        </w:rPr>
      </w:pPr>
    </w:p>
    <w:p w:rsidR="0FB2DFA1" w:rsidP="08E3A6D0" w:rsidRDefault="0FB2DFA1" w14:paraId="4EDAE6B5" w14:textId="392E1567">
      <w:pPr>
        <w:jc w:val="both"/>
        <w:rPr>
          <w:rFonts w:ascii="Times New Roman" w:hAnsi="Times New Roman" w:eastAsia="Times New Roman" w:cs="Times New Roman"/>
          <w:b w:val="1"/>
          <w:bCs w:val="1"/>
          <w:noProof w:val="0"/>
          <w:color w:val="0E101A"/>
          <w:sz w:val="24"/>
          <w:szCs w:val="24"/>
          <w:u w:val="single"/>
          <w:lang w:val="en-US"/>
        </w:rPr>
      </w:pPr>
    </w:p>
    <w:p w:rsidR="0FB2DFA1" w:rsidP="08E3A6D0" w:rsidRDefault="0FB2DFA1" w14:paraId="30C00DE8" w14:textId="015BC3E9">
      <w:pPr>
        <w:jc w:val="both"/>
        <w:rPr>
          <w:rFonts w:ascii="Times New Roman" w:hAnsi="Times New Roman" w:eastAsia="Times New Roman" w:cs="Times New Roman"/>
          <w:b w:val="1"/>
          <w:bCs w:val="1"/>
          <w:noProof w:val="0"/>
          <w:color w:val="0E101A"/>
          <w:sz w:val="24"/>
          <w:szCs w:val="24"/>
          <w:u w:val="single"/>
          <w:lang w:val="en-US"/>
        </w:rPr>
      </w:pPr>
    </w:p>
    <w:p w:rsidR="0FB2DFA1" w:rsidP="08E3A6D0" w:rsidRDefault="0FB2DFA1" w14:paraId="0DC40735" w14:textId="5875762F">
      <w:pPr>
        <w:jc w:val="both"/>
        <w:rPr>
          <w:rFonts w:ascii="Times New Roman" w:hAnsi="Times New Roman" w:eastAsia="Times New Roman" w:cs="Times New Roman"/>
          <w:b w:val="1"/>
          <w:bCs w:val="1"/>
          <w:noProof w:val="0"/>
          <w:color w:val="0E101A"/>
          <w:sz w:val="24"/>
          <w:szCs w:val="24"/>
          <w:u w:val="single"/>
          <w:lang w:val="en-US"/>
        </w:rPr>
      </w:pPr>
    </w:p>
    <w:p w:rsidR="0FB2DFA1" w:rsidP="08E3A6D0" w:rsidRDefault="0FB2DFA1" w14:paraId="5A35DB0D" w14:textId="0AF33BA6">
      <w:pPr>
        <w:jc w:val="both"/>
        <w:rPr>
          <w:rFonts w:ascii="Times New Roman" w:hAnsi="Times New Roman" w:eastAsia="Times New Roman" w:cs="Times New Roman"/>
          <w:b w:val="1"/>
          <w:bCs w:val="1"/>
          <w:noProof w:val="0"/>
          <w:color w:val="0E101A"/>
          <w:sz w:val="24"/>
          <w:szCs w:val="24"/>
          <w:u w:val="single"/>
          <w:lang w:val="en-US"/>
        </w:rPr>
      </w:pPr>
    </w:p>
    <w:p w:rsidR="0FB2DFA1" w:rsidP="08E3A6D0" w:rsidRDefault="0FB2DFA1" w14:paraId="2CE3D4E6" w14:textId="662206D0">
      <w:pPr>
        <w:jc w:val="both"/>
        <w:rPr>
          <w:rFonts w:ascii="Times New Roman" w:hAnsi="Times New Roman" w:eastAsia="Times New Roman" w:cs="Times New Roman"/>
          <w:b w:val="1"/>
          <w:bCs w:val="1"/>
          <w:noProof w:val="0"/>
          <w:color w:val="0E101A"/>
          <w:sz w:val="24"/>
          <w:szCs w:val="24"/>
          <w:u w:val="single"/>
          <w:lang w:val="en-US"/>
        </w:rPr>
      </w:pPr>
    </w:p>
    <w:p w:rsidR="0FB2DFA1" w:rsidP="08E3A6D0" w:rsidRDefault="0FB2DFA1" w14:paraId="3696DC74" w14:textId="1D776AEE">
      <w:pPr>
        <w:jc w:val="both"/>
        <w:rPr>
          <w:rFonts w:ascii="Times New Roman" w:hAnsi="Times New Roman" w:eastAsia="Times New Roman" w:cs="Times New Roman"/>
          <w:b w:val="1"/>
          <w:bCs w:val="1"/>
          <w:noProof w:val="0"/>
          <w:color w:val="0E101A"/>
          <w:sz w:val="24"/>
          <w:szCs w:val="24"/>
          <w:u w:val="single"/>
          <w:lang w:val="en-US"/>
        </w:rPr>
      </w:pPr>
    </w:p>
    <w:p w:rsidR="0FB2DFA1" w:rsidP="08E3A6D0" w:rsidRDefault="0FB2DFA1" w14:paraId="5FE2C109" w14:textId="136854A1">
      <w:pPr>
        <w:jc w:val="both"/>
        <w:rPr>
          <w:rFonts w:ascii="Times New Roman" w:hAnsi="Times New Roman" w:eastAsia="Times New Roman" w:cs="Times New Roman"/>
          <w:b w:val="1"/>
          <w:bCs w:val="1"/>
          <w:noProof w:val="0"/>
          <w:color w:val="0E101A"/>
          <w:sz w:val="24"/>
          <w:szCs w:val="24"/>
          <w:u w:val="single"/>
          <w:lang w:val="en-US"/>
        </w:rPr>
      </w:pPr>
    </w:p>
    <w:p w:rsidR="0FB2DFA1" w:rsidP="08E3A6D0" w:rsidRDefault="0FB2DFA1" w14:paraId="7CED4B04" w14:textId="626C5763">
      <w:pPr>
        <w:jc w:val="both"/>
        <w:rPr>
          <w:rFonts w:ascii="Times New Roman" w:hAnsi="Times New Roman" w:eastAsia="Times New Roman" w:cs="Times New Roman"/>
          <w:b w:val="1"/>
          <w:bCs w:val="1"/>
          <w:noProof w:val="0"/>
          <w:color w:val="0E101A"/>
          <w:sz w:val="24"/>
          <w:szCs w:val="24"/>
          <w:u w:val="single"/>
          <w:lang w:val="en-US"/>
        </w:rPr>
      </w:pPr>
    </w:p>
    <w:p w:rsidR="0FB2DFA1" w:rsidP="08E3A6D0" w:rsidRDefault="0FB2DFA1" w14:paraId="2F414F5A" w14:textId="7A18E120">
      <w:pPr>
        <w:jc w:val="both"/>
        <w:rPr>
          <w:rFonts w:ascii="Times New Roman" w:hAnsi="Times New Roman" w:eastAsia="Times New Roman" w:cs="Times New Roman"/>
          <w:b w:val="1"/>
          <w:bCs w:val="1"/>
          <w:noProof w:val="0"/>
          <w:color w:val="0E101A"/>
          <w:sz w:val="24"/>
          <w:szCs w:val="24"/>
          <w:u w:val="single"/>
          <w:lang w:val="en-US"/>
        </w:rPr>
      </w:pPr>
    </w:p>
    <w:p w:rsidR="0FB2DFA1" w:rsidP="08E3A6D0" w:rsidRDefault="0FB2DFA1" w14:paraId="07B9D503" w14:textId="4A189A19">
      <w:pPr>
        <w:jc w:val="both"/>
        <w:rPr>
          <w:rFonts w:ascii="Times New Roman" w:hAnsi="Times New Roman" w:eastAsia="Times New Roman" w:cs="Times New Roman"/>
          <w:b w:val="1"/>
          <w:bCs w:val="1"/>
          <w:noProof w:val="0"/>
          <w:color w:val="0E101A"/>
          <w:sz w:val="24"/>
          <w:szCs w:val="24"/>
          <w:u w:val="single"/>
          <w:lang w:val="en-US"/>
        </w:rPr>
      </w:pPr>
    </w:p>
    <w:p w:rsidR="0FB2DFA1" w:rsidP="08E3A6D0" w:rsidRDefault="0FB2DFA1" w14:paraId="5D437A94" w14:textId="4B5B408F">
      <w:pPr>
        <w:jc w:val="both"/>
        <w:rPr>
          <w:rFonts w:ascii="Times New Roman" w:hAnsi="Times New Roman" w:eastAsia="Times New Roman" w:cs="Times New Roman"/>
          <w:b w:val="1"/>
          <w:bCs w:val="1"/>
          <w:noProof w:val="0"/>
          <w:color w:val="0E101A"/>
          <w:sz w:val="24"/>
          <w:szCs w:val="24"/>
          <w:u w:val="single"/>
          <w:lang w:val="en-US"/>
        </w:rPr>
      </w:pPr>
    </w:p>
    <w:p w:rsidR="0FB2DFA1" w:rsidP="08E3A6D0" w:rsidRDefault="0FB2DFA1" w14:paraId="67CA2602" w14:textId="3914097B">
      <w:pPr>
        <w:jc w:val="both"/>
        <w:rPr>
          <w:rFonts w:ascii="Times New Roman" w:hAnsi="Times New Roman" w:eastAsia="Times New Roman" w:cs="Times New Roman"/>
          <w:b w:val="1"/>
          <w:bCs w:val="1"/>
          <w:noProof w:val="0"/>
          <w:color w:val="0E101A"/>
          <w:sz w:val="24"/>
          <w:szCs w:val="24"/>
          <w:u w:val="single"/>
          <w:lang w:val="en-US"/>
        </w:rPr>
      </w:pPr>
    </w:p>
    <w:p w:rsidR="0FB2DFA1" w:rsidP="08E3A6D0" w:rsidRDefault="0FB2DFA1" w14:paraId="193708E9" w14:textId="3D54169C">
      <w:pPr>
        <w:jc w:val="both"/>
        <w:rPr>
          <w:rFonts w:ascii="Times New Roman" w:hAnsi="Times New Roman" w:eastAsia="Times New Roman" w:cs="Times New Roman"/>
          <w:b w:val="1"/>
          <w:bCs w:val="1"/>
          <w:noProof w:val="0"/>
          <w:color w:val="0E101A"/>
          <w:sz w:val="24"/>
          <w:szCs w:val="24"/>
          <w:u w:val="single"/>
          <w:lang w:val="en-US"/>
        </w:rPr>
      </w:pPr>
    </w:p>
    <w:p w:rsidR="0FB2DFA1" w:rsidP="08E3A6D0" w:rsidRDefault="0FB2DFA1" w14:paraId="163562EE" w14:textId="4155C42E">
      <w:pPr>
        <w:jc w:val="both"/>
        <w:rPr>
          <w:rFonts w:ascii="Times New Roman" w:hAnsi="Times New Roman" w:eastAsia="Times New Roman" w:cs="Times New Roman"/>
          <w:b w:val="1"/>
          <w:bCs w:val="1"/>
          <w:noProof w:val="0"/>
          <w:color w:val="0E101A"/>
          <w:sz w:val="24"/>
          <w:szCs w:val="24"/>
          <w:u w:val="single"/>
          <w:lang w:val="en-US"/>
        </w:rPr>
      </w:pPr>
    </w:p>
    <w:p w:rsidR="0FB2DFA1" w:rsidP="08E3A6D0" w:rsidRDefault="0FB2DFA1" w14:paraId="63811DF8" w14:textId="6E2FF93F">
      <w:pPr>
        <w:pStyle w:val="Normal"/>
        <w:jc w:val="both"/>
        <w:rPr>
          <w:rFonts w:ascii="Times New Roman" w:hAnsi="Times New Roman" w:eastAsia="Times New Roman" w:cs="Times New Roman"/>
          <w:b w:val="1"/>
          <w:bCs w:val="1"/>
          <w:noProof w:val="0"/>
          <w:color w:val="0E101A"/>
          <w:sz w:val="24"/>
          <w:szCs w:val="24"/>
          <w:u w:val="single"/>
          <w:lang w:val="en-US"/>
        </w:rPr>
      </w:pPr>
      <w:r w:rsidRPr="08E3A6D0" w:rsidR="0FB2DFA1">
        <w:rPr>
          <w:rFonts w:ascii="Times New Roman" w:hAnsi="Times New Roman" w:eastAsia="Times New Roman" w:cs="Times New Roman"/>
          <w:b w:val="1"/>
          <w:bCs w:val="1"/>
          <w:noProof w:val="0"/>
          <w:color w:val="0E101A"/>
          <w:sz w:val="24"/>
          <w:szCs w:val="24"/>
          <w:u w:val="single"/>
          <w:lang w:val="en-US"/>
        </w:rPr>
        <w:t>Section 1</w:t>
      </w:r>
    </w:p>
    <w:p w:rsidR="0FB2DFA1" w:rsidP="08E3A6D0" w:rsidRDefault="0FB2DFA1" w14:paraId="04B1829F" w14:textId="24A92458">
      <w:pPr>
        <w:pStyle w:val="Normal"/>
        <w:jc w:val="both"/>
        <w:rPr>
          <w:rFonts w:ascii="Times New Roman" w:hAnsi="Times New Roman" w:eastAsia="Times New Roman" w:cs="Times New Roman"/>
          <w:b w:val="1"/>
          <w:bCs w:val="1"/>
          <w:noProof w:val="0"/>
          <w:color w:val="auto"/>
          <w:sz w:val="24"/>
          <w:szCs w:val="24"/>
          <w:lang w:val="en-US"/>
        </w:rPr>
      </w:pPr>
      <w:r w:rsidRPr="08E3A6D0" w:rsidR="0FB2DFA1">
        <w:rPr>
          <w:rFonts w:ascii="Times New Roman" w:hAnsi="Times New Roman" w:eastAsia="Times New Roman" w:cs="Times New Roman"/>
          <w:b w:val="1"/>
          <w:bCs w:val="1"/>
          <w:noProof w:val="0"/>
          <w:color w:val="auto"/>
          <w:sz w:val="24"/>
          <w:szCs w:val="24"/>
          <w:lang w:val="en-US"/>
        </w:rPr>
        <w:t>Discuss two types of play and how these can be supported in practice.</w:t>
      </w:r>
    </w:p>
    <w:p xmlns:wp14="http://schemas.microsoft.com/office/word/2010/wordml" w:rsidP="08E3A6D0" w14:paraId="5144DB43" wp14:textId="5DDFC4F9">
      <w:pPr>
        <w:jc w:val="both"/>
        <w:rPr>
          <w:rFonts w:ascii="Times New Roman" w:hAnsi="Times New Roman" w:eastAsia="Times New Roman" w:cs="Times New Roman"/>
          <w:noProof w:val="0"/>
          <w:color w:val="0E101A"/>
          <w:sz w:val="24"/>
          <w:szCs w:val="24"/>
          <w:lang w:val="en-US"/>
        </w:rPr>
      </w:pPr>
      <w:r w:rsidRPr="08E3A6D0" w:rsidR="1C0326BD">
        <w:rPr>
          <w:rFonts w:ascii="Times New Roman" w:hAnsi="Times New Roman" w:eastAsia="Times New Roman" w:cs="Times New Roman"/>
          <w:noProof w:val="0"/>
          <w:color w:val="0E101A"/>
          <w:sz w:val="24"/>
          <w:szCs w:val="24"/>
          <w:lang w:val="en-US"/>
        </w:rPr>
        <w:t xml:space="preserve">Play is important for children's and youth's development since it </w:t>
      </w:r>
      <w:r w:rsidRPr="08E3A6D0" w:rsidR="1C0326BD">
        <w:rPr>
          <w:rFonts w:ascii="Times New Roman" w:hAnsi="Times New Roman" w:eastAsia="Times New Roman" w:cs="Times New Roman"/>
          <w:noProof w:val="0"/>
          <w:color w:val="0E101A"/>
          <w:sz w:val="24"/>
          <w:szCs w:val="24"/>
          <w:lang w:val="en-US"/>
        </w:rPr>
        <w:t>benefits</w:t>
      </w:r>
      <w:r w:rsidRPr="08E3A6D0" w:rsidR="1C0326BD">
        <w:rPr>
          <w:rFonts w:ascii="Times New Roman" w:hAnsi="Times New Roman" w:eastAsia="Times New Roman" w:cs="Times New Roman"/>
          <w:noProof w:val="0"/>
          <w:color w:val="0E101A"/>
          <w:sz w:val="24"/>
          <w:szCs w:val="24"/>
          <w:lang w:val="en-US"/>
        </w:rPr>
        <w:t xml:space="preserve"> their cognitive, physical, social, and emotional well-being (Ginsberg, 2007). Play is so fundamental to children's development that the United Nations (1998) declared it to be of critical significance, as it contributes to their holistic development by allowing them to explore the world via experimenting in the various settings to which they have been exposed (Bruce, 1996). Play may be seen as a way for children to learn new cultures and change their </w:t>
      </w:r>
      <w:r w:rsidRPr="08E3A6D0" w:rsidR="1C0326BD">
        <w:rPr>
          <w:rFonts w:ascii="Times New Roman" w:hAnsi="Times New Roman" w:eastAsia="Times New Roman" w:cs="Times New Roman"/>
          <w:noProof w:val="0"/>
          <w:color w:val="0E101A"/>
          <w:sz w:val="24"/>
          <w:szCs w:val="24"/>
          <w:lang w:val="en-US"/>
        </w:rPr>
        <w:t>perceptions</w:t>
      </w:r>
      <w:r w:rsidRPr="08E3A6D0" w:rsidR="1C0326BD">
        <w:rPr>
          <w:rFonts w:ascii="Times New Roman" w:hAnsi="Times New Roman" w:eastAsia="Times New Roman" w:cs="Times New Roman"/>
          <w:noProof w:val="0"/>
          <w:color w:val="0E101A"/>
          <w:sz w:val="24"/>
          <w:szCs w:val="24"/>
          <w:lang w:val="en-US"/>
        </w:rPr>
        <w:t xml:space="preserve"> of them (Oko, 1987). </w:t>
      </w:r>
    </w:p>
    <w:p xmlns:wp14="http://schemas.microsoft.com/office/word/2010/wordml" w:rsidP="08E3A6D0" w14:paraId="58336D36" wp14:textId="69DAA345">
      <w:pPr>
        <w:pStyle w:val="Normal"/>
        <w:jc w:val="both"/>
        <w:rPr>
          <w:rFonts w:ascii="Times New Roman" w:hAnsi="Times New Roman" w:eastAsia="Times New Roman" w:cs="Times New Roman"/>
          <w:noProof w:val="0"/>
          <w:color w:val="0E101A"/>
          <w:sz w:val="24"/>
          <w:szCs w:val="24"/>
          <w:lang w:val="en-US"/>
        </w:rPr>
      </w:pPr>
      <w:r w:rsidRPr="08E3A6D0" w:rsidR="08E3A6D0">
        <w:rPr>
          <w:rFonts w:ascii="Times New Roman" w:hAnsi="Times New Roman" w:eastAsia="Times New Roman" w:cs="Times New Roman"/>
          <w:noProof w:val="0"/>
          <w:color w:val="0E101A"/>
          <w:sz w:val="24"/>
          <w:szCs w:val="24"/>
          <w:lang w:val="en-US"/>
        </w:rPr>
        <w:t xml:space="preserve">There are many other sorts of play, but this section will focus on two (2) in particular. Rough and tumble play is the first sort of play that would be considered. Rough and tumble is "close touch play that is less about fighting and more about caressing, teasing, and gauging relative strength," according to Hughes (2006). He goes on to state that it allows children to </w:t>
      </w:r>
      <w:r w:rsidRPr="08E3A6D0" w:rsidR="08E3A6D0">
        <w:rPr>
          <w:rFonts w:ascii="Times New Roman" w:hAnsi="Times New Roman" w:eastAsia="Times New Roman" w:cs="Times New Roman"/>
          <w:noProof w:val="0"/>
          <w:color w:val="0E101A"/>
          <w:sz w:val="24"/>
          <w:szCs w:val="24"/>
          <w:lang w:val="en-US"/>
        </w:rPr>
        <w:t>participate</w:t>
      </w:r>
      <w:r w:rsidRPr="08E3A6D0" w:rsidR="08E3A6D0">
        <w:rPr>
          <w:rFonts w:ascii="Times New Roman" w:hAnsi="Times New Roman" w:eastAsia="Times New Roman" w:cs="Times New Roman"/>
          <w:noProof w:val="0"/>
          <w:color w:val="0E101A"/>
          <w:sz w:val="24"/>
          <w:szCs w:val="24"/>
          <w:lang w:val="en-US"/>
        </w:rPr>
        <w:t xml:space="preserve"> in physical contact without endangering themselves or others, and that it should use a lot of energy. According to Russell (2005), rough and tumble play activities can involve a range of full-body behaviors such as chasing, wrestling, climbing, rolling, spinning, and tumbling, as well as interacting with objects or people. Rough and tumble play causes debate among practitioners as they strive to agree on what sorts of play are </w:t>
      </w:r>
      <w:r w:rsidRPr="08E3A6D0" w:rsidR="08E3A6D0">
        <w:rPr>
          <w:rFonts w:ascii="Times New Roman" w:hAnsi="Times New Roman" w:eastAsia="Times New Roman" w:cs="Times New Roman"/>
          <w:noProof w:val="0"/>
          <w:color w:val="0E101A"/>
          <w:sz w:val="24"/>
          <w:szCs w:val="24"/>
          <w:lang w:val="en-US"/>
        </w:rPr>
        <w:t>appropriate</w:t>
      </w:r>
      <w:r w:rsidRPr="08E3A6D0" w:rsidR="08E3A6D0">
        <w:rPr>
          <w:rFonts w:ascii="Times New Roman" w:hAnsi="Times New Roman" w:eastAsia="Times New Roman" w:cs="Times New Roman"/>
          <w:noProof w:val="0"/>
          <w:color w:val="0E101A"/>
          <w:sz w:val="24"/>
          <w:szCs w:val="24"/>
          <w:lang w:val="en-US"/>
        </w:rPr>
        <w:t xml:space="preserve">, bearable, or forbidden (Holland, 2003, Jarvis, 2010). Adults often have strong opinions about what constitutes proper play (while keeping safety in mind), but often struggle to maintain their devotion to nurturing children ’s wellbeing and play themes when these include play fighting or war games (woods, 2003). Real conflict may take place in several situations, especially when children lack the ability to collaborate, share, negotiate, and take turns. Children may use rough and tumble play to deal with the challenges of war, conflict, and violence that they </w:t>
      </w:r>
      <w:r w:rsidRPr="08E3A6D0" w:rsidR="08E3A6D0">
        <w:rPr>
          <w:rFonts w:ascii="Times New Roman" w:hAnsi="Times New Roman" w:eastAsia="Times New Roman" w:cs="Times New Roman"/>
          <w:noProof w:val="0"/>
          <w:color w:val="0E101A"/>
          <w:sz w:val="24"/>
          <w:szCs w:val="24"/>
          <w:lang w:val="en-US"/>
        </w:rPr>
        <w:t>encounter</w:t>
      </w:r>
      <w:r w:rsidRPr="08E3A6D0" w:rsidR="08E3A6D0">
        <w:rPr>
          <w:rFonts w:ascii="Times New Roman" w:hAnsi="Times New Roman" w:eastAsia="Times New Roman" w:cs="Times New Roman"/>
          <w:noProof w:val="0"/>
          <w:color w:val="0E101A"/>
          <w:sz w:val="24"/>
          <w:szCs w:val="24"/>
          <w:lang w:val="en-US"/>
        </w:rPr>
        <w:t xml:space="preserve"> in the media and in their communities, such as refugee and asylum seeker families (Hyder, 2005). Rough and tumble play, according to Jarvis (2010), fosters good emotional involvement among participants by allowing them to regulate their physical touch and </w:t>
      </w:r>
      <w:r w:rsidRPr="08E3A6D0" w:rsidR="08E3A6D0">
        <w:rPr>
          <w:rFonts w:ascii="Times New Roman" w:hAnsi="Times New Roman" w:eastAsia="Times New Roman" w:cs="Times New Roman"/>
          <w:noProof w:val="0"/>
          <w:color w:val="0E101A"/>
          <w:sz w:val="24"/>
          <w:szCs w:val="24"/>
          <w:lang w:val="en-US"/>
        </w:rPr>
        <w:t>frequently</w:t>
      </w:r>
      <w:r w:rsidRPr="08E3A6D0" w:rsidR="08E3A6D0">
        <w:rPr>
          <w:rFonts w:ascii="Times New Roman" w:hAnsi="Times New Roman" w:eastAsia="Times New Roman" w:cs="Times New Roman"/>
          <w:noProof w:val="0"/>
          <w:color w:val="0E101A"/>
          <w:sz w:val="24"/>
          <w:szCs w:val="24"/>
          <w:lang w:val="en-US"/>
        </w:rPr>
        <w:t xml:space="preserve"> change roles, such as from pursuing to being pursued, rough and tumble play has traditionally been associated with boys rather than girls, Rough and tumble play does not require much more than a large area to be effective. In </w:t>
      </w:r>
      <w:r w:rsidRPr="08E3A6D0" w:rsidR="08E3A6D0">
        <w:rPr>
          <w:rFonts w:ascii="Times New Roman" w:hAnsi="Times New Roman" w:eastAsia="Times New Roman" w:cs="Times New Roman"/>
          <w:noProof w:val="0"/>
          <w:color w:val="0E101A"/>
          <w:sz w:val="24"/>
          <w:szCs w:val="24"/>
          <w:lang w:val="en-US"/>
        </w:rPr>
        <w:t>practice</w:t>
      </w:r>
      <w:r w:rsidRPr="08E3A6D0" w:rsidR="08E3A6D0">
        <w:rPr>
          <w:rFonts w:ascii="Times New Roman" w:hAnsi="Times New Roman" w:eastAsia="Times New Roman" w:cs="Times New Roman"/>
          <w:noProof w:val="0"/>
          <w:color w:val="0E101A"/>
          <w:sz w:val="24"/>
          <w:szCs w:val="24"/>
          <w:lang w:val="en-US"/>
        </w:rPr>
        <w:t xml:space="preserve">, practitioners can </w:t>
      </w:r>
      <w:r w:rsidRPr="08E3A6D0" w:rsidR="08E3A6D0">
        <w:rPr>
          <w:rFonts w:ascii="Times New Roman" w:hAnsi="Times New Roman" w:eastAsia="Times New Roman" w:cs="Times New Roman"/>
          <w:noProof w:val="0"/>
          <w:color w:val="0E101A"/>
          <w:sz w:val="24"/>
          <w:szCs w:val="24"/>
          <w:lang w:val="en-US"/>
        </w:rPr>
        <w:t>assist</w:t>
      </w:r>
      <w:r w:rsidRPr="08E3A6D0" w:rsidR="08E3A6D0">
        <w:rPr>
          <w:rFonts w:ascii="Times New Roman" w:hAnsi="Times New Roman" w:eastAsia="Times New Roman" w:cs="Times New Roman"/>
          <w:noProof w:val="0"/>
          <w:color w:val="0E101A"/>
          <w:sz w:val="24"/>
          <w:szCs w:val="24"/>
          <w:lang w:val="en-US"/>
        </w:rPr>
        <w:t xml:space="preserve"> with this play by simply placing mats and cushions on the floor and supervising as </w:t>
      </w:r>
      <w:r w:rsidRPr="08E3A6D0" w:rsidR="08E3A6D0">
        <w:rPr>
          <w:rFonts w:ascii="Times New Roman" w:hAnsi="Times New Roman" w:eastAsia="Times New Roman" w:cs="Times New Roman"/>
          <w:noProof w:val="0"/>
          <w:color w:val="0E101A"/>
          <w:sz w:val="24"/>
          <w:szCs w:val="24"/>
          <w:lang w:val="en-US"/>
        </w:rPr>
        <w:t>required</w:t>
      </w:r>
      <w:r w:rsidRPr="08E3A6D0" w:rsidR="08E3A6D0">
        <w:rPr>
          <w:rFonts w:ascii="Times New Roman" w:hAnsi="Times New Roman" w:eastAsia="Times New Roman" w:cs="Times New Roman"/>
          <w:noProof w:val="0"/>
          <w:color w:val="0E101A"/>
          <w:sz w:val="24"/>
          <w:szCs w:val="24"/>
          <w:lang w:val="en-US"/>
        </w:rPr>
        <w:t xml:space="preserve">. </w:t>
      </w:r>
      <w:r w:rsidRPr="08E3A6D0" w:rsidR="1C0326BD">
        <w:rPr>
          <w:rFonts w:ascii="Times New Roman" w:hAnsi="Times New Roman" w:eastAsia="Times New Roman" w:cs="Times New Roman"/>
          <w:noProof w:val="0"/>
          <w:color w:val="0E101A"/>
          <w:sz w:val="24"/>
          <w:szCs w:val="24"/>
          <w:lang w:val="en-US"/>
        </w:rPr>
        <w:t xml:space="preserve">Rough and tumble play </w:t>
      </w:r>
      <w:r w:rsidRPr="08E3A6D0" w:rsidR="1C0326BD">
        <w:rPr>
          <w:rFonts w:ascii="Times New Roman" w:hAnsi="Times New Roman" w:eastAsia="Times New Roman" w:cs="Times New Roman"/>
          <w:noProof w:val="0"/>
          <w:color w:val="0E101A"/>
          <w:sz w:val="24"/>
          <w:szCs w:val="24"/>
          <w:lang w:val="en-US"/>
        </w:rPr>
        <w:t>provides</w:t>
      </w:r>
      <w:r w:rsidRPr="08E3A6D0" w:rsidR="1C0326BD">
        <w:rPr>
          <w:rFonts w:ascii="Times New Roman" w:hAnsi="Times New Roman" w:eastAsia="Times New Roman" w:cs="Times New Roman"/>
          <w:noProof w:val="0"/>
          <w:color w:val="0E101A"/>
          <w:sz w:val="24"/>
          <w:szCs w:val="24"/>
          <w:lang w:val="en-US"/>
        </w:rPr>
        <w:t xml:space="preserve"> several developmental advantages for children including: </w:t>
      </w:r>
    </w:p>
    <w:p xmlns:wp14="http://schemas.microsoft.com/office/word/2010/wordml" w:rsidP="08E3A6D0" w14:paraId="037B1D39" wp14:textId="798F95F0">
      <w:pPr>
        <w:pStyle w:val="ListParagraph"/>
        <w:numPr>
          <w:ilvl w:val="0"/>
          <w:numId w:val="3"/>
        </w:numPr>
        <w:jc w:val="both"/>
        <w:rPr>
          <w:rFonts w:ascii="Times New Roman" w:hAnsi="Times New Roman" w:eastAsia="Times New Roman" w:cs="Times New Roman"/>
          <w:noProof w:val="0"/>
          <w:color w:val="0E101A"/>
          <w:sz w:val="24"/>
          <w:szCs w:val="24"/>
          <w:lang w:val="en-US"/>
        </w:rPr>
      </w:pPr>
      <w:r w:rsidRPr="08E3A6D0" w:rsidR="1C0326BD">
        <w:rPr>
          <w:rFonts w:ascii="Times New Roman" w:hAnsi="Times New Roman" w:eastAsia="Times New Roman" w:cs="Times New Roman"/>
          <w:noProof w:val="0"/>
          <w:color w:val="0E101A"/>
          <w:sz w:val="24"/>
          <w:szCs w:val="24"/>
          <w:lang w:val="en-US"/>
        </w:rPr>
        <w:t xml:space="preserve">they are aware of their limitations </w:t>
      </w:r>
    </w:p>
    <w:p xmlns:wp14="http://schemas.microsoft.com/office/word/2010/wordml" w:rsidP="08E3A6D0" w14:paraId="60857C38" wp14:textId="741EF577">
      <w:pPr>
        <w:pStyle w:val="ListParagraph"/>
        <w:numPr>
          <w:ilvl w:val="0"/>
          <w:numId w:val="3"/>
        </w:numPr>
        <w:jc w:val="both"/>
        <w:rPr>
          <w:rFonts w:ascii="Times New Roman" w:hAnsi="Times New Roman" w:eastAsia="Times New Roman" w:cs="Times New Roman"/>
          <w:noProof w:val="0"/>
          <w:color w:val="0E101A"/>
          <w:sz w:val="24"/>
          <w:szCs w:val="24"/>
          <w:lang w:val="en-US"/>
        </w:rPr>
      </w:pPr>
      <w:r w:rsidRPr="08E3A6D0" w:rsidR="1C0326BD">
        <w:rPr>
          <w:rFonts w:ascii="Times New Roman" w:hAnsi="Times New Roman" w:eastAsia="Times New Roman" w:cs="Times New Roman"/>
          <w:noProof w:val="0"/>
          <w:color w:val="0E101A"/>
          <w:sz w:val="24"/>
          <w:szCs w:val="24"/>
          <w:lang w:val="en-US"/>
        </w:rPr>
        <w:t xml:space="preserve">choose their social relationships with others, as well as their own personal and physical limits </w:t>
      </w:r>
    </w:p>
    <w:p xmlns:wp14="http://schemas.microsoft.com/office/word/2010/wordml" w:rsidP="08E3A6D0" w14:paraId="66450F50" wp14:textId="0EF3CD2A">
      <w:pPr>
        <w:pStyle w:val="ListParagraph"/>
        <w:numPr>
          <w:ilvl w:val="0"/>
          <w:numId w:val="3"/>
        </w:numPr>
        <w:jc w:val="both"/>
        <w:rPr>
          <w:rFonts w:ascii="Times New Roman" w:hAnsi="Times New Roman" w:eastAsia="Times New Roman" w:cs="Times New Roman"/>
          <w:noProof w:val="0"/>
          <w:color w:val="0E101A"/>
          <w:sz w:val="24"/>
          <w:szCs w:val="24"/>
          <w:lang w:val="en-US"/>
        </w:rPr>
      </w:pPr>
      <w:r w:rsidRPr="08E3A6D0" w:rsidR="1C0326BD">
        <w:rPr>
          <w:rFonts w:ascii="Times New Roman" w:hAnsi="Times New Roman" w:eastAsia="Times New Roman" w:cs="Times New Roman"/>
          <w:noProof w:val="0"/>
          <w:color w:val="0E101A"/>
          <w:sz w:val="24"/>
          <w:szCs w:val="24"/>
          <w:lang w:val="en-US"/>
        </w:rPr>
        <w:t xml:space="preserve">work out other people's physical and personal limits </w:t>
      </w:r>
    </w:p>
    <w:p xmlns:wp14="http://schemas.microsoft.com/office/word/2010/wordml" w:rsidP="08E3A6D0" w14:paraId="01A5EE5A" wp14:textId="3D1A7BF2">
      <w:pPr>
        <w:pStyle w:val="ListParagraph"/>
        <w:numPr>
          <w:ilvl w:val="0"/>
          <w:numId w:val="3"/>
        </w:numPr>
        <w:jc w:val="both"/>
        <w:rPr>
          <w:rFonts w:ascii="Times New Roman" w:hAnsi="Times New Roman" w:eastAsia="Times New Roman" w:cs="Times New Roman"/>
          <w:noProof w:val="0"/>
          <w:color w:val="0E101A"/>
          <w:sz w:val="24"/>
          <w:szCs w:val="24"/>
          <w:lang w:val="en-US"/>
        </w:rPr>
      </w:pPr>
      <w:r w:rsidRPr="08E3A6D0" w:rsidR="1C0326BD">
        <w:rPr>
          <w:rFonts w:ascii="Times New Roman" w:hAnsi="Times New Roman" w:eastAsia="Times New Roman" w:cs="Times New Roman"/>
          <w:noProof w:val="0"/>
          <w:color w:val="0E101A"/>
          <w:sz w:val="24"/>
          <w:szCs w:val="24"/>
          <w:lang w:val="en-US"/>
        </w:rPr>
        <w:t xml:space="preserve">It encourages collaboration and teaches problem-solving skills as well as how to respond properly. </w:t>
      </w:r>
    </w:p>
    <w:p xmlns:wp14="http://schemas.microsoft.com/office/word/2010/wordml" w:rsidP="08E3A6D0" w14:paraId="7CD5E849" wp14:textId="23469681">
      <w:pPr>
        <w:pStyle w:val="Normal"/>
        <w:jc w:val="both"/>
        <w:rPr>
          <w:rFonts w:ascii="Times New Roman" w:hAnsi="Times New Roman" w:eastAsia="Times New Roman" w:cs="Times New Roman"/>
          <w:noProof w:val="0"/>
          <w:color w:val="0E101A"/>
          <w:sz w:val="24"/>
          <w:szCs w:val="24"/>
          <w:lang w:val="en-US"/>
        </w:rPr>
      </w:pPr>
      <w:r w:rsidRPr="08E3A6D0" w:rsidR="08E3A6D0">
        <w:rPr>
          <w:rFonts w:ascii="Times New Roman" w:hAnsi="Times New Roman" w:eastAsia="Times New Roman" w:cs="Times New Roman"/>
          <w:noProof w:val="0"/>
          <w:color w:val="0E101A"/>
          <w:sz w:val="24"/>
          <w:szCs w:val="24"/>
          <w:lang w:val="en-US"/>
        </w:rPr>
        <w:t>The second type of play that would be examined is constructive play, which involves manipulating things and materials to build or create something, such as playdough, junk and collage materials, loose components, sand, and water (woods, 2003). Several forms of constructive play may be incorporated with socio-dramatic and dramatic play because children like making props to support their play and playing with what they have built. Constructive play includes exploration and discovery, sensory stimulation, problem-solving, social connection, engagement and attention, and knowledge of actions and results (Woods,2003). Layouts, buildings, plans, drawings, sculptures, and collages are just some of the ways children communicate their thoughts, knowledge, and interests. Outdoors, constructive play may be developed to incorporate challenge and growth.</w:t>
      </w:r>
      <w:r w:rsidRPr="08E3A6D0" w:rsidR="1C0326BD">
        <w:rPr>
          <w:rFonts w:ascii="Times New Roman" w:hAnsi="Times New Roman" w:eastAsia="Times New Roman" w:cs="Times New Roman"/>
          <w:noProof w:val="0"/>
          <w:color w:val="0E101A"/>
          <w:sz w:val="24"/>
          <w:szCs w:val="24"/>
          <w:lang w:val="en-US"/>
        </w:rPr>
        <w:t xml:space="preserve"> </w:t>
      </w:r>
      <w:r w:rsidRPr="08E3A6D0" w:rsidR="08E3A6D0">
        <w:rPr>
          <w:rFonts w:ascii="Times New Roman" w:hAnsi="Times New Roman" w:eastAsia="Times New Roman" w:cs="Times New Roman"/>
          <w:noProof w:val="0"/>
          <w:color w:val="0E101A"/>
          <w:sz w:val="24"/>
          <w:szCs w:val="24"/>
          <w:lang w:val="en-US"/>
        </w:rPr>
        <w:t xml:space="preserve">If children have access to </w:t>
      </w:r>
      <w:bookmarkStart w:name="_Int_YGqVTi5P" w:id="301730694"/>
      <w:r w:rsidRPr="08E3A6D0" w:rsidR="08E3A6D0">
        <w:rPr>
          <w:rFonts w:ascii="Times New Roman" w:hAnsi="Times New Roman" w:eastAsia="Times New Roman" w:cs="Times New Roman"/>
          <w:noProof w:val="0"/>
          <w:color w:val="0E101A"/>
          <w:sz w:val="24"/>
          <w:szCs w:val="24"/>
          <w:lang w:val="en-US"/>
        </w:rPr>
        <w:t>loose</w:t>
      </w:r>
      <w:bookmarkEnd w:id="301730694"/>
      <w:r w:rsidRPr="08E3A6D0" w:rsidR="08E3A6D0">
        <w:rPr>
          <w:rFonts w:ascii="Times New Roman" w:hAnsi="Times New Roman" w:eastAsia="Times New Roman" w:cs="Times New Roman"/>
          <w:noProof w:val="0"/>
          <w:color w:val="0E101A"/>
          <w:sz w:val="24"/>
          <w:szCs w:val="24"/>
          <w:lang w:val="en-US"/>
        </w:rPr>
        <w:t xml:space="preserve"> parts, they can play with larger, heavier items such as old Tyres, boards, and blocks of wood, boxes, and plastic pipes (Broadhead and Burt, 2012; Brown, 2003). Cooperative play with loose parts includes lifting, carrying, and sorting materials, as well as building dens (Moore,2010). Constructive play allows children to govern their environment, helping them to be flexible thinkers while also improving their motor abilities (Bruner,1972) and instilling a sense of control and self-esteem (Chaille,2008). To foster constructive play in practice for young children, practitioners must understand its importance, </w:t>
      </w:r>
      <w:r w:rsidRPr="08E3A6D0" w:rsidR="08E3A6D0">
        <w:rPr>
          <w:rFonts w:ascii="Times New Roman" w:hAnsi="Times New Roman" w:eastAsia="Times New Roman" w:cs="Times New Roman"/>
          <w:noProof w:val="0"/>
          <w:color w:val="0E101A"/>
          <w:sz w:val="24"/>
          <w:szCs w:val="24"/>
          <w:lang w:val="en-US"/>
        </w:rPr>
        <w:t>to</w:t>
      </w:r>
      <w:r w:rsidRPr="08E3A6D0" w:rsidR="08E3A6D0">
        <w:rPr>
          <w:rFonts w:ascii="Times New Roman" w:hAnsi="Times New Roman" w:eastAsia="Times New Roman" w:cs="Times New Roman"/>
          <w:noProof w:val="0"/>
          <w:color w:val="0E101A"/>
          <w:sz w:val="24"/>
          <w:szCs w:val="24"/>
          <w:lang w:val="en-US"/>
        </w:rPr>
        <w:t xml:space="preserve"> do so, practitioners must first </w:t>
      </w:r>
      <w:r w:rsidRPr="08E3A6D0" w:rsidR="08E3A6D0">
        <w:rPr>
          <w:rFonts w:ascii="Times New Roman" w:hAnsi="Times New Roman" w:eastAsia="Times New Roman" w:cs="Times New Roman"/>
          <w:noProof w:val="0"/>
          <w:color w:val="0E101A"/>
          <w:sz w:val="24"/>
          <w:szCs w:val="24"/>
          <w:lang w:val="en-US"/>
        </w:rPr>
        <w:t>provide</w:t>
      </w:r>
      <w:r w:rsidRPr="08E3A6D0" w:rsidR="08E3A6D0">
        <w:rPr>
          <w:rFonts w:ascii="Times New Roman" w:hAnsi="Times New Roman" w:eastAsia="Times New Roman" w:cs="Times New Roman"/>
          <w:noProof w:val="0"/>
          <w:color w:val="0E101A"/>
          <w:sz w:val="24"/>
          <w:szCs w:val="24"/>
          <w:lang w:val="en-US"/>
        </w:rPr>
        <w:t xml:space="preserve"> a wide variety of attractive products, such as:</w:t>
      </w:r>
    </w:p>
    <w:p xmlns:wp14="http://schemas.microsoft.com/office/word/2010/wordml" w:rsidP="08E3A6D0" w14:paraId="5E31BD93" wp14:textId="038FC183">
      <w:pPr>
        <w:pStyle w:val="Normal"/>
        <w:ind w:left="0"/>
        <w:jc w:val="both"/>
        <w:rPr>
          <w:rFonts w:ascii="Times New Roman" w:hAnsi="Times New Roman" w:eastAsia="Times New Roman" w:cs="Times New Roman"/>
          <w:noProof w:val="0"/>
          <w:color w:val="0E101A"/>
          <w:sz w:val="24"/>
          <w:szCs w:val="24"/>
          <w:lang w:val="en-US"/>
        </w:rPr>
      </w:pPr>
    </w:p>
    <w:p xmlns:wp14="http://schemas.microsoft.com/office/word/2010/wordml" w:rsidP="08E3A6D0" w14:paraId="46022D5C" wp14:textId="7A030532">
      <w:pPr>
        <w:pStyle w:val="ListParagraph"/>
        <w:numPr>
          <w:ilvl w:val="0"/>
          <w:numId w:val="3"/>
        </w:numPr>
        <w:jc w:val="both"/>
        <w:rPr>
          <w:rFonts w:ascii="Times New Roman" w:hAnsi="Times New Roman" w:eastAsia="Times New Roman" w:cs="Times New Roman"/>
          <w:noProof w:val="0"/>
          <w:color w:val="0E101A"/>
          <w:sz w:val="24"/>
          <w:szCs w:val="24"/>
          <w:lang w:val="en-US"/>
        </w:rPr>
      </w:pPr>
      <w:r w:rsidRPr="08E3A6D0" w:rsidR="1C0326BD">
        <w:rPr>
          <w:rFonts w:ascii="Times New Roman" w:hAnsi="Times New Roman" w:eastAsia="Times New Roman" w:cs="Times New Roman"/>
          <w:noProof w:val="0"/>
          <w:color w:val="0E101A"/>
          <w:sz w:val="24"/>
          <w:szCs w:val="24"/>
          <w:lang w:val="en-US"/>
        </w:rPr>
        <w:t xml:space="preserve">Sand and sand toys </w:t>
      </w:r>
    </w:p>
    <w:p xmlns:wp14="http://schemas.microsoft.com/office/word/2010/wordml" w:rsidP="08E3A6D0" w14:paraId="112DBB94" wp14:textId="6D291D5E">
      <w:pPr>
        <w:pStyle w:val="ListParagraph"/>
        <w:numPr>
          <w:ilvl w:val="0"/>
          <w:numId w:val="3"/>
        </w:numPr>
        <w:jc w:val="both"/>
        <w:rPr>
          <w:rFonts w:ascii="Times New Roman" w:hAnsi="Times New Roman" w:eastAsia="Times New Roman" w:cs="Times New Roman"/>
          <w:noProof w:val="0"/>
          <w:color w:val="0E101A"/>
          <w:sz w:val="24"/>
          <w:szCs w:val="24"/>
          <w:lang w:val="en-US"/>
        </w:rPr>
      </w:pPr>
      <w:r w:rsidRPr="08E3A6D0" w:rsidR="1C0326BD">
        <w:rPr>
          <w:rFonts w:ascii="Times New Roman" w:hAnsi="Times New Roman" w:eastAsia="Times New Roman" w:cs="Times New Roman"/>
          <w:noProof w:val="0"/>
          <w:color w:val="0E101A"/>
          <w:sz w:val="24"/>
          <w:szCs w:val="24"/>
          <w:lang w:val="en-US"/>
        </w:rPr>
        <w:t xml:space="preserve">a wide range of puzzles </w:t>
      </w:r>
    </w:p>
    <w:p xmlns:wp14="http://schemas.microsoft.com/office/word/2010/wordml" w:rsidP="08E3A6D0" w14:paraId="67EB3EFD" wp14:textId="32D921ED">
      <w:pPr>
        <w:pStyle w:val="ListParagraph"/>
        <w:numPr>
          <w:ilvl w:val="0"/>
          <w:numId w:val="3"/>
        </w:numPr>
        <w:jc w:val="both"/>
        <w:rPr>
          <w:rFonts w:ascii="Times New Roman" w:hAnsi="Times New Roman" w:eastAsia="Times New Roman" w:cs="Times New Roman"/>
          <w:noProof w:val="0"/>
          <w:color w:val="0E101A"/>
          <w:sz w:val="24"/>
          <w:szCs w:val="24"/>
          <w:lang w:val="en-US"/>
        </w:rPr>
      </w:pPr>
      <w:r w:rsidRPr="08E3A6D0" w:rsidR="1C0326BD">
        <w:rPr>
          <w:rFonts w:ascii="Times New Roman" w:hAnsi="Times New Roman" w:eastAsia="Times New Roman" w:cs="Times New Roman"/>
          <w:noProof w:val="0"/>
          <w:color w:val="0E101A"/>
          <w:sz w:val="24"/>
          <w:szCs w:val="24"/>
          <w:lang w:val="en-US"/>
        </w:rPr>
        <w:t xml:space="preserve">Clay, playdough  </w:t>
      </w:r>
    </w:p>
    <w:p xmlns:wp14="http://schemas.microsoft.com/office/word/2010/wordml" w:rsidP="08E3A6D0" w14:paraId="37D54C0C" wp14:textId="120C9A08">
      <w:pPr>
        <w:pStyle w:val="ListParagraph"/>
        <w:numPr>
          <w:ilvl w:val="0"/>
          <w:numId w:val="3"/>
        </w:numPr>
        <w:jc w:val="both"/>
        <w:rPr>
          <w:rFonts w:ascii="Times New Roman" w:hAnsi="Times New Roman" w:eastAsia="Times New Roman" w:cs="Times New Roman"/>
          <w:noProof w:val="0"/>
          <w:color w:val="0E101A"/>
          <w:sz w:val="24"/>
          <w:szCs w:val="24"/>
          <w:lang w:val="en-US"/>
        </w:rPr>
      </w:pPr>
      <w:r w:rsidRPr="08E3A6D0" w:rsidR="1C0326BD">
        <w:rPr>
          <w:rFonts w:ascii="Times New Roman" w:hAnsi="Times New Roman" w:eastAsia="Times New Roman" w:cs="Times New Roman"/>
          <w:noProof w:val="0"/>
          <w:color w:val="0E101A"/>
          <w:sz w:val="24"/>
          <w:szCs w:val="24"/>
          <w:lang w:val="en-US"/>
        </w:rPr>
        <w:t>A place to work with wood</w:t>
      </w:r>
    </w:p>
    <w:p w:rsidR="0FB2DFA1" w:rsidP="08E3A6D0" w:rsidRDefault="0FB2DFA1" w14:paraId="11653700" w14:textId="4A16F7C5">
      <w:pPr>
        <w:pStyle w:val="Normal"/>
        <w:ind w:left="0"/>
        <w:jc w:val="both"/>
        <w:rPr>
          <w:rFonts w:ascii="Times New Roman" w:hAnsi="Times New Roman" w:eastAsia="Times New Roman" w:cs="Times New Roman"/>
          <w:noProof w:val="0"/>
          <w:color w:val="0E101A"/>
          <w:sz w:val="24"/>
          <w:szCs w:val="24"/>
          <w:lang w:val="en-US"/>
        </w:rPr>
      </w:pPr>
    </w:p>
    <w:p w:rsidR="0FB2DFA1" w:rsidP="08E3A6D0" w:rsidRDefault="0FB2DFA1" w14:paraId="001677BF" w14:textId="28E0E8D8">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8E3A6D0" w:rsidR="0FB2DFA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Section 2</w:t>
      </w:r>
    </w:p>
    <w:p w:rsidR="0FB2DFA1" w:rsidP="08E3A6D0" w:rsidRDefault="0FB2DFA1" w14:paraId="1A6915FA" w14:textId="3EDD9FA9">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8E3A6D0" w:rsidR="0FB2DFA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Why is it important for children to choose their own play? and importance of the role of adults in children’s play</w:t>
      </w:r>
    </w:p>
    <w:p w:rsidR="0FB2DFA1" w:rsidP="08E3A6D0" w:rsidRDefault="0FB2DFA1" w14:paraId="408D5058" w14:textId="0BE6EDAB">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What is Self-directed play?</w:t>
      </w:r>
    </w:p>
    <w:p w:rsidR="0FB2DFA1" w:rsidP="08E3A6D0" w:rsidRDefault="0FB2DFA1" w14:paraId="2970230A" w14:textId="4941E7CC">
      <w:pPr>
        <w:spacing w:after="160" w:line="259" w:lineRule="auto"/>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Self-directed play is defined as allowing children to play without a set structure, on their own, and without adult interference. It is defined by play, which is described as: freely selected - by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determining</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and regulating the content and goal of their play. Intrinsically Motivated- by playing for their own reasons Personal Direction by following their own instincts, opinions, and interests (PPSG 2005). The value of free play has been studied extensively. All children need to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participate</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in Free Play. Starting in their early years and continuing through the Key Stages, it is critical to their development. Children have the flexibility to do anything they want; however, they want, and when they want to stop and try something new. Adults do not impose a curriculum on free play and do not set external goals.</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Although adults may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provide</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space and resources for free play, the child takes the lead, and adults respond to the child's cues. Juster et al., 2015. When it comes to Free Play, the concept of choice is crucial. This is not to argue that limits are not necessary. Limits must be implemented while keeping in mind the importance of enabling children to pick their own activities and ensuring that this is achievable (Gray, 2013). </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"Play is children's work," declared Maria Montessori.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When it comes to children's play,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it is</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important to note that practitioners can play one of two roles: supporting and leading or controlling, and only one of these is beneficial to the child. Practitioners who supervise, lead, or take over a child's play are violating the child's self-chosen and self-directed play principles. When children are not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permitted</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to explore freely, the experience loses its meaning. Instead, if practitioners aid children in expanding and deepening their experiences by being present and participating but without taking over, they may build themselves up,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participate</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in learning and exploration, and practitioners can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assist</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them in expanding and deepening their experiences (Rymanowicz, 2015). The Early Childhood Curriculum Framework acknowledges three levels of adult play in the "Learning and growing through play" section.</w:t>
      </w:r>
    </w:p>
    <w:p w:rsidR="0FB2DFA1" w:rsidP="08E3A6D0" w:rsidRDefault="0FB2DFA1" w14:paraId="360AA2ED" w14:textId="277B6645">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1. Planning for play</w:t>
      </w:r>
    </w:p>
    <w:p w:rsidR="08E3A6D0" w:rsidP="08E3A6D0" w:rsidRDefault="08E3A6D0" w14:paraId="0FA28D4D" w14:textId="5B72F885">
      <w:pPr>
        <w:spacing w:after="160" w:line="259" w:lineRule="auto"/>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Practitioners may enhance a child's regular play and help them be successful and independent by building a setting (either inside or outdoors) based on their abilities, talents, and requirements by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observing</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the surroundings and the structure,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building,</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and extending by offering opportunities or resources that expand on what they have learned so far, the practitioner can test a child's present knowledge or comprehension. Allowing children to make their own choices empowers them while also allowing them to direct their own learning experiences based on their interests and skills.</w:t>
      </w:r>
    </w:p>
    <w:p w:rsidR="0FB2DFA1" w:rsidP="08E3A6D0" w:rsidRDefault="0FB2DFA1" w14:paraId="2B93EC36" w14:textId="363495C1">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2. Supporting play</w:t>
      </w:r>
    </w:p>
    <w:p w:rsidR="0FB2DFA1" w:rsidP="08E3A6D0" w:rsidRDefault="0FB2DFA1" w14:paraId="7DE3C274" w14:textId="709B3FF5">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By actively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participating</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in play when they are invited, practitioners may enhance a child's current knowledge and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assist</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them in making social contacts. This may be done by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exhibiting</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positive interactions or behaviors. Keeping problems at bay Adults who are actively involved in the play process are better positioned to intervene if a situation arises in which a child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requires</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assistance</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whether it is an interpersonal conflict, a problem, or a safety issue.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It is</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also important to remember that children need opportunities to solve problems and resolve conflicts on their own.</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Allow plenty of opportunity for children to practice these skills on their own, and only intervene if </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required</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also When practitioners are routinely involved in children's play, they can function as a bridge to </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assist</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children to feel at ease and start </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participating</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in play.</w:t>
      </w:r>
    </w:p>
    <w:p w:rsidR="0FB2DFA1" w:rsidP="08E3A6D0" w:rsidRDefault="0FB2DFA1" w14:paraId="26069BDE" w14:textId="769FBD38">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3. Reviewing play</w:t>
      </w:r>
    </w:p>
    <w:p w:rsidR="0FB2DFA1" w:rsidP="08E3A6D0" w:rsidRDefault="0FB2DFA1" w14:paraId="04055007" w14:textId="1150104C">
      <w:pPr>
        <w:pStyle w:val="Normal"/>
        <w:spacing w:after="160" w:line="259" w:lineRule="auto"/>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It is crucial to keep an eye on the setting and create an environment that is conducive to children's play. By evaluating how the location affects the child's play, the adult can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produce</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methods to enhance it. The practitioner may get to know children by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observing</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and interacting with them during play. Because of such experiences, the practitioner can evaluate a child's progress by critically reflecting on their interests, relationships, connections, and preferences.</w:t>
      </w:r>
    </w:p>
    <w:p w:rsidR="0FB2DFA1" w:rsidP="08E3A6D0" w:rsidRDefault="0FB2DFA1" w14:paraId="550B2B61" w14:textId="6572B5B9">
      <w:pPr>
        <w:pStyle w:val="Normal"/>
        <w:spacing w:after="160" w:line="259" w:lineRule="auto"/>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Based on Howard and McInnes' article on children's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perceptions</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of play, it is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demonstrated</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that when children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recognize</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an activity as "non-play" when adults are in charge, they become less engaged and feel forced to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participate</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whereas</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when they are given the option to play, they are motivated and willing to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participate</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p>
    <w:p w:rsidR="0FB2DFA1" w:rsidP="08E3A6D0" w:rsidRDefault="0FB2DFA1" w14:paraId="496C070E" w14:textId="5C52BE75">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8E3A6D0" w:rsidR="0FB2DFA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SECTION 3</w:t>
      </w:r>
      <w:r w:rsidRPr="08E3A6D0" w:rsidR="0FB2DFA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p>
    <w:p w:rsidR="0FB2DFA1" w:rsidP="08E3A6D0" w:rsidRDefault="0FB2DFA1" w14:paraId="2BE7DC07" w14:textId="4C75833B">
      <w:pPr>
        <w:spacing w:line="216" w:lineRule="auto"/>
        <w:jc w:val="both"/>
        <w:rPr>
          <w:rFonts w:ascii="Times New Roman" w:hAnsi="Times New Roman" w:eastAsia="Times New Roman" w:cs="Times New Roman"/>
          <w:b w:val="1"/>
          <w:bCs w:val="1"/>
          <w:noProof w:val="0"/>
          <w:color w:val="auto"/>
          <w:sz w:val="24"/>
          <w:szCs w:val="24"/>
          <w:lang w:val="en-US"/>
        </w:rPr>
      </w:pPr>
      <w:r w:rsidRPr="08E3A6D0" w:rsidR="0FB2DFA1">
        <w:rPr>
          <w:rFonts w:ascii="Times New Roman" w:hAnsi="Times New Roman" w:eastAsia="Times New Roman" w:cs="Times New Roman"/>
          <w:b w:val="1"/>
          <w:bCs w:val="1"/>
          <w:noProof w:val="0"/>
          <w:color w:val="auto"/>
          <w:sz w:val="24"/>
          <w:szCs w:val="24"/>
          <w:lang w:val="en-US"/>
        </w:rPr>
        <w:t>In-depth discussion and understanding of an observation method for young children.</w:t>
      </w:r>
    </w:p>
    <w:p w:rsidR="0FB2DFA1" w:rsidP="08E3A6D0" w:rsidRDefault="0FB2DFA1" w14:paraId="1AA94B29" w14:textId="3CB940FE">
      <w:pPr>
        <w:spacing w:after="160" w:line="259" w:lineRule="auto"/>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The Leuven scale is a five-point measure used to assess a child's emotional well-being and involvement by childcare workers, nursery practitioners, and teachers. The notion of emotional well-being and involvement is particularly important in the early years since it preserves a child's emotional development while simultaneously encouraging engagement for learning progress (Laevers, 2005).</w:t>
      </w:r>
    </w:p>
    <w:p w:rsidR="0FB2DFA1" w:rsidP="08E3A6D0" w:rsidRDefault="0FB2DFA1" w14:paraId="4F5BACC7" w14:textId="5C445421">
      <w:pPr>
        <w:pStyle w:val="Normal"/>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8E3A6D0" w:rsidR="0FB2DFA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The Leuven scale for emotional well-being</w:t>
      </w:r>
      <w:r w:rsidRPr="08E3A6D0" w:rsidR="0FB2DFA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p>
    <w:p w:rsidR="08E3A6D0" w:rsidP="08E3A6D0" w:rsidRDefault="08E3A6D0" w14:paraId="16E0F6C7" w14:textId="343D7E03">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emotional well-being of children is </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important</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Children who feel safe in their environment are more likely to learn and develop properly. It is vital to </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provide</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 environment in which children feel happy, safe, and supported. The Leuven scale for emotional well-being features a five-point scale, with one </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indicating</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lowest degree of emotional well-being and five being the best level of emotional well-being a child may reach. The scale </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contains</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several characteristics that can help </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establish</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where a child fits on the scale (Northumberland early years, 2017):</w:t>
      </w:r>
    </w:p>
    <w:p w:rsidR="0FB2DFA1" w:rsidP="08E3A6D0" w:rsidRDefault="0FB2DFA1" w14:paraId="11EB449A" w14:textId="18841150">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8E3A6D0" w:rsidR="0FB2DF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 Extremely low: The child screams or cries in response to his or her distress. Children in this category may appear fearful, distant, or withdrawn.</w:t>
      </w:r>
    </w:p>
    <w:p w:rsidR="0FB2DFA1" w:rsidP="08E3A6D0" w:rsidRDefault="0FB2DFA1" w14:paraId="3F5D687E" w14:textId="2724BC79">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8E3A6D0" w:rsidR="0FB2DF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 Low: The child's posture may be slouched, and he or she may seem anxious. </w:t>
      </w:r>
    </w:p>
    <w:p w:rsidR="0FB2DFA1" w:rsidP="08E3A6D0" w:rsidRDefault="0FB2DFA1" w14:paraId="1D5E87BB" w14:textId="6E7EFD6F">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8E3A6D0" w:rsidR="0FB2DF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 Moderate: The child's temperament and facial expression are neutral. They do not appear to be in any discomfort, joy, comfort, or grief, as seen by their expression and posture.</w:t>
      </w:r>
    </w:p>
    <w:p w:rsidR="0FB2DFA1" w:rsidP="08E3A6D0" w:rsidRDefault="0FB2DFA1" w14:paraId="410B4104" w14:textId="1A196D79">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8E3A6D0" w:rsidR="0FB2DF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4. High: The child exhibits evidence of contentment, joy, and pleasure.</w:t>
      </w:r>
    </w:p>
    <w:p w:rsidR="0FB2DFA1" w:rsidP="08E3A6D0" w:rsidRDefault="0FB2DFA1" w14:paraId="51A31D28" w14:textId="68F969F8">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8E3A6D0" w:rsidR="0FB2DF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5. Extremely high: The child is self-assured, happy, and active, with no evidence of strain or stress. These children may sing, hum, chat to themselves, and look at ease in their own company. Their actions are expressive and unscripted.</w:t>
      </w:r>
    </w:p>
    <w:p w:rsidR="0FB2DFA1" w:rsidP="08E3A6D0" w:rsidRDefault="0FB2DFA1" w14:paraId="66E65499" w14:textId="3684573E">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FB2DFA1" w:rsidP="08E3A6D0" w:rsidRDefault="0FB2DFA1" w14:paraId="3F92D69A" w14:textId="783464BD">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8E3A6D0" w:rsidR="0FB2DFA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The Leuven scale levels of involvement</w:t>
      </w:r>
      <w:r w:rsidRPr="08E3A6D0" w:rsidR="0FB2DF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are used to </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determine</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child's degree of involvement in an activity. The degrees of involvement on the Leuven scale are similarly numbered from 1 to 5, and they follow the same pattern as the emotional well-being scale, </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even though</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it often goes hand in hand with their emotional well-being (Northumberland early years,2017).</w:t>
      </w:r>
    </w:p>
    <w:p w:rsidR="0FB2DFA1" w:rsidP="08E3A6D0" w:rsidRDefault="0FB2DFA1" w14:paraId="25FFAF59" w14:textId="591CBAEF">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8E3A6D0" w:rsidR="0FB2DF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1.Extremely low: The child may display signs of attention deficit and a lack of strength. </w:t>
      </w:r>
    </w:p>
    <w:p w:rsidR="0FB2DFA1" w:rsidP="08E3A6D0" w:rsidRDefault="0FB2DFA1" w14:paraId="124F57D8" w14:textId="23273DA6">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8E3A6D0" w:rsidR="0FB2DF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 Low: Distraction is easy for the child. These children may pay attention to a task while being </w:t>
      </w:r>
      <w:r w:rsidRPr="08E3A6D0" w:rsidR="0FB2DF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observed</w:t>
      </w:r>
      <w:r w:rsidRPr="08E3A6D0" w:rsidR="0FB2DF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but then go through periods of absent-mindedness, staring blankly around them.</w:t>
      </w:r>
    </w:p>
    <w:p w:rsidR="0FB2DFA1" w:rsidP="08E3A6D0" w:rsidRDefault="0FB2DFA1" w14:paraId="19F43154" w14:textId="3E3C598C">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8E3A6D0" w:rsidR="0FB2DF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3. Moderate: The child may appear to be engaged in some activity, but only in a casual manner. </w:t>
      </w:r>
    </w:p>
    <w:p w:rsidR="0FB2DFA1" w:rsidP="08E3A6D0" w:rsidRDefault="0FB2DFA1" w14:paraId="581D0721" w14:textId="7BB750A3">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8E3A6D0" w:rsidR="0FB2DF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4. High: The child does not appear to be easily distracted and appears to be completely absorbed in what he or she is doing.</w:t>
      </w:r>
    </w:p>
    <w:p w:rsidR="0FB2DFA1" w:rsidP="08E3A6D0" w:rsidRDefault="0FB2DFA1" w14:paraId="3B4D5FF5" w14:textId="247B866A">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8E3A6D0" w:rsidR="0FB2DF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5. Extremely high: The child engages in vigorous activity on a regular basis and is fully engaged. These children are creative, persistent, concentrated, and energetic the whole time they are being </w:t>
      </w:r>
      <w:r w:rsidRPr="08E3A6D0" w:rsidR="0FB2DF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observed</w:t>
      </w:r>
      <w:r w:rsidRPr="08E3A6D0" w:rsidR="0FB2DF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0FB2DFA1" w:rsidP="08E3A6D0" w:rsidRDefault="0FB2DFA1" w14:paraId="4BF71CEA" w14:textId="17A50D29">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Practitioners should </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observe</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babies and children in groups or individually for two minutes before assigning a score based on their happiness and participation. Learning will be hampered if children are discovered to be </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operating</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at a score of less than 4 or 5. (Arnerich,2021). It is still crucial to assess how well practitioners tune in to children's levels of happiness and participation, as well as how sensitively they respond to low levels. Even a modest quantity of pleasure or interest may be transformed into a learning opportunity that leads to greater happiness or interest. The </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initial</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assessment serves as a jumping-off point for further inquiry, with a focus on children who show lower levels of happiness and involvement. This research aids practitioners in evaluating the quality of their services and </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provides</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advice on how to best serve certain children (HMIE,2012). Measuring children's levels of well-being and involvement may also stimulate and motivate practitioners when high-quality service and interactions enable children to </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demonstrate</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improved levels of well-being and participation more </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frequently</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One of The Leuven Scale's main benefits is that it is observation-based and puts the child at the </w:t>
      </w:r>
      <w:proofErr w:type="spellStart"/>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centre</w:t>
      </w:r>
      <w:proofErr w:type="spellEnd"/>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their own learning. The Leuven Scale is one of the most successful ways to measure and assess children's learning and engagement, despite its flaws, since it </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provides</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science-based teaching and learning instrument that is also simple to use. The Leuven scale has a problem in that it ignores children with special educational needs or disabilities. The behaviors included on the scale are </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frequently</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absent or less </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apparent</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SEND children, particularly nonverbal children. This fault may be extended to cultural differences in children's </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behavior</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it has many of the same defects as John Bowlby's attachment theory, namely, that children act differently in </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diverse cultures</w:t>
      </w:r>
      <w:r w:rsidRPr="08E3A6D0" w:rsidR="08E3A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0FB2DFA1" w:rsidP="08E3A6D0" w:rsidRDefault="0FB2DFA1" w14:paraId="6F09669B" w14:textId="13AEA691">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8E3A6D0" w:rsidR="0FB2DFA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Section 4</w:t>
      </w:r>
    </w:p>
    <w:p w:rsidR="0FB2DFA1" w:rsidP="08E3A6D0" w:rsidRDefault="0FB2DFA1" w14:paraId="2D36CBD5" w14:textId="21C239AE">
      <w:pPr>
        <w:pStyle w:val="Normal"/>
        <w:spacing w:after="160" w:line="259" w:lineRule="auto"/>
        <w:jc w:val="both"/>
        <w:rPr>
          <w:rFonts w:ascii="Times New Roman" w:hAnsi="Times New Roman" w:eastAsia="Times New Roman" w:cs="Times New Roman"/>
          <w:b w:val="1"/>
          <w:bCs w:val="1"/>
          <w:noProof w:val="0"/>
          <w:color w:val="auto"/>
          <w:sz w:val="24"/>
          <w:szCs w:val="24"/>
          <w:lang w:val="en-US"/>
        </w:rPr>
      </w:pPr>
      <w:r w:rsidRPr="08E3A6D0" w:rsidR="0FB2DFA1">
        <w:rPr>
          <w:rFonts w:ascii="Times New Roman" w:hAnsi="Times New Roman" w:eastAsia="Times New Roman" w:cs="Times New Roman"/>
          <w:b w:val="1"/>
          <w:bCs w:val="1"/>
          <w:noProof w:val="0"/>
          <w:color w:val="auto"/>
          <w:sz w:val="24"/>
          <w:szCs w:val="24"/>
          <w:lang w:val="en-US"/>
        </w:rPr>
        <w:t>Demonstrate an understanding of the role of play when undertaking observations and assessments of children and consider how this affects the child’s engagement and the accuracy of the observation</w:t>
      </w:r>
    </w:p>
    <w:p w:rsidR="0FB2DFA1" w:rsidP="08E3A6D0" w:rsidRDefault="0FB2DFA1" w14:paraId="73FFB66C" w14:textId="560B067F">
      <w:pPr>
        <w:spacing w:after="160" w:line="259" w:lineRule="auto"/>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The observations of children are significant. Because each child has a unique collection of characteristics and talents, observations in a variety of settings are used to document these experiences. The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initial</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point is always the child. Adults may learn a lot about children by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observing</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what they do, their interests, and the people and resources with whom they enjoy playing. Observation and assessment can help the practitioner better understand how children learn and develop.</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Using observation in this way is a valuable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practice</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Young children's learning may be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observed</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through their play and interaction. Teachers can also use observation to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analyze</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the requirements of their children and better plan their next steps in learning. Observations are done on a regular basis as part of routine processes (Early years matter, 2012). Babies and young children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require</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alert practitioners who show compassion and respect, as well as a comprehension of and reaction to their needs, resulting in meaningful reciprocal connections (Petrie and Owen 2005). Practitioners watch children's play for several reasons.</w:t>
      </w:r>
    </w:p>
    <w:p w:rsidR="0FB2DFA1" w:rsidP="08E3A6D0" w:rsidRDefault="0FB2DFA1" w14:paraId="62993A60" w14:textId="6AD332C7">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To gain a better understanding of what each child knows and can do.</w:t>
      </w:r>
    </w:p>
    <w:p w:rsidR="0FB2DFA1" w:rsidP="08E3A6D0" w:rsidRDefault="0FB2DFA1" w14:paraId="744FE591" w14:textId="5B5411A6">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To have a better understanding of individual children's interests and learning styles so that practitioners can effectively </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assist</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their learning and development.</w:t>
      </w:r>
    </w:p>
    <w:p w:rsidR="0FB2DFA1" w:rsidP="08E3A6D0" w:rsidRDefault="0FB2DFA1" w14:paraId="2CD1CE85" w14:textId="5D6686F0">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To aid in the overall planning and delivering of services.</w:t>
      </w:r>
    </w:p>
    <w:p w:rsidR="0FB2DFA1" w:rsidP="08E3A6D0" w:rsidRDefault="0FB2DFA1" w14:paraId="4853953E" w14:textId="4E7BF0D4">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The best place to start when it comes to educating children is with what they already know and can do. Paying close attention to children while they are playing might help develop this. Careful observation and evaluation will reveal to practitioners what knowledge, abilities, and aptitudes children currently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possess</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as well as what is necessary to advance their learning and development (Hobart and Frankel, 2004). The best way to encourage children's learning and development is to make sure that both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planned,</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and child-initiated learning opportunities are closely aligned to their needs, both to meet their current needs and interests and to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provide</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opportunities for them to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participate</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in activities and experiences that extend their learning. Observation should affect this approach by carefully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analyzing</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the children's needs and interests as </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indicated</w:t>
      </w:r>
      <w:r w:rsidRPr="08E3A6D0" w:rsidR="08E3A6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in the offering.</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Observing children's play and learning is a great approach to broaden professional horizons. Children never cease to amaze. We will lose out on so much of the complexity of children's play if we confine our observations to gathering data to measure them against developmental norms and predefined criteria. If we choose to</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observ</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just those elements of learning that we approve of, we will miss the opportunity to see more of the picture, to learn more about learning; there is always more to learn and more to see, as Drummond (1993) puts it. Practitioners can learn a lot from children if they pay attention and are willing to see what children know and can do. Practitioners may see things that contradict their expectations about individual children and/or expected developmental progress and stages; children may</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observ</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things that practitioners need to think about and reflect on to understand exactly what was going on; All of this adds to professional knowledge and skill set, allowing practitioners to have a deeper grasp of young children's learning and development (Papatheodorou and Luff, 2012). When children's play is</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observe</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and assessed properly, it is done with compassion, acknowledging that the goal of monitoring children's learning is to perceive each child as a person with unique talents and needs. Every child will have a unique set of experiences when they enter a situation (Papatheodorou and Luff, 2012). These encounters will have had a direct influence on their learning and growth. Some children's experiences will have</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assiste</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their learning and growth, and they will have age-appropriate information, skills, and aptitudes. Other children's experiences will</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determin</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that they will need more time and opportunity to develop and learn in their surroundings before reaching developmental milestones (Palaiologou, 2012). The Early Years Foundation Stage (DFE, 2012) mandates that most assessments of children's abilities and needs be done through observation. Ongoing evaluation is an important aspect of the learning and development process, according to the document. It entails practitioners studying children to</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determin</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their level of accomplishment, interests, and learning styles, and then tailoring learning experiences for each kid based on those observations. (Source: DFE, 2012, p.10). Practitioners are prone to</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observin</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just what is</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immediatel</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w:t>
      </w:r>
      <w:r w:rsidRPr="08E3A6D0" w:rsidR="0FB2DF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observable, such as what children say and do. This is obviously a vital feature of observation, but other parts of who children are, such as their feelings, ideas, attitudes, and dispositions, are also significant (Smidt, 2005).</w:t>
      </w:r>
    </w:p>
    <w:p w:rsidR="0FB2DFA1" w:rsidP="0FB2DFA1" w:rsidRDefault="0FB2DFA1" w14:paraId="00EED383" w14:textId="39548DA8">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0FB2DFA1" w:rsidP="0FB2DFA1" w:rsidRDefault="0FB2DFA1" w14:paraId="18BBC4DB" w14:textId="6E566839">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0FB2DFA1" w:rsidP="0FB2DFA1" w:rsidRDefault="0FB2DFA1" w14:paraId="46874011" w14:textId="3AB56164">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0FB2DFA1" w:rsidP="0FB2DFA1" w:rsidRDefault="0FB2DFA1" w14:paraId="4EB8D66E" w14:textId="3E5AB4B9">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0FB2DFA1" w:rsidP="0FB2DFA1" w:rsidRDefault="0FB2DFA1" w14:paraId="4101E9AD" w14:textId="49162205">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0FB2DFA1" w:rsidP="0FB2DFA1" w:rsidRDefault="0FB2DFA1" w14:paraId="6521BC9C" w14:textId="0B7C7F6D">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0FB2DFA1" w:rsidP="0FB2DFA1" w:rsidRDefault="0FB2DFA1" w14:paraId="2EA8862A" w14:textId="508789A7">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0FB2DFA1" w:rsidP="0FB2DFA1" w:rsidRDefault="0FB2DFA1" w14:paraId="26C2387B" w14:textId="7024B1A0">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0FB2DFA1" w:rsidP="0FB2DFA1" w:rsidRDefault="0FB2DFA1" w14:paraId="4E565774" w14:textId="0B2C032A">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0FB2DFA1" w:rsidP="0FB2DFA1" w:rsidRDefault="0FB2DFA1" w14:paraId="06A4A43C" w14:textId="3BA5326F">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0FB2DFA1" w:rsidP="0FB2DFA1" w:rsidRDefault="0FB2DFA1" w14:paraId="5277EEAB" w14:textId="5B77B378">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0FB2DFA1" w:rsidP="0FB2DFA1" w:rsidRDefault="0FB2DFA1" w14:paraId="6175C283" w14:textId="620119C8">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0FB2DFA1" w:rsidP="0FB2DFA1" w:rsidRDefault="0FB2DFA1" w14:paraId="60DEC418" w14:textId="5E6269A4">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08E3A6D0" w:rsidP="08E3A6D0" w:rsidRDefault="08E3A6D0" w14:paraId="3EE7563C" w14:textId="07FBF9A1">
      <w:pPr>
        <w:pStyle w:val="Normal"/>
        <w:spacing w:after="160" w:line="259" w:lineRule="auto"/>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pPr>
    </w:p>
    <w:p w:rsidR="08E3A6D0" w:rsidP="08E3A6D0" w:rsidRDefault="08E3A6D0" w14:paraId="3D0CF3F5" w14:textId="62A48957">
      <w:pPr>
        <w:pStyle w:val="Normal"/>
        <w:spacing w:after="160" w:line="259" w:lineRule="auto"/>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pPr>
    </w:p>
    <w:p w:rsidR="08E3A6D0" w:rsidP="08E3A6D0" w:rsidRDefault="08E3A6D0" w14:paraId="614DE071" w14:textId="59B2FD8A">
      <w:pPr>
        <w:pStyle w:val="Normal"/>
        <w:spacing w:after="160" w:line="259" w:lineRule="auto"/>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pPr>
    </w:p>
    <w:p w:rsidR="0FB2DFA1" w:rsidP="0FB2DFA1" w:rsidRDefault="0FB2DFA1" w14:paraId="14770BC2" w14:textId="16973452">
      <w:pPr>
        <w:pStyle w:val="Normal"/>
        <w:spacing w:after="160" w:line="259" w:lineRule="auto"/>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pPr>
      <w:r w:rsidRPr="0FB2DFA1" w:rsidR="0FB2DFA1">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References</w:t>
      </w:r>
    </w:p>
    <w:p w:rsidR="0FB2DFA1" w:rsidP="0FB2DFA1" w:rsidRDefault="0FB2DFA1" w14:paraId="70ED2337" w14:textId="71F8F923">
      <w:pPr>
        <w:jc w:val="left"/>
      </w:pPr>
      <w:bookmarkStart w:name="_Int_f3Surt6S" w:id="1591107354"/>
      <w:r w:rsidRPr="0FB2DFA1" w:rsidR="0FB2DFA1">
        <w:rPr>
          <w:rFonts w:ascii="Calibri" w:hAnsi="Calibri" w:eastAsia="Calibri" w:cs="Calibri"/>
          <w:b w:val="0"/>
          <w:bCs w:val="0"/>
          <w:i w:val="0"/>
          <w:iCs w:val="0"/>
          <w:caps w:val="0"/>
          <w:smallCaps w:val="0"/>
          <w:noProof w:val="0"/>
          <w:color w:val="212529"/>
          <w:sz w:val="24"/>
          <w:szCs w:val="24"/>
          <w:lang w:val="en-US"/>
        </w:rPr>
        <w:t>Bruce, T. (1991) ‘</w:t>
      </w:r>
      <w:r w:rsidRPr="0FB2DFA1" w:rsidR="0FB2DFA1">
        <w:rPr>
          <w:rFonts w:ascii="Calibri" w:hAnsi="Calibri" w:eastAsia="Calibri" w:cs="Calibri"/>
          <w:b w:val="0"/>
          <w:bCs w:val="0"/>
          <w:i w:val="1"/>
          <w:iCs w:val="1"/>
          <w:caps w:val="0"/>
          <w:smallCaps w:val="0"/>
          <w:noProof w:val="0"/>
          <w:color w:val="212529"/>
          <w:sz w:val="24"/>
          <w:szCs w:val="24"/>
          <w:lang w:val="en-US"/>
        </w:rPr>
        <w:t>Time to Play in Early Childhood Education.</w:t>
      </w:r>
      <w:bookmarkEnd w:id="1591107354"/>
      <w:r w:rsidRPr="0FB2DFA1" w:rsidR="0FB2DFA1">
        <w:rPr>
          <w:rFonts w:ascii="Calibri" w:hAnsi="Calibri" w:eastAsia="Calibri" w:cs="Calibri"/>
          <w:b w:val="0"/>
          <w:bCs w:val="0"/>
          <w:i w:val="1"/>
          <w:iCs w:val="1"/>
          <w:caps w:val="0"/>
          <w:smallCaps w:val="0"/>
          <w:noProof w:val="0"/>
          <w:color w:val="212529"/>
          <w:sz w:val="24"/>
          <w:szCs w:val="24"/>
          <w:lang w:val="en-US"/>
        </w:rPr>
        <w:t xml:space="preserve"> ‘London</w:t>
      </w:r>
      <w:r w:rsidRPr="0FB2DFA1" w:rsidR="0FB2DFA1">
        <w:rPr>
          <w:rFonts w:ascii="Calibri" w:hAnsi="Calibri" w:eastAsia="Calibri" w:cs="Calibri"/>
          <w:b w:val="0"/>
          <w:bCs w:val="0"/>
          <w:i w:val="0"/>
          <w:iCs w:val="0"/>
          <w:caps w:val="0"/>
          <w:smallCaps w:val="0"/>
          <w:noProof w:val="0"/>
          <w:color w:val="212529"/>
          <w:sz w:val="24"/>
          <w:szCs w:val="24"/>
          <w:lang w:val="en-US"/>
        </w:rPr>
        <w:t>: Hodder &amp; Stoughton</w:t>
      </w:r>
    </w:p>
    <w:p w:rsidR="0FB2DFA1" w:rsidP="0FB2DFA1" w:rsidRDefault="0FB2DFA1" w14:paraId="2D9BAB72" w14:textId="6FCD7B6D">
      <w:pPr>
        <w:jc w:val="left"/>
      </w:pPr>
      <w:r w:rsidRPr="0FB2DFA1" w:rsidR="0FB2DFA1">
        <w:rPr>
          <w:rFonts w:ascii="Calibri" w:hAnsi="Calibri" w:eastAsia="Calibri" w:cs="Calibri"/>
          <w:b w:val="0"/>
          <w:bCs w:val="0"/>
          <w:i w:val="0"/>
          <w:iCs w:val="0"/>
          <w:caps w:val="0"/>
          <w:smallCaps w:val="0"/>
          <w:noProof w:val="0"/>
          <w:color w:val="212529"/>
          <w:sz w:val="24"/>
          <w:szCs w:val="24"/>
          <w:lang w:val="en-US"/>
        </w:rPr>
        <w:t>Bruce, T. (1996) ‘</w:t>
      </w:r>
      <w:r w:rsidRPr="0FB2DFA1" w:rsidR="0FB2DFA1">
        <w:rPr>
          <w:rFonts w:ascii="Calibri" w:hAnsi="Calibri" w:eastAsia="Calibri" w:cs="Calibri"/>
          <w:b w:val="0"/>
          <w:bCs w:val="0"/>
          <w:i w:val="1"/>
          <w:iCs w:val="1"/>
          <w:caps w:val="0"/>
          <w:smallCaps w:val="0"/>
          <w:noProof w:val="0"/>
          <w:color w:val="212529"/>
          <w:sz w:val="24"/>
          <w:szCs w:val="24"/>
          <w:lang w:val="en-US"/>
        </w:rPr>
        <w:t>Helping Young Children to Play</w:t>
      </w:r>
      <w:r w:rsidRPr="0FB2DFA1" w:rsidR="0FB2DFA1">
        <w:rPr>
          <w:rFonts w:ascii="Calibri" w:hAnsi="Calibri" w:eastAsia="Calibri" w:cs="Calibri"/>
          <w:b w:val="0"/>
          <w:bCs w:val="0"/>
          <w:i w:val="0"/>
          <w:iCs w:val="0"/>
          <w:caps w:val="0"/>
          <w:smallCaps w:val="0"/>
          <w:noProof w:val="0"/>
          <w:color w:val="212529"/>
          <w:sz w:val="24"/>
          <w:szCs w:val="24"/>
          <w:lang w:val="en-US"/>
        </w:rPr>
        <w:t>.’ London: Hodder &amp; Stoughton</w:t>
      </w:r>
    </w:p>
    <w:p w:rsidR="0FB2DFA1" w:rsidP="0FB2DFA1" w:rsidRDefault="0FB2DFA1" w14:paraId="2744AD43" w14:textId="3CF3E50E">
      <w:pPr>
        <w:jc w:val="left"/>
      </w:pPr>
      <w:r w:rsidRPr="0FB2DFA1" w:rsidR="0FB2DFA1">
        <w:rPr>
          <w:rFonts w:ascii="Calibri" w:hAnsi="Calibri" w:eastAsia="Calibri" w:cs="Calibri"/>
          <w:b w:val="0"/>
          <w:bCs w:val="0"/>
          <w:i w:val="0"/>
          <w:iCs w:val="0"/>
          <w:caps w:val="0"/>
          <w:smallCaps w:val="0"/>
          <w:noProof w:val="0"/>
          <w:color w:val="212529"/>
          <w:sz w:val="24"/>
          <w:szCs w:val="24"/>
          <w:lang w:val="en-US"/>
        </w:rPr>
        <w:t>Bruce, T. (2004) ‘</w:t>
      </w:r>
      <w:r w:rsidRPr="0FB2DFA1" w:rsidR="0FB2DFA1">
        <w:rPr>
          <w:rFonts w:ascii="Calibri" w:hAnsi="Calibri" w:eastAsia="Calibri" w:cs="Calibri"/>
          <w:b w:val="0"/>
          <w:bCs w:val="0"/>
          <w:i w:val="1"/>
          <w:iCs w:val="1"/>
          <w:caps w:val="0"/>
          <w:smallCaps w:val="0"/>
          <w:noProof w:val="0"/>
          <w:color w:val="212529"/>
          <w:sz w:val="24"/>
          <w:szCs w:val="24"/>
          <w:lang w:val="en-US"/>
        </w:rPr>
        <w:t>Developing Learning in Early Childhood</w:t>
      </w:r>
      <w:r w:rsidRPr="0FB2DFA1" w:rsidR="0FB2DFA1">
        <w:rPr>
          <w:rFonts w:ascii="Calibri" w:hAnsi="Calibri" w:eastAsia="Calibri" w:cs="Calibri"/>
          <w:b w:val="0"/>
          <w:bCs w:val="0"/>
          <w:i w:val="0"/>
          <w:iCs w:val="0"/>
          <w:caps w:val="0"/>
          <w:smallCaps w:val="0"/>
          <w:noProof w:val="0"/>
          <w:color w:val="212529"/>
          <w:sz w:val="24"/>
          <w:szCs w:val="24"/>
          <w:lang w:val="en-US"/>
        </w:rPr>
        <w:t>.’ London: Sage</w:t>
      </w:r>
    </w:p>
    <w:p w:rsidR="0FB2DFA1" w:rsidP="0FB2DFA1" w:rsidRDefault="0FB2DFA1" w14:paraId="3392AC69" w14:textId="29407B73">
      <w:pPr>
        <w:jc w:val="left"/>
      </w:pPr>
      <w:r w:rsidRPr="0FB2DFA1" w:rsidR="0FB2DFA1">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Drummond (1994). </w:t>
      </w:r>
      <w:r w:rsidRPr="0FB2DFA1" w:rsidR="0FB2DFA1">
        <w:rPr>
          <w:rFonts w:ascii="Calibri" w:hAnsi="Calibri" w:eastAsia="Calibri" w:cs="Calibri"/>
          <w:b w:val="0"/>
          <w:bCs w:val="0"/>
          <w:i w:val="1"/>
          <w:iCs w:val="1"/>
          <w:caps w:val="0"/>
          <w:smallCaps w:val="0"/>
          <w:noProof w:val="0"/>
          <w:color w:val="000000" w:themeColor="text1" w:themeTint="FF" w:themeShade="FF"/>
          <w:sz w:val="22"/>
          <w:szCs w:val="22"/>
          <w:lang w:val="en-US"/>
        </w:rPr>
        <w:t xml:space="preserve">Learning to </w:t>
      </w:r>
      <w:r w:rsidRPr="0FB2DFA1" w:rsidR="0FB2DFA1">
        <w:rPr>
          <w:rFonts w:ascii="Calibri" w:hAnsi="Calibri" w:eastAsia="Calibri" w:cs="Calibri"/>
          <w:b w:val="0"/>
          <w:bCs w:val="0"/>
          <w:i w:val="1"/>
          <w:iCs w:val="1"/>
          <w:caps w:val="0"/>
          <w:smallCaps w:val="0"/>
          <w:noProof w:val="0"/>
          <w:color w:val="000000" w:themeColor="text1" w:themeTint="FF" w:themeShade="FF"/>
          <w:sz w:val="22"/>
          <w:szCs w:val="22"/>
          <w:lang w:val="en-US"/>
        </w:rPr>
        <w:t>see</w:t>
      </w:r>
      <w:r w:rsidRPr="0FB2DFA1" w:rsidR="0FB2DFA1">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assessment through observation</w:t>
      </w: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 York, Me.: Stenhouse Publishers.</w:t>
      </w:r>
    </w:p>
    <w:p w:rsidR="0FB2DFA1" w:rsidP="0FB2DFA1" w:rsidRDefault="0FB2DFA1" w14:paraId="4C5A3BEC" w14:textId="27D9CBB5">
      <w:pPr>
        <w:jc w:val="left"/>
      </w:pPr>
      <w:r w:rsidRPr="0FB2DFA1" w:rsidR="0FB2DFA1">
        <w:rPr>
          <w:rFonts w:ascii="Calibri" w:hAnsi="Calibri" w:eastAsia="Calibri" w:cs="Calibri"/>
          <w:b w:val="0"/>
          <w:bCs w:val="0"/>
          <w:i w:val="0"/>
          <w:iCs w:val="0"/>
          <w:caps w:val="0"/>
          <w:smallCaps w:val="0"/>
          <w:noProof w:val="0"/>
          <w:color w:val="000000" w:themeColor="text1" w:themeTint="FF" w:themeShade="FF"/>
          <w:sz w:val="24"/>
          <w:szCs w:val="24"/>
          <w:lang w:val="en-US"/>
        </w:rPr>
        <w:t>‌</w:t>
      </w:r>
      <w:r w:rsidRPr="0FB2DFA1" w:rsidR="0FB2DFA1">
        <w:rPr>
          <w:rFonts w:ascii="Calibri" w:hAnsi="Calibri" w:eastAsia="Calibri" w:cs="Calibri"/>
          <w:b w:val="0"/>
          <w:bCs w:val="0"/>
          <w:i w:val="0"/>
          <w:iCs w:val="0"/>
          <w:caps w:val="0"/>
          <w:smallCaps w:val="0"/>
          <w:noProof w:val="0"/>
          <w:color w:val="212529"/>
          <w:sz w:val="24"/>
          <w:szCs w:val="24"/>
          <w:lang w:val="en-US"/>
        </w:rPr>
        <w:t>Dunn, J. (1993) ‘</w:t>
      </w:r>
      <w:r w:rsidRPr="0FB2DFA1" w:rsidR="0FB2DFA1">
        <w:rPr>
          <w:rFonts w:ascii="Calibri" w:hAnsi="Calibri" w:eastAsia="Calibri" w:cs="Calibri"/>
          <w:b w:val="0"/>
          <w:bCs w:val="0"/>
          <w:i w:val="1"/>
          <w:iCs w:val="1"/>
          <w:caps w:val="0"/>
          <w:smallCaps w:val="0"/>
          <w:noProof w:val="0"/>
          <w:color w:val="212529"/>
          <w:sz w:val="24"/>
          <w:szCs w:val="24"/>
          <w:lang w:val="en-US"/>
        </w:rPr>
        <w:t>Young Children’s Close Relationships: Beyond Attachment</w:t>
      </w:r>
      <w:r w:rsidRPr="0FB2DFA1" w:rsidR="0FB2DFA1">
        <w:rPr>
          <w:rFonts w:ascii="Calibri" w:hAnsi="Calibri" w:eastAsia="Calibri" w:cs="Calibri"/>
          <w:b w:val="0"/>
          <w:bCs w:val="0"/>
          <w:i w:val="0"/>
          <w:iCs w:val="0"/>
          <w:caps w:val="0"/>
          <w:smallCaps w:val="0"/>
          <w:noProof w:val="0"/>
          <w:color w:val="212529"/>
          <w:sz w:val="24"/>
          <w:szCs w:val="24"/>
          <w:lang w:val="en-US"/>
        </w:rPr>
        <w:t>.’ London: Sage</w:t>
      </w:r>
    </w:p>
    <w:p w:rsidR="0FB2DFA1" w:rsidP="0FB2DFA1" w:rsidRDefault="0FB2DFA1" w14:paraId="3472A3EB" w14:textId="064EC119">
      <w:pPr>
        <w:pStyle w:val="Normal"/>
        <w:jc w:val="left"/>
        <w:rPr>
          <w:rFonts w:ascii="Calibri" w:hAnsi="Calibri" w:eastAsia="Calibri" w:cs="Calibri"/>
          <w:b w:val="0"/>
          <w:bCs w:val="0"/>
          <w:i w:val="0"/>
          <w:iCs w:val="0"/>
          <w:caps w:val="0"/>
          <w:smallCaps w:val="0"/>
          <w:noProof w:val="0"/>
          <w:color w:val="212529"/>
          <w:sz w:val="24"/>
          <w:szCs w:val="24"/>
          <w:lang w:val="en-US"/>
        </w:rPr>
      </w:pPr>
      <w:r w:rsidRPr="0FB2DFA1" w:rsidR="0FB2DFA1">
        <w:rPr>
          <w:rFonts w:ascii="Calibri" w:hAnsi="Calibri" w:eastAsia="Calibri" w:cs="Calibri"/>
          <w:b w:val="0"/>
          <w:bCs w:val="0"/>
          <w:i w:val="0"/>
          <w:iCs w:val="0"/>
          <w:caps w:val="0"/>
          <w:smallCaps w:val="0"/>
          <w:noProof w:val="0"/>
          <w:color w:val="212529"/>
          <w:sz w:val="24"/>
          <w:szCs w:val="24"/>
          <w:lang w:val="en-US"/>
        </w:rPr>
        <w:t>Early years matter (2012)</w:t>
      </w:r>
    </w:p>
    <w:p w:rsidR="0FB2DFA1" w:rsidP="0FB2DFA1" w:rsidRDefault="0FB2DFA1" w14:paraId="19DEBB7B" w14:textId="1957062A">
      <w:pPr>
        <w:pStyle w:val="Normal"/>
        <w:jc w:val="left"/>
        <w:rPr>
          <w:rFonts w:ascii="Calibri" w:hAnsi="Calibri" w:eastAsia="Calibri" w:cs="Calibri"/>
          <w:b w:val="0"/>
          <w:bCs w:val="0"/>
          <w:i w:val="0"/>
          <w:iCs w:val="0"/>
          <w:caps w:val="0"/>
          <w:smallCaps w:val="0"/>
          <w:noProof w:val="0"/>
          <w:color w:val="212529"/>
          <w:sz w:val="24"/>
          <w:szCs w:val="24"/>
          <w:lang w:val="en-US"/>
        </w:rPr>
      </w:pPr>
      <w:r w:rsidRPr="0FB2DFA1" w:rsidR="0FB2DFA1">
        <w:rPr>
          <w:rFonts w:ascii="Calibri" w:hAnsi="Calibri" w:eastAsia="Calibri" w:cs="Calibri"/>
          <w:b w:val="0"/>
          <w:bCs w:val="0"/>
          <w:i w:val="0"/>
          <w:iCs w:val="0"/>
          <w:caps w:val="0"/>
          <w:smallCaps w:val="0"/>
          <w:noProof w:val="0"/>
          <w:color w:val="212529"/>
          <w:sz w:val="24"/>
          <w:szCs w:val="24"/>
          <w:lang w:val="en-US"/>
        </w:rPr>
        <w:t>Gallahue, D. L., Ozmun, J. C. (1998) ‘</w:t>
      </w:r>
      <w:r w:rsidRPr="0FB2DFA1" w:rsidR="0FB2DFA1">
        <w:rPr>
          <w:rFonts w:ascii="Calibri" w:hAnsi="Calibri" w:eastAsia="Calibri" w:cs="Calibri"/>
          <w:b w:val="0"/>
          <w:bCs w:val="0"/>
          <w:i w:val="1"/>
          <w:iCs w:val="1"/>
          <w:caps w:val="0"/>
          <w:smallCaps w:val="0"/>
          <w:noProof w:val="0"/>
          <w:color w:val="212529"/>
          <w:sz w:val="24"/>
          <w:szCs w:val="24"/>
          <w:lang w:val="en-US"/>
        </w:rPr>
        <w:t>Understanding Motor Development: Infants, Children, Adolescents, Adults</w:t>
      </w:r>
      <w:r w:rsidRPr="0FB2DFA1" w:rsidR="0FB2DFA1">
        <w:rPr>
          <w:rFonts w:ascii="Calibri" w:hAnsi="Calibri" w:eastAsia="Calibri" w:cs="Calibri"/>
          <w:b w:val="0"/>
          <w:bCs w:val="0"/>
          <w:i w:val="0"/>
          <w:iCs w:val="0"/>
          <w:caps w:val="0"/>
          <w:smallCaps w:val="0"/>
          <w:noProof w:val="0"/>
          <w:color w:val="212529"/>
          <w:sz w:val="24"/>
          <w:szCs w:val="24"/>
          <w:lang w:val="en-US"/>
        </w:rPr>
        <w:t>.’ Boston, MA: WCB/McGraw-Hill</w:t>
      </w:r>
    </w:p>
    <w:p w:rsidR="0FB2DFA1" w:rsidP="0FB2DFA1" w:rsidRDefault="0FB2DFA1" w14:paraId="334975BC" w14:textId="40D9D22D">
      <w:pPr>
        <w:pStyle w:val="Normal"/>
        <w:jc w:val="left"/>
        <w:rPr>
          <w:rFonts w:ascii="Calibri" w:hAnsi="Calibri" w:eastAsia="Calibri" w:cs="Calibri"/>
          <w:b w:val="0"/>
          <w:bCs w:val="0"/>
          <w:i w:val="0"/>
          <w:iCs w:val="0"/>
          <w:caps w:val="0"/>
          <w:smallCaps w:val="0"/>
          <w:noProof w:val="0"/>
          <w:color w:val="212529"/>
          <w:sz w:val="24"/>
          <w:szCs w:val="24"/>
          <w:lang w:val="en-US"/>
        </w:rPr>
      </w:pPr>
      <w:r w:rsidRPr="0FB2DFA1" w:rsidR="0FB2DFA1">
        <w:rPr>
          <w:rFonts w:ascii="Calibri" w:hAnsi="Calibri" w:eastAsia="Calibri" w:cs="Calibri"/>
          <w:b w:val="0"/>
          <w:bCs w:val="0"/>
          <w:i w:val="0"/>
          <w:iCs w:val="0"/>
          <w:caps w:val="0"/>
          <w:smallCaps w:val="0"/>
          <w:noProof w:val="0"/>
          <w:color w:val="212529"/>
          <w:sz w:val="24"/>
          <w:szCs w:val="24"/>
          <w:lang w:val="en-US"/>
        </w:rPr>
        <w:t>Ginsburg, K. R. (2007)</w:t>
      </w:r>
      <w:r w:rsidRPr="0FB2DFA1" w:rsidR="0FB2DFA1">
        <w:rPr>
          <w:rFonts w:ascii="Calibri" w:hAnsi="Calibri" w:eastAsia="Calibri" w:cs="Calibri"/>
          <w:b w:val="0"/>
          <w:bCs w:val="0"/>
          <w:i w:val="1"/>
          <w:iCs w:val="1"/>
          <w:caps w:val="0"/>
          <w:smallCaps w:val="0"/>
          <w:noProof w:val="0"/>
          <w:color w:val="212529"/>
          <w:sz w:val="24"/>
          <w:szCs w:val="24"/>
          <w:lang w:val="en-US"/>
        </w:rPr>
        <w:t xml:space="preserve"> ‘The Importance of Play in Promoting Healthy Child Development and Maintaining Strong Parent Child Bonds.’</w:t>
      </w:r>
      <w:r w:rsidRPr="0FB2DFA1" w:rsidR="0FB2DFA1">
        <w:rPr>
          <w:rFonts w:ascii="Calibri" w:hAnsi="Calibri" w:eastAsia="Calibri" w:cs="Calibri"/>
          <w:b w:val="0"/>
          <w:bCs w:val="0"/>
          <w:i w:val="0"/>
          <w:iCs w:val="0"/>
          <w:caps w:val="0"/>
          <w:smallCaps w:val="0"/>
          <w:noProof w:val="0"/>
          <w:color w:val="212529"/>
          <w:sz w:val="24"/>
          <w:szCs w:val="24"/>
          <w:lang w:val="en-US"/>
        </w:rPr>
        <w:t xml:space="preserve"> </w:t>
      </w:r>
      <w:proofErr w:type="spellStart"/>
      <w:r w:rsidRPr="0FB2DFA1" w:rsidR="0FB2DFA1">
        <w:rPr>
          <w:rFonts w:ascii="Calibri" w:hAnsi="Calibri" w:eastAsia="Calibri" w:cs="Calibri"/>
          <w:b w:val="0"/>
          <w:bCs w:val="0"/>
          <w:i w:val="0"/>
          <w:iCs w:val="0"/>
          <w:caps w:val="0"/>
          <w:smallCaps w:val="0"/>
          <w:noProof w:val="0"/>
          <w:color w:val="212529"/>
          <w:sz w:val="24"/>
          <w:szCs w:val="24"/>
          <w:lang w:val="en-US"/>
        </w:rPr>
        <w:t>Paediatrics</w:t>
      </w:r>
      <w:proofErr w:type="spellEnd"/>
      <w:r w:rsidRPr="0FB2DFA1" w:rsidR="0FB2DFA1">
        <w:rPr>
          <w:rFonts w:ascii="Calibri" w:hAnsi="Calibri" w:eastAsia="Calibri" w:cs="Calibri"/>
          <w:b w:val="0"/>
          <w:bCs w:val="0"/>
          <w:i w:val="0"/>
          <w:iCs w:val="0"/>
          <w:caps w:val="0"/>
          <w:smallCaps w:val="0"/>
          <w:noProof w:val="0"/>
          <w:color w:val="212529"/>
          <w:sz w:val="24"/>
          <w:szCs w:val="24"/>
          <w:lang w:val="en-US"/>
        </w:rPr>
        <w:t xml:space="preserve"> 119 (1), pp. 182 – 191</w:t>
      </w:r>
    </w:p>
    <w:p w:rsidR="0FB2DFA1" w:rsidP="0FB2DFA1" w:rsidRDefault="0FB2DFA1" w14:paraId="3B800662" w14:textId="538E26EC">
      <w:pPr>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Hobart, C. and Frankel, J. (2004). </w:t>
      </w:r>
      <w:r w:rsidRPr="0FB2DFA1" w:rsidR="0FB2DFA1">
        <w:rPr>
          <w:rFonts w:ascii="Calibri" w:hAnsi="Calibri" w:eastAsia="Calibri" w:cs="Calibri"/>
          <w:b w:val="0"/>
          <w:bCs w:val="0"/>
          <w:i w:val="1"/>
          <w:iCs w:val="1"/>
          <w:caps w:val="0"/>
          <w:smallCaps w:val="0"/>
          <w:noProof w:val="0"/>
          <w:color w:val="000000" w:themeColor="text1" w:themeTint="FF" w:themeShade="FF"/>
          <w:sz w:val="22"/>
          <w:szCs w:val="22"/>
          <w:lang w:val="en-US"/>
        </w:rPr>
        <w:t>A practical guide to child observation and assessment</w:t>
      </w: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 Cheltenham: S. Thornes.</w:t>
      </w:r>
    </w:p>
    <w:p w:rsidR="0FB2DFA1" w:rsidP="0FB2DFA1" w:rsidRDefault="0FB2DFA1" w14:paraId="2E024965" w14:textId="38B8B23A">
      <w:pPr>
        <w:jc w:val="left"/>
        <w:rPr>
          <w:rFonts w:ascii="Calibri" w:hAnsi="Calibri" w:eastAsia="Calibri" w:cs="Calibri"/>
          <w:b w:val="0"/>
          <w:bCs w:val="0"/>
          <w:i w:val="0"/>
          <w:iCs w:val="0"/>
          <w:caps w:val="0"/>
          <w:smallCaps w:val="0"/>
          <w:noProof w:val="0"/>
          <w:color w:val="212529"/>
          <w:sz w:val="24"/>
          <w:szCs w:val="24"/>
          <w:lang w:val="en-US"/>
        </w:rPr>
      </w:pP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w:t>
      </w:r>
      <w:r w:rsidRPr="0FB2DFA1" w:rsidR="0FB2DFA1">
        <w:rPr>
          <w:rFonts w:ascii="Calibri" w:hAnsi="Calibri" w:eastAsia="Calibri" w:cs="Calibri"/>
          <w:b w:val="0"/>
          <w:bCs w:val="0"/>
          <w:i w:val="0"/>
          <w:iCs w:val="0"/>
          <w:caps w:val="0"/>
          <w:smallCaps w:val="0"/>
          <w:noProof w:val="0"/>
          <w:color w:val="212529"/>
          <w:sz w:val="24"/>
          <w:szCs w:val="24"/>
          <w:lang w:val="en-US"/>
        </w:rPr>
        <w:t>Hughes, B. (2006) ‘</w:t>
      </w:r>
      <w:r w:rsidRPr="0FB2DFA1" w:rsidR="0FB2DFA1">
        <w:rPr>
          <w:rFonts w:ascii="Calibri" w:hAnsi="Calibri" w:eastAsia="Calibri" w:cs="Calibri"/>
          <w:b w:val="0"/>
          <w:bCs w:val="0"/>
          <w:i w:val="1"/>
          <w:iCs w:val="1"/>
          <w:caps w:val="0"/>
          <w:smallCaps w:val="0"/>
          <w:noProof w:val="0"/>
          <w:color w:val="212529"/>
          <w:sz w:val="24"/>
          <w:szCs w:val="24"/>
          <w:lang w:val="en-US"/>
        </w:rPr>
        <w:t>Play types: Speculations and Possibilities</w:t>
      </w:r>
      <w:r w:rsidRPr="0FB2DFA1" w:rsidR="0FB2DFA1">
        <w:rPr>
          <w:rFonts w:ascii="Calibri" w:hAnsi="Calibri" w:eastAsia="Calibri" w:cs="Calibri"/>
          <w:b w:val="0"/>
          <w:bCs w:val="0"/>
          <w:i w:val="0"/>
          <w:iCs w:val="0"/>
          <w:caps w:val="0"/>
          <w:smallCaps w:val="0"/>
          <w:noProof w:val="0"/>
          <w:color w:val="212529"/>
          <w:sz w:val="24"/>
          <w:szCs w:val="24"/>
          <w:lang w:val="en-US"/>
        </w:rPr>
        <w:t>.’ London: London Centre for Playwork Education and Training</w:t>
      </w:r>
    </w:p>
    <w:p w:rsidR="0FB2DFA1" w:rsidP="0FB2DFA1" w:rsidRDefault="0FB2DFA1" w14:paraId="3B054530" w14:textId="73864E67">
      <w:pPr>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Laevers, F and</w:t>
      </w: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For Experiential Education Centre (2005). </w:t>
      </w:r>
      <w:r w:rsidRPr="0FB2DFA1" w:rsidR="0FB2DFA1">
        <w:rPr>
          <w:rFonts w:ascii="Calibri" w:hAnsi="Calibri" w:eastAsia="Calibri" w:cs="Calibri"/>
          <w:b w:val="0"/>
          <w:bCs w:val="0"/>
          <w:i w:val="1"/>
          <w:iCs w:val="1"/>
          <w:caps w:val="0"/>
          <w:smallCaps w:val="0"/>
          <w:noProof w:val="0"/>
          <w:color w:val="000000" w:themeColor="text1" w:themeTint="FF" w:themeShade="FF"/>
          <w:sz w:val="22"/>
          <w:szCs w:val="22"/>
          <w:lang w:val="en-US"/>
        </w:rPr>
        <w:t>Observation of well-being and involvement in babies and toddlers.</w:t>
      </w: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Leuven, Belgium: </w:t>
      </w:r>
      <w:proofErr w:type="spellStart"/>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Cego</w:t>
      </w:r>
      <w:proofErr w:type="spellEnd"/>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0FB2DFA1" w:rsidP="0FB2DFA1" w:rsidRDefault="0FB2DFA1" w14:paraId="75392CE6" w14:textId="5B5C77E4">
      <w:pPr>
        <w:jc w:val="left"/>
        <w:rPr>
          <w:rFonts w:ascii="Calibri" w:hAnsi="Calibri" w:eastAsia="Calibri" w:cs="Calibri"/>
          <w:b w:val="0"/>
          <w:bCs w:val="0"/>
          <w:i w:val="0"/>
          <w:iCs w:val="0"/>
          <w:caps w:val="0"/>
          <w:smallCaps w:val="0"/>
          <w:noProof w:val="0"/>
          <w:color w:val="212529"/>
          <w:sz w:val="24"/>
          <w:szCs w:val="24"/>
          <w:lang w:val="en-US"/>
        </w:rPr>
      </w:pPr>
      <w:bookmarkStart w:name="_Int_G1nSUAQ5" w:id="1568010006"/>
      <w:r w:rsidRPr="0FB2DFA1" w:rsidR="0FB2DFA1">
        <w:rPr>
          <w:rFonts w:ascii="Calibri" w:hAnsi="Calibri" w:eastAsia="Calibri" w:cs="Calibri"/>
          <w:b w:val="0"/>
          <w:bCs w:val="0"/>
          <w:i w:val="0"/>
          <w:iCs w:val="0"/>
          <w:caps w:val="0"/>
          <w:smallCaps w:val="0"/>
          <w:noProof w:val="0"/>
          <w:color w:val="000000" w:themeColor="text1" w:themeTint="FF" w:themeShade="FF"/>
          <w:sz w:val="24"/>
          <w:szCs w:val="24"/>
          <w:lang w:val="en-US"/>
        </w:rPr>
        <w:t>‌</w:t>
      </w:r>
      <w:r w:rsidRPr="0FB2DFA1" w:rsidR="0FB2DFA1">
        <w:rPr>
          <w:rFonts w:ascii="Calibri" w:hAnsi="Calibri" w:eastAsia="Calibri" w:cs="Calibri"/>
          <w:b w:val="0"/>
          <w:bCs w:val="0"/>
          <w:i w:val="0"/>
          <w:iCs w:val="0"/>
          <w:caps w:val="0"/>
          <w:smallCaps w:val="0"/>
          <w:noProof w:val="0"/>
          <w:color w:val="212529"/>
          <w:sz w:val="24"/>
          <w:szCs w:val="24"/>
          <w:lang w:val="en-US"/>
        </w:rPr>
        <w:t>Lillemyr, O. F. (2009) ‘</w:t>
      </w:r>
      <w:r w:rsidRPr="0FB2DFA1" w:rsidR="0FB2DFA1">
        <w:rPr>
          <w:rFonts w:ascii="Calibri" w:hAnsi="Calibri" w:eastAsia="Calibri" w:cs="Calibri"/>
          <w:b w:val="0"/>
          <w:bCs w:val="0"/>
          <w:i w:val="1"/>
          <w:iCs w:val="1"/>
          <w:caps w:val="0"/>
          <w:smallCaps w:val="0"/>
          <w:noProof w:val="0"/>
          <w:color w:val="212529"/>
          <w:sz w:val="24"/>
          <w:szCs w:val="24"/>
          <w:lang w:val="en-US"/>
        </w:rPr>
        <w:t>Taking Play Seriously</w:t>
      </w:r>
      <w:r w:rsidRPr="0FB2DFA1" w:rsidR="0FB2DFA1">
        <w:rPr>
          <w:rFonts w:ascii="Calibri" w:hAnsi="Calibri" w:eastAsia="Calibri" w:cs="Calibri"/>
          <w:b w:val="0"/>
          <w:bCs w:val="0"/>
          <w:i w:val="0"/>
          <w:iCs w:val="0"/>
          <w:caps w:val="0"/>
          <w:smallCaps w:val="0"/>
          <w:noProof w:val="0"/>
          <w:color w:val="212529"/>
          <w:sz w:val="24"/>
          <w:szCs w:val="24"/>
          <w:lang w:val="en-US"/>
        </w:rPr>
        <w:t>.’ Charlotte: Information Age Publishing Inc</w:t>
      </w:r>
      <w:bookmarkEnd w:id="1568010006"/>
    </w:p>
    <w:p w:rsidR="0FB2DFA1" w:rsidP="0FB2DFA1" w:rsidRDefault="0FB2DFA1" w14:paraId="2CA7A7A8" w14:textId="721F5FEE">
      <w:pPr>
        <w:pStyle w:val="Normal"/>
        <w:jc w:val="left"/>
        <w:rPr>
          <w:rFonts w:ascii="Calibri" w:hAnsi="Calibri" w:eastAsia="Calibri" w:cs="Calibri"/>
          <w:b w:val="0"/>
          <w:bCs w:val="0"/>
          <w:i w:val="0"/>
          <w:iCs w:val="0"/>
          <w:caps w:val="0"/>
          <w:smallCaps w:val="0"/>
          <w:noProof w:val="0"/>
          <w:color w:val="212529"/>
          <w:sz w:val="24"/>
          <w:szCs w:val="24"/>
          <w:lang w:val="en-US"/>
        </w:rPr>
      </w:pPr>
      <w:bookmarkStart w:name="_Int_hAFmud0R" w:id="945010117"/>
      <w:r w:rsidRPr="0FB2DFA1" w:rsidR="0FB2DFA1">
        <w:rPr>
          <w:rFonts w:ascii="Calibri" w:hAnsi="Calibri" w:eastAsia="Calibri" w:cs="Calibri"/>
          <w:b w:val="0"/>
          <w:bCs w:val="0"/>
          <w:i w:val="0"/>
          <w:iCs w:val="0"/>
          <w:caps w:val="0"/>
          <w:smallCaps w:val="0"/>
          <w:noProof w:val="0"/>
          <w:color w:val="212529"/>
          <w:sz w:val="24"/>
          <w:szCs w:val="24"/>
          <w:lang w:val="en-US"/>
        </w:rPr>
        <w:t>Moore, A. (2000)</w:t>
      </w:r>
      <w:r w:rsidRPr="0FB2DFA1" w:rsidR="0FB2DFA1">
        <w:rPr>
          <w:rFonts w:ascii="Calibri" w:hAnsi="Calibri" w:eastAsia="Calibri" w:cs="Calibri"/>
          <w:b w:val="0"/>
          <w:bCs w:val="0"/>
          <w:i w:val="1"/>
          <w:iCs w:val="1"/>
          <w:caps w:val="0"/>
          <w:smallCaps w:val="0"/>
          <w:noProof w:val="0"/>
          <w:color w:val="212529"/>
          <w:sz w:val="24"/>
          <w:szCs w:val="24"/>
          <w:lang w:val="en-US"/>
        </w:rPr>
        <w:t xml:space="preserve"> ‘Teaching and Learning: Pedagogy, Curriculum and Culture</w:t>
      </w:r>
      <w:r w:rsidRPr="0FB2DFA1" w:rsidR="0FB2DFA1">
        <w:rPr>
          <w:rFonts w:ascii="Calibri" w:hAnsi="Calibri" w:eastAsia="Calibri" w:cs="Calibri"/>
          <w:b w:val="0"/>
          <w:bCs w:val="0"/>
          <w:i w:val="0"/>
          <w:iCs w:val="0"/>
          <w:caps w:val="0"/>
          <w:smallCaps w:val="0"/>
          <w:noProof w:val="0"/>
          <w:color w:val="212529"/>
          <w:sz w:val="24"/>
          <w:szCs w:val="24"/>
          <w:lang w:val="en-US"/>
        </w:rPr>
        <w:t>.’</w:t>
      </w:r>
      <w:bookmarkEnd w:id="945010117"/>
      <w:r w:rsidRPr="0FB2DFA1" w:rsidR="0FB2DFA1">
        <w:rPr>
          <w:rFonts w:ascii="Calibri" w:hAnsi="Calibri" w:eastAsia="Calibri" w:cs="Calibri"/>
          <w:b w:val="0"/>
          <w:bCs w:val="0"/>
          <w:i w:val="0"/>
          <w:iCs w:val="0"/>
          <w:caps w:val="0"/>
          <w:smallCaps w:val="0"/>
          <w:noProof w:val="0"/>
          <w:color w:val="212529"/>
          <w:sz w:val="24"/>
          <w:szCs w:val="24"/>
          <w:lang w:val="en-US"/>
        </w:rPr>
        <w:t xml:space="preserve"> London: Routledge</w:t>
      </w:r>
    </w:p>
    <w:p w:rsidR="0FB2DFA1" w:rsidP="0FB2DFA1" w:rsidRDefault="0FB2DFA1" w14:paraId="32D97A50" w14:textId="5639B716">
      <w:pPr>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Owen, S., Petrie, S. and Firm, P. (2005). </w:t>
      </w:r>
      <w:bookmarkStart w:name="_Int_1Wxs3L2o" w:id="993716496"/>
      <w:r w:rsidRPr="0FB2DFA1" w:rsidR="0FB2DFA1">
        <w:rPr>
          <w:rFonts w:ascii="Calibri" w:hAnsi="Calibri" w:eastAsia="Calibri" w:cs="Calibri"/>
          <w:b w:val="0"/>
          <w:bCs w:val="0"/>
          <w:i w:val="1"/>
          <w:iCs w:val="1"/>
          <w:caps w:val="0"/>
          <w:smallCaps w:val="0"/>
          <w:noProof w:val="0"/>
          <w:color w:val="000000" w:themeColor="text1" w:themeTint="FF" w:themeShade="FF"/>
          <w:sz w:val="22"/>
          <w:szCs w:val="22"/>
          <w:lang w:val="en-US"/>
        </w:rPr>
        <w:t xml:space="preserve">Authentic relationships in group care for infants and toddlers - resources for infant </w:t>
      </w:r>
      <w:proofErr w:type="spellStart"/>
      <w:r w:rsidRPr="0FB2DFA1" w:rsidR="0FB2DFA1">
        <w:rPr>
          <w:rFonts w:ascii="Calibri" w:hAnsi="Calibri" w:eastAsia="Calibri" w:cs="Calibri"/>
          <w:b w:val="0"/>
          <w:bCs w:val="0"/>
          <w:i w:val="1"/>
          <w:iCs w:val="1"/>
          <w:caps w:val="0"/>
          <w:smallCaps w:val="0"/>
          <w:noProof w:val="0"/>
          <w:color w:val="000000" w:themeColor="text1" w:themeTint="FF" w:themeShade="FF"/>
          <w:sz w:val="22"/>
          <w:szCs w:val="22"/>
          <w:lang w:val="en-US"/>
        </w:rPr>
        <w:t>educarers</w:t>
      </w:r>
      <w:proofErr w:type="spellEnd"/>
      <w:r w:rsidRPr="0FB2DFA1" w:rsidR="0FB2DFA1">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(RIE) principles into practice</w:t>
      </w: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 Philadelphia: J. Kingsley Publishers.</w:t>
      </w:r>
      <w:bookmarkEnd w:id="993716496"/>
    </w:p>
    <w:p w:rsidR="0FB2DFA1" w:rsidP="0FB2DFA1" w:rsidRDefault="0FB2DFA1" w14:paraId="5C5A4344" w14:textId="7C071429">
      <w:pPr>
        <w:pStyle w:val="Normal"/>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Papatheodorou, T., Luff, P. and Gill, J. (2013). ‘</w:t>
      </w:r>
      <w:r w:rsidRPr="0FB2DFA1" w:rsidR="0FB2DFA1">
        <w:rPr>
          <w:rFonts w:ascii="Calibri" w:hAnsi="Calibri" w:eastAsia="Calibri" w:cs="Calibri"/>
          <w:b w:val="0"/>
          <w:bCs w:val="0"/>
          <w:i w:val="1"/>
          <w:iCs w:val="1"/>
          <w:caps w:val="0"/>
          <w:smallCaps w:val="0"/>
          <w:noProof w:val="0"/>
          <w:color w:val="000000" w:themeColor="text1" w:themeTint="FF" w:themeShade="FF"/>
          <w:sz w:val="22"/>
          <w:szCs w:val="22"/>
          <w:lang w:val="en-US"/>
        </w:rPr>
        <w:t>Child observation for learning and research. 'London</w:t>
      </w: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 Routledge.</w:t>
      </w:r>
    </w:p>
    <w:p w:rsidR="0FB2DFA1" w:rsidP="0FB2DFA1" w:rsidRDefault="0FB2DFA1" w14:paraId="77C7145D" w14:textId="1ED777DC">
      <w:pPr>
        <w:jc w:val="left"/>
      </w:pPr>
      <w:r w:rsidRPr="0FB2DFA1" w:rsidR="0FB2DFA1">
        <w:rPr>
          <w:rFonts w:ascii="Calibri" w:hAnsi="Calibri" w:eastAsia="Calibri" w:cs="Calibri"/>
          <w:b w:val="0"/>
          <w:bCs w:val="0"/>
          <w:i w:val="0"/>
          <w:iCs w:val="0"/>
          <w:caps w:val="0"/>
          <w:smallCaps w:val="0"/>
          <w:noProof w:val="0"/>
          <w:color w:val="000000" w:themeColor="text1" w:themeTint="FF" w:themeShade="FF"/>
          <w:sz w:val="24"/>
          <w:szCs w:val="24"/>
          <w:lang w:val="en-US"/>
        </w:rPr>
        <w:t>‌</w:t>
      </w:r>
      <w:r w:rsidRPr="0FB2DFA1" w:rsidR="0FB2DFA1">
        <w:rPr>
          <w:rFonts w:ascii="Calibri" w:hAnsi="Calibri" w:eastAsia="Calibri" w:cs="Calibri"/>
          <w:b w:val="0"/>
          <w:bCs w:val="0"/>
          <w:i w:val="0"/>
          <w:iCs w:val="0"/>
          <w:caps w:val="0"/>
          <w:smallCaps w:val="0"/>
          <w:noProof w:val="0"/>
          <w:color w:val="212529"/>
          <w:sz w:val="24"/>
          <w:szCs w:val="24"/>
          <w:lang w:val="en-US"/>
        </w:rPr>
        <w:t>Rogoff, B. (2003) ‘</w:t>
      </w:r>
      <w:r w:rsidRPr="0FB2DFA1" w:rsidR="0FB2DFA1">
        <w:rPr>
          <w:rFonts w:ascii="Calibri" w:hAnsi="Calibri" w:eastAsia="Calibri" w:cs="Calibri"/>
          <w:b w:val="0"/>
          <w:bCs w:val="0"/>
          <w:i w:val="1"/>
          <w:iCs w:val="1"/>
          <w:caps w:val="0"/>
          <w:smallCaps w:val="0"/>
          <w:noProof w:val="0"/>
          <w:color w:val="212529"/>
          <w:sz w:val="24"/>
          <w:szCs w:val="24"/>
          <w:lang w:val="en-US"/>
        </w:rPr>
        <w:t>The Cultural Nature of Human Development’</w:t>
      </w:r>
      <w:r w:rsidRPr="0FB2DFA1" w:rsidR="0FB2DFA1">
        <w:rPr>
          <w:rFonts w:ascii="Calibri" w:hAnsi="Calibri" w:eastAsia="Calibri" w:cs="Calibri"/>
          <w:b w:val="0"/>
          <w:bCs w:val="0"/>
          <w:i w:val="0"/>
          <w:iCs w:val="0"/>
          <w:caps w:val="0"/>
          <w:smallCaps w:val="0"/>
          <w:noProof w:val="0"/>
          <w:color w:val="212529"/>
          <w:sz w:val="24"/>
          <w:szCs w:val="24"/>
          <w:lang w:val="en-US"/>
        </w:rPr>
        <w:t>. Oxford: Oxford University Press</w:t>
      </w:r>
    </w:p>
    <w:p w:rsidR="0FB2DFA1" w:rsidP="0FB2DFA1" w:rsidRDefault="0FB2DFA1" w14:paraId="6411228F" w14:textId="053E99AD">
      <w:pPr>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Smidt, S. (2005). </w:t>
      </w:r>
      <w:bookmarkStart w:name="_Int_DjpP30Qm" w:id="1301869688"/>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w:t>
      </w:r>
      <w:r w:rsidRPr="0FB2DFA1" w:rsidR="0FB2DFA1">
        <w:rPr>
          <w:rFonts w:ascii="Calibri" w:hAnsi="Calibri" w:eastAsia="Calibri" w:cs="Calibri"/>
          <w:b w:val="0"/>
          <w:bCs w:val="0"/>
          <w:i w:val="1"/>
          <w:iCs w:val="1"/>
          <w:caps w:val="0"/>
          <w:smallCaps w:val="0"/>
          <w:noProof w:val="0"/>
          <w:color w:val="000000" w:themeColor="text1" w:themeTint="FF" w:themeShade="FF"/>
          <w:sz w:val="22"/>
          <w:szCs w:val="22"/>
          <w:lang w:val="en-US"/>
        </w:rPr>
        <w:t xml:space="preserve">Observing, </w:t>
      </w:r>
      <w:r w:rsidRPr="0FB2DFA1" w:rsidR="0FB2DFA1">
        <w:rPr>
          <w:rFonts w:ascii="Calibri" w:hAnsi="Calibri" w:eastAsia="Calibri" w:cs="Calibri"/>
          <w:b w:val="0"/>
          <w:bCs w:val="0"/>
          <w:i w:val="1"/>
          <w:iCs w:val="1"/>
          <w:caps w:val="0"/>
          <w:smallCaps w:val="0"/>
          <w:noProof w:val="0"/>
          <w:color w:val="000000" w:themeColor="text1" w:themeTint="FF" w:themeShade="FF"/>
          <w:sz w:val="22"/>
          <w:szCs w:val="22"/>
          <w:lang w:val="en-US"/>
        </w:rPr>
        <w:t>assessing</w:t>
      </w:r>
      <w:r w:rsidRPr="0FB2DFA1" w:rsidR="0FB2DFA1">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and planning for children in the early years</w:t>
      </w: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w:t>
      </w:r>
      <w:bookmarkEnd w:id="1301869688"/>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London: Routledge.</w:t>
      </w:r>
    </w:p>
    <w:p w:rsidR="0FB2DFA1" w:rsidP="0FB2DFA1" w:rsidRDefault="0FB2DFA1" w14:paraId="7AF5A321" w14:textId="50058A03">
      <w:pPr>
        <w:jc w:val="left"/>
        <w:rPr>
          <w:rFonts w:ascii="Calibri" w:hAnsi="Calibri" w:eastAsia="Calibri" w:cs="Calibri"/>
          <w:b w:val="0"/>
          <w:bCs w:val="0"/>
          <w:i w:val="0"/>
          <w:iCs w:val="0"/>
          <w:caps w:val="0"/>
          <w:smallCaps w:val="0"/>
          <w:noProof w:val="0"/>
          <w:color w:val="212529"/>
          <w:sz w:val="24"/>
          <w:szCs w:val="24"/>
          <w:lang w:val="en-US"/>
        </w:rPr>
      </w:pPr>
      <w:bookmarkStart w:name="_Int_RxR0OJ82" w:id="683886975"/>
      <w:r w:rsidRPr="0FB2DFA1" w:rsidR="0FB2DFA1">
        <w:rPr>
          <w:rFonts w:ascii="Calibri" w:hAnsi="Calibri" w:eastAsia="Calibri" w:cs="Calibri"/>
          <w:b w:val="0"/>
          <w:bCs w:val="0"/>
          <w:i w:val="0"/>
          <w:iCs w:val="0"/>
          <w:caps w:val="0"/>
          <w:smallCaps w:val="0"/>
          <w:noProof w:val="0"/>
          <w:color w:val="000000" w:themeColor="text1" w:themeTint="FF" w:themeShade="FF"/>
          <w:sz w:val="24"/>
          <w:szCs w:val="24"/>
          <w:lang w:val="en-US"/>
        </w:rPr>
        <w:t>‌</w:t>
      </w:r>
      <w:r w:rsidRPr="0FB2DFA1" w:rsidR="0FB2DFA1">
        <w:rPr>
          <w:rFonts w:ascii="Calibri" w:hAnsi="Calibri" w:eastAsia="Calibri" w:cs="Calibri"/>
          <w:b w:val="0"/>
          <w:bCs w:val="0"/>
          <w:i w:val="0"/>
          <w:iCs w:val="0"/>
          <w:caps w:val="0"/>
          <w:smallCaps w:val="0"/>
          <w:noProof w:val="0"/>
          <w:color w:val="212529"/>
          <w:sz w:val="24"/>
          <w:szCs w:val="24"/>
          <w:lang w:val="en-US"/>
        </w:rPr>
        <w:t>UNICEF (1989) The United Nations Convention on the Rights of the Child.</w:t>
      </w:r>
      <w:bookmarkEnd w:id="683886975"/>
      <w:r w:rsidRPr="0FB2DFA1" w:rsidR="0FB2DFA1">
        <w:rPr>
          <w:rFonts w:ascii="Calibri" w:hAnsi="Calibri" w:eastAsia="Calibri" w:cs="Calibri"/>
          <w:b w:val="0"/>
          <w:bCs w:val="0"/>
          <w:i w:val="0"/>
          <w:iCs w:val="0"/>
          <w:caps w:val="0"/>
          <w:smallCaps w:val="0"/>
          <w:noProof w:val="0"/>
          <w:color w:val="212529"/>
          <w:sz w:val="24"/>
          <w:szCs w:val="24"/>
          <w:lang w:val="en-US"/>
        </w:rPr>
        <w:t xml:space="preserve"> London: UNICEF</w:t>
      </w:r>
    </w:p>
    <w:p w:rsidR="0FB2DFA1" w:rsidP="0FB2DFA1" w:rsidRDefault="0FB2DFA1" w14:paraId="442C6EC2" w14:textId="1142BF07">
      <w:pPr>
        <w:pStyle w:val="Normal"/>
        <w:jc w:val="left"/>
        <w:rPr>
          <w:rFonts w:ascii="Calibri" w:hAnsi="Calibri" w:eastAsia="Calibri" w:cs="Calibri"/>
          <w:b w:val="0"/>
          <w:bCs w:val="0"/>
          <w:i w:val="0"/>
          <w:iCs w:val="0"/>
          <w:caps w:val="0"/>
          <w:smallCaps w:val="0"/>
          <w:noProof w:val="0"/>
          <w:color w:val="212529"/>
          <w:sz w:val="24"/>
          <w:szCs w:val="24"/>
          <w:lang w:val="en-US"/>
        </w:rPr>
      </w:pPr>
      <w:bookmarkStart w:name="_Int_7E3lVlZc" w:id="516057890"/>
      <w:r w:rsidRPr="0FB2DFA1" w:rsidR="0FB2DFA1">
        <w:rPr>
          <w:rFonts w:ascii="Calibri" w:hAnsi="Calibri" w:eastAsia="Calibri" w:cs="Calibri"/>
          <w:b w:val="0"/>
          <w:bCs w:val="0"/>
          <w:i w:val="0"/>
          <w:iCs w:val="0"/>
          <w:caps w:val="0"/>
          <w:smallCaps w:val="0"/>
          <w:noProof w:val="0"/>
          <w:color w:val="212529"/>
          <w:sz w:val="24"/>
          <w:szCs w:val="24"/>
          <w:lang w:val="en-US"/>
        </w:rPr>
        <w:t>Wood, E. (2004) ‘</w:t>
      </w:r>
      <w:r w:rsidRPr="0FB2DFA1" w:rsidR="0FB2DFA1">
        <w:rPr>
          <w:rFonts w:ascii="Calibri" w:hAnsi="Calibri" w:eastAsia="Calibri" w:cs="Calibri"/>
          <w:b w:val="0"/>
          <w:bCs w:val="0"/>
          <w:i w:val="1"/>
          <w:iCs w:val="1"/>
          <w:caps w:val="0"/>
          <w:smallCaps w:val="0"/>
          <w:noProof w:val="0"/>
          <w:color w:val="212529"/>
          <w:sz w:val="24"/>
          <w:szCs w:val="24"/>
          <w:lang w:val="en-US"/>
        </w:rPr>
        <w:t>Developing a Pedagogy of Play.</w:t>
      </w:r>
      <w:r w:rsidRPr="0FB2DFA1" w:rsidR="0FB2DFA1">
        <w:rPr>
          <w:rFonts w:ascii="Calibri" w:hAnsi="Calibri" w:eastAsia="Calibri" w:cs="Calibri"/>
          <w:b w:val="0"/>
          <w:bCs w:val="0"/>
          <w:i w:val="0"/>
          <w:iCs w:val="0"/>
          <w:caps w:val="0"/>
          <w:smallCaps w:val="0"/>
          <w:noProof w:val="0"/>
          <w:color w:val="212529"/>
          <w:sz w:val="24"/>
          <w:szCs w:val="24"/>
          <w:lang w:val="en-US"/>
        </w:rPr>
        <w:t>’ in Anning, A., Cullen, J., Fleer, M. (Eds) Early Childhood Education: Society and Culture.</w:t>
      </w:r>
      <w:bookmarkEnd w:id="516057890"/>
      <w:r w:rsidRPr="0FB2DFA1" w:rsidR="0FB2DFA1">
        <w:rPr>
          <w:rFonts w:ascii="Calibri" w:hAnsi="Calibri" w:eastAsia="Calibri" w:cs="Calibri"/>
          <w:b w:val="0"/>
          <w:bCs w:val="0"/>
          <w:i w:val="0"/>
          <w:iCs w:val="0"/>
          <w:caps w:val="0"/>
          <w:smallCaps w:val="0"/>
          <w:noProof w:val="0"/>
          <w:color w:val="212529"/>
          <w:sz w:val="24"/>
          <w:szCs w:val="24"/>
          <w:lang w:val="en-US"/>
        </w:rPr>
        <w:t xml:space="preserve"> London: Sage pp. 19 – 30</w:t>
      </w:r>
    </w:p>
    <w:p w:rsidR="0FB2DFA1" w:rsidP="0FB2DFA1" w:rsidRDefault="0FB2DFA1" w14:paraId="7EEA70D6" w14:textId="4C6BEE77">
      <w:pPr>
        <w:pStyle w:val="Normal"/>
        <w:jc w:val="left"/>
        <w:rPr>
          <w:rFonts w:ascii="Calibri" w:hAnsi="Calibri" w:eastAsia="Calibri" w:cs="Calibri"/>
          <w:b w:val="0"/>
          <w:bCs w:val="0"/>
          <w:i w:val="0"/>
          <w:iCs w:val="0"/>
          <w:caps w:val="0"/>
          <w:smallCaps w:val="0"/>
          <w:noProof w:val="0"/>
          <w:color w:val="212529"/>
          <w:sz w:val="24"/>
          <w:szCs w:val="24"/>
          <w:lang w:val="en-US"/>
        </w:rPr>
      </w:pPr>
      <w:bookmarkStart w:name="_Int_Od50mrqf" w:id="556671086"/>
      <w:r w:rsidRPr="0FB2DFA1" w:rsidR="0FB2DFA1">
        <w:rPr>
          <w:rFonts w:ascii="Calibri" w:hAnsi="Calibri" w:eastAsia="Calibri" w:cs="Calibri"/>
          <w:b w:val="0"/>
          <w:bCs w:val="0"/>
          <w:i w:val="0"/>
          <w:iCs w:val="0"/>
          <w:caps w:val="0"/>
          <w:smallCaps w:val="0"/>
          <w:noProof w:val="0"/>
          <w:color w:val="212529"/>
          <w:sz w:val="24"/>
          <w:szCs w:val="24"/>
          <w:lang w:val="en-US"/>
        </w:rPr>
        <w:t>Wood, E., Attfield, J. (2005) ‘</w:t>
      </w:r>
      <w:r w:rsidRPr="0FB2DFA1" w:rsidR="0FB2DFA1">
        <w:rPr>
          <w:rFonts w:ascii="Calibri" w:hAnsi="Calibri" w:eastAsia="Calibri" w:cs="Calibri"/>
          <w:b w:val="0"/>
          <w:bCs w:val="0"/>
          <w:i w:val="1"/>
          <w:iCs w:val="1"/>
          <w:caps w:val="0"/>
          <w:smallCaps w:val="0"/>
          <w:noProof w:val="0"/>
          <w:color w:val="212529"/>
          <w:sz w:val="24"/>
          <w:szCs w:val="24"/>
          <w:lang w:val="en-US"/>
        </w:rPr>
        <w:t>Play, Learning and the Early Childhood Curriculum</w:t>
      </w:r>
      <w:r w:rsidRPr="0FB2DFA1" w:rsidR="0FB2DFA1">
        <w:rPr>
          <w:rFonts w:ascii="Calibri" w:hAnsi="Calibri" w:eastAsia="Calibri" w:cs="Calibri"/>
          <w:b w:val="0"/>
          <w:bCs w:val="0"/>
          <w:i w:val="0"/>
          <w:iCs w:val="0"/>
          <w:caps w:val="0"/>
          <w:smallCaps w:val="0"/>
          <w:noProof w:val="0"/>
          <w:color w:val="212529"/>
          <w:sz w:val="24"/>
          <w:szCs w:val="24"/>
          <w:lang w:val="en-US"/>
        </w:rPr>
        <w:t>.’</w:t>
      </w:r>
      <w:bookmarkEnd w:id="556671086"/>
      <w:r w:rsidRPr="0FB2DFA1" w:rsidR="0FB2DFA1">
        <w:rPr>
          <w:rFonts w:ascii="Calibri" w:hAnsi="Calibri" w:eastAsia="Calibri" w:cs="Calibri"/>
          <w:b w:val="0"/>
          <w:bCs w:val="0"/>
          <w:i w:val="0"/>
          <w:iCs w:val="0"/>
          <w:caps w:val="0"/>
          <w:smallCaps w:val="0"/>
          <w:noProof w:val="0"/>
          <w:color w:val="212529"/>
          <w:sz w:val="24"/>
          <w:szCs w:val="24"/>
          <w:lang w:val="en-US"/>
        </w:rPr>
        <w:t xml:space="preserve"> London: Paul Chapman</w:t>
      </w:r>
    </w:p>
    <w:p w:rsidR="0FB2DFA1" w:rsidP="0FB2DFA1" w:rsidRDefault="0FB2DFA1" w14:paraId="2358903A" w14:textId="461EEFD5">
      <w:pPr>
        <w:jc w:val="left"/>
      </w:pPr>
      <w:r w:rsidRPr="0FB2DFA1" w:rsidR="0FB2DFA1">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0FB2DFA1" w:rsidP="0FB2DFA1" w:rsidRDefault="0FB2DFA1" w14:paraId="1EEEEED6" w14:textId="5D053B0D">
      <w:pPr>
        <w:pStyle w:val="Normal"/>
        <w:jc w:val="left"/>
        <w:rPr>
          <w:rFonts w:ascii="Calibri" w:hAnsi="Calibri" w:eastAsia="Calibri" w:cs="Calibri"/>
          <w:b w:val="0"/>
          <w:bCs w:val="0"/>
          <w:i w:val="0"/>
          <w:iCs w:val="0"/>
          <w:caps w:val="0"/>
          <w:smallCaps w:val="0"/>
          <w:noProof w:val="0"/>
          <w:color w:val="212529"/>
          <w:sz w:val="24"/>
          <w:szCs w:val="24"/>
          <w:lang w:val="en-US"/>
        </w:rPr>
      </w:pPr>
    </w:p>
    <w:p w:rsidR="0FB2DFA1" w:rsidP="0FB2DFA1" w:rsidRDefault="0FB2DFA1" w14:paraId="219C9CC1" w14:textId="27182334">
      <w:pPr>
        <w:pStyle w:val="Normal"/>
        <w:spacing w:after="160" w:line="259" w:lineRule="auto"/>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pPr>
    </w:p>
    <w:p w:rsidR="0FB2DFA1" w:rsidP="0FB2DFA1" w:rsidRDefault="0FB2DFA1" w14:paraId="1E3478E1" w14:textId="531DD943">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0FB2DFA1" w:rsidP="0FB2DFA1" w:rsidRDefault="0FB2DFA1" w14:paraId="15269757" w14:textId="619AD442">
      <w:pPr>
        <w:pStyle w:val="Normal"/>
        <w:ind w:left="0"/>
        <w:rPr>
          <w:rFonts w:ascii="Calibri" w:hAnsi="Calibri" w:eastAsia="Calibri" w:cs="Calibri" w:asciiTheme="minorAscii" w:hAnsiTheme="minorAscii" w:eastAsiaTheme="minorAscii" w:cstheme="minorAscii"/>
          <w:noProof w:val="0"/>
          <w:color w:val="0E101A"/>
          <w:sz w:val="22"/>
          <w:szCs w:val="22"/>
          <w:lang w:val="en-US"/>
        </w:rPr>
      </w:pPr>
    </w:p>
    <w:p xmlns:wp14="http://schemas.microsoft.com/office/word/2010/wordml" w:rsidP="1C0326BD" w14:paraId="6DAC2AB6" wp14:textId="0517C00B">
      <w:pPr>
        <w:pStyle w:val="Normal"/>
        <w:spacing w:line="276" w:lineRule="auto"/>
        <w:ind w:left="0"/>
        <w:rPr>
          <w:rFonts w:ascii="Calibri" w:hAnsi="Calibri" w:eastAsia="Calibri" w:cs="Calibri"/>
          <w:noProof w:val="0"/>
          <w:sz w:val="22"/>
          <w:szCs w:val="22"/>
          <w:lang w:val="en-US"/>
        </w:rPr>
      </w:pPr>
    </w:p>
    <w:p xmlns:wp14="http://schemas.microsoft.com/office/word/2010/wordml" w:rsidP="1C0326BD" w14:paraId="2C078E63" wp14:textId="41544724">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zZq4bkHcfFRoFG" int2:id="jtByeTTO">
      <int2:state int2:type="LegacyProofing" int2:value="Rejected"/>
    </int2:textHash>
    <int2:textHash int2:hashCode="UGx8KGum619ZNh" int2:id="dVm9cxzt">
      <int2:state int2:type="LegacyProofing" int2:value="Rejected"/>
    </int2:textHash>
    <int2:textHash int2:hashCode="kh0Ehz4u5r2c+z" int2:id="yqYjdigH">
      <int2:state int2:type="LegacyProofing" int2:value="Rejected"/>
    </int2:textHash>
    <int2:textHash int2:hashCode="GtCr9iGAXnreMm" int2:id="9NdhBPXl">
      <int2:state int2:type="LegacyProofing" int2:value="Rejected"/>
    </int2:textHash>
    <int2:textHash int2:hashCode="YVGQbGZ5KeWMH5" int2:id="qgOo8uPv">
      <int2:state int2:type="LegacyProofing" int2:value="Rejected"/>
    </int2:textHash>
    <int2:bookmark int2:bookmarkName="_Int_YGqVTi5P" int2:invalidationBookmarkName="" int2:hashCode="Z4BQabnQ9xYabQ" int2:id="R1Ifshgj">
      <int2:state int2:type="LegacyProofing" int2:value="Rejected"/>
    </int2:bookmark>
    <int2:bookmark int2:bookmarkName="_Int_Od50mrqf" int2:invalidationBookmarkName="" int2:hashCode="NLO+6nYPbIATbs" int2:id="3XgFBbBh">
      <int2:extLst>
        <oel:ext uri="426473B9-03D8-482F-96C9-C2C85392BACA">
          <int2:similarityCritique int2:version="1" int2:context="Wood, E., Attfield, J. (2005) ‘Play, Learning and the Early Childhood Curriculum.’">
            <int2:source int2:sourceType="Online" int2:sourceTitle="Wood, E., &amp; Attfield, J. (2005). Play, Learning and the ..." int2:sourceUrl="https://www.scirp.org/reference/ReferencesPapers.aspx?ReferenceID=2382248" int2:sourceSnippet="Wood, E., &amp; Attfield, J. (2005). Play, Learning and the Early Childhood Curriculum. London Paul Chapman.">
              <int2:suggestions int2:citationType="Inline">
                <int2:suggestion int2:citationStyle="Mla" int2:isIdentical="0">
                  <int2:citationText>(“Wood, E., &amp; Attfield, J. (2005). Play, Learning and the ...”)</int2:citationText>
                </int2:suggestion>
                <int2:suggestion int2:citationStyle="Apa" int2:isIdentical="0">
                  <int2:citationText>(“Wood, E., &amp; Attfield, J. (2005). Play, Learning and the ...”)</int2:citationText>
                </int2:suggestion>
                <int2:suggestion int2:citationStyle="Chicago" int2:isIdentical="0">
                  <int2:citationText>(“Wood, E., &amp; Attfield, J. (2005). Play, Learning and the ...”)</int2:citationText>
                </int2:suggestion>
              </int2:suggestions>
              <int2:suggestions int2:citationType="Full">
                <int2:suggestion int2:citationStyle="Mla" int2:isIdentical="0">
                  <int2:citationText>&lt;i&gt;Wood, E., &amp; Attfield, J. (2005). Play, Learning and the ...&lt;/i&gt;, https://www.scirp.org/reference/ReferencesPapers.aspx?ReferenceID=2382248.</int2:citationText>
                </int2:suggestion>
                <int2:suggestion int2:citationStyle="Apa" int2:isIdentical="0">
                  <int2:citationText>&lt;i&gt;Wood, E., &amp; Attfield, J. (2005). Play, Learning and the ...&lt;/i&gt;. (n.d.). Retrieved from https://www.scirp.org/reference/ReferencesPapers.aspx?ReferenceID=2382248</int2:citationText>
                </int2:suggestion>
                <int2:suggestion int2:citationStyle="Chicago" int2:isIdentical="0">
                  <int2:citationText>“Wood, E., &amp; Attfield, J. (2005). Play, Learning and the ...” n.d., https://www.scirp.org/reference/ReferencesPapers.aspx?ReferenceID=2382248.</int2:citationText>
                </int2:suggestion>
              </int2:suggestions>
            </int2:source>
            <int2:source int2:sourceType="Online" int2:sourceTitle="Wood, E., &amp; Attfield, J. (2005). Play, Learning and the ..." int2:sourceUrl="https://www.scirp.org/(S(czeh2tfqyw2orz553k1w0r45))/reference/ReferencesPapers.aspx?ReferenceID=1566068" int2:sourceSnippet="Article citations More&gt;&gt;. Wood, E., &amp; Attfield, J. (2005). Play, Learning and the Early Childhood Curriculum. London: Paul Chapman Publishing. has been cited by the ...">
              <int2:suggestions int2:citationType="Inline">
                <int2:suggestion int2:citationStyle="Mla" int2:isIdentical="0">
                  <int2:citationText>(“Wood, E., &amp; Attfield, J. (2005). Play, Learning and the ...”)</int2:citationText>
                </int2:suggestion>
                <int2:suggestion int2:citationStyle="Apa" int2:isIdentical="0">
                  <int2:citationText>(“Wood, E., &amp; Attfield, J. (2005). Play, Learning and the ...”)</int2:citationText>
                </int2:suggestion>
                <int2:suggestion int2:citationStyle="Chicago" int2:isIdentical="0">
                  <int2:citationText>(“Wood, E., &amp; Attfield, J. (2005). Play, Learning and the ...”)</int2:citationText>
                </int2:suggestion>
              </int2:suggestions>
              <int2:suggestions int2:citationType="Full">
                <int2:suggestion int2:citationStyle="Mla" int2:isIdentical="0">
                  <int2:citationText>&lt;i&gt;Wood, E., &amp; Attfield, J. (2005). Play, Learning and the ...&lt;/i&gt;, https://www.scirp.org/(S(czeh2tfqyw2orz553k1w0r45))/reference/ReferencesPapers.aspx?ReferenceID=1566068.</int2:citationText>
                </int2:suggestion>
                <int2:suggestion int2:citationStyle="Apa" int2:isIdentical="0">
                  <int2:citationText>&lt;i&gt;Wood, E., &amp; Attfield, J. (2005). Play, Learning and the ...&lt;/i&gt;. (n.d.). Retrieved from https://www.scirp.org/(S(czeh2tfqyw2orz553k1w0r45))/reference/ReferencesPapers.aspx?ReferenceID=1566068</int2:citationText>
                </int2:suggestion>
                <int2:suggestion int2:citationStyle="Chicago" int2:isIdentical="0">
                  <int2:citationText>“Wood, E., &amp; Attfield, J. (2005). Play, Learning and the ...” n.d., https://www.scirp.org/(S(czeh2tfqyw2orz553k1w0r45))/reference/ReferencesPapers.aspx?ReferenceID=1566068.</int2:citationText>
                </int2:suggestion>
              </int2:suggestions>
            </int2:source>
            <int2:source int2:sourceType="Online" int2:sourceTitle="Play Learning And The Early Childhood Curriculum" int2:sourceUrl="http://www.terry-whitney.com/play_learning_and_the_early_childhood_curriculum.pdf" int2:sourceSnippet="Wood, E. &amp; Attfield, J. (2005). Play, learning and the early childhood curriculum London: SAGE Publications Ltd doi: 10.4135/9781446280393. Wood, Elizabeth and Jane ... SAGE Books - Play, Learning and the Early Childhood Curriculum There has been an abundance of research around play and its positive effects on early childhood learning and ...">
              <int2:suggestions int2:citationType="Inline">
                <int2:suggestion int2:citationStyle="Mla" int2:isIdentical="0">
                  <int2:citationText>(“Play Learning And The Early Childhood Curriculum”)</int2:citationText>
                </int2:suggestion>
                <int2:suggestion int2:citationStyle="Apa" int2:isIdentical="0">
                  <int2:citationText>(“Play Learning And The Early Childhood Curriculum”)</int2:citationText>
                </int2:suggestion>
                <int2:suggestion int2:citationStyle="Chicago" int2:isIdentical="0">
                  <int2:citationText>(“Play Learning And The Early Childhood Curriculum”)</int2:citationText>
                </int2:suggestion>
              </int2:suggestions>
              <int2:suggestions int2:citationType="Full">
                <int2:suggestion int2:citationStyle="Mla" int2:isIdentical="0">
                  <int2:citationText>&lt;i&gt;Play Learning And The Early Childhood Curriculum&lt;/i&gt;, http://www.terry-whitney.com/play_learning_and_the_early_childhood_curriculum.pdf.</int2:citationText>
                </int2:suggestion>
                <int2:suggestion int2:citationStyle="Apa" int2:isIdentical="0">
                  <int2:citationText>&lt;i&gt;Play Learning And The Early Childhood Curriculum&lt;/i&gt;. (n.d.). Retrieved from http://www.terry-whitney.com/play_learning_and_the_early_childhood_curriculum.pdf</int2:citationText>
                </int2:suggestion>
                <int2:suggestion int2:citationStyle="Chicago" int2:isIdentical="0">
                  <int2:citationText>“Play Learning And The Early Childhood Curriculum” n.d., http://www.terry-whitney.com/play_learning_and_the_early_childhood_curriculum.pdf.</int2:citationText>
                </int2:suggestion>
              </int2:suggestions>
            </int2:source>
          </int2:similarityCritique>
        </oel:ext>
      </int2:extLst>
    </int2:bookmark>
    <int2:bookmark int2:bookmarkName="_Int_7E3lVlZc" int2:invalidationBookmarkName="" int2:hashCode="OGtdZav+13+LHs" int2:id="MggPVFQV">
      <int2:extLst>
        <oel:ext uri="426473B9-03D8-482F-96C9-C2C85392BACA">
          <int2:similarityCritique int2:version="1" int2:context="Wood, E. (2004) ‘Developing a Pedagogy of Play.’ in Anning, A., Cullen, J., Fleer, M. (Eds) Early Childhood Education: Society and Culture.">
            <int2:source int2:sourceType="Online" int2:sourceTitle="Bibliography - SAGE Publications Inc" int2:sourceUrl="https://sk.sagepub.com/books/play-learning-and-the-early-childhood-curriculum/Bibliography/2" int2:sourceSnippet="Wood, E. (2004) Developing a Pedagogy of Play for the 21st century, in A. Anning, J. Cullen and M. Fleer (eds) Early Childhood Education: Society and Culture, London, Sage, 17–30. Wood , E. and Bennett , N. ( 2001 ) Early Childhood Teachers' Theories of Progression and Continuity , International Journal of Early Years Education , 9 ( 3 ), 229 ...">
              <int2:suggestions int2:citationType="Inline">
                <int2:suggestion int2:citationStyle="Mla" int2:isIdentical="0">
                  <int2:citationText>(“Bibliography - SAGE Publications Inc”)</int2:citationText>
                </int2:suggestion>
                <int2:suggestion int2:citationStyle="Apa" int2:isIdentical="0">
                  <int2:citationText>(“Bibliography - SAGE Publications Inc”)</int2:citationText>
                </int2:suggestion>
                <int2:suggestion int2:citationStyle="Chicago" int2:isIdentical="0">
                  <int2:citationText>(“Bibliography - SAGE Publications Inc”)</int2:citationText>
                </int2:suggestion>
              </int2:suggestions>
              <int2:suggestions int2:citationType="Full">
                <int2:suggestion int2:citationStyle="Mla" int2:isIdentical="0">
                  <int2:citationText>&lt;i&gt;Bibliography - SAGE Publications Inc&lt;/i&gt;, https://sk.sagepub.com/books/play-learning-and-the-early-childhood-curriculum/Bibliography/2.</int2:citationText>
                </int2:suggestion>
                <int2:suggestion int2:citationStyle="Apa" int2:isIdentical="0">
                  <int2:citationText>&lt;i&gt;Bibliography - SAGE Publications Inc&lt;/i&gt;. (n.d.). Retrieved from https://sk.sagepub.com/books/play-learning-and-the-early-childhood-curriculum/Bibliography/2</int2:citationText>
                </int2:suggestion>
                <int2:suggestion int2:citationStyle="Chicago" int2:isIdentical="0">
                  <int2:citationText>“Bibliography - SAGE Publications Inc” n.d., https://sk.sagepub.com/books/play-learning-and-the-early-childhood-curriculum/Bibliography/2.</int2:citationText>
                </int2:suggestion>
              </int2:suggestions>
            </int2:source>
          </int2:similarityCritique>
        </oel:ext>
      </int2:extLst>
    </int2:bookmark>
    <int2:bookmark int2:bookmarkName="_Int_RxR0OJ82" int2:invalidationBookmarkName="" int2:hashCode="gJjYLJGOBgwguu" int2:id="zZ8G74Fq">
      <int2:extLst>
        <oel:ext uri="426473B9-03D8-482F-96C9-C2C85392BACA">
          <int2:similarityCritique int2:version="1" int2:context="‌UNICEF (1989) The United Nations Convention on the Rights of the Child.">
            <int2:source int2:sourceType="Online" int2:sourceTitle="The Importance of Play in Early Years Development" int2:sourceUrl="https://www.ukessays.com/essays/education/the-importance-of-play-in-early-years-development.php" int2:sourceSnippet="UNICEF (1989) The United Nations Convention on the Rights of the Child. London: UNICEF Vygotsky, L.S. (1978) Mind in Society. Cambridge, MA: Harvard University Press Whitehead, M. (2010) Language and Literacy in the Early Years 0 – 7. (4th Ed) London: Sage Publications Ltd">
              <int2:suggestions int2:citationType="Inline">
                <int2:suggestion int2:citationStyle="Mla" int2:isIdentical="0">
                  <int2:citationText>(“The Importance of Play in Early Years Development”)</int2:citationText>
                </int2:suggestion>
                <int2:suggestion int2:citationStyle="Apa" int2:isIdentical="0">
                  <int2:citationText>(“The Importance of Play in Early Years Development”)</int2:citationText>
                </int2:suggestion>
                <int2:suggestion int2:citationStyle="Chicago" int2:isIdentical="0">
                  <int2:citationText>(“The Importance of Play in Early Years Development”)</int2:citationText>
                </int2:suggestion>
              </int2:suggestions>
              <int2:suggestions int2:citationType="Full">
                <int2:suggestion int2:citationStyle="Mla" int2:isIdentical="0">
                  <int2:citationText>&lt;i&gt;The Importance of Play in Early Years Development&lt;/i&gt;, https://www.ukessays.com/essays/education/the-importance-of-play-in-early-years-development.php.</int2:citationText>
                </int2:suggestion>
                <int2:suggestion int2:citationStyle="Apa" int2:isIdentical="0">
                  <int2:citationText>&lt;i&gt;The Importance of Play in Early Years Development&lt;/i&gt;. (n.d.). Retrieved from https://www.ukessays.com/essays/education/the-importance-of-play-in-early-years-development.php</int2:citationText>
                </int2:suggestion>
                <int2:suggestion int2:citationStyle="Chicago" int2:isIdentical="0">
                  <int2:citationText>“The Importance of Play in Early Years Development” n.d., https://www.ukessays.com/essays/education/the-importance-of-play-in-early-years-development.php.</int2:citationText>
                </int2:suggestion>
              </int2:suggestions>
            </int2:source>
            <int2:source int2:sourceType="Online" int2:sourceTitle="Recognising and protecting the communication rights of ..." int2:sourceUrl="https://www.lspjournal.com/post/recognising-and-protecting-the-communication-rights-of-autistic-children" int2:sourceSnippet="UNICEF. 1989. The United Nations Convention on the Rights of the Child. Uljarević, Mirko, Napoleon Katsos, Kristelle Hudry and Jenny L. Gibson. 2016. 'Practitioner Review: Multilingualism and Neurodevelopmental Disorders – an Overview of Recent Research and Discussion of Clinical Implications', ...">
              <int2:suggestions int2:citationType="Inline">
                <int2:suggestion int2:citationStyle="Mla" int2:isIdentical="0">
                  <int2:citationText>(“Recognising and protecting the communication rights of ...”)</int2:citationText>
                </int2:suggestion>
                <int2:suggestion int2:citationStyle="Apa" int2:isIdentical="0">
                  <int2:citationText>(“Recognising and protecting the communication rights of ...”)</int2:citationText>
                </int2:suggestion>
                <int2:suggestion int2:citationStyle="Chicago" int2:isIdentical="0">
                  <int2:citationText>(“Recognising and protecting the communication rights of ...”)</int2:citationText>
                </int2:suggestion>
              </int2:suggestions>
              <int2:suggestions int2:citationType="Full">
                <int2:suggestion int2:citationStyle="Mla" int2:isIdentical="0">
                  <int2:citationText>&lt;i&gt;Recognising and protecting the communication rights of ...&lt;/i&gt;, https://www.lspjournal.com/post/recognising-and-protecting-the-communication-rights-of-autistic-children.</int2:citationText>
                </int2:suggestion>
                <int2:suggestion int2:citationStyle="Apa" int2:isIdentical="0">
                  <int2:citationText>&lt;i&gt;Recognising and protecting the communication rights of ...&lt;/i&gt;. (n.d.). Retrieved from https://www.lspjournal.com/post/recognising-and-protecting-the-communication-rights-of-autistic-children</int2:citationText>
                </int2:suggestion>
                <int2:suggestion int2:citationStyle="Chicago" int2:isIdentical="0">
                  <int2:citationText>“Recognising and protecting the communication rights of ...” n.d., https://www.lspjournal.com/post/recognising-and-protecting-the-communication-rights-of-autistic-children.</int2:citationText>
                </int2:suggestion>
              </int2:suggestions>
            </int2:source>
            <int2:source int2:sourceType="Online" int2:sourceTitle="YCIS YWIES YWIEK Child Protection Policy and Procedures ..." int2:sourceUrl="https://www.ywiek-cq.com/pdf/YCIS_YWIES_YWIEK_Child_Protection_Policy_and_Procedures_2021-23.pdf" int2:sourceSnippet="United Nations International Children’s Emergency Fund (UNICEF), (1989) The United Nations Convention on the Rights of the Child. London: Author This policy has been reviewed and commented on by FuJae Partners, a PRC law firm with Chinese and International legal experiences. Governor with the Responsibility for Child Protection:">
              <int2:suggestions int2:citationType="Inline">
                <int2:suggestion int2:citationStyle="Mla" int2:isIdentical="0">
                  <int2:citationText>(“YCIS YWIES YWIEK Child Protection Policy and Procedures ...”)</int2:citationText>
                </int2:suggestion>
                <int2:suggestion int2:citationStyle="Apa" int2:isIdentical="0">
                  <int2:citationText>(“YCIS YWIES YWIEK Child Protection Policy and Procedures ...”)</int2:citationText>
                </int2:suggestion>
                <int2:suggestion int2:citationStyle="Chicago" int2:isIdentical="0">
                  <int2:citationText>(“YCIS YWIES YWIEK Child Protection Policy and Procedures ...”)</int2:citationText>
                </int2:suggestion>
              </int2:suggestions>
              <int2:suggestions int2:citationType="Full">
                <int2:suggestion int2:citationStyle="Mla" int2:isIdentical="0">
                  <int2:citationText>&lt;i&gt;YCIS YWIES YWIEK Child Protection Policy and Procedures ...&lt;/i&gt;, https://www.ywiek-cq.com/pdf/YCIS_YWIES_YWIEK_Child_Protection_Policy_and_Procedures_2021-23.pdf.</int2:citationText>
                </int2:suggestion>
                <int2:suggestion int2:citationStyle="Apa" int2:isIdentical="0">
                  <int2:citationText>&lt;i&gt;YCIS YWIES YWIEK Child Protection Policy and Procedures ...&lt;/i&gt;. (n.d.). Retrieved from https://www.ywiek-cq.com/pdf/YCIS_YWIES_YWIEK_Child_Protection_Policy_and_Procedures_2021-23.pdf</int2:citationText>
                </int2:suggestion>
                <int2:suggestion int2:citationStyle="Chicago" int2:isIdentical="0">
                  <int2:citationText>“YCIS YWIES YWIEK Child Protection Policy and Procedures ...” n.d., https://www.ywiek-cq.com/pdf/YCIS_YWIES_YWIEK_Child_Protection_Policy_and_Procedures_2021-23.pdf.</int2:citationText>
                </int2:suggestion>
              </int2:suggestions>
            </int2:source>
          </int2:similarityCritique>
        </oel:ext>
      </int2:extLst>
    </int2:bookmark>
    <int2:bookmark int2:bookmarkName="_Int_DjpP30Qm" int2:invalidationBookmarkName="" int2:hashCode="dvrImMWFf1AZAm" int2:id="hyRrKbvv">
      <int2:extLst>
        <oel:ext uri="426473B9-03D8-482F-96C9-C2C85392BACA">
          <int2:similarityCritique int2:version="1" int2:context="‘Observing, assessing and planning for children in the early years.’">
            <int2:source int2:sourceType="Online" int2:sourceTitle="Observing, Assessing and Planning for Children in the ..." int2:sourceUrl="https://books.google.com/books/about/Observing_Assessing_and_Planning_for_Chi.html?id=4OaF3M4kQesC" int2:sourceSnippet="Observing, Assessing and Planning for Children in the Early Years. This introductory text shows how, by observing children knowledgeably, practitioners can plan for and assess the young children in their care much more effectively. Observation as a 'tool for learning' has long been considered to be one of the most beneficial ways of teaching ...">
              <int2:suggestions int2:citationType="Inline">
                <int2:suggestion int2:citationStyle="Mla" int2:isIdentical="0">
                  <int2:citationText>(“Observing, Assessing and Planning for Children in the ...”)</int2:citationText>
                </int2:suggestion>
                <int2:suggestion int2:citationStyle="Apa" int2:isIdentical="0">
                  <int2:citationText>(“Observing, Assessing and Planning for Children in the ...”)</int2:citationText>
                </int2:suggestion>
                <int2:suggestion int2:citationStyle="Chicago" int2:isIdentical="0">
                  <int2:citationText>(“Observing, Assessing and Planning for Children in the ...”)</int2:citationText>
                </int2:suggestion>
              </int2:suggestions>
              <int2:suggestions int2:citationType="Full">
                <int2:suggestion int2:citationStyle="Mla" int2:isIdentical="0">
                  <int2:citationText>&lt;i&gt;Observing, Assessing and Planning for Children in the ...&lt;/i&gt;, https://books.google.com/books/about/Observing_Assessing_and_Planning_for_Chi.html?id=4OaF3M4kQesC.</int2:citationText>
                </int2:suggestion>
                <int2:suggestion int2:citationStyle="Apa" int2:isIdentical="0">
                  <int2:citationText>&lt;i&gt;Observing, Assessing and Planning for Children in the ...&lt;/i&gt;. (n.d.). Retrieved from https://books.google.com/books/about/Observing_Assessing_and_Planning_for_Chi.html?id=4OaF3M4kQesC</int2:citationText>
                </int2:suggestion>
                <int2:suggestion int2:citationStyle="Chicago" int2:isIdentical="0">
                  <int2:citationText>“Observing, Assessing and Planning for Children in the ...” n.d., https://books.google.com/books/about/Observing_Assessing_and_Planning_for_Chi.html?id=4OaF3M4kQesC.</int2:citationText>
                </int2:suggestion>
              </int2:suggestions>
            </int2:source>
            <int2:source int2:sourceType="Online" int2:sourceTitle="Observing, Assessing and Planning for Children in the ..." int2:sourceUrl="https://www.taylorfrancis.com/books/mono/10.4324/9780203464168/observing-assessing-planning-children-early-years-sandra-smidt" int2:sourceSnippet="Observing, Assessing and Planning for Children in the Early Years . DOI link for Observing, Assessing and Planning for Children in the Early Years. Observing, Assessing and Planning for Children in the Early Years book. The role of observation and assessment in early childhood settings.">
              <int2:suggestions int2:citationType="Inline">
                <int2:suggestion int2:citationStyle="Mla" int2:isIdentical="0">
                  <int2:citationText>(“Observing, Assessing and Planning for Children in the ...”)</int2:citationText>
                </int2:suggestion>
                <int2:suggestion int2:citationStyle="Apa" int2:isIdentical="0">
                  <int2:citationText>(“Observing, Assessing and Planning for Children in the ...”)</int2:citationText>
                </int2:suggestion>
                <int2:suggestion int2:citationStyle="Chicago" int2:isIdentical="0">
                  <int2:citationText>(“Observing, Assessing and Planning for Children in the ...”)</int2:citationText>
                </int2:suggestion>
              </int2:suggestions>
              <int2:suggestions int2:citationType="Full">
                <int2:suggestion int2:citationStyle="Mla" int2:isIdentical="0">
                  <int2:citationText>&lt;i&gt;Observing, Assessing and Planning for Children in the ...&lt;/i&gt;, https://www.taylorfrancis.com/books/mono/10.4324/9780203464168/observing-assessing-planning-children-early-years-sandra-smidt.</int2:citationText>
                </int2:suggestion>
                <int2:suggestion int2:citationStyle="Apa" int2:isIdentical="0">
                  <int2:citationText>&lt;i&gt;Observing, Assessing and Planning for Children in the ...&lt;/i&gt;. (n.d.). Retrieved from https://www.taylorfrancis.com/books/mono/10.4324/9780203464168/observing-assessing-planning-children-early-years-sandra-smidt</int2:citationText>
                </int2:suggestion>
                <int2:suggestion int2:citationStyle="Chicago" int2:isIdentical="0">
                  <int2:citationText>“Observing, Assessing and Planning for Children in the ...” n.d., https://www.taylorfrancis.com/books/mono/10.4324/9780203464168/observing-assessing-planning-children-early-years-sandra-smidt.</int2:citationText>
                </int2:suggestion>
              </int2:suggestions>
            </int2:source>
            <int2:source int2:sourceType="Online" int2:sourceTitle="Observing, Assessing and Planning for Children in the ..." int2:sourceUrl="https://books.google.com/books/about/Observing_Assessing_and_Planning_for_Chi.html?id=hTFcRorc17YC" int2:sourceSnippet="Observing, Assessing and Planning for Children in the Early Years. Sandra Smidt. Taylor &amp; Francis, Feb 1, 2005 - Education - 128 pages. 0 Reviews. This introductory text shows how, by observing children knowledgeably, practitioners can plan for and assess the young children in their care much more effectively.">
              <int2:suggestions int2:citationType="Inline">
                <int2:suggestion int2:citationStyle="Mla" int2:isIdentical="0">
                  <int2:citationText>(“Observing, Assessing and Planning for Children in the ...”)</int2:citationText>
                </int2:suggestion>
                <int2:suggestion int2:citationStyle="Apa" int2:isIdentical="0">
                  <int2:citationText>(“Observing, Assessing and Planning for Children in the ...”)</int2:citationText>
                </int2:suggestion>
                <int2:suggestion int2:citationStyle="Chicago" int2:isIdentical="0">
                  <int2:citationText>(“Observing, Assessing and Planning for Children in the ...”)</int2:citationText>
                </int2:suggestion>
              </int2:suggestions>
              <int2:suggestions int2:citationType="Full">
                <int2:suggestion int2:citationStyle="Mla" int2:isIdentical="0">
                  <int2:citationText>&lt;i&gt;Observing, Assessing and Planning for Children in the ...&lt;/i&gt;, https://books.google.com/books/about/Observing_Assessing_and_Planning_for_Chi.html?id=hTFcRorc17YC.</int2:citationText>
                </int2:suggestion>
                <int2:suggestion int2:citationStyle="Apa" int2:isIdentical="0">
                  <int2:citationText>&lt;i&gt;Observing, Assessing and Planning for Children in the ...&lt;/i&gt;. (n.d.). Retrieved from https://books.google.com/books/about/Observing_Assessing_and_Planning_for_Chi.html?id=hTFcRorc17YC</int2:citationText>
                </int2:suggestion>
                <int2:suggestion int2:citationStyle="Chicago" int2:isIdentical="0">
                  <int2:citationText>“Observing, Assessing and Planning for Children in the ...” n.d., https://books.google.com/books/about/Observing_Assessing_and_Planning_for_Chi.html?id=hTFcRorc17YC.</int2:citationText>
                </int2:suggestion>
              </int2:suggestions>
            </int2:source>
          </int2:similarityCritique>
        </oel:ext>
      </int2:extLst>
    </int2:bookmark>
    <int2:bookmark int2:bookmarkName="_Int_1Wxs3L2o" int2:invalidationBookmarkName="" int2:hashCode="FyvLcYhmCHlKMt" int2:id="piI5kk9e">
      <int2:extLst>
        <oel:ext uri="426473B9-03D8-482F-96C9-C2C85392BACA">
          <int2:similarityCritique int2:version="1" int2:context="Authentic relationships in group care for infants and toddlers - resources for infant educarers (RIE) principles into practice. Philadelphia: J. Kingsley Publishers.">
            <int2:source int2:sourceType="Online" int2:sourceTitle="Authentic relationships in group care for infants and ..." int2:sourceUrl="http://link.umsl.edu/portal/Authentic-relationships-in-group-care-for-infants/oiwa1d12sEM/" int2:sourceSnippet="The item Authentic relationships in group care for infants and toddlers - resources for infant educarers (RIE) principles into practice, edited by Stephanie Petrie and Sue Owen represents a specific, individual, material embodiment of a distinct intellectual or artistic creation found in University of Missouri-St. Louis Libraries.">
              <int2:suggestions int2:citationType="Inline">
                <int2:suggestion int2:citationStyle="Mla" int2:isIdentical="0">
                  <int2:citationText>(“Authentic relationships in group care for infants and ...”)</int2:citationText>
                </int2:suggestion>
                <int2:suggestion int2:citationStyle="Apa" int2:isIdentical="0">
                  <int2:citationText>(“Authentic relationships in group care for infants and ...”)</int2:citationText>
                </int2:suggestion>
                <int2:suggestion int2:citationStyle="Chicago" int2:isIdentical="0">
                  <int2:citationText>(“Authentic relationships in group care for infants and ...”)</int2:citationText>
                </int2:suggestion>
              </int2:suggestions>
              <int2:suggestions int2:citationType="Full">
                <int2:suggestion int2:citationStyle="Mla" int2:isIdentical="0">
                  <int2:citationText>&lt;i&gt;Authentic relationships in group care for infants and ...&lt;/i&gt;, http://link.umsl.edu/portal/Authentic-relationships-in-group-care-for-infants/oiwa1d12sEM/.</int2:citationText>
                </int2:suggestion>
                <int2:suggestion int2:citationStyle="Apa" int2:isIdentical="0">
                  <int2:citationText>&lt;i&gt;Authentic relationships in group care for infants and ...&lt;/i&gt;. (n.d.). Retrieved from http://link.umsl.edu/portal/Authentic-relationships-in-group-care-for-infants/oiwa1d12sEM/</int2:citationText>
                </int2:suggestion>
                <int2:suggestion int2:citationStyle="Chicago" int2:isIdentical="0">
                  <int2:citationText>“Authentic relationships in group care for infants and ...” n.d., http://link.umsl.edu/portal/Authentic-relationships-in-group-care-for-infants/oiwa1d12sEM/.</int2:citationText>
                </int2:suggestion>
              </int2:suggestions>
            </int2:source>
          </int2:similarityCritique>
        </oel:ext>
      </int2:extLst>
    </int2:bookmark>
    <int2:bookmark int2:bookmarkName="_Int_hAFmud0R" int2:invalidationBookmarkName="" int2:hashCode="HLA2piDNXcdob/" int2:id="lgOq9Vz4">
      <int2:extLst>
        <oel:ext uri="426473B9-03D8-482F-96C9-C2C85392BACA">
          <int2:similarityCritique int2:version="1" int2:context="Moore, A. (2000) ‘Teaching and Learning: Pedagogy, Curriculum and Culture.’">
            <int2:source int2:sourceType="Online" int2:sourceTitle="The Importance of Play in Early Years Development" int2:sourceUrl="https://www.ukessays.com/essays/education/the-importance-of-play-in-early-years-development.php" int2:sourceSnippet="Moore, A. (2000) Teaching and Learning: Pedagogy, Curriculum and Culture. London: Routledge Moore, M., Russ, S. (2006) ‘Pretend Play as a Resource for Children: Implications for Pediatricians and Health Professionals.’ Journal of Developmental and Behavioural Pediatrics 27 (3), pp. 237 – 248">
              <int2:suggestions int2:citationType="Inline">
                <int2:suggestion int2:citationStyle="Mla" int2:isIdentical="0">
                  <int2:citationText>(“The Importance of Play in Early Years Development”)</int2:citationText>
                </int2:suggestion>
                <int2:suggestion int2:citationStyle="Apa" int2:isIdentical="0">
                  <int2:citationText>(“The Importance of Play in Early Years Development”)</int2:citationText>
                </int2:suggestion>
                <int2:suggestion int2:citationStyle="Chicago" int2:isIdentical="0">
                  <int2:citationText>(“The Importance of Play in Early Years Development”)</int2:citationText>
                </int2:suggestion>
              </int2:suggestions>
              <int2:suggestions int2:citationType="Full">
                <int2:suggestion int2:citationStyle="Mla" int2:isIdentical="0">
                  <int2:citationText>&lt;i&gt;The Importance of Play in Early Years Development&lt;/i&gt;, https://www.ukessays.com/essays/education/the-importance-of-play-in-early-years-development.php.</int2:citationText>
                </int2:suggestion>
                <int2:suggestion int2:citationStyle="Apa" int2:isIdentical="0">
                  <int2:citationText>&lt;i&gt;The Importance of Play in Early Years Development&lt;/i&gt;. (n.d.). Retrieved from https://www.ukessays.com/essays/education/the-importance-of-play-in-early-years-development.php</int2:citationText>
                </int2:suggestion>
                <int2:suggestion int2:citationStyle="Chicago" int2:isIdentical="0">
                  <int2:citationText>“The Importance of Play in Early Years Development” n.d., https://www.ukessays.com/essays/education/the-importance-of-play-in-early-years-development.php.</int2:citationText>
                </int2:suggestion>
              </int2:suggestions>
            </int2:source>
            <int2:source int2:sourceType="Online" int2:sourceTitle="First thoughts on teaching and learning … – Contemporary ..." int2:sourceUrl="https://contemporaryissuesinteachingandlearning.wordpress.com/2015/09/18/8/" int2:sourceSnippet="Moore, A. (2000), Teaching and Learning: Pedagogy, Curriculum and Culture. New York: Routledge. Like Like. September 22, 2015 at 5:35 pm Reply. sd458. There is much to agree with in this blog, which emphasises the importance of play in the way children learn, especially in the EYFS years. However, it does raise the question for me learning to ...">
              <int2:suggestions int2:citationType="Inline">
                <int2:suggestion int2:citationStyle="Mla" int2:isIdentical="0">
                  <int2:citationText>(“First thoughts on teaching and learning … – Contemporary ...”)</int2:citationText>
                </int2:suggestion>
                <int2:suggestion int2:citationStyle="Apa" int2:isIdentical="0">
                  <int2:citationText>(“First thoughts on teaching and learning … – Contemporary ...”)</int2:citationText>
                </int2:suggestion>
                <int2:suggestion int2:citationStyle="Chicago" int2:isIdentical="0">
                  <int2:citationText>(“First thoughts on teaching and learning … – Contemporary ...”)</int2:citationText>
                </int2:suggestion>
              </int2:suggestions>
              <int2:suggestions int2:citationType="Full">
                <int2:suggestion int2:citationStyle="Mla" int2:isIdentical="0">
                  <int2:citationText>&lt;i&gt;First thoughts on teaching and learning … – Contemporary ...&lt;/i&gt;, https://contemporaryissuesinteachingandlearning.wordpress.com/2015/09/18/8/.</int2:citationText>
                </int2:suggestion>
                <int2:suggestion int2:citationStyle="Apa" int2:isIdentical="0">
                  <int2:citationText>&lt;i&gt;First thoughts on teaching and learning … – Contemporary ...&lt;/i&gt;. (n.d.). Retrieved from https://contemporaryissuesinteachingandlearning.wordpress.com/2015/09/18/8/</int2:citationText>
                </int2:suggestion>
                <int2:suggestion int2:citationStyle="Chicago" int2:isIdentical="0">
                  <int2:citationText>“First thoughts on teaching and learning … – Contemporary ...” n.d., https://contemporaryissuesinteachingandlearning.wordpress.com/2015/09/18/8/.</int2:citationText>
                </int2:suggestion>
              </int2:suggestions>
            </int2:source>
            <int2:source int2:sourceType="Online" int2:sourceTitle="What Is Very Important to Learning? | Free Essay Example" int2:sourceUrl="https://studycorgi.com/what-is-very-important-to-learning/" int2:sourceSnippet="Moore, A. (2000) Teaching and learning: Pedagogy, curriculum and culture. London: RoutledgeFalmer. Moore, S and N. Kuol, (2007) Retrospective insights on teaching: Exploring teaching excellence through the eyes of the alumni.">
              <int2:suggestions int2:citationType="Inline">
                <int2:suggestion int2:citationStyle="Mla" int2:isIdentical="0">
                  <int2:citationText>(“What Is Very Important to Learning? | Free Essay Example”)</int2:citationText>
                </int2:suggestion>
                <int2:suggestion int2:citationStyle="Apa" int2:isIdentical="0">
                  <int2:citationText>(“What Is Very Important to Learning? | Free Essay Example”)</int2:citationText>
                </int2:suggestion>
                <int2:suggestion int2:citationStyle="Chicago" int2:isIdentical="0">
                  <int2:citationText>(“What Is Very Important to Learning? | Free Essay Example”)</int2:citationText>
                </int2:suggestion>
              </int2:suggestions>
              <int2:suggestions int2:citationType="Full">
                <int2:suggestion int2:citationStyle="Mla" int2:isIdentical="0">
                  <int2:citationText>&lt;i&gt;What Is Very Important to Learning? | Free Essay Example&lt;/i&gt;, https://studycorgi.com/what-is-very-important-to-learning/.</int2:citationText>
                </int2:suggestion>
                <int2:suggestion int2:citationStyle="Apa" int2:isIdentical="0">
                  <int2:citationText>&lt;i&gt;What Is Very Important to Learning? | Free Essay Example&lt;/i&gt;. (n.d.). Retrieved from https://studycorgi.com/what-is-very-important-to-learning/</int2:citationText>
                </int2:suggestion>
                <int2:suggestion int2:citationStyle="Chicago" int2:isIdentical="0">
                  <int2:citationText>“What Is Very Important to Learning? | Free Essay Example” n.d., https://studycorgi.com/what-is-very-important-to-learning/.</int2:citationText>
                </int2:suggestion>
              </int2:suggestions>
            </int2:source>
          </int2:similarityCritique>
        </oel:ext>
      </int2:extLst>
    </int2:bookmark>
    <int2:bookmark int2:bookmarkName="_Int_G1nSUAQ5" int2:invalidationBookmarkName="" int2:hashCode="ayPUUAzKT3AGp5" int2:id="Br0iZYIN">
      <int2:extLst>
        <oel:ext uri="426473B9-03D8-482F-96C9-C2C85392BACA">
          <int2:similarityCritique int2:version="1" int2:context="‌Lillemyr, O. F. (2009) ‘Taking Play Seriously.’ Charlotte: Information Age Publishing Inc">
            <int2:source int2:sourceType="Online" int2:sourceTitle="The Importance of Play in Early Years Development" int2:sourceUrl="https://www.ukessays.com/essays/education/the-importance-of-play-in-early-years-development.php" int2:sourceSnippet="Lillemyr, O. F. (2009) Taking Play Seriously. Charlotte: Information Age Publishing Inc Manning-Morton, J., Thorp, M. (2003) Key Times for Play: The First Three Years. Maidenhead: Open University Press May, P. (2013) The Thinking Child: Laying the Foundations of Understanding and Competence. Abingdon: Routledge Meadows, S. (1993) The Child as ...">
              <int2:suggestions int2:citationType="Inline">
                <int2:suggestion int2:citationStyle="Mla" int2:isIdentical="0">
                  <int2:citationText>(“The Importance of Play in Early Years Development”)</int2:citationText>
                </int2:suggestion>
                <int2:suggestion int2:citationStyle="Apa" int2:isIdentical="0">
                  <int2:citationText>(“The Importance of Play in Early Years Development”)</int2:citationText>
                </int2:suggestion>
                <int2:suggestion int2:citationStyle="Chicago" int2:isIdentical="0">
                  <int2:citationText>(“The Importance of Play in Early Years Development”)</int2:citationText>
                </int2:suggestion>
              </int2:suggestions>
              <int2:suggestions int2:citationType="Full">
                <int2:suggestion int2:citationStyle="Mla" int2:isIdentical="0">
                  <int2:citationText>&lt;i&gt;The Importance of Play in Early Years Development&lt;/i&gt;, https://www.ukessays.com/essays/education/the-importance-of-play-in-early-years-development.php.</int2:citationText>
                </int2:suggestion>
                <int2:suggestion int2:citationStyle="Apa" int2:isIdentical="0">
                  <int2:citationText>&lt;i&gt;The Importance of Play in Early Years Development&lt;/i&gt;. (n.d.). Retrieved from https://www.ukessays.com/essays/education/the-importance-of-play-in-early-years-development.php</int2:citationText>
                </int2:suggestion>
                <int2:suggestion int2:citationStyle="Chicago" int2:isIdentical="0">
                  <int2:citationText>“The Importance of Play in Early Years Development” n.d., https://www.ukessays.com/essays/education/the-importance-of-play-in-early-years-development.php.</int2:citationText>
                </int2:suggestion>
              </int2:suggestions>
            </int2:source>
          </int2:similarityCritique>
        </oel:ext>
      </int2:extLst>
    </int2:bookmark>
    <int2:bookmark int2:bookmarkName="_Int_f3Surt6S" int2:invalidationBookmarkName="" int2:hashCode="0PHCOmLQpRcvFi" int2:id="U6Dzq7P0">
      <int2:extLst>
        <oel:ext uri="426473B9-03D8-482F-96C9-C2C85392BACA">
          <int2:similarityCritique int2:version="1" int2:context="Bruce, T. (1991) ‘Time to Play in Early Childhood Education.">
            <int2:source int2:sourceType="Online" int2:sourceTitle="The Importance of Play in Early Years Development" int2:sourceUrl="https://www.ukessays.com/essays/education/the-importance-of-play-in-early-years-development.php" int2:sourceSnippet="Bruce, T. (1991) Time to Play in Early Childhood Education. London: Hodder &amp; Stoughton Bruce, T. (1996) Helping Young Children to Play. London: Hodder &amp; Stoughton Bruce, T. (2004) Developing Learning in Early Childhood. London: Sage Buchan, T. (2013) The Social Child. Laying the Foundations of Relationships and Language. Abingdon: Routledge">
              <int2:suggestions int2:citationType="Inline">
                <int2:suggestion int2:citationStyle="Mla" int2:isIdentical="0">
                  <int2:citationText>(“The Importance of Play in Early Years Development”)</int2:citationText>
                </int2:suggestion>
                <int2:suggestion int2:citationStyle="Apa" int2:isIdentical="0">
                  <int2:citationText>(“The Importance of Play in Early Years Development”)</int2:citationText>
                </int2:suggestion>
                <int2:suggestion int2:citationStyle="Chicago" int2:isIdentical="0">
                  <int2:citationText>(“The Importance of Play in Early Years Development”)</int2:citationText>
                </int2:suggestion>
              </int2:suggestions>
              <int2:suggestions int2:citationType="Full">
                <int2:suggestion int2:citationStyle="Mla" int2:isIdentical="0">
                  <int2:citationText>&lt;i&gt;The Importance of Play in Early Years Development&lt;/i&gt;, https://www.ukessays.com/essays/education/the-importance-of-play-in-early-years-development.php.</int2:citationText>
                </int2:suggestion>
                <int2:suggestion int2:citationStyle="Apa" int2:isIdentical="0">
                  <int2:citationText>&lt;i&gt;The Importance of Play in Early Years Development&lt;/i&gt;. (n.d.). Retrieved from https://www.ukessays.com/essays/education/the-importance-of-play-in-early-years-development.php</int2:citationText>
                </int2:suggestion>
                <int2:suggestion int2:citationStyle="Chicago" int2:isIdentical="0">
                  <int2:citationText>“The Importance of Play in Early Years Development” n.d., https://www.ukessays.com/essays/education/the-importance-of-play-in-early-years-development.php.</int2:citationText>
                </int2:suggestion>
              </int2:suggestions>
            </int2:source>
            <int2:source int2:sourceType="Online" int2:sourceTitle="References – Importance of Play in the Early Childhood ..." int2:sourceUrl="https://dc00456289pc.wordpress.com/references/" int2:sourceSnippet="Bruce, T. (1991) Time to Play in Early Childhood Education. London: Hodder &amp; Stroughton. London: Hodder &amp; Stroughton. Brussoni et al (2012) Risky Play and Children’s Safety: Balancing Priorities for Optimal Child Development.">
              <int2:suggestions int2:citationType="Inline">
                <int2:suggestion int2:citationStyle="Mla" int2:isIdentical="0">
                  <int2:citationText>(“References – Importance of Play in the Early Childhood ...”)</int2:citationText>
                </int2:suggestion>
                <int2:suggestion int2:citationStyle="Apa" int2:isIdentical="0">
                  <int2:citationText>(“References – Importance of Play in the Early Childhood ...”)</int2:citationText>
                </int2:suggestion>
                <int2:suggestion int2:citationStyle="Chicago" int2:isIdentical="0">
                  <int2:citationText>(“References – Importance of Play in the Early Childhood ...”)</int2:citationText>
                </int2:suggestion>
              </int2:suggestions>
              <int2:suggestions int2:citationType="Full">
                <int2:suggestion int2:citationStyle="Mla" int2:isIdentical="0">
                  <int2:citationText>&lt;i&gt;References – Importance of Play in the Early Childhood ...&lt;/i&gt;, https://dc00456289pc.wordpress.com/references/.</int2:citationText>
                </int2:suggestion>
                <int2:suggestion int2:citationStyle="Apa" int2:isIdentical="0">
                  <int2:citationText>&lt;i&gt;References – Importance of Play in the Early Childhood ...&lt;/i&gt;. (n.d.). Retrieved from https://dc00456289pc.wordpress.com/references/</int2:citationText>
                </int2:suggestion>
                <int2:suggestion int2:citationStyle="Chicago" int2:isIdentical="0">
                  <int2:citationText>“References – Importance of Play in the Early Childhood ...” n.d., https://dc00456289pc.wordpress.com/references/.</int2:citationText>
                </int2:suggestion>
              </int2:suggestions>
            </int2:source>
            <int2:source int2:sourceType="Online" int2:sourceTitle="Early Years Childcare Essay - UKEssays.com" int2:sourceUrl="https://www.ukessays.com/essays/childcare/early-years.php" int2:sourceSnippet="Bruce, T. (1991) Time to Play in Early Childhood Education. London: Hodder &amp; Stoughton London: Hodder &amp; Stoughton CACHE (2011) ‘CACHE Level 3 Diploma for the Early Years Workforce (Early Years Educator) (QCF).’">
              <int2:suggestions int2:citationType="Inline">
                <int2:suggestion int2:citationStyle="Mla" int2:isIdentical="0">
                  <int2:citationText>(“Early Years Childcare Essay - UKEssays.com”)</int2:citationText>
                </int2:suggestion>
                <int2:suggestion int2:citationStyle="Apa" int2:isIdentical="0">
                  <int2:citationText>(“Early Years Childcare Essay - UKEssays.com”)</int2:citationText>
                </int2:suggestion>
                <int2:suggestion int2:citationStyle="Chicago" int2:isIdentical="0">
                  <int2:citationText>(“Early Years Childcare Essay - UKEssays.com”)</int2:citationText>
                </int2:suggestion>
              </int2:suggestions>
              <int2:suggestions int2:citationType="Full">
                <int2:suggestion int2:citationStyle="Mla" int2:isIdentical="0">
                  <int2:citationText>&lt;i&gt;Early Years Childcare Essay - UKEssays.com&lt;/i&gt;, https://www.ukessays.com/essays/childcare/early-years.php.</int2:citationText>
                </int2:suggestion>
                <int2:suggestion int2:citationStyle="Apa" int2:isIdentical="0">
                  <int2:citationText>&lt;i&gt;Early Years Childcare Essay - UKEssays.com&lt;/i&gt;. (n.d.). Retrieved from https://www.ukessays.com/essays/childcare/early-years.php</int2:citationText>
                </int2:suggestion>
                <int2:suggestion int2:citationStyle="Chicago" int2:isIdentical="0">
                  <int2:citationText>“Early Years Childcare Essay - UKEssays.com” n.d., https://www.ukessays.com/essays/childcare/early-years.php.</int2:citationText>
                </int2:suggestion>
              </int2:suggestions>
            </int2:source>
          </int2:similarityCritique>
        </oel:ext>
      </int2:extLst>
    </int2:bookmark>
    <int2:bookmark int2:bookmarkName="_Int_wuzC43Po" int2:invalidationBookmarkName="" int2:hashCode="Z4BQabnQ9xYabQ" int2:id="fbvZONHR">
      <int2:state int2:type="LegacyProofing" int2:value="Rejected"/>
    </int2:bookmark>
    <int2:entireDocument int2:id="yovLEXCh">
      <int2:extLst>
        <oel:ext uri="E302BA01-7950-474C-9AD3-286E660C40A8">
          <int2:similaritySummary int2:version="1" int2:runId="1645399824441" int2:tilesCheckedInThisRun="70" int2:totalNumOfTiles="70" int2:similarityAnnotationCount="9" int2:numWords="3365" int2:numFlaggedWords="124"/>
        </oel:ext>
      </int2:extLst>
    </int2:entireDocument>
  </int2:observations>
  <int2:intelligenceSettings/>
  <int2:onDemandWorkflows>
    <int2:onDemandWorkflow int2:type="SimilarityCheck" int2:paragraphVersions="63811DF8-5F9B9265 04B1829F-24A92458 5144DB43-5DDFC4F9 58336D36-4E82EA95 037B1D39-798F95F0 60857C38-741EF577 66450F50-0EF3CD2A 01A5EE5A-3D1A7BF2 5896903F-20D7C6F3 46022D5C-3B9292BE 112DBB94-6D291D5E 67EB3EFD-32D921ED 37D54C0C-120C9A08 11653700-4A16F7C5 001677BF-28E0E8D8 1A6915FA-3EDD9FA9 408D5058-0BE6EDAB 2092E069-035A18AA 7E853E68-5A464FB6 360AA2ED-1BA32CBB 4A549AC9-6B62CE73 2B93EC36-363495C1 7DE3C274-29EE551D 26069BDE-769FBD38 7975DCFC-298CEFF4 34FEB00B-1E36AA08 550B2B61-3480D1BD 496C070E-5C52BE75 2BE7DC07-4C75833B 02543454-6DF4B14C 4F5BACC7-39561771 234BAB00-49456135 11EB449A-18841150 3F5D687E-2724BC79 1D5E87BB-6E7EFD6F 410B4104-1A196D79 51A31D28-68F969F8 66E65499-3684573E 3F92D69A-5E79595B 25FFAF59-591CBAEF 124F57D8-23273DA6 19F43154-3E3C598C 581D0721-7BB750A3 3B4D5FF5-247B866A 773B53EE-1A16F094 4BF71CEA-20A4004A 6F09669B-13AEA691 2D36CBD5-21C239AE 57572872-02496F6A 62993A60-509BB9DC 744FE591-5B5411A6 2CD1CE85-5D6686F0 4853953E-4D534F28 00EED383-39548DA8 18BBC4DB-6E566839 46874011-3AB56164 4EB8D66E-3E5AB4B9 4101E9AD-49162205 6521BC9C-0B7C7F6D 2EA8862A-508789A7 26C2387B-7024B1A0 4E565774-0B2C032A 06A4A43C-3BA5326F 5277EEAB-5B77B378 6175C283-620119C8 60DEC418-5E6269A4 14770BC2-16973452 70ED2337-6A8EA1BD 2D9BAB72-6FCD7B6D 2744AD43-3CF3E50E 3392AC69-7A5F6806 4C5A3BEC-27D9CBB5 3472A3EB-064EC119 19DEBB7B-1957062A 334975BC-40D9D22D 3B800662-538E26EC 2E024965-362AEA0C 3B054530-73864E67 75392CE6-5B5C77E4 2CA7A7A8-721F5FEE 32D97A50-5639B716 5C5A4344-741545B6 77C7145D-1ED777DC 6411228F-053E99AD 7AF5A321-50058A03 442C6EC2-1142BF07 7EEA70D6-4C6BEE77 2358903A-461EEFD5 1EEEEED6-5D053B0D 219C9CC1-27182334 1E3478E1-531DD943 15269757-619AD442 6DAC2AB6-0517C00B 2C078E63-41544724"/>
  </int2:onDemandWorkflows>
</int2:intelligence>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CC1738"/>
    <w:rsid w:val="00BAE49A"/>
    <w:rsid w:val="00BAE49A"/>
    <w:rsid w:val="010E8DAB"/>
    <w:rsid w:val="018B77A2"/>
    <w:rsid w:val="02CC1738"/>
    <w:rsid w:val="0309D71D"/>
    <w:rsid w:val="0506E063"/>
    <w:rsid w:val="0506E063"/>
    <w:rsid w:val="051A3E39"/>
    <w:rsid w:val="07418813"/>
    <w:rsid w:val="08E3A6D0"/>
    <w:rsid w:val="0C05F06F"/>
    <w:rsid w:val="0D0F56FF"/>
    <w:rsid w:val="0DBC0387"/>
    <w:rsid w:val="0E97C17A"/>
    <w:rsid w:val="0E9E656C"/>
    <w:rsid w:val="0EE49CE4"/>
    <w:rsid w:val="0FB2DFA1"/>
    <w:rsid w:val="11867AD1"/>
    <w:rsid w:val="127531F3"/>
    <w:rsid w:val="1292C316"/>
    <w:rsid w:val="12B14AD0"/>
    <w:rsid w:val="12B14AD0"/>
    <w:rsid w:val="13213B70"/>
    <w:rsid w:val="13B80E07"/>
    <w:rsid w:val="15ACD2B5"/>
    <w:rsid w:val="1748A316"/>
    <w:rsid w:val="1784BBF3"/>
    <w:rsid w:val="186B348B"/>
    <w:rsid w:val="1A0704EC"/>
    <w:rsid w:val="1A274F8B"/>
    <w:rsid w:val="1A601774"/>
    <w:rsid w:val="1C0326BD"/>
    <w:rsid w:val="1D91C2EE"/>
    <w:rsid w:val="1D97B836"/>
    <w:rsid w:val="1ED96F58"/>
    <w:rsid w:val="1F53B4FB"/>
    <w:rsid w:val="1F5BA281"/>
    <w:rsid w:val="21991F60"/>
    <w:rsid w:val="2215F5B4"/>
    <w:rsid w:val="234BD4E2"/>
    <w:rsid w:val="241501D0"/>
    <w:rsid w:val="2571EFB8"/>
    <w:rsid w:val="25CAE405"/>
    <w:rsid w:val="274CA292"/>
    <w:rsid w:val="28CB67AF"/>
    <w:rsid w:val="28FAF4E7"/>
    <w:rsid w:val="290284C7"/>
    <w:rsid w:val="2A114AB4"/>
    <w:rsid w:val="2D32ADD9"/>
    <w:rsid w:val="2EE4BBD7"/>
    <w:rsid w:val="2F58D8CF"/>
    <w:rsid w:val="2F71C64B"/>
    <w:rsid w:val="31FDD4DF"/>
    <w:rsid w:val="321C5C99"/>
    <w:rsid w:val="32A9670D"/>
    <w:rsid w:val="33F128BB"/>
    <w:rsid w:val="35760E62"/>
    <w:rsid w:val="3966F068"/>
    <w:rsid w:val="3A041256"/>
    <w:rsid w:val="3BDA5C6A"/>
    <w:rsid w:val="3EAD8BED"/>
    <w:rsid w:val="3EB7C545"/>
    <w:rsid w:val="3F72BDC7"/>
    <w:rsid w:val="4009905E"/>
    <w:rsid w:val="422C8C16"/>
    <w:rsid w:val="423A6DE9"/>
    <w:rsid w:val="4252EC3A"/>
    <w:rsid w:val="4270EB8D"/>
    <w:rsid w:val="44DD0181"/>
    <w:rsid w:val="4677CB2B"/>
    <w:rsid w:val="46B89DD2"/>
    <w:rsid w:val="47C20462"/>
    <w:rsid w:val="48A9AF6D"/>
    <w:rsid w:val="490077B0"/>
    <w:rsid w:val="49C06CF2"/>
    <w:rsid w:val="4A7FC428"/>
    <w:rsid w:val="4AE7EB02"/>
    <w:rsid w:val="4E67780B"/>
    <w:rsid w:val="5164123A"/>
    <w:rsid w:val="51776A8B"/>
    <w:rsid w:val="550F8A06"/>
    <w:rsid w:val="5532F13B"/>
    <w:rsid w:val="5637835D"/>
    <w:rsid w:val="5685C79D"/>
    <w:rsid w:val="56D6AF22"/>
    <w:rsid w:val="56E34F71"/>
    <w:rsid w:val="5720BE7C"/>
    <w:rsid w:val="5A13ACB9"/>
    <w:rsid w:val="5C307A52"/>
    <w:rsid w:val="61FD57B7"/>
    <w:rsid w:val="61FD57B7"/>
    <w:rsid w:val="62AC42E9"/>
    <w:rsid w:val="62FCDE08"/>
    <w:rsid w:val="63415013"/>
    <w:rsid w:val="651764CE"/>
    <w:rsid w:val="67642ECA"/>
    <w:rsid w:val="6824240C"/>
    <w:rsid w:val="683FA94E"/>
    <w:rsid w:val="6978E180"/>
    <w:rsid w:val="69E9C029"/>
    <w:rsid w:val="69FC26F3"/>
    <w:rsid w:val="69FC26F3"/>
    <w:rsid w:val="6A286FBD"/>
    <w:rsid w:val="6ABD8E94"/>
    <w:rsid w:val="6C7A9C16"/>
    <w:rsid w:val="6E0E951C"/>
    <w:rsid w:val="6E33CD51"/>
    <w:rsid w:val="6E36AF06"/>
    <w:rsid w:val="712E83D8"/>
    <w:rsid w:val="7466249A"/>
    <w:rsid w:val="74CAFA80"/>
    <w:rsid w:val="7641C0EB"/>
    <w:rsid w:val="7712B09E"/>
    <w:rsid w:val="7A0B3C16"/>
    <w:rsid w:val="7A2BA4F0"/>
    <w:rsid w:val="7AE0D77D"/>
    <w:rsid w:val="7B09EB84"/>
    <w:rsid w:val="7C72CA16"/>
    <w:rsid w:val="7C777045"/>
    <w:rsid w:val="7CBC5391"/>
    <w:rsid w:val="7CDA9459"/>
    <w:rsid w:val="7DC8ECE2"/>
    <w:rsid w:val="7E1340A6"/>
    <w:rsid w:val="7E1340A6"/>
    <w:rsid w:val="7FE8A3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C1738"/>
  <w15:chartTrackingRefBased/>
  <w15:docId w15:val="{505FF2A7-29CA-4112-8C61-AB152061CB7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07e37363340435b" /><Relationship Type="http://schemas.openxmlformats.org/officeDocument/2006/relationships/numbering" Target="numbering.xml" Id="Rdab4c8fed5a3454b" /><Relationship Type="http://schemas.openxmlformats.org/officeDocument/2006/relationships/hyperlink" Target="https://moodle.uwtsd.ac.uk/course/view.php?id=9759" TargetMode="External" Id="Re74de3b25ce9474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2022-02-20T05:47:10.9549048Z</dcterms:created>
  <dcterms:modified xsi:type="dcterms:W3CDTF">2022-02-21T01:02:41.2432803Z</dcterms:modified>
  <dc:creator>Samiya Alexander (2114405)</dc:creator>
  <lastModifiedBy>Samiya Alexander (2114405)</lastModifiedBy>
</coreProperties>
</file>