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186731" w14:textId="77777777" w:rsidR="0095773E" w:rsidRDefault="0095773E" w:rsidP="000D4A8E">
      <w:pPr>
        <w:spacing w:after="0"/>
        <w:jc w:val="center"/>
        <w:rPr>
          <w:b/>
          <w:bCs/>
          <w:sz w:val="28"/>
          <w:szCs w:val="24"/>
        </w:rPr>
      </w:pPr>
    </w:p>
    <w:p w14:paraId="013B953A" w14:textId="77777777" w:rsidR="0095773E" w:rsidRDefault="0095773E" w:rsidP="000D4A8E">
      <w:pPr>
        <w:spacing w:after="0"/>
        <w:jc w:val="center"/>
        <w:rPr>
          <w:b/>
          <w:bCs/>
          <w:sz w:val="28"/>
          <w:szCs w:val="24"/>
        </w:rPr>
      </w:pPr>
    </w:p>
    <w:p w14:paraId="65D87E0D" w14:textId="77777777" w:rsidR="0095773E" w:rsidRDefault="0095773E" w:rsidP="000D4A8E">
      <w:pPr>
        <w:spacing w:after="0"/>
        <w:jc w:val="center"/>
        <w:rPr>
          <w:b/>
          <w:bCs/>
          <w:sz w:val="28"/>
          <w:szCs w:val="24"/>
        </w:rPr>
      </w:pPr>
    </w:p>
    <w:p w14:paraId="3D68AA77" w14:textId="77777777" w:rsidR="009A484B" w:rsidRPr="0095773E" w:rsidRDefault="00C772E2" w:rsidP="000D4A8E">
      <w:pPr>
        <w:spacing w:after="0"/>
        <w:jc w:val="center"/>
        <w:rPr>
          <w:b/>
          <w:bCs/>
          <w:sz w:val="28"/>
          <w:szCs w:val="24"/>
        </w:rPr>
      </w:pPr>
      <w:r w:rsidRPr="0095773E">
        <w:rPr>
          <w:b/>
          <w:bCs/>
          <w:sz w:val="28"/>
          <w:szCs w:val="24"/>
        </w:rPr>
        <w:t>LCBB6015</w:t>
      </w:r>
      <w:r>
        <w:rPr>
          <w:b/>
          <w:bCs/>
          <w:sz w:val="28"/>
          <w:szCs w:val="24"/>
        </w:rPr>
        <w:t xml:space="preserve"> </w:t>
      </w:r>
      <w:r w:rsidR="0095773E" w:rsidRPr="0095773E">
        <w:rPr>
          <w:b/>
          <w:bCs/>
          <w:sz w:val="28"/>
          <w:szCs w:val="24"/>
        </w:rPr>
        <w:t>Strategic Management and Sustainability</w:t>
      </w:r>
    </w:p>
    <w:p w14:paraId="73607231" w14:textId="77777777" w:rsidR="009A484B" w:rsidRPr="0095773E" w:rsidRDefault="009A484B" w:rsidP="000D4A8E">
      <w:pPr>
        <w:spacing w:after="0"/>
        <w:jc w:val="center"/>
        <w:rPr>
          <w:b/>
          <w:bCs/>
          <w:sz w:val="28"/>
          <w:szCs w:val="24"/>
        </w:rPr>
      </w:pPr>
    </w:p>
    <w:p w14:paraId="4C95D271" w14:textId="177ECEFA" w:rsidR="0085088B" w:rsidRDefault="00C772E2" w:rsidP="00D92EDB">
      <w:pPr>
        <w:spacing w:after="0"/>
        <w:jc w:val="center"/>
        <w:rPr>
          <w:b/>
          <w:bCs/>
          <w:sz w:val="28"/>
          <w:szCs w:val="24"/>
        </w:rPr>
      </w:pPr>
      <w:r w:rsidRPr="0095773E">
        <w:rPr>
          <w:b/>
          <w:bCs/>
          <w:sz w:val="28"/>
          <w:szCs w:val="24"/>
        </w:rPr>
        <w:t>Strategic Management and Sustainability in the UK Automotive Sector: A Strategic Analysis of Jaguar Land Rover</w:t>
      </w:r>
    </w:p>
    <w:p w14:paraId="332D1E85" w14:textId="77777777" w:rsidR="00D92EDB" w:rsidRPr="0085088B" w:rsidRDefault="00D92EDB" w:rsidP="00D92EDB">
      <w:pPr>
        <w:spacing w:after="0"/>
        <w:jc w:val="center"/>
        <w:rPr>
          <w:b/>
          <w:bCs/>
          <w:sz w:val="28"/>
          <w:szCs w:val="24"/>
        </w:rPr>
      </w:pPr>
    </w:p>
    <w:p w14:paraId="2AB713DE" w14:textId="77777777" w:rsidR="0095773E" w:rsidRDefault="00C772E2" w:rsidP="000D4A8E">
      <w:pPr>
        <w:spacing w:after="0"/>
        <w:jc w:val="center"/>
        <w:rPr>
          <w:b/>
          <w:bCs/>
          <w:sz w:val="28"/>
          <w:szCs w:val="24"/>
        </w:rPr>
      </w:pPr>
      <w:r>
        <w:rPr>
          <w:noProof/>
        </w:rPr>
        <w:drawing>
          <wp:inline distT="0" distB="0" distL="0" distR="0" wp14:anchorId="49A11365" wp14:editId="4371E5EE">
            <wp:extent cx="4064000" cy="1272540"/>
            <wp:effectExtent l="0" t="0" r="0" b="0"/>
            <wp:docPr id="629326389" name="Picture 1" descr="JLR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326389" name="Picture 1" descr="JLR Logo and symbol, meaning, history, PNG, brand"/>
                    <pic:cNvPicPr>
                      <a:picLocks noChangeAspect="1" noChangeArrowheads="1"/>
                    </pic:cNvPicPr>
                  </pic:nvPicPr>
                  <pic:blipFill>
                    <a:blip r:embed="rId8" cstate="print">
                      <a:extLst>
                        <a:ext uri="{28A0092B-C50C-407E-A947-70E740481C1C}">
                          <a14:useLocalDpi xmlns:a14="http://schemas.microsoft.com/office/drawing/2010/main" val="0"/>
                        </a:ext>
                      </a:extLst>
                    </a:blip>
                    <a:srcRect t="23000" b="21333"/>
                    <a:stretch>
                      <a:fillRect/>
                    </a:stretch>
                  </pic:blipFill>
                  <pic:spPr bwMode="auto">
                    <a:xfrm>
                      <a:off x="0" y="0"/>
                      <a:ext cx="4066432" cy="1273302"/>
                    </a:xfrm>
                    <a:prstGeom prst="rect">
                      <a:avLst/>
                    </a:prstGeom>
                    <a:noFill/>
                    <a:ln>
                      <a:noFill/>
                    </a:ln>
                    <a:extLst>
                      <a:ext uri="{53640926-AAD7-44D8-BBD7-CCE9431645EC}">
                        <a14:shadowObscured xmlns:a14="http://schemas.microsoft.com/office/drawing/2010/main"/>
                      </a:ext>
                    </a:extLst>
                  </pic:spPr>
                </pic:pic>
              </a:graphicData>
            </a:graphic>
          </wp:inline>
        </w:drawing>
      </w:r>
    </w:p>
    <w:p w14:paraId="4C81E4D1" w14:textId="77777777" w:rsidR="0095773E" w:rsidRPr="0095773E" w:rsidRDefault="0095773E" w:rsidP="000D4A8E">
      <w:pPr>
        <w:spacing w:after="0"/>
        <w:jc w:val="center"/>
        <w:rPr>
          <w:b/>
          <w:bCs/>
          <w:sz w:val="28"/>
          <w:szCs w:val="24"/>
        </w:rPr>
      </w:pPr>
    </w:p>
    <w:p w14:paraId="2E341678" w14:textId="06A4928C" w:rsidR="0095773E" w:rsidRPr="0095773E" w:rsidRDefault="00C772E2" w:rsidP="000D4A8E">
      <w:pPr>
        <w:spacing w:after="0"/>
        <w:jc w:val="center"/>
        <w:rPr>
          <w:b/>
          <w:bCs/>
          <w:sz w:val="28"/>
          <w:szCs w:val="24"/>
        </w:rPr>
      </w:pPr>
      <w:r w:rsidRPr="0095773E">
        <w:rPr>
          <w:b/>
          <w:bCs/>
          <w:sz w:val="28"/>
          <w:szCs w:val="24"/>
        </w:rPr>
        <w:t>Student Name:</w:t>
      </w:r>
      <w:r w:rsidR="006D4E80">
        <w:rPr>
          <w:b/>
          <w:bCs/>
          <w:sz w:val="28"/>
          <w:szCs w:val="24"/>
        </w:rPr>
        <w:t xml:space="preserve"> Bianca  Visan</w:t>
      </w:r>
    </w:p>
    <w:p w14:paraId="1F4ECCB1" w14:textId="0232463D" w:rsidR="0085088B" w:rsidRDefault="00C772E2" w:rsidP="0085088B">
      <w:pPr>
        <w:spacing w:after="0"/>
        <w:jc w:val="center"/>
        <w:rPr>
          <w:b/>
          <w:bCs/>
          <w:sz w:val="28"/>
          <w:szCs w:val="24"/>
        </w:rPr>
      </w:pPr>
      <w:r w:rsidRPr="0095773E">
        <w:rPr>
          <w:b/>
          <w:bCs/>
          <w:sz w:val="28"/>
          <w:szCs w:val="24"/>
        </w:rPr>
        <w:t>Student ID:</w:t>
      </w:r>
      <w:r w:rsidR="006D4E80">
        <w:rPr>
          <w:b/>
          <w:bCs/>
          <w:sz w:val="28"/>
          <w:szCs w:val="24"/>
        </w:rPr>
        <w:t>2108538</w:t>
      </w:r>
    </w:p>
    <w:p w14:paraId="2D0F66A3" w14:textId="77777777" w:rsidR="0085088B" w:rsidRDefault="0085088B" w:rsidP="0085088B">
      <w:pPr>
        <w:spacing w:after="0"/>
        <w:jc w:val="center"/>
        <w:rPr>
          <w:b/>
          <w:bCs/>
          <w:sz w:val="28"/>
          <w:szCs w:val="24"/>
        </w:rPr>
      </w:pPr>
    </w:p>
    <w:p w14:paraId="42E147DE" w14:textId="77777777" w:rsidR="0085088B" w:rsidRDefault="00C772E2" w:rsidP="0085088B">
      <w:pPr>
        <w:spacing w:after="0"/>
        <w:jc w:val="center"/>
        <w:rPr>
          <w:b/>
          <w:bCs/>
          <w:sz w:val="28"/>
          <w:szCs w:val="24"/>
        </w:rPr>
      </w:pPr>
      <w:r>
        <w:rPr>
          <w:b/>
          <w:bCs/>
          <w:sz w:val="28"/>
          <w:szCs w:val="24"/>
        </w:rPr>
        <w:t>Module Leader:</w:t>
      </w:r>
    </w:p>
    <w:p w14:paraId="578EE285" w14:textId="77777777" w:rsidR="0085088B" w:rsidRDefault="0085088B" w:rsidP="0085088B">
      <w:pPr>
        <w:spacing w:after="0"/>
        <w:jc w:val="center"/>
        <w:rPr>
          <w:b/>
          <w:bCs/>
          <w:sz w:val="28"/>
          <w:szCs w:val="24"/>
        </w:rPr>
      </w:pPr>
    </w:p>
    <w:p w14:paraId="1F94DE1D" w14:textId="1FEA15EA" w:rsidR="0085088B" w:rsidRPr="0095773E" w:rsidRDefault="00C772E2" w:rsidP="0085088B">
      <w:pPr>
        <w:spacing w:after="0"/>
        <w:jc w:val="center"/>
        <w:rPr>
          <w:b/>
          <w:bCs/>
          <w:sz w:val="28"/>
          <w:szCs w:val="24"/>
        </w:rPr>
      </w:pPr>
      <w:r>
        <w:rPr>
          <w:b/>
          <w:bCs/>
          <w:sz w:val="28"/>
          <w:szCs w:val="24"/>
        </w:rPr>
        <w:t xml:space="preserve">Word Count: </w:t>
      </w:r>
      <w:r w:rsidR="00D92EDB">
        <w:rPr>
          <w:b/>
          <w:bCs/>
          <w:sz w:val="28"/>
          <w:szCs w:val="24"/>
        </w:rPr>
        <w:t>2148</w:t>
      </w:r>
    </w:p>
    <w:p w14:paraId="2D19B130" w14:textId="77777777" w:rsidR="00251335" w:rsidRPr="0095773E" w:rsidRDefault="00C772E2" w:rsidP="000D4A8E">
      <w:pPr>
        <w:spacing w:after="0"/>
        <w:jc w:val="center"/>
        <w:rPr>
          <w:b/>
          <w:bCs/>
          <w:sz w:val="28"/>
          <w:szCs w:val="24"/>
        </w:rPr>
      </w:pPr>
      <w:r w:rsidRPr="0095773E">
        <w:rPr>
          <w:b/>
          <w:bCs/>
          <w:sz w:val="28"/>
          <w:szCs w:val="24"/>
        </w:rPr>
        <w:br w:type="page"/>
      </w:r>
    </w:p>
    <w:p w14:paraId="4DAF502F" w14:textId="77777777" w:rsidR="0023024B" w:rsidRDefault="00C772E2" w:rsidP="000D4A8E">
      <w:pPr>
        <w:pStyle w:val="Heading1"/>
      </w:pPr>
      <w:bookmarkStart w:id="0" w:name="_Toc232033880"/>
      <w:r w:rsidRPr="0023024B">
        <w:lastRenderedPageBreak/>
        <w:t>Executive Summary</w:t>
      </w:r>
      <w:bookmarkEnd w:id="0"/>
    </w:p>
    <w:p w14:paraId="59A3FB6E" w14:textId="77777777" w:rsidR="00326B80" w:rsidRDefault="00C772E2" w:rsidP="000D4A8E">
      <w:pPr>
        <w:spacing w:after="0"/>
      </w:pPr>
      <w:r>
        <w:t>This report provides a strategic analysis of Jaguar Land Rover (JLR), which is the largest automotive manufacturer in the UK, in the context of the fast-moving industry towards the use of electric vehicles. The report analyses the external and internal environment of JLR using PESTLE, Porter's Five Forces, value chain analysis, the resource-based view (RBV) and VRIO frameworks. These findings are combined in a SWOT analysis to emerge with the main strategic priorities. The proposed strategic options are thr</w:t>
      </w:r>
      <w:r>
        <w:t>ee evidence-based ones, which include accelerated EV premiumisation, circular economy integration, and supply chain resilience. The results indicate that the Reimagine strategy adopted by JLR is sound in terms of direction, but it is important to proactively mitigate the risks of implementation and respond to the macroeconomic pressures.</w:t>
      </w:r>
    </w:p>
    <w:p w14:paraId="02F19B6F" w14:textId="77777777" w:rsidR="00326B80" w:rsidRDefault="00326B80" w:rsidP="000D4A8E">
      <w:pPr>
        <w:spacing w:after="0"/>
      </w:pPr>
    </w:p>
    <w:p w14:paraId="09E49717" w14:textId="77777777" w:rsidR="001E3A70" w:rsidRDefault="00C772E2" w:rsidP="000D4A8E">
      <w:pPr>
        <w:jc w:val="left"/>
      </w:pPr>
      <w:r>
        <w:br w:type="page"/>
      </w:r>
    </w:p>
    <w:sdt>
      <w:sdtPr>
        <w:rPr>
          <w:rFonts w:ascii="Times New Roman" w:eastAsiaTheme="minorHAnsi" w:hAnsi="Times New Roman" w:cstheme="minorBidi"/>
          <w:color w:val="auto"/>
          <w:kern w:val="2"/>
          <w:sz w:val="24"/>
          <w:szCs w:val="22"/>
          <w:lang w:eastAsia="en-US" w:bidi="ar-SA"/>
          <w14:ligatures w14:val="standardContextual"/>
        </w:rPr>
        <w:id w:val="729190953"/>
        <w:docPartObj>
          <w:docPartGallery w:val="Table of Contents"/>
          <w:docPartUnique/>
        </w:docPartObj>
      </w:sdtPr>
      <w:sdtEndPr>
        <w:rPr>
          <w:b/>
          <w:bCs/>
        </w:rPr>
      </w:sdtEndPr>
      <w:sdtContent>
        <w:p w14:paraId="218515D1" w14:textId="77777777" w:rsidR="008B5E0A" w:rsidRPr="000771EC" w:rsidRDefault="00C772E2" w:rsidP="0085088B">
          <w:pPr>
            <w:pStyle w:val="TOCHeading"/>
            <w:spacing w:before="0" w:line="360" w:lineRule="auto"/>
            <w:rPr>
              <w:rFonts w:asciiTheme="majorBidi" w:hAnsiTheme="majorBidi"/>
              <w:b/>
              <w:bCs/>
              <w:color w:val="auto"/>
              <w:sz w:val="28"/>
              <w:szCs w:val="28"/>
            </w:rPr>
          </w:pPr>
          <w:r w:rsidRPr="000771EC">
            <w:rPr>
              <w:rFonts w:asciiTheme="majorBidi" w:hAnsiTheme="majorBidi"/>
              <w:b/>
              <w:bCs/>
              <w:color w:val="auto"/>
              <w:sz w:val="28"/>
              <w:szCs w:val="28"/>
            </w:rPr>
            <w:t>Table of Contents</w:t>
          </w:r>
        </w:p>
        <w:p w14:paraId="09A2AFD6" w14:textId="132DAB4E" w:rsidR="0085088B" w:rsidRDefault="00C772E2" w:rsidP="0085088B">
          <w:pPr>
            <w:pStyle w:val="TOC1"/>
            <w:tabs>
              <w:tab w:val="right" w:leader="dot" w:pos="9350"/>
            </w:tabs>
            <w:spacing w:after="0"/>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32033880" w:history="1">
            <w:r w:rsidR="0085088B" w:rsidRPr="004F50BA">
              <w:rPr>
                <w:rStyle w:val="Hyperlink"/>
                <w:noProof/>
              </w:rPr>
              <w:t>Executive Summary</w:t>
            </w:r>
            <w:r w:rsidR="0085088B">
              <w:rPr>
                <w:noProof/>
                <w:webHidden/>
              </w:rPr>
              <w:tab/>
            </w:r>
            <w:r w:rsidR="0085088B">
              <w:rPr>
                <w:noProof/>
                <w:webHidden/>
              </w:rPr>
              <w:fldChar w:fldCharType="begin"/>
            </w:r>
            <w:r w:rsidR="0085088B">
              <w:rPr>
                <w:noProof/>
                <w:webHidden/>
              </w:rPr>
              <w:instrText xml:space="preserve"> PAGEREF _Toc232033880 \h </w:instrText>
            </w:r>
            <w:r w:rsidR="0085088B">
              <w:rPr>
                <w:noProof/>
                <w:webHidden/>
              </w:rPr>
            </w:r>
            <w:r w:rsidR="0085088B">
              <w:rPr>
                <w:noProof/>
                <w:webHidden/>
              </w:rPr>
              <w:fldChar w:fldCharType="separate"/>
            </w:r>
            <w:r w:rsidR="00D92EDB">
              <w:rPr>
                <w:noProof/>
                <w:webHidden/>
              </w:rPr>
              <w:t>2</w:t>
            </w:r>
            <w:r w:rsidR="0085088B">
              <w:rPr>
                <w:noProof/>
                <w:webHidden/>
              </w:rPr>
              <w:fldChar w:fldCharType="end"/>
            </w:r>
          </w:hyperlink>
        </w:p>
        <w:p w14:paraId="414062D2" w14:textId="42C68761" w:rsidR="0085088B" w:rsidRDefault="0085088B" w:rsidP="0085088B">
          <w:pPr>
            <w:pStyle w:val="TOC1"/>
            <w:tabs>
              <w:tab w:val="right" w:leader="dot" w:pos="9350"/>
            </w:tabs>
            <w:spacing w:after="0"/>
            <w:rPr>
              <w:rFonts w:asciiTheme="minorHAnsi" w:eastAsiaTheme="minorEastAsia" w:hAnsiTheme="minorHAnsi"/>
              <w:noProof/>
              <w:sz w:val="22"/>
              <w:lang w:val="en-US"/>
            </w:rPr>
          </w:pPr>
          <w:hyperlink w:anchor="_Toc232033881" w:history="1">
            <w:r w:rsidRPr="004F50BA">
              <w:rPr>
                <w:rStyle w:val="Hyperlink"/>
                <w:noProof/>
              </w:rPr>
              <w:t>1. Introduction</w:t>
            </w:r>
            <w:r>
              <w:rPr>
                <w:noProof/>
                <w:webHidden/>
              </w:rPr>
              <w:tab/>
            </w:r>
            <w:r>
              <w:rPr>
                <w:noProof/>
                <w:webHidden/>
              </w:rPr>
              <w:fldChar w:fldCharType="begin"/>
            </w:r>
            <w:r>
              <w:rPr>
                <w:noProof/>
                <w:webHidden/>
              </w:rPr>
              <w:instrText xml:space="preserve"> PAGEREF _Toc232033881 \h </w:instrText>
            </w:r>
            <w:r>
              <w:rPr>
                <w:noProof/>
                <w:webHidden/>
              </w:rPr>
            </w:r>
            <w:r>
              <w:rPr>
                <w:noProof/>
                <w:webHidden/>
              </w:rPr>
              <w:fldChar w:fldCharType="separate"/>
            </w:r>
            <w:r w:rsidR="00D92EDB">
              <w:rPr>
                <w:noProof/>
                <w:webHidden/>
              </w:rPr>
              <w:t>4</w:t>
            </w:r>
            <w:r>
              <w:rPr>
                <w:noProof/>
                <w:webHidden/>
              </w:rPr>
              <w:fldChar w:fldCharType="end"/>
            </w:r>
          </w:hyperlink>
        </w:p>
        <w:p w14:paraId="5E1BEBB7" w14:textId="05FC4877" w:rsidR="0085088B" w:rsidRDefault="0085088B" w:rsidP="0085088B">
          <w:pPr>
            <w:pStyle w:val="TOC1"/>
            <w:tabs>
              <w:tab w:val="right" w:leader="dot" w:pos="9350"/>
            </w:tabs>
            <w:spacing w:after="0"/>
            <w:rPr>
              <w:rFonts w:asciiTheme="minorHAnsi" w:eastAsiaTheme="minorEastAsia" w:hAnsiTheme="minorHAnsi"/>
              <w:noProof/>
              <w:sz w:val="22"/>
              <w:lang w:val="en-US"/>
            </w:rPr>
          </w:pPr>
          <w:hyperlink w:anchor="_Toc232033882" w:history="1">
            <w:r w:rsidRPr="004F50BA">
              <w:rPr>
                <w:rStyle w:val="Hyperlink"/>
                <w:noProof/>
              </w:rPr>
              <w:t>2. Strategy Analysis</w:t>
            </w:r>
            <w:r>
              <w:rPr>
                <w:noProof/>
                <w:webHidden/>
              </w:rPr>
              <w:tab/>
            </w:r>
            <w:r>
              <w:rPr>
                <w:noProof/>
                <w:webHidden/>
              </w:rPr>
              <w:fldChar w:fldCharType="begin"/>
            </w:r>
            <w:r>
              <w:rPr>
                <w:noProof/>
                <w:webHidden/>
              </w:rPr>
              <w:instrText xml:space="preserve"> PAGEREF _Toc232033882 \h </w:instrText>
            </w:r>
            <w:r>
              <w:rPr>
                <w:noProof/>
                <w:webHidden/>
              </w:rPr>
            </w:r>
            <w:r>
              <w:rPr>
                <w:noProof/>
                <w:webHidden/>
              </w:rPr>
              <w:fldChar w:fldCharType="separate"/>
            </w:r>
            <w:r w:rsidR="00D92EDB">
              <w:rPr>
                <w:noProof/>
                <w:webHidden/>
              </w:rPr>
              <w:t>5</w:t>
            </w:r>
            <w:r>
              <w:rPr>
                <w:noProof/>
                <w:webHidden/>
              </w:rPr>
              <w:fldChar w:fldCharType="end"/>
            </w:r>
          </w:hyperlink>
        </w:p>
        <w:p w14:paraId="702EB055" w14:textId="6CA4A1A8" w:rsidR="0085088B" w:rsidRDefault="0085088B" w:rsidP="0085088B">
          <w:pPr>
            <w:pStyle w:val="TOC2"/>
            <w:tabs>
              <w:tab w:val="right" w:leader="dot" w:pos="9350"/>
            </w:tabs>
            <w:spacing w:after="0"/>
            <w:rPr>
              <w:rFonts w:asciiTheme="minorHAnsi" w:eastAsiaTheme="minorEastAsia" w:hAnsiTheme="minorHAnsi"/>
              <w:noProof/>
              <w:sz w:val="22"/>
              <w:lang w:val="en-US"/>
            </w:rPr>
          </w:pPr>
          <w:hyperlink w:anchor="_Toc232033883" w:history="1">
            <w:r w:rsidRPr="004F50BA">
              <w:rPr>
                <w:rStyle w:val="Hyperlink"/>
                <w:noProof/>
              </w:rPr>
              <w:t>2.1 External Environment Audit</w:t>
            </w:r>
            <w:r>
              <w:rPr>
                <w:noProof/>
                <w:webHidden/>
              </w:rPr>
              <w:tab/>
            </w:r>
            <w:r>
              <w:rPr>
                <w:noProof/>
                <w:webHidden/>
              </w:rPr>
              <w:fldChar w:fldCharType="begin"/>
            </w:r>
            <w:r>
              <w:rPr>
                <w:noProof/>
                <w:webHidden/>
              </w:rPr>
              <w:instrText xml:space="preserve"> PAGEREF _Toc232033883 \h </w:instrText>
            </w:r>
            <w:r>
              <w:rPr>
                <w:noProof/>
                <w:webHidden/>
              </w:rPr>
            </w:r>
            <w:r>
              <w:rPr>
                <w:noProof/>
                <w:webHidden/>
              </w:rPr>
              <w:fldChar w:fldCharType="separate"/>
            </w:r>
            <w:r w:rsidR="00D92EDB">
              <w:rPr>
                <w:noProof/>
                <w:webHidden/>
              </w:rPr>
              <w:t>5</w:t>
            </w:r>
            <w:r>
              <w:rPr>
                <w:noProof/>
                <w:webHidden/>
              </w:rPr>
              <w:fldChar w:fldCharType="end"/>
            </w:r>
          </w:hyperlink>
        </w:p>
        <w:p w14:paraId="4A2F9973" w14:textId="14E36156" w:rsidR="0085088B" w:rsidRDefault="0085088B" w:rsidP="0085088B">
          <w:pPr>
            <w:pStyle w:val="TOC3"/>
            <w:tabs>
              <w:tab w:val="right" w:leader="dot" w:pos="9350"/>
            </w:tabs>
            <w:spacing w:after="0"/>
            <w:rPr>
              <w:rFonts w:asciiTheme="minorHAnsi" w:eastAsiaTheme="minorEastAsia" w:hAnsiTheme="minorHAnsi"/>
              <w:noProof/>
              <w:sz w:val="22"/>
              <w:lang w:val="en-US"/>
            </w:rPr>
          </w:pPr>
          <w:hyperlink w:anchor="_Toc232033884" w:history="1">
            <w:r w:rsidRPr="004F50BA">
              <w:rPr>
                <w:rStyle w:val="Hyperlink"/>
                <w:noProof/>
              </w:rPr>
              <w:t>2.1.1 PESTLE Analysis</w:t>
            </w:r>
            <w:r>
              <w:rPr>
                <w:noProof/>
                <w:webHidden/>
              </w:rPr>
              <w:tab/>
            </w:r>
            <w:r>
              <w:rPr>
                <w:noProof/>
                <w:webHidden/>
              </w:rPr>
              <w:fldChar w:fldCharType="begin"/>
            </w:r>
            <w:r>
              <w:rPr>
                <w:noProof/>
                <w:webHidden/>
              </w:rPr>
              <w:instrText xml:space="preserve"> PAGEREF _Toc232033884 \h </w:instrText>
            </w:r>
            <w:r>
              <w:rPr>
                <w:noProof/>
                <w:webHidden/>
              </w:rPr>
            </w:r>
            <w:r>
              <w:rPr>
                <w:noProof/>
                <w:webHidden/>
              </w:rPr>
              <w:fldChar w:fldCharType="separate"/>
            </w:r>
            <w:r w:rsidR="00D92EDB">
              <w:rPr>
                <w:noProof/>
                <w:webHidden/>
              </w:rPr>
              <w:t>5</w:t>
            </w:r>
            <w:r>
              <w:rPr>
                <w:noProof/>
                <w:webHidden/>
              </w:rPr>
              <w:fldChar w:fldCharType="end"/>
            </w:r>
          </w:hyperlink>
        </w:p>
        <w:p w14:paraId="1F1EB243" w14:textId="73CE2EF7" w:rsidR="0085088B" w:rsidRDefault="0085088B" w:rsidP="0085088B">
          <w:pPr>
            <w:pStyle w:val="TOC3"/>
            <w:tabs>
              <w:tab w:val="right" w:leader="dot" w:pos="9350"/>
            </w:tabs>
            <w:spacing w:after="0"/>
            <w:rPr>
              <w:rFonts w:asciiTheme="minorHAnsi" w:eastAsiaTheme="minorEastAsia" w:hAnsiTheme="minorHAnsi"/>
              <w:noProof/>
              <w:sz w:val="22"/>
              <w:lang w:val="en-US"/>
            </w:rPr>
          </w:pPr>
          <w:hyperlink w:anchor="_Toc232033885" w:history="1">
            <w:r w:rsidRPr="004F50BA">
              <w:rPr>
                <w:rStyle w:val="Hyperlink"/>
                <w:noProof/>
              </w:rPr>
              <w:t>2.1.2 Porter's Five Forces</w:t>
            </w:r>
            <w:r>
              <w:rPr>
                <w:noProof/>
                <w:webHidden/>
              </w:rPr>
              <w:tab/>
            </w:r>
            <w:r>
              <w:rPr>
                <w:noProof/>
                <w:webHidden/>
              </w:rPr>
              <w:fldChar w:fldCharType="begin"/>
            </w:r>
            <w:r>
              <w:rPr>
                <w:noProof/>
                <w:webHidden/>
              </w:rPr>
              <w:instrText xml:space="preserve"> PAGEREF _Toc232033885 \h </w:instrText>
            </w:r>
            <w:r>
              <w:rPr>
                <w:noProof/>
                <w:webHidden/>
              </w:rPr>
            </w:r>
            <w:r>
              <w:rPr>
                <w:noProof/>
                <w:webHidden/>
              </w:rPr>
              <w:fldChar w:fldCharType="separate"/>
            </w:r>
            <w:r w:rsidR="00D92EDB">
              <w:rPr>
                <w:noProof/>
                <w:webHidden/>
              </w:rPr>
              <w:t>6</w:t>
            </w:r>
            <w:r>
              <w:rPr>
                <w:noProof/>
                <w:webHidden/>
              </w:rPr>
              <w:fldChar w:fldCharType="end"/>
            </w:r>
          </w:hyperlink>
        </w:p>
        <w:p w14:paraId="77A973E0" w14:textId="229C00BF" w:rsidR="0085088B" w:rsidRDefault="0085088B" w:rsidP="0085088B">
          <w:pPr>
            <w:pStyle w:val="TOC2"/>
            <w:tabs>
              <w:tab w:val="right" w:leader="dot" w:pos="9350"/>
            </w:tabs>
            <w:spacing w:after="0"/>
            <w:rPr>
              <w:rFonts w:asciiTheme="minorHAnsi" w:eastAsiaTheme="minorEastAsia" w:hAnsiTheme="minorHAnsi"/>
              <w:noProof/>
              <w:sz w:val="22"/>
              <w:lang w:val="en-US"/>
            </w:rPr>
          </w:pPr>
          <w:hyperlink w:anchor="_Toc232033886" w:history="1">
            <w:r w:rsidRPr="004F50BA">
              <w:rPr>
                <w:rStyle w:val="Hyperlink"/>
                <w:noProof/>
              </w:rPr>
              <w:t>2.2 Internal Environment Audit</w:t>
            </w:r>
            <w:r>
              <w:rPr>
                <w:noProof/>
                <w:webHidden/>
              </w:rPr>
              <w:tab/>
            </w:r>
            <w:r>
              <w:rPr>
                <w:noProof/>
                <w:webHidden/>
              </w:rPr>
              <w:fldChar w:fldCharType="begin"/>
            </w:r>
            <w:r>
              <w:rPr>
                <w:noProof/>
                <w:webHidden/>
              </w:rPr>
              <w:instrText xml:space="preserve"> PAGEREF _Toc232033886 \h </w:instrText>
            </w:r>
            <w:r>
              <w:rPr>
                <w:noProof/>
                <w:webHidden/>
              </w:rPr>
            </w:r>
            <w:r>
              <w:rPr>
                <w:noProof/>
                <w:webHidden/>
              </w:rPr>
              <w:fldChar w:fldCharType="separate"/>
            </w:r>
            <w:r w:rsidR="00D92EDB">
              <w:rPr>
                <w:noProof/>
                <w:webHidden/>
              </w:rPr>
              <w:t>7</w:t>
            </w:r>
            <w:r>
              <w:rPr>
                <w:noProof/>
                <w:webHidden/>
              </w:rPr>
              <w:fldChar w:fldCharType="end"/>
            </w:r>
          </w:hyperlink>
        </w:p>
        <w:p w14:paraId="3ACF59C7" w14:textId="0C219CB4" w:rsidR="0085088B" w:rsidRDefault="0085088B" w:rsidP="0085088B">
          <w:pPr>
            <w:pStyle w:val="TOC3"/>
            <w:tabs>
              <w:tab w:val="right" w:leader="dot" w:pos="9350"/>
            </w:tabs>
            <w:spacing w:after="0"/>
            <w:rPr>
              <w:rFonts w:asciiTheme="minorHAnsi" w:eastAsiaTheme="minorEastAsia" w:hAnsiTheme="minorHAnsi"/>
              <w:noProof/>
              <w:sz w:val="22"/>
              <w:lang w:val="en-US"/>
            </w:rPr>
          </w:pPr>
          <w:hyperlink w:anchor="_Toc232033887" w:history="1">
            <w:r w:rsidRPr="004F50BA">
              <w:rPr>
                <w:rStyle w:val="Hyperlink"/>
                <w:noProof/>
              </w:rPr>
              <w:t>2.2.1 Value Chain Analysis</w:t>
            </w:r>
            <w:r>
              <w:rPr>
                <w:noProof/>
                <w:webHidden/>
              </w:rPr>
              <w:tab/>
            </w:r>
            <w:r>
              <w:rPr>
                <w:noProof/>
                <w:webHidden/>
              </w:rPr>
              <w:fldChar w:fldCharType="begin"/>
            </w:r>
            <w:r>
              <w:rPr>
                <w:noProof/>
                <w:webHidden/>
              </w:rPr>
              <w:instrText xml:space="preserve"> PAGEREF _Toc232033887 \h </w:instrText>
            </w:r>
            <w:r>
              <w:rPr>
                <w:noProof/>
                <w:webHidden/>
              </w:rPr>
            </w:r>
            <w:r>
              <w:rPr>
                <w:noProof/>
                <w:webHidden/>
              </w:rPr>
              <w:fldChar w:fldCharType="separate"/>
            </w:r>
            <w:r w:rsidR="00D92EDB">
              <w:rPr>
                <w:noProof/>
                <w:webHidden/>
              </w:rPr>
              <w:t>7</w:t>
            </w:r>
            <w:r>
              <w:rPr>
                <w:noProof/>
                <w:webHidden/>
              </w:rPr>
              <w:fldChar w:fldCharType="end"/>
            </w:r>
          </w:hyperlink>
        </w:p>
        <w:p w14:paraId="3FB3F572" w14:textId="6A6DBECF" w:rsidR="0085088B" w:rsidRDefault="0085088B" w:rsidP="0085088B">
          <w:pPr>
            <w:pStyle w:val="TOC3"/>
            <w:tabs>
              <w:tab w:val="right" w:leader="dot" w:pos="9350"/>
            </w:tabs>
            <w:spacing w:after="0"/>
            <w:rPr>
              <w:rFonts w:asciiTheme="minorHAnsi" w:eastAsiaTheme="minorEastAsia" w:hAnsiTheme="minorHAnsi"/>
              <w:noProof/>
              <w:sz w:val="22"/>
              <w:lang w:val="en-US"/>
            </w:rPr>
          </w:pPr>
          <w:hyperlink w:anchor="_Toc232033888" w:history="1">
            <w:r w:rsidRPr="004F50BA">
              <w:rPr>
                <w:rStyle w:val="Hyperlink"/>
                <w:noProof/>
              </w:rPr>
              <w:t>2.2.2 Resource-Based View and VRIO Analysis</w:t>
            </w:r>
            <w:r>
              <w:rPr>
                <w:noProof/>
                <w:webHidden/>
              </w:rPr>
              <w:tab/>
            </w:r>
            <w:r>
              <w:rPr>
                <w:noProof/>
                <w:webHidden/>
              </w:rPr>
              <w:fldChar w:fldCharType="begin"/>
            </w:r>
            <w:r>
              <w:rPr>
                <w:noProof/>
                <w:webHidden/>
              </w:rPr>
              <w:instrText xml:space="preserve"> PAGEREF _Toc232033888 \h </w:instrText>
            </w:r>
            <w:r>
              <w:rPr>
                <w:noProof/>
                <w:webHidden/>
              </w:rPr>
            </w:r>
            <w:r>
              <w:rPr>
                <w:noProof/>
                <w:webHidden/>
              </w:rPr>
              <w:fldChar w:fldCharType="separate"/>
            </w:r>
            <w:r w:rsidR="00D92EDB">
              <w:rPr>
                <w:noProof/>
                <w:webHidden/>
              </w:rPr>
              <w:t>8</w:t>
            </w:r>
            <w:r>
              <w:rPr>
                <w:noProof/>
                <w:webHidden/>
              </w:rPr>
              <w:fldChar w:fldCharType="end"/>
            </w:r>
          </w:hyperlink>
        </w:p>
        <w:p w14:paraId="75DBDB32" w14:textId="5BF4C5AE" w:rsidR="0085088B" w:rsidRDefault="0085088B" w:rsidP="0085088B">
          <w:pPr>
            <w:pStyle w:val="TOC2"/>
            <w:tabs>
              <w:tab w:val="right" w:leader="dot" w:pos="9350"/>
            </w:tabs>
            <w:spacing w:after="0"/>
            <w:rPr>
              <w:rFonts w:asciiTheme="minorHAnsi" w:eastAsiaTheme="minorEastAsia" w:hAnsiTheme="minorHAnsi"/>
              <w:noProof/>
              <w:sz w:val="22"/>
              <w:lang w:val="en-US"/>
            </w:rPr>
          </w:pPr>
          <w:hyperlink w:anchor="_Toc232033889" w:history="1">
            <w:r w:rsidRPr="004F50BA">
              <w:rPr>
                <w:rStyle w:val="Hyperlink"/>
                <w:noProof/>
              </w:rPr>
              <w:t>2.3 SWOT Analysis</w:t>
            </w:r>
            <w:r>
              <w:rPr>
                <w:noProof/>
                <w:webHidden/>
              </w:rPr>
              <w:tab/>
            </w:r>
            <w:r>
              <w:rPr>
                <w:noProof/>
                <w:webHidden/>
              </w:rPr>
              <w:fldChar w:fldCharType="begin"/>
            </w:r>
            <w:r>
              <w:rPr>
                <w:noProof/>
                <w:webHidden/>
              </w:rPr>
              <w:instrText xml:space="preserve"> PAGEREF _Toc232033889 \h </w:instrText>
            </w:r>
            <w:r>
              <w:rPr>
                <w:noProof/>
                <w:webHidden/>
              </w:rPr>
            </w:r>
            <w:r>
              <w:rPr>
                <w:noProof/>
                <w:webHidden/>
              </w:rPr>
              <w:fldChar w:fldCharType="separate"/>
            </w:r>
            <w:r w:rsidR="00D92EDB">
              <w:rPr>
                <w:noProof/>
                <w:webHidden/>
              </w:rPr>
              <w:t>9</w:t>
            </w:r>
            <w:r>
              <w:rPr>
                <w:noProof/>
                <w:webHidden/>
              </w:rPr>
              <w:fldChar w:fldCharType="end"/>
            </w:r>
          </w:hyperlink>
        </w:p>
        <w:p w14:paraId="0E7503A1" w14:textId="264A349F" w:rsidR="0085088B" w:rsidRDefault="0085088B" w:rsidP="0085088B">
          <w:pPr>
            <w:pStyle w:val="TOC1"/>
            <w:tabs>
              <w:tab w:val="right" w:leader="dot" w:pos="9350"/>
            </w:tabs>
            <w:spacing w:after="0"/>
            <w:rPr>
              <w:rFonts w:asciiTheme="minorHAnsi" w:eastAsiaTheme="minorEastAsia" w:hAnsiTheme="minorHAnsi"/>
              <w:noProof/>
              <w:sz w:val="22"/>
              <w:lang w:val="en-US"/>
            </w:rPr>
          </w:pPr>
          <w:hyperlink w:anchor="_Toc232033890" w:history="1">
            <w:r w:rsidRPr="004F50BA">
              <w:rPr>
                <w:rStyle w:val="Hyperlink"/>
                <w:noProof/>
              </w:rPr>
              <w:t>3. Strategy Formulation</w:t>
            </w:r>
            <w:r>
              <w:rPr>
                <w:noProof/>
                <w:webHidden/>
              </w:rPr>
              <w:tab/>
            </w:r>
            <w:r>
              <w:rPr>
                <w:noProof/>
                <w:webHidden/>
              </w:rPr>
              <w:fldChar w:fldCharType="begin"/>
            </w:r>
            <w:r>
              <w:rPr>
                <w:noProof/>
                <w:webHidden/>
              </w:rPr>
              <w:instrText xml:space="preserve"> PAGEREF _Toc232033890 \h </w:instrText>
            </w:r>
            <w:r>
              <w:rPr>
                <w:noProof/>
                <w:webHidden/>
              </w:rPr>
            </w:r>
            <w:r>
              <w:rPr>
                <w:noProof/>
                <w:webHidden/>
              </w:rPr>
              <w:fldChar w:fldCharType="separate"/>
            </w:r>
            <w:r w:rsidR="00D92EDB">
              <w:rPr>
                <w:noProof/>
                <w:webHidden/>
              </w:rPr>
              <w:t>10</w:t>
            </w:r>
            <w:r>
              <w:rPr>
                <w:noProof/>
                <w:webHidden/>
              </w:rPr>
              <w:fldChar w:fldCharType="end"/>
            </w:r>
          </w:hyperlink>
        </w:p>
        <w:p w14:paraId="3A18F1B5" w14:textId="3F05B152" w:rsidR="0085088B" w:rsidRDefault="0085088B" w:rsidP="0085088B">
          <w:pPr>
            <w:pStyle w:val="TOC1"/>
            <w:tabs>
              <w:tab w:val="right" w:leader="dot" w:pos="9350"/>
            </w:tabs>
            <w:spacing w:after="0"/>
            <w:rPr>
              <w:rFonts w:asciiTheme="minorHAnsi" w:eastAsiaTheme="minorEastAsia" w:hAnsiTheme="minorHAnsi"/>
              <w:noProof/>
              <w:sz w:val="22"/>
              <w:lang w:val="en-US"/>
            </w:rPr>
          </w:pPr>
          <w:hyperlink w:anchor="_Toc232033891" w:history="1">
            <w:r w:rsidRPr="004F50BA">
              <w:rPr>
                <w:rStyle w:val="Hyperlink"/>
                <w:noProof/>
              </w:rPr>
              <w:t>4. Conclusion and Recommendations</w:t>
            </w:r>
            <w:r>
              <w:rPr>
                <w:noProof/>
                <w:webHidden/>
              </w:rPr>
              <w:tab/>
            </w:r>
            <w:r>
              <w:rPr>
                <w:noProof/>
                <w:webHidden/>
              </w:rPr>
              <w:fldChar w:fldCharType="begin"/>
            </w:r>
            <w:r>
              <w:rPr>
                <w:noProof/>
                <w:webHidden/>
              </w:rPr>
              <w:instrText xml:space="preserve"> PAGEREF _Toc232033891 \h </w:instrText>
            </w:r>
            <w:r>
              <w:rPr>
                <w:noProof/>
                <w:webHidden/>
              </w:rPr>
            </w:r>
            <w:r>
              <w:rPr>
                <w:noProof/>
                <w:webHidden/>
              </w:rPr>
              <w:fldChar w:fldCharType="separate"/>
            </w:r>
            <w:r w:rsidR="00D92EDB">
              <w:rPr>
                <w:noProof/>
                <w:webHidden/>
              </w:rPr>
              <w:t>11</w:t>
            </w:r>
            <w:r>
              <w:rPr>
                <w:noProof/>
                <w:webHidden/>
              </w:rPr>
              <w:fldChar w:fldCharType="end"/>
            </w:r>
          </w:hyperlink>
        </w:p>
        <w:p w14:paraId="69FD8BC3" w14:textId="51F56988" w:rsidR="0085088B" w:rsidRDefault="0085088B" w:rsidP="0085088B">
          <w:pPr>
            <w:pStyle w:val="TOC1"/>
            <w:tabs>
              <w:tab w:val="right" w:leader="dot" w:pos="9350"/>
            </w:tabs>
            <w:spacing w:after="0"/>
            <w:rPr>
              <w:rFonts w:asciiTheme="minorHAnsi" w:eastAsiaTheme="minorEastAsia" w:hAnsiTheme="minorHAnsi"/>
              <w:noProof/>
              <w:sz w:val="22"/>
              <w:lang w:val="en-US"/>
            </w:rPr>
          </w:pPr>
          <w:hyperlink w:anchor="_Toc232033892" w:history="1">
            <w:r w:rsidRPr="004F50BA">
              <w:rPr>
                <w:rStyle w:val="Hyperlink"/>
                <w:noProof/>
              </w:rPr>
              <w:t>References</w:t>
            </w:r>
            <w:r>
              <w:rPr>
                <w:noProof/>
                <w:webHidden/>
              </w:rPr>
              <w:tab/>
            </w:r>
            <w:r>
              <w:rPr>
                <w:noProof/>
                <w:webHidden/>
              </w:rPr>
              <w:fldChar w:fldCharType="begin"/>
            </w:r>
            <w:r>
              <w:rPr>
                <w:noProof/>
                <w:webHidden/>
              </w:rPr>
              <w:instrText xml:space="preserve"> PAGEREF _Toc232033892 \h </w:instrText>
            </w:r>
            <w:r>
              <w:rPr>
                <w:noProof/>
                <w:webHidden/>
              </w:rPr>
            </w:r>
            <w:r>
              <w:rPr>
                <w:noProof/>
                <w:webHidden/>
              </w:rPr>
              <w:fldChar w:fldCharType="separate"/>
            </w:r>
            <w:r w:rsidR="00D92EDB">
              <w:rPr>
                <w:noProof/>
                <w:webHidden/>
              </w:rPr>
              <w:t>13</w:t>
            </w:r>
            <w:r>
              <w:rPr>
                <w:noProof/>
                <w:webHidden/>
              </w:rPr>
              <w:fldChar w:fldCharType="end"/>
            </w:r>
          </w:hyperlink>
        </w:p>
        <w:p w14:paraId="3EE79DF8" w14:textId="54916C4C" w:rsidR="0085088B" w:rsidRDefault="0085088B" w:rsidP="0085088B">
          <w:pPr>
            <w:pStyle w:val="TOC1"/>
            <w:tabs>
              <w:tab w:val="right" w:leader="dot" w:pos="9350"/>
            </w:tabs>
            <w:spacing w:after="0"/>
            <w:rPr>
              <w:rFonts w:asciiTheme="minorHAnsi" w:eastAsiaTheme="minorEastAsia" w:hAnsiTheme="minorHAnsi"/>
              <w:noProof/>
              <w:sz w:val="22"/>
              <w:lang w:val="en-US"/>
            </w:rPr>
          </w:pPr>
          <w:hyperlink w:anchor="_Toc232033893" w:history="1">
            <w:r w:rsidRPr="004F50BA">
              <w:rPr>
                <w:rStyle w:val="Hyperlink"/>
                <w:noProof/>
              </w:rPr>
              <w:t>AI Declaration:</w:t>
            </w:r>
            <w:r>
              <w:rPr>
                <w:noProof/>
                <w:webHidden/>
              </w:rPr>
              <w:tab/>
            </w:r>
            <w:r>
              <w:rPr>
                <w:noProof/>
                <w:webHidden/>
              </w:rPr>
              <w:fldChar w:fldCharType="begin"/>
            </w:r>
            <w:r>
              <w:rPr>
                <w:noProof/>
                <w:webHidden/>
              </w:rPr>
              <w:instrText xml:space="preserve"> PAGEREF _Toc232033893 \h </w:instrText>
            </w:r>
            <w:r>
              <w:rPr>
                <w:noProof/>
                <w:webHidden/>
              </w:rPr>
            </w:r>
            <w:r>
              <w:rPr>
                <w:noProof/>
                <w:webHidden/>
              </w:rPr>
              <w:fldChar w:fldCharType="separate"/>
            </w:r>
            <w:r w:rsidR="00D92EDB">
              <w:rPr>
                <w:noProof/>
                <w:webHidden/>
              </w:rPr>
              <w:t>16</w:t>
            </w:r>
            <w:r>
              <w:rPr>
                <w:noProof/>
                <w:webHidden/>
              </w:rPr>
              <w:fldChar w:fldCharType="end"/>
            </w:r>
          </w:hyperlink>
        </w:p>
        <w:p w14:paraId="56A3FCAC" w14:textId="77777777" w:rsidR="008B5E0A" w:rsidRDefault="00C772E2" w:rsidP="000771EC">
          <w:pPr>
            <w:spacing w:after="0"/>
          </w:pPr>
          <w:r>
            <w:rPr>
              <w:b/>
              <w:bCs/>
            </w:rPr>
            <w:fldChar w:fldCharType="end"/>
          </w:r>
        </w:p>
      </w:sdtContent>
    </w:sdt>
    <w:p w14:paraId="6C213A8F" w14:textId="77777777" w:rsidR="000771EC" w:rsidRDefault="000771EC" w:rsidP="000D4A8E">
      <w:pPr>
        <w:spacing w:after="0"/>
        <w:rPr>
          <w:b/>
          <w:bCs/>
          <w:sz w:val="28"/>
          <w:szCs w:val="24"/>
        </w:rPr>
      </w:pPr>
    </w:p>
    <w:p w14:paraId="51D06540" w14:textId="77777777" w:rsidR="008B5E0A" w:rsidRPr="000771EC" w:rsidRDefault="00C772E2" w:rsidP="000D4A8E">
      <w:pPr>
        <w:spacing w:after="0"/>
        <w:rPr>
          <w:b/>
          <w:bCs/>
          <w:sz w:val="28"/>
          <w:szCs w:val="24"/>
        </w:rPr>
      </w:pPr>
      <w:r w:rsidRPr="000771EC">
        <w:rPr>
          <w:b/>
          <w:bCs/>
          <w:sz w:val="28"/>
          <w:szCs w:val="24"/>
        </w:rPr>
        <w:t>List of Figures</w:t>
      </w:r>
    </w:p>
    <w:p w14:paraId="42C93845" w14:textId="77777777" w:rsidR="000771EC" w:rsidRPr="000771EC" w:rsidRDefault="00C772E2">
      <w:pPr>
        <w:pStyle w:val="TableofFigures"/>
        <w:tabs>
          <w:tab w:val="right" w:leader="dot" w:pos="9350"/>
        </w:tabs>
        <w:rPr>
          <w:rFonts w:asciiTheme="minorHAnsi" w:eastAsiaTheme="minorEastAsia" w:hAnsiTheme="minorHAnsi"/>
          <w:noProof/>
          <w:sz w:val="22"/>
          <w:lang w:val="en-US"/>
        </w:rPr>
      </w:pPr>
      <w:r>
        <w:fldChar w:fldCharType="begin"/>
      </w:r>
      <w:r>
        <w:instrText xml:space="preserve"> TOC \h \z \c "Figure" </w:instrText>
      </w:r>
      <w:r>
        <w:fldChar w:fldCharType="separate"/>
      </w:r>
      <w:hyperlink w:anchor="_Toc232033573" w:history="1">
        <w:r w:rsidR="000771EC" w:rsidRPr="000771EC">
          <w:rPr>
            <w:rStyle w:val="Hyperlink"/>
            <w:noProof/>
          </w:rPr>
          <w:t>Figure 1: JLR Integrated Strategic Analytical Framework.</w:t>
        </w:r>
        <w:r w:rsidR="000771EC" w:rsidRPr="000771EC">
          <w:rPr>
            <w:noProof/>
            <w:webHidden/>
          </w:rPr>
          <w:tab/>
        </w:r>
        <w:r w:rsidR="000771EC" w:rsidRPr="000771EC">
          <w:rPr>
            <w:noProof/>
            <w:webHidden/>
          </w:rPr>
          <w:fldChar w:fldCharType="begin"/>
        </w:r>
        <w:r w:rsidR="000771EC" w:rsidRPr="000771EC">
          <w:rPr>
            <w:noProof/>
            <w:webHidden/>
          </w:rPr>
          <w:instrText xml:space="preserve"> PAGEREF _Toc232033573 \h </w:instrText>
        </w:r>
        <w:r w:rsidR="000771EC" w:rsidRPr="000771EC">
          <w:rPr>
            <w:noProof/>
            <w:webHidden/>
          </w:rPr>
        </w:r>
        <w:r w:rsidR="000771EC" w:rsidRPr="000771EC">
          <w:rPr>
            <w:noProof/>
            <w:webHidden/>
          </w:rPr>
          <w:fldChar w:fldCharType="separate"/>
        </w:r>
        <w:r w:rsidR="000771EC" w:rsidRPr="000771EC">
          <w:rPr>
            <w:noProof/>
            <w:webHidden/>
          </w:rPr>
          <w:t>5</w:t>
        </w:r>
        <w:r w:rsidR="000771EC" w:rsidRPr="000771EC">
          <w:rPr>
            <w:noProof/>
            <w:webHidden/>
          </w:rPr>
          <w:fldChar w:fldCharType="end"/>
        </w:r>
      </w:hyperlink>
    </w:p>
    <w:p w14:paraId="3C8077BF" w14:textId="77777777" w:rsidR="000771EC" w:rsidRPr="000771EC" w:rsidRDefault="000771EC">
      <w:pPr>
        <w:pStyle w:val="TableofFigures"/>
        <w:tabs>
          <w:tab w:val="right" w:leader="dot" w:pos="9350"/>
        </w:tabs>
        <w:rPr>
          <w:rFonts w:asciiTheme="minorHAnsi" w:eastAsiaTheme="minorEastAsia" w:hAnsiTheme="minorHAnsi"/>
          <w:noProof/>
          <w:sz w:val="22"/>
          <w:lang w:val="en-US"/>
        </w:rPr>
      </w:pPr>
      <w:hyperlink w:anchor="_Toc232033574" w:history="1">
        <w:r w:rsidRPr="000771EC">
          <w:rPr>
            <w:rStyle w:val="Hyperlink"/>
            <w:noProof/>
          </w:rPr>
          <w:t>Figure 2: Six Macro-Forces Reshaping JLR's Operating Environment.</w:t>
        </w:r>
        <w:r w:rsidRPr="000771EC">
          <w:rPr>
            <w:noProof/>
            <w:webHidden/>
          </w:rPr>
          <w:tab/>
        </w:r>
        <w:r w:rsidRPr="000771EC">
          <w:rPr>
            <w:noProof/>
            <w:webHidden/>
          </w:rPr>
          <w:fldChar w:fldCharType="begin"/>
        </w:r>
        <w:r w:rsidRPr="000771EC">
          <w:rPr>
            <w:noProof/>
            <w:webHidden/>
          </w:rPr>
          <w:instrText xml:space="preserve"> PAGEREF _Toc232033574 \h </w:instrText>
        </w:r>
        <w:r w:rsidRPr="000771EC">
          <w:rPr>
            <w:noProof/>
            <w:webHidden/>
          </w:rPr>
        </w:r>
        <w:r w:rsidRPr="000771EC">
          <w:rPr>
            <w:noProof/>
            <w:webHidden/>
          </w:rPr>
          <w:fldChar w:fldCharType="separate"/>
        </w:r>
        <w:r w:rsidRPr="000771EC">
          <w:rPr>
            <w:noProof/>
            <w:webHidden/>
          </w:rPr>
          <w:t>5</w:t>
        </w:r>
        <w:r w:rsidRPr="000771EC">
          <w:rPr>
            <w:noProof/>
            <w:webHidden/>
          </w:rPr>
          <w:fldChar w:fldCharType="end"/>
        </w:r>
      </w:hyperlink>
    </w:p>
    <w:p w14:paraId="277EBB92" w14:textId="77777777" w:rsidR="000771EC" w:rsidRPr="000771EC" w:rsidRDefault="000771EC">
      <w:pPr>
        <w:pStyle w:val="TableofFigures"/>
        <w:tabs>
          <w:tab w:val="right" w:leader="dot" w:pos="9350"/>
        </w:tabs>
        <w:rPr>
          <w:rFonts w:asciiTheme="minorHAnsi" w:eastAsiaTheme="minorEastAsia" w:hAnsiTheme="minorHAnsi"/>
          <w:noProof/>
          <w:sz w:val="22"/>
          <w:lang w:val="en-US"/>
        </w:rPr>
      </w:pPr>
      <w:hyperlink w:anchor="_Toc232033575" w:history="1">
        <w:r w:rsidRPr="000771EC">
          <w:rPr>
            <w:rStyle w:val="Hyperlink"/>
            <w:noProof/>
          </w:rPr>
          <w:t>Figure 3: JLR SWOT: Luxury EV Strategic Position Mapped.</w:t>
        </w:r>
        <w:r w:rsidRPr="000771EC">
          <w:rPr>
            <w:noProof/>
            <w:webHidden/>
          </w:rPr>
          <w:tab/>
        </w:r>
        <w:r w:rsidRPr="000771EC">
          <w:rPr>
            <w:noProof/>
            <w:webHidden/>
          </w:rPr>
          <w:fldChar w:fldCharType="begin"/>
        </w:r>
        <w:r w:rsidRPr="000771EC">
          <w:rPr>
            <w:noProof/>
            <w:webHidden/>
          </w:rPr>
          <w:instrText xml:space="preserve"> PAGEREF _Toc232033575 \h </w:instrText>
        </w:r>
        <w:r w:rsidRPr="000771EC">
          <w:rPr>
            <w:noProof/>
            <w:webHidden/>
          </w:rPr>
        </w:r>
        <w:r w:rsidRPr="000771EC">
          <w:rPr>
            <w:noProof/>
            <w:webHidden/>
          </w:rPr>
          <w:fldChar w:fldCharType="separate"/>
        </w:r>
        <w:r w:rsidRPr="000771EC">
          <w:rPr>
            <w:noProof/>
            <w:webHidden/>
          </w:rPr>
          <w:t>9</w:t>
        </w:r>
        <w:r w:rsidRPr="000771EC">
          <w:rPr>
            <w:noProof/>
            <w:webHidden/>
          </w:rPr>
          <w:fldChar w:fldCharType="end"/>
        </w:r>
      </w:hyperlink>
    </w:p>
    <w:p w14:paraId="43EE9A11" w14:textId="77777777" w:rsidR="000771EC" w:rsidRPr="000771EC" w:rsidRDefault="000771EC">
      <w:pPr>
        <w:pStyle w:val="TableofFigures"/>
        <w:tabs>
          <w:tab w:val="right" w:leader="dot" w:pos="9350"/>
        </w:tabs>
        <w:rPr>
          <w:rFonts w:asciiTheme="minorHAnsi" w:eastAsiaTheme="minorEastAsia" w:hAnsiTheme="minorHAnsi"/>
          <w:noProof/>
          <w:sz w:val="22"/>
          <w:lang w:val="en-US"/>
        </w:rPr>
      </w:pPr>
      <w:hyperlink w:anchor="_Toc232033576" w:history="1">
        <w:r w:rsidRPr="000771EC">
          <w:rPr>
            <w:rStyle w:val="Hyperlink"/>
            <w:noProof/>
          </w:rPr>
          <w:t>Figure 4: JLR Three Strategic Pathways to EV Leadership.</w:t>
        </w:r>
        <w:r w:rsidRPr="000771EC">
          <w:rPr>
            <w:noProof/>
            <w:webHidden/>
          </w:rPr>
          <w:tab/>
        </w:r>
        <w:r w:rsidRPr="000771EC">
          <w:rPr>
            <w:noProof/>
            <w:webHidden/>
          </w:rPr>
          <w:fldChar w:fldCharType="begin"/>
        </w:r>
        <w:r w:rsidRPr="000771EC">
          <w:rPr>
            <w:noProof/>
            <w:webHidden/>
          </w:rPr>
          <w:instrText xml:space="preserve"> PAGEREF _Toc232033576 \h </w:instrText>
        </w:r>
        <w:r w:rsidRPr="000771EC">
          <w:rPr>
            <w:noProof/>
            <w:webHidden/>
          </w:rPr>
        </w:r>
        <w:r w:rsidRPr="000771EC">
          <w:rPr>
            <w:noProof/>
            <w:webHidden/>
          </w:rPr>
          <w:fldChar w:fldCharType="separate"/>
        </w:r>
        <w:r w:rsidRPr="000771EC">
          <w:rPr>
            <w:noProof/>
            <w:webHidden/>
          </w:rPr>
          <w:t>10</w:t>
        </w:r>
        <w:r w:rsidRPr="000771EC">
          <w:rPr>
            <w:noProof/>
            <w:webHidden/>
          </w:rPr>
          <w:fldChar w:fldCharType="end"/>
        </w:r>
      </w:hyperlink>
    </w:p>
    <w:p w14:paraId="339969B3" w14:textId="77777777" w:rsidR="000771EC" w:rsidRDefault="00C772E2" w:rsidP="000D4A8E">
      <w:pPr>
        <w:spacing w:after="0"/>
      </w:pPr>
      <w:r>
        <w:fldChar w:fldCharType="end"/>
      </w:r>
    </w:p>
    <w:p w14:paraId="1F78C49B" w14:textId="77777777" w:rsidR="008B5E0A" w:rsidRPr="000771EC" w:rsidRDefault="00C772E2" w:rsidP="000D4A8E">
      <w:pPr>
        <w:spacing w:after="0"/>
        <w:rPr>
          <w:sz w:val="28"/>
          <w:szCs w:val="24"/>
        </w:rPr>
      </w:pPr>
      <w:r w:rsidRPr="000771EC">
        <w:rPr>
          <w:b/>
          <w:bCs/>
          <w:sz w:val="28"/>
          <w:szCs w:val="24"/>
        </w:rPr>
        <w:t>List of Tables</w:t>
      </w:r>
    </w:p>
    <w:p w14:paraId="771B3A35" w14:textId="77777777" w:rsidR="000771EC" w:rsidRPr="000771EC" w:rsidRDefault="00C772E2">
      <w:pPr>
        <w:pStyle w:val="TableofFigures"/>
        <w:tabs>
          <w:tab w:val="right" w:leader="dot" w:pos="9350"/>
        </w:tabs>
        <w:rPr>
          <w:rFonts w:asciiTheme="minorHAnsi" w:eastAsiaTheme="minorEastAsia" w:hAnsiTheme="minorHAnsi"/>
          <w:noProof/>
          <w:sz w:val="22"/>
          <w:lang w:val="en-US"/>
        </w:rPr>
      </w:pPr>
      <w:r w:rsidRPr="000771EC">
        <w:fldChar w:fldCharType="begin"/>
      </w:r>
      <w:r w:rsidRPr="000771EC">
        <w:instrText xml:space="preserve"> TOC \h \z \c "Table" </w:instrText>
      </w:r>
      <w:r w:rsidRPr="000771EC">
        <w:fldChar w:fldCharType="separate"/>
      </w:r>
      <w:hyperlink w:anchor="_Toc232033581" w:history="1">
        <w:r w:rsidR="000771EC" w:rsidRPr="000771EC">
          <w:rPr>
            <w:rStyle w:val="Hyperlink"/>
            <w:noProof/>
          </w:rPr>
          <w:t>Table 1: Porter's Five Forces - UK Luxury Automotive Sector.</w:t>
        </w:r>
        <w:r w:rsidR="000771EC" w:rsidRPr="000771EC">
          <w:rPr>
            <w:noProof/>
            <w:webHidden/>
          </w:rPr>
          <w:tab/>
        </w:r>
        <w:r w:rsidR="000771EC" w:rsidRPr="000771EC">
          <w:rPr>
            <w:noProof/>
            <w:webHidden/>
          </w:rPr>
          <w:fldChar w:fldCharType="begin"/>
        </w:r>
        <w:r w:rsidR="000771EC" w:rsidRPr="000771EC">
          <w:rPr>
            <w:noProof/>
            <w:webHidden/>
          </w:rPr>
          <w:instrText xml:space="preserve"> PAGEREF _Toc232033581 \h </w:instrText>
        </w:r>
        <w:r w:rsidR="000771EC" w:rsidRPr="000771EC">
          <w:rPr>
            <w:noProof/>
            <w:webHidden/>
          </w:rPr>
        </w:r>
        <w:r w:rsidR="000771EC" w:rsidRPr="000771EC">
          <w:rPr>
            <w:noProof/>
            <w:webHidden/>
          </w:rPr>
          <w:fldChar w:fldCharType="separate"/>
        </w:r>
        <w:r w:rsidR="000771EC" w:rsidRPr="000771EC">
          <w:rPr>
            <w:noProof/>
            <w:webHidden/>
          </w:rPr>
          <w:t>7</w:t>
        </w:r>
        <w:r w:rsidR="000771EC" w:rsidRPr="000771EC">
          <w:rPr>
            <w:noProof/>
            <w:webHidden/>
          </w:rPr>
          <w:fldChar w:fldCharType="end"/>
        </w:r>
      </w:hyperlink>
    </w:p>
    <w:p w14:paraId="6A950387" w14:textId="77777777" w:rsidR="000771EC" w:rsidRPr="000771EC" w:rsidRDefault="000771EC">
      <w:pPr>
        <w:pStyle w:val="TableofFigures"/>
        <w:tabs>
          <w:tab w:val="right" w:leader="dot" w:pos="9350"/>
        </w:tabs>
        <w:rPr>
          <w:rFonts w:asciiTheme="minorHAnsi" w:eastAsiaTheme="minorEastAsia" w:hAnsiTheme="minorHAnsi"/>
          <w:noProof/>
          <w:sz w:val="22"/>
          <w:lang w:val="en-US"/>
        </w:rPr>
      </w:pPr>
      <w:hyperlink w:anchor="_Toc232033582" w:history="1">
        <w:r w:rsidRPr="000771EC">
          <w:rPr>
            <w:rStyle w:val="Hyperlink"/>
            <w:noProof/>
          </w:rPr>
          <w:t>Table 2: VRIO Analysis - Jaguar Land Rover.</w:t>
        </w:r>
        <w:r w:rsidRPr="000771EC">
          <w:rPr>
            <w:noProof/>
            <w:webHidden/>
          </w:rPr>
          <w:tab/>
        </w:r>
        <w:r w:rsidRPr="000771EC">
          <w:rPr>
            <w:noProof/>
            <w:webHidden/>
          </w:rPr>
          <w:fldChar w:fldCharType="begin"/>
        </w:r>
        <w:r w:rsidRPr="000771EC">
          <w:rPr>
            <w:noProof/>
            <w:webHidden/>
          </w:rPr>
          <w:instrText xml:space="preserve"> PAGEREF _Toc232033582 \h </w:instrText>
        </w:r>
        <w:r w:rsidRPr="000771EC">
          <w:rPr>
            <w:noProof/>
            <w:webHidden/>
          </w:rPr>
        </w:r>
        <w:r w:rsidRPr="000771EC">
          <w:rPr>
            <w:noProof/>
            <w:webHidden/>
          </w:rPr>
          <w:fldChar w:fldCharType="separate"/>
        </w:r>
        <w:r w:rsidRPr="000771EC">
          <w:rPr>
            <w:noProof/>
            <w:webHidden/>
          </w:rPr>
          <w:t>8</w:t>
        </w:r>
        <w:r w:rsidRPr="000771EC">
          <w:rPr>
            <w:noProof/>
            <w:webHidden/>
          </w:rPr>
          <w:fldChar w:fldCharType="end"/>
        </w:r>
      </w:hyperlink>
    </w:p>
    <w:p w14:paraId="71B5510B" w14:textId="77777777" w:rsidR="001E3A70" w:rsidRDefault="00C772E2" w:rsidP="000D4A8E">
      <w:pPr>
        <w:spacing w:after="0"/>
      </w:pPr>
      <w:r w:rsidRPr="000771EC">
        <w:fldChar w:fldCharType="end"/>
      </w:r>
      <w:r>
        <w:br w:type="page"/>
      </w:r>
    </w:p>
    <w:p w14:paraId="53F30EA0" w14:textId="77777777" w:rsidR="00326B80" w:rsidRDefault="00C772E2" w:rsidP="000D4A8E">
      <w:pPr>
        <w:pStyle w:val="Heading1"/>
      </w:pPr>
      <w:bookmarkStart w:id="1" w:name="_Toc232033881"/>
      <w:r>
        <w:lastRenderedPageBreak/>
        <w:t>1. Introduction</w:t>
      </w:r>
      <w:bookmarkEnd w:id="1"/>
    </w:p>
    <w:p w14:paraId="2E85053D" w14:textId="77777777" w:rsidR="00326B80" w:rsidRDefault="00C772E2" w:rsidP="000D4A8E">
      <w:pPr>
        <w:spacing w:after="0"/>
      </w:pPr>
      <w:r>
        <w:t>Strategic management is a process through which organisations make long-term decisions in order to attain a competitive advantage. According to Johnson et al. (2017), it involves having a strategic position for an organisation, making coherent strategic decisions and converting those decisions into action. Practically, strategic management allows companies to match their internal forces with external opportunities and threats, thus being sustainable and resilient in the long term (Szasz, Csiiki and Raczi, 2</w:t>
      </w:r>
      <w:r>
        <w:t>021).</w:t>
      </w:r>
    </w:p>
    <w:p w14:paraId="4026CB54" w14:textId="77777777" w:rsidR="00326B80" w:rsidRDefault="00C772E2" w:rsidP="000D4A8E">
      <w:pPr>
        <w:spacing w:after="0"/>
      </w:pPr>
      <w:r>
        <w:t>The automotive industry in the UK is a large sector of the national economy. In 2024, the production of motor vehicles added £21 billion to GDP, and the sector as a whole employed more than 800,000 individuals and had a total economic value of £37 billion in 2023 (Murray et al., 2025; IMI, 2024). The industry contributes 12% of the overall UK goods exports and spends about 4 billion pounds every year on research and development (SMMT, 2026). In 2023, Battery Electric Vehicles (BEVs) reached a market share o</w:t>
      </w:r>
      <w:r>
        <w:t>f 16.5% in the UK, which is an indication of a structural change in consumer demand (SMMT, 2026). Such dynamics render proper strategic management crucial to the UK automotive companies.</w:t>
      </w:r>
    </w:p>
    <w:p w14:paraId="2B532B03" w14:textId="77777777" w:rsidR="00326B80" w:rsidRDefault="00C772E2" w:rsidP="000D4A8E">
      <w:pPr>
        <w:spacing w:after="0"/>
      </w:pPr>
      <w:r>
        <w:t>Jaguar Land Rover (JLR) is the biggest automobile producer in the UK, with its headquarters in Coventry, and is owned by Tata Motors. It has four high-end brands, such as Range Rover, Defender, Discovery and Jaguar. The vision of JLR is to be carbon net-zero in its supply chain, products, and operations by 2039, and its Reimagine strategy, which was announced in February 2021, pledges to invest between 2024 and 2028 up to the tune of £18 billion to achieve this change (JLR, 2025). This report has critically</w:t>
      </w:r>
      <w:r>
        <w:t xml:space="preserve"> discussed the strategic position of JLR and given recommendations that look into the future to aid the company in maintaining a sustainable competitive advantage.</w:t>
      </w:r>
    </w:p>
    <w:p w14:paraId="30A5CF3C" w14:textId="77777777" w:rsidR="00326B80" w:rsidRDefault="00C772E2" w:rsidP="000D4A8E">
      <w:pPr>
        <w:pStyle w:val="Heading1"/>
      </w:pPr>
      <w:bookmarkStart w:id="2" w:name="_Toc232033882"/>
      <w:r>
        <w:lastRenderedPageBreak/>
        <w:t>2. Strategy Analysis</w:t>
      </w:r>
      <w:bookmarkEnd w:id="2"/>
    </w:p>
    <w:p w14:paraId="640BECAA" w14:textId="77777777" w:rsidR="00326B80" w:rsidRDefault="00C772E2" w:rsidP="000D4A8E">
      <w:pPr>
        <w:pStyle w:val="Heading2"/>
      </w:pPr>
      <w:bookmarkStart w:id="3" w:name="_Toc232033883"/>
      <w:r>
        <w:t>2.1 External Environment Audit</w:t>
      </w:r>
      <w:bookmarkEnd w:id="3"/>
    </w:p>
    <w:p w14:paraId="3883149E" w14:textId="77777777" w:rsidR="003E0295" w:rsidRDefault="00C772E2" w:rsidP="000D4A8E">
      <w:pPr>
        <w:spacing w:after="0"/>
      </w:pPr>
      <w:r>
        <w:rPr>
          <w:noProof/>
        </w:rPr>
        <w:drawing>
          <wp:inline distT="0" distB="0" distL="0" distR="0" wp14:anchorId="038EA5F2" wp14:editId="1280D729">
            <wp:extent cx="5943600" cy="3244215"/>
            <wp:effectExtent l="0" t="0" r="0" b="0"/>
            <wp:docPr id="2119953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953423" name=""/>
                    <pic:cNvPicPr/>
                  </pic:nvPicPr>
                  <pic:blipFill>
                    <a:blip r:embed="rId9"/>
                    <a:stretch>
                      <a:fillRect/>
                    </a:stretch>
                  </pic:blipFill>
                  <pic:spPr>
                    <a:xfrm>
                      <a:off x="0" y="0"/>
                      <a:ext cx="5943600" cy="3244215"/>
                    </a:xfrm>
                    <a:prstGeom prst="rect">
                      <a:avLst/>
                    </a:prstGeom>
                  </pic:spPr>
                </pic:pic>
              </a:graphicData>
            </a:graphic>
          </wp:inline>
        </w:drawing>
      </w:r>
    </w:p>
    <w:p w14:paraId="17BAC998" w14:textId="77777777" w:rsidR="003E0295" w:rsidRPr="000D4A8E" w:rsidRDefault="00C772E2" w:rsidP="000D4A8E">
      <w:pPr>
        <w:pStyle w:val="Caption"/>
        <w:spacing w:after="0" w:line="360" w:lineRule="auto"/>
        <w:jc w:val="center"/>
        <w:rPr>
          <w:b/>
          <w:bCs/>
          <w:i w:val="0"/>
          <w:iCs w:val="0"/>
          <w:color w:val="auto"/>
          <w:sz w:val="20"/>
          <w:szCs w:val="20"/>
        </w:rPr>
      </w:pPr>
      <w:bookmarkStart w:id="4" w:name="_Toc232033573"/>
      <w:r w:rsidRPr="000D4A8E">
        <w:rPr>
          <w:b/>
          <w:bCs/>
          <w:i w:val="0"/>
          <w:iCs w:val="0"/>
          <w:color w:val="auto"/>
          <w:sz w:val="20"/>
          <w:szCs w:val="20"/>
        </w:rPr>
        <w:t xml:space="preserve">Figure </w:t>
      </w:r>
      <w:r w:rsidRPr="000D4A8E">
        <w:rPr>
          <w:b/>
          <w:bCs/>
          <w:i w:val="0"/>
          <w:iCs w:val="0"/>
          <w:color w:val="auto"/>
          <w:sz w:val="20"/>
          <w:szCs w:val="20"/>
        </w:rPr>
        <w:fldChar w:fldCharType="begin"/>
      </w:r>
      <w:r w:rsidRPr="000D4A8E">
        <w:rPr>
          <w:b/>
          <w:bCs/>
          <w:i w:val="0"/>
          <w:iCs w:val="0"/>
          <w:color w:val="auto"/>
          <w:sz w:val="20"/>
          <w:szCs w:val="20"/>
        </w:rPr>
        <w:instrText xml:space="preserve"> SEQ Figure \* ARABIC </w:instrText>
      </w:r>
      <w:r w:rsidRPr="000D4A8E">
        <w:rPr>
          <w:b/>
          <w:bCs/>
          <w:i w:val="0"/>
          <w:iCs w:val="0"/>
          <w:color w:val="auto"/>
          <w:sz w:val="20"/>
          <w:szCs w:val="20"/>
        </w:rPr>
        <w:fldChar w:fldCharType="separate"/>
      </w:r>
      <w:r w:rsidR="00E60086" w:rsidRPr="000D4A8E">
        <w:rPr>
          <w:b/>
          <w:bCs/>
          <w:i w:val="0"/>
          <w:iCs w:val="0"/>
          <w:color w:val="auto"/>
          <w:sz w:val="20"/>
          <w:szCs w:val="20"/>
        </w:rPr>
        <w:t>1</w:t>
      </w:r>
      <w:r w:rsidRPr="000D4A8E">
        <w:rPr>
          <w:b/>
          <w:bCs/>
          <w:i w:val="0"/>
          <w:iCs w:val="0"/>
          <w:color w:val="auto"/>
          <w:sz w:val="20"/>
          <w:szCs w:val="20"/>
        </w:rPr>
        <w:fldChar w:fldCharType="end"/>
      </w:r>
      <w:r w:rsidRPr="000D4A8E">
        <w:rPr>
          <w:b/>
          <w:bCs/>
          <w:i w:val="0"/>
          <w:iCs w:val="0"/>
          <w:color w:val="auto"/>
          <w:sz w:val="20"/>
          <w:szCs w:val="20"/>
        </w:rPr>
        <w:t>: JLR Integrated Strategic Analytical Framework.</w:t>
      </w:r>
      <w:bookmarkEnd w:id="4"/>
    </w:p>
    <w:p w14:paraId="73D477AD" w14:textId="77777777" w:rsidR="000D4A8E" w:rsidRPr="000D4A8E" w:rsidRDefault="00C772E2" w:rsidP="000D4A8E">
      <w:pPr>
        <w:spacing w:after="0"/>
        <w:jc w:val="center"/>
        <w:rPr>
          <w:b/>
          <w:bCs/>
          <w:sz w:val="20"/>
          <w:szCs w:val="20"/>
        </w:rPr>
      </w:pPr>
      <w:r w:rsidRPr="000D4A8E">
        <w:rPr>
          <w:b/>
          <w:bCs/>
          <w:sz w:val="20"/>
          <w:szCs w:val="20"/>
        </w:rPr>
        <w:t>Source: (Self-Made)</w:t>
      </w:r>
    </w:p>
    <w:p w14:paraId="39000F2D" w14:textId="77777777" w:rsidR="00326B80" w:rsidRDefault="00C772E2" w:rsidP="000D4A8E">
      <w:pPr>
        <w:pStyle w:val="Heading3"/>
      </w:pPr>
      <w:bookmarkStart w:id="5" w:name="_Toc232033884"/>
      <w:r>
        <w:t>2.1.1 PESTLE Analysis</w:t>
      </w:r>
      <w:bookmarkEnd w:id="5"/>
    </w:p>
    <w:p w14:paraId="5252F768" w14:textId="77777777" w:rsidR="00326B80" w:rsidRDefault="00C772E2" w:rsidP="000D4A8E">
      <w:pPr>
        <w:spacing w:after="0"/>
      </w:pPr>
      <w:r>
        <w:t>PESTLE analysis assesses the macro-environmental conditions that impact the strategic environment of JLR (Arslangulov and Ackrill, 2024).</w:t>
      </w:r>
    </w:p>
    <w:p w14:paraId="53EA2440" w14:textId="77777777" w:rsidR="004C741F" w:rsidRDefault="00C772E2" w:rsidP="000D4A8E">
      <w:pPr>
        <w:spacing w:after="0"/>
        <w:jc w:val="center"/>
      </w:pPr>
      <w:r>
        <w:rPr>
          <w:noProof/>
        </w:rPr>
        <w:drawing>
          <wp:inline distT="0" distB="0" distL="0" distR="0" wp14:anchorId="73CAF3BE" wp14:editId="4BF5B489">
            <wp:extent cx="4617720" cy="2520506"/>
            <wp:effectExtent l="0" t="0" r="0" b="0"/>
            <wp:docPr id="965520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520832" name=""/>
                    <pic:cNvPicPr/>
                  </pic:nvPicPr>
                  <pic:blipFill>
                    <a:blip r:embed="rId10"/>
                    <a:stretch>
                      <a:fillRect/>
                    </a:stretch>
                  </pic:blipFill>
                  <pic:spPr>
                    <a:xfrm>
                      <a:off x="0" y="0"/>
                      <a:ext cx="4622892" cy="2523329"/>
                    </a:xfrm>
                    <a:prstGeom prst="rect">
                      <a:avLst/>
                    </a:prstGeom>
                  </pic:spPr>
                </pic:pic>
              </a:graphicData>
            </a:graphic>
          </wp:inline>
        </w:drawing>
      </w:r>
    </w:p>
    <w:p w14:paraId="587D926D" w14:textId="77777777" w:rsidR="004C741F" w:rsidRDefault="00C772E2" w:rsidP="000D4A8E">
      <w:pPr>
        <w:pStyle w:val="Caption"/>
        <w:spacing w:after="0" w:line="360" w:lineRule="auto"/>
        <w:jc w:val="center"/>
        <w:rPr>
          <w:b/>
          <w:bCs/>
          <w:i w:val="0"/>
          <w:iCs w:val="0"/>
          <w:color w:val="auto"/>
          <w:sz w:val="20"/>
          <w:szCs w:val="20"/>
        </w:rPr>
      </w:pPr>
      <w:bookmarkStart w:id="6" w:name="_Toc232033574"/>
      <w:r w:rsidRPr="00ED7217">
        <w:rPr>
          <w:b/>
          <w:bCs/>
          <w:i w:val="0"/>
          <w:iCs w:val="0"/>
          <w:color w:val="auto"/>
          <w:sz w:val="20"/>
          <w:szCs w:val="20"/>
        </w:rPr>
        <w:t xml:space="preserve">Figure </w:t>
      </w:r>
      <w:r w:rsidRPr="00ED7217">
        <w:rPr>
          <w:b/>
          <w:bCs/>
          <w:i w:val="0"/>
          <w:iCs w:val="0"/>
          <w:color w:val="auto"/>
          <w:sz w:val="20"/>
          <w:szCs w:val="20"/>
        </w:rPr>
        <w:fldChar w:fldCharType="begin"/>
      </w:r>
      <w:r w:rsidRPr="00ED7217">
        <w:rPr>
          <w:b/>
          <w:bCs/>
          <w:i w:val="0"/>
          <w:iCs w:val="0"/>
          <w:color w:val="auto"/>
          <w:sz w:val="20"/>
          <w:szCs w:val="20"/>
        </w:rPr>
        <w:instrText xml:space="preserve"> SEQ Figure \* ARABIC </w:instrText>
      </w:r>
      <w:r w:rsidRPr="00ED7217">
        <w:rPr>
          <w:b/>
          <w:bCs/>
          <w:i w:val="0"/>
          <w:iCs w:val="0"/>
          <w:color w:val="auto"/>
          <w:sz w:val="20"/>
          <w:szCs w:val="20"/>
        </w:rPr>
        <w:fldChar w:fldCharType="separate"/>
      </w:r>
      <w:r w:rsidR="00E60086" w:rsidRPr="00ED7217">
        <w:rPr>
          <w:b/>
          <w:bCs/>
          <w:i w:val="0"/>
          <w:iCs w:val="0"/>
          <w:color w:val="auto"/>
          <w:sz w:val="20"/>
          <w:szCs w:val="20"/>
        </w:rPr>
        <w:t>2</w:t>
      </w:r>
      <w:r w:rsidRPr="00ED7217">
        <w:rPr>
          <w:b/>
          <w:bCs/>
          <w:i w:val="0"/>
          <w:iCs w:val="0"/>
          <w:color w:val="auto"/>
          <w:sz w:val="20"/>
          <w:szCs w:val="20"/>
        </w:rPr>
        <w:fldChar w:fldCharType="end"/>
      </w:r>
      <w:r w:rsidRPr="00ED7217">
        <w:rPr>
          <w:b/>
          <w:bCs/>
          <w:i w:val="0"/>
          <w:iCs w:val="0"/>
          <w:color w:val="auto"/>
          <w:sz w:val="20"/>
          <w:szCs w:val="20"/>
        </w:rPr>
        <w:t>: Six Macro-Forces Reshaping JLR's Operating Environment</w:t>
      </w:r>
      <w:r w:rsidR="00C0420F" w:rsidRPr="00ED7217">
        <w:rPr>
          <w:b/>
          <w:bCs/>
          <w:i w:val="0"/>
          <w:iCs w:val="0"/>
          <w:color w:val="auto"/>
          <w:sz w:val="20"/>
          <w:szCs w:val="20"/>
        </w:rPr>
        <w:t>.</w:t>
      </w:r>
      <w:bookmarkEnd w:id="6"/>
    </w:p>
    <w:p w14:paraId="64673E01" w14:textId="77777777" w:rsidR="000D4A8E" w:rsidRPr="000D4A8E" w:rsidRDefault="00C772E2" w:rsidP="000D4A8E">
      <w:pPr>
        <w:spacing w:after="0"/>
        <w:jc w:val="center"/>
        <w:rPr>
          <w:b/>
          <w:bCs/>
          <w:sz w:val="20"/>
          <w:szCs w:val="20"/>
        </w:rPr>
      </w:pPr>
      <w:r w:rsidRPr="000D4A8E">
        <w:rPr>
          <w:b/>
          <w:bCs/>
          <w:sz w:val="20"/>
          <w:szCs w:val="20"/>
        </w:rPr>
        <w:t>Source: (Self-Made)</w:t>
      </w:r>
    </w:p>
    <w:p w14:paraId="67C2A778" w14:textId="77777777" w:rsidR="00326B80" w:rsidRPr="001E3A70" w:rsidRDefault="00C772E2" w:rsidP="000D4A8E">
      <w:pPr>
        <w:spacing w:after="0"/>
        <w:rPr>
          <w:b/>
          <w:bCs/>
        </w:rPr>
      </w:pPr>
      <w:r w:rsidRPr="001E3A70">
        <w:rPr>
          <w:b/>
          <w:bCs/>
        </w:rPr>
        <w:lastRenderedPageBreak/>
        <w:t>Political</w:t>
      </w:r>
    </w:p>
    <w:p w14:paraId="319F9125" w14:textId="77777777" w:rsidR="00326B80" w:rsidRDefault="00C772E2" w:rsidP="000D4A8E">
      <w:pPr>
        <w:spacing w:after="0"/>
      </w:pPr>
      <w:r>
        <w:t>The Zero Emission Vehicle (ZEV) policy in the UK is a regulation that obliges producers to raise the proportion of EV sales every year or risk financial fines. The 2035 prohibition of new petrol and diesel vehicles forms a solid electrification deadline, and the logistics of the supply chains and the exports are still impacted by the post-Brexit trade frictions.</w:t>
      </w:r>
    </w:p>
    <w:p w14:paraId="518FF728" w14:textId="77777777" w:rsidR="00326B80" w:rsidRPr="001E3A70" w:rsidRDefault="00C772E2" w:rsidP="000D4A8E">
      <w:pPr>
        <w:spacing w:after="0"/>
        <w:rPr>
          <w:b/>
          <w:bCs/>
        </w:rPr>
      </w:pPr>
      <w:r w:rsidRPr="001E3A70">
        <w:rPr>
          <w:b/>
          <w:bCs/>
        </w:rPr>
        <w:t>Economic</w:t>
      </w:r>
    </w:p>
    <w:p w14:paraId="1B0994A6" w14:textId="77777777" w:rsidR="00326B80" w:rsidRDefault="00C772E2" w:rsidP="000D4A8E">
      <w:pPr>
        <w:spacing w:after="0"/>
      </w:pPr>
      <w:r>
        <w:t>In April 2025, the US enforced a 25% tariff on importing vehicles, which directly impacts the JLR revenues. In 2024, the UK car exports to the US amounted to £7.7 billion, which is 27% of the total export value (Murray et al., 2025). The costs of inputs are on the increase and are continuing to squeeze margins within the sector.</w:t>
      </w:r>
    </w:p>
    <w:p w14:paraId="599852FC" w14:textId="77777777" w:rsidR="00326B80" w:rsidRPr="001E3A70" w:rsidRDefault="00C772E2" w:rsidP="000D4A8E">
      <w:pPr>
        <w:spacing w:after="0"/>
        <w:rPr>
          <w:b/>
          <w:bCs/>
        </w:rPr>
      </w:pPr>
      <w:r w:rsidRPr="001E3A70">
        <w:rPr>
          <w:b/>
          <w:bCs/>
        </w:rPr>
        <w:t>Social</w:t>
      </w:r>
    </w:p>
    <w:p w14:paraId="43B46D9B" w14:textId="77777777" w:rsidR="00326B80" w:rsidRDefault="00C772E2" w:rsidP="000D4A8E">
      <w:pPr>
        <w:spacing w:after="0"/>
      </w:pPr>
      <w:r>
        <w:t>There is an increasing demand for sustainable luxury by consumers. Gouveia et al. (2024) verify that environmental values are becoming the most important factors influencing EV adoption as well as lifestyle preferences, which is in line with the positioning of JLR as a high-quality, sustainable brand.</w:t>
      </w:r>
    </w:p>
    <w:p w14:paraId="7BDDA7E6" w14:textId="77777777" w:rsidR="00326B80" w:rsidRPr="001E3A70" w:rsidRDefault="00C772E2" w:rsidP="000D4A8E">
      <w:pPr>
        <w:spacing w:after="0"/>
        <w:rPr>
          <w:b/>
          <w:bCs/>
        </w:rPr>
      </w:pPr>
      <w:r w:rsidRPr="001E3A70">
        <w:rPr>
          <w:b/>
          <w:bCs/>
        </w:rPr>
        <w:t>Technological</w:t>
      </w:r>
    </w:p>
    <w:p w14:paraId="017F2589" w14:textId="77777777" w:rsidR="00326B80" w:rsidRDefault="00C772E2" w:rsidP="000D4A8E">
      <w:pPr>
        <w:spacing w:after="0"/>
      </w:pPr>
      <w:r>
        <w:t>Improvements in the chemistry of batteries and charging infrastructure are reducing the product cycles. The JLR Modular Longitudinal Architecture (MLA) enables ICE, PHEV, and BEV to be based on the same platform and gives it the flexibility to react to different market transitions, which occur at different rates.</w:t>
      </w:r>
    </w:p>
    <w:p w14:paraId="05CF995E" w14:textId="77777777" w:rsidR="00326B80" w:rsidRPr="001E3A70" w:rsidRDefault="00C772E2" w:rsidP="000D4A8E">
      <w:pPr>
        <w:spacing w:after="0"/>
        <w:rPr>
          <w:b/>
          <w:bCs/>
        </w:rPr>
      </w:pPr>
      <w:r w:rsidRPr="001E3A70">
        <w:rPr>
          <w:b/>
          <w:bCs/>
        </w:rPr>
        <w:t>Legal</w:t>
      </w:r>
    </w:p>
    <w:p w14:paraId="083B5F27" w14:textId="77777777" w:rsidR="00326B80" w:rsidRDefault="00C772E2" w:rsidP="000D4A8E">
      <w:pPr>
        <w:spacing w:after="0"/>
      </w:pPr>
      <w:r>
        <w:t>The increase in compliance has been brought about by stricter CO₂ fleet limits and Euro 7 emissions standards. JLR is especially under pressure due to its focus on the bigger and more emissions-intensive luxury SUVs and the monetary fines associated with non-compliance.</w:t>
      </w:r>
    </w:p>
    <w:p w14:paraId="68BE1C63" w14:textId="77777777" w:rsidR="00326B80" w:rsidRPr="001E3A70" w:rsidRDefault="00C772E2" w:rsidP="000D4A8E">
      <w:pPr>
        <w:spacing w:after="0"/>
        <w:rPr>
          <w:b/>
          <w:bCs/>
        </w:rPr>
      </w:pPr>
      <w:r w:rsidRPr="001E3A70">
        <w:rPr>
          <w:b/>
          <w:bCs/>
        </w:rPr>
        <w:t>Environmental</w:t>
      </w:r>
    </w:p>
    <w:p w14:paraId="6053EBE5" w14:textId="77777777" w:rsidR="00326B80" w:rsidRDefault="00C772E2" w:rsidP="000D4A8E">
      <w:pPr>
        <w:spacing w:after="0"/>
      </w:pPr>
      <w:r>
        <w:t>The long-term environmental agenda is laid down by the UK Net Zero 2050 commitment and JLR's carbon-net-zero target by 2039. ESG questioning regarding sourcing of the battery, end-of-life, and supply chain emissions is tightening (Bhandari, Ranta and Salo, 2022).</w:t>
      </w:r>
    </w:p>
    <w:p w14:paraId="0E8D8BC2" w14:textId="77777777" w:rsidR="00326B80" w:rsidRDefault="00C772E2" w:rsidP="000D4A8E">
      <w:pPr>
        <w:pStyle w:val="Heading3"/>
      </w:pPr>
      <w:bookmarkStart w:id="7" w:name="_Toc232033885"/>
      <w:r>
        <w:t>2.1.2 Porter's Five Forces</w:t>
      </w:r>
      <w:bookmarkEnd w:id="7"/>
    </w:p>
    <w:p w14:paraId="6737439A" w14:textId="77777777" w:rsidR="00326B80" w:rsidRDefault="00C772E2" w:rsidP="000D4A8E">
      <w:pPr>
        <w:spacing w:after="0"/>
      </w:pPr>
      <w:r>
        <w:t xml:space="preserve">Porter's Five Forces is a model that can be used to analyse the competitive forces of a given industry (Bruijl, 2018). Fedotov (2022) used this model for the electric vehicle industry and </w:t>
      </w:r>
      <w:r>
        <w:lastRenderedPageBreak/>
        <w:t>concluded that competition is fierce, and new entrants to the industry that do not offer electric vehicles but solely produce EVs are a sort of structural threat to more established manufacturers. The force evaluation of JLR's competitive environment has been provided in Table 1.</w:t>
      </w:r>
    </w:p>
    <w:tbl>
      <w:tblPr>
        <w:tblStyle w:val="PlainTable2"/>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22"/>
        <w:gridCol w:w="1409"/>
        <w:gridCol w:w="5619"/>
      </w:tblGrid>
      <w:tr w:rsidR="003C1C91" w14:paraId="2262A143" w14:textId="77777777" w:rsidTr="003C1C91">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206" w:type="pct"/>
            <w:tcBorders>
              <w:bottom w:val="none" w:sz="0" w:space="0" w:color="auto"/>
            </w:tcBorders>
            <w:shd w:val="clear" w:color="auto" w:fill="002060"/>
            <w:noWrap/>
            <w:hideMark/>
          </w:tcPr>
          <w:p w14:paraId="4E2958A4" w14:textId="77777777" w:rsidR="00EF5361" w:rsidRPr="00EF5361" w:rsidRDefault="00C772E2" w:rsidP="000D4A8E">
            <w:pPr>
              <w:jc w:val="center"/>
              <w:rPr>
                <w:rFonts w:eastAsia="Times New Roman" w:cs="Times New Roman"/>
                <w:kern w:val="0"/>
                <w:szCs w:val="24"/>
                <w:lang w:eastAsia="en-GB" w:bidi="bn-BD"/>
                <w14:ligatures w14:val="none"/>
              </w:rPr>
            </w:pPr>
            <w:r w:rsidRPr="00EF5361">
              <w:rPr>
                <w:rFonts w:eastAsia="Times New Roman" w:cs="Times New Roman"/>
                <w:kern w:val="0"/>
                <w:szCs w:val="24"/>
                <w:lang w:eastAsia="en-GB" w:bidi="bn-BD"/>
                <w14:ligatures w14:val="none"/>
              </w:rPr>
              <w:t>Force</w:t>
            </w:r>
          </w:p>
        </w:tc>
        <w:tc>
          <w:tcPr>
            <w:tcW w:w="718" w:type="pct"/>
            <w:tcBorders>
              <w:bottom w:val="none" w:sz="0" w:space="0" w:color="auto"/>
            </w:tcBorders>
            <w:shd w:val="clear" w:color="auto" w:fill="002060"/>
            <w:noWrap/>
            <w:hideMark/>
          </w:tcPr>
          <w:p w14:paraId="233A626C" w14:textId="77777777" w:rsidR="00EF5361" w:rsidRPr="00EF5361" w:rsidRDefault="00C772E2" w:rsidP="000D4A8E">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F5361">
              <w:rPr>
                <w:rFonts w:eastAsia="Times New Roman" w:cs="Times New Roman"/>
                <w:kern w:val="0"/>
                <w:szCs w:val="24"/>
                <w:lang w:eastAsia="en-GB" w:bidi="bn-BD"/>
                <w14:ligatures w14:val="none"/>
              </w:rPr>
              <w:t>Intensity</w:t>
            </w:r>
          </w:p>
        </w:tc>
        <w:tc>
          <w:tcPr>
            <w:tcW w:w="3076" w:type="pct"/>
            <w:tcBorders>
              <w:bottom w:val="none" w:sz="0" w:space="0" w:color="auto"/>
            </w:tcBorders>
            <w:shd w:val="clear" w:color="auto" w:fill="002060"/>
            <w:noWrap/>
            <w:hideMark/>
          </w:tcPr>
          <w:p w14:paraId="11DE90B8" w14:textId="77777777" w:rsidR="00EF5361" w:rsidRPr="00EF5361" w:rsidRDefault="00C772E2" w:rsidP="000D4A8E">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F5361">
              <w:rPr>
                <w:rFonts w:eastAsia="Times New Roman" w:cs="Times New Roman"/>
                <w:kern w:val="0"/>
                <w:szCs w:val="24"/>
                <w:lang w:eastAsia="en-GB" w:bidi="bn-BD"/>
                <w14:ligatures w14:val="none"/>
              </w:rPr>
              <w:t>Key Driver</w:t>
            </w:r>
          </w:p>
        </w:tc>
      </w:tr>
      <w:tr w:rsidR="003C1C91" w14:paraId="4846D984" w14:textId="77777777" w:rsidTr="003C1C91">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206" w:type="pct"/>
            <w:tcBorders>
              <w:top w:val="none" w:sz="0" w:space="0" w:color="auto"/>
              <w:bottom w:val="none" w:sz="0" w:space="0" w:color="auto"/>
            </w:tcBorders>
            <w:noWrap/>
            <w:hideMark/>
          </w:tcPr>
          <w:p w14:paraId="3CD14694" w14:textId="77777777" w:rsidR="00EF5361" w:rsidRPr="00AE3EE6" w:rsidRDefault="00C772E2" w:rsidP="000D4A8E">
            <w:pPr>
              <w:rPr>
                <w:rFonts w:eastAsia="Times New Roman" w:cs="Times New Roman"/>
                <w:kern w:val="0"/>
                <w:szCs w:val="24"/>
                <w:lang w:eastAsia="en-GB" w:bidi="bn-BD"/>
                <w14:ligatures w14:val="none"/>
              </w:rPr>
            </w:pPr>
            <w:r w:rsidRPr="00AE3EE6">
              <w:rPr>
                <w:rFonts w:eastAsia="Times New Roman" w:cs="Times New Roman"/>
                <w:b w:val="0"/>
                <w:bCs w:val="0"/>
                <w:kern w:val="0"/>
                <w:szCs w:val="24"/>
                <w:lang w:eastAsia="en-GB" w:bidi="bn-BD"/>
                <w14:ligatures w14:val="none"/>
              </w:rPr>
              <w:t>Competitive Rivalry</w:t>
            </w:r>
          </w:p>
        </w:tc>
        <w:tc>
          <w:tcPr>
            <w:tcW w:w="718" w:type="pct"/>
            <w:tcBorders>
              <w:top w:val="none" w:sz="0" w:space="0" w:color="auto"/>
              <w:bottom w:val="none" w:sz="0" w:space="0" w:color="auto"/>
            </w:tcBorders>
            <w:noWrap/>
            <w:hideMark/>
          </w:tcPr>
          <w:p w14:paraId="438D814B" w14:textId="77777777" w:rsidR="00EF5361" w:rsidRPr="00EF5361"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F5361">
              <w:rPr>
                <w:rFonts w:eastAsia="Times New Roman" w:cs="Times New Roman"/>
                <w:kern w:val="0"/>
                <w:szCs w:val="24"/>
                <w:lang w:eastAsia="en-GB" w:bidi="bn-BD"/>
                <w14:ligatures w14:val="none"/>
              </w:rPr>
              <w:t>High</w:t>
            </w:r>
          </w:p>
        </w:tc>
        <w:tc>
          <w:tcPr>
            <w:tcW w:w="3076" w:type="pct"/>
            <w:tcBorders>
              <w:top w:val="none" w:sz="0" w:space="0" w:color="auto"/>
              <w:bottom w:val="none" w:sz="0" w:space="0" w:color="auto"/>
            </w:tcBorders>
            <w:noWrap/>
            <w:hideMark/>
          </w:tcPr>
          <w:p w14:paraId="26A5F8CF" w14:textId="77777777" w:rsidR="00EF5361" w:rsidRPr="00EF5361"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F5361">
              <w:rPr>
                <w:rFonts w:eastAsia="Times New Roman" w:cs="Times New Roman"/>
                <w:kern w:val="0"/>
                <w:szCs w:val="24"/>
                <w:lang w:eastAsia="en-GB" w:bidi="bn-BD"/>
                <w14:ligatures w14:val="none"/>
              </w:rPr>
              <w:t>BMW, Mercedes-Benz, and Tesla all compete in the luxury EV space</w:t>
            </w:r>
          </w:p>
        </w:tc>
      </w:tr>
      <w:tr w:rsidR="003C1C91" w14:paraId="525D8C7A" w14:textId="77777777" w:rsidTr="003C1C91">
        <w:trPr>
          <w:trHeight w:val="144"/>
        </w:trPr>
        <w:tc>
          <w:tcPr>
            <w:cnfStyle w:val="001000000000" w:firstRow="0" w:lastRow="0" w:firstColumn="1" w:lastColumn="0" w:oddVBand="0" w:evenVBand="0" w:oddHBand="0" w:evenHBand="0" w:firstRowFirstColumn="0" w:firstRowLastColumn="0" w:lastRowFirstColumn="0" w:lastRowLastColumn="0"/>
            <w:tcW w:w="1206" w:type="pct"/>
            <w:noWrap/>
            <w:hideMark/>
          </w:tcPr>
          <w:p w14:paraId="61137F42" w14:textId="77777777" w:rsidR="00EF5361" w:rsidRPr="00AE3EE6" w:rsidRDefault="00C772E2" w:rsidP="000D4A8E">
            <w:pPr>
              <w:rPr>
                <w:rFonts w:eastAsia="Times New Roman" w:cs="Times New Roman"/>
                <w:kern w:val="0"/>
                <w:szCs w:val="24"/>
                <w:lang w:eastAsia="en-GB" w:bidi="bn-BD"/>
                <w14:ligatures w14:val="none"/>
              </w:rPr>
            </w:pPr>
            <w:r w:rsidRPr="00AE3EE6">
              <w:rPr>
                <w:rFonts w:eastAsia="Times New Roman" w:cs="Times New Roman"/>
                <w:b w:val="0"/>
                <w:bCs w:val="0"/>
                <w:kern w:val="0"/>
                <w:szCs w:val="24"/>
                <w:lang w:eastAsia="en-GB" w:bidi="bn-BD"/>
                <w14:ligatures w14:val="none"/>
              </w:rPr>
              <w:t>Threat of New Entrants</w:t>
            </w:r>
          </w:p>
        </w:tc>
        <w:tc>
          <w:tcPr>
            <w:tcW w:w="718" w:type="pct"/>
            <w:noWrap/>
            <w:hideMark/>
          </w:tcPr>
          <w:p w14:paraId="4405ECCE" w14:textId="77777777" w:rsidR="00EF5361" w:rsidRPr="00EF5361" w:rsidRDefault="00C772E2" w:rsidP="000D4A8E">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F5361">
              <w:rPr>
                <w:rFonts w:eastAsia="Times New Roman" w:cs="Times New Roman"/>
                <w:kern w:val="0"/>
                <w:szCs w:val="24"/>
                <w:lang w:eastAsia="en-GB" w:bidi="bn-BD"/>
                <w14:ligatures w14:val="none"/>
              </w:rPr>
              <w:t>Moderate</w:t>
            </w:r>
          </w:p>
        </w:tc>
        <w:tc>
          <w:tcPr>
            <w:tcW w:w="3076" w:type="pct"/>
            <w:noWrap/>
            <w:hideMark/>
          </w:tcPr>
          <w:p w14:paraId="325A6EE8" w14:textId="77777777" w:rsidR="00EF5361" w:rsidRPr="00EF5361" w:rsidRDefault="00C772E2" w:rsidP="000D4A8E">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F5361">
              <w:rPr>
                <w:rFonts w:eastAsia="Times New Roman" w:cs="Times New Roman"/>
                <w:kern w:val="0"/>
                <w:szCs w:val="24"/>
                <w:lang w:eastAsia="en-GB" w:bidi="bn-BD"/>
                <w14:ligatures w14:val="none"/>
              </w:rPr>
              <w:t>High capital barriers exist; EV start-ups are gaining traction</w:t>
            </w:r>
          </w:p>
        </w:tc>
      </w:tr>
      <w:tr w:rsidR="003C1C91" w14:paraId="5C9CE55E" w14:textId="77777777" w:rsidTr="003C1C91">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206" w:type="pct"/>
            <w:tcBorders>
              <w:top w:val="none" w:sz="0" w:space="0" w:color="auto"/>
              <w:bottom w:val="none" w:sz="0" w:space="0" w:color="auto"/>
            </w:tcBorders>
            <w:noWrap/>
            <w:hideMark/>
          </w:tcPr>
          <w:p w14:paraId="69E3081F" w14:textId="77777777" w:rsidR="00EF5361" w:rsidRPr="00AE3EE6" w:rsidRDefault="00C772E2" w:rsidP="000D4A8E">
            <w:pPr>
              <w:rPr>
                <w:rFonts w:eastAsia="Times New Roman" w:cs="Times New Roman"/>
                <w:kern w:val="0"/>
                <w:szCs w:val="24"/>
                <w:lang w:eastAsia="en-GB" w:bidi="bn-BD"/>
                <w14:ligatures w14:val="none"/>
              </w:rPr>
            </w:pPr>
            <w:r w:rsidRPr="00AE3EE6">
              <w:rPr>
                <w:rFonts w:eastAsia="Times New Roman" w:cs="Times New Roman"/>
                <w:b w:val="0"/>
                <w:bCs w:val="0"/>
                <w:kern w:val="0"/>
                <w:szCs w:val="24"/>
                <w:lang w:eastAsia="en-GB" w:bidi="bn-BD"/>
                <w14:ligatures w14:val="none"/>
              </w:rPr>
              <w:t>Supplier Bargaining Power</w:t>
            </w:r>
          </w:p>
        </w:tc>
        <w:tc>
          <w:tcPr>
            <w:tcW w:w="718" w:type="pct"/>
            <w:tcBorders>
              <w:top w:val="none" w:sz="0" w:space="0" w:color="auto"/>
              <w:bottom w:val="none" w:sz="0" w:space="0" w:color="auto"/>
            </w:tcBorders>
            <w:noWrap/>
            <w:hideMark/>
          </w:tcPr>
          <w:p w14:paraId="45BB8B5E" w14:textId="77777777" w:rsidR="00EF5361" w:rsidRPr="00EF5361"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F5361">
              <w:rPr>
                <w:rFonts w:eastAsia="Times New Roman" w:cs="Times New Roman"/>
                <w:kern w:val="0"/>
                <w:szCs w:val="24"/>
                <w:lang w:eastAsia="en-GB" w:bidi="bn-BD"/>
                <w14:ligatures w14:val="none"/>
              </w:rPr>
              <w:t>High</w:t>
            </w:r>
          </w:p>
        </w:tc>
        <w:tc>
          <w:tcPr>
            <w:tcW w:w="3076" w:type="pct"/>
            <w:tcBorders>
              <w:top w:val="none" w:sz="0" w:space="0" w:color="auto"/>
              <w:bottom w:val="none" w:sz="0" w:space="0" w:color="auto"/>
            </w:tcBorders>
            <w:noWrap/>
            <w:hideMark/>
          </w:tcPr>
          <w:p w14:paraId="46DE6386" w14:textId="77777777" w:rsidR="00EF5361" w:rsidRPr="00EF5361"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F5361">
              <w:rPr>
                <w:rFonts w:eastAsia="Times New Roman" w:cs="Times New Roman"/>
                <w:kern w:val="0"/>
                <w:szCs w:val="24"/>
                <w:lang w:eastAsia="en-GB" w:bidi="bn-BD"/>
                <w14:ligatures w14:val="none"/>
              </w:rPr>
              <w:t>Scarce battery minerals (cobalt, lithium); concentrated supply</w:t>
            </w:r>
          </w:p>
        </w:tc>
      </w:tr>
      <w:tr w:rsidR="003C1C91" w14:paraId="3AA2848B" w14:textId="77777777" w:rsidTr="003C1C91">
        <w:trPr>
          <w:trHeight w:val="144"/>
        </w:trPr>
        <w:tc>
          <w:tcPr>
            <w:cnfStyle w:val="001000000000" w:firstRow="0" w:lastRow="0" w:firstColumn="1" w:lastColumn="0" w:oddVBand="0" w:evenVBand="0" w:oddHBand="0" w:evenHBand="0" w:firstRowFirstColumn="0" w:firstRowLastColumn="0" w:lastRowFirstColumn="0" w:lastRowLastColumn="0"/>
            <w:tcW w:w="1206" w:type="pct"/>
            <w:noWrap/>
            <w:hideMark/>
          </w:tcPr>
          <w:p w14:paraId="0A183140" w14:textId="77777777" w:rsidR="00EF5361" w:rsidRPr="00AE3EE6" w:rsidRDefault="00C772E2" w:rsidP="000D4A8E">
            <w:pPr>
              <w:rPr>
                <w:rFonts w:eastAsia="Times New Roman" w:cs="Times New Roman"/>
                <w:kern w:val="0"/>
                <w:szCs w:val="24"/>
                <w:lang w:eastAsia="en-GB" w:bidi="bn-BD"/>
                <w14:ligatures w14:val="none"/>
              </w:rPr>
            </w:pPr>
            <w:r w:rsidRPr="00AE3EE6">
              <w:rPr>
                <w:rFonts w:eastAsia="Times New Roman" w:cs="Times New Roman"/>
                <w:b w:val="0"/>
                <w:bCs w:val="0"/>
                <w:kern w:val="0"/>
                <w:szCs w:val="24"/>
                <w:lang w:eastAsia="en-GB" w:bidi="bn-BD"/>
                <w14:ligatures w14:val="none"/>
              </w:rPr>
              <w:t>Buyer Bargaining Power</w:t>
            </w:r>
          </w:p>
        </w:tc>
        <w:tc>
          <w:tcPr>
            <w:tcW w:w="718" w:type="pct"/>
            <w:noWrap/>
            <w:hideMark/>
          </w:tcPr>
          <w:p w14:paraId="5D261F84" w14:textId="77777777" w:rsidR="00EF5361" w:rsidRPr="00EF5361" w:rsidRDefault="00C772E2" w:rsidP="000D4A8E">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F5361">
              <w:rPr>
                <w:rFonts w:eastAsia="Times New Roman" w:cs="Times New Roman"/>
                <w:kern w:val="0"/>
                <w:szCs w:val="24"/>
                <w:lang w:eastAsia="en-GB" w:bidi="bn-BD"/>
                <w14:ligatures w14:val="none"/>
              </w:rPr>
              <w:t>Moderate-High</w:t>
            </w:r>
          </w:p>
        </w:tc>
        <w:tc>
          <w:tcPr>
            <w:tcW w:w="3076" w:type="pct"/>
            <w:noWrap/>
            <w:hideMark/>
          </w:tcPr>
          <w:p w14:paraId="1A93FECB" w14:textId="77777777" w:rsidR="00EF5361" w:rsidRPr="00EF5361" w:rsidRDefault="00C772E2" w:rsidP="000D4A8E">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EF5361">
              <w:rPr>
                <w:rFonts w:eastAsia="Times New Roman" w:cs="Times New Roman"/>
                <w:kern w:val="0"/>
                <w:szCs w:val="24"/>
                <w:lang w:eastAsia="en-GB" w:bidi="bn-BD"/>
                <w14:ligatures w14:val="none"/>
              </w:rPr>
              <w:t>Well-informed luxury buyers with growing EV model choices</w:t>
            </w:r>
          </w:p>
        </w:tc>
      </w:tr>
      <w:tr w:rsidR="003C1C91" w14:paraId="43E289A0" w14:textId="77777777" w:rsidTr="003C1C91">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206" w:type="pct"/>
            <w:tcBorders>
              <w:top w:val="none" w:sz="0" w:space="0" w:color="auto"/>
              <w:bottom w:val="none" w:sz="0" w:space="0" w:color="auto"/>
            </w:tcBorders>
            <w:noWrap/>
            <w:hideMark/>
          </w:tcPr>
          <w:p w14:paraId="07C39753" w14:textId="77777777" w:rsidR="00EF5361" w:rsidRPr="00AE3EE6" w:rsidRDefault="00C772E2" w:rsidP="000D4A8E">
            <w:pPr>
              <w:rPr>
                <w:rFonts w:eastAsia="Times New Roman" w:cs="Times New Roman"/>
                <w:kern w:val="0"/>
                <w:szCs w:val="24"/>
                <w:lang w:eastAsia="en-GB" w:bidi="bn-BD"/>
                <w14:ligatures w14:val="none"/>
              </w:rPr>
            </w:pPr>
            <w:r w:rsidRPr="00AE3EE6">
              <w:rPr>
                <w:rFonts w:eastAsia="Times New Roman" w:cs="Times New Roman"/>
                <w:b w:val="0"/>
                <w:bCs w:val="0"/>
                <w:kern w:val="0"/>
                <w:szCs w:val="24"/>
                <w:lang w:eastAsia="en-GB" w:bidi="bn-BD"/>
                <w14:ligatures w14:val="none"/>
              </w:rPr>
              <w:t>Threat of Substitutes</w:t>
            </w:r>
          </w:p>
        </w:tc>
        <w:tc>
          <w:tcPr>
            <w:tcW w:w="718" w:type="pct"/>
            <w:tcBorders>
              <w:top w:val="none" w:sz="0" w:space="0" w:color="auto"/>
              <w:bottom w:val="none" w:sz="0" w:space="0" w:color="auto"/>
            </w:tcBorders>
            <w:noWrap/>
            <w:hideMark/>
          </w:tcPr>
          <w:p w14:paraId="759101EC" w14:textId="77777777" w:rsidR="00EF5361" w:rsidRPr="00EF5361"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F5361">
              <w:rPr>
                <w:rFonts w:eastAsia="Times New Roman" w:cs="Times New Roman"/>
                <w:kern w:val="0"/>
                <w:szCs w:val="24"/>
                <w:lang w:eastAsia="en-GB" w:bidi="bn-BD"/>
                <w14:ligatures w14:val="none"/>
              </w:rPr>
              <w:t>Moderate</w:t>
            </w:r>
          </w:p>
        </w:tc>
        <w:tc>
          <w:tcPr>
            <w:tcW w:w="3076" w:type="pct"/>
            <w:tcBorders>
              <w:top w:val="none" w:sz="0" w:space="0" w:color="auto"/>
              <w:bottom w:val="none" w:sz="0" w:space="0" w:color="auto"/>
            </w:tcBorders>
            <w:noWrap/>
            <w:hideMark/>
          </w:tcPr>
          <w:p w14:paraId="5703B278" w14:textId="77777777" w:rsidR="00EF5361" w:rsidRPr="00EF5361"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EF5361">
              <w:rPr>
                <w:rFonts w:eastAsia="Times New Roman" w:cs="Times New Roman"/>
                <w:kern w:val="0"/>
                <w:szCs w:val="24"/>
                <w:lang w:eastAsia="en-GB" w:bidi="bn-BD"/>
                <w14:ligatures w14:val="none"/>
              </w:rPr>
              <w:t>Urban mobility alternatives: ride-hailing and public transport</w:t>
            </w:r>
          </w:p>
        </w:tc>
      </w:tr>
    </w:tbl>
    <w:p w14:paraId="64C68568" w14:textId="77777777" w:rsidR="00326B80" w:rsidRPr="00EF5361" w:rsidRDefault="00C772E2" w:rsidP="000D4A8E">
      <w:pPr>
        <w:pStyle w:val="Caption"/>
        <w:spacing w:after="0" w:line="360" w:lineRule="auto"/>
        <w:jc w:val="center"/>
        <w:rPr>
          <w:b/>
          <w:bCs/>
          <w:i w:val="0"/>
          <w:iCs w:val="0"/>
          <w:color w:val="auto"/>
          <w:sz w:val="20"/>
          <w:szCs w:val="20"/>
        </w:rPr>
      </w:pPr>
      <w:bookmarkStart w:id="8" w:name="_Toc232033581"/>
      <w:r w:rsidRPr="00EF5361">
        <w:rPr>
          <w:b/>
          <w:bCs/>
          <w:i w:val="0"/>
          <w:iCs w:val="0"/>
          <w:color w:val="auto"/>
          <w:sz w:val="20"/>
          <w:szCs w:val="20"/>
        </w:rPr>
        <w:t xml:space="preserve">Table </w:t>
      </w:r>
      <w:r w:rsidRPr="00EF5361">
        <w:rPr>
          <w:b/>
          <w:bCs/>
          <w:i w:val="0"/>
          <w:iCs w:val="0"/>
          <w:color w:val="auto"/>
          <w:sz w:val="20"/>
          <w:szCs w:val="20"/>
        </w:rPr>
        <w:fldChar w:fldCharType="begin"/>
      </w:r>
      <w:r w:rsidRPr="00EF5361">
        <w:rPr>
          <w:b/>
          <w:bCs/>
          <w:i w:val="0"/>
          <w:iCs w:val="0"/>
          <w:color w:val="auto"/>
          <w:sz w:val="20"/>
          <w:szCs w:val="20"/>
        </w:rPr>
        <w:instrText xml:space="preserve"> SEQ Table \* ARABIC </w:instrText>
      </w:r>
      <w:r w:rsidRPr="00EF5361">
        <w:rPr>
          <w:b/>
          <w:bCs/>
          <w:i w:val="0"/>
          <w:iCs w:val="0"/>
          <w:color w:val="auto"/>
          <w:sz w:val="20"/>
          <w:szCs w:val="20"/>
        </w:rPr>
        <w:fldChar w:fldCharType="separate"/>
      </w:r>
      <w:r w:rsidR="009711BD">
        <w:rPr>
          <w:b/>
          <w:bCs/>
          <w:i w:val="0"/>
          <w:iCs w:val="0"/>
          <w:noProof/>
          <w:color w:val="auto"/>
          <w:sz w:val="20"/>
          <w:szCs w:val="20"/>
        </w:rPr>
        <w:t>1</w:t>
      </w:r>
      <w:r w:rsidRPr="00EF5361">
        <w:rPr>
          <w:b/>
          <w:bCs/>
          <w:i w:val="0"/>
          <w:iCs w:val="0"/>
          <w:color w:val="auto"/>
          <w:sz w:val="20"/>
          <w:szCs w:val="20"/>
        </w:rPr>
        <w:fldChar w:fldCharType="end"/>
      </w:r>
      <w:r w:rsidRPr="00EF5361">
        <w:rPr>
          <w:b/>
          <w:bCs/>
          <w:i w:val="0"/>
          <w:iCs w:val="0"/>
          <w:color w:val="auto"/>
          <w:sz w:val="20"/>
          <w:szCs w:val="20"/>
        </w:rPr>
        <w:t>: Porter's Five Forces - UK Luxury Automotive Sector.</w:t>
      </w:r>
      <w:bookmarkEnd w:id="8"/>
    </w:p>
    <w:p w14:paraId="2EF8CF28" w14:textId="77777777" w:rsidR="00326B80" w:rsidRPr="00EF5361" w:rsidRDefault="00C772E2" w:rsidP="000D4A8E">
      <w:pPr>
        <w:spacing w:after="0"/>
        <w:jc w:val="center"/>
        <w:rPr>
          <w:b/>
          <w:bCs/>
          <w:sz w:val="20"/>
          <w:szCs w:val="20"/>
        </w:rPr>
      </w:pPr>
      <w:r w:rsidRPr="00EF5361">
        <w:rPr>
          <w:b/>
          <w:bCs/>
          <w:sz w:val="20"/>
          <w:szCs w:val="20"/>
        </w:rPr>
        <w:t>Sources: Fedotov (2022); Pangarkar and Prabhudesai (2024); Skeete et al. (2020).</w:t>
      </w:r>
    </w:p>
    <w:p w14:paraId="1A300C59" w14:textId="77777777" w:rsidR="00326B80" w:rsidRDefault="00C772E2" w:rsidP="000D4A8E">
      <w:pPr>
        <w:spacing w:after="0"/>
      </w:pPr>
      <w:r>
        <w:t>The level of competitive rivalry is especially high in the high-end EV market. In Germany, the electrification of manufacturers like BMW is being actively pursued due to the need to comply with regulations and, more importantly, the understanding that the transition to EVs is an opportunity, but not a threat (Loder, Rinscheid and Wüstenhagen, 2023). The supplier's bargaining power is also high due to the fact that minerals that are important in batteries are rare and are concentrated regionally, which makes</w:t>
      </w:r>
      <w:r>
        <w:t xml:space="preserve"> manufacturers vulnerable to supply chain risks unless they have diversified their sources. Skeete et al. (2020) caution that, without strong battery recycling infrastructure, the risks associated with supply chains in the UK EV transition are even more complicated.</w:t>
      </w:r>
    </w:p>
    <w:p w14:paraId="40566B81" w14:textId="77777777" w:rsidR="00326B80" w:rsidRDefault="00C772E2" w:rsidP="000D4A8E">
      <w:pPr>
        <w:pStyle w:val="Heading2"/>
      </w:pPr>
      <w:bookmarkStart w:id="9" w:name="_Toc232033886"/>
      <w:r>
        <w:t>2.2 Internal Environment Audit</w:t>
      </w:r>
      <w:bookmarkEnd w:id="9"/>
    </w:p>
    <w:p w14:paraId="4E66FE0B" w14:textId="77777777" w:rsidR="00326B80" w:rsidRDefault="00C772E2" w:rsidP="000D4A8E">
      <w:pPr>
        <w:pStyle w:val="Heading3"/>
      </w:pPr>
      <w:bookmarkStart w:id="10" w:name="_Toc232033887"/>
      <w:r>
        <w:t>2.2.1 Value Chain Analysis</w:t>
      </w:r>
      <w:bookmarkEnd w:id="10"/>
    </w:p>
    <w:p w14:paraId="602CBF17" w14:textId="77777777" w:rsidR="00326B80" w:rsidRDefault="00C772E2" w:rsidP="000D4A8E">
      <w:pPr>
        <w:spacing w:after="0"/>
      </w:pPr>
      <w:r>
        <w:t xml:space="preserve">The Value Chain Analysis (1985) of Porter determines the activities which a firm produces and gives. The inbound logistics of JLR are being transformed to be based on responsible sourcing of sustainable materials. Manufacturing is a strength: JLR has invested £500 million in an upgrade </w:t>
      </w:r>
      <w:r>
        <w:lastRenderedPageBreak/>
        <w:t xml:space="preserve">of its Halewood plant to produce EVs, and its Solihull plant is currently capable of producing pure-electric Range Rover models in addition to current powertrains (JLR, 2025). </w:t>
      </w:r>
    </w:p>
    <w:p w14:paraId="2FABC00E" w14:textId="77777777" w:rsidR="00326B80" w:rsidRDefault="00C772E2" w:rsidP="000D4A8E">
      <w:pPr>
        <w:spacing w:after="0"/>
      </w:pPr>
      <w:r>
        <w:t>JLR is targeting modern luxury positioning in the marketing and sale of its products, and the Range Rover Electric has an almost 60,000-long waiting list (JLR, 2025). The main strength is service activities, where 95% of the technicians of retail partners are now EV-trained and guarantee customer preparedness. Support activities will also involve a lot of human capital training, where more than 20,000 people will be trained in electrification and digital skills (JLR, 2025).</w:t>
      </w:r>
    </w:p>
    <w:p w14:paraId="6AF3A5BC" w14:textId="77777777" w:rsidR="00326B80" w:rsidRDefault="00C772E2" w:rsidP="000D4A8E">
      <w:pPr>
        <w:pStyle w:val="Heading3"/>
      </w:pPr>
      <w:bookmarkStart w:id="11" w:name="_Toc232033888"/>
      <w:r>
        <w:t>2.2.2 Resource-Based View and VRIO Analysis</w:t>
      </w:r>
      <w:bookmarkEnd w:id="11"/>
    </w:p>
    <w:p w14:paraId="202A1688" w14:textId="77777777" w:rsidR="00326B80" w:rsidRDefault="00C772E2" w:rsidP="000D4A8E">
      <w:pPr>
        <w:spacing w:after="0"/>
      </w:pPr>
      <w:r>
        <w:t xml:space="preserve">The Resource-Based View (RBV) is the theory that was proposed by Barney (1991). It suggests that the internal resources that are valuable, rare, difficult to replicate, and organised are the key means of achieving a sustained competitive advantage (Mailani et al., 2024). Assensoh-Kodua (2019) supports the idea that RBV focuses the strategic focus on the strengths of a company and its ability to create sustainable competitive advantage. </w:t>
      </w:r>
    </w:p>
    <w:p w14:paraId="09AF355A" w14:textId="77777777" w:rsidR="00326B80" w:rsidRDefault="00C772E2" w:rsidP="000D4A8E">
      <w:pPr>
        <w:spacing w:after="0"/>
      </w:pPr>
      <w:r>
        <w:t>More importantly, Bhandari, Ranta and Salo (2022) go on to argue that in the contemporary ESG-based economy, companies are equally forced to incorporate environmental and social responsibility into the resource base to keep up with the competition. The key internal resources in JLR are analysed in Table 2 in terms of VRIO analysis.</w:t>
      </w:r>
    </w:p>
    <w:tbl>
      <w:tblPr>
        <w:tblStyle w:val="PlainTable2"/>
        <w:tblW w:w="512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60"/>
        <w:gridCol w:w="1252"/>
        <w:gridCol w:w="838"/>
        <w:gridCol w:w="1396"/>
        <w:gridCol w:w="1396"/>
        <w:gridCol w:w="1844"/>
      </w:tblGrid>
      <w:tr w:rsidR="003C1C91" w14:paraId="2F4B3093" w14:textId="77777777" w:rsidTr="003C1C91">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492" w:type="pct"/>
            <w:shd w:val="clear" w:color="auto" w:fill="002060"/>
            <w:noWrap/>
            <w:hideMark/>
          </w:tcPr>
          <w:p w14:paraId="219E7E49" w14:textId="77777777" w:rsidR="009711BD" w:rsidRPr="009711BD" w:rsidRDefault="00C772E2" w:rsidP="000D4A8E">
            <w:pPr>
              <w:jc w:val="center"/>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Resource</w:t>
            </w:r>
          </w:p>
        </w:tc>
        <w:tc>
          <w:tcPr>
            <w:tcW w:w="653" w:type="pct"/>
            <w:shd w:val="clear" w:color="auto" w:fill="002060"/>
            <w:noWrap/>
            <w:hideMark/>
          </w:tcPr>
          <w:p w14:paraId="585F8006" w14:textId="77777777" w:rsidR="009711BD" w:rsidRPr="009711BD" w:rsidRDefault="00C772E2" w:rsidP="000D4A8E">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Valuable</w:t>
            </w:r>
          </w:p>
        </w:tc>
        <w:tc>
          <w:tcPr>
            <w:tcW w:w="437" w:type="pct"/>
            <w:shd w:val="clear" w:color="auto" w:fill="002060"/>
            <w:noWrap/>
            <w:hideMark/>
          </w:tcPr>
          <w:p w14:paraId="62BF4749" w14:textId="77777777" w:rsidR="009711BD" w:rsidRPr="009711BD" w:rsidRDefault="00C772E2" w:rsidP="000D4A8E">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Rare</w:t>
            </w:r>
          </w:p>
        </w:tc>
        <w:tc>
          <w:tcPr>
            <w:tcW w:w="728" w:type="pct"/>
            <w:shd w:val="clear" w:color="auto" w:fill="002060"/>
            <w:noWrap/>
            <w:hideMark/>
          </w:tcPr>
          <w:p w14:paraId="5F1EA4F1" w14:textId="77777777" w:rsidR="009711BD" w:rsidRPr="009711BD" w:rsidRDefault="00C772E2" w:rsidP="000D4A8E">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Inimitable</w:t>
            </w:r>
          </w:p>
        </w:tc>
        <w:tc>
          <w:tcPr>
            <w:tcW w:w="728" w:type="pct"/>
            <w:shd w:val="clear" w:color="auto" w:fill="002060"/>
            <w:noWrap/>
            <w:hideMark/>
          </w:tcPr>
          <w:p w14:paraId="35AAA132" w14:textId="77777777" w:rsidR="009711BD" w:rsidRPr="009711BD" w:rsidRDefault="00C772E2" w:rsidP="000D4A8E">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Organised</w:t>
            </w:r>
          </w:p>
        </w:tc>
        <w:tc>
          <w:tcPr>
            <w:tcW w:w="963" w:type="pct"/>
            <w:shd w:val="clear" w:color="auto" w:fill="002060"/>
            <w:noWrap/>
            <w:hideMark/>
          </w:tcPr>
          <w:p w14:paraId="6DF6C75D" w14:textId="77777777" w:rsidR="009711BD" w:rsidRPr="009711BD" w:rsidRDefault="00C772E2" w:rsidP="000D4A8E">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Competitive Status</w:t>
            </w:r>
          </w:p>
        </w:tc>
      </w:tr>
      <w:tr w:rsidR="003C1C91" w14:paraId="4191C175" w14:textId="77777777" w:rsidTr="003C1C91">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492" w:type="pct"/>
            <w:noWrap/>
            <w:hideMark/>
          </w:tcPr>
          <w:p w14:paraId="72933F8E" w14:textId="77777777" w:rsidR="009711BD" w:rsidRPr="000D4A8E" w:rsidRDefault="00C772E2" w:rsidP="000D4A8E">
            <w:pPr>
              <w:jc w:val="left"/>
              <w:rPr>
                <w:rFonts w:eastAsia="Times New Roman" w:cs="Times New Roman"/>
                <w:kern w:val="0"/>
                <w:szCs w:val="24"/>
                <w:lang w:eastAsia="en-GB" w:bidi="bn-BD"/>
                <w14:ligatures w14:val="none"/>
              </w:rPr>
            </w:pPr>
            <w:r w:rsidRPr="000D4A8E">
              <w:rPr>
                <w:rFonts w:eastAsia="Times New Roman" w:cs="Times New Roman"/>
                <w:b w:val="0"/>
                <w:bCs w:val="0"/>
                <w:kern w:val="0"/>
                <w:szCs w:val="24"/>
                <w:lang w:eastAsia="en-GB" w:bidi="bn-BD"/>
                <w14:ligatures w14:val="none"/>
              </w:rPr>
              <w:t>Brand equity (Range Rover, Jaguar)</w:t>
            </w:r>
          </w:p>
        </w:tc>
        <w:tc>
          <w:tcPr>
            <w:tcW w:w="653" w:type="pct"/>
            <w:noWrap/>
            <w:hideMark/>
          </w:tcPr>
          <w:p w14:paraId="15FA27B8" w14:textId="77777777" w:rsidR="009711BD" w:rsidRPr="009711BD"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Yes</w:t>
            </w:r>
          </w:p>
        </w:tc>
        <w:tc>
          <w:tcPr>
            <w:tcW w:w="437" w:type="pct"/>
            <w:noWrap/>
            <w:hideMark/>
          </w:tcPr>
          <w:p w14:paraId="38D27E82" w14:textId="77777777" w:rsidR="009711BD" w:rsidRPr="009711BD"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Yes</w:t>
            </w:r>
          </w:p>
        </w:tc>
        <w:tc>
          <w:tcPr>
            <w:tcW w:w="728" w:type="pct"/>
            <w:noWrap/>
            <w:hideMark/>
          </w:tcPr>
          <w:p w14:paraId="7E4C11B2" w14:textId="77777777" w:rsidR="009711BD" w:rsidRPr="009711BD"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Yes</w:t>
            </w:r>
          </w:p>
        </w:tc>
        <w:tc>
          <w:tcPr>
            <w:tcW w:w="728" w:type="pct"/>
            <w:noWrap/>
            <w:hideMark/>
          </w:tcPr>
          <w:p w14:paraId="474FDD03" w14:textId="77777777" w:rsidR="009711BD" w:rsidRPr="009711BD"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Yes</w:t>
            </w:r>
          </w:p>
        </w:tc>
        <w:tc>
          <w:tcPr>
            <w:tcW w:w="963" w:type="pct"/>
            <w:noWrap/>
            <w:hideMark/>
          </w:tcPr>
          <w:p w14:paraId="5DDEA5F6" w14:textId="77777777" w:rsidR="009711BD" w:rsidRPr="009711BD"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Sustained Advantage</w:t>
            </w:r>
          </w:p>
        </w:tc>
      </w:tr>
      <w:tr w:rsidR="003C1C91" w14:paraId="14EDF7D8" w14:textId="77777777" w:rsidTr="003C1C91">
        <w:trPr>
          <w:trHeight w:val="144"/>
        </w:trPr>
        <w:tc>
          <w:tcPr>
            <w:cnfStyle w:val="001000000000" w:firstRow="0" w:lastRow="0" w:firstColumn="1" w:lastColumn="0" w:oddVBand="0" w:evenVBand="0" w:oddHBand="0" w:evenHBand="0" w:firstRowFirstColumn="0" w:firstRowLastColumn="0" w:lastRowFirstColumn="0" w:lastRowLastColumn="0"/>
            <w:tcW w:w="1492" w:type="pct"/>
            <w:noWrap/>
            <w:hideMark/>
          </w:tcPr>
          <w:p w14:paraId="0FB77F59" w14:textId="77777777" w:rsidR="009711BD" w:rsidRPr="000D4A8E" w:rsidRDefault="00C772E2" w:rsidP="000D4A8E">
            <w:pPr>
              <w:jc w:val="left"/>
              <w:rPr>
                <w:rFonts w:eastAsia="Times New Roman" w:cs="Times New Roman"/>
                <w:kern w:val="0"/>
                <w:szCs w:val="24"/>
                <w:lang w:eastAsia="en-GB" w:bidi="bn-BD"/>
                <w14:ligatures w14:val="none"/>
              </w:rPr>
            </w:pPr>
            <w:r w:rsidRPr="000D4A8E">
              <w:rPr>
                <w:rFonts w:eastAsia="Times New Roman" w:cs="Times New Roman"/>
                <w:b w:val="0"/>
                <w:bCs w:val="0"/>
                <w:kern w:val="0"/>
                <w:szCs w:val="24"/>
                <w:lang w:eastAsia="en-GB" w:bidi="bn-BD"/>
                <w14:ligatures w14:val="none"/>
              </w:rPr>
              <w:t>Modular Longitudinal Architecture (MLA)</w:t>
            </w:r>
          </w:p>
        </w:tc>
        <w:tc>
          <w:tcPr>
            <w:tcW w:w="653" w:type="pct"/>
            <w:noWrap/>
            <w:hideMark/>
          </w:tcPr>
          <w:p w14:paraId="0D9D24A5" w14:textId="77777777" w:rsidR="009711BD" w:rsidRPr="009711BD" w:rsidRDefault="00C772E2" w:rsidP="000D4A8E">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Yes</w:t>
            </w:r>
          </w:p>
        </w:tc>
        <w:tc>
          <w:tcPr>
            <w:tcW w:w="437" w:type="pct"/>
            <w:noWrap/>
            <w:hideMark/>
          </w:tcPr>
          <w:p w14:paraId="609380F7" w14:textId="77777777" w:rsidR="009711BD" w:rsidRPr="009711BD" w:rsidRDefault="00C772E2" w:rsidP="000D4A8E">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Yes</w:t>
            </w:r>
          </w:p>
        </w:tc>
        <w:tc>
          <w:tcPr>
            <w:tcW w:w="728" w:type="pct"/>
            <w:noWrap/>
            <w:hideMark/>
          </w:tcPr>
          <w:p w14:paraId="15C77852" w14:textId="77777777" w:rsidR="009711BD" w:rsidRPr="009711BD" w:rsidRDefault="00C772E2" w:rsidP="000D4A8E">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Partially</w:t>
            </w:r>
          </w:p>
        </w:tc>
        <w:tc>
          <w:tcPr>
            <w:tcW w:w="728" w:type="pct"/>
            <w:noWrap/>
            <w:hideMark/>
          </w:tcPr>
          <w:p w14:paraId="205FAD8B" w14:textId="77777777" w:rsidR="009711BD" w:rsidRPr="009711BD" w:rsidRDefault="00C772E2" w:rsidP="000D4A8E">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Yes</w:t>
            </w:r>
          </w:p>
        </w:tc>
        <w:tc>
          <w:tcPr>
            <w:tcW w:w="963" w:type="pct"/>
            <w:noWrap/>
            <w:hideMark/>
          </w:tcPr>
          <w:p w14:paraId="1191797A" w14:textId="77777777" w:rsidR="009711BD" w:rsidRPr="009711BD" w:rsidRDefault="00C772E2" w:rsidP="000D4A8E">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Temporary-Sustained</w:t>
            </w:r>
          </w:p>
        </w:tc>
      </w:tr>
      <w:tr w:rsidR="003C1C91" w14:paraId="20856C6A" w14:textId="77777777" w:rsidTr="003C1C91">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1492" w:type="pct"/>
            <w:noWrap/>
            <w:hideMark/>
          </w:tcPr>
          <w:p w14:paraId="0849C7A1" w14:textId="77777777" w:rsidR="009711BD" w:rsidRPr="000D4A8E" w:rsidRDefault="00C772E2" w:rsidP="000D4A8E">
            <w:pPr>
              <w:jc w:val="left"/>
              <w:rPr>
                <w:rFonts w:eastAsia="Times New Roman" w:cs="Times New Roman"/>
                <w:kern w:val="0"/>
                <w:szCs w:val="24"/>
                <w:lang w:eastAsia="en-GB" w:bidi="bn-BD"/>
                <w14:ligatures w14:val="none"/>
              </w:rPr>
            </w:pPr>
            <w:r w:rsidRPr="000D4A8E">
              <w:rPr>
                <w:rFonts w:eastAsia="Times New Roman" w:cs="Times New Roman"/>
                <w:b w:val="0"/>
                <w:bCs w:val="0"/>
                <w:kern w:val="0"/>
                <w:szCs w:val="24"/>
                <w:lang w:eastAsia="en-GB" w:bidi="bn-BD"/>
                <w14:ligatures w14:val="none"/>
              </w:rPr>
              <w:t>EV-skilled workforce (20,000 trained)</w:t>
            </w:r>
          </w:p>
        </w:tc>
        <w:tc>
          <w:tcPr>
            <w:tcW w:w="653" w:type="pct"/>
            <w:noWrap/>
            <w:hideMark/>
          </w:tcPr>
          <w:p w14:paraId="117C1AC5" w14:textId="77777777" w:rsidR="009711BD" w:rsidRPr="009711BD"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Yes</w:t>
            </w:r>
          </w:p>
        </w:tc>
        <w:tc>
          <w:tcPr>
            <w:tcW w:w="437" w:type="pct"/>
            <w:noWrap/>
            <w:hideMark/>
          </w:tcPr>
          <w:p w14:paraId="611BC2A5" w14:textId="77777777" w:rsidR="009711BD" w:rsidRPr="009711BD"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Yes</w:t>
            </w:r>
          </w:p>
        </w:tc>
        <w:tc>
          <w:tcPr>
            <w:tcW w:w="728" w:type="pct"/>
            <w:noWrap/>
            <w:hideMark/>
          </w:tcPr>
          <w:p w14:paraId="01070DEF" w14:textId="77777777" w:rsidR="009711BD" w:rsidRPr="009711BD"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No</w:t>
            </w:r>
          </w:p>
        </w:tc>
        <w:tc>
          <w:tcPr>
            <w:tcW w:w="728" w:type="pct"/>
            <w:noWrap/>
            <w:hideMark/>
          </w:tcPr>
          <w:p w14:paraId="06AE4313" w14:textId="77777777" w:rsidR="009711BD" w:rsidRPr="009711BD"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Yes</w:t>
            </w:r>
          </w:p>
        </w:tc>
        <w:tc>
          <w:tcPr>
            <w:tcW w:w="963" w:type="pct"/>
            <w:noWrap/>
            <w:hideMark/>
          </w:tcPr>
          <w:p w14:paraId="664FDAB0" w14:textId="77777777" w:rsidR="009711BD" w:rsidRPr="009711BD" w:rsidRDefault="00C772E2" w:rsidP="000D4A8E">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Temporary Advantage</w:t>
            </w:r>
          </w:p>
        </w:tc>
      </w:tr>
      <w:tr w:rsidR="003C1C91" w14:paraId="7791C3CB" w14:textId="77777777" w:rsidTr="003C1C91">
        <w:trPr>
          <w:trHeight w:val="144"/>
        </w:trPr>
        <w:tc>
          <w:tcPr>
            <w:cnfStyle w:val="001000000000" w:firstRow="0" w:lastRow="0" w:firstColumn="1" w:lastColumn="0" w:oddVBand="0" w:evenVBand="0" w:oddHBand="0" w:evenHBand="0" w:firstRowFirstColumn="0" w:firstRowLastColumn="0" w:lastRowFirstColumn="0" w:lastRowLastColumn="0"/>
            <w:tcW w:w="1492" w:type="pct"/>
            <w:noWrap/>
            <w:hideMark/>
          </w:tcPr>
          <w:p w14:paraId="399CF1D4" w14:textId="77777777" w:rsidR="009711BD" w:rsidRPr="000D4A8E" w:rsidRDefault="00C772E2" w:rsidP="000D4A8E">
            <w:pPr>
              <w:jc w:val="left"/>
              <w:rPr>
                <w:rFonts w:eastAsia="Times New Roman" w:cs="Times New Roman"/>
                <w:kern w:val="0"/>
                <w:szCs w:val="24"/>
                <w:lang w:eastAsia="en-GB" w:bidi="bn-BD"/>
                <w14:ligatures w14:val="none"/>
              </w:rPr>
            </w:pPr>
            <w:r w:rsidRPr="000D4A8E">
              <w:rPr>
                <w:rFonts w:eastAsia="Times New Roman" w:cs="Times New Roman"/>
                <w:b w:val="0"/>
                <w:bCs w:val="0"/>
                <w:kern w:val="0"/>
                <w:szCs w:val="24"/>
                <w:lang w:eastAsia="en-GB" w:bidi="bn-BD"/>
                <w14:ligatures w14:val="none"/>
              </w:rPr>
              <w:t>Halewood EV manufacturing facility</w:t>
            </w:r>
          </w:p>
        </w:tc>
        <w:tc>
          <w:tcPr>
            <w:tcW w:w="653" w:type="pct"/>
            <w:noWrap/>
            <w:hideMark/>
          </w:tcPr>
          <w:p w14:paraId="54F62B41" w14:textId="77777777" w:rsidR="009711BD" w:rsidRPr="009711BD" w:rsidRDefault="00C772E2" w:rsidP="000D4A8E">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Yes</w:t>
            </w:r>
          </w:p>
        </w:tc>
        <w:tc>
          <w:tcPr>
            <w:tcW w:w="437" w:type="pct"/>
            <w:noWrap/>
            <w:hideMark/>
          </w:tcPr>
          <w:p w14:paraId="02E64345" w14:textId="77777777" w:rsidR="009711BD" w:rsidRPr="009711BD" w:rsidRDefault="00C772E2" w:rsidP="000D4A8E">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Yes</w:t>
            </w:r>
          </w:p>
        </w:tc>
        <w:tc>
          <w:tcPr>
            <w:tcW w:w="728" w:type="pct"/>
            <w:noWrap/>
            <w:hideMark/>
          </w:tcPr>
          <w:p w14:paraId="56AF5BB2" w14:textId="77777777" w:rsidR="009711BD" w:rsidRPr="009711BD" w:rsidRDefault="00C772E2" w:rsidP="000D4A8E">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Yes</w:t>
            </w:r>
          </w:p>
        </w:tc>
        <w:tc>
          <w:tcPr>
            <w:tcW w:w="728" w:type="pct"/>
            <w:noWrap/>
            <w:hideMark/>
          </w:tcPr>
          <w:p w14:paraId="205DAD43" w14:textId="77777777" w:rsidR="009711BD" w:rsidRPr="009711BD" w:rsidRDefault="00C772E2" w:rsidP="000D4A8E">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Yes</w:t>
            </w:r>
          </w:p>
        </w:tc>
        <w:tc>
          <w:tcPr>
            <w:tcW w:w="963" w:type="pct"/>
            <w:noWrap/>
            <w:hideMark/>
          </w:tcPr>
          <w:p w14:paraId="44CC958B" w14:textId="77777777" w:rsidR="009711BD" w:rsidRPr="009711BD" w:rsidRDefault="00C772E2" w:rsidP="000D4A8E">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eastAsia="en-GB" w:bidi="bn-BD"/>
                <w14:ligatures w14:val="none"/>
              </w:rPr>
            </w:pPr>
            <w:r w:rsidRPr="009711BD">
              <w:rPr>
                <w:rFonts w:eastAsia="Times New Roman" w:cs="Times New Roman"/>
                <w:kern w:val="0"/>
                <w:szCs w:val="24"/>
                <w:lang w:eastAsia="en-GB" w:bidi="bn-BD"/>
                <w14:ligatures w14:val="none"/>
              </w:rPr>
              <w:t>Sustained Advantage</w:t>
            </w:r>
          </w:p>
        </w:tc>
      </w:tr>
    </w:tbl>
    <w:p w14:paraId="2E113BD5" w14:textId="77777777" w:rsidR="00326B80" w:rsidRPr="009711BD" w:rsidRDefault="00C772E2" w:rsidP="000D4A8E">
      <w:pPr>
        <w:pStyle w:val="Caption"/>
        <w:spacing w:after="0" w:line="360" w:lineRule="auto"/>
        <w:jc w:val="center"/>
        <w:rPr>
          <w:b/>
          <w:bCs/>
          <w:i w:val="0"/>
          <w:iCs w:val="0"/>
          <w:color w:val="auto"/>
          <w:sz w:val="20"/>
          <w:szCs w:val="20"/>
        </w:rPr>
      </w:pPr>
      <w:bookmarkStart w:id="12" w:name="_Toc232033582"/>
      <w:r w:rsidRPr="009711BD">
        <w:rPr>
          <w:b/>
          <w:bCs/>
          <w:i w:val="0"/>
          <w:iCs w:val="0"/>
          <w:color w:val="auto"/>
          <w:sz w:val="20"/>
          <w:szCs w:val="20"/>
        </w:rPr>
        <w:t xml:space="preserve">Table </w:t>
      </w:r>
      <w:r w:rsidRPr="009711BD">
        <w:rPr>
          <w:b/>
          <w:bCs/>
          <w:i w:val="0"/>
          <w:iCs w:val="0"/>
          <w:color w:val="auto"/>
          <w:sz w:val="20"/>
          <w:szCs w:val="20"/>
        </w:rPr>
        <w:fldChar w:fldCharType="begin"/>
      </w:r>
      <w:r w:rsidRPr="009711BD">
        <w:rPr>
          <w:b/>
          <w:bCs/>
          <w:i w:val="0"/>
          <w:iCs w:val="0"/>
          <w:color w:val="auto"/>
          <w:sz w:val="20"/>
          <w:szCs w:val="20"/>
        </w:rPr>
        <w:instrText xml:space="preserve"> SEQ Table \* ARABIC </w:instrText>
      </w:r>
      <w:r w:rsidRPr="009711BD">
        <w:rPr>
          <w:b/>
          <w:bCs/>
          <w:i w:val="0"/>
          <w:iCs w:val="0"/>
          <w:color w:val="auto"/>
          <w:sz w:val="20"/>
          <w:szCs w:val="20"/>
        </w:rPr>
        <w:fldChar w:fldCharType="separate"/>
      </w:r>
      <w:r w:rsidRPr="009711BD">
        <w:rPr>
          <w:b/>
          <w:bCs/>
          <w:i w:val="0"/>
          <w:iCs w:val="0"/>
          <w:noProof/>
          <w:color w:val="auto"/>
          <w:sz w:val="20"/>
          <w:szCs w:val="20"/>
        </w:rPr>
        <w:t>2</w:t>
      </w:r>
      <w:r w:rsidRPr="009711BD">
        <w:rPr>
          <w:b/>
          <w:bCs/>
          <w:i w:val="0"/>
          <w:iCs w:val="0"/>
          <w:color w:val="auto"/>
          <w:sz w:val="20"/>
          <w:szCs w:val="20"/>
        </w:rPr>
        <w:fldChar w:fldCharType="end"/>
      </w:r>
      <w:r w:rsidRPr="009711BD">
        <w:rPr>
          <w:b/>
          <w:bCs/>
          <w:i w:val="0"/>
          <w:iCs w:val="0"/>
          <w:color w:val="auto"/>
          <w:sz w:val="20"/>
          <w:szCs w:val="20"/>
        </w:rPr>
        <w:t>: VRIO Analysis - Jaguar Land Rover.</w:t>
      </w:r>
      <w:bookmarkEnd w:id="12"/>
    </w:p>
    <w:p w14:paraId="6631223C" w14:textId="77777777" w:rsidR="00326B80" w:rsidRPr="009711BD" w:rsidRDefault="00C772E2" w:rsidP="000D4A8E">
      <w:pPr>
        <w:spacing w:after="0"/>
        <w:jc w:val="center"/>
        <w:rPr>
          <w:b/>
          <w:bCs/>
          <w:sz w:val="20"/>
          <w:szCs w:val="20"/>
        </w:rPr>
      </w:pPr>
      <w:r w:rsidRPr="000D4A8E">
        <w:rPr>
          <w:b/>
          <w:bCs/>
          <w:sz w:val="20"/>
          <w:szCs w:val="20"/>
          <w:lang w:val="fi-FI"/>
        </w:rPr>
        <w:t xml:space="preserve">Sources: Mailani et al. (2024); Okorie et al. </w:t>
      </w:r>
      <w:r w:rsidRPr="009711BD">
        <w:rPr>
          <w:b/>
          <w:bCs/>
          <w:sz w:val="20"/>
          <w:szCs w:val="20"/>
        </w:rPr>
        <w:t>(2023); JLR (2025)</w:t>
      </w:r>
      <w:r w:rsidR="009711BD" w:rsidRPr="009711BD">
        <w:rPr>
          <w:b/>
          <w:bCs/>
          <w:sz w:val="20"/>
          <w:szCs w:val="20"/>
        </w:rPr>
        <w:t>.</w:t>
      </w:r>
    </w:p>
    <w:p w14:paraId="05FB390F" w14:textId="77777777" w:rsidR="00326B80" w:rsidRDefault="00C772E2" w:rsidP="000D4A8E">
      <w:pPr>
        <w:spacing w:after="0"/>
      </w:pPr>
      <w:r>
        <w:t xml:space="preserve">The most sustainable competitive resource of JLR is its brand heritage. Particularly, Range Rover has internationally recognised connotations of luxury, capability and British craftsmanship that </w:t>
      </w:r>
      <w:r>
        <w:lastRenderedPageBreak/>
        <w:t>would be difficult to imitate by competitors. Okorie et al. (2023) confirm that the use of the VRIO framework for manufacturing capabilities in net-zero settings shows that the combination of physical infrastructure and organisational capability into a strategic moat is created. The MLA platform is technologically advanced yet can be replicated in some regard with time; JLR will thus have to keep on innovating in order to keep up with the technological advantage.</w:t>
      </w:r>
    </w:p>
    <w:p w14:paraId="11C89F16" w14:textId="77777777" w:rsidR="00B07B93" w:rsidRDefault="00C772E2" w:rsidP="000D4A8E">
      <w:pPr>
        <w:pStyle w:val="Heading2"/>
      </w:pPr>
      <w:bookmarkStart w:id="13" w:name="_Toc232033889"/>
      <w:r>
        <w:t>2.3 SWOT Analysis</w:t>
      </w:r>
      <w:bookmarkEnd w:id="13"/>
    </w:p>
    <w:p w14:paraId="588BD007" w14:textId="77777777" w:rsidR="00316A17" w:rsidRDefault="00C772E2" w:rsidP="000D4A8E">
      <w:pPr>
        <w:spacing w:after="0"/>
      </w:pPr>
      <w:r>
        <w:t>The combination of the internal and external analysis yields the synthesis of the SWOT (Imanova, 2025; Szasz, Csiki and Raczi, 2021):</w:t>
      </w:r>
    </w:p>
    <w:p w14:paraId="06B88FDD" w14:textId="77777777" w:rsidR="00F82363" w:rsidRDefault="00C772E2" w:rsidP="000D4A8E">
      <w:pPr>
        <w:spacing w:after="0"/>
      </w:pPr>
      <w:r>
        <w:rPr>
          <w:noProof/>
        </w:rPr>
        <w:drawing>
          <wp:inline distT="0" distB="0" distL="0" distR="0" wp14:anchorId="2C1BD6FE" wp14:editId="4313A557">
            <wp:extent cx="5943600" cy="3244215"/>
            <wp:effectExtent l="0" t="0" r="0" b="0"/>
            <wp:docPr id="180498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98852" name=""/>
                    <pic:cNvPicPr/>
                  </pic:nvPicPr>
                  <pic:blipFill>
                    <a:blip r:embed="rId11"/>
                    <a:stretch>
                      <a:fillRect/>
                    </a:stretch>
                  </pic:blipFill>
                  <pic:spPr>
                    <a:xfrm>
                      <a:off x="0" y="0"/>
                      <a:ext cx="5943600" cy="3244215"/>
                    </a:xfrm>
                    <a:prstGeom prst="rect">
                      <a:avLst/>
                    </a:prstGeom>
                  </pic:spPr>
                </pic:pic>
              </a:graphicData>
            </a:graphic>
          </wp:inline>
        </w:drawing>
      </w:r>
    </w:p>
    <w:p w14:paraId="7173B34D" w14:textId="77777777" w:rsidR="00F82363" w:rsidRDefault="00C772E2" w:rsidP="000D4A8E">
      <w:pPr>
        <w:pStyle w:val="Caption"/>
        <w:spacing w:after="0" w:line="360" w:lineRule="auto"/>
        <w:jc w:val="center"/>
        <w:rPr>
          <w:b/>
          <w:bCs/>
          <w:i w:val="0"/>
          <w:iCs w:val="0"/>
          <w:color w:val="auto"/>
          <w:sz w:val="20"/>
          <w:szCs w:val="20"/>
        </w:rPr>
      </w:pPr>
      <w:bookmarkStart w:id="14" w:name="_Toc232033575"/>
      <w:r w:rsidRPr="00ED7217">
        <w:rPr>
          <w:b/>
          <w:bCs/>
          <w:i w:val="0"/>
          <w:iCs w:val="0"/>
          <w:color w:val="auto"/>
          <w:sz w:val="20"/>
          <w:szCs w:val="20"/>
        </w:rPr>
        <w:t xml:space="preserve">Figure </w:t>
      </w:r>
      <w:r w:rsidRPr="00ED7217">
        <w:rPr>
          <w:b/>
          <w:bCs/>
          <w:i w:val="0"/>
          <w:iCs w:val="0"/>
          <w:color w:val="auto"/>
          <w:sz w:val="20"/>
          <w:szCs w:val="20"/>
        </w:rPr>
        <w:fldChar w:fldCharType="begin"/>
      </w:r>
      <w:r w:rsidRPr="00ED7217">
        <w:rPr>
          <w:b/>
          <w:bCs/>
          <w:i w:val="0"/>
          <w:iCs w:val="0"/>
          <w:color w:val="auto"/>
          <w:sz w:val="20"/>
          <w:szCs w:val="20"/>
        </w:rPr>
        <w:instrText xml:space="preserve"> SEQ Figure \* ARABIC </w:instrText>
      </w:r>
      <w:r w:rsidRPr="00ED7217">
        <w:rPr>
          <w:b/>
          <w:bCs/>
          <w:i w:val="0"/>
          <w:iCs w:val="0"/>
          <w:color w:val="auto"/>
          <w:sz w:val="20"/>
          <w:szCs w:val="20"/>
        </w:rPr>
        <w:fldChar w:fldCharType="separate"/>
      </w:r>
      <w:r w:rsidR="00E60086" w:rsidRPr="00ED7217">
        <w:rPr>
          <w:b/>
          <w:bCs/>
          <w:i w:val="0"/>
          <w:iCs w:val="0"/>
          <w:color w:val="auto"/>
          <w:sz w:val="20"/>
          <w:szCs w:val="20"/>
        </w:rPr>
        <w:t>3</w:t>
      </w:r>
      <w:r w:rsidRPr="00ED7217">
        <w:rPr>
          <w:b/>
          <w:bCs/>
          <w:i w:val="0"/>
          <w:iCs w:val="0"/>
          <w:color w:val="auto"/>
          <w:sz w:val="20"/>
          <w:szCs w:val="20"/>
        </w:rPr>
        <w:fldChar w:fldCharType="end"/>
      </w:r>
      <w:r w:rsidRPr="00ED7217">
        <w:rPr>
          <w:b/>
          <w:bCs/>
          <w:i w:val="0"/>
          <w:iCs w:val="0"/>
          <w:color w:val="auto"/>
          <w:sz w:val="20"/>
          <w:szCs w:val="20"/>
        </w:rPr>
        <w:t>: JLR SWOT: Luxury EV Strategic Position Mapped.</w:t>
      </w:r>
      <w:bookmarkEnd w:id="14"/>
    </w:p>
    <w:p w14:paraId="7EB27CA4" w14:textId="77777777" w:rsidR="000D4A8E" w:rsidRPr="000D4A8E" w:rsidRDefault="00C772E2" w:rsidP="000D4A8E">
      <w:pPr>
        <w:spacing w:after="0"/>
        <w:jc w:val="center"/>
        <w:rPr>
          <w:b/>
          <w:bCs/>
          <w:sz w:val="20"/>
          <w:szCs w:val="20"/>
        </w:rPr>
      </w:pPr>
      <w:r w:rsidRPr="000D4A8E">
        <w:rPr>
          <w:b/>
          <w:bCs/>
          <w:sz w:val="20"/>
          <w:szCs w:val="20"/>
        </w:rPr>
        <w:t>Source: (Self-Made)</w:t>
      </w:r>
    </w:p>
    <w:p w14:paraId="2064A088" w14:textId="77777777" w:rsidR="00316A17" w:rsidRDefault="00C772E2" w:rsidP="000D4A8E">
      <w:pPr>
        <w:spacing w:after="0"/>
      </w:pPr>
      <w:r w:rsidRPr="009711BD">
        <w:rPr>
          <w:b/>
          <w:bCs/>
        </w:rPr>
        <w:t>Strengths:</w:t>
      </w:r>
      <w:r>
        <w:t xml:space="preserve"> JLR is endowed with robust brand equity in Range Rover and Defender, a versatile MLA platform, a developing EV-capable workforce, and financial security, bringing the highest full-year profit in ten years and a net-cash-positive position in FY24/25 (JLR, 2025).</w:t>
      </w:r>
    </w:p>
    <w:p w14:paraId="4F6F4C1C" w14:textId="77777777" w:rsidR="00316A17" w:rsidRDefault="00C772E2" w:rsidP="000D4A8E">
      <w:pPr>
        <w:spacing w:after="0"/>
      </w:pPr>
      <w:r w:rsidRPr="009711BD">
        <w:rPr>
          <w:b/>
          <w:bCs/>
        </w:rPr>
        <w:t>Weaknesses:</w:t>
      </w:r>
      <w:r>
        <w:t xml:space="preserve"> The transition of old Jaguar models before new EVs was a source of revenue loss that would then be followed by a decrease in H1 FY26 revenue by 16% per year (JLR, 2025). Relying on giant SUVs and being susceptible to cyberattacks, such as the example of the global systems shutdown in September 2025, are additional threats.</w:t>
      </w:r>
    </w:p>
    <w:p w14:paraId="7BC7ABAE" w14:textId="77777777" w:rsidR="00316A17" w:rsidRDefault="00C772E2" w:rsidP="000D4A8E">
      <w:pPr>
        <w:spacing w:after="0"/>
      </w:pPr>
      <w:r w:rsidRPr="009711BD">
        <w:rPr>
          <w:b/>
          <w:bCs/>
        </w:rPr>
        <w:t>Opportunities:</w:t>
      </w:r>
      <w:r>
        <w:t xml:space="preserve"> Market share of 16.5% in the UK BEV market in 2023 is predicted to increase as part of ZEV requirements (SMMT, 2026). Changes in the global luxury EV market are growing in </w:t>
      </w:r>
      <w:r>
        <w:lastRenderedPageBreak/>
        <w:t>Europe, China and North America. Circular economy solutions with batteries can provide a cost reduction and improve ESG performance (Skeete et al., 2020).</w:t>
      </w:r>
    </w:p>
    <w:p w14:paraId="3612266D" w14:textId="77777777" w:rsidR="00316A17" w:rsidRDefault="00C772E2" w:rsidP="000D4A8E">
      <w:pPr>
        <w:spacing w:after="0"/>
      </w:pPr>
      <w:r w:rsidRPr="009711BD">
        <w:rPr>
          <w:b/>
          <w:bCs/>
        </w:rPr>
        <w:t xml:space="preserve">Threats: </w:t>
      </w:r>
      <w:r>
        <w:t>Export revenues are at risk because of the US tariffs and post-Brexit trade frictions. The sustained competitive pressure is created between Tesla and German manufacturers. Changes in volatile prices of battery minerals and a lack of recycling infrastructure are structural supply chain risks (Skeete et al., 2020; Bohnsack et al., 2020).</w:t>
      </w:r>
    </w:p>
    <w:p w14:paraId="7158F2F2" w14:textId="77777777" w:rsidR="00316A17" w:rsidRDefault="00C772E2" w:rsidP="000D4A8E">
      <w:pPr>
        <w:pStyle w:val="Heading1"/>
      </w:pPr>
      <w:bookmarkStart w:id="15" w:name="_Toc232033890"/>
      <w:r>
        <w:t>3. Strategy Formulation</w:t>
      </w:r>
      <w:bookmarkEnd w:id="15"/>
    </w:p>
    <w:p w14:paraId="7C6D1576" w14:textId="77777777" w:rsidR="00316A17" w:rsidRDefault="00C772E2" w:rsidP="000D4A8E">
      <w:pPr>
        <w:spacing w:after="0"/>
      </w:pPr>
      <w:r>
        <w:t>To improve the position of JLR in the market and guarantee its sustainable development, three strategic options are suggested:</w:t>
      </w:r>
    </w:p>
    <w:p w14:paraId="7FDD5144" w14:textId="77777777" w:rsidR="00E60086" w:rsidRDefault="00C772E2" w:rsidP="000D4A8E">
      <w:pPr>
        <w:spacing w:after="0"/>
      </w:pPr>
      <w:r>
        <w:rPr>
          <w:noProof/>
        </w:rPr>
        <w:drawing>
          <wp:inline distT="0" distB="0" distL="0" distR="0" wp14:anchorId="63BAD6FD" wp14:editId="11D6A6B1">
            <wp:extent cx="5943600" cy="2933700"/>
            <wp:effectExtent l="0" t="0" r="0" b="0"/>
            <wp:docPr id="1449816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816559" name=""/>
                    <pic:cNvPicPr/>
                  </pic:nvPicPr>
                  <pic:blipFill>
                    <a:blip r:embed="rId12"/>
                    <a:srcRect b="9571"/>
                    <a:stretch>
                      <a:fillRect/>
                    </a:stretch>
                  </pic:blipFill>
                  <pic:spPr bwMode="auto">
                    <a:xfrm>
                      <a:off x="0" y="0"/>
                      <a:ext cx="5943600" cy="2933700"/>
                    </a:xfrm>
                    <a:prstGeom prst="rect">
                      <a:avLst/>
                    </a:prstGeom>
                    <a:ln>
                      <a:noFill/>
                    </a:ln>
                    <a:extLst>
                      <a:ext uri="{53640926-AAD7-44D8-BBD7-CCE9431645EC}">
                        <a14:shadowObscured xmlns:a14="http://schemas.microsoft.com/office/drawing/2010/main"/>
                      </a:ext>
                    </a:extLst>
                  </pic:spPr>
                </pic:pic>
              </a:graphicData>
            </a:graphic>
          </wp:inline>
        </w:drawing>
      </w:r>
    </w:p>
    <w:p w14:paraId="68839237" w14:textId="77777777" w:rsidR="00E60086" w:rsidRDefault="00C772E2" w:rsidP="000D4A8E">
      <w:pPr>
        <w:pStyle w:val="Caption"/>
        <w:spacing w:after="0" w:line="360" w:lineRule="auto"/>
        <w:jc w:val="center"/>
        <w:rPr>
          <w:b/>
          <w:bCs/>
          <w:i w:val="0"/>
          <w:iCs w:val="0"/>
          <w:color w:val="auto"/>
          <w:sz w:val="20"/>
          <w:szCs w:val="20"/>
        </w:rPr>
      </w:pPr>
      <w:bookmarkStart w:id="16" w:name="_Toc232033576"/>
      <w:r w:rsidRPr="00ED7217">
        <w:rPr>
          <w:b/>
          <w:bCs/>
          <w:i w:val="0"/>
          <w:iCs w:val="0"/>
          <w:color w:val="auto"/>
          <w:sz w:val="20"/>
          <w:szCs w:val="20"/>
        </w:rPr>
        <w:t xml:space="preserve">Figure </w:t>
      </w:r>
      <w:r w:rsidRPr="00ED7217">
        <w:rPr>
          <w:b/>
          <w:bCs/>
          <w:i w:val="0"/>
          <w:iCs w:val="0"/>
          <w:color w:val="auto"/>
          <w:sz w:val="20"/>
          <w:szCs w:val="20"/>
        </w:rPr>
        <w:fldChar w:fldCharType="begin"/>
      </w:r>
      <w:r w:rsidRPr="00ED7217">
        <w:rPr>
          <w:b/>
          <w:bCs/>
          <w:i w:val="0"/>
          <w:iCs w:val="0"/>
          <w:color w:val="auto"/>
          <w:sz w:val="20"/>
          <w:szCs w:val="20"/>
        </w:rPr>
        <w:instrText xml:space="preserve"> SEQ Figure \* ARABIC </w:instrText>
      </w:r>
      <w:r w:rsidRPr="00ED7217">
        <w:rPr>
          <w:b/>
          <w:bCs/>
          <w:i w:val="0"/>
          <w:iCs w:val="0"/>
          <w:color w:val="auto"/>
          <w:sz w:val="20"/>
          <w:szCs w:val="20"/>
        </w:rPr>
        <w:fldChar w:fldCharType="separate"/>
      </w:r>
      <w:r w:rsidRPr="00ED7217">
        <w:rPr>
          <w:b/>
          <w:bCs/>
          <w:i w:val="0"/>
          <w:iCs w:val="0"/>
          <w:noProof/>
          <w:color w:val="auto"/>
          <w:sz w:val="20"/>
          <w:szCs w:val="20"/>
        </w:rPr>
        <w:t>4</w:t>
      </w:r>
      <w:r w:rsidRPr="00ED7217">
        <w:rPr>
          <w:b/>
          <w:bCs/>
          <w:i w:val="0"/>
          <w:iCs w:val="0"/>
          <w:color w:val="auto"/>
          <w:sz w:val="20"/>
          <w:szCs w:val="20"/>
        </w:rPr>
        <w:fldChar w:fldCharType="end"/>
      </w:r>
      <w:r w:rsidRPr="00ED7217">
        <w:rPr>
          <w:b/>
          <w:bCs/>
          <w:i w:val="0"/>
          <w:iCs w:val="0"/>
          <w:color w:val="auto"/>
          <w:sz w:val="20"/>
          <w:szCs w:val="20"/>
        </w:rPr>
        <w:t>: JLR Three Strategic Pathways to EV Leadership</w:t>
      </w:r>
      <w:r w:rsidR="00ED7217" w:rsidRPr="00ED7217">
        <w:rPr>
          <w:b/>
          <w:bCs/>
          <w:i w:val="0"/>
          <w:iCs w:val="0"/>
          <w:color w:val="auto"/>
          <w:sz w:val="20"/>
          <w:szCs w:val="20"/>
        </w:rPr>
        <w:t>.</w:t>
      </w:r>
      <w:bookmarkEnd w:id="16"/>
    </w:p>
    <w:p w14:paraId="1A8D3335" w14:textId="77777777" w:rsidR="000D4A8E" w:rsidRPr="000D4A8E" w:rsidRDefault="00C772E2" w:rsidP="000D4A8E">
      <w:pPr>
        <w:spacing w:after="0"/>
        <w:jc w:val="center"/>
        <w:rPr>
          <w:b/>
          <w:bCs/>
          <w:sz w:val="20"/>
          <w:szCs w:val="20"/>
        </w:rPr>
      </w:pPr>
      <w:r w:rsidRPr="000D4A8E">
        <w:rPr>
          <w:b/>
          <w:bCs/>
          <w:sz w:val="20"/>
          <w:szCs w:val="20"/>
        </w:rPr>
        <w:t>Source: (Self-Made)</w:t>
      </w:r>
    </w:p>
    <w:p w14:paraId="35F228F5" w14:textId="77777777" w:rsidR="00316A17" w:rsidRPr="009711BD" w:rsidRDefault="00C772E2" w:rsidP="000D4A8E">
      <w:pPr>
        <w:spacing w:after="0"/>
        <w:rPr>
          <w:b/>
          <w:bCs/>
          <w:sz w:val="26"/>
          <w:szCs w:val="26"/>
        </w:rPr>
      </w:pPr>
      <w:r w:rsidRPr="009711BD">
        <w:rPr>
          <w:b/>
          <w:bCs/>
          <w:sz w:val="26"/>
          <w:szCs w:val="26"/>
        </w:rPr>
        <w:t>Strategy 1 - Accelerated EV Premiumisation</w:t>
      </w:r>
    </w:p>
    <w:p w14:paraId="261A1B64" w14:textId="77777777" w:rsidR="00316A17" w:rsidRDefault="00C772E2" w:rsidP="000D4A8E">
      <w:pPr>
        <w:spacing w:after="0"/>
      </w:pPr>
      <w:r>
        <w:t>JLR would do well to strike fast to introduce the Range Rover Electric and the new Jaguar EV, as it already has almost 60,000 clients on its waiting list. Bohnsack et al. (2020) discovered that automotive incumbents that incorporate the development of EVs in a logical brand identity are in a better position to lead the transition towards sustainability. The luxury heritage and MLA flexibility enable JLR to compete based on quality and desirability instead of competing on price with those producers of mass-m</w:t>
      </w:r>
      <w:r>
        <w:t>arket EVs.</w:t>
      </w:r>
    </w:p>
    <w:p w14:paraId="5299A3BE" w14:textId="77777777" w:rsidR="00316A17" w:rsidRPr="009711BD" w:rsidRDefault="00C772E2" w:rsidP="000D4A8E">
      <w:pPr>
        <w:spacing w:after="0"/>
        <w:rPr>
          <w:b/>
          <w:bCs/>
          <w:sz w:val="26"/>
          <w:szCs w:val="26"/>
        </w:rPr>
      </w:pPr>
      <w:r w:rsidRPr="009711BD">
        <w:rPr>
          <w:b/>
          <w:bCs/>
          <w:sz w:val="26"/>
          <w:szCs w:val="26"/>
        </w:rPr>
        <w:t>Strategy 2 - Circular Economy Integration</w:t>
      </w:r>
    </w:p>
    <w:p w14:paraId="6B2B96BF" w14:textId="77777777" w:rsidR="00316A17" w:rsidRDefault="00C772E2" w:rsidP="000D4A8E">
      <w:pPr>
        <w:spacing w:after="0"/>
      </w:pPr>
      <w:r>
        <w:lastRenderedPageBreak/>
        <w:t>JLR ought to institutionalise agreements with second-life and battery recycling operators in order to deal with the risks of end-of-life. Skeete et al. (2020) name the ever-increasing amounts of first-generation EV batteries in the UK as the strategic challenge that should be proactively addressed by the industry. The inclusion of the principles of the circular economy also enhances the performance of the ESG, which, as demonstrated by Bhandari, Ranta and Salo (2022), is becoming closely related to investor</w:t>
      </w:r>
      <w:r>
        <w:t xml:space="preserve"> trust and long-term market value.</w:t>
      </w:r>
    </w:p>
    <w:p w14:paraId="02431EB8" w14:textId="77777777" w:rsidR="00316A17" w:rsidRDefault="00C772E2" w:rsidP="000D4A8E">
      <w:pPr>
        <w:spacing w:after="0"/>
      </w:pPr>
      <w:r w:rsidRPr="009711BD">
        <w:rPr>
          <w:b/>
          <w:bCs/>
          <w:sz w:val="26"/>
          <w:szCs w:val="26"/>
        </w:rPr>
        <w:t>Strategy 3 - Supply Chain Resilience</w:t>
      </w:r>
    </w:p>
    <w:p w14:paraId="63FE19BC" w14:textId="77777777" w:rsidR="00316A17" w:rsidRDefault="00C772E2" w:rsidP="000D4A8E">
      <w:pPr>
        <w:spacing w:after="0"/>
      </w:pPr>
      <w:r>
        <w:t>JLR needs to diversify its supply base of battery minerals to minimise geopolitical risks and price risks in the raw materials. Jasiinski, Meredith and Kirwan (2021) show that the proactive assessment of supply chain sustainability enhances the performance of operations and financial results in the automotive industry. This can be based on digital traceability tools and strategic supplier contracts.</w:t>
      </w:r>
    </w:p>
    <w:p w14:paraId="262E378A" w14:textId="77777777" w:rsidR="00316A17" w:rsidRDefault="00C772E2" w:rsidP="000D4A8E">
      <w:pPr>
        <w:pStyle w:val="Heading1"/>
      </w:pPr>
      <w:bookmarkStart w:id="17" w:name="_Toc232033891"/>
      <w:r>
        <w:t>4. Conclusion and Recommendations</w:t>
      </w:r>
      <w:bookmarkEnd w:id="17"/>
    </w:p>
    <w:p w14:paraId="56156560" w14:textId="77777777" w:rsidR="00316A17" w:rsidRDefault="00C772E2" w:rsidP="000D4A8E">
      <w:pPr>
        <w:spacing w:after="0"/>
      </w:pPr>
      <w:r>
        <w:t>This report has shown that JLR is in a very dynamic and competitive environment that is influenced by changes in regulation, geopolitical uncertainty and an increasing rate of technological disruption. The most acute forces are the UK ZEV requirement, US tariffs, and growing competition with Tesla and German manufacturers, which are external in nature. On the inside, JLR boasts brand heritage, a flexible MLA platform, upgraded EV facilities and a trained workforce which offers a robust platform to execute a</w:t>
      </w:r>
      <w:r>
        <w:t xml:space="preserve"> strategy.</w:t>
      </w:r>
    </w:p>
    <w:p w14:paraId="0DDEEF37" w14:textId="77777777" w:rsidR="00316A17" w:rsidRDefault="00C772E2" w:rsidP="000D4A8E">
      <w:pPr>
        <w:spacing w:after="0"/>
      </w:pPr>
      <w:r>
        <w:t>The Reimagine strategy of JLR is quite innovative and in line with the trends of the market and the policy. It is proposed to recommend the following concrete recommendations:</w:t>
      </w:r>
    </w:p>
    <w:p w14:paraId="3C8BD491" w14:textId="77777777" w:rsidR="00316A17" w:rsidRDefault="00C772E2" w:rsidP="000D4A8E">
      <w:pPr>
        <w:pStyle w:val="ListParagraph"/>
        <w:numPr>
          <w:ilvl w:val="0"/>
          <w:numId w:val="2"/>
        </w:numPr>
        <w:spacing w:after="0"/>
      </w:pPr>
      <w:r>
        <w:t>Bring the Range Rover Electric to market as soon as possible to turn the momentum on pre-orders into sales before the luxury EV market is compacted.</w:t>
      </w:r>
    </w:p>
    <w:p w14:paraId="5B66925F" w14:textId="77777777" w:rsidR="00316A17" w:rsidRDefault="00C772E2" w:rsidP="000D4A8E">
      <w:pPr>
        <w:pStyle w:val="ListParagraph"/>
        <w:numPr>
          <w:ilvl w:val="0"/>
          <w:numId w:val="2"/>
        </w:numPr>
        <w:spacing w:after="0"/>
      </w:pPr>
      <w:r>
        <w:t>Partner with battery lifecycle to address end-of-life risk and enhance ESG credentials.</w:t>
      </w:r>
    </w:p>
    <w:p w14:paraId="090A1C3C" w14:textId="77777777" w:rsidR="00316A17" w:rsidRDefault="00C772E2" w:rsidP="000D4A8E">
      <w:pPr>
        <w:pStyle w:val="ListParagraph"/>
        <w:numPr>
          <w:ilvl w:val="0"/>
          <w:numId w:val="2"/>
        </w:numPr>
        <w:spacing w:after="0"/>
      </w:pPr>
      <w:r>
        <w:t>Diversify chains of battery minerals to cut cost volatility and geopolitical reliance.</w:t>
      </w:r>
    </w:p>
    <w:p w14:paraId="63E9D57A" w14:textId="77777777" w:rsidR="00316A17" w:rsidRDefault="00C772E2" w:rsidP="000D4A8E">
      <w:pPr>
        <w:pStyle w:val="ListParagraph"/>
        <w:numPr>
          <w:ilvl w:val="0"/>
          <w:numId w:val="2"/>
        </w:numPr>
        <w:spacing w:after="0"/>
      </w:pPr>
      <w:r>
        <w:t>Enhance cybersecurity infrastructure so as to avoid a repeat of the operational disturbances like the 2025 one.</w:t>
      </w:r>
    </w:p>
    <w:p w14:paraId="1CAFA58E" w14:textId="77777777" w:rsidR="00316A17" w:rsidRDefault="00C772E2" w:rsidP="000D4A8E">
      <w:pPr>
        <w:pStyle w:val="ListParagraph"/>
        <w:numPr>
          <w:ilvl w:val="0"/>
          <w:numId w:val="2"/>
        </w:numPr>
        <w:spacing w:after="0"/>
      </w:pPr>
      <w:r>
        <w:t>Be proactive in the UK government to negotiate the flexibility of the ZEV mandate and favourable trade terms with the US.</w:t>
      </w:r>
    </w:p>
    <w:p w14:paraId="196EF235" w14:textId="77777777" w:rsidR="0088700C" w:rsidRDefault="00C772E2" w:rsidP="000D4A8E">
      <w:pPr>
        <w:spacing w:after="0"/>
      </w:pPr>
      <w:r>
        <w:t xml:space="preserve">JLR possesses the brand recognition, manufacturing prowess and strategic articulation to realise its vision of being a worldwide leader in luxury electric mobility. The key attributes of that journey </w:t>
      </w:r>
      <w:r>
        <w:lastRenderedPageBreak/>
        <w:t>will be disciplined implementation, supply chain flexibility, and long-term investment in sustainability.</w:t>
      </w:r>
    </w:p>
    <w:p w14:paraId="504EA8E1" w14:textId="77777777" w:rsidR="00251335" w:rsidRDefault="00C772E2" w:rsidP="000D4A8E">
      <w:pPr>
        <w:spacing w:after="0"/>
      </w:pPr>
      <w:r>
        <w:br w:type="page"/>
      </w:r>
    </w:p>
    <w:p w14:paraId="74B1A078" w14:textId="77777777" w:rsidR="00EA5915" w:rsidRPr="00EA5915" w:rsidRDefault="00C772E2" w:rsidP="000D4A8E">
      <w:pPr>
        <w:pStyle w:val="Heading1"/>
      </w:pPr>
      <w:bookmarkStart w:id="18" w:name="_Toc232033892"/>
      <w:r w:rsidRPr="00EA5915">
        <w:lastRenderedPageBreak/>
        <w:t>Reference</w:t>
      </w:r>
      <w:r>
        <w:t>s</w:t>
      </w:r>
      <w:bookmarkEnd w:id="18"/>
    </w:p>
    <w:p w14:paraId="5D66088A" w14:textId="77777777" w:rsidR="00EA5915" w:rsidRPr="00EA5915" w:rsidRDefault="00C772E2" w:rsidP="000D4A8E">
      <w:pPr>
        <w:spacing w:after="0"/>
      </w:pPr>
      <w:r w:rsidRPr="00EA5915">
        <w:t xml:space="preserve">Arslangulov, U. and Ackrill, R. (2024). Advancing the Concept of Windows of Opportunity to Explore the Dynamics of the Sustainability transition: the Development of the EV Market in the UK. </w:t>
      </w:r>
      <w:r w:rsidRPr="00EA5915">
        <w:rPr>
          <w:i/>
          <w:iCs/>
        </w:rPr>
        <w:t>European policy analysis</w:t>
      </w:r>
      <w:r w:rsidRPr="00EA5915">
        <w:t>, 11(3). doi:https://doi.org/10.1002/epa2.1216.</w:t>
      </w:r>
    </w:p>
    <w:p w14:paraId="2E62742B" w14:textId="77777777" w:rsidR="00EA5915" w:rsidRPr="00EA5915" w:rsidRDefault="00C772E2" w:rsidP="000D4A8E">
      <w:pPr>
        <w:spacing w:after="0"/>
      </w:pPr>
      <w:r w:rsidRPr="00EA5915">
        <w:t xml:space="preserve">Assensoh Kodua, A. (2019). The resource-based view: a Tool of Key Competency for Competitive Advantage. </w:t>
      </w:r>
      <w:r w:rsidRPr="00EA5915">
        <w:rPr>
          <w:i/>
          <w:iCs/>
        </w:rPr>
        <w:t>Problems and Perspectives in Management</w:t>
      </w:r>
      <w:r w:rsidRPr="00EA5915">
        <w:t>, 17(3), pp.143–152. doi:https://doi.org/10.21511/ppm.17(3).2019.12.</w:t>
      </w:r>
    </w:p>
    <w:p w14:paraId="120F6DE4" w14:textId="77777777" w:rsidR="00EA5915" w:rsidRPr="00EA5915" w:rsidRDefault="00C772E2" w:rsidP="000D4A8E">
      <w:pPr>
        <w:spacing w:after="0"/>
      </w:pPr>
      <w:r w:rsidRPr="00EA5915">
        <w:t xml:space="preserve">Barney, J. (1991). Firm Resources and Sustained Competitive Advantage. </w:t>
      </w:r>
      <w:r w:rsidRPr="00EA5915">
        <w:rPr>
          <w:i/>
          <w:iCs/>
        </w:rPr>
        <w:t>Journal of Management</w:t>
      </w:r>
      <w:r w:rsidRPr="00EA5915">
        <w:t>, 17(1), pp.99–120. doi:https://doi.org/10.1177/014920639101700108.</w:t>
      </w:r>
    </w:p>
    <w:p w14:paraId="74F77641" w14:textId="77777777" w:rsidR="00EA5915" w:rsidRPr="00EA5915" w:rsidRDefault="00C772E2" w:rsidP="000D4A8E">
      <w:pPr>
        <w:spacing w:after="0"/>
      </w:pPr>
      <w:r w:rsidRPr="00EA5915">
        <w:t xml:space="preserve">Bhandari, K.R., Ranta, M. and Salo, J. (2022). The Resource-based View, Stakeholder Capitalism, ESG, and Sustainable Competitive Advantage: the Firm’s Embeddedness into Ecology, Society, and Governance. </w:t>
      </w:r>
      <w:r w:rsidRPr="00EA5915">
        <w:rPr>
          <w:i/>
          <w:iCs/>
        </w:rPr>
        <w:t>Business Strategy and the Environment</w:t>
      </w:r>
      <w:r w:rsidRPr="00EA5915">
        <w:t>, 31(4), pp.1525–1537. doi:https://doi.org/10.1002/bse.2967.</w:t>
      </w:r>
    </w:p>
    <w:p w14:paraId="54807ED1" w14:textId="77777777" w:rsidR="00EA5915" w:rsidRPr="00EA5915" w:rsidRDefault="00C772E2" w:rsidP="000D4A8E">
      <w:pPr>
        <w:spacing w:after="0"/>
      </w:pPr>
      <w:r w:rsidRPr="00EA5915">
        <w:t xml:space="preserve">Bohnsack, R., Kolk, A., Pinkse, J. and Bidmon, C.M. (2020). Driving the Electric bandwagon: the Dynamics of incumbents’ Sustainable Innovation. </w:t>
      </w:r>
      <w:r w:rsidRPr="00EA5915">
        <w:rPr>
          <w:i/>
          <w:iCs/>
        </w:rPr>
        <w:t>Business Strategy and the Environment</w:t>
      </w:r>
      <w:r w:rsidRPr="00EA5915">
        <w:t>, [online] 29(2), pp.727–743. doi:https://doi.org/10.1002/bse.2430.</w:t>
      </w:r>
    </w:p>
    <w:p w14:paraId="608E04A5" w14:textId="77777777" w:rsidR="00EA5915" w:rsidRPr="00EA5915" w:rsidRDefault="00C772E2" w:rsidP="000D4A8E">
      <w:pPr>
        <w:spacing w:after="0"/>
      </w:pPr>
      <w:r w:rsidRPr="00EA5915">
        <w:t xml:space="preserve">Bruijl, G. (2018). The Relevance of Porter’s Five Forces in Today’s Innovative and Changing Business Environment. </w:t>
      </w:r>
      <w:r w:rsidRPr="00EA5915">
        <w:rPr>
          <w:i/>
          <w:iCs/>
        </w:rPr>
        <w:t>SSRN Electronic Journal</w:t>
      </w:r>
      <w:r w:rsidRPr="00EA5915">
        <w:t>, 1(1), pp.1–23. doi:https://doi.org/10.2139/ssrn.3192207.</w:t>
      </w:r>
    </w:p>
    <w:p w14:paraId="43551D49" w14:textId="77777777" w:rsidR="00EA5915" w:rsidRPr="00EA5915" w:rsidRDefault="00C772E2" w:rsidP="000D4A8E">
      <w:pPr>
        <w:spacing w:after="0"/>
      </w:pPr>
      <w:r w:rsidRPr="00EA5915">
        <w:t xml:space="preserve">Fedotov, P. (2022). Critical Analysis of the Electric Vehicle Industry. </w:t>
      </w:r>
      <w:r w:rsidRPr="00EA5915">
        <w:rPr>
          <w:i/>
          <w:iCs/>
        </w:rPr>
        <w:t>Exchanges: the Interdisciplinary Research Journal</w:t>
      </w:r>
      <w:r w:rsidRPr="00EA5915">
        <w:t>, [online] 10(1), pp.43–56. doi:https://doi.org/10.31273/eirj.v10i1.362.</w:t>
      </w:r>
    </w:p>
    <w:p w14:paraId="33515036" w14:textId="77777777" w:rsidR="00EA5915" w:rsidRPr="000D4A8E" w:rsidRDefault="00C772E2" w:rsidP="000D4A8E">
      <w:pPr>
        <w:spacing w:after="0"/>
        <w:rPr>
          <w:lang w:val="fi-FI"/>
        </w:rPr>
      </w:pPr>
      <w:r w:rsidRPr="00EA5915">
        <w:t xml:space="preserve">Gouveia, S., Iglesia, D.H. de la , Abrantes, J.L., López, A.J., Silva, E., Gouveia, E. and Santos, V. (2024). Electrifying Strategic Management: Leveraging Electric Vehicles for Sustainable Value Creation? </w:t>
      </w:r>
      <w:r w:rsidRPr="000D4A8E">
        <w:rPr>
          <w:i/>
          <w:iCs/>
          <w:lang w:val="fi-FI"/>
        </w:rPr>
        <w:t>Energies</w:t>
      </w:r>
      <w:r w:rsidRPr="000D4A8E">
        <w:rPr>
          <w:lang w:val="fi-FI"/>
        </w:rPr>
        <w:t>, [online] 17(18), pp.4581–4581. doi:https://doi.org/10.3390/en17184581.</w:t>
      </w:r>
    </w:p>
    <w:p w14:paraId="517F0786" w14:textId="77777777" w:rsidR="00EA5915" w:rsidRPr="00EA5915" w:rsidRDefault="00C772E2" w:rsidP="000D4A8E">
      <w:pPr>
        <w:spacing w:after="0"/>
      </w:pPr>
      <w:r w:rsidRPr="000D4A8E">
        <w:rPr>
          <w:lang w:val="fi-FI"/>
        </w:rPr>
        <w:t xml:space="preserve">Imanova, M. (2025). </w:t>
      </w:r>
      <w:r w:rsidRPr="00EA5915">
        <w:t xml:space="preserve">Application of Strategic Management Tools in Business Growth. </w:t>
      </w:r>
      <w:r w:rsidRPr="00EA5915">
        <w:rPr>
          <w:i/>
          <w:iCs/>
        </w:rPr>
        <w:t>Ancient Land</w:t>
      </w:r>
      <w:r w:rsidRPr="00EA5915">
        <w:t>, 7(8), pp.65–76. doi:https://doi.org/10.36719/2706-6185/50/65-76.</w:t>
      </w:r>
    </w:p>
    <w:p w14:paraId="11508CB4" w14:textId="77777777" w:rsidR="00EA5915" w:rsidRPr="00EA5915" w:rsidRDefault="00C772E2" w:rsidP="000D4A8E">
      <w:pPr>
        <w:spacing w:after="0"/>
      </w:pPr>
      <w:r w:rsidRPr="00EA5915">
        <w:t xml:space="preserve">IMI (2024). </w:t>
      </w:r>
      <w:r w:rsidRPr="00EA5915">
        <w:rPr>
          <w:i/>
          <w:iCs/>
        </w:rPr>
        <w:t>LANDSCAPE OF THE UK AUTOMOTIVE LABOUR MARKET Summary Report</w:t>
      </w:r>
      <w:r w:rsidRPr="00EA5915">
        <w:t>. [online] Available at: https://tide.theimi.org.uk/sites/default/files/2024-10/Baseline%20Report%202024%20Summary.pdf.</w:t>
      </w:r>
    </w:p>
    <w:p w14:paraId="5A3293E1" w14:textId="77777777" w:rsidR="00EA5915" w:rsidRPr="00EA5915" w:rsidRDefault="00C772E2" w:rsidP="000D4A8E">
      <w:pPr>
        <w:spacing w:after="0"/>
      </w:pPr>
      <w:r w:rsidRPr="00EA5915">
        <w:lastRenderedPageBreak/>
        <w:t xml:space="preserve">Jasiński, D., Meredith, J. and Kirwan, K. (2021). Sustainable Development Model for Measuring and Managing Sustainability in the Automotive Sector. </w:t>
      </w:r>
      <w:r w:rsidRPr="00EA5915">
        <w:rPr>
          <w:i/>
          <w:iCs/>
        </w:rPr>
        <w:t>Sustainable Development</w:t>
      </w:r>
      <w:r w:rsidRPr="00EA5915">
        <w:t>, 29(6). doi:https://doi.org/10.1002/sd.2207.</w:t>
      </w:r>
    </w:p>
    <w:p w14:paraId="61600B4F" w14:textId="77777777" w:rsidR="00EA5915" w:rsidRPr="00EA5915" w:rsidRDefault="00C772E2" w:rsidP="000D4A8E">
      <w:pPr>
        <w:spacing w:after="0"/>
      </w:pPr>
      <w:r w:rsidRPr="00EA5915">
        <w:t xml:space="preserve">JLR (2025). </w:t>
      </w:r>
      <w:r w:rsidRPr="00EA5915">
        <w:rPr>
          <w:i/>
          <w:iCs/>
        </w:rPr>
        <w:t>Annual Report 2025</w:t>
      </w:r>
      <w:r w:rsidRPr="00EA5915">
        <w:t xml:space="preserve">. [online] </w:t>
      </w:r>
      <w:r w:rsidRPr="00EA5915">
        <w:rPr>
          <w:i/>
          <w:iCs/>
        </w:rPr>
        <w:t>Jlr.com</w:t>
      </w:r>
      <w:r w:rsidRPr="00EA5915">
        <w:t>. Available at: https://media.production.jlrms.com/2025-05-21/pdf/ace3bbcb-c6a6-4254-b9a1-3eb74c1da1b7/JLR%20Annual%20Report%202025_VF_21052025.pdf?VersionId=ONqfzVXrJ3OMr9Y4KDBPH6S5s3GD22Sl.</w:t>
      </w:r>
    </w:p>
    <w:p w14:paraId="3C9EB71B" w14:textId="77777777" w:rsidR="00EA5915" w:rsidRPr="00EA5915" w:rsidRDefault="00C772E2" w:rsidP="000D4A8E">
      <w:pPr>
        <w:spacing w:after="0"/>
      </w:pPr>
      <w:r w:rsidRPr="00EA5915">
        <w:t xml:space="preserve">Johnson, G., Scholes, K., Angwin, D., Regnér, P. and Whittington, R. (2017). </w:t>
      </w:r>
      <w:r w:rsidRPr="00EA5915">
        <w:rPr>
          <w:i/>
          <w:iCs/>
        </w:rPr>
        <w:t>Exploring Strategy</w:t>
      </w:r>
      <w:r w:rsidRPr="00EA5915">
        <w:t>. 11th ed. Harlow: Pearson.</w:t>
      </w:r>
    </w:p>
    <w:p w14:paraId="2FE365BE" w14:textId="77777777" w:rsidR="00EA5915" w:rsidRPr="00EA5915" w:rsidRDefault="00C772E2" w:rsidP="000D4A8E">
      <w:pPr>
        <w:spacing w:after="0"/>
      </w:pPr>
      <w:r w:rsidRPr="00EA5915">
        <w:t xml:space="preserve">Loder, J.L., Rinscheid, A. and Wüstenhagen, R. (2023). Why Do (some) German Car Manufacturers Go Electric? The Role of Dynamic Capabilities and Cognitive Frames. </w:t>
      </w:r>
      <w:r w:rsidRPr="00EA5915">
        <w:rPr>
          <w:i/>
          <w:iCs/>
        </w:rPr>
        <w:t>Business Strategy and The Environment</w:t>
      </w:r>
      <w:r w:rsidRPr="00EA5915">
        <w:t>, 33(2). doi:https://doi.org/10.1002/bse.3538.</w:t>
      </w:r>
    </w:p>
    <w:p w14:paraId="41C3092F" w14:textId="77777777" w:rsidR="00EA5915" w:rsidRPr="00EA5915" w:rsidRDefault="00C772E2" w:rsidP="000D4A8E">
      <w:pPr>
        <w:spacing w:after="0"/>
      </w:pPr>
      <w:r w:rsidRPr="00EA5915">
        <w:t xml:space="preserve">Mailani, D., Hulu, M.Z.T., Simamora, M.R. and Kesuma, S.A. (2024). Resource-Based View Theory to Achieve a Sustainable Competitive Advantage of the Firm: Systematic Literature Review. </w:t>
      </w:r>
      <w:r w:rsidRPr="00EA5915">
        <w:rPr>
          <w:i/>
          <w:iCs/>
        </w:rPr>
        <w:t>International Journal of Entrepreneurship and Sustainability Studies</w:t>
      </w:r>
      <w:r w:rsidRPr="00EA5915">
        <w:t>, [online] 4(1), pp.1–15. doi:https://doi.org/10.31098/ijeass.v4i1.2002.</w:t>
      </w:r>
    </w:p>
    <w:p w14:paraId="72441DC6" w14:textId="77777777" w:rsidR="00EA5915" w:rsidRPr="00EA5915" w:rsidRDefault="00C772E2" w:rsidP="000D4A8E">
      <w:pPr>
        <w:spacing w:after="0"/>
      </w:pPr>
      <w:r w:rsidRPr="00EA5915">
        <w:t xml:space="preserve">Murray, A., Harari, D., Webb, D., Jozepa, I., Booth, L. and Tyers, R. (2025). </w:t>
      </w:r>
      <w:r w:rsidRPr="00EA5915">
        <w:rPr>
          <w:i/>
          <w:iCs/>
        </w:rPr>
        <w:t>Government Support for Employment in the Automotive Manufacturing Sector</w:t>
      </w:r>
      <w:r w:rsidRPr="00EA5915">
        <w:t>. [online] House of Commons Library. Available at: https://commonslibrary.parliament.uk/research-briefings/cdp-2025-0093/.</w:t>
      </w:r>
    </w:p>
    <w:p w14:paraId="3A371CA2" w14:textId="77777777" w:rsidR="00EA5915" w:rsidRPr="00EA5915" w:rsidRDefault="00C772E2" w:rsidP="000D4A8E">
      <w:pPr>
        <w:spacing w:after="0"/>
      </w:pPr>
      <w:r w:rsidRPr="00EA5915">
        <w:t xml:space="preserve">Okorie, O., Russell, J., Cherrington, R., Fisher, O. and Charnley, F. (2023). Digital Transformation and the Circular Economy: Creating a Competitive Advantage from the Transition Towards Net Zero Manufacturing. </w:t>
      </w:r>
      <w:r w:rsidRPr="00EA5915">
        <w:rPr>
          <w:i/>
          <w:iCs/>
        </w:rPr>
        <w:t>Resources, Conservation and Recycling</w:t>
      </w:r>
      <w:r w:rsidRPr="00EA5915">
        <w:t>, 189, p.106756. doi:https://doi.org/10.1016/j.resconrec.2022.106756.</w:t>
      </w:r>
    </w:p>
    <w:p w14:paraId="6F52354F" w14:textId="77777777" w:rsidR="00EA5915" w:rsidRPr="00EA5915" w:rsidRDefault="00C772E2" w:rsidP="000D4A8E">
      <w:pPr>
        <w:spacing w:after="0"/>
      </w:pPr>
      <w:r w:rsidRPr="00EA5915">
        <w:t xml:space="preserve">Pangarkar, N. and Prabhudesai, R. (2024). Using Porter’s Five Forces Analysis to Drive Strategy. </w:t>
      </w:r>
      <w:r w:rsidRPr="00EA5915">
        <w:rPr>
          <w:i/>
          <w:iCs/>
        </w:rPr>
        <w:t>Global Business and Organisational Excellence</w:t>
      </w:r>
      <w:r w:rsidRPr="00EA5915">
        <w:t>, 43(5), pp.1–11. doi:https://doi.org/10.1002/joe.22250.</w:t>
      </w:r>
    </w:p>
    <w:p w14:paraId="3FD41C53" w14:textId="77777777" w:rsidR="00EA5915" w:rsidRPr="00EA5915" w:rsidRDefault="00C772E2" w:rsidP="000D4A8E">
      <w:pPr>
        <w:spacing w:after="0"/>
      </w:pPr>
      <w:r w:rsidRPr="00EA5915">
        <w:t xml:space="preserve">Skeete, J.-P., Wells, P., Dong, X., Heidrich, O. and Harper, G. (2020). Beyond the EVent horizon: Battery waste, recycling, and Sustainability in the United Kingdom Electric Vehicle Transition. </w:t>
      </w:r>
      <w:r w:rsidRPr="00EA5915">
        <w:rPr>
          <w:i/>
          <w:iCs/>
        </w:rPr>
        <w:t>Energy Research &amp; Social Science</w:t>
      </w:r>
      <w:r w:rsidRPr="00EA5915">
        <w:t>, [online] 69(1), p.101581. doi:https://doi.org/10.1016/j.erss.2020.101581.</w:t>
      </w:r>
    </w:p>
    <w:p w14:paraId="474F631C" w14:textId="77777777" w:rsidR="00EA5915" w:rsidRPr="00EA5915" w:rsidRDefault="00C772E2" w:rsidP="000D4A8E">
      <w:pPr>
        <w:spacing w:after="0"/>
      </w:pPr>
      <w:r w:rsidRPr="00EA5915">
        <w:lastRenderedPageBreak/>
        <w:t xml:space="preserve">SMMT (2026). </w:t>
      </w:r>
      <w:r w:rsidRPr="00EA5915">
        <w:rPr>
          <w:i/>
          <w:iCs/>
        </w:rPr>
        <w:t>UK Automotive Industry Statistics</w:t>
      </w:r>
      <w:r w:rsidRPr="00EA5915">
        <w:t>. [online] SMMT. Available at: https://wifitalents.com/uk-automotive-industry-statistics/ [Accessed 9 Jun. 2026].</w:t>
      </w:r>
    </w:p>
    <w:p w14:paraId="4B9A0389" w14:textId="77777777" w:rsidR="00EA5915" w:rsidRPr="00EA5915" w:rsidRDefault="00C772E2" w:rsidP="000D4A8E">
      <w:pPr>
        <w:spacing w:after="0"/>
      </w:pPr>
      <w:r w:rsidRPr="00EA5915">
        <w:t xml:space="preserve">Szász, L., Csíki, O. and Rácz, B.-G. (2021). Sustainability Management in the Global Automotive industry: a Theoretical Model and Survey Study. </w:t>
      </w:r>
      <w:r w:rsidRPr="00EA5915">
        <w:rPr>
          <w:i/>
          <w:iCs/>
        </w:rPr>
        <w:t>International Journal of Production Economics</w:t>
      </w:r>
      <w:r w:rsidRPr="00EA5915">
        <w:t>, [online] 235(1), p.108085. doi:https://doi.org/10.1016/j.ijpe.2021.108085.</w:t>
      </w:r>
    </w:p>
    <w:p w14:paraId="6E867ADB" w14:textId="77777777" w:rsidR="000D4A8E" w:rsidRDefault="00C772E2">
      <w:pPr>
        <w:spacing w:line="259" w:lineRule="auto"/>
        <w:jc w:val="left"/>
      </w:pPr>
      <w:r>
        <w:br w:type="page"/>
      </w:r>
    </w:p>
    <w:p w14:paraId="38240677" w14:textId="77777777" w:rsidR="000771EC" w:rsidRDefault="00C772E2" w:rsidP="000771EC">
      <w:pPr>
        <w:pStyle w:val="Heading1"/>
      </w:pPr>
      <w:bookmarkStart w:id="19" w:name="_Toc232028813"/>
      <w:bookmarkStart w:id="20" w:name="_Toc232033893"/>
      <w:r>
        <w:lastRenderedPageBreak/>
        <w:t>AI Declaration:</w:t>
      </w:r>
      <w:bookmarkEnd w:id="19"/>
      <w:bookmarkEnd w:id="20"/>
    </w:p>
    <w:tbl>
      <w:tblPr>
        <w:tblStyle w:val="TableGrid"/>
        <w:tblW w:w="9892" w:type="dxa"/>
        <w:tblInd w:w="0" w:type="dxa"/>
        <w:tblCellMar>
          <w:top w:w="10" w:type="dxa"/>
          <w:left w:w="108" w:type="dxa"/>
          <w:right w:w="111" w:type="dxa"/>
        </w:tblCellMar>
        <w:tblLook w:val="04A0" w:firstRow="1" w:lastRow="0" w:firstColumn="1" w:lastColumn="0" w:noHBand="0" w:noVBand="1"/>
      </w:tblPr>
      <w:tblGrid>
        <w:gridCol w:w="2705"/>
        <w:gridCol w:w="5543"/>
        <w:gridCol w:w="1644"/>
      </w:tblGrid>
      <w:tr w:rsidR="003C1C91" w14:paraId="1E6E141E" w14:textId="77777777" w:rsidTr="00CE6006">
        <w:trPr>
          <w:trHeight w:val="663"/>
        </w:trPr>
        <w:tc>
          <w:tcPr>
            <w:tcW w:w="27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918D414" w14:textId="77777777" w:rsidR="000771EC" w:rsidRPr="00BC5B98" w:rsidRDefault="00C772E2" w:rsidP="00CE6006">
            <w:pPr>
              <w:jc w:val="left"/>
              <w:rPr>
                <w:rFonts w:cs="Times New Roman"/>
              </w:rPr>
            </w:pPr>
            <w:r w:rsidRPr="00BC5B98">
              <w:rPr>
                <w:rFonts w:eastAsia="Calibri" w:cs="Times New Roman"/>
              </w:rPr>
              <w:t xml:space="preserve">RESEARCH </w:t>
            </w:r>
            <w:r w:rsidRPr="00BC5B98">
              <w:rPr>
                <w:rFonts w:cs="Times New Roman"/>
              </w:rPr>
              <w:t xml:space="preserve"> </w:t>
            </w:r>
          </w:p>
        </w:tc>
        <w:tc>
          <w:tcPr>
            <w:tcW w:w="55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8CDCBB" w14:textId="77777777" w:rsidR="000771EC" w:rsidRPr="00BC5B98" w:rsidRDefault="00C772E2" w:rsidP="00CE6006">
            <w:pPr>
              <w:rPr>
                <w:rFonts w:cs="Times New Roman"/>
              </w:rPr>
            </w:pPr>
            <w:r w:rsidRPr="00BC5B98">
              <w:rPr>
                <w:rFonts w:eastAsia="Calibri" w:cs="Times New Roman"/>
              </w:rPr>
              <w:t xml:space="preserve">For this assessment, you can use Generative AI to support you in research, including searching for bibliography, using tools to summarise, compare and interrogate materials. </w:t>
            </w:r>
            <w:r w:rsidRPr="00BC5B98">
              <w:rPr>
                <w:rFonts w:cs="Times New Roman"/>
              </w:rPr>
              <w:t xml:space="preserve"> </w:t>
            </w:r>
          </w:p>
        </w:tc>
        <w:tc>
          <w:tcPr>
            <w:tcW w:w="16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EFCC721" w14:textId="77777777" w:rsidR="000771EC" w:rsidRPr="00BC5B98" w:rsidRDefault="00C772E2" w:rsidP="00CE6006">
            <w:pPr>
              <w:spacing w:after="182"/>
              <w:ind w:left="2"/>
              <w:jc w:val="left"/>
              <w:rPr>
                <w:rFonts w:cs="Times New Roman"/>
              </w:rPr>
            </w:pPr>
            <w:r w:rsidRPr="00BC5B98">
              <w:rPr>
                <w:rFonts w:eastAsia="Calibri" w:cs="Times New Roman"/>
              </w:rPr>
              <w:t xml:space="preserve">Yes </w:t>
            </w:r>
            <w:r w:rsidRPr="00BC5B98">
              <w:rPr>
                <w:rFonts w:cs="Times New Roman"/>
              </w:rPr>
              <w:t xml:space="preserve">  </w:t>
            </w:r>
            <w:r w:rsidRPr="00BC5B98">
              <w:rPr>
                <w:rFonts w:ascii="Segoe UI Symbol" w:eastAsia="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p w14:paraId="027004A0" w14:textId="77777777" w:rsidR="000771EC" w:rsidRPr="00BC5B98" w:rsidRDefault="00C772E2" w:rsidP="00CE6006">
            <w:pPr>
              <w:ind w:left="2"/>
              <w:jc w:val="left"/>
              <w:rPr>
                <w:rFonts w:cs="Times New Roman"/>
              </w:rPr>
            </w:pPr>
            <w:r w:rsidRPr="00BC5B98">
              <w:rPr>
                <w:rFonts w:eastAsia="Calibri" w:cs="Times New Roman"/>
              </w:rPr>
              <w:t xml:space="preserve">No  </w:t>
            </w:r>
            <w:r w:rsidRPr="00BC5B98">
              <w:rPr>
                <w:rFonts w:cs="Times New Roman"/>
              </w:rPr>
              <w:t xml:space="preserve"> </w:t>
            </w:r>
            <w:r w:rsidRPr="00BC5B98">
              <w:rPr>
                <w:rFonts w:ascii="Segoe UI Symbol" w:eastAsia="Calibri"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tc>
      </w:tr>
      <w:tr w:rsidR="003C1C91" w14:paraId="69532C18" w14:textId="77777777" w:rsidTr="00CE6006">
        <w:trPr>
          <w:trHeight w:val="1527"/>
        </w:trPr>
        <w:tc>
          <w:tcPr>
            <w:tcW w:w="27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00679E7" w14:textId="77777777" w:rsidR="000771EC" w:rsidRPr="00BC5B98" w:rsidRDefault="00C772E2" w:rsidP="00CE6006">
            <w:pPr>
              <w:jc w:val="left"/>
              <w:rPr>
                <w:rFonts w:cs="Times New Roman"/>
              </w:rPr>
            </w:pPr>
            <w:r w:rsidRPr="00BC5B98">
              <w:rPr>
                <w:rFonts w:eastAsia="Calibri" w:cs="Times New Roman"/>
              </w:rPr>
              <w:t xml:space="preserve">STRUCTURE </w:t>
            </w:r>
            <w:r w:rsidRPr="00BC5B98">
              <w:rPr>
                <w:rFonts w:cs="Times New Roman"/>
              </w:rPr>
              <w:t xml:space="preserve"> </w:t>
            </w:r>
          </w:p>
        </w:tc>
        <w:tc>
          <w:tcPr>
            <w:tcW w:w="55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37F4379" w14:textId="77777777" w:rsidR="000771EC" w:rsidRPr="00BC5B98" w:rsidRDefault="00C772E2" w:rsidP="00CE6006">
            <w:pPr>
              <w:rPr>
                <w:rFonts w:cs="Times New Roman"/>
              </w:rPr>
            </w:pPr>
            <w:r w:rsidRPr="00BC5B98">
              <w:rPr>
                <w:rFonts w:eastAsia="Calibri" w:cs="Times New Roman"/>
              </w:rPr>
              <w:t xml:space="preserve">For this assessment, you can use Generative AI to support you in structuring your submission, including creating a draft argument structure, identifying parts and headings, etc. </w:t>
            </w:r>
            <w:r w:rsidRPr="00BC5B98">
              <w:rPr>
                <w:rFonts w:cs="Times New Roman"/>
              </w:rPr>
              <w:t xml:space="preserve"> </w:t>
            </w:r>
          </w:p>
        </w:tc>
        <w:tc>
          <w:tcPr>
            <w:tcW w:w="16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44C4769" w14:textId="77777777" w:rsidR="000771EC" w:rsidRPr="00BC5B98" w:rsidRDefault="00C772E2" w:rsidP="00CE6006">
            <w:pPr>
              <w:spacing w:after="182"/>
              <w:ind w:left="2"/>
              <w:jc w:val="left"/>
              <w:rPr>
                <w:rFonts w:cs="Times New Roman"/>
              </w:rPr>
            </w:pPr>
            <w:r w:rsidRPr="00BC5B98">
              <w:rPr>
                <w:rFonts w:eastAsia="Calibri" w:cs="Times New Roman"/>
              </w:rPr>
              <w:t xml:space="preserve">Yes </w:t>
            </w:r>
            <w:r w:rsidRPr="00BC5B98">
              <w:rPr>
                <w:rFonts w:ascii="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p w14:paraId="4D5C4F18" w14:textId="77777777" w:rsidR="000771EC" w:rsidRPr="00BC5B98" w:rsidRDefault="00C772E2" w:rsidP="00CE6006">
            <w:pPr>
              <w:ind w:left="2"/>
              <w:jc w:val="left"/>
              <w:rPr>
                <w:rFonts w:cs="Times New Roman"/>
              </w:rPr>
            </w:pPr>
            <w:r w:rsidRPr="00BC5B98">
              <w:rPr>
                <w:rFonts w:eastAsia="Calibri" w:cs="Times New Roman"/>
              </w:rPr>
              <w:t xml:space="preserve">No  </w:t>
            </w:r>
            <w:r w:rsidRPr="00BC5B98">
              <w:rPr>
                <w:rFonts w:cs="Times New Roman"/>
              </w:rPr>
              <w:t xml:space="preserve"> </w:t>
            </w:r>
            <w:r w:rsidRPr="00BC5B98">
              <w:rPr>
                <w:rFonts w:ascii="Segoe UI Symbol" w:eastAsia="Calibri"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r w:rsidRPr="00BC5B98">
              <w:rPr>
                <w:rFonts w:eastAsia="Calibri" w:cs="Times New Roman"/>
              </w:rPr>
              <w:t xml:space="preserve"> </w:t>
            </w:r>
            <w:r w:rsidRPr="00BC5B98">
              <w:rPr>
                <w:rFonts w:cs="Times New Roman"/>
              </w:rPr>
              <w:t xml:space="preserve"> </w:t>
            </w:r>
          </w:p>
        </w:tc>
      </w:tr>
      <w:tr w:rsidR="003C1C91" w14:paraId="704ED622" w14:textId="77777777" w:rsidTr="00CE6006">
        <w:trPr>
          <w:trHeight w:val="1529"/>
        </w:trPr>
        <w:tc>
          <w:tcPr>
            <w:tcW w:w="27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6CF7D52" w14:textId="77777777" w:rsidR="000771EC" w:rsidRPr="00BC5B98" w:rsidRDefault="00C772E2" w:rsidP="00CE6006">
            <w:pPr>
              <w:jc w:val="left"/>
              <w:rPr>
                <w:rFonts w:cs="Times New Roman"/>
              </w:rPr>
            </w:pPr>
            <w:r w:rsidRPr="00BC5B98">
              <w:rPr>
                <w:rFonts w:eastAsia="Calibri" w:cs="Times New Roman"/>
              </w:rPr>
              <w:t xml:space="preserve">PROOFREADING </w:t>
            </w:r>
            <w:r w:rsidRPr="00BC5B98">
              <w:rPr>
                <w:rFonts w:cs="Times New Roman"/>
              </w:rPr>
              <w:t xml:space="preserve"> </w:t>
            </w:r>
          </w:p>
        </w:tc>
        <w:tc>
          <w:tcPr>
            <w:tcW w:w="55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077C25" w14:textId="77777777" w:rsidR="000771EC" w:rsidRPr="00BC5B98" w:rsidRDefault="00C772E2" w:rsidP="00CE6006">
            <w:pPr>
              <w:rPr>
                <w:rFonts w:cs="Times New Roman"/>
              </w:rPr>
            </w:pPr>
            <w:r w:rsidRPr="00BC5B98">
              <w:rPr>
                <w:rFonts w:eastAsia="Calibri" w:cs="Times New Roman"/>
              </w:rPr>
              <w:t xml:space="preserve">For this assessment, you can use Generative AI to check your own text/creation for grammatical and syntactical mistakes, including rephrasing of your own work within specific standards. </w:t>
            </w:r>
            <w:r w:rsidRPr="00BC5B98">
              <w:rPr>
                <w:rFonts w:cs="Times New Roman"/>
              </w:rPr>
              <w:t xml:space="preserve"> </w:t>
            </w:r>
          </w:p>
        </w:tc>
        <w:tc>
          <w:tcPr>
            <w:tcW w:w="16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7326A9D" w14:textId="77777777" w:rsidR="000771EC" w:rsidRPr="00BC5B98" w:rsidRDefault="00C772E2" w:rsidP="00CE6006">
            <w:pPr>
              <w:spacing w:after="182"/>
              <w:ind w:left="2"/>
              <w:jc w:val="left"/>
              <w:rPr>
                <w:rFonts w:cs="Times New Roman"/>
              </w:rPr>
            </w:pPr>
            <w:r w:rsidRPr="00BC5B98">
              <w:rPr>
                <w:rFonts w:eastAsia="Calibri" w:cs="Times New Roman"/>
              </w:rPr>
              <w:t xml:space="preserve">Yes </w:t>
            </w:r>
            <w:r w:rsidRPr="00BC5B98">
              <w:rPr>
                <w:rFonts w:ascii="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p w14:paraId="5430D456" w14:textId="77777777" w:rsidR="000771EC" w:rsidRPr="00BC5B98" w:rsidRDefault="00C772E2" w:rsidP="00CE6006">
            <w:pPr>
              <w:ind w:left="2"/>
              <w:jc w:val="left"/>
              <w:rPr>
                <w:rFonts w:cs="Times New Roman"/>
              </w:rPr>
            </w:pPr>
            <w:r w:rsidRPr="00BC5B98">
              <w:rPr>
                <w:rFonts w:eastAsia="Calibri" w:cs="Times New Roman"/>
              </w:rPr>
              <w:t xml:space="preserve">No </w:t>
            </w:r>
            <w:r w:rsidRPr="00BC5B98">
              <w:rPr>
                <w:rFonts w:ascii="Segoe UI Symbol" w:eastAsia="Calibri"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tc>
      </w:tr>
      <w:tr w:rsidR="003C1C91" w14:paraId="38E1E25C" w14:textId="77777777" w:rsidTr="00CE6006">
        <w:trPr>
          <w:trHeight w:val="375"/>
        </w:trPr>
        <w:tc>
          <w:tcPr>
            <w:tcW w:w="27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B79CFF6" w14:textId="77777777" w:rsidR="000771EC" w:rsidRPr="00BC5B98" w:rsidRDefault="00C772E2" w:rsidP="00CE6006">
            <w:pPr>
              <w:jc w:val="left"/>
              <w:rPr>
                <w:rFonts w:cs="Times New Roman"/>
              </w:rPr>
            </w:pPr>
            <w:r w:rsidRPr="00BC5B98">
              <w:rPr>
                <w:rFonts w:eastAsia="Calibri" w:cs="Times New Roman"/>
              </w:rPr>
              <w:t xml:space="preserve">WRITING </w:t>
            </w:r>
            <w:r w:rsidRPr="00BC5B98">
              <w:rPr>
                <w:rFonts w:cs="Times New Roman"/>
              </w:rPr>
              <w:t xml:space="preserve"> </w:t>
            </w:r>
          </w:p>
        </w:tc>
        <w:tc>
          <w:tcPr>
            <w:tcW w:w="55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B2BE2B7" w14:textId="77777777" w:rsidR="000771EC" w:rsidRPr="00BC5B98" w:rsidRDefault="00C772E2" w:rsidP="00CE6006">
            <w:pPr>
              <w:rPr>
                <w:rFonts w:cs="Times New Roman"/>
              </w:rPr>
            </w:pPr>
            <w:r w:rsidRPr="00BC5B98">
              <w:rPr>
                <w:rFonts w:eastAsia="Calibri" w:cs="Times New Roman"/>
              </w:rPr>
              <w:t xml:space="preserve">For this assessment, you can use Generative AI to create text for submission. </w:t>
            </w:r>
            <w:r w:rsidRPr="00BC5B98">
              <w:rPr>
                <w:rFonts w:cs="Times New Roman"/>
              </w:rPr>
              <w:t xml:space="preserve"> </w:t>
            </w:r>
          </w:p>
        </w:tc>
        <w:tc>
          <w:tcPr>
            <w:tcW w:w="16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DA551DC" w14:textId="77777777" w:rsidR="000771EC" w:rsidRPr="00BC5B98" w:rsidRDefault="00C772E2" w:rsidP="00CE6006">
            <w:pPr>
              <w:spacing w:after="182"/>
              <w:ind w:left="2"/>
              <w:jc w:val="left"/>
              <w:rPr>
                <w:rFonts w:cs="Times New Roman"/>
              </w:rPr>
            </w:pPr>
            <w:r w:rsidRPr="00BC5B98">
              <w:rPr>
                <w:rFonts w:eastAsia="Calibri" w:cs="Times New Roman"/>
              </w:rPr>
              <w:t xml:space="preserve">Yes </w:t>
            </w:r>
            <w:r w:rsidRPr="00BC5B98">
              <w:rPr>
                <w:rFonts w:ascii="Segoe UI Symbol" w:hAnsi="Segoe UI Symbol" w:cs="Segoe UI Symbol"/>
              </w:rPr>
              <w:t>☐</w:t>
            </w:r>
            <w:r w:rsidRPr="00BC5B98">
              <w:rPr>
                <w:rFonts w:cs="Times New Roman"/>
              </w:rPr>
              <w:t xml:space="preserve"> </w:t>
            </w:r>
            <w:r w:rsidRPr="00BC5B98">
              <w:rPr>
                <w:rFonts w:eastAsia="Calibri" w:cs="Times New Roman"/>
              </w:rPr>
              <w:t xml:space="preserve"> </w:t>
            </w:r>
          </w:p>
          <w:p w14:paraId="5A42346B" w14:textId="77777777" w:rsidR="000771EC" w:rsidRPr="00BC5B98" w:rsidRDefault="00C772E2" w:rsidP="00CE6006">
            <w:pPr>
              <w:ind w:left="2"/>
              <w:jc w:val="left"/>
              <w:rPr>
                <w:rFonts w:cs="Times New Roman"/>
              </w:rPr>
            </w:pPr>
            <w:r w:rsidRPr="00BC5B98">
              <w:rPr>
                <w:rFonts w:eastAsia="Calibri" w:cs="Times New Roman"/>
              </w:rPr>
              <w:t xml:space="preserve">No  </w:t>
            </w:r>
            <w:r w:rsidRPr="00BC5B98">
              <w:rPr>
                <w:rFonts w:cs="Times New Roman"/>
              </w:rPr>
              <w:t xml:space="preserve"> </w:t>
            </w:r>
            <w:r w:rsidRPr="00BC5B98">
              <w:rPr>
                <w:rFonts w:ascii="Segoe UI Symbol" w:eastAsia="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tc>
      </w:tr>
      <w:tr w:rsidR="003C1C91" w14:paraId="756BE3D7" w14:textId="77777777" w:rsidTr="00CE6006">
        <w:trPr>
          <w:trHeight w:val="375"/>
        </w:trPr>
        <w:tc>
          <w:tcPr>
            <w:tcW w:w="27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CB5B611" w14:textId="77777777" w:rsidR="000771EC" w:rsidRPr="00BC5B98" w:rsidRDefault="00C772E2" w:rsidP="00CE6006">
            <w:pPr>
              <w:jc w:val="left"/>
              <w:rPr>
                <w:rFonts w:cs="Times New Roman"/>
              </w:rPr>
            </w:pPr>
            <w:r w:rsidRPr="00BC5B98">
              <w:rPr>
                <w:rFonts w:eastAsia="Calibri" w:cs="Times New Roman"/>
              </w:rPr>
              <w:t xml:space="preserve">CREATIVE </w:t>
            </w:r>
            <w:r w:rsidRPr="00BC5B98">
              <w:rPr>
                <w:rFonts w:cs="Times New Roman"/>
              </w:rPr>
              <w:t xml:space="preserve"> </w:t>
            </w:r>
          </w:p>
        </w:tc>
        <w:tc>
          <w:tcPr>
            <w:tcW w:w="55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216916D" w14:textId="77777777" w:rsidR="000771EC" w:rsidRPr="00BC5B98" w:rsidRDefault="00C772E2" w:rsidP="00CE6006">
            <w:pPr>
              <w:rPr>
                <w:rFonts w:cs="Times New Roman"/>
              </w:rPr>
            </w:pPr>
            <w:r w:rsidRPr="00BC5B98">
              <w:rPr>
                <w:rFonts w:eastAsia="Calibri" w:cs="Times New Roman"/>
              </w:rPr>
              <w:t xml:space="preserve">For this assessment, you can use Generative AI to create creative materials, such as images. </w:t>
            </w:r>
            <w:r w:rsidRPr="00BC5B98">
              <w:rPr>
                <w:rFonts w:cs="Times New Roman"/>
              </w:rPr>
              <w:t xml:space="preserve"> </w:t>
            </w:r>
          </w:p>
        </w:tc>
        <w:tc>
          <w:tcPr>
            <w:tcW w:w="16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D5E7F9" w14:textId="77777777" w:rsidR="000771EC" w:rsidRPr="00BC5B98" w:rsidRDefault="00C772E2" w:rsidP="00CE6006">
            <w:pPr>
              <w:spacing w:after="182"/>
              <w:ind w:left="2"/>
              <w:jc w:val="left"/>
              <w:rPr>
                <w:rFonts w:cs="Times New Roman"/>
              </w:rPr>
            </w:pPr>
            <w:r w:rsidRPr="00BC5B98">
              <w:rPr>
                <w:rFonts w:eastAsia="Calibri" w:cs="Times New Roman"/>
              </w:rPr>
              <w:t xml:space="preserve">Yes </w:t>
            </w:r>
            <w:r w:rsidRPr="00BC5B98">
              <w:rPr>
                <w:rFonts w:ascii="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p w14:paraId="37313285" w14:textId="77777777" w:rsidR="000771EC" w:rsidRPr="00BC5B98" w:rsidRDefault="00C772E2" w:rsidP="00CE6006">
            <w:pPr>
              <w:ind w:left="2"/>
              <w:jc w:val="left"/>
              <w:rPr>
                <w:rFonts w:cs="Times New Roman"/>
              </w:rPr>
            </w:pPr>
            <w:r w:rsidRPr="00BC5B98">
              <w:rPr>
                <w:rFonts w:eastAsia="Calibri" w:cs="Times New Roman"/>
              </w:rPr>
              <w:t xml:space="preserve">No  </w:t>
            </w:r>
            <w:r w:rsidRPr="00BC5B98">
              <w:rPr>
                <w:rFonts w:cs="Times New Roman"/>
              </w:rPr>
              <w:t xml:space="preserve"> </w:t>
            </w:r>
            <w:r w:rsidRPr="00BC5B98">
              <w:rPr>
                <w:rFonts w:ascii="Segoe UI Symbol" w:eastAsia="Calibri"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tc>
      </w:tr>
      <w:tr w:rsidR="003C1C91" w14:paraId="1650E930" w14:textId="77777777" w:rsidTr="00CE6006">
        <w:trPr>
          <w:trHeight w:val="38"/>
        </w:trPr>
        <w:tc>
          <w:tcPr>
            <w:tcW w:w="27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710B2E7" w14:textId="77777777" w:rsidR="000771EC" w:rsidRPr="00BC5B98" w:rsidRDefault="00C772E2" w:rsidP="00CE6006">
            <w:pPr>
              <w:jc w:val="left"/>
              <w:rPr>
                <w:rFonts w:cs="Times New Roman"/>
              </w:rPr>
            </w:pPr>
            <w:r w:rsidRPr="00BC5B98">
              <w:rPr>
                <w:rFonts w:eastAsia="Calibri" w:cs="Times New Roman"/>
              </w:rPr>
              <w:t xml:space="preserve">PROGRAMING </w:t>
            </w:r>
            <w:r w:rsidRPr="00BC5B98">
              <w:rPr>
                <w:rFonts w:cs="Times New Roman"/>
              </w:rPr>
              <w:t xml:space="preserve"> </w:t>
            </w:r>
          </w:p>
        </w:tc>
        <w:tc>
          <w:tcPr>
            <w:tcW w:w="55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AC353C" w14:textId="77777777" w:rsidR="000771EC" w:rsidRPr="00BC5B98" w:rsidRDefault="00C772E2" w:rsidP="00CE6006">
            <w:pPr>
              <w:rPr>
                <w:rFonts w:cs="Times New Roman"/>
              </w:rPr>
            </w:pPr>
            <w:r w:rsidRPr="00BC5B98">
              <w:rPr>
                <w:rFonts w:eastAsia="Calibri" w:cs="Times New Roman"/>
              </w:rPr>
              <w:t xml:space="preserve">For this assessment, you can use Generative AI to create and check code. </w:t>
            </w:r>
            <w:r w:rsidRPr="00BC5B98">
              <w:rPr>
                <w:rFonts w:cs="Times New Roman"/>
              </w:rPr>
              <w:t xml:space="preserve"> </w:t>
            </w:r>
          </w:p>
        </w:tc>
        <w:tc>
          <w:tcPr>
            <w:tcW w:w="16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7833F85" w14:textId="77777777" w:rsidR="000771EC" w:rsidRPr="00BC5B98" w:rsidRDefault="00C772E2" w:rsidP="00CE6006">
            <w:pPr>
              <w:spacing w:after="182"/>
              <w:ind w:left="2"/>
              <w:jc w:val="left"/>
              <w:rPr>
                <w:rFonts w:cs="Times New Roman"/>
              </w:rPr>
            </w:pPr>
            <w:r w:rsidRPr="00BC5B98">
              <w:rPr>
                <w:rFonts w:eastAsia="Calibri" w:cs="Times New Roman"/>
              </w:rPr>
              <w:t xml:space="preserve">Yes </w:t>
            </w:r>
            <w:r w:rsidRPr="00BC5B98">
              <w:rPr>
                <w:rFonts w:ascii="Segoe UI Symbol" w:hAnsi="Segoe UI Symbol" w:cs="Segoe UI Symbol"/>
              </w:rPr>
              <w:t>☐</w:t>
            </w:r>
            <w:r w:rsidRPr="00BC5B98">
              <w:rPr>
                <w:rFonts w:cs="Times New Roman"/>
              </w:rPr>
              <w:t xml:space="preserve"> </w:t>
            </w:r>
            <w:r w:rsidRPr="00BC5B98">
              <w:rPr>
                <w:rFonts w:eastAsia="Calibri" w:cs="Times New Roman"/>
              </w:rPr>
              <w:t xml:space="preserve"> </w:t>
            </w:r>
          </w:p>
          <w:p w14:paraId="0128D3C5" w14:textId="77777777" w:rsidR="000771EC" w:rsidRPr="00BC5B98" w:rsidRDefault="00C772E2" w:rsidP="00CE6006">
            <w:pPr>
              <w:ind w:left="2"/>
              <w:jc w:val="left"/>
              <w:rPr>
                <w:rFonts w:cs="Times New Roman"/>
              </w:rPr>
            </w:pPr>
            <w:r w:rsidRPr="00BC5B98">
              <w:rPr>
                <w:rFonts w:eastAsia="Calibri" w:cs="Times New Roman"/>
              </w:rPr>
              <w:t xml:space="preserve">No  </w:t>
            </w:r>
            <w:r w:rsidRPr="00BC5B98">
              <w:rPr>
                <w:rFonts w:cs="Times New Roman"/>
              </w:rPr>
              <w:t xml:space="preserve"> </w:t>
            </w:r>
            <w:r w:rsidRPr="00BC5B98">
              <w:rPr>
                <w:rFonts w:ascii="Segoe UI Symbol" w:eastAsia="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tc>
      </w:tr>
      <w:tr w:rsidR="003C1C91" w14:paraId="6F646195" w14:textId="77777777" w:rsidTr="00CE6006">
        <w:trPr>
          <w:trHeight w:val="195"/>
        </w:trPr>
        <w:tc>
          <w:tcPr>
            <w:tcW w:w="27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90E87E4" w14:textId="77777777" w:rsidR="000771EC" w:rsidRPr="00BC5B98" w:rsidRDefault="00C772E2" w:rsidP="00CE6006">
            <w:pPr>
              <w:jc w:val="left"/>
              <w:rPr>
                <w:rFonts w:cs="Times New Roman"/>
              </w:rPr>
            </w:pPr>
            <w:r w:rsidRPr="00BC5B98">
              <w:rPr>
                <w:rFonts w:eastAsia="Calibri" w:cs="Times New Roman"/>
              </w:rPr>
              <w:t xml:space="preserve">NONE </w:t>
            </w:r>
            <w:r w:rsidRPr="00BC5B98">
              <w:rPr>
                <w:rFonts w:cs="Times New Roman"/>
              </w:rPr>
              <w:t xml:space="preserve"> </w:t>
            </w:r>
          </w:p>
        </w:tc>
        <w:tc>
          <w:tcPr>
            <w:tcW w:w="55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D8016AB" w14:textId="77777777" w:rsidR="000771EC" w:rsidRPr="00BC5B98" w:rsidRDefault="00C772E2" w:rsidP="00CE6006">
            <w:pPr>
              <w:rPr>
                <w:rFonts w:cs="Times New Roman"/>
              </w:rPr>
            </w:pPr>
            <w:r w:rsidRPr="00BC5B98">
              <w:rPr>
                <w:rFonts w:eastAsia="Calibri" w:cs="Times New Roman"/>
              </w:rPr>
              <w:t xml:space="preserve">For this assessment, you are not allowed to use </w:t>
            </w:r>
            <w:r w:rsidRPr="00BC5B98">
              <w:rPr>
                <w:rFonts w:eastAsia="Calibri" w:cs="Times New Roman"/>
                <w:b/>
              </w:rPr>
              <w:t>any</w:t>
            </w:r>
            <w:r w:rsidRPr="00BC5B98">
              <w:rPr>
                <w:rFonts w:eastAsia="Calibri" w:cs="Times New Roman"/>
              </w:rPr>
              <w:t xml:space="preserve"> type of Generative AI support. This includes research support, structure support, writing/proofreading support and creative support. </w:t>
            </w:r>
            <w:r w:rsidRPr="00BC5B98">
              <w:rPr>
                <w:rFonts w:cs="Times New Roman"/>
              </w:rPr>
              <w:t xml:space="preserve"> </w:t>
            </w:r>
          </w:p>
        </w:tc>
        <w:tc>
          <w:tcPr>
            <w:tcW w:w="16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F2A8BD" w14:textId="77777777" w:rsidR="000771EC" w:rsidRPr="00BC5B98" w:rsidRDefault="00C772E2" w:rsidP="00CE6006">
            <w:pPr>
              <w:spacing w:after="158"/>
              <w:ind w:left="2"/>
              <w:jc w:val="left"/>
              <w:rPr>
                <w:rFonts w:cs="Times New Roman"/>
              </w:rPr>
            </w:pPr>
            <w:r w:rsidRPr="00BC5B98">
              <w:rPr>
                <w:rFonts w:eastAsia="Calibri" w:cs="Times New Roman"/>
              </w:rPr>
              <w:t xml:space="preserve">Yes </w:t>
            </w:r>
            <w:r w:rsidRPr="00BC5B98">
              <w:rPr>
                <w:rFonts w:ascii="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p w14:paraId="39403600" w14:textId="77777777" w:rsidR="000771EC" w:rsidRPr="00BC5B98" w:rsidRDefault="00C772E2" w:rsidP="00CE6006">
            <w:pPr>
              <w:ind w:left="2"/>
              <w:jc w:val="left"/>
              <w:rPr>
                <w:rFonts w:cs="Times New Roman"/>
              </w:rPr>
            </w:pPr>
            <w:r w:rsidRPr="00BC5B98">
              <w:rPr>
                <w:rFonts w:eastAsia="Calibri" w:cs="Times New Roman"/>
              </w:rPr>
              <w:t xml:space="preserve">No  </w:t>
            </w:r>
            <w:r w:rsidRPr="00BC5B98">
              <w:rPr>
                <w:rFonts w:cs="Times New Roman"/>
              </w:rPr>
              <w:t xml:space="preserve"> </w:t>
            </w:r>
            <w:r w:rsidRPr="00BC5B98">
              <w:rPr>
                <w:rFonts w:ascii="Segoe UI Symbol" w:eastAsia="Segoe UI Symbol" w:hAnsi="Segoe UI Symbol" w:cs="Segoe UI Symbol"/>
              </w:rPr>
              <w:t>☒</w:t>
            </w:r>
            <w:r w:rsidRPr="00BC5B98">
              <w:rPr>
                <w:rFonts w:cs="Times New Roman"/>
              </w:rPr>
              <w:t xml:space="preserve"> </w:t>
            </w:r>
            <w:r w:rsidRPr="00BC5B98">
              <w:rPr>
                <w:rFonts w:eastAsia="Calibri" w:cs="Times New Roman"/>
              </w:rPr>
              <w:t xml:space="preserve"> </w:t>
            </w:r>
            <w:r w:rsidRPr="00BC5B98">
              <w:rPr>
                <w:rFonts w:cs="Times New Roman"/>
              </w:rPr>
              <w:t xml:space="preserve"> </w:t>
            </w:r>
          </w:p>
        </w:tc>
      </w:tr>
    </w:tbl>
    <w:p w14:paraId="79008B2F" w14:textId="77777777" w:rsidR="000771EC" w:rsidRPr="00232710" w:rsidRDefault="000771EC" w:rsidP="000771EC"/>
    <w:p w14:paraId="24E8863B" w14:textId="77777777" w:rsidR="000771EC" w:rsidRDefault="000771EC" w:rsidP="000771EC">
      <w:pPr>
        <w:spacing w:after="0"/>
      </w:pPr>
    </w:p>
    <w:p w14:paraId="07725E87" w14:textId="77777777" w:rsidR="000423DB" w:rsidRPr="00B03C57" w:rsidRDefault="000423DB" w:rsidP="000D4A8E">
      <w:pPr>
        <w:spacing w:after="0"/>
      </w:pPr>
    </w:p>
    <w:sectPr w:rsidR="000423DB" w:rsidRPr="00B03C57" w:rsidSect="00251335">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EB657A" w14:textId="77777777" w:rsidR="00255913" w:rsidRDefault="00255913">
      <w:pPr>
        <w:spacing w:after="0" w:line="240" w:lineRule="auto"/>
      </w:pPr>
      <w:r>
        <w:separator/>
      </w:r>
    </w:p>
  </w:endnote>
  <w:endnote w:type="continuationSeparator" w:id="0">
    <w:p w14:paraId="5ACF6BBC" w14:textId="77777777" w:rsidR="00255913" w:rsidRDefault="002559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2045447"/>
      <w:docPartObj>
        <w:docPartGallery w:val="Page Numbers (Bottom of Page)"/>
        <w:docPartUnique/>
      </w:docPartObj>
    </w:sdtPr>
    <w:sdtEndPr>
      <w:rPr>
        <w:color w:val="7F7F7F" w:themeColor="background1" w:themeShade="7F"/>
        <w:spacing w:val="60"/>
      </w:rPr>
    </w:sdtEndPr>
    <w:sdtContent>
      <w:p w14:paraId="28C9848A" w14:textId="77777777" w:rsidR="00CA619F" w:rsidRDefault="00C772E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EE58FB" w14:textId="77777777" w:rsidR="00251335" w:rsidRDefault="002513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1E35D0" w14:textId="77777777" w:rsidR="00255913" w:rsidRDefault="00255913">
      <w:pPr>
        <w:spacing w:after="0" w:line="240" w:lineRule="auto"/>
      </w:pPr>
      <w:r>
        <w:separator/>
      </w:r>
    </w:p>
  </w:footnote>
  <w:footnote w:type="continuationSeparator" w:id="0">
    <w:p w14:paraId="4190B97E" w14:textId="77777777" w:rsidR="00255913" w:rsidRDefault="002559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53C22"/>
    <w:multiLevelType w:val="hybridMultilevel"/>
    <w:tmpl w:val="25ACB95E"/>
    <w:lvl w:ilvl="0" w:tplc="F8904ED6">
      <w:start w:val="1"/>
      <w:numFmt w:val="decimal"/>
      <w:lvlText w:val="%1."/>
      <w:lvlJc w:val="left"/>
      <w:pPr>
        <w:ind w:left="360" w:hanging="360"/>
      </w:pPr>
    </w:lvl>
    <w:lvl w:ilvl="1" w:tplc="E3B2DA8C" w:tentative="1">
      <w:start w:val="1"/>
      <w:numFmt w:val="lowerLetter"/>
      <w:lvlText w:val="%2."/>
      <w:lvlJc w:val="left"/>
      <w:pPr>
        <w:ind w:left="1440" w:hanging="360"/>
      </w:pPr>
    </w:lvl>
    <w:lvl w:ilvl="2" w:tplc="B6B4C43A" w:tentative="1">
      <w:start w:val="1"/>
      <w:numFmt w:val="lowerRoman"/>
      <w:lvlText w:val="%3."/>
      <w:lvlJc w:val="right"/>
      <w:pPr>
        <w:ind w:left="2160" w:hanging="180"/>
      </w:pPr>
    </w:lvl>
    <w:lvl w:ilvl="3" w:tplc="67C2EA48" w:tentative="1">
      <w:start w:val="1"/>
      <w:numFmt w:val="decimal"/>
      <w:lvlText w:val="%4."/>
      <w:lvlJc w:val="left"/>
      <w:pPr>
        <w:ind w:left="2880" w:hanging="360"/>
      </w:pPr>
    </w:lvl>
    <w:lvl w:ilvl="4" w:tplc="7B18B576" w:tentative="1">
      <w:start w:val="1"/>
      <w:numFmt w:val="lowerLetter"/>
      <w:lvlText w:val="%5."/>
      <w:lvlJc w:val="left"/>
      <w:pPr>
        <w:ind w:left="3600" w:hanging="360"/>
      </w:pPr>
    </w:lvl>
    <w:lvl w:ilvl="5" w:tplc="07221D9C" w:tentative="1">
      <w:start w:val="1"/>
      <w:numFmt w:val="lowerRoman"/>
      <w:lvlText w:val="%6."/>
      <w:lvlJc w:val="right"/>
      <w:pPr>
        <w:ind w:left="4320" w:hanging="180"/>
      </w:pPr>
    </w:lvl>
    <w:lvl w:ilvl="6" w:tplc="4632687C" w:tentative="1">
      <w:start w:val="1"/>
      <w:numFmt w:val="decimal"/>
      <w:lvlText w:val="%7."/>
      <w:lvlJc w:val="left"/>
      <w:pPr>
        <w:ind w:left="5040" w:hanging="360"/>
      </w:pPr>
    </w:lvl>
    <w:lvl w:ilvl="7" w:tplc="DD0A5B26" w:tentative="1">
      <w:start w:val="1"/>
      <w:numFmt w:val="lowerLetter"/>
      <w:lvlText w:val="%8."/>
      <w:lvlJc w:val="left"/>
      <w:pPr>
        <w:ind w:left="5760" w:hanging="360"/>
      </w:pPr>
    </w:lvl>
    <w:lvl w:ilvl="8" w:tplc="52981430" w:tentative="1">
      <w:start w:val="1"/>
      <w:numFmt w:val="lowerRoman"/>
      <w:lvlText w:val="%9."/>
      <w:lvlJc w:val="right"/>
      <w:pPr>
        <w:ind w:left="6480" w:hanging="180"/>
      </w:pPr>
    </w:lvl>
  </w:abstractNum>
  <w:abstractNum w:abstractNumId="1" w15:restartNumberingAfterBreak="0">
    <w:nsid w:val="5FDB2EDB"/>
    <w:multiLevelType w:val="hybridMultilevel"/>
    <w:tmpl w:val="2804A576"/>
    <w:lvl w:ilvl="0" w:tplc="C5B09956">
      <w:start w:val="1"/>
      <w:numFmt w:val="bullet"/>
      <w:lvlText w:val=""/>
      <w:lvlJc w:val="left"/>
      <w:pPr>
        <w:ind w:left="360" w:hanging="360"/>
      </w:pPr>
      <w:rPr>
        <w:rFonts w:ascii="Wingdings" w:hAnsi="Wingdings" w:hint="default"/>
      </w:rPr>
    </w:lvl>
    <w:lvl w:ilvl="1" w:tplc="0416FAAE" w:tentative="1">
      <w:start w:val="1"/>
      <w:numFmt w:val="lowerLetter"/>
      <w:lvlText w:val="%2."/>
      <w:lvlJc w:val="left"/>
      <w:pPr>
        <w:ind w:left="1440" w:hanging="360"/>
      </w:pPr>
    </w:lvl>
    <w:lvl w:ilvl="2" w:tplc="A828B266" w:tentative="1">
      <w:start w:val="1"/>
      <w:numFmt w:val="lowerRoman"/>
      <w:lvlText w:val="%3."/>
      <w:lvlJc w:val="right"/>
      <w:pPr>
        <w:ind w:left="2160" w:hanging="180"/>
      </w:pPr>
    </w:lvl>
    <w:lvl w:ilvl="3" w:tplc="AA6EEB12" w:tentative="1">
      <w:start w:val="1"/>
      <w:numFmt w:val="decimal"/>
      <w:lvlText w:val="%4."/>
      <w:lvlJc w:val="left"/>
      <w:pPr>
        <w:ind w:left="2880" w:hanging="360"/>
      </w:pPr>
    </w:lvl>
    <w:lvl w:ilvl="4" w:tplc="95986CC4" w:tentative="1">
      <w:start w:val="1"/>
      <w:numFmt w:val="lowerLetter"/>
      <w:lvlText w:val="%5."/>
      <w:lvlJc w:val="left"/>
      <w:pPr>
        <w:ind w:left="3600" w:hanging="360"/>
      </w:pPr>
    </w:lvl>
    <w:lvl w:ilvl="5" w:tplc="0A386B82" w:tentative="1">
      <w:start w:val="1"/>
      <w:numFmt w:val="lowerRoman"/>
      <w:lvlText w:val="%6."/>
      <w:lvlJc w:val="right"/>
      <w:pPr>
        <w:ind w:left="4320" w:hanging="180"/>
      </w:pPr>
    </w:lvl>
    <w:lvl w:ilvl="6" w:tplc="F44CC184" w:tentative="1">
      <w:start w:val="1"/>
      <w:numFmt w:val="decimal"/>
      <w:lvlText w:val="%7."/>
      <w:lvlJc w:val="left"/>
      <w:pPr>
        <w:ind w:left="5040" w:hanging="360"/>
      </w:pPr>
    </w:lvl>
    <w:lvl w:ilvl="7" w:tplc="7618EA0C" w:tentative="1">
      <w:start w:val="1"/>
      <w:numFmt w:val="lowerLetter"/>
      <w:lvlText w:val="%8."/>
      <w:lvlJc w:val="left"/>
      <w:pPr>
        <w:ind w:left="5760" w:hanging="360"/>
      </w:pPr>
    </w:lvl>
    <w:lvl w:ilvl="8" w:tplc="6172B076" w:tentative="1">
      <w:start w:val="1"/>
      <w:numFmt w:val="lowerRoman"/>
      <w:lvlText w:val="%9."/>
      <w:lvlJc w:val="right"/>
      <w:pPr>
        <w:ind w:left="6480" w:hanging="180"/>
      </w:pPr>
    </w:lvl>
  </w:abstractNum>
  <w:num w:numId="1" w16cid:durableId="1227103276">
    <w:abstractNumId w:val="0"/>
  </w:num>
  <w:num w:numId="2" w16cid:durableId="9033757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5"/>
  <w:removePersonalInformation/>
  <w:removeDateAndTime/>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C57"/>
    <w:rsid w:val="00001E9A"/>
    <w:rsid w:val="00034E89"/>
    <w:rsid w:val="000423DB"/>
    <w:rsid w:val="000442D7"/>
    <w:rsid w:val="00044986"/>
    <w:rsid w:val="00045BCE"/>
    <w:rsid w:val="00076035"/>
    <w:rsid w:val="000771EC"/>
    <w:rsid w:val="00080EB7"/>
    <w:rsid w:val="00081944"/>
    <w:rsid w:val="00086433"/>
    <w:rsid w:val="000C044D"/>
    <w:rsid w:val="000D2BBA"/>
    <w:rsid w:val="000D4A8E"/>
    <w:rsid w:val="000E3396"/>
    <w:rsid w:val="000F2B4C"/>
    <w:rsid w:val="00102BAB"/>
    <w:rsid w:val="00111050"/>
    <w:rsid w:val="001260EB"/>
    <w:rsid w:val="00130DE9"/>
    <w:rsid w:val="001549A6"/>
    <w:rsid w:val="001571C2"/>
    <w:rsid w:val="00164900"/>
    <w:rsid w:val="00164D2B"/>
    <w:rsid w:val="00175E2A"/>
    <w:rsid w:val="001E3A70"/>
    <w:rsid w:val="001E4D5C"/>
    <w:rsid w:val="002267FC"/>
    <w:rsid w:val="0023024B"/>
    <w:rsid w:val="002319BD"/>
    <w:rsid w:val="00232710"/>
    <w:rsid w:val="00242CE8"/>
    <w:rsid w:val="00251335"/>
    <w:rsid w:val="00255913"/>
    <w:rsid w:val="00257503"/>
    <w:rsid w:val="00264AA0"/>
    <w:rsid w:val="002747DD"/>
    <w:rsid w:val="002F1659"/>
    <w:rsid w:val="00316A17"/>
    <w:rsid w:val="00326B80"/>
    <w:rsid w:val="00355F84"/>
    <w:rsid w:val="00357C7E"/>
    <w:rsid w:val="00362C21"/>
    <w:rsid w:val="00363E98"/>
    <w:rsid w:val="003A1F22"/>
    <w:rsid w:val="003B1117"/>
    <w:rsid w:val="003B5714"/>
    <w:rsid w:val="003C1C91"/>
    <w:rsid w:val="003D0261"/>
    <w:rsid w:val="003D41A7"/>
    <w:rsid w:val="003E0295"/>
    <w:rsid w:val="003E4410"/>
    <w:rsid w:val="003F6D3B"/>
    <w:rsid w:val="00443AAB"/>
    <w:rsid w:val="00466042"/>
    <w:rsid w:val="00472E1B"/>
    <w:rsid w:val="0047375B"/>
    <w:rsid w:val="00477C25"/>
    <w:rsid w:val="00484ACD"/>
    <w:rsid w:val="00495581"/>
    <w:rsid w:val="004B17DF"/>
    <w:rsid w:val="004C1F04"/>
    <w:rsid w:val="004C741F"/>
    <w:rsid w:val="004F124D"/>
    <w:rsid w:val="004F2F55"/>
    <w:rsid w:val="004F50BA"/>
    <w:rsid w:val="0051031B"/>
    <w:rsid w:val="00525EA4"/>
    <w:rsid w:val="005411FC"/>
    <w:rsid w:val="00544AE8"/>
    <w:rsid w:val="00546541"/>
    <w:rsid w:val="005555FC"/>
    <w:rsid w:val="00555ABD"/>
    <w:rsid w:val="00562AC5"/>
    <w:rsid w:val="005645D3"/>
    <w:rsid w:val="005B591A"/>
    <w:rsid w:val="005E1161"/>
    <w:rsid w:val="005F0A76"/>
    <w:rsid w:val="00626552"/>
    <w:rsid w:val="00632809"/>
    <w:rsid w:val="0064405B"/>
    <w:rsid w:val="00651FBA"/>
    <w:rsid w:val="00661FF7"/>
    <w:rsid w:val="0069025D"/>
    <w:rsid w:val="006A6772"/>
    <w:rsid w:val="006C286B"/>
    <w:rsid w:val="006C3EF1"/>
    <w:rsid w:val="006D4E80"/>
    <w:rsid w:val="006D636B"/>
    <w:rsid w:val="006F27C9"/>
    <w:rsid w:val="00702304"/>
    <w:rsid w:val="00727565"/>
    <w:rsid w:val="007615FC"/>
    <w:rsid w:val="00773682"/>
    <w:rsid w:val="00790607"/>
    <w:rsid w:val="0079395F"/>
    <w:rsid w:val="007A4B4E"/>
    <w:rsid w:val="007A500E"/>
    <w:rsid w:val="007B3589"/>
    <w:rsid w:val="007B687C"/>
    <w:rsid w:val="007C3A12"/>
    <w:rsid w:val="007D464A"/>
    <w:rsid w:val="007E2BEC"/>
    <w:rsid w:val="007E5A1F"/>
    <w:rsid w:val="0085088B"/>
    <w:rsid w:val="008716BB"/>
    <w:rsid w:val="0088700C"/>
    <w:rsid w:val="0089063C"/>
    <w:rsid w:val="008B04C0"/>
    <w:rsid w:val="008B2D50"/>
    <w:rsid w:val="008B5E0A"/>
    <w:rsid w:val="008D6E3C"/>
    <w:rsid w:val="008E15C0"/>
    <w:rsid w:val="00900600"/>
    <w:rsid w:val="0090693D"/>
    <w:rsid w:val="00943378"/>
    <w:rsid w:val="00946BDB"/>
    <w:rsid w:val="0095773E"/>
    <w:rsid w:val="009711BD"/>
    <w:rsid w:val="009821D6"/>
    <w:rsid w:val="009A484B"/>
    <w:rsid w:val="009A79CC"/>
    <w:rsid w:val="009D302A"/>
    <w:rsid w:val="009F68EE"/>
    <w:rsid w:val="00A0393E"/>
    <w:rsid w:val="00A2002F"/>
    <w:rsid w:val="00A303A8"/>
    <w:rsid w:val="00A37AD8"/>
    <w:rsid w:val="00A43937"/>
    <w:rsid w:val="00A51CF4"/>
    <w:rsid w:val="00AC3FE2"/>
    <w:rsid w:val="00AE1547"/>
    <w:rsid w:val="00AE3EE6"/>
    <w:rsid w:val="00B03C57"/>
    <w:rsid w:val="00B07B93"/>
    <w:rsid w:val="00B17118"/>
    <w:rsid w:val="00B3501F"/>
    <w:rsid w:val="00B356CF"/>
    <w:rsid w:val="00B63524"/>
    <w:rsid w:val="00B730F4"/>
    <w:rsid w:val="00B76F99"/>
    <w:rsid w:val="00B77E04"/>
    <w:rsid w:val="00B87DEB"/>
    <w:rsid w:val="00BA4F7B"/>
    <w:rsid w:val="00BC0966"/>
    <w:rsid w:val="00BC2333"/>
    <w:rsid w:val="00BC3910"/>
    <w:rsid w:val="00BC5B98"/>
    <w:rsid w:val="00BE50C6"/>
    <w:rsid w:val="00BF7B89"/>
    <w:rsid w:val="00C0420F"/>
    <w:rsid w:val="00C077B4"/>
    <w:rsid w:val="00C146AE"/>
    <w:rsid w:val="00C45186"/>
    <w:rsid w:val="00C835F3"/>
    <w:rsid w:val="00CA619F"/>
    <w:rsid w:val="00CB09AD"/>
    <w:rsid w:val="00CB6B4F"/>
    <w:rsid w:val="00CE6006"/>
    <w:rsid w:val="00D044F5"/>
    <w:rsid w:val="00D053CE"/>
    <w:rsid w:val="00D0649B"/>
    <w:rsid w:val="00D103D7"/>
    <w:rsid w:val="00D15E0B"/>
    <w:rsid w:val="00D277E3"/>
    <w:rsid w:val="00D56F01"/>
    <w:rsid w:val="00D62FE8"/>
    <w:rsid w:val="00D74B98"/>
    <w:rsid w:val="00D86359"/>
    <w:rsid w:val="00D92EDB"/>
    <w:rsid w:val="00DA7BCD"/>
    <w:rsid w:val="00DB32B5"/>
    <w:rsid w:val="00DB35FB"/>
    <w:rsid w:val="00DC2D4C"/>
    <w:rsid w:val="00DD3752"/>
    <w:rsid w:val="00E07872"/>
    <w:rsid w:val="00E16B77"/>
    <w:rsid w:val="00E5133B"/>
    <w:rsid w:val="00E60086"/>
    <w:rsid w:val="00E6730E"/>
    <w:rsid w:val="00E72657"/>
    <w:rsid w:val="00E81A36"/>
    <w:rsid w:val="00E937E8"/>
    <w:rsid w:val="00E96949"/>
    <w:rsid w:val="00EA16E4"/>
    <w:rsid w:val="00EA5915"/>
    <w:rsid w:val="00EB4EC8"/>
    <w:rsid w:val="00ED01A9"/>
    <w:rsid w:val="00ED1882"/>
    <w:rsid w:val="00ED7217"/>
    <w:rsid w:val="00EF2630"/>
    <w:rsid w:val="00EF5361"/>
    <w:rsid w:val="00F00B9C"/>
    <w:rsid w:val="00F25901"/>
    <w:rsid w:val="00F4303B"/>
    <w:rsid w:val="00F6457C"/>
    <w:rsid w:val="00F82363"/>
    <w:rsid w:val="00FA6A20"/>
    <w:rsid w:val="00FE1F41"/>
    <w:rsid w:val="00FF2F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FD2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C2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E3A70"/>
    <w:pPr>
      <w:keepNext/>
      <w:keepLines/>
      <w:spacing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EF5361"/>
    <w:pPr>
      <w:keepNext/>
      <w:keepLines/>
      <w:spacing w:after="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1E3A70"/>
    <w:pPr>
      <w:keepNext/>
      <w:keepLines/>
      <w:spacing w:after="0"/>
      <w:outlineLvl w:val="2"/>
    </w:pPr>
    <w:rPr>
      <w:rFonts w:eastAsiaTheme="majorEastAsia" w:cstheme="majorBidi"/>
      <w:b/>
      <w:sz w:val="25"/>
      <w:szCs w:val="28"/>
    </w:rPr>
  </w:style>
  <w:style w:type="paragraph" w:styleId="Heading4">
    <w:name w:val="heading 4"/>
    <w:basedOn w:val="Normal"/>
    <w:next w:val="Normal"/>
    <w:link w:val="Heading4Char"/>
    <w:uiPriority w:val="9"/>
    <w:unhideWhenUsed/>
    <w:qFormat/>
    <w:rsid w:val="007E2BEC"/>
    <w:pPr>
      <w:keepNext/>
      <w:keepLines/>
      <w:spacing w:before="80" w:after="40"/>
      <w:jc w:val="center"/>
      <w:outlineLvl w:val="3"/>
    </w:pPr>
    <w:rPr>
      <w:rFonts w:ascii="Arial" w:eastAsiaTheme="majorEastAsia" w:hAnsi="Arial" w:cstheme="majorBidi"/>
      <w:b/>
      <w:i/>
      <w:iCs/>
      <w:color w:val="0F4761" w:themeColor="accent1" w:themeShade="BF"/>
      <w:sz w:val="18"/>
    </w:rPr>
  </w:style>
  <w:style w:type="paragraph" w:styleId="Heading5">
    <w:name w:val="heading 5"/>
    <w:basedOn w:val="Normal"/>
    <w:next w:val="Normal"/>
    <w:link w:val="Heading5Char"/>
    <w:uiPriority w:val="9"/>
    <w:semiHidden/>
    <w:unhideWhenUsed/>
    <w:qFormat/>
    <w:rsid w:val="00B03C5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03C5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03C5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03C5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03C5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A70"/>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EF5361"/>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1E3A70"/>
    <w:rPr>
      <w:rFonts w:ascii="Times New Roman" w:eastAsiaTheme="majorEastAsia" w:hAnsi="Times New Roman" w:cstheme="majorBidi"/>
      <w:b/>
      <w:sz w:val="25"/>
      <w:szCs w:val="28"/>
    </w:rPr>
  </w:style>
  <w:style w:type="character" w:customStyle="1" w:styleId="Heading4Char">
    <w:name w:val="Heading 4 Char"/>
    <w:basedOn w:val="DefaultParagraphFont"/>
    <w:link w:val="Heading4"/>
    <w:uiPriority w:val="9"/>
    <w:rsid w:val="007E2BEC"/>
    <w:rPr>
      <w:rFonts w:ascii="Arial" w:eastAsiaTheme="majorEastAsia" w:hAnsi="Arial" w:cstheme="majorBidi"/>
      <w:b/>
      <w:i/>
      <w:iCs/>
      <w:color w:val="0F4761" w:themeColor="accent1" w:themeShade="BF"/>
      <w:sz w:val="18"/>
    </w:rPr>
  </w:style>
  <w:style w:type="character" w:customStyle="1" w:styleId="Heading5Char">
    <w:name w:val="Heading 5 Char"/>
    <w:basedOn w:val="DefaultParagraphFont"/>
    <w:link w:val="Heading5"/>
    <w:uiPriority w:val="9"/>
    <w:semiHidden/>
    <w:rsid w:val="00B03C57"/>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B03C57"/>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B03C57"/>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B03C57"/>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B03C57"/>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B03C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3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3C5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3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3C57"/>
    <w:pPr>
      <w:spacing w:before="160"/>
      <w:jc w:val="center"/>
    </w:pPr>
    <w:rPr>
      <w:i/>
      <w:iCs/>
      <w:color w:val="404040" w:themeColor="text1" w:themeTint="BF"/>
    </w:rPr>
  </w:style>
  <w:style w:type="character" w:customStyle="1" w:styleId="QuoteChar">
    <w:name w:val="Quote Char"/>
    <w:basedOn w:val="DefaultParagraphFont"/>
    <w:link w:val="Quote"/>
    <w:uiPriority w:val="29"/>
    <w:rsid w:val="00B03C57"/>
    <w:rPr>
      <w:rFonts w:ascii="Times New Roman" w:hAnsi="Times New Roman"/>
      <w:i/>
      <w:iCs/>
      <w:color w:val="404040" w:themeColor="text1" w:themeTint="BF"/>
      <w:sz w:val="24"/>
    </w:rPr>
  </w:style>
  <w:style w:type="paragraph" w:styleId="ListParagraph">
    <w:name w:val="List Paragraph"/>
    <w:basedOn w:val="Normal"/>
    <w:uiPriority w:val="34"/>
    <w:qFormat/>
    <w:rsid w:val="00B03C57"/>
    <w:pPr>
      <w:ind w:left="720"/>
      <w:contextualSpacing/>
    </w:pPr>
  </w:style>
  <w:style w:type="character" w:styleId="IntenseEmphasis">
    <w:name w:val="Intense Emphasis"/>
    <w:basedOn w:val="DefaultParagraphFont"/>
    <w:uiPriority w:val="21"/>
    <w:qFormat/>
    <w:rsid w:val="00B03C57"/>
    <w:rPr>
      <w:i/>
      <w:iCs/>
      <w:color w:val="0F4761" w:themeColor="accent1" w:themeShade="BF"/>
    </w:rPr>
  </w:style>
  <w:style w:type="paragraph" w:styleId="IntenseQuote">
    <w:name w:val="Intense Quote"/>
    <w:basedOn w:val="Normal"/>
    <w:next w:val="Normal"/>
    <w:link w:val="IntenseQuoteChar"/>
    <w:uiPriority w:val="30"/>
    <w:qFormat/>
    <w:rsid w:val="00B03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3C57"/>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B03C57"/>
    <w:rPr>
      <w:b/>
      <w:bCs/>
      <w:smallCaps/>
      <w:color w:val="0F4761" w:themeColor="accent1" w:themeShade="BF"/>
      <w:spacing w:val="5"/>
    </w:rPr>
  </w:style>
  <w:style w:type="character" w:styleId="Hyperlink">
    <w:name w:val="Hyperlink"/>
    <w:basedOn w:val="DefaultParagraphFont"/>
    <w:uiPriority w:val="99"/>
    <w:unhideWhenUsed/>
    <w:rsid w:val="00B03C57"/>
    <w:rPr>
      <w:color w:val="467886" w:themeColor="hyperlink"/>
      <w:u w:val="single"/>
    </w:rPr>
  </w:style>
  <w:style w:type="character" w:styleId="UnresolvedMention">
    <w:name w:val="Unresolved Mention"/>
    <w:basedOn w:val="DefaultParagraphFont"/>
    <w:uiPriority w:val="99"/>
    <w:semiHidden/>
    <w:unhideWhenUsed/>
    <w:rsid w:val="00B03C57"/>
    <w:rPr>
      <w:color w:val="605E5C"/>
      <w:shd w:val="clear" w:color="auto" w:fill="E1DFDD"/>
    </w:rPr>
  </w:style>
  <w:style w:type="paragraph" w:styleId="Header">
    <w:name w:val="header"/>
    <w:basedOn w:val="Normal"/>
    <w:link w:val="HeaderChar"/>
    <w:uiPriority w:val="99"/>
    <w:unhideWhenUsed/>
    <w:rsid w:val="00251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335"/>
    <w:rPr>
      <w:rFonts w:ascii="Times New Roman" w:hAnsi="Times New Roman"/>
      <w:sz w:val="24"/>
    </w:rPr>
  </w:style>
  <w:style w:type="paragraph" w:styleId="Footer">
    <w:name w:val="footer"/>
    <w:basedOn w:val="Normal"/>
    <w:link w:val="FooterChar"/>
    <w:uiPriority w:val="99"/>
    <w:unhideWhenUsed/>
    <w:rsid w:val="00251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335"/>
    <w:rPr>
      <w:rFonts w:ascii="Times New Roman" w:hAnsi="Times New Roman"/>
      <w:sz w:val="24"/>
    </w:rPr>
  </w:style>
  <w:style w:type="table" w:styleId="PlainTable2">
    <w:name w:val="Plain Table 2"/>
    <w:basedOn w:val="TableNormal"/>
    <w:uiPriority w:val="42"/>
    <w:rsid w:val="00EF536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unhideWhenUsed/>
    <w:qFormat/>
    <w:rsid w:val="00EF5361"/>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8B5E0A"/>
    <w:pPr>
      <w:spacing w:before="240" w:line="259" w:lineRule="auto"/>
      <w:jc w:val="left"/>
      <w:outlineLvl w:val="9"/>
    </w:pPr>
    <w:rPr>
      <w:rFonts w:asciiTheme="majorHAnsi" w:hAnsiTheme="majorHAnsi"/>
      <w:b w:val="0"/>
      <w:color w:val="0F4761" w:themeColor="accent1" w:themeShade="BF"/>
      <w:kern w:val="0"/>
      <w:sz w:val="32"/>
      <w:szCs w:val="32"/>
      <w:lang w:eastAsia="en-GB" w:bidi="bn-BD"/>
      <w14:ligatures w14:val="none"/>
    </w:rPr>
  </w:style>
  <w:style w:type="paragraph" w:styleId="TOC1">
    <w:name w:val="toc 1"/>
    <w:basedOn w:val="Normal"/>
    <w:next w:val="Normal"/>
    <w:autoRedefine/>
    <w:uiPriority w:val="39"/>
    <w:unhideWhenUsed/>
    <w:rsid w:val="008B5E0A"/>
    <w:pPr>
      <w:spacing w:after="100"/>
    </w:pPr>
  </w:style>
  <w:style w:type="paragraph" w:styleId="TOC2">
    <w:name w:val="toc 2"/>
    <w:basedOn w:val="Normal"/>
    <w:next w:val="Normal"/>
    <w:autoRedefine/>
    <w:uiPriority w:val="39"/>
    <w:unhideWhenUsed/>
    <w:rsid w:val="008B5E0A"/>
    <w:pPr>
      <w:spacing w:after="100"/>
      <w:ind w:left="240"/>
    </w:pPr>
  </w:style>
  <w:style w:type="paragraph" w:styleId="TOC3">
    <w:name w:val="toc 3"/>
    <w:basedOn w:val="Normal"/>
    <w:next w:val="Normal"/>
    <w:autoRedefine/>
    <w:uiPriority w:val="39"/>
    <w:unhideWhenUsed/>
    <w:rsid w:val="008B5E0A"/>
    <w:pPr>
      <w:spacing w:after="100"/>
      <w:ind w:left="480"/>
    </w:pPr>
  </w:style>
  <w:style w:type="paragraph" w:styleId="TableofFigures">
    <w:name w:val="table of figures"/>
    <w:basedOn w:val="Normal"/>
    <w:next w:val="Normal"/>
    <w:uiPriority w:val="99"/>
    <w:unhideWhenUsed/>
    <w:rsid w:val="008B5E0A"/>
    <w:pPr>
      <w:spacing w:after="0"/>
    </w:pPr>
  </w:style>
  <w:style w:type="table" w:customStyle="1" w:styleId="TableGrid">
    <w:name w:val="TableGrid"/>
    <w:rsid w:val="000771EC"/>
    <w:pPr>
      <w:spacing w:after="0" w:line="240" w:lineRule="auto"/>
    </w:pPr>
    <w:rPr>
      <w:rFonts w:eastAsiaTheme="minorEastAsia"/>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863FFF-FC0F-4403-A785-6A33F939C1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3510</Words>
  <Characters>20008</Characters>
  <Application>Microsoft Office Word</Application>
  <DocSecurity>0</DocSecurity>
  <Lines>166</Lines>
  <Paragraphs>46</Paragraphs>
  <ScaleCrop>false</ScaleCrop>
  <Company/>
  <LinksUpToDate>false</LinksUpToDate>
  <CharactersWithSpaces>23472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2026-06-26T07:31:00Z</dcterms:created>
  <dcterms:modified xsi:type="dcterms:W3CDTF">2026-06-26T07:31:00Z</dcterms:modified>
</cp:coreProperties>
</file>