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52CAB" w14:textId="77777777" w:rsidR="000C17EA" w:rsidRPr="009C739F" w:rsidRDefault="000C17EA" w:rsidP="005B540C">
      <w:pPr>
        <w:pStyle w:val="ListParagraph"/>
        <w:spacing w:line="360" w:lineRule="auto"/>
        <w:rPr>
          <w:sz w:val="24"/>
          <w:szCs w:val="24"/>
        </w:rPr>
      </w:pPr>
      <w:bookmarkStart w:id="0" w:name="_GoBack"/>
      <w:r w:rsidRPr="009C739F">
        <w:rPr>
          <w:sz w:val="24"/>
          <w:szCs w:val="24"/>
        </w:rPr>
        <w:t>6th November 2019 – Jasmine Williams: In up to 1000 words explain how sex and gender beliefs shape social life?</w:t>
      </w:r>
    </w:p>
    <w:p w14:paraId="19CF5C90" w14:textId="77777777" w:rsidR="000C17EA" w:rsidRPr="009C739F" w:rsidRDefault="000C17EA" w:rsidP="005B540C">
      <w:pPr>
        <w:pStyle w:val="ListParagraph"/>
        <w:spacing w:line="360" w:lineRule="auto"/>
        <w:rPr>
          <w:sz w:val="24"/>
          <w:szCs w:val="24"/>
        </w:rPr>
      </w:pPr>
    </w:p>
    <w:p w14:paraId="431EBBE1" w14:textId="77777777" w:rsidR="000C17EA" w:rsidRPr="009C739F" w:rsidRDefault="000C17EA" w:rsidP="005B540C">
      <w:pPr>
        <w:pStyle w:val="ListParagraph"/>
        <w:spacing w:line="360" w:lineRule="auto"/>
        <w:rPr>
          <w:sz w:val="24"/>
          <w:szCs w:val="24"/>
        </w:rPr>
      </w:pPr>
      <w:r w:rsidRPr="009C739F">
        <w:rPr>
          <w:sz w:val="24"/>
          <w:szCs w:val="24"/>
        </w:rPr>
        <w:t>Within every social group there is an understanding of position and role allocation based upon factors such as age, sexuality and gender; as stated by Ingold “Bodies cannot exist without engagement with materials” (Ingold, 2000. p5) every individual means of living is based upon their interactions with the environment and materials however the means I which an individual interacts with the environment is commonly heavily restricted based upon a cross-cultural framework of how indigenous groups live differently to each other based upon there own gender roles. In the Sambia, the division between Gendered roles is shown through the idea of a ‘private’ and ‘public’ life (Herdt, 1987). Women are believed to be ‘impure’ – the milk and blood they produce due to ovulation and puberty, Is seen as pollution for men, and thus young boys are taken from their mothers between the ages 3-4 (Herdt, 1987). Due to these beliefs surrounding woman and virginity, the Sambias rituals and livelihood had adapted to accommodate their social beliefs – for example young boys are made to bleed from the nose, mimicking that of their mothers bleeding as a sign of them removing the feminine impurities attributed to them at birth from close contact with their mother, the mothers menstrual blood is believed to become the child's circulatory blood; a unity is formed through the generations of men within the Sambia as they inform each other and thus collectively accumulating knowledge  – “rituals of purity and impurity create unity inexperience” (Douglas, 1966. P12). Men live in fear of a woman's ability to bleed; if a ‘female substance’ was to be slipped into a males food, they would become ill; “male illness resulting from female sourcery” (Herdt, 1987.p70). This shows how the Sambias social life has been shaped by their gender beliefs – men's fear of women causes them to segregate themselves in everyday life, all aspects of the life within the Sambia group is subject to the gender divide; even in terms of procreation it is a secret act of misconduct (Herdt, 1987) all of which is attributed by their social construct of gender.</w:t>
      </w:r>
    </w:p>
    <w:p w14:paraId="0D1A9017" w14:textId="77777777" w:rsidR="000C17EA" w:rsidRPr="009C739F" w:rsidRDefault="000C17EA" w:rsidP="005B540C">
      <w:pPr>
        <w:pStyle w:val="ListParagraph"/>
        <w:spacing w:line="360" w:lineRule="auto"/>
        <w:rPr>
          <w:sz w:val="24"/>
          <w:szCs w:val="24"/>
        </w:rPr>
      </w:pPr>
    </w:p>
    <w:p w14:paraId="4F1684AB" w14:textId="77777777" w:rsidR="000C17EA" w:rsidRPr="009C739F" w:rsidRDefault="000C17EA" w:rsidP="005B540C">
      <w:pPr>
        <w:pStyle w:val="ListParagraph"/>
        <w:spacing w:line="360" w:lineRule="auto"/>
        <w:rPr>
          <w:sz w:val="24"/>
          <w:szCs w:val="24"/>
        </w:rPr>
      </w:pPr>
      <w:r w:rsidRPr="009C739F">
        <w:rPr>
          <w:sz w:val="24"/>
          <w:szCs w:val="24"/>
        </w:rPr>
        <w:t xml:space="preserve">Traveller Gypsys obtain similar gendered social beliefs surrounding the female menstruation and idea of ‘impurity’; “the Gypsies' pollution taboos which are </w:t>
      </w:r>
      <w:r w:rsidRPr="009C739F">
        <w:rPr>
          <w:sz w:val="24"/>
          <w:szCs w:val="24"/>
        </w:rPr>
        <w:lastRenderedPageBreak/>
        <w:t>vaguely justified by educationalists as part of 'Gypsy culture” (Okely, 1983). This suggests the social meanings attributed by group has visibly impacted their interactions and daily life. For example within the traveller community, it is common practice to store female clothing and coverings separate from other family members clothing; the segregation between genders is shown as women's interactions with the environment (household), relationships and livelihood are adapted during times of menstruation. “Specific mention of menstruation is not supposed to be made in front of men” (Okely, 1983. P42), here gender beliefs are shown to shape society. Women maintain a degree of respect and secrecy similar to the Sambia who use euphemisms for sex when in the presence of children and men “secret talk can emerge anywhere“ (Herdt, 1987. p68) this affects their everyday interactions – menstruating woman are deemed unfit to work and made to retire from housework until the end of their period in order to retain purity within the household; similar to the segregation of male and female clothes to avoid contamination of the male purity, (Okely, 1983).</w:t>
      </w:r>
    </w:p>
    <w:p w14:paraId="2DEC6472" w14:textId="77777777" w:rsidR="000C17EA" w:rsidRPr="009C739F" w:rsidRDefault="000C17EA" w:rsidP="005B540C">
      <w:pPr>
        <w:pStyle w:val="ListParagraph"/>
        <w:spacing w:line="360" w:lineRule="auto"/>
        <w:rPr>
          <w:sz w:val="24"/>
          <w:szCs w:val="24"/>
        </w:rPr>
      </w:pPr>
    </w:p>
    <w:p w14:paraId="60D63876" w14:textId="77777777" w:rsidR="000C17EA" w:rsidRPr="009C739F" w:rsidRDefault="000C17EA" w:rsidP="005B540C">
      <w:pPr>
        <w:pStyle w:val="ListParagraph"/>
        <w:spacing w:line="360" w:lineRule="auto"/>
        <w:rPr>
          <w:sz w:val="24"/>
          <w:szCs w:val="24"/>
        </w:rPr>
      </w:pPr>
      <w:r w:rsidRPr="009C739F">
        <w:rPr>
          <w:sz w:val="24"/>
          <w:szCs w:val="24"/>
        </w:rPr>
        <w:t>Unlike the Nuer however gendered roles are maintained all year round, woman are the cattle maids with the help of young boys who until hunting age remain with their mothers – similar to the Sanbia; As are the men the owner of the cattle, hunters and providers. These gendered roles and affiliations do not stop due to menstruation (Evans-Pritchard, 1940), suggesting gender beliefs of the Nuer shape their society in a varied fashion to the Sanbia and Traveller Gypsys. The roles and interactions of genders is baed upon the individual “experience of our own body” (Bennett, 2004. P.24); women experience menstruation thus are treated differently to men.</w:t>
      </w:r>
    </w:p>
    <w:p w14:paraId="1540F8E9" w14:textId="77777777" w:rsidR="000C17EA" w:rsidRPr="009C739F" w:rsidRDefault="000C17EA" w:rsidP="005B540C">
      <w:pPr>
        <w:pStyle w:val="ListParagraph"/>
        <w:spacing w:line="360" w:lineRule="auto"/>
        <w:rPr>
          <w:sz w:val="24"/>
          <w:szCs w:val="24"/>
        </w:rPr>
      </w:pPr>
    </w:p>
    <w:p w14:paraId="7899C7A6" w14:textId="77777777" w:rsidR="000C17EA" w:rsidRPr="009C739F" w:rsidRDefault="000C17EA" w:rsidP="005B540C">
      <w:pPr>
        <w:pStyle w:val="ListParagraph"/>
        <w:spacing w:line="360" w:lineRule="auto"/>
        <w:rPr>
          <w:sz w:val="24"/>
          <w:szCs w:val="24"/>
        </w:rPr>
      </w:pPr>
      <w:r w:rsidRPr="009C739F">
        <w:rPr>
          <w:sz w:val="24"/>
          <w:szCs w:val="24"/>
        </w:rPr>
        <w:t xml:space="preserve">The Yanomamo “women are the fruit” (Chagnon, 1968. P.54), the comparison of a woman to a valued object in biblical terms similar to that of ‘eve’ with the apple; shows a reflection as the value of woman within multiple cosmologies; something that is just there to take. Within the Yanaomamo woman are devalued as snakes whereas men are animated as ‘high flying’ creatures, and thus positioning themselves above women naturally. Despite this devalue woman are still often fought over and stollen during indigenous raids (Chagnon, 1968); this suggests the </w:t>
      </w:r>
      <w:r w:rsidRPr="009C739F">
        <w:rPr>
          <w:sz w:val="24"/>
          <w:szCs w:val="24"/>
        </w:rPr>
        <w:lastRenderedPageBreak/>
        <w:t>shaping of indigenous societies are heavily warranted by their cosmologies surrounding gender and sexuality however these views varies based upon the individual groups, historical beliefs and livelihoods – a woman's value is often based upon their role within society for example in the Nuer woman hold a higher value due to their role as milkmaids, (Evans-Pritchard, 1940).</w:t>
      </w:r>
    </w:p>
    <w:p w14:paraId="3E8D36AC" w14:textId="77777777" w:rsidR="000C17EA" w:rsidRPr="009C739F" w:rsidRDefault="000C17EA" w:rsidP="005B540C">
      <w:pPr>
        <w:pStyle w:val="ListParagraph"/>
        <w:spacing w:line="360" w:lineRule="auto"/>
        <w:rPr>
          <w:sz w:val="24"/>
          <w:szCs w:val="24"/>
        </w:rPr>
      </w:pPr>
    </w:p>
    <w:p w14:paraId="4A7738A1" w14:textId="77777777" w:rsidR="000C17EA" w:rsidRPr="009C739F" w:rsidRDefault="000C17EA" w:rsidP="005B540C">
      <w:pPr>
        <w:pStyle w:val="ListParagraph"/>
        <w:spacing w:line="360" w:lineRule="auto"/>
        <w:rPr>
          <w:sz w:val="24"/>
          <w:szCs w:val="24"/>
        </w:rPr>
      </w:pPr>
      <w:r w:rsidRPr="009C739F">
        <w:rPr>
          <w:sz w:val="24"/>
          <w:szCs w:val="24"/>
        </w:rPr>
        <w:t>Overall the meanings attributed to gender and sexuality within individual groups often contain patterns regarding cosmology and purity; women are described as almost separate to men's culture and society. This suggests sex and gender beliefs can have an influence on the shaping of society.</w:t>
      </w:r>
    </w:p>
    <w:p w14:paraId="5AC451A7" w14:textId="77777777" w:rsidR="000C17EA" w:rsidRPr="009C739F" w:rsidRDefault="000C17EA" w:rsidP="005B540C">
      <w:pPr>
        <w:pStyle w:val="ListParagraph"/>
        <w:spacing w:line="360" w:lineRule="auto"/>
        <w:rPr>
          <w:sz w:val="24"/>
          <w:szCs w:val="24"/>
        </w:rPr>
      </w:pPr>
    </w:p>
    <w:p w14:paraId="387D535A" w14:textId="77777777" w:rsidR="000C17EA" w:rsidRPr="009C739F" w:rsidRDefault="000C17EA" w:rsidP="005B540C">
      <w:pPr>
        <w:pStyle w:val="ListParagraph"/>
        <w:spacing w:line="360" w:lineRule="auto"/>
        <w:rPr>
          <w:sz w:val="24"/>
          <w:szCs w:val="24"/>
        </w:rPr>
      </w:pPr>
      <w:r w:rsidRPr="009C739F">
        <w:rPr>
          <w:sz w:val="24"/>
          <w:szCs w:val="24"/>
        </w:rPr>
        <w:t>Bibliography:</w:t>
      </w:r>
    </w:p>
    <w:p w14:paraId="3AF37BD0" w14:textId="77777777" w:rsidR="000C17EA" w:rsidRPr="009C739F" w:rsidRDefault="000C17EA" w:rsidP="005B540C">
      <w:pPr>
        <w:pStyle w:val="ListParagraph"/>
        <w:spacing w:line="360" w:lineRule="auto"/>
        <w:rPr>
          <w:sz w:val="24"/>
          <w:szCs w:val="24"/>
        </w:rPr>
      </w:pPr>
    </w:p>
    <w:p w14:paraId="29E1A56B" w14:textId="77777777" w:rsidR="000C17EA" w:rsidRPr="009C739F" w:rsidRDefault="000C17EA" w:rsidP="005B540C">
      <w:pPr>
        <w:pStyle w:val="ListParagraph"/>
        <w:spacing w:line="360" w:lineRule="auto"/>
        <w:rPr>
          <w:sz w:val="24"/>
          <w:szCs w:val="24"/>
        </w:rPr>
      </w:pPr>
      <w:r w:rsidRPr="009C739F">
        <w:rPr>
          <w:sz w:val="24"/>
          <w:szCs w:val="24"/>
        </w:rPr>
        <w:t xml:space="preserve">· Bennett, J. 2004 </w:t>
      </w:r>
      <w:r w:rsidRPr="009C739F">
        <w:rPr>
          <w:i/>
          <w:iCs/>
          <w:sz w:val="24"/>
          <w:szCs w:val="24"/>
        </w:rPr>
        <w:t>‘the force of things: Steps towards an ecology of matter’</w:t>
      </w:r>
      <w:r w:rsidRPr="009C739F">
        <w:rPr>
          <w:sz w:val="24"/>
          <w:szCs w:val="24"/>
        </w:rPr>
        <w:t>, California: SAGE publications.</w:t>
      </w:r>
    </w:p>
    <w:p w14:paraId="5093BEF4" w14:textId="77777777" w:rsidR="000C17EA" w:rsidRPr="009C739F" w:rsidRDefault="000C17EA" w:rsidP="005B540C">
      <w:pPr>
        <w:pStyle w:val="ListParagraph"/>
        <w:spacing w:line="360" w:lineRule="auto"/>
        <w:rPr>
          <w:sz w:val="24"/>
          <w:szCs w:val="24"/>
        </w:rPr>
      </w:pPr>
    </w:p>
    <w:p w14:paraId="4F11829D" w14:textId="77777777" w:rsidR="000C17EA" w:rsidRPr="009C739F" w:rsidRDefault="000C17EA" w:rsidP="005B540C">
      <w:pPr>
        <w:pStyle w:val="ListParagraph"/>
        <w:spacing w:line="360" w:lineRule="auto"/>
        <w:rPr>
          <w:sz w:val="24"/>
          <w:szCs w:val="24"/>
        </w:rPr>
      </w:pPr>
      <w:r w:rsidRPr="009C739F">
        <w:rPr>
          <w:sz w:val="24"/>
          <w:szCs w:val="24"/>
        </w:rPr>
        <w:t xml:space="preserve">· Changon, N. 1968 </w:t>
      </w:r>
      <w:r w:rsidRPr="009C739F">
        <w:rPr>
          <w:i/>
          <w:iCs/>
          <w:sz w:val="24"/>
          <w:szCs w:val="24"/>
        </w:rPr>
        <w:t>‘Yanomamo: The Fierce People’,</w:t>
      </w:r>
      <w:r w:rsidRPr="009C739F">
        <w:rPr>
          <w:sz w:val="24"/>
          <w:szCs w:val="24"/>
        </w:rPr>
        <w:t xml:space="preserve"> Boston: Thomson Learning.</w:t>
      </w:r>
    </w:p>
    <w:p w14:paraId="6DCC910E" w14:textId="77777777" w:rsidR="000C17EA" w:rsidRPr="009C739F" w:rsidRDefault="000C17EA" w:rsidP="005B540C">
      <w:pPr>
        <w:pStyle w:val="ListParagraph"/>
        <w:spacing w:line="360" w:lineRule="auto"/>
        <w:rPr>
          <w:sz w:val="24"/>
          <w:szCs w:val="24"/>
        </w:rPr>
      </w:pPr>
    </w:p>
    <w:p w14:paraId="5BE5C5FD" w14:textId="77777777" w:rsidR="000C17EA" w:rsidRPr="009C739F" w:rsidRDefault="000C17EA" w:rsidP="005B540C">
      <w:pPr>
        <w:pStyle w:val="ListParagraph"/>
        <w:spacing w:line="360" w:lineRule="auto"/>
        <w:rPr>
          <w:sz w:val="24"/>
          <w:szCs w:val="24"/>
        </w:rPr>
      </w:pPr>
      <w:r w:rsidRPr="009C739F">
        <w:rPr>
          <w:sz w:val="24"/>
          <w:szCs w:val="24"/>
        </w:rPr>
        <w:t xml:space="preserve">· Douglas, M. 1966, </w:t>
      </w:r>
      <w:r w:rsidRPr="009C739F">
        <w:rPr>
          <w:i/>
          <w:iCs/>
          <w:sz w:val="24"/>
          <w:szCs w:val="24"/>
        </w:rPr>
        <w:t>‘Purity and Danger’</w:t>
      </w:r>
      <w:r w:rsidRPr="009C739F">
        <w:rPr>
          <w:sz w:val="24"/>
          <w:szCs w:val="24"/>
        </w:rPr>
        <w:t>, United Kingdom: Routledge and Keegan Paul.</w:t>
      </w:r>
    </w:p>
    <w:p w14:paraId="18E95726" w14:textId="77777777" w:rsidR="000C17EA" w:rsidRPr="009C739F" w:rsidRDefault="000C17EA" w:rsidP="005B540C">
      <w:pPr>
        <w:pStyle w:val="ListParagraph"/>
        <w:spacing w:line="360" w:lineRule="auto"/>
        <w:rPr>
          <w:sz w:val="24"/>
          <w:szCs w:val="24"/>
        </w:rPr>
      </w:pPr>
    </w:p>
    <w:p w14:paraId="4AC11748" w14:textId="77777777" w:rsidR="000C17EA" w:rsidRPr="009C739F" w:rsidRDefault="000C17EA" w:rsidP="005B540C">
      <w:pPr>
        <w:pStyle w:val="ListParagraph"/>
        <w:spacing w:line="360" w:lineRule="auto"/>
        <w:rPr>
          <w:sz w:val="24"/>
          <w:szCs w:val="24"/>
        </w:rPr>
      </w:pPr>
      <w:r w:rsidRPr="009C739F">
        <w:rPr>
          <w:sz w:val="24"/>
          <w:szCs w:val="24"/>
        </w:rPr>
        <w:t xml:space="preserve">· Evans-Pritchard, E. (1940) </w:t>
      </w:r>
      <w:r w:rsidRPr="009C739F">
        <w:rPr>
          <w:i/>
          <w:iCs/>
          <w:sz w:val="24"/>
          <w:szCs w:val="24"/>
        </w:rPr>
        <w:t>‘The Nuer’</w:t>
      </w:r>
      <w:r w:rsidRPr="009C739F">
        <w:rPr>
          <w:sz w:val="24"/>
          <w:szCs w:val="24"/>
        </w:rPr>
        <w:t>. Oxford: Oxford University Press.</w:t>
      </w:r>
    </w:p>
    <w:p w14:paraId="6CA7141F" w14:textId="77777777" w:rsidR="000C17EA" w:rsidRPr="009C739F" w:rsidRDefault="000C17EA" w:rsidP="005B540C">
      <w:pPr>
        <w:pStyle w:val="ListParagraph"/>
        <w:spacing w:line="360" w:lineRule="auto"/>
        <w:rPr>
          <w:sz w:val="24"/>
          <w:szCs w:val="24"/>
        </w:rPr>
      </w:pPr>
    </w:p>
    <w:p w14:paraId="60BBE9D6" w14:textId="77777777" w:rsidR="000C17EA" w:rsidRPr="009C739F" w:rsidRDefault="000C17EA" w:rsidP="005B540C">
      <w:pPr>
        <w:pStyle w:val="ListParagraph"/>
        <w:spacing w:line="360" w:lineRule="auto"/>
        <w:rPr>
          <w:sz w:val="24"/>
          <w:szCs w:val="24"/>
        </w:rPr>
      </w:pPr>
      <w:r w:rsidRPr="009C739F">
        <w:rPr>
          <w:sz w:val="24"/>
          <w:szCs w:val="24"/>
        </w:rPr>
        <w:t>· Herdt, G. 1987 ‘</w:t>
      </w:r>
      <w:r w:rsidRPr="009C739F">
        <w:rPr>
          <w:i/>
          <w:iCs/>
          <w:sz w:val="24"/>
          <w:szCs w:val="24"/>
        </w:rPr>
        <w:t>The Sambia: Ritual and Gender in New Guinea’</w:t>
      </w:r>
      <w:r w:rsidRPr="009C739F">
        <w:rPr>
          <w:sz w:val="24"/>
          <w:szCs w:val="24"/>
        </w:rPr>
        <w:t>. United Kingdom: Wadsworth Publishing Co Inc.</w:t>
      </w:r>
    </w:p>
    <w:p w14:paraId="2406AB42" w14:textId="77777777" w:rsidR="000C17EA" w:rsidRPr="009C739F" w:rsidRDefault="000C17EA" w:rsidP="005B540C">
      <w:pPr>
        <w:pStyle w:val="ListParagraph"/>
        <w:spacing w:line="360" w:lineRule="auto"/>
        <w:rPr>
          <w:sz w:val="24"/>
          <w:szCs w:val="24"/>
        </w:rPr>
      </w:pPr>
    </w:p>
    <w:p w14:paraId="2EE4C7C3" w14:textId="51D78CD5" w:rsidR="000C17EA" w:rsidRPr="009C739F" w:rsidRDefault="000C17EA" w:rsidP="005B540C">
      <w:pPr>
        <w:pStyle w:val="ListParagraph"/>
        <w:spacing w:line="360" w:lineRule="auto"/>
        <w:rPr>
          <w:sz w:val="24"/>
          <w:szCs w:val="24"/>
        </w:rPr>
      </w:pPr>
      <w:r w:rsidRPr="009C739F">
        <w:rPr>
          <w:sz w:val="24"/>
          <w:szCs w:val="24"/>
        </w:rPr>
        <w:t>· Ingold, T. (2000) ‘</w:t>
      </w:r>
      <w:r w:rsidRPr="009C739F">
        <w:rPr>
          <w:i/>
          <w:iCs/>
          <w:sz w:val="24"/>
          <w:szCs w:val="24"/>
        </w:rPr>
        <w:t>The Perception of the Environment, Essays on livelihood, dwelling and skill</w:t>
      </w:r>
      <w:r w:rsidR="00345E63" w:rsidRPr="009C739F">
        <w:rPr>
          <w:sz w:val="24"/>
          <w:szCs w:val="24"/>
        </w:rPr>
        <w:t>’</w:t>
      </w:r>
      <w:r w:rsidRPr="009C739F">
        <w:rPr>
          <w:sz w:val="24"/>
          <w:szCs w:val="24"/>
        </w:rPr>
        <w:t>. London: Routledge.</w:t>
      </w:r>
    </w:p>
    <w:p w14:paraId="19D053F1" w14:textId="77777777" w:rsidR="000C17EA" w:rsidRPr="009C739F" w:rsidRDefault="000C17EA" w:rsidP="005B540C">
      <w:pPr>
        <w:pStyle w:val="ListParagraph"/>
        <w:spacing w:line="360" w:lineRule="auto"/>
        <w:rPr>
          <w:sz w:val="24"/>
          <w:szCs w:val="24"/>
        </w:rPr>
      </w:pPr>
    </w:p>
    <w:p w14:paraId="384579E1" w14:textId="6830FEB1" w:rsidR="00B71430" w:rsidRPr="009C739F" w:rsidRDefault="000C17EA" w:rsidP="005B540C">
      <w:pPr>
        <w:pStyle w:val="ListParagraph"/>
        <w:spacing w:line="360" w:lineRule="auto"/>
        <w:rPr>
          <w:sz w:val="24"/>
          <w:szCs w:val="24"/>
        </w:rPr>
      </w:pPr>
      <w:r w:rsidRPr="009C739F">
        <w:rPr>
          <w:sz w:val="24"/>
          <w:szCs w:val="24"/>
        </w:rPr>
        <w:t xml:space="preserve">· Okely, J. 1983 </w:t>
      </w:r>
      <w:r w:rsidRPr="009C739F">
        <w:rPr>
          <w:i/>
          <w:iCs/>
          <w:sz w:val="24"/>
          <w:szCs w:val="24"/>
        </w:rPr>
        <w:t>‘The Traveller-gypsies’</w:t>
      </w:r>
      <w:r w:rsidRPr="009C739F">
        <w:rPr>
          <w:sz w:val="24"/>
          <w:szCs w:val="24"/>
        </w:rPr>
        <w:t>. Cambridge: Cambridge University Press.</w:t>
      </w:r>
      <w:bookmarkEnd w:id="0"/>
    </w:p>
    <w:sectPr w:rsidR="00B71430" w:rsidRPr="009C7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C2C60"/>
    <w:multiLevelType w:val="hybridMultilevel"/>
    <w:tmpl w:val="6BEEF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A24"/>
    <w:rsid w:val="000C17EA"/>
    <w:rsid w:val="00152DC5"/>
    <w:rsid w:val="001B44CA"/>
    <w:rsid w:val="001D48B7"/>
    <w:rsid w:val="00213A24"/>
    <w:rsid w:val="00214001"/>
    <w:rsid w:val="002C0631"/>
    <w:rsid w:val="002E4C06"/>
    <w:rsid w:val="00345E63"/>
    <w:rsid w:val="00374085"/>
    <w:rsid w:val="003A5FDD"/>
    <w:rsid w:val="00440380"/>
    <w:rsid w:val="004A0911"/>
    <w:rsid w:val="004C08F6"/>
    <w:rsid w:val="004F4B65"/>
    <w:rsid w:val="00577704"/>
    <w:rsid w:val="00596CCD"/>
    <w:rsid w:val="005B540C"/>
    <w:rsid w:val="007A34E2"/>
    <w:rsid w:val="007F0948"/>
    <w:rsid w:val="0080420E"/>
    <w:rsid w:val="008C0E15"/>
    <w:rsid w:val="009C3A5D"/>
    <w:rsid w:val="009C739F"/>
    <w:rsid w:val="00A96766"/>
    <w:rsid w:val="00AF0051"/>
    <w:rsid w:val="00B62873"/>
    <w:rsid w:val="00B71430"/>
    <w:rsid w:val="00B84B73"/>
    <w:rsid w:val="00BA1E7D"/>
    <w:rsid w:val="00BB2EBE"/>
    <w:rsid w:val="00C17BFA"/>
    <w:rsid w:val="00D766F4"/>
    <w:rsid w:val="00D928EF"/>
    <w:rsid w:val="00F41149"/>
    <w:rsid w:val="00F42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1E4AB"/>
  <w15:chartTrackingRefBased/>
  <w15:docId w15:val="{ACADE931-60EB-4973-A26F-95E18EF2B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6C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1145</TotalTime>
  <Pages>3</Pages>
  <Words>911</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dc:creator>
  <cp:keywords/>
  <dc:description/>
  <cp:lastModifiedBy>jasmine williams</cp:lastModifiedBy>
  <cp:revision>29</cp:revision>
  <dcterms:created xsi:type="dcterms:W3CDTF">2019-11-08T00:38:00Z</dcterms:created>
  <dcterms:modified xsi:type="dcterms:W3CDTF">2019-11-08T19:48:00Z</dcterms:modified>
</cp:coreProperties>
</file>