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9AC0F0" w14:textId="77777777" w:rsidR="005C7051" w:rsidRPr="008670F9" w:rsidRDefault="00EA1111" w:rsidP="008670F9">
      <w:pPr>
        <w:tabs>
          <w:tab w:val="left" w:pos="4215"/>
        </w:tabs>
        <w:spacing w:line="360" w:lineRule="auto"/>
        <w:jc w:val="center"/>
      </w:pPr>
      <w:r w:rsidRPr="008670F9">
        <w:rPr>
          <w:b/>
          <w:u w:val="single"/>
        </w:rPr>
        <w:t>Cover Page:</w:t>
      </w:r>
    </w:p>
    <w:p w14:paraId="019AC0F1" w14:textId="77777777" w:rsidR="005C7051" w:rsidRPr="008670F9" w:rsidRDefault="00EA1111" w:rsidP="008670F9">
      <w:pPr>
        <w:spacing w:line="360" w:lineRule="auto"/>
        <w:jc w:val="center"/>
      </w:pPr>
      <w:bookmarkStart w:id="0" w:name="_heading=h.gjdgxs" w:colFirst="0" w:colLast="0"/>
      <w:bookmarkEnd w:id="0"/>
      <w:r w:rsidRPr="008670F9">
        <w:t xml:space="preserve">Name: Khaled </w:t>
      </w:r>
      <w:proofErr w:type="spellStart"/>
      <w:r w:rsidRPr="008670F9">
        <w:t>Kbies</w:t>
      </w:r>
      <w:proofErr w:type="spellEnd"/>
    </w:p>
    <w:p w14:paraId="019AC0F2" w14:textId="77777777" w:rsidR="005C7051" w:rsidRPr="008670F9" w:rsidRDefault="00EA1111" w:rsidP="008670F9">
      <w:pPr>
        <w:spacing w:line="360" w:lineRule="auto"/>
        <w:jc w:val="center"/>
      </w:pPr>
      <w:r w:rsidRPr="008670F9">
        <w:t>Student Number: 2017907</w:t>
      </w:r>
    </w:p>
    <w:p w14:paraId="019AC0F3" w14:textId="77777777" w:rsidR="005C7051" w:rsidRPr="008670F9" w:rsidRDefault="00EA1111" w:rsidP="008670F9">
      <w:pPr>
        <w:spacing w:line="360" w:lineRule="auto"/>
        <w:jc w:val="center"/>
      </w:pPr>
      <w:r w:rsidRPr="008670F9">
        <w:t>Module Code: BMSW6103</w:t>
      </w:r>
    </w:p>
    <w:p w14:paraId="019AC0F4" w14:textId="77777777" w:rsidR="005C7051" w:rsidRPr="008670F9" w:rsidRDefault="00EA1111" w:rsidP="008670F9">
      <w:pPr>
        <w:spacing w:line="360" w:lineRule="auto"/>
        <w:jc w:val="center"/>
      </w:pPr>
      <w:r w:rsidRPr="008670F9">
        <w:t>Module Title: Leading and Implementing Workplace Change</w:t>
      </w:r>
    </w:p>
    <w:p w14:paraId="019AC0F5" w14:textId="77777777" w:rsidR="005C7051" w:rsidRPr="008670F9" w:rsidRDefault="00EA1111" w:rsidP="008670F9">
      <w:pPr>
        <w:spacing w:line="360" w:lineRule="auto"/>
        <w:jc w:val="center"/>
      </w:pPr>
      <w:r w:rsidRPr="008670F9">
        <w:t>Lecturer’s Name: Nadeem Mirza</w:t>
      </w:r>
    </w:p>
    <w:p w14:paraId="019AC0F6" w14:textId="77777777" w:rsidR="005C7051" w:rsidRPr="008670F9" w:rsidRDefault="00EA1111" w:rsidP="008670F9">
      <w:pPr>
        <w:spacing w:line="360" w:lineRule="auto"/>
        <w:jc w:val="center"/>
      </w:pPr>
      <w:r w:rsidRPr="008670F9">
        <w:t>Assignment Title: Individual Report on: Change Management Plan</w:t>
      </w:r>
    </w:p>
    <w:p w14:paraId="019AC0F7" w14:textId="77777777" w:rsidR="005C7051" w:rsidRPr="008670F9" w:rsidRDefault="00EA1111" w:rsidP="008670F9">
      <w:pPr>
        <w:spacing w:line="360" w:lineRule="auto"/>
        <w:jc w:val="center"/>
      </w:pPr>
      <w:proofErr w:type="spellStart"/>
      <w:r w:rsidRPr="008670F9">
        <w:t>Programme</w:t>
      </w:r>
      <w:proofErr w:type="spellEnd"/>
      <w:r w:rsidRPr="008670F9">
        <w:t>: BA (Hons) Leadership and Management Skills in the Workplace</w:t>
      </w:r>
    </w:p>
    <w:p w14:paraId="019AC0F8" w14:textId="77777777" w:rsidR="005C7051" w:rsidRPr="008670F9" w:rsidRDefault="00EA1111" w:rsidP="008670F9">
      <w:pPr>
        <w:spacing w:line="360" w:lineRule="auto"/>
      </w:pPr>
      <w:r w:rsidRPr="008670F9">
        <w:br w:type="page"/>
      </w:r>
    </w:p>
    <w:p w14:paraId="019AC0F9" w14:textId="77777777" w:rsidR="005C7051" w:rsidRPr="008670F9" w:rsidRDefault="00EA1111" w:rsidP="008670F9">
      <w:pPr>
        <w:spacing w:line="360" w:lineRule="auto"/>
        <w:jc w:val="center"/>
        <w:rPr>
          <w:b/>
        </w:rPr>
      </w:pPr>
      <w:r w:rsidRPr="008670F9">
        <w:rPr>
          <w:b/>
        </w:rPr>
        <w:lastRenderedPageBreak/>
        <w:t>Executive Summary</w:t>
      </w:r>
    </w:p>
    <w:p w14:paraId="272E61F4" w14:textId="77777777" w:rsidR="00C6079D" w:rsidRPr="008670F9" w:rsidRDefault="00C6079D" w:rsidP="008670F9">
      <w:pPr>
        <w:spacing w:line="360" w:lineRule="auto"/>
        <w:jc w:val="center"/>
        <w:rPr>
          <w:b/>
        </w:rPr>
      </w:pPr>
    </w:p>
    <w:p w14:paraId="3168B045" w14:textId="77777777" w:rsidR="00C6079D" w:rsidRPr="008670F9" w:rsidRDefault="00C6079D" w:rsidP="008670F9">
      <w:pPr>
        <w:spacing w:line="360" w:lineRule="auto"/>
        <w:jc w:val="center"/>
        <w:rPr>
          <w:b/>
        </w:rPr>
      </w:pPr>
    </w:p>
    <w:p w14:paraId="3842C59C" w14:textId="6530BFDD" w:rsidR="00C6079D" w:rsidRPr="008670F9" w:rsidRDefault="00C6079D" w:rsidP="008670F9">
      <w:pPr>
        <w:spacing w:line="360" w:lineRule="auto"/>
        <w:jc w:val="both"/>
        <w:rPr>
          <w:rFonts w:eastAsia="Times New Roman"/>
        </w:rPr>
      </w:pPr>
      <w:r w:rsidRPr="008670F9">
        <w:rPr>
          <w:rFonts w:eastAsia="Times New Roman"/>
        </w:rPr>
        <w:t>Change management and organizational changes are critical in today's business environment, impacted by globalization, competitive challenges, and a variety of other issues. Strategic imperatives, cultural adjustments, technical breakthroughs, multicultural dynamics, or financial reasons can all drive organizational change. This process necessitates thorough planning, execution, and evaluation, with management and human resources bearing primary responsibility. The study discusses the need for change management, highlights the value of collaborative change planning, and evaluates the scope of these changes. Specifically, it investigates the impact of organizational culture on change management and develops a customized change management plan for Konami Company, a well-known Japanese entertainment company that operates globally. Despite competing in varied markets such as Asia, Europe, and South America, Konami continues to exhibit market competitiveness, as seen by increased revenue.</w:t>
      </w:r>
    </w:p>
    <w:p w14:paraId="426CE34D" w14:textId="77777777" w:rsidR="00C6079D" w:rsidRPr="008670F9" w:rsidRDefault="00C6079D" w:rsidP="008670F9">
      <w:pPr>
        <w:spacing w:line="360" w:lineRule="auto"/>
        <w:rPr>
          <w:rFonts w:eastAsia="Times New Roman"/>
        </w:rPr>
      </w:pPr>
    </w:p>
    <w:p w14:paraId="79705380" w14:textId="77777777" w:rsidR="00C6079D" w:rsidRPr="008670F9" w:rsidRDefault="00C6079D" w:rsidP="008670F9">
      <w:pPr>
        <w:spacing w:line="360" w:lineRule="auto"/>
        <w:rPr>
          <w:rFonts w:eastAsia="Times New Roman"/>
        </w:rPr>
      </w:pPr>
    </w:p>
    <w:p w14:paraId="6D75AAF8" w14:textId="77777777" w:rsidR="00C6079D" w:rsidRPr="008670F9" w:rsidRDefault="00C6079D" w:rsidP="008670F9">
      <w:pPr>
        <w:spacing w:line="360" w:lineRule="auto"/>
        <w:rPr>
          <w:rFonts w:eastAsia="Times New Roman"/>
        </w:rPr>
      </w:pPr>
    </w:p>
    <w:p w14:paraId="1280A7CF" w14:textId="77777777" w:rsidR="00C6079D" w:rsidRPr="008670F9" w:rsidRDefault="00C6079D" w:rsidP="008670F9">
      <w:pPr>
        <w:spacing w:line="360" w:lineRule="auto"/>
        <w:rPr>
          <w:rFonts w:eastAsia="Times New Roman"/>
        </w:rPr>
      </w:pPr>
    </w:p>
    <w:p w14:paraId="1247D9CA" w14:textId="77777777" w:rsidR="00C6079D" w:rsidRPr="008670F9" w:rsidRDefault="00C6079D" w:rsidP="008670F9">
      <w:pPr>
        <w:spacing w:line="360" w:lineRule="auto"/>
        <w:rPr>
          <w:rFonts w:eastAsia="Times New Roman"/>
        </w:rPr>
      </w:pPr>
    </w:p>
    <w:p w14:paraId="2A4BDF29" w14:textId="77777777" w:rsidR="00C6079D" w:rsidRPr="008670F9" w:rsidRDefault="00C6079D" w:rsidP="008670F9">
      <w:pPr>
        <w:spacing w:line="360" w:lineRule="auto"/>
        <w:rPr>
          <w:rFonts w:eastAsia="Times New Roman"/>
        </w:rPr>
      </w:pPr>
    </w:p>
    <w:p w14:paraId="5A68F874" w14:textId="77777777" w:rsidR="00C6079D" w:rsidRPr="008670F9" w:rsidRDefault="00C6079D" w:rsidP="008670F9">
      <w:pPr>
        <w:spacing w:line="360" w:lineRule="auto"/>
        <w:rPr>
          <w:rFonts w:eastAsia="Times New Roman"/>
        </w:rPr>
      </w:pPr>
    </w:p>
    <w:p w14:paraId="7835B60A" w14:textId="77777777" w:rsidR="00C6079D" w:rsidRPr="008670F9" w:rsidRDefault="00C6079D" w:rsidP="008670F9">
      <w:pPr>
        <w:spacing w:line="360" w:lineRule="auto"/>
        <w:rPr>
          <w:rFonts w:eastAsia="Times New Roman"/>
        </w:rPr>
      </w:pPr>
    </w:p>
    <w:p w14:paraId="67510975" w14:textId="77777777" w:rsidR="00C6079D" w:rsidRPr="008670F9" w:rsidRDefault="00C6079D" w:rsidP="008670F9">
      <w:pPr>
        <w:spacing w:line="360" w:lineRule="auto"/>
        <w:rPr>
          <w:rFonts w:eastAsia="Times New Roman"/>
        </w:rPr>
      </w:pPr>
    </w:p>
    <w:p w14:paraId="224ABD41" w14:textId="77777777" w:rsidR="00C6079D" w:rsidRPr="008670F9" w:rsidRDefault="00C6079D" w:rsidP="008670F9">
      <w:pPr>
        <w:spacing w:line="360" w:lineRule="auto"/>
        <w:rPr>
          <w:rFonts w:eastAsia="Times New Roman"/>
        </w:rPr>
      </w:pPr>
    </w:p>
    <w:p w14:paraId="65628872" w14:textId="77777777" w:rsidR="00C6079D" w:rsidRPr="008670F9" w:rsidRDefault="00C6079D" w:rsidP="008670F9">
      <w:pPr>
        <w:spacing w:line="360" w:lineRule="auto"/>
        <w:rPr>
          <w:rFonts w:eastAsia="Times New Roman"/>
        </w:rPr>
      </w:pPr>
    </w:p>
    <w:p w14:paraId="3B489B57" w14:textId="77777777" w:rsidR="00C6079D" w:rsidRPr="008670F9" w:rsidRDefault="00C6079D" w:rsidP="008670F9">
      <w:pPr>
        <w:spacing w:line="360" w:lineRule="auto"/>
        <w:rPr>
          <w:rFonts w:eastAsia="Times New Roman"/>
        </w:rPr>
      </w:pPr>
    </w:p>
    <w:p w14:paraId="169F717A" w14:textId="77777777" w:rsidR="00C6079D" w:rsidRPr="008670F9" w:rsidRDefault="00C6079D" w:rsidP="008670F9">
      <w:pPr>
        <w:spacing w:line="360" w:lineRule="auto"/>
        <w:rPr>
          <w:rFonts w:eastAsia="Times New Roman"/>
        </w:rPr>
      </w:pPr>
    </w:p>
    <w:p w14:paraId="59173716" w14:textId="77777777" w:rsidR="00C6079D" w:rsidRPr="008670F9" w:rsidRDefault="00C6079D" w:rsidP="008670F9">
      <w:pPr>
        <w:spacing w:line="360" w:lineRule="auto"/>
        <w:rPr>
          <w:rFonts w:eastAsia="Times New Roman"/>
        </w:rPr>
      </w:pPr>
    </w:p>
    <w:p w14:paraId="79FDA7C4" w14:textId="77777777" w:rsidR="00C6079D" w:rsidRDefault="00C6079D" w:rsidP="008670F9">
      <w:pPr>
        <w:spacing w:line="360" w:lineRule="auto"/>
        <w:rPr>
          <w:rFonts w:eastAsia="Times New Roman"/>
        </w:rPr>
      </w:pPr>
    </w:p>
    <w:p w14:paraId="2211D211" w14:textId="77777777" w:rsidR="008670F9" w:rsidRDefault="008670F9" w:rsidP="008670F9">
      <w:pPr>
        <w:spacing w:line="360" w:lineRule="auto"/>
        <w:rPr>
          <w:rFonts w:eastAsia="Times New Roman"/>
        </w:rPr>
      </w:pPr>
    </w:p>
    <w:p w14:paraId="4CA973F5" w14:textId="77777777" w:rsidR="008670F9" w:rsidRPr="008670F9" w:rsidRDefault="008670F9" w:rsidP="008670F9">
      <w:pPr>
        <w:spacing w:line="360" w:lineRule="auto"/>
        <w:rPr>
          <w:rFonts w:eastAsia="Times New Roman"/>
        </w:rPr>
      </w:pPr>
    </w:p>
    <w:p w14:paraId="67815B5F" w14:textId="77777777" w:rsidR="00C6079D" w:rsidRPr="008670F9" w:rsidRDefault="00C6079D" w:rsidP="008670F9">
      <w:pPr>
        <w:spacing w:line="360" w:lineRule="auto"/>
        <w:rPr>
          <w:rFonts w:eastAsia="Times New Roman"/>
        </w:rPr>
      </w:pPr>
    </w:p>
    <w:p w14:paraId="28ABDD8B" w14:textId="77777777" w:rsidR="00C6079D" w:rsidRPr="008670F9" w:rsidRDefault="00C6079D" w:rsidP="008670F9">
      <w:pPr>
        <w:spacing w:line="360" w:lineRule="auto"/>
        <w:rPr>
          <w:rFonts w:eastAsia="Times New Roman"/>
        </w:rPr>
      </w:pPr>
    </w:p>
    <w:p w14:paraId="019AC0FA" w14:textId="74A3CDD5" w:rsidR="005C7051" w:rsidRPr="008670F9" w:rsidRDefault="005C7051" w:rsidP="008670F9">
      <w:pPr>
        <w:spacing w:line="360" w:lineRule="auto"/>
        <w:rPr>
          <w:b/>
        </w:rPr>
      </w:pPr>
    </w:p>
    <w:p w14:paraId="019AC0FB" w14:textId="77777777" w:rsidR="005C7051" w:rsidRPr="008670F9" w:rsidRDefault="00EA1111" w:rsidP="008670F9">
      <w:pPr>
        <w:spacing w:line="360" w:lineRule="auto"/>
        <w:jc w:val="center"/>
        <w:rPr>
          <w:b/>
        </w:rPr>
      </w:pPr>
      <w:r w:rsidRPr="008670F9">
        <w:rPr>
          <w:b/>
        </w:rPr>
        <w:t>Table of Contents</w:t>
      </w:r>
    </w:p>
    <w:p w14:paraId="019AC0FC" w14:textId="77777777" w:rsidR="005C7051" w:rsidRPr="008670F9" w:rsidRDefault="005C7051" w:rsidP="008670F9">
      <w:pPr>
        <w:spacing w:line="360" w:lineRule="auto"/>
        <w:rPr>
          <w:b/>
        </w:rPr>
      </w:pPr>
    </w:p>
    <w:p w14:paraId="019AC0FD" w14:textId="199ED811" w:rsidR="005C7051" w:rsidRPr="008670F9" w:rsidRDefault="00EA1111" w:rsidP="008670F9">
      <w:pPr>
        <w:pStyle w:val="ListParagraph"/>
        <w:numPr>
          <w:ilvl w:val="0"/>
          <w:numId w:val="1"/>
        </w:numPr>
        <w:spacing w:line="360" w:lineRule="auto"/>
        <w:rPr>
          <w:b/>
        </w:rPr>
      </w:pPr>
      <w:r w:rsidRPr="008670F9">
        <w:rPr>
          <w:b/>
        </w:rPr>
        <w:t>Cover Page</w:t>
      </w:r>
      <w:r w:rsidR="007D531F" w:rsidRPr="008670F9">
        <w:rPr>
          <w:b/>
        </w:rPr>
        <w:t xml:space="preserve">                </w:t>
      </w:r>
      <w:r w:rsidR="005F7865" w:rsidRPr="008670F9">
        <w:rPr>
          <w:b/>
        </w:rPr>
        <w:t xml:space="preserve">    </w:t>
      </w:r>
      <w:r w:rsidR="007D531F" w:rsidRPr="008670F9">
        <w:rPr>
          <w:b/>
        </w:rPr>
        <w:t>………………………………………………………………</w:t>
      </w:r>
      <w:proofErr w:type="gramStart"/>
      <w:r w:rsidR="005F7865" w:rsidRPr="008670F9">
        <w:rPr>
          <w:b/>
        </w:rPr>
        <w:t>…</w:t>
      </w:r>
      <w:r w:rsidR="007D531F" w:rsidRPr="008670F9">
        <w:rPr>
          <w:b/>
        </w:rPr>
        <w:t>..</w:t>
      </w:r>
      <w:proofErr w:type="gramEnd"/>
      <w:r w:rsidR="007D531F" w:rsidRPr="008670F9">
        <w:rPr>
          <w:b/>
        </w:rPr>
        <w:t xml:space="preserve"> 1</w:t>
      </w:r>
    </w:p>
    <w:p w14:paraId="019AC0FE" w14:textId="2CF5B139" w:rsidR="005C7051" w:rsidRPr="008670F9" w:rsidRDefault="00EA1111" w:rsidP="008670F9">
      <w:pPr>
        <w:pStyle w:val="ListParagraph"/>
        <w:numPr>
          <w:ilvl w:val="0"/>
          <w:numId w:val="1"/>
        </w:numPr>
        <w:spacing w:line="360" w:lineRule="auto"/>
        <w:rPr>
          <w:b/>
        </w:rPr>
      </w:pPr>
      <w:r w:rsidRPr="008670F9">
        <w:rPr>
          <w:b/>
        </w:rPr>
        <w:t>Executive Summary</w:t>
      </w:r>
      <w:r w:rsidR="007D531F" w:rsidRPr="008670F9">
        <w:rPr>
          <w:b/>
        </w:rPr>
        <w:t xml:space="preserve"> </w:t>
      </w:r>
      <w:r w:rsidR="005F7865" w:rsidRPr="008670F9">
        <w:rPr>
          <w:b/>
        </w:rPr>
        <w:t xml:space="preserve">    </w:t>
      </w:r>
      <w:r w:rsidR="007D531F" w:rsidRPr="008670F9">
        <w:rPr>
          <w:b/>
        </w:rPr>
        <w:t>……………………………………………………………………2</w:t>
      </w:r>
    </w:p>
    <w:p w14:paraId="019AC0FF" w14:textId="15ED6CC4" w:rsidR="005C7051" w:rsidRPr="008670F9" w:rsidRDefault="00EA1111" w:rsidP="008670F9">
      <w:pPr>
        <w:pStyle w:val="ListParagraph"/>
        <w:numPr>
          <w:ilvl w:val="0"/>
          <w:numId w:val="1"/>
        </w:numPr>
        <w:spacing w:line="360" w:lineRule="auto"/>
        <w:rPr>
          <w:b/>
        </w:rPr>
      </w:pPr>
      <w:r w:rsidRPr="008670F9">
        <w:rPr>
          <w:b/>
        </w:rPr>
        <w:t>Introduction</w:t>
      </w:r>
      <w:r w:rsidR="007D531F" w:rsidRPr="008670F9">
        <w:rPr>
          <w:b/>
        </w:rPr>
        <w:t xml:space="preserve">                  ……………………………………………………………………4</w:t>
      </w:r>
    </w:p>
    <w:p w14:paraId="019AC100" w14:textId="77777777" w:rsidR="005C7051" w:rsidRPr="008670F9" w:rsidRDefault="00EA1111" w:rsidP="008670F9">
      <w:pPr>
        <w:pStyle w:val="ListParagraph"/>
        <w:numPr>
          <w:ilvl w:val="0"/>
          <w:numId w:val="1"/>
        </w:numPr>
        <w:spacing w:line="360" w:lineRule="auto"/>
        <w:rPr>
          <w:b/>
        </w:rPr>
      </w:pPr>
      <w:r w:rsidRPr="008670F9">
        <w:rPr>
          <w:b/>
        </w:rPr>
        <w:t>Main Body</w:t>
      </w:r>
    </w:p>
    <w:p w14:paraId="019AC101" w14:textId="291DE807" w:rsidR="005C7051" w:rsidRPr="008670F9" w:rsidRDefault="00EA1111" w:rsidP="008670F9">
      <w:pPr>
        <w:pStyle w:val="ListParagraph"/>
        <w:numPr>
          <w:ilvl w:val="1"/>
          <w:numId w:val="1"/>
        </w:numPr>
        <w:spacing w:line="360" w:lineRule="auto"/>
        <w:rPr>
          <w:b/>
        </w:rPr>
      </w:pPr>
      <w:r w:rsidRPr="008670F9">
        <w:rPr>
          <w:b/>
        </w:rPr>
        <w:t>Section 1</w:t>
      </w:r>
      <w:r w:rsidR="005F7865" w:rsidRPr="008670F9">
        <w:rPr>
          <w:b/>
        </w:rPr>
        <w:tab/>
      </w:r>
      <w:r w:rsidR="005F7865" w:rsidRPr="008670F9">
        <w:rPr>
          <w:b/>
        </w:rPr>
        <w:tab/>
        <w:t>………………………………………………………………</w:t>
      </w:r>
      <w:proofErr w:type="gramStart"/>
      <w:r w:rsidR="005F7865" w:rsidRPr="008670F9">
        <w:rPr>
          <w:b/>
        </w:rPr>
        <w:t>…..</w:t>
      </w:r>
      <w:proofErr w:type="gramEnd"/>
      <w:r w:rsidR="005F7865" w:rsidRPr="008670F9">
        <w:rPr>
          <w:b/>
        </w:rPr>
        <w:t>6</w:t>
      </w:r>
    </w:p>
    <w:p w14:paraId="019AC102" w14:textId="5DC78A62" w:rsidR="005C7051" w:rsidRPr="008670F9" w:rsidRDefault="00EA1111" w:rsidP="008670F9">
      <w:pPr>
        <w:pStyle w:val="ListParagraph"/>
        <w:numPr>
          <w:ilvl w:val="1"/>
          <w:numId w:val="1"/>
        </w:numPr>
        <w:spacing w:line="360" w:lineRule="auto"/>
        <w:rPr>
          <w:b/>
        </w:rPr>
      </w:pPr>
      <w:r w:rsidRPr="008670F9">
        <w:rPr>
          <w:b/>
        </w:rPr>
        <w:t>Section 2</w:t>
      </w:r>
      <w:r w:rsidR="005F7865" w:rsidRPr="008670F9">
        <w:rPr>
          <w:b/>
        </w:rPr>
        <w:tab/>
      </w:r>
      <w:r w:rsidR="005F7865" w:rsidRPr="008670F9">
        <w:rPr>
          <w:b/>
        </w:rPr>
        <w:tab/>
        <w:t>…………………………………………………………………17</w:t>
      </w:r>
    </w:p>
    <w:p w14:paraId="019AC103" w14:textId="0C9C6635" w:rsidR="005C7051" w:rsidRPr="008670F9" w:rsidRDefault="00EA1111" w:rsidP="008670F9">
      <w:pPr>
        <w:pStyle w:val="ListParagraph"/>
        <w:numPr>
          <w:ilvl w:val="1"/>
          <w:numId w:val="1"/>
        </w:numPr>
        <w:spacing w:line="360" w:lineRule="auto"/>
        <w:rPr>
          <w:b/>
        </w:rPr>
      </w:pPr>
      <w:r w:rsidRPr="008670F9">
        <w:rPr>
          <w:b/>
        </w:rPr>
        <w:t>Section 3</w:t>
      </w:r>
      <w:r w:rsidR="005F7865" w:rsidRPr="008670F9">
        <w:rPr>
          <w:b/>
        </w:rPr>
        <w:tab/>
      </w:r>
      <w:r w:rsidR="005F7865" w:rsidRPr="008670F9">
        <w:rPr>
          <w:b/>
        </w:rPr>
        <w:tab/>
        <w:t>………………………………………………………………...18</w:t>
      </w:r>
    </w:p>
    <w:p w14:paraId="019AC104" w14:textId="6D42685A" w:rsidR="005C7051" w:rsidRPr="008670F9" w:rsidRDefault="00EA1111" w:rsidP="008670F9">
      <w:pPr>
        <w:pStyle w:val="ListParagraph"/>
        <w:numPr>
          <w:ilvl w:val="0"/>
          <w:numId w:val="1"/>
        </w:numPr>
        <w:spacing w:line="360" w:lineRule="auto"/>
        <w:rPr>
          <w:b/>
        </w:rPr>
      </w:pPr>
      <w:r w:rsidRPr="008670F9">
        <w:rPr>
          <w:b/>
        </w:rPr>
        <w:t>Conclusion and Recommendations</w:t>
      </w:r>
      <w:r w:rsidR="005F7865" w:rsidRPr="008670F9">
        <w:rPr>
          <w:b/>
        </w:rPr>
        <w:t>………………………</w:t>
      </w:r>
      <w:proofErr w:type="gramStart"/>
      <w:r w:rsidR="005F7865" w:rsidRPr="008670F9">
        <w:rPr>
          <w:b/>
        </w:rPr>
        <w:t>…..</w:t>
      </w:r>
      <w:proofErr w:type="gramEnd"/>
      <w:r w:rsidR="005F7865" w:rsidRPr="008670F9">
        <w:rPr>
          <w:b/>
        </w:rPr>
        <w:t>………………………19</w:t>
      </w:r>
    </w:p>
    <w:p w14:paraId="019AC105" w14:textId="77777777" w:rsidR="005C7051" w:rsidRPr="008670F9" w:rsidRDefault="00EA1111" w:rsidP="008670F9">
      <w:pPr>
        <w:spacing w:line="360" w:lineRule="auto"/>
        <w:rPr>
          <w:b/>
        </w:rPr>
      </w:pPr>
      <w:r w:rsidRPr="008670F9">
        <w:rPr>
          <w:b/>
        </w:rPr>
        <w:br w:type="page"/>
      </w:r>
    </w:p>
    <w:p w14:paraId="019AC106" w14:textId="77777777" w:rsidR="005C7051" w:rsidRPr="008670F9" w:rsidRDefault="00EA1111" w:rsidP="008670F9">
      <w:pPr>
        <w:pStyle w:val="ListParagraph"/>
        <w:spacing w:line="360" w:lineRule="auto"/>
        <w:ind w:left="1080"/>
        <w:jc w:val="center"/>
        <w:rPr>
          <w:b/>
        </w:rPr>
      </w:pPr>
      <w:r w:rsidRPr="008670F9">
        <w:rPr>
          <w:b/>
        </w:rPr>
        <w:lastRenderedPageBreak/>
        <w:t>Introduction</w:t>
      </w:r>
    </w:p>
    <w:p w14:paraId="019AC107" w14:textId="77777777" w:rsidR="005C7051" w:rsidRPr="008670F9" w:rsidRDefault="005C7051" w:rsidP="008670F9">
      <w:pPr>
        <w:spacing w:line="360" w:lineRule="auto"/>
        <w:rPr>
          <w:b/>
        </w:rPr>
      </w:pPr>
    </w:p>
    <w:p w14:paraId="019AC108" w14:textId="77777777" w:rsidR="005C7051" w:rsidRPr="008670F9" w:rsidRDefault="005C7051" w:rsidP="008670F9">
      <w:pPr>
        <w:spacing w:line="360" w:lineRule="auto"/>
        <w:rPr>
          <w:b/>
        </w:rPr>
      </w:pPr>
    </w:p>
    <w:p w14:paraId="019AC109" w14:textId="77777777" w:rsidR="005C7051" w:rsidRPr="008670F9" w:rsidRDefault="00EA1111" w:rsidP="008670F9">
      <w:pPr>
        <w:spacing w:line="360" w:lineRule="auto"/>
        <w:ind w:firstLine="720"/>
        <w:jc w:val="both"/>
      </w:pPr>
      <w:r w:rsidRPr="008670F9">
        <w:rPr>
          <w:lang w:val="en-US"/>
        </w:rPr>
        <w:t xml:space="preserve">Change management and organizational reforms have been crucial. Even Nevertheless, it appears that the pace of change is accelerating, and the significance of organizational change is becoming more and more apparent. In today's business organizations, organizational changes are typically rather frequent. The development of globalization is one factor driving the need for reforms; as a result, competition is uneven throughout society. Organizational changes may be necessary due to factors other than competition, such as the need to adapt legislation to the current culture or adapt to changes in technology, multiculturalism, or funding. Alternatively, the company may decide to make the change solely for strategic reasons. The process of change involves meticulous preparation, execution, and review of the change. This type of adjustment highlights the responsibility of managers and human resources. Change management is believed to have been a prominent topic among entrepreneurs for a long time. Global competitiveness and changes in the operating environment have grown. Organizations require rapid alterations, but these modifications must also be effectively planned and presented. The significance of the interaction between environmental change and organizational skills in change management. </w:t>
      </w:r>
    </w:p>
    <w:p w14:paraId="019AC10A" w14:textId="77777777" w:rsidR="005C7051" w:rsidRPr="008670F9" w:rsidRDefault="005C7051" w:rsidP="008670F9">
      <w:pPr>
        <w:spacing w:line="360" w:lineRule="auto"/>
        <w:jc w:val="both"/>
      </w:pPr>
    </w:p>
    <w:p w14:paraId="019AC10B" w14:textId="77777777" w:rsidR="005C7051" w:rsidRPr="008670F9" w:rsidRDefault="00EA1111" w:rsidP="008670F9">
      <w:pPr>
        <w:spacing w:line="360" w:lineRule="auto"/>
        <w:ind w:firstLine="720"/>
        <w:jc w:val="both"/>
      </w:pPr>
      <w:r w:rsidRPr="008670F9">
        <w:rPr>
          <w:lang w:val="en-US"/>
        </w:rPr>
        <w:t xml:space="preserve">The purpose of the study is to address the manner in which ought to changes in organizations be envisioned, what constitutes the significance of collaboration in change planning, and to gain an understanding of the scope of these changes in addition to assessing intricate issues associated with management as they pertain to change management and must be sought to evaluate the repercussions of organizational culture on the change management program as well as develop an appropriate change management plan for the organization that was selected, which is stated below which is the Konami Company. Konami Group Corp is a Japanese firm that mostly operates in the entertainment industry. The company competes in four distinct lines of business. The Digital Entertainment segment manufactures and sells mobile games, card games, home games, and other digital material. The Amusement segment manufactures and sells amusement machines. The Gaming and Systems segment manufactures and sells gaming machines and casino management systems, as well as provides related services. The Sports segment operates fitness, swimming, gymnastics, dancing, soccer, tennis, golf, and other schools, as well as sells sports-related items. It manages a network of operated independently health and fitness clubs and sports facilities. The business services the entertainment and digital markets in Asia, Europe, and South America. The Konami Group Corp continues to demonstrate </w:t>
      </w:r>
      <w:r w:rsidRPr="008670F9">
        <w:rPr>
          <w:lang w:val="en-US"/>
        </w:rPr>
        <w:lastRenderedPageBreak/>
        <w:t xml:space="preserve">its market competitiveness. As seen by their portfolio, revenue continues to rise year after year. Not only that, but in August 2023, the company strengthened its relationship or agreements with </w:t>
      </w:r>
      <w:proofErr w:type="spellStart"/>
      <w:r w:rsidRPr="008670F9">
        <w:rPr>
          <w:lang w:val="en-US"/>
        </w:rPr>
        <w:t>Futbol</w:t>
      </w:r>
      <w:proofErr w:type="spellEnd"/>
      <w:r w:rsidRPr="008670F9">
        <w:rPr>
          <w:lang w:val="en-US"/>
        </w:rPr>
        <w:t xml:space="preserve"> Club Barcelona, becoming the official football video game partner. </w:t>
      </w:r>
    </w:p>
    <w:p w14:paraId="019AC10C" w14:textId="77777777" w:rsidR="005C7051" w:rsidRPr="008670F9" w:rsidRDefault="005C7051" w:rsidP="008670F9">
      <w:pPr>
        <w:spacing w:line="360" w:lineRule="auto"/>
        <w:jc w:val="both"/>
      </w:pPr>
    </w:p>
    <w:p w14:paraId="019AC10D" w14:textId="77777777" w:rsidR="005C7051" w:rsidRPr="008670F9" w:rsidRDefault="00EA1111" w:rsidP="008670F9">
      <w:pPr>
        <w:spacing w:line="360" w:lineRule="auto"/>
        <w:ind w:firstLine="720"/>
        <w:jc w:val="both"/>
        <w:rPr>
          <w:lang w:val="en-US"/>
        </w:rPr>
      </w:pPr>
      <w:r w:rsidRPr="008670F9">
        <w:rPr>
          <w:lang w:val="en-US"/>
        </w:rPr>
        <w:t xml:space="preserve">Leading change has been discussed since the 1940s. Change management has been extensively studied, and there are numerous methods aimed at achieving successful change management. The earliest theoretical model of change management was Kurt Lewin's force theory in 1951. Lewin's force theory paved the way for subsequent change management approaches. It ought to be highlighted, however, that in fact, modifications are rarely implemented based on a single theoretical model. According to Bridgeman, Brown, and Cummings (2016), Kurt Lewin's three-part changes Many people regard the model as the most fundamental or traditional approach to change management. According to Robbins, Lewin's model was one of the first ideas of change management, and it serves as the foundation for many later models. However, in recent years, the concept has been criticized for being overly basic. According to Lewin's change paradigm, the unfreezing step involves preparing for Change begins, as does the production of discontent for the current stage of the organization, allowing space for change. During the altering stage, change activities are implemented. During the stage of refreezing, the change will be established into the organizational culture </w:t>
      </w:r>
      <w:proofErr w:type="gramStart"/>
      <w:r w:rsidRPr="008670F9">
        <w:rPr>
          <w:lang w:val="en-US"/>
        </w:rPr>
        <w:t>and  the</w:t>
      </w:r>
      <w:proofErr w:type="gramEnd"/>
      <w:r w:rsidRPr="008670F9">
        <w:rPr>
          <w:lang w:val="en-US"/>
        </w:rPr>
        <w:t xml:space="preserve"> completed actions will maintain. This study will also use descriptive data analytics as business analytical tools. </w:t>
      </w:r>
      <w:proofErr w:type="gramStart"/>
      <w:r w:rsidRPr="008670F9">
        <w:rPr>
          <w:lang w:val="en-US"/>
        </w:rPr>
        <w:t>Thus</w:t>
      </w:r>
      <w:proofErr w:type="gramEnd"/>
      <w:r w:rsidRPr="008670F9">
        <w:rPr>
          <w:lang w:val="en-US"/>
        </w:rPr>
        <w:t xml:space="preserve"> this report would present an overall three sections which highlights the goals of this paper. </w:t>
      </w:r>
    </w:p>
    <w:p w14:paraId="019AC10E" w14:textId="77777777" w:rsidR="005C7051" w:rsidRPr="008670F9" w:rsidRDefault="00EA1111" w:rsidP="008670F9">
      <w:pPr>
        <w:spacing w:line="360" w:lineRule="auto"/>
        <w:rPr>
          <w:lang w:val="en-US"/>
        </w:rPr>
      </w:pPr>
      <w:r w:rsidRPr="008670F9">
        <w:rPr>
          <w:lang w:val="en-US"/>
        </w:rPr>
        <w:br w:type="page"/>
      </w:r>
    </w:p>
    <w:p w14:paraId="019AC10F" w14:textId="77777777" w:rsidR="005C7051" w:rsidRPr="008670F9" w:rsidRDefault="00EA1111" w:rsidP="008670F9">
      <w:pPr>
        <w:spacing w:line="360" w:lineRule="auto"/>
        <w:jc w:val="center"/>
        <w:rPr>
          <w:lang w:val="en-US"/>
        </w:rPr>
      </w:pPr>
      <w:r w:rsidRPr="008670F9">
        <w:rPr>
          <w:lang w:val="en-US"/>
        </w:rPr>
        <w:lastRenderedPageBreak/>
        <w:t>SECTION 1</w:t>
      </w:r>
    </w:p>
    <w:p w14:paraId="019AC110" w14:textId="77777777" w:rsidR="005C7051" w:rsidRPr="008670F9" w:rsidRDefault="005C7051" w:rsidP="008670F9">
      <w:pPr>
        <w:spacing w:line="360" w:lineRule="auto"/>
        <w:jc w:val="both"/>
        <w:rPr>
          <w:lang w:val="en-US"/>
        </w:rPr>
      </w:pPr>
    </w:p>
    <w:p w14:paraId="019AC111" w14:textId="77777777" w:rsidR="005C7051" w:rsidRPr="008670F9" w:rsidRDefault="005C7051" w:rsidP="008670F9">
      <w:pPr>
        <w:spacing w:line="360" w:lineRule="auto"/>
        <w:jc w:val="both"/>
        <w:rPr>
          <w:lang w:val="en-US"/>
        </w:rPr>
      </w:pPr>
    </w:p>
    <w:p w14:paraId="019AC112" w14:textId="77777777" w:rsidR="005C7051" w:rsidRPr="008670F9" w:rsidRDefault="00EA1111" w:rsidP="008670F9">
      <w:pPr>
        <w:spacing w:after="240" w:line="360" w:lineRule="auto"/>
        <w:ind w:firstLine="720"/>
        <w:jc w:val="both"/>
        <w:rPr>
          <w:rFonts w:eastAsia="Times New Roman"/>
        </w:rPr>
      </w:pPr>
      <w:r w:rsidRPr="008670F9">
        <w:rPr>
          <w:rFonts w:eastAsia="Times New Roman"/>
        </w:rPr>
        <w:t xml:space="preserve">Konami Group, founded by </w:t>
      </w:r>
      <w:proofErr w:type="spellStart"/>
      <w:r w:rsidRPr="008670F9">
        <w:rPr>
          <w:rFonts w:eastAsia="Times New Roman"/>
        </w:rPr>
        <w:t>Kagemasa</w:t>
      </w:r>
      <w:proofErr w:type="spellEnd"/>
      <w:r w:rsidRPr="008670F9">
        <w:rPr>
          <w:rFonts w:eastAsia="Times New Roman"/>
        </w:rPr>
        <w:t xml:space="preserve"> Kozuki on March 21, 1969, began as a small business in Osaka, Japan, renting and repairing jukeboxes. Under Kozuki's direction, the firm quickly responded to the changing entertainment scene, grabbing chances in the rapidly growing arcade game market. Konami Industry Co., Ltd. was created in 1973, marking the company's official debut into the arcade machine manufacturing business. With a focus on innovation and quality, Konami quickly achieved market traction, resulting in consecutive capital increases and product expansions. By the late 1970s, Konami had established itself as a major participant in the Japanese arcade sector, cementing its position via smart investments and collaborations. The company's ambitious strategy resulted in the decision to sell items to the United States in 1979, which marked the start of its road to worldwide prominence. The 1980s was a time of tremendous expansion and diversification for Konami. Building on its success in the arcade industry, the business moved into other markets, notably the rapidly growing PC gaming market. This decade witnessed the development of Konami subsidiaries in important foreign markets such as the United States, United Kingdom, and Germany, setting the groundwork for the company's global expansion plan. As the gaming industry evolved, Konami remained at the forefront of innovation, introducing iconic franchises such as "Metal Gear Solid," "</w:t>
      </w:r>
      <w:proofErr w:type="spellStart"/>
      <w:r w:rsidRPr="008670F9">
        <w:rPr>
          <w:rFonts w:eastAsia="Times New Roman"/>
        </w:rPr>
        <w:t>Castlevania</w:t>
      </w:r>
      <w:proofErr w:type="spellEnd"/>
      <w:r w:rsidRPr="008670F9">
        <w:rPr>
          <w:rFonts w:eastAsia="Times New Roman"/>
        </w:rPr>
        <w:t xml:space="preserve">," and "Contra." </w:t>
      </w:r>
    </w:p>
    <w:p w14:paraId="019AC113" w14:textId="77777777" w:rsidR="005C7051" w:rsidRPr="008670F9" w:rsidRDefault="00EA1111" w:rsidP="008670F9">
      <w:pPr>
        <w:spacing w:after="240" w:line="360" w:lineRule="auto"/>
        <w:ind w:firstLine="720"/>
        <w:jc w:val="both"/>
        <w:rPr>
          <w:rFonts w:eastAsia="Times New Roman"/>
        </w:rPr>
      </w:pPr>
      <w:r w:rsidRPr="008670F9">
        <w:rPr>
          <w:rFonts w:eastAsia="Times New Roman"/>
        </w:rPr>
        <w:t xml:space="preserve">At the same time, the company diversified its portfolio, entering new business areas such as sports, pachinko machines, and digital entertainment. The start of the 2000 represented a turning point for Konami, as it embraced the digital revolution and increased its presence in mobile gaming and online platforms. The company's smart acquisitions and investments established it as a leader in the quickly changing entertainment environment, paving the way for continuing success in the twenty-first century. In the past few decades, Konami kept on </w:t>
      </w:r>
      <w:proofErr w:type="gramStart"/>
      <w:r w:rsidRPr="008670F9">
        <w:rPr>
          <w:rFonts w:eastAsia="Times New Roman"/>
        </w:rPr>
        <w:t>to push</w:t>
      </w:r>
      <w:proofErr w:type="gramEnd"/>
      <w:r w:rsidRPr="008670F9">
        <w:rPr>
          <w:rFonts w:eastAsia="Times New Roman"/>
        </w:rPr>
        <w:t xml:space="preserve"> the frontiers of entertainment by embracing emerging technologies like as ESports and virtual reality. The construction of cutting-edge studios and facilities in Tokyo, Osaka, and elsewhere demonstrates the company's dedication to innovation and quality. Today, as Konami Group Corporation, the firm is still committed to creating the future of entertainment with its vast range of services. With a rich history spanning five decades, Konami exemplifies the power of creativity, tenacity, and a consistent dedication to providing excellent entertainment experiences to people across the world. </w:t>
      </w:r>
    </w:p>
    <w:p w14:paraId="019AC114" w14:textId="77777777" w:rsidR="005C7051" w:rsidRPr="008670F9" w:rsidRDefault="005C7051" w:rsidP="008670F9">
      <w:pPr>
        <w:spacing w:after="240" w:line="360" w:lineRule="auto"/>
        <w:jc w:val="both"/>
        <w:rPr>
          <w:rFonts w:eastAsia="Times New Roman"/>
        </w:rPr>
      </w:pPr>
    </w:p>
    <w:p w14:paraId="019AC115" w14:textId="77777777" w:rsidR="005C7051" w:rsidRPr="008670F9" w:rsidRDefault="00EA1111" w:rsidP="008670F9">
      <w:pPr>
        <w:spacing w:line="360" w:lineRule="auto"/>
        <w:ind w:firstLine="720"/>
        <w:jc w:val="both"/>
        <w:rPr>
          <w:rFonts w:eastAsia="Times New Roman"/>
        </w:rPr>
      </w:pPr>
      <w:r w:rsidRPr="008670F9">
        <w:rPr>
          <w:rFonts w:eastAsia="Times New Roman"/>
        </w:rPr>
        <w:lastRenderedPageBreak/>
        <w:t xml:space="preserve">In fiscal year 2019, Konami Group's revenue was 262,549 million yen, with a business profit of 54,560 million yen and an operating profit of 50,522 million yen. The parent company's owners earned 34,196 million yen in profits. The ratio of company profit to sales was 20.8%, but the operational profit to revenue ratio was just 19.2%. The profit attributable to parent owners to revenue ratio was 13.0%, with a 12.9% return on profit. Nevertheless, the business saw a drop in earnings and revenue in the 2020 fiscal year. While business profit dipped to 44,297 million yen and operational profit to </w:t>
      </w:r>
      <w:proofErr w:type="gramStart"/>
      <w:r w:rsidRPr="008670F9">
        <w:rPr>
          <w:rFonts w:eastAsia="Times New Roman"/>
        </w:rPr>
        <w:t>30,972 million yen</w:t>
      </w:r>
      <w:proofErr w:type="gramEnd"/>
      <w:r w:rsidRPr="008670F9">
        <w:rPr>
          <w:rFonts w:eastAsia="Times New Roman"/>
        </w:rPr>
        <w:t>, revenue decreased marginally to 262,810 million yen. The parent company's owners' share of profit decreased to 19,892 million yen. As a result, to 16.9%, 11.8%, and 7.6%, respectively, were the ratios of business profit to revenue, operating profit to revenue, and profit attributable to parent company owners to revenue. The parent company's owners' share of the return on profit dropped to 7.3%. Nonetheless, Konami Group's financial performance significantly improved in the 2021 fiscal year. Revenue reached 272,656 million yen, while operational and business profits surged to 36,550 million and 64,164 million yen, respectively. The parent company's owners saw an increase in profit as well, reaching 32,261 million yen. The parent company's profit to revenue ratios grew to 23.5%, 13.4%, and 11.8%, respectively, for business profit, operational profit, and profit attributable to owners. Additionally, the return on profit attributable to the parent company's owners rose to 11.4%.</w:t>
      </w:r>
    </w:p>
    <w:p w14:paraId="019AC116" w14:textId="77777777" w:rsidR="005C7051" w:rsidRPr="008670F9" w:rsidRDefault="00EA1111" w:rsidP="008670F9">
      <w:pPr>
        <w:spacing w:line="360" w:lineRule="auto"/>
        <w:ind w:firstLine="720"/>
        <w:jc w:val="both"/>
        <w:rPr>
          <w:rFonts w:eastAsia="Times New Roman"/>
        </w:rPr>
      </w:pPr>
      <w:r w:rsidRPr="008670F9">
        <w:rPr>
          <w:rFonts w:eastAsia="Times New Roman"/>
        </w:rPr>
        <w:t xml:space="preserve">This encouraging pattern persisted into the 2022 fiscal year, when Konami Group recorded record revenue of 299,522 million yen. Operating profit came to 74,435 million yen, while business profit shot up to 80,315 million yen. The parent company's owners received a substantial increase in profit, totaling 54,806 million yen. The business profit to revenue ratio increased to 26.8%, the operational profit to revenue ratio to 24.9%, and the profit attributable to the parent company's owners to revenue ratio to 18.3%. Additionally, the parent company's owners' return on profit increased to 16.9%. However, fiscal year 2023 experienced a minor drop in performance compared to preceding years. While revenue rose to </w:t>
      </w:r>
      <w:proofErr w:type="gramStart"/>
      <w:r w:rsidRPr="008670F9">
        <w:rPr>
          <w:rFonts w:eastAsia="Times New Roman"/>
        </w:rPr>
        <w:t>314,321 million yen</w:t>
      </w:r>
      <w:proofErr w:type="gramEnd"/>
      <w:r w:rsidRPr="008670F9">
        <w:rPr>
          <w:rFonts w:eastAsia="Times New Roman"/>
        </w:rPr>
        <w:t>, business profit fell to 56,611 million yen, and operating profit dropped to 46,185 million yen. The profit attributable to the parent's owners decreased slightly to 34,895 million yen. The ratios of company profit to revenue, operating profit to revenue, and profit attributable to parent shareholders to revenue all declined to 18.0%, 14.7%, and 11.1%, respectively. The return on earnings attributable to parent shareholders fell to 9.6%.</w:t>
      </w:r>
    </w:p>
    <w:p w14:paraId="019AC117" w14:textId="77777777" w:rsidR="005C7051" w:rsidRPr="008670F9" w:rsidRDefault="005C7051" w:rsidP="008670F9">
      <w:pPr>
        <w:spacing w:line="360" w:lineRule="auto"/>
        <w:jc w:val="both"/>
        <w:rPr>
          <w:rFonts w:eastAsia="Times New Roman"/>
        </w:rPr>
      </w:pPr>
    </w:p>
    <w:p w14:paraId="019AC118" w14:textId="77777777" w:rsidR="005C7051" w:rsidRPr="008670F9" w:rsidRDefault="005C7051" w:rsidP="008670F9">
      <w:pPr>
        <w:spacing w:line="360" w:lineRule="auto"/>
        <w:jc w:val="both"/>
        <w:rPr>
          <w:rFonts w:eastAsia="Times New Roman"/>
        </w:rPr>
      </w:pPr>
    </w:p>
    <w:p w14:paraId="019AC119" w14:textId="77777777" w:rsidR="005C7051" w:rsidRPr="008670F9" w:rsidRDefault="005C7051" w:rsidP="008670F9">
      <w:pPr>
        <w:spacing w:line="360" w:lineRule="auto"/>
        <w:jc w:val="both"/>
        <w:rPr>
          <w:rFonts w:eastAsia="Times New Roman"/>
        </w:rPr>
      </w:pPr>
    </w:p>
    <w:p w14:paraId="019AC11A" w14:textId="77777777" w:rsidR="005C7051" w:rsidRPr="008670F9" w:rsidRDefault="005C7051" w:rsidP="008670F9">
      <w:pPr>
        <w:spacing w:line="360" w:lineRule="auto"/>
        <w:jc w:val="both"/>
        <w:rPr>
          <w:rFonts w:eastAsia="Times New Roman"/>
        </w:rPr>
      </w:pPr>
    </w:p>
    <w:p w14:paraId="019AC11B" w14:textId="77777777" w:rsidR="005C7051" w:rsidRPr="008670F9" w:rsidRDefault="00EA1111" w:rsidP="008670F9">
      <w:pPr>
        <w:spacing w:line="360" w:lineRule="auto"/>
        <w:jc w:val="center"/>
        <w:rPr>
          <w:rFonts w:eastAsia="Times New Roman"/>
          <w:b/>
        </w:rPr>
      </w:pPr>
      <w:r w:rsidRPr="008670F9">
        <w:rPr>
          <w:rFonts w:eastAsia="Times New Roman"/>
          <w:b/>
        </w:rPr>
        <w:lastRenderedPageBreak/>
        <w:t>PESTEL Analysis</w:t>
      </w:r>
    </w:p>
    <w:p w14:paraId="019AC11C" w14:textId="77777777" w:rsidR="005C7051" w:rsidRPr="008670F9" w:rsidRDefault="005C7051" w:rsidP="008670F9">
      <w:pPr>
        <w:spacing w:line="360" w:lineRule="auto"/>
        <w:jc w:val="both"/>
        <w:rPr>
          <w:rFonts w:eastAsia="Times New Roman"/>
        </w:rPr>
      </w:pPr>
    </w:p>
    <w:tbl>
      <w:tblPr>
        <w:tblStyle w:val="TableGrid"/>
        <w:tblW w:w="0" w:type="auto"/>
        <w:tblLook w:val="04A0" w:firstRow="1" w:lastRow="0" w:firstColumn="1" w:lastColumn="0" w:noHBand="0" w:noVBand="1"/>
      </w:tblPr>
      <w:tblGrid>
        <w:gridCol w:w="4675"/>
        <w:gridCol w:w="4675"/>
      </w:tblGrid>
      <w:tr w:rsidR="005C7051" w:rsidRPr="008670F9" w14:paraId="019AC121" w14:textId="77777777">
        <w:tc>
          <w:tcPr>
            <w:tcW w:w="4675" w:type="dxa"/>
          </w:tcPr>
          <w:p w14:paraId="019AC11D" w14:textId="77777777" w:rsidR="005C7051" w:rsidRPr="008670F9" w:rsidRDefault="00EA1111" w:rsidP="008670F9">
            <w:pPr>
              <w:spacing w:line="360" w:lineRule="auto"/>
              <w:jc w:val="both"/>
              <w:rPr>
                <w:rFonts w:eastAsia="Times New Roman"/>
              </w:rPr>
            </w:pPr>
            <w:r w:rsidRPr="008670F9">
              <w:rPr>
                <w:rFonts w:eastAsia="Times New Roman"/>
              </w:rPr>
              <w:t>Political Factors</w:t>
            </w:r>
          </w:p>
        </w:tc>
        <w:tc>
          <w:tcPr>
            <w:tcW w:w="4675" w:type="dxa"/>
          </w:tcPr>
          <w:p w14:paraId="019AC11E" w14:textId="77777777" w:rsidR="005C7051" w:rsidRPr="008670F9" w:rsidRDefault="005C7051" w:rsidP="008670F9">
            <w:pPr>
              <w:spacing w:line="360" w:lineRule="auto"/>
              <w:rPr>
                <w:rFonts w:eastAsia="Times New Roman"/>
              </w:rPr>
            </w:pPr>
          </w:p>
          <w:p w14:paraId="019AC11F" w14:textId="77777777" w:rsidR="005C7051" w:rsidRPr="008670F9" w:rsidRDefault="00EA1111" w:rsidP="008670F9">
            <w:pPr>
              <w:spacing w:line="360" w:lineRule="auto"/>
              <w:rPr>
                <w:rFonts w:eastAsia="Times New Roman"/>
              </w:rPr>
            </w:pPr>
            <w:r w:rsidRPr="008670F9">
              <w:rPr>
                <w:rFonts w:eastAsia="Times New Roman"/>
              </w:rPr>
              <w:t>Konami engages in a heavily regulated business, particularly in terms of gaming and gambling. Changes in regulations, such as license requirements, age restrictions, and taxation policies, can have a significant impact on Konami's capacity to create and market products. Konami's global activities leave it vulnerable to changes in trade policies, such as tariffs and trade agreements. Government-imposed trade obstacles and limitations can have an impact on the supply chain of an enterprise, cost of production, and access to market.</w:t>
            </w:r>
          </w:p>
          <w:p w14:paraId="019AC120" w14:textId="77777777" w:rsidR="005C7051" w:rsidRPr="008670F9" w:rsidRDefault="005C7051" w:rsidP="008670F9">
            <w:pPr>
              <w:spacing w:line="360" w:lineRule="auto"/>
              <w:jc w:val="both"/>
              <w:rPr>
                <w:rFonts w:eastAsia="Times New Roman"/>
              </w:rPr>
            </w:pPr>
          </w:p>
        </w:tc>
      </w:tr>
      <w:tr w:rsidR="005C7051" w:rsidRPr="008670F9" w14:paraId="019AC125" w14:textId="77777777">
        <w:tc>
          <w:tcPr>
            <w:tcW w:w="4675" w:type="dxa"/>
          </w:tcPr>
          <w:p w14:paraId="019AC122" w14:textId="77777777" w:rsidR="005C7051" w:rsidRPr="008670F9" w:rsidRDefault="00EA1111" w:rsidP="008670F9">
            <w:pPr>
              <w:spacing w:line="360" w:lineRule="auto"/>
              <w:jc w:val="both"/>
              <w:rPr>
                <w:rFonts w:eastAsia="Times New Roman"/>
              </w:rPr>
            </w:pPr>
            <w:r w:rsidRPr="008670F9">
              <w:rPr>
                <w:rFonts w:eastAsia="Times New Roman"/>
              </w:rPr>
              <w:t>Economic Factor</w:t>
            </w:r>
          </w:p>
        </w:tc>
        <w:tc>
          <w:tcPr>
            <w:tcW w:w="4675" w:type="dxa"/>
          </w:tcPr>
          <w:p w14:paraId="019AC123" w14:textId="77777777" w:rsidR="005C7051" w:rsidRPr="008670F9" w:rsidRDefault="00EA1111" w:rsidP="008670F9">
            <w:pPr>
              <w:spacing w:after="240" w:line="360" w:lineRule="auto"/>
              <w:rPr>
                <w:rFonts w:eastAsia="Times New Roman"/>
              </w:rPr>
            </w:pPr>
            <w:r w:rsidRPr="008670F9">
              <w:rPr>
                <w:rFonts w:eastAsia="Times New Roman"/>
              </w:rPr>
              <w:t>Konami's profitability is largely related to the general economic scenario in the financial markets it serves. Economic downturns may result in lower consumer discretionary spending on entertainment products, affecting Konami's sales and profits. As an international company, Konami is subject to foreign exchange rate variations. Changes in exchange rates can have an impact on the company's revenues, costs, and profitability, especially for foreign sales and operations.</w:t>
            </w:r>
          </w:p>
          <w:p w14:paraId="019AC124" w14:textId="77777777" w:rsidR="005C7051" w:rsidRPr="008670F9" w:rsidRDefault="005C7051" w:rsidP="008670F9">
            <w:pPr>
              <w:spacing w:line="360" w:lineRule="auto"/>
              <w:jc w:val="both"/>
              <w:rPr>
                <w:rFonts w:eastAsia="Times New Roman"/>
              </w:rPr>
            </w:pPr>
          </w:p>
        </w:tc>
      </w:tr>
      <w:tr w:rsidR="005C7051" w:rsidRPr="008670F9" w14:paraId="019AC129" w14:textId="77777777">
        <w:tc>
          <w:tcPr>
            <w:tcW w:w="4675" w:type="dxa"/>
          </w:tcPr>
          <w:p w14:paraId="019AC126" w14:textId="77777777" w:rsidR="005C7051" w:rsidRPr="008670F9" w:rsidRDefault="00EA1111" w:rsidP="008670F9">
            <w:pPr>
              <w:spacing w:line="360" w:lineRule="auto"/>
              <w:jc w:val="both"/>
              <w:rPr>
                <w:rFonts w:eastAsia="Times New Roman"/>
              </w:rPr>
            </w:pPr>
            <w:r w:rsidRPr="008670F9">
              <w:rPr>
                <w:rFonts w:eastAsia="Times New Roman"/>
              </w:rPr>
              <w:t>Social Factor</w:t>
            </w:r>
          </w:p>
        </w:tc>
        <w:tc>
          <w:tcPr>
            <w:tcW w:w="4675" w:type="dxa"/>
          </w:tcPr>
          <w:p w14:paraId="019AC127" w14:textId="77777777" w:rsidR="005C7051" w:rsidRPr="008670F9" w:rsidRDefault="00EA1111" w:rsidP="008670F9">
            <w:pPr>
              <w:spacing w:after="240" w:line="360" w:lineRule="auto"/>
              <w:rPr>
                <w:rFonts w:eastAsia="Times New Roman"/>
              </w:rPr>
            </w:pPr>
            <w:r w:rsidRPr="008670F9">
              <w:rPr>
                <w:rFonts w:eastAsia="Times New Roman"/>
              </w:rPr>
              <w:t xml:space="preserve">Konami must account for changes in population demographics, income levels, and gaming interests. Understanding consumer demographics enables Konami to adjust its </w:t>
            </w:r>
            <w:r w:rsidRPr="008670F9">
              <w:rPr>
                <w:rFonts w:eastAsia="Times New Roman"/>
              </w:rPr>
              <w:lastRenderedPageBreak/>
              <w:t>product offers and marketing tactics to efficiently reach certain client categories. Changing buyer habits, preferences, and cultural developments have a substantial impact on the demand for entertainment and gaming items. To remain competitive, Konami must be aware of trends in customer behavior, such as the growing popularity of internet gaming and mobile gaming apps.</w:t>
            </w:r>
          </w:p>
          <w:p w14:paraId="019AC128" w14:textId="77777777" w:rsidR="005C7051" w:rsidRPr="008670F9" w:rsidRDefault="005C7051" w:rsidP="008670F9">
            <w:pPr>
              <w:spacing w:line="360" w:lineRule="auto"/>
              <w:jc w:val="both"/>
              <w:rPr>
                <w:rFonts w:eastAsia="Times New Roman"/>
              </w:rPr>
            </w:pPr>
          </w:p>
        </w:tc>
      </w:tr>
      <w:tr w:rsidR="005C7051" w:rsidRPr="008670F9" w14:paraId="019AC12D" w14:textId="77777777">
        <w:tc>
          <w:tcPr>
            <w:tcW w:w="4675" w:type="dxa"/>
          </w:tcPr>
          <w:p w14:paraId="019AC12A" w14:textId="77777777" w:rsidR="005C7051" w:rsidRPr="008670F9" w:rsidRDefault="00EA1111" w:rsidP="008670F9">
            <w:pPr>
              <w:spacing w:line="360" w:lineRule="auto"/>
              <w:jc w:val="both"/>
              <w:rPr>
                <w:rFonts w:eastAsia="Times New Roman"/>
              </w:rPr>
            </w:pPr>
            <w:r w:rsidRPr="008670F9">
              <w:rPr>
                <w:rFonts w:eastAsia="Times New Roman"/>
              </w:rPr>
              <w:lastRenderedPageBreak/>
              <w:t>Technological Factor</w:t>
            </w:r>
          </w:p>
        </w:tc>
        <w:tc>
          <w:tcPr>
            <w:tcW w:w="4675" w:type="dxa"/>
          </w:tcPr>
          <w:p w14:paraId="019AC12B" w14:textId="77777777" w:rsidR="005C7051" w:rsidRPr="008670F9" w:rsidRDefault="00EA1111" w:rsidP="008670F9">
            <w:pPr>
              <w:spacing w:line="360" w:lineRule="auto"/>
              <w:rPr>
                <w:rFonts w:eastAsia="Times New Roman"/>
              </w:rPr>
            </w:pPr>
            <w:r w:rsidRPr="008670F9">
              <w:rPr>
                <w:rFonts w:eastAsia="Times New Roman"/>
                <w:lang w:val="en-US"/>
              </w:rPr>
              <w:t>T</w:t>
            </w:r>
            <w:proofErr w:type="spellStart"/>
            <w:r w:rsidRPr="008670F9">
              <w:rPr>
                <w:rFonts w:eastAsia="Times New Roman"/>
              </w:rPr>
              <w:t>echnological</w:t>
            </w:r>
            <w:proofErr w:type="spellEnd"/>
            <w:r w:rsidRPr="008670F9">
              <w:rPr>
                <w:rFonts w:eastAsia="Times New Roman"/>
              </w:rPr>
              <w:t xml:space="preserve"> improvements drive gaming innovation, influencing Konami's product development methods and gameplay experiences. By using emerging technologies like as virtual reality (VR), augmented reality (AR), and artificial intelligence (AI), Konami </w:t>
            </w:r>
            <w:proofErr w:type="gramStart"/>
            <w:r w:rsidRPr="008670F9">
              <w:rPr>
                <w:rFonts w:eastAsia="Times New Roman"/>
              </w:rPr>
              <w:t>is able to</w:t>
            </w:r>
            <w:proofErr w:type="gramEnd"/>
            <w:r w:rsidRPr="008670F9">
              <w:rPr>
                <w:rFonts w:eastAsia="Times New Roman"/>
              </w:rPr>
              <w:t xml:space="preserve"> provide its audience with immersive and engaging gaming experiences. </w:t>
            </w:r>
            <w:r w:rsidRPr="008670F9">
              <w:rPr>
                <w:rFonts w:eastAsia="Times New Roman"/>
              </w:rPr>
              <w:br/>
              <w:t>Konami faces both opportunities and challenges as the entertainment sector undergoes a digital revolution, which includes the emergence of digital distribution channels and online gaming services. Embracing digitalization enables Konami to reach a larger audience and react to shifting customer tastes for digital entertainment.</w:t>
            </w:r>
          </w:p>
          <w:p w14:paraId="019AC12C" w14:textId="77777777" w:rsidR="005C7051" w:rsidRPr="008670F9" w:rsidRDefault="005C7051" w:rsidP="008670F9">
            <w:pPr>
              <w:spacing w:line="360" w:lineRule="auto"/>
              <w:jc w:val="both"/>
              <w:rPr>
                <w:rFonts w:eastAsia="Times New Roman"/>
              </w:rPr>
            </w:pPr>
          </w:p>
        </w:tc>
      </w:tr>
      <w:tr w:rsidR="005C7051" w:rsidRPr="008670F9" w14:paraId="019AC131" w14:textId="77777777">
        <w:tc>
          <w:tcPr>
            <w:tcW w:w="4675" w:type="dxa"/>
          </w:tcPr>
          <w:p w14:paraId="019AC12E" w14:textId="77777777" w:rsidR="005C7051" w:rsidRPr="008670F9" w:rsidRDefault="00EA1111" w:rsidP="008670F9">
            <w:pPr>
              <w:spacing w:line="360" w:lineRule="auto"/>
              <w:jc w:val="both"/>
              <w:rPr>
                <w:rFonts w:eastAsia="Times New Roman"/>
              </w:rPr>
            </w:pPr>
            <w:r w:rsidRPr="008670F9">
              <w:rPr>
                <w:rFonts w:eastAsia="Times New Roman"/>
              </w:rPr>
              <w:t>Environmental Factor</w:t>
            </w:r>
          </w:p>
        </w:tc>
        <w:tc>
          <w:tcPr>
            <w:tcW w:w="4675" w:type="dxa"/>
          </w:tcPr>
          <w:p w14:paraId="019AC12F" w14:textId="77777777" w:rsidR="005C7051" w:rsidRPr="008670F9" w:rsidRDefault="00EA1111" w:rsidP="008670F9">
            <w:pPr>
              <w:spacing w:line="360" w:lineRule="auto"/>
              <w:rPr>
                <w:rFonts w:eastAsia="Times New Roman"/>
              </w:rPr>
            </w:pPr>
            <w:r w:rsidRPr="008670F9">
              <w:rPr>
                <w:rFonts w:eastAsia="Times New Roman"/>
              </w:rPr>
              <w:t xml:space="preserve">Konami's increased knowledge of environmental sustainability encourages it to embrace eco-friendly methods and reduce its environmental imprint. This includes attempts to cut energy usage, develop sustainable sourcing techniques, and encourage </w:t>
            </w:r>
            <w:r w:rsidRPr="008670F9">
              <w:rPr>
                <w:rFonts w:eastAsia="Times New Roman"/>
              </w:rPr>
              <w:lastRenderedPageBreak/>
              <w:t>recycling and waste reduction programs throughout company operations.</w:t>
            </w:r>
          </w:p>
          <w:p w14:paraId="019AC130" w14:textId="77777777" w:rsidR="005C7051" w:rsidRPr="008670F9" w:rsidRDefault="005C7051" w:rsidP="008670F9">
            <w:pPr>
              <w:spacing w:line="360" w:lineRule="auto"/>
              <w:jc w:val="both"/>
              <w:rPr>
                <w:rFonts w:eastAsia="Times New Roman"/>
              </w:rPr>
            </w:pPr>
          </w:p>
        </w:tc>
      </w:tr>
      <w:tr w:rsidR="005C7051" w:rsidRPr="008670F9" w14:paraId="019AC135" w14:textId="77777777">
        <w:tc>
          <w:tcPr>
            <w:tcW w:w="4675" w:type="dxa"/>
          </w:tcPr>
          <w:p w14:paraId="019AC132" w14:textId="77777777" w:rsidR="005C7051" w:rsidRPr="008670F9" w:rsidRDefault="00EA1111" w:rsidP="008670F9">
            <w:pPr>
              <w:spacing w:line="360" w:lineRule="auto"/>
              <w:jc w:val="both"/>
              <w:rPr>
                <w:rFonts w:eastAsia="Times New Roman"/>
              </w:rPr>
            </w:pPr>
            <w:r w:rsidRPr="008670F9">
              <w:rPr>
                <w:rFonts w:eastAsia="Times New Roman"/>
              </w:rPr>
              <w:lastRenderedPageBreak/>
              <w:t>Legal Factor</w:t>
            </w:r>
          </w:p>
        </w:tc>
        <w:tc>
          <w:tcPr>
            <w:tcW w:w="4675" w:type="dxa"/>
          </w:tcPr>
          <w:p w14:paraId="019AC133" w14:textId="77777777" w:rsidR="005C7051" w:rsidRPr="008670F9" w:rsidRDefault="00EA1111" w:rsidP="008670F9">
            <w:pPr>
              <w:spacing w:line="360" w:lineRule="auto"/>
              <w:rPr>
                <w:rFonts w:eastAsia="Times New Roman"/>
              </w:rPr>
            </w:pPr>
            <w:r w:rsidRPr="008670F9">
              <w:rPr>
                <w:rFonts w:eastAsia="Times New Roman"/>
              </w:rPr>
              <w:t xml:space="preserve">Protecting intellectual property rights is critical to Konami's competitive edge and brand reputation. The corporation must enforce copyrights and trademarks </w:t>
            </w:r>
            <w:proofErr w:type="gramStart"/>
            <w:r w:rsidRPr="008670F9">
              <w:rPr>
                <w:rFonts w:eastAsia="Times New Roman"/>
              </w:rPr>
              <w:t>in order to</w:t>
            </w:r>
            <w:proofErr w:type="gramEnd"/>
            <w:r w:rsidRPr="008670F9">
              <w:rPr>
                <w:rFonts w:eastAsia="Times New Roman"/>
              </w:rPr>
              <w:t xml:space="preserve"> avoid piracy and unlawful use of its game titles, characters, and intellectual technologies. Konami must adhere to severe data protection requirements, such as the General Data Protection Regulation (GDPR) in Europe and the California Consumer Privacy Act (CCPA) in the US. Protecting user data obtained through online gaming platforms and following privacy standards are critical to preserving customer trust and regulatory compliance.</w:t>
            </w:r>
          </w:p>
          <w:p w14:paraId="019AC134" w14:textId="77777777" w:rsidR="005C7051" w:rsidRPr="008670F9" w:rsidRDefault="005C7051" w:rsidP="008670F9">
            <w:pPr>
              <w:spacing w:line="360" w:lineRule="auto"/>
              <w:jc w:val="both"/>
              <w:rPr>
                <w:rFonts w:eastAsia="Times New Roman"/>
              </w:rPr>
            </w:pPr>
          </w:p>
        </w:tc>
      </w:tr>
    </w:tbl>
    <w:p w14:paraId="019AC136" w14:textId="77777777" w:rsidR="005C7051" w:rsidRPr="008670F9" w:rsidRDefault="005C7051" w:rsidP="008670F9">
      <w:pPr>
        <w:spacing w:line="360" w:lineRule="auto"/>
        <w:jc w:val="both"/>
        <w:rPr>
          <w:rFonts w:eastAsia="Times New Roman"/>
        </w:rPr>
      </w:pPr>
    </w:p>
    <w:p w14:paraId="019AC137" w14:textId="77777777" w:rsidR="005C7051" w:rsidRPr="008670F9" w:rsidRDefault="005C7051" w:rsidP="008670F9">
      <w:pPr>
        <w:spacing w:line="360" w:lineRule="auto"/>
        <w:jc w:val="both"/>
        <w:rPr>
          <w:rFonts w:eastAsia="Times New Roman"/>
        </w:rPr>
      </w:pPr>
    </w:p>
    <w:p w14:paraId="019AC138" w14:textId="77777777" w:rsidR="005C7051" w:rsidRPr="008670F9" w:rsidRDefault="00EA1111" w:rsidP="008670F9">
      <w:pPr>
        <w:spacing w:line="360" w:lineRule="auto"/>
        <w:jc w:val="both"/>
        <w:rPr>
          <w:rFonts w:eastAsia="Times New Roman"/>
          <w:b/>
        </w:rPr>
      </w:pPr>
      <w:r w:rsidRPr="008670F9">
        <w:rPr>
          <w:rFonts w:eastAsia="Times New Roman"/>
          <w:b/>
        </w:rPr>
        <w:t xml:space="preserve">Identification of the Internal Capabilities and Resources using Porter’s Value Chain Model </w:t>
      </w:r>
    </w:p>
    <w:p w14:paraId="019AC139" w14:textId="77777777" w:rsidR="005C7051" w:rsidRPr="008670F9" w:rsidRDefault="005C7051" w:rsidP="008670F9">
      <w:pPr>
        <w:spacing w:line="360" w:lineRule="auto"/>
        <w:jc w:val="both"/>
        <w:rPr>
          <w:rFonts w:eastAsia="Times New Roman"/>
          <w:b/>
        </w:rPr>
      </w:pPr>
    </w:p>
    <w:p w14:paraId="019AC13A" w14:textId="77777777" w:rsidR="005C7051" w:rsidRPr="008670F9" w:rsidRDefault="00EA1111" w:rsidP="008670F9">
      <w:pPr>
        <w:spacing w:line="360" w:lineRule="auto"/>
        <w:jc w:val="both"/>
        <w:rPr>
          <w:rFonts w:eastAsia="Times New Roman"/>
        </w:rPr>
      </w:pPr>
      <w:r w:rsidRPr="008670F9">
        <w:rPr>
          <w:rFonts w:eastAsia="Times New Roman"/>
        </w:rPr>
        <w:t xml:space="preserve">In the broader setting of the worldwide marketplace, concurrence among businesses is progressively intensifying, necessitating the management of the strategic costs of contemporary enterprises centered around the value chain, which is the primary means for enterprises to expand. There are numerous ambiguities in the value chain, therefore businesses must adopt a suitable cost control technique. By setting expectations based on the cost drivers of the value chain, we may create an interaction model of strategic cost management, lowering the risk cost of value chain competition. By striving for cost management in the value chain, we can benefit from the long-term cost advantage of firms, which is an essential matter to be resolved. SMEs can create a strategic expenditure control mechanism by controlling costs based on the value chain, integrating activity-based and planning approaches. Using the Porter value chain model can help address traditional cost management restrictions and promote strategic cost </w:t>
      </w:r>
      <w:r w:rsidRPr="008670F9">
        <w:rPr>
          <w:rFonts w:eastAsia="Times New Roman"/>
        </w:rPr>
        <w:lastRenderedPageBreak/>
        <w:t xml:space="preserve">management for developing organizations. By breaking through the short-sighted actions taken by internal value chain strategy, firms can build a correct idea of strategic cost, accurately forecast risk </w:t>
      </w:r>
      <w:proofErr w:type="gramStart"/>
      <w:r w:rsidRPr="008670F9">
        <w:rPr>
          <w:rFonts w:eastAsia="Times New Roman"/>
        </w:rPr>
        <w:t>costs.(</w:t>
      </w:r>
      <w:proofErr w:type="gramEnd"/>
      <w:r w:rsidRPr="008670F9">
        <w:rPr>
          <w:rFonts w:eastAsia="Times New Roman"/>
        </w:rPr>
        <w:t>Ruan S, 2020)</w:t>
      </w:r>
    </w:p>
    <w:p w14:paraId="019AC13B" w14:textId="77777777" w:rsidR="005C7051" w:rsidRPr="008670F9" w:rsidRDefault="005C7051" w:rsidP="008670F9">
      <w:pPr>
        <w:spacing w:line="360" w:lineRule="auto"/>
        <w:rPr>
          <w:rFonts w:eastAsia="Times New Roman"/>
        </w:rPr>
      </w:pPr>
    </w:p>
    <w:p w14:paraId="019AC13C" w14:textId="77777777" w:rsidR="005C7051" w:rsidRPr="008670F9" w:rsidRDefault="00EA1111" w:rsidP="008670F9">
      <w:pPr>
        <w:spacing w:line="360" w:lineRule="auto"/>
        <w:ind w:firstLine="720"/>
        <w:jc w:val="both"/>
        <w:rPr>
          <w:rFonts w:eastAsia="Times New Roman"/>
        </w:rPr>
      </w:pPr>
      <w:r w:rsidRPr="008670F9">
        <w:rPr>
          <w:rFonts w:eastAsia="Times New Roman"/>
        </w:rPr>
        <w:t xml:space="preserve">Professor Michael Porter of Harvard University released the book Competitive Advantage in 1985, which introduced the notion of value chain for the first time. The value chain model is a type of model designed for evaluating strengths and weaknesses and competitive methods, and it is a fundamental application tool for improving enterprise strength. A business with fundamental competitive advantage </w:t>
      </w:r>
      <w:proofErr w:type="gramStart"/>
      <w:r w:rsidRPr="008670F9">
        <w:rPr>
          <w:rFonts w:eastAsia="Times New Roman"/>
        </w:rPr>
        <w:t>has to</w:t>
      </w:r>
      <w:proofErr w:type="gramEnd"/>
      <w:r w:rsidRPr="008670F9">
        <w:rPr>
          <w:rFonts w:eastAsia="Times New Roman"/>
        </w:rPr>
        <w:t xml:space="preserve"> build a uniquely effective value chain, which is an unavoidable dynamic tendency in the overall value chain rivalry. We </w:t>
      </w:r>
      <w:proofErr w:type="gramStart"/>
      <w:r w:rsidRPr="008670F9">
        <w:rPr>
          <w:rFonts w:eastAsia="Times New Roman"/>
        </w:rPr>
        <w:t>are able to</w:t>
      </w:r>
      <w:proofErr w:type="gramEnd"/>
      <w:r w:rsidRPr="008670F9">
        <w:rPr>
          <w:rFonts w:eastAsia="Times New Roman"/>
        </w:rPr>
        <w:t xml:space="preserve"> determine variations in competitive advantages through analyzing businesses' value chains. Porter's value chain analysis differentiates nine types of strategy-related activities, including creation, manufacturing, advertising, distribution, and opposing products. </w:t>
      </w:r>
    </w:p>
    <w:p w14:paraId="019AC13D" w14:textId="77777777" w:rsidR="005C7051" w:rsidRPr="008670F9" w:rsidRDefault="005C7051" w:rsidP="008670F9">
      <w:pPr>
        <w:spacing w:line="360" w:lineRule="auto"/>
        <w:rPr>
          <w:rFonts w:eastAsia="Times New Roman"/>
        </w:rPr>
      </w:pPr>
    </w:p>
    <w:p w14:paraId="019AC13E" w14:textId="77777777" w:rsidR="005C7051" w:rsidRPr="008670F9" w:rsidRDefault="005C7051" w:rsidP="008670F9">
      <w:pPr>
        <w:spacing w:line="360" w:lineRule="auto"/>
        <w:jc w:val="both"/>
        <w:rPr>
          <w:rFonts w:eastAsia="Times New Roman"/>
          <w:b/>
        </w:rPr>
      </w:pPr>
    </w:p>
    <w:tbl>
      <w:tblPr>
        <w:tblStyle w:val="TableGrid"/>
        <w:tblW w:w="0" w:type="auto"/>
        <w:tblLook w:val="04A0" w:firstRow="1" w:lastRow="0" w:firstColumn="1" w:lastColumn="0" w:noHBand="0" w:noVBand="1"/>
      </w:tblPr>
      <w:tblGrid>
        <w:gridCol w:w="9350"/>
      </w:tblGrid>
      <w:tr w:rsidR="005C7051" w:rsidRPr="008670F9" w14:paraId="019AC144" w14:textId="77777777">
        <w:tc>
          <w:tcPr>
            <w:tcW w:w="9350" w:type="dxa"/>
          </w:tcPr>
          <w:p w14:paraId="019AC13F" w14:textId="77777777" w:rsidR="005C7051" w:rsidRPr="008670F9" w:rsidRDefault="00EA1111" w:rsidP="008670F9">
            <w:pPr>
              <w:spacing w:line="360" w:lineRule="auto"/>
              <w:jc w:val="center"/>
              <w:rPr>
                <w:rFonts w:eastAsia="Times New Roman"/>
                <w:b/>
                <w:bCs/>
              </w:rPr>
            </w:pPr>
            <w:r w:rsidRPr="008670F9">
              <w:rPr>
                <w:rFonts w:eastAsia="Times New Roman"/>
                <w:b/>
                <w:bCs/>
              </w:rPr>
              <w:t>Firm Infrastructure</w:t>
            </w:r>
          </w:p>
          <w:p w14:paraId="019AC140" w14:textId="77777777" w:rsidR="005C7051" w:rsidRPr="008670F9" w:rsidRDefault="00EA1111" w:rsidP="008670F9">
            <w:pPr>
              <w:spacing w:line="360" w:lineRule="auto"/>
              <w:rPr>
                <w:rFonts w:eastAsia="Times New Roman"/>
              </w:rPr>
            </w:pPr>
            <w:r w:rsidRPr="008670F9">
              <w:rPr>
                <w:rFonts w:eastAsia="Times New Roman"/>
              </w:rPr>
              <w:t xml:space="preserve">Konami Infrastructure pertains to the systems, properties, and technology that underpin the day-to-day operations and business activities of the Konami Group, a multinational entertainment and gaming company. Konami, a broad firm with business sectors encompassing video games, arcade gaming, digital entertainment, sports, and health &amp; fitness, relies on strong infrastructure to run its many businesses efficiently. </w:t>
            </w:r>
          </w:p>
          <w:p w14:paraId="019AC141" w14:textId="77777777" w:rsidR="005C7051" w:rsidRPr="008670F9" w:rsidRDefault="00EA1111" w:rsidP="008670F9">
            <w:pPr>
              <w:pStyle w:val="ListParagraph"/>
              <w:numPr>
                <w:ilvl w:val="0"/>
                <w:numId w:val="10"/>
              </w:numPr>
              <w:spacing w:line="360" w:lineRule="auto"/>
              <w:rPr>
                <w:rFonts w:eastAsia="Times New Roman"/>
              </w:rPr>
            </w:pPr>
            <w:r w:rsidRPr="008670F9">
              <w:rPr>
                <w:rFonts w:eastAsia="Times New Roman"/>
              </w:rPr>
              <w:t xml:space="preserve">Including Information Technology comprising the hardware, software, networks, and data centers that power Konami's digital products and services. </w:t>
            </w:r>
          </w:p>
          <w:p w14:paraId="019AC142" w14:textId="77777777" w:rsidR="005C7051" w:rsidRPr="008670F9" w:rsidRDefault="00EA1111" w:rsidP="008670F9">
            <w:pPr>
              <w:pStyle w:val="ListParagraph"/>
              <w:numPr>
                <w:ilvl w:val="0"/>
                <w:numId w:val="10"/>
              </w:numPr>
              <w:spacing w:line="360" w:lineRule="auto"/>
              <w:rPr>
                <w:rFonts w:eastAsia="Times New Roman"/>
              </w:rPr>
            </w:pPr>
            <w:r w:rsidRPr="008670F9">
              <w:rPr>
                <w:rFonts w:eastAsia="Times New Roman"/>
              </w:rPr>
              <w:t>Manufacturing and Production Facilities necessitate specialized equipment and techniques to provide quality control, efficiency, and timely product delivery to market.</w:t>
            </w:r>
          </w:p>
          <w:p w14:paraId="019AC143" w14:textId="77777777" w:rsidR="005C7051" w:rsidRPr="008670F9" w:rsidRDefault="00EA1111" w:rsidP="008670F9">
            <w:pPr>
              <w:pStyle w:val="ListParagraph"/>
              <w:numPr>
                <w:ilvl w:val="0"/>
                <w:numId w:val="10"/>
              </w:numPr>
              <w:spacing w:line="360" w:lineRule="auto"/>
              <w:rPr>
                <w:rFonts w:eastAsia="Times New Roman"/>
              </w:rPr>
            </w:pPr>
            <w:r w:rsidRPr="008670F9">
              <w:rPr>
                <w:rFonts w:eastAsia="Times New Roman"/>
              </w:rPr>
              <w:t>Research and Development (R&amp;D) Centers- enable the development of new video game materials, innovations, and approaches to match changing customer tastes and market expectations.</w:t>
            </w:r>
          </w:p>
        </w:tc>
      </w:tr>
      <w:tr w:rsidR="005C7051" w:rsidRPr="008670F9" w14:paraId="019AC147" w14:textId="77777777">
        <w:tc>
          <w:tcPr>
            <w:tcW w:w="9350" w:type="dxa"/>
          </w:tcPr>
          <w:p w14:paraId="019AC145" w14:textId="77777777" w:rsidR="005C7051" w:rsidRPr="008670F9" w:rsidRDefault="00EA1111" w:rsidP="008670F9">
            <w:pPr>
              <w:spacing w:line="360" w:lineRule="auto"/>
              <w:jc w:val="center"/>
              <w:rPr>
                <w:rFonts w:eastAsia="Times New Roman"/>
                <w:b/>
                <w:bCs/>
              </w:rPr>
            </w:pPr>
            <w:r w:rsidRPr="008670F9">
              <w:rPr>
                <w:rFonts w:eastAsia="Times New Roman"/>
                <w:b/>
                <w:bCs/>
              </w:rPr>
              <w:t>Human Resources Management</w:t>
            </w:r>
          </w:p>
          <w:p w14:paraId="019AC146" w14:textId="77777777" w:rsidR="005C7051" w:rsidRPr="008670F9" w:rsidRDefault="00EA1111" w:rsidP="008670F9">
            <w:pPr>
              <w:spacing w:after="240" w:line="360" w:lineRule="auto"/>
              <w:rPr>
                <w:rFonts w:eastAsia="Times New Roman"/>
              </w:rPr>
            </w:pPr>
            <w:proofErr w:type="gramStart"/>
            <w:r w:rsidRPr="008670F9">
              <w:rPr>
                <w:rFonts w:eastAsia="Times New Roman"/>
              </w:rPr>
              <w:t>is in charge of</w:t>
            </w:r>
            <w:proofErr w:type="gramEnd"/>
            <w:r w:rsidRPr="008670F9">
              <w:rPr>
                <w:rFonts w:eastAsia="Times New Roman"/>
              </w:rPr>
              <w:t xml:space="preserve"> managing every component of human resources inside the company. Their major responsibility is to manage staff recruiting, loyalty, growth and development, and effectiveness, ensuring that Konami attracts, keeps, and encourages a competent team that is adept at supporting the company's growth.</w:t>
            </w:r>
          </w:p>
        </w:tc>
      </w:tr>
      <w:tr w:rsidR="005C7051" w:rsidRPr="008670F9" w14:paraId="019AC14D" w14:textId="77777777">
        <w:tc>
          <w:tcPr>
            <w:tcW w:w="9350" w:type="dxa"/>
          </w:tcPr>
          <w:p w14:paraId="019AC148" w14:textId="77777777" w:rsidR="005C7051" w:rsidRPr="008670F9" w:rsidRDefault="00EA1111" w:rsidP="008670F9">
            <w:pPr>
              <w:spacing w:line="360" w:lineRule="auto"/>
              <w:jc w:val="center"/>
              <w:rPr>
                <w:rFonts w:eastAsia="Times New Roman"/>
                <w:b/>
                <w:bCs/>
              </w:rPr>
            </w:pPr>
            <w:r w:rsidRPr="008670F9">
              <w:rPr>
                <w:rFonts w:eastAsia="Times New Roman"/>
                <w:b/>
                <w:bCs/>
              </w:rPr>
              <w:lastRenderedPageBreak/>
              <w:t>Technology Department</w:t>
            </w:r>
          </w:p>
          <w:p w14:paraId="019AC149" w14:textId="77777777" w:rsidR="005C7051" w:rsidRPr="008670F9" w:rsidRDefault="00EA1111" w:rsidP="008670F9">
            <w:pPr>
              <w:spacing w:line="360" w:lineRule="auto"/>
              <w:rPr>
                <w:rFonts w:eastAsia="Times New Roman"/>
              </w:rPr>
            </w:pPr>
            <w:r w:rsidRPr="008670F9">
              <w:rPr>
                <w:rFonts w:eastAsia="Times New Roman"/>
              </w:rPr>
              <w:t>This department is responsible for harnessing technology to improve Konami's goods, services, and procedures, ultimately adding to the company's edge in the marketplace and its profitability.</w:t>
            </w:r>
          </w:p>
          <w:p w14:paraId="019AC14A" w14:textId="77777777" w:rsidR="005C7051" w:rsidRPr="008670F9" w:rsidRDefault="00EA1111" w:rsidP="008670F9">
            <w:pPr>
              <w:pStyle w:val="ListParagraph"/>
              <w:numPr>
                <w:ilvl w:val="0"/>
                <w:numId w:val="11"/>
              </w:numPr>
              <w:spacing w:line="360" w:lineRule="auto"/>
              <w:rPr>
                <w:rFonts w:eastAsia="Times New Roman"/>
              </w:rPr>
            </w:pPr>
            <w:r w:rsidRPr="008670F9">
              <w:rPr>
                <w:rFonts w:eastAsia="Times New Roman"/>
              </w:rPr>
              <w:t>Software Development and Engineering- Create software programs, gaming platforms, and digital content for Konami's video games, mobile apps, internet platforms, and other digital offerings. This involves development of software, programming evaluations, and ongoing upkeep to ensure top-notch experiences for users.</w:t>
            </w:r>
          </w:p>
          <w:p w14:paraId="019AC14B" w14:textId="77777777" w:rsidR="005C7051" w:rsidRPr="008670F9" w:rsidRDefault="00EA1111" w:rsidP="008670F9">
            <w:pPr>
              <w:pStyle w:val="ListParagraph"/>
              <w:numPr>
                <w:ilvl w:val="0"/>
                <w:numId w:val="11"/>
              </w:numPr>
              <w:spacing w:line="360" w:lineRule="auto"/>
              <w:rPr>
                <w:rFonts w:eastAsia="Times New Roman"/>
              </w:rPr>
            </w:pPr>
            <w:r w:rsidRPr="008670F9">
              <w:rPr>
                <w:rFonts w:eastAsia="Times New Roman"/>
              </w:rPr>
              <w:t>Collaboration and Integration: Working with various departments, business divisions, and other organizations to efficiently incorporate technological innovations into Konami's overall company strategy and operations. This involves matching investments in technology with business objectives, discovering synergistic possibilities, and encouraging cross-functional collaboration to generate innovation and meet business goals.</w:t>
            </w:r>
          </w:p>
          <w:p w14:paraId="019AC14C" w14:textId="77777777" w:rsidR="005C7051" w:rsidRPr="008670F9" w:rsidRDefault="005C7051" w:rsidP="008670F9">
            <w:pPr>
              <w:spacing w:line="360" w:lineRule="auto"/>
              <w:jc w:val="both"/>
              <w:rPr>
                <w:rFonts w:eastAsia="Times New Roman"/>
              </w:rPr>
            </w:pPr>
          </w:p>
        </w:tc>
      </w:tr>
      <w:tr w:rsidR="005C7051" w:rsidRPr="008670F9" w14:paraId="019AC153" w14:textId="77777777">
        <w:tc>
          <w:tcPr>
            <w:tcW w:w="9350" w:type="dxa"/>
          </w:tcPr>
          <w:p w14:paraId="019AC14E" w14:textId="77777777" w:rsidR="005C7051" w:rsidRPr="008670F9" w:rsidRDefault="00EA1111" w:rsidP="008670F9">
            <w:pPr>
              <w:spacing w:line="360" w:lineRule="auto"/>
              <w:jc w:val="center"/>
              <w:rPr>
                <w:rFonts w:eastAsia="Times New Roman"/>
                <w:b/>
                <w:bCs/>
              </w:rPr>
            </w:pPr>
            <w:r w:rsidRPr="008670F9">
              <w:rPr>
                <w:rFonts w:eastAsia="Times New Roman"/>
                <w:b/>
                <w:bCs/>
              </w:rPr>
              <w:t>Procurement of Resources</w:t>
            </w:r>
          </w:p>
          <w:p w14:paraId="019AC14F" w14:textId="77777777" w:rsidR="005C7051" w:rsidRPr="008670F9" w:rsidRDefault="00EA1111" w:rsidP="008670F9">
            <w:pPr>
              <w:spacing w:line="360" w:lineRule="auto"/>
              <w:rPr>
                <w:rFonts w:eastAsia="Times New Roman"/>
              </w:rPr>
            </w:pPr>
            <w:r w:rsidRPr="008670F9">
              <w:rPr>
                <w:rFonts w:eastAsia="Times New Roman"/>
              </w:rPr>
              <w:t xml:space="preserve">Consists of a set of operations aimed at seeking, analyzing, choosing, and managing suppliers so that Konami may receive high-quality resources at competitive costs and appropriate conditions. </w:t>
            </w:r>
          </w:p>
          <w:p w14:paraId="019AC150" w14:textId="77777777" w:rsidR="005C7051" w:rsidRPr="008670F9" w:rsidRDefault="005C7051" w:rsidP="008670F9">
            <w:pPr>
              <w:spacing w:line="360" w:lineRule="auto"/>
              <w:rPr>
                <w:rFonts w:eastAsia="Times New Roman"/>
              </w:rPr>
            </w:pPr>
          </w:p>
          <w:p w14:paraId="019AC151" w14:textId="77777777" w:rsidR="005C7051" w:rsidRPr="008670F9" w:rsidRDefault="00EA1111" w:rsidP="008670F9">
            <w:pPr>
              <w:pStyle w:val="ListParagraph"/>
              <w:numPr>
                <w:ilvl w:val="0"/>
                <w:numId w:val="12"/>
              </w:numPr>
              <w:spacing w:line="360" w:lineRule="auto"/>
              <w:rPr>
                <w:rFonts w:eastAsia="Times New Roman"/>
              </w:rPr>
            </w:pPr>
            <w:r w:rsidRPr="008670F9">
              <w:rPr>
                <w:rFonts w:eastAsia="Times New Roman"/>
              </w:rPr>
              <w:t xml:space="preserve">Manufacturer Evaluation and Assessment: Konami examines potential suppliers using characteristics such as the quality of the product, dependability, price competitiveness, financial stability, and adherence to ethical and sustainability norms. </w:t>
            </w:r>
          </w:p>
          <w:p w14:paraId="019AC152" w14:textId="77777777" w:rsidR="005C7051" w:rsidRPr="008670F9" w:rsidRDefault="00EA1111" w:rsidP="008670F9">
            <w:pPr>
              <w:pStyle w:val="ListParagraph"/>
              <w:numPr>
                <w:ilvl w:val="0"/>
                <w:numId w:val="12"/>
              </w:numPr>
              <w:spacing w:line="360" w:lineRule="auto"/>
              <w:rPr>
                <w:rFonts w:eastAsia="Times New Roman"/>
              </w:rPr>
            </w:pPr>
            <w:r w:rsidRPr="008670F9">
              <w:rPr>
                <w:rFonts w:eastAsia="Times New Roman"/>
              </w:rPr>
              <w:t xml:space="preserve">Order Placement and Fulfillment: After contract completion, Konami submits orders for supplies with qualified suppliers </w:t>
            </w:r>
            <w:proofErr w:type="gramStart"/>
            <w:r w:rsidRPr="008670F9">
              <w:rPr>
                <w:rFonts w:eastAsia="Times New Roman"/>
              </w:rPr>
              <w:t>in order to</w:t>
            </w:r>
            <w:proofErr w:type="gramEnd"/>
            <w:r w:rsidRPr="008670F9">
              <w:rPr>
                <w:rFonts w:eastAsia="Times New Roman"/>
              </w:rPr>
              <w:t xml:space="preserve"> start the procurement process. Suppliers fulfill orders by supplying needed resources in accordance with agreed-upon specifications, quantities, and delivery times. </w:t>
            </w:r>
          </w:p>
        </w:tc>
      </w:tr>
    </w:tbl>
    <w:p w14:paraId="019AC154" w14:textId="77777777" w:rsidR="005C7051" w:rsidRPr="008670F9" w:rsidRDefault="005C7051" w:rsidP="008670F9">
      <w:pPr>
        <w:spacing w:line="360" w:lineRule="auto"/>
        <w:jc w:val="both"/>
        <w:rPr>
          <w:rFonts w:eastAsia="Times New Roman"/>
        </w:rPr>
      </w:pPr>
    </w:p>
    <w:p w14:paraId="019AC155" w14:textId="77777777" w:rsidR="005C7051" w:rsidRPr="008670F9" w:rsidRDefault="005C7051" w:rsidP="008670F9">
      <w:pPr>
        <w:spacing w:line="360" w:lineRule="auto"/>
        <w:jc w:val="both"/>
        <w:rPr>
          <w:rFonts w:eastAsia="Times New Roman"/>
        </w:rPr>
      </w:pPr>
    </w:p>
    <w:tbl>
      <w:tblPr>
        <w:tblStyle w:val="TableGrid"/>
        <w:tblW w:w="0" w:type="auto"/>
        <w:tblLook w:val="04A0" w:firstRow="1" w:lastRow="0" w:firstColumn="1" w:lastColumn="0" w:noHBand="0" w:noVBand="1"/>
      </w:tblPr>
      <w:tblGrid>
        <w:gridCol w:w="1870"/>
        <w:gridCol w:w="1870"/>
        <w:gridCol w:w="1870"/>
        <w:gridCol w:w="1870"/>
        <w:gridCol w:w="1870"/>
      </w:tblGrid>
      <w:tr w:rsidR="005C7051" w:rsidRPr="008670F9" w14:paraId="019AC161" w14:textId="77777777">
        <w:tc>
          <w:tcPr>
            <w:tcW w:w="1870" w:type="dxa"/>
          </w:tcPr>
          <w:p w14:paraId="019AC156" w14:textId="77777777" w:rsidR="005C7051" w:rsidRPr="008670F9" w:rsidRDefault="00EA1111" w:rsidP="008670F9">
            <w:pPr>
              <w:spacing w:line="360" w:lineRule="auto"/>
              <w:jc w:val="both"/>
              <w:rPr>
                <w:rFonts w:eastAsia="Times New Roman"/>
                <w:b/>
                <w:bCs/>
              </w:rPr>
            </w:pPr>
            <w:r w:rsidRPr="008670F9">
              <w:rPr>
                <w:rFonts w:eastAsia="Times New Roman"/>
                <w:b/>
                <w:bCs/>
              </w:rPr>
              <w:t>Inbound Logistics</w:t>
            </w:r>
          </w:p>
          <w:p w14:paraId="019AC157" w14:textId="77777777" w:rsidR="005C7051" w:rsidRPr="008670F9" w:rsidRDefault="00EA1111" w:rsidP="008670F9">
            <w:pPr>
              <w:spacing w:line="360" w:lineRule="auto"/>
              <w:jc w:val="both"/>
              <w:rPr>
                <w:rFonts w:eastAsia="Times New Roman"/>
              </w:rPr>
            </w:pPr>
            <w:r w:rsidRPr="008670F9">
              <w:rPr>
                <w:rFonts w:eastAsia="Times New Roman"/>
                <w:lang w:val="en-US"/>
              </w:rPr>
              <w:lastRenderedPageBreak/>
              <w:t xml:space="preserve">Konami Group's inbound logistics are expected to include the procurement and transportation of raw materials, components, and products from manufacturers to its manufacturing sites or warehouses for shipment. This comprises managing connections with suppliers, </w:t>
            </w:r>
            <w:proofErr w:type="spellStart"/>
            <w:r w:rsidRPr="008670F9">
              <w:rPr>
                <w:rFonts w:eastAsia="Times New Roman"/>
                <w:lang w:val="en-US"/>
              </w:rPr>
              <w:t>optimising</w:t>
            </w:r>
            <w:proofErr w:type="spellEnd"/>
            <w:r w:rsidRPr="008670F9">
              <w:rPr>
                <w:rFonts w:eastAsia="Times New Roman"/>
                <w:lang w:val="en-US"/>
              </w:rPr>
              <w:t xml:space="preserve"> transportation routes, and ensuring on-time delivery to match production schedules and customer expectations. Additionally, they may use inventory management systems to </w:t>
            </w:r>
            <w:r w:rsidRPr="008670F9">
              <w:rPr>
                <w:rFonts w:eastAsia="Times New Roman"/>
                <w:lang w:val="en-US"/>
              </w:rPr>
              <w:lastRenderedPageBreak/>
              <w:t>streamline processes and reduce expenses.</w:t>
            </w:r>
          </w:p>
        </w:tc>
        <w:tc>
          <w:tcPr>
            <w:tcW w:w="1870" w:type="dxa"/>
          </w:tcPr>
          <w:p w14:paraId="019AC158" w14:textId="77777777" w:rsidR="005C7051" w:rsidRPr="008670F9" w:rsidRDefault="00EA1111" w:rsidP="008670F9">
            <w:pPr>
              <w:spacing w:line="360" w:lineRule="auto"/>
              <w:jc w:val="both"/>
              <w:rPr>
                <w:rFonts w:eastAsia="Times New Roman"/>
                <w:b/>
                <w:bCs/>
              </w:rPr>
            </w:pPr>
            <w:r w:rsidRPr="008670F9">
              <w:rPr>
                <w:rFonts w:eastAsia="Times New Roman"/>
                <w:b/>
                <w:bCs/>
              </w:rPr>
              <w:lastRenderedPageBreak/>
              <w:t>Operations</w:t>
            </w:r>
          </w:p>
          <w:p w14:paraId="019AC159" w14:textId="77777777" w:rsidR="005C7051" w:rsidRPr="008670F9" w:rsidRDefault="00EA1111" w:rsidP="008670F9">
            <w:pPr>
              <w:spacing w:line="360" w:lineRule="auto"/>
              <w:jc w:val="both"/>
              <w:rPr>
                <w:rFonts w:eastAsia="Times New Roman"/>
              </w:rPr>
            </w:pPr>
            <w:r w:rsidRPr="008670F9">
              <w:rPr>
                <w:rFonts w:eastAsia="Times New Roman"/>
                <w:b/>
                <w:bCs/>
                <w:lang w:val="en-US"/>
              </w:rPr>
              <w:t>Operations include</w:t>
            </w:r>
            <w:r w:rsidRPr="008670F9">
              <w:rPr>
                <w:rFonts w:eastAsia="Times New Roman"/>
                <w:lang w:val="en-US"/>
              </w:rPr>
              <w:t xml:space="preserve"> </w:t>
            </w:r>
            <w:r w:rsidRPr="008670F9">
              <w:rPr>
                <w:rFonts w:eastAsia="Times New Roman"/>
                <w:lang w:val="en-US"/>
              </w:rPr>
              <w:lastRenderedPageBreak/>
              <w:t>programming and designing games, evaluating for consistency in quality, and packaging items for distribution. They may also participate in internet services like multiplayer gaming or digital content delivery.</w:t>
            </w:r>
          </w:p>
        </w:tc>
        <w:tc>
          <w:tcPr>
            <w:tcW w:w="1870" w:type="dxa"/>
          </w:tcPr>
          <w:p w14:paraId="019AC15A" w14:textId="77777777" w:rsidR="005C7051" w:rsidRPr="008670F9" w:rsidRDefault="00EA1111" w:rsidP="008670F9">
            <w:pPr>
              <w:spacing w:line="360" w:lineRule="auto"/>
              <w:jc w:val="both"/>
              <w:rPr>
                <w:rFonts w:eastAsia="Times New Roman"/>
                <w:b/>
                <w:bCs/>
              </w:rPr>
            </w:pPr>
            <w:r w:rsidRPr="008670F9">
              <w:rPr>
                <w:rFonts w:eastAsia="Times New Roman"/>
                <w:b/>
                <w:bCs/>
              </w:rPr>
              <w:lastRenderedPageBreak/>
              <w:t xml:space="preserve">Outbound Logistics </w:t>
            </w:r>
          </w:p>
          <w:p w14:paraId="019AC15B" w14:textId="77777777" w:rsidR="005C7051" w:rsidRPr="008670F9" w:rsidRDefault="00EA1111" w:rsidP="008670F9">
            <w:pPr>
              <w:spacing w:line="360" w:lineRule="auto"/>
              <w:jc w:val="both"/>
              <w:rPr>
                <w:rFonts w:eastAsia="Times New Roman"/>
              </w:rPr>
            </w:pPr>
            <w:r w:rsidRPr="008670F9">
              <w:rPr>
                <w:rFonts w:eastAsia="Times New Roman"/>
                <w:lang w:val="en-US"/>
              </w:rPr>
              <w:lastRenderedPageBreak/>
              <w:t xml:space="preserve">Konami Group's outbound logistics entails delivering supplies to clients via a variety of channels, including retail storefronts, internet platforms, and direct sales. This includes overseeing warehouse operations, arranging shipments, and assuring prompt distribution to wholesalers or end users. They may use transportation providers or their network of distributors to connect with worldwide markets more efficiently. </w:t>
            </w:r>
          </w:p>
        </w:tc>
        <w:tc>
          <w:tcPr>
            <w:tcW w:w="1870" w:type="dxa"/>
          </w:tcPr>
          <w:p w14:paraId="019AC15C" w14:textId="77777777" w:rsidR="005C7051" w:rsidRPr="008670F9" w:rsidRDefault="00EA1111" w:rsidP="008670F9">
            <w:pPr>
              <w:spacing w:line="360" w:lineRule="auto"/>
              <w:jc w:val="both"/>
              <w:rPr>
                <w:rFonts w:eastAsia="Times New Roman"/>
                <w:b/>
                <w:bCs/>
              </w:rPr>
            </w:pPr>
            <w:r w:rsidRPr="008670F9">
              <w:rPr>
                <w:rFonts w:eastAsia="Times New Roman"/>
                <w:b/>
                <w:bCs/>
              </w:rPr>
              <w:lastRenderedPageBreak/>
              <w:t>Marketing and Sales</w:t>
            </w:r>
          </w:p>
          <w:p w14:paraId="019AC15D" w14:textId="77777777" w:rsidR="005C7051" w:rsidRPr="008670F9" w:rsidRDefault="005C7051" w:rsidP="008670F9">
            <w:pPr>
              <w:spacing w:line="360" w:lineRule="auto"/>
              <w:jc w:val="both"/>
              <w:rPr>
                <w:rFonts w:eastAsia="Times New Roman"/>
              </w:rPr>
            </w:pPr>
          </w:p>
          <w:p w14:paraId="019AC15E" w14:textId="77777777" w:rsidR="005C7051" w:rsidRPr="008670F9" w:rsidRDefault="00EA1111" w:rsidP="008670F9">
            <w:pPr>
              <w:spacing w:line="360" w:lineRule="auto"/>
              <w:jc w:val="both"/>
              <w:rPr>
                <w:rFonts w:eastAsia="Times New Roman"/>
              </w:rPr>
            </w:pPr>
            <w:r w:rsidRPr="008670F9">
              <w:rPr>
                <w:rFonts w:eastAsia="Times New Roman"/>
                <w:lang w:val="en-US"/>
              </w:rPr>
              <w:lastRenderedPageBreak/>
              <w:t xml:space="preserve">Konami Group's marketing and sales tactics are likely focused on showcasing its gaming products and services for </w:t>
            </w:r>
            <w:proofErr w:type="gramStart"/>
            <w:r w:rsidRPr="008670F9">
              <w:rPr>
                <w:rFonts w:eastAsia="Times New Roman"/>
                <w:lang w:val="en-US"/>
              </w:rPr>
              <w:t>particular customers</w:t>
            </w:r>
            <w:proofErr w:type="gramEnd"/>
            <w:r w:rsidRPr="008670F9">
              <w:rPr>
                <w:rFonts w:eastAsia="Times New Roman"/>
                <w:lang w:val="en-US"/>
              </w:rPr>
              <w:t xml:space="preserve"> via various channels. This may involve digital marketing, social media campaigns, advertising, and collaborations with influencers or content creators. They may also attend gaming conferences and events to promote their latest releases and connect with fans. Sales activities may include both direct sales from their own platforms and partnerships with </w:t>
            </w:r>
            <w:r w:rsidRPr="008670F9">
              <w:rPr>
                <w:rFonts w:eastAsia="Times New Roman"/>
                <w:lang w:val="en-US"/>
              </w:rPr>
              <w:lastRenderedPageBreak/>
              <w:t xml:space="preserve">retailers and online </w:t>
            </w:r>
            <w:proofErr w:type="gramStart"/>
            <w:r w:rsidRPr="008670F9">
              <w:rPr>
                <w:rFonts w:eastAsia="Times New Roman"/>
                <w:lang w:val="en-US"/>
              </w:rPr>
              <w:t>marketplaces..</w:t>
            </w:r>
            <w:proofErr w:type="gramEnd"/>
          </w:p>
        </w:tc>
        <w:tc>
          <w:tcPr>
            <w:tcW w:w="1870" w:type="dxa"/>
          </w:tcPr>
          <w:p w14:paraId="019AC15F" w14:textId="77777777" w:rsidR="005C7051" w:rsidRPr="008670F9" w:rsidRDefault="00EA1111" w:rsidP="008670F9">
            <w:pPr>
              <w:spacing w:line="360" w:lineRule="auto"/>
              <w:jc w:val="both"/>
              <w:rPr>
                <w:rFonts w:eastAsia="Times New Roman"/>
                <w:b/>
                <w:bCs/>
              </w:rPr>
            </w:pPr>
            <w:r w:rsidRPr="008670F9">
              <w:rPr>
                <w:rFonts w:eastAsia="Times New Roman"/>
                <w:b/>
                <w:bCs/>
              </w:rPr>
              <w:lastRenderedPageBreak/>
              <w:t>Customer Services</w:t>
            </w:r>
          </w:p>
          <w:p w14:paraId="019AC160" w14:textId="77777777" w:rsidR="005C7051" w:rsidRPr="008670F9" w:rsidRDefault="00EA1111" w:rsidP="008670F9">
            <w:pPr>
              <w:spacing w:line="360" w:lineRule="auto"/>
              <w:jc w:val="both"/>
              <w:rPr>
                <w:rFonts w:eastAsia="Times New Roman"/>
              </w:rPr>
            </w:pPr>
            <w:r w:rsidRPr="008670F9">
              <w:rPr>
                <w:rFonts w:eastAsia="Times New Roman"/>
                <w:lang w:val="en-US"/>
              </w:rPr>
              <w:lastRenderedPageBreak/>
              <w:t xml:space="preserve">Konami Group most likely places a high value on customer service </w:t>
            </w:r>
            <w:proofErr w:type="gramStart"/>
            <w:r w:rsidRPr="008670F9">
              <w:rPr>
                <w:rFonts w:eastAsia="Times New Roman"/>
                <w:lang w:val="en-US"/>
              </w:rPr>
              <w:t>in order to</w:t>
            </w:r>
            <w:proofErr w:type="gramEnd"/>
            <w:r w:rsidRPr="008670F9">
              <w:rPr>
                <w:rFonts w:eastAsia="Times New Roman"/>
                <w:lang w:val="en-US"/>
              </w:rPr>
              <w:t xml:space="preserve"> improve the gaming experience and establish loyalty among its players. This includes offering prompt support and help to users who have technical difficulties, billing information requests, or other general inquiries about their goods and services. They can offer numerous modes of customer assistance, such as email, live chat, phone help, and online forums. Konami Group may also </w:t>
            </w:r>
            <w:r w:rsidRPr="008670F9">
              <w:rPr>
                <w:rFonts w:eastAsia="Times New Roman"/>
                <w:lang w:val="en-US"/>
              </w:rPr>
              <w:lastRenderedPageBreak/>
              <w:t xml:space="preserve">collect user input </w:t>
            </w:r>
            <w:proofErr w:type="gramStart"/>
            <w:r w:rsidRPr="008670F9">
              <w:rPr>
                <w:rFonts w:eastAsia="Times New Roman"/>
                <w:lang w:val="en-US"/>
              </w:rPr>
              <w:t>in order to</w:t>
            </w:r>
            <w:proofErr w:type="gramEnd"/>
            <w:r w:rsidRPr="008670F9">
              <w:rPr>
                <w:rFonts w:eastAsia="Times New Roman"/>
                <w:lang w:val="en-US"/>
              </w:rPr>
              <w:t xml:space="preserve"> continually enhance the products and services, ensuring that players have a positive and satisfying experience.</w:t>
            </w:r>
          </w:p>
        </w:tc>
      </w:tr>
    </w:tbl>
    <w:p w14:paraId="019AC162" w14:textId="77777777" w:rsidR="005C7051" w:rsidRPr="008670F9" w:rsidRDefault="005C7051" w:rsidP="008670F9">
      <w:pPr>
        <w:spacing w:line="360" w:lineRule="auto"/>
        <w:jc w:val="both"/>
        <w:rPr>
          <w:rFonts w:eastAsia="Times New Roman"/>
        </w:rPr>
      </w:pPr>
    </w:p>
    <w:p w14:paraId="019AC163" w14:textId="77777777" w:rsidR="005C7051" w:rsidRPr="008670F9" w:rsidRDefault="005C7051" w:rsidP="008670F9">
      <w:pPr>
        <w:spacing w:line="360" w:lineRule="auto"/>
        <w:jc w:val="both"/>
        <w:rPr>
          <w:rFonts w:eastAsia="Times New Roman"/>
        </w:rPr>
      </w:pPr>
    </w:p>
    <w:p w14:paraId="019AC164" w14:textId="77777777" w:rsidR="005C7051" w:rsidRPr="008670F9" w:rsidRDefault="00EA1111" w:rsidP="008670F9">
      <w:pPr>
        <w:spacing w:line="360" w:lineRule="auto"/>
        <w:jc w:val="center"/>
        <w:rPr>
          <w:rFonts w:eastAsia="Times New Roman"/>
          <w:b/>
          <w:bCs/>
        </w:rPr>
      </w:pPr>
      <w:r w:rsidRPr="008670F9">
        <w:rPr>
          <w:rFonts w:eastAsia="Times New Roman"/>
          <w:b/>
          <w:bCs/>
          <w:lang w:val="en-US"/>
        </w:rPr>
        <w:t xml:space="preserve">Summary of External and Internal </w:t>
      </w:r>
      <w:proofErr w:type="gramStart"/>
      <w:r w:rsidRPr="008670F9">
        <w:rPr>
          <w:rFonts w:eastAsia="Times New Roman"/>
          <w:b/>
          <w:bCs/>
          <w:lang w:val="en-US"/>
        </w:rPr>
        <w:t>Analysis( SWOT</w:t>
      </w:r>
      <w:proofErr w:type="gramEnd"/>
      <w:r w:rsidRPr="008670F9">
        <w:rPr>
          <w:rFonts w:eastAsia="Times New Roman"/>
          <w:b/>
          <w:bCs/>
          <w:lang w:val="en-US"/>
        </w:rPr>
        <w:t>)</w:t>
      </w:r>
    </w:p>
    <w:p w14:paraId="019AC165" w14:textId="77777777" w:rsidR="005C7051" w:rsidRPr="008670F9" w:rsidRDefault="005C7051" w:rsidP="008670F9">
      <w:pPr>
        <w:spacing w:line="360" w:lineRule="auto"/>
        <w:jc w:val="both"/>
        <w:rPr>
          <w:rFonts w:eastAsia="Times New Roman"/>
        </w:rPr>
      </w:pPr>
    </w:p>
    <w:p w14:paraId="019AC166" w14:textId="62C9CBC3" w:rsidR="005C7051" w:rsidRPr="008670F9" w:rsidRDefault="00EA1111" w:rsidP="008670F9">
      <w:pPr>
        <w:spacing w:line="360" w:lineRule="auto"/>
        <w:jc w:val="center"/>
        <w:rPr>
          <w:rFonts w:eastAsia="Times New Roman"/>
          <w:b/>
          <w:bCs/>
        </w:rPr>
      </w:pPr>
      <w:r w:rsidRPr="008670F9">
        <w:rPr>
          <w:rFonts w:eastAsia="Times New Roman"/>
          <w:b/>
          <w:bCs/>
          <w:lang w:val="en-US"/>
        </w:rPr>
        <w:t>External Factors</w:t>
      </w:r>
    </w:p>
    <w:tbl>
      <w:tblPr>
        <w:tblStyle w:val="TableGrid"/>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00" w:firstRow="0" w:lastRow="0" w:firstColumn="0" w:lastColumn="0" w:noHBand="0" w:noVBand="1"/>
      </w:tblPr>
      <w:tblGrid>
        <w:gridCol w:w="4675"/>
        <w:gridCol w:w="4675"/>
      </w:tblGrid>
      <w:tr w:rsidR="005C7051" w:rsidRPr="008670F9" w14:paraId="019AC16B" w14:textId="77777777">
        <w:tc>
          <w:tcPr>
            <w:tcW w:w="4680" w:type="dxa"/>
            <w:tcBorders>
              <w:top w:val="single" w:sz="4" w:space="0" w:color="auto"/>
              <w:left w:val="single" w:sz="4" w:space="0" w:color="auto"/>
              <w:bottom w:val="single" w:sz="4" w:space="0" w:color="auto"/>
              <w:right w:val="single" w:sz="4" w:space="0" w:color="auto"/>
            </w:tcBorders>
          </w:tcPr>
          <w:p w14:paraId="019AC167" w14:textId="77777777" w:rsidR="005C7051" w:rsidRPr="008670F9" w:rsidRDefault="00EA1111" w:rsidP="008670F9">
            <w:pPr>
              <w:spacing w:line="360" w:lineRule="auto"/>
              <w:jc w:val="both"/>
              <w:rPr>
                <w:rFonts w:eastAsia="Times New Roman"/>
                <w:b/>
                <w:bCs/>
                <w:lang w:val="en-US"/>
              </w:rPr>
            </w:pPr>
            <w:r w:rsidRPr="008670F9">
              <w:rPr>
                <w:rFonts w:eastAsia="Times New Roman"/>
                <w:b/>
                <w:bCs/>
                <w:lang w:val="en-US"/>
              </w:rPr>
              <w:t xml:space="preserve">Opportunities </w:t>
            </w:r>
          </w:p>
          <w:p w14:paraId="019AC168" w14:textId="77777777" w:rsidR="005C7051" w:rsidRPr="008670F9" w:rsidRDefault="00EA1111" w:rsidP="008670F9">
            <w:pPr>
              <w:spacing w:line="360" w:lineRule="auto"/>
              <w:jc w:val="both"/>
              <w:rPr>
                <w:rFonts w:eastAsia="Times New Roman"/>
              </w:rPr>
            </w:pPr>
            <w:r w:rsidRPr="008670F9">
              <w:rPr>
                <w:rFonts w:eastAsia="Times New Roman"/>
                <w:lang w:val="en-US"/>
              </w:rPr>
              <w:t>Higher demand for video game development entertainment, growth into new industries, or technological advancements.</w:t>
            </w:r>
          </w:p>
        </w:tc>
        <w:tc>
          <w:tcPr>
            <w:tcW w:w="4680" w:type="dxa"/>
            <w:tcBorders>
              <w:top w:val="single" w:sz="4" w:space="0" w:color="auto"/>
              <w:left w:val="single" w:sz="4" w:space="0" w:color="auto"/>
              <w:bottom w:val="single" w:sz="4" w:space="0" w:color="auto"/>
              <w:right w:val="single" w:sz="4" w:space="0" w:color="auto"/>
            </w:tcBorders>
          </w:tcPr>
          <w:p w14:paraId="019AC169" w14:textId="77777777" w:rsidR="005C7051" w:rsidRPr="008670F9" w:rsidRDefault="00EA1111" w:rsidP="008670F9">
            <w:pPr>
              <w:spacing w:line="360" w:lineRule="auto"/>
              <w:jc w:val="both"/>
              <w:rPr>
                <w:rFonts w:eastAsia="Times New Roman"/>
                <w:b/>
                <w:bCs/>
              </w:rPr>
            </w:pPr>
            <w:r w:rsidRPr="008670F9">
              <w:rPr>
                <w:rFonts w:eastAsia="Times New Roman"/>
                <w:b/>
                <w:bCs/>
                <w:lang w:val="en-US"/>
              </w:rPr>
              <w:t xml:space="preserve">Threats </w:t>
            </w:r>
          </w:p>
          <w:p w14:paraId="019AC16A" w14:textId="77777777" w:rsidR="005C7051" w:rsidRPr="008670F9" w:rsidRDefault="00EA1111" w:rsidP="008670F9">
            <w:pPr>
              <w:spacing w:line="360" w:lineRule="auto"/>
              <w:jc w:val="both"/>
              <w:rPr>
                <w:rFonts w:eastAsia="Times New Roman"/>
              </w:rPr>
            </w:pPr>
            <w:r w:rsidRPr="008670F9">
              <w:rPr>
                <w:rFonts w:eastAsia="Times New Roman"/>
                <w:lang w:val="en-US"/>
              </w:rPr>
              <w:t>Threats from other gaming organizations, fluctuating customer expectations, and regulatory issues.</w:t>
            </w:r>
          </w:p>
        </w:tc>
      </w:tr>
    </w:tbl>
    <w:p w14:paraId="019AC16C" w14:textId="729AD952" w:rsidR="005C7051" w:rsidRPr="008670F9" w:rsidRDefault="00EA1111" w:rsidP="008670F9">
      <w:pPr>
        <w:spacing w:line="360" w:lineRule="auto"/>
        <w:jc w:val="center"/>
        <w:rPr>
          <w:rFonts w:eastAsia="Times New Roman"/>
          <w:b/>
          <w:bCs/>
        </w:rPr>
      </w:pPr>
      <w:r w:rsidRPr="008670F9">
        <w:rPr>
          <w:rFonts w:eastAsia="Times New Roman"/>
          <w:b/>
          <w:bCs/>
          <w:lang w:val="en-US"/>
        </w:rPr>
        <w:t>Internal Factors</w:t>
      </w:r>
    </w:p>
    <w:tbl>
      <w:tblPr>
        <w:tblStyle w:val="TableGrid"/>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00" w:firstRow="0" w:lastRow="0" w:firstColumn="0" w:lastColumn="0" w:noHBand="0" w:noVBand="1"/>
      </w:tblPr>
      <w:tblGrid>
        <w:gridCol w:w="4675"/>
        <w:gridCol w:w="4675"/>
      </w:tblGrid>
      <w:tr w:rsidR="005C7051" w:rsidRPr="008670F9" w14:paraId="019AC173" w14:textId="77777777">
        <w:tc>
          <w:tcPr>
            <w:tcW w:w="4680" w:type="dxa"/>
            <w:tcBorders>
              <w:top w:val="single" w:sz="4" w:space="0" w:color="auto"/>
              <w:left w:val="single" w:sz="4" w:space="0" w:color="auto"/>
              <w:bottom w:val="single" w:sz="4" w:space="0" w:color="auto"/>
              <w:right w:val="single" w:sz="4" w:space="0" w:color="auto"/>
            </w:tcBorders>
          </w:tcPr>
          <w:p w14:paraId="019AC16D" w14:textId="77777777" w:rsidR="005C7051" w:rsidRPr="008670F9" w:rsidRDefault="00EA1111" w:rsidP="008670F9">
            <w:pPr>
              <w:spacing w:line="360" w:lineRule="auto"/>
              <w:jc w:val="both"/>
              <w:rPr>
                <w:rFonts w:eastAsia="Times New Roman"/>
                <w:b/>
                <w:bCs/>
              </w:rPr>
            </w:pPr>
            <w:r w:rsidRPr="008670F9">
              <w:rPr>
                <w:rFonts w:eastAsia="Times New Roman"/>
                <w:b/>
                <w:bCs/>
                <w:lang w:val="en-US"/>
              </w:rPr>
              <w:t xml:space="preserve">Strength </w:t>
            </w:r>
          </w:p>
          <w:p w14:paraId="019AC16E" w14:textId="77777777" w:rsidR="005C7051" w:rsidRPr="008670F9" w:rsidRDefault="00EA1111" w:rsidP="008670F9">
            <w:pPr>
              <w:spacing w:line="360" w:lineRule="auto"/>
              <w:jc w:val="both"/>
              <w:rPr>
                <w:rFonts w:eastAsia="Times New Roman"/>
              </w:rPr>
            </w:pPr>
            <w:r w:rsidRPr="008670F9">
              <w:rPr>
                <w:rFonts w:eastAsia="Times New Roman"/>
                <w:lang w:val="en-US"/>
              </w:rPr>
              <w:t xml:space="preserve">A diversified portfolio of products, including video games, trading cards, arcade games, and casino gaming systems, generates earnings from multiple </w:t>
            </w:r>
            <w:proofErr w:type="gramStart"/>
            <w:r w:rsidRPr="008670F9">
              <w:rPr>
                <w:rFonts w:eastAsia="Times New Roman"/>
                <w:lang w:val="en-US"/>
              </w:rPr>
              <w:t>sources</w:t>
            </w:r>
            <w:proofErr w:type="gramEnd"/>
          </w:p>
          <w:p w14:paraId="019AC16F" w14:textId="77777777" w:rsidR="005C7051" w:rsidRPr="008670F9" w:rsidRDefault="00EA1111" w:rsidP="008670F9">
            <w:pPr>
              <w:spacing w:line="360" w:lineRule="auto"/>
              <w:jc w:val="both"/>
              <w:rPr>
                <w:rFonts w:eastAsia="Times New Roman"/>
              </w:rPr>
            </w:pPr>
            <w:r w:rsidRPr="008670F9">
              <w:rPr>
                <w:rFonts w:eastAsia="Times New Roman"/>
                <w:lang w:val="en-US"/>
              </w:rPr>
              <w:t>Worldwide popularity, with manufacturing and dispersion networks in numerous locations, allowing it to connect with a large audience.</w:t>
            </w:r>
          </w:p>
          <w:p w14:paraId="019AC170" w14:textId="77777777" w:rsidR="005C7051" w:rsidRPr="008670F9" w:rsidRDefault="005C7051" w:rsidP="008670F9">
            <w:pPr>
              <w:spacing w:line="360" w:lineRule="auto"/>
              <w:jc w:val="both"/>
              <w:rPr>
                <w:rFonts w:eastAsia="Times New Roman"/>
              </w:rPr>
            </w:pPr>
          </w:p>
        </w:tc>
        <w:tc>
          <w:tcPr>
            <w:tcW w:w="4680" w:type="dxa"/>
            <w:tcBorders>
              <w:top w:val="single" w:sz="4" w:space="0" w:color="auto"/>
              <w:left w:val="single" w:sz="4" w:space="0" w:color="auto"/>
              <w:bottom w:val="single" w:sz="4" w:space="0" w:color="auto"/>
              <w:right w:val="single" w:sz="4" w:space="0" w:color="auto"/>
            </w:tcBorders>
          </w:tcPr>
          <w:p w14:paraId="019AC171" w14:textId="77777777" w:rsidR="005C7051" w:rsidRPr="008670F9" w:rsidRDefault="00EA1111" w:rsidP="008670F9">
            <w:pPr>
              <w:spacing w:line="360" w:lineRule="auto"/>
              <w:jc w:val="both"/>
              <w:rPr>
                <w:rFonts w:eastAsia="Times New Roman"/>
                <w:b/>
                <w:bCs/>
              </w:rPr>
            </w:pPr>
            <w:r w:rsidRPr="008670F9">
              <w:rPr>
                <w:rFonts w:eastAsia="Times New Roman"/>
                <w:b/>
                <w:bCs/>
                <w:lang w:val="en-US"/>
              </w:rPr>
              <w:t xml:space="preserve">Weaknesses </w:t>
            </w:r>
          </w:p>
          <w:p w14:paraId="019AC172" w14:textId="77777777" w:rsidR="005C7051" w:rsidRPr="008670F9" w:rsidRDefault="00EA1111" w:rsidP="008670F9">
            <w:pPr>
              <w:spacing w:line="360" w:lineRule="auto"/>
              <w:jc w:val="both"/>
              <w:rPr>
                <w:rFonts w:eastAsia="Times New Roman"/>
              </w:rPr>
            </w:pPr>
            <w:r w:rsidRPr="008670F9">
              <w:rPr>
                <w:rFonts w:eastAsia="Times New Roman"/>
                <w:lang w:val="en-US"/>
              </w:rPr>
              <w:t>Konami's success is primarily based on several key franchise businesses, leaving it subject to shifts in how prevalent they are and public preferences.</w:t>
            </w:r>
          </w:p>
        </w:tc>
      </w:tr>
    </w:tbl>
    <w:p w14:paraId="019AC174" w14:textId="77777777" w:rsidR="005C7051" w:rsidRPr="008670F9" w:rsidRDefault="005C7051" w:rsidP="008670F9">
      <w:pPr>
        <w:spacing w:line="360" w:lineRule="auto"/>
        <w:jc w:val="both"/>
        <w:rPr>
          <w:rFonts w:eastAsia="Times New Roman"/>
        </w:rPr>
      </w:pPr>
    </w:p>
    <w:p w14:paraId="019AC175" w14:textId="77777777" w:rsidR="005C7051" w:rsidRPr="008670F9" w:rsidRDefault="00EA1111" w:rsidP="008670F9">
      <w:pPr>
        <w:spacing w:line="360" w:lineRule="auto"/>
        <w:ind w:firstLine="720"/>
        <w:jc w:val="both"/>
        <w:rPr>
          <w:rFonts w:eastAsia="Times New Roman"/>
        </w:rPr>
      </w:pPr>
      <w:r w:rsidRPr="008670F9">
        <w:rPr>
          <w:rFonts w:eastAsia="Times New Roman"/>
          <w:lang w:val="en-US"/>
        </w:rPr>
        <w:t xml:space="preserve">Konami Holdings Corporation is a major company in its sector. Konami Holdings Corporation maintains its market leadership position by closely evaluating and revising the SWOT analysis. SWOT analysis is an extremely collaborative procedure that needs great collaboration </w:t>
      </w:r>
      <w:r w:rsidRPr="008670F9">
        <w:rPr>
          <w:rFonts w:eastAsia="Times New Roman"/>
          <w:lang w:val="en-US"/>
        </w:rPr>
        <w:lastRenderedPageBreak/>
        <w:t>among different divisions within the organization, including the departments of marketing, finance, operations, management information systems, and planning for strategy.</w:t>
      </w:r>
    </w:p>
    <w:p w14:paraId="019AC176" w14:textId="77777777" w:rsidR="005C7051" w:rsidRPr="008670F9" w:rsidRDefault="005C7051" w:rsidP="008670F9">
      <w:pPr>
        <w:spacing w:line="360" w:lineRule="auto"/>
        <w:jc w:val="both"/>
        <w:rPr>
          <w:rFonts w:eastAsia="Times New Roman"/>
        </w:rPr>
      </w:pPr>
    </w:p>
    <w:p w14:paraId="019AC178" w14:textId="62B8CF21" w:rsidR="005C7051" w:rsidRPr="008670F9" w:rsidRDefault="00EB0865" w:rsidP="008670F9">
      <w:pPr>
        <w:spacing w:line="360" w:lineRule="auto"/>
        <w:jc w:val="center"/>
        <w:rPr>
          <w:rFonts w:eastAsia="Times New Roman"/>
        </w:rPr>
      </w:pPr>
      <w:r w:rsidRPr="008670F9">
        <w:rPr>
          <w:rFonts w:eastAsia="Times New Roman"/>
          <w:lang w:val="en-US"/>
        </w:rPr>
        <w:t xml:space="preserve">Using Of </w:t>
      </w:r>
      <w:r w:rsidR="00EA1111" w:rsidRPr="008670F9">
        <w:rPr>
          <w:rFonts w:eastAsia="Times New Roman"/>
          <w:lang w:val="en-US"/>
        </w:rPr>
        <w:t xml:space="preserve">Ansoff Matrix </w:t>
      </w:r>
      <w:r w:rsidRPr="008670F9">
        <w:rPr>
          <w:rFonts w:eastAsia="Times New Roman"/>
          <w:lang w:val="en-US"/>
        </w:rPr>
        <w:t xml:space="preserve">to Identify the Change Options </w:t>
      </w:r>
      <w:proofErr w:type="gramStart"/>
      <w:r w:rsidRPr="008670F9">
        <w:rPr>
          <w:rFonts w:eastAsia="Times New Roman"/>
          <w:lang w:val="en-US"/>
        </w:rPr>
        <w:t>In</w:t>
      </w:r>
      <w:proofErr w:type="gramEnd"/>
      <w:r w:rsidRPr="008670F9">
        <w:rPr>
          <w:rFonts w:eastAsia="Times New Roman"/>
          <w:lang w:val="en-US"/>
        </w:rPr>
        <w:t xml:space="preserve"> </w:t>
      </w:r>
      <w:r w:rsidR="00EA1111" w:rsidRPr="008670F9">
        <w:rPr>
          <w:rFonts w:eastAsia="Times New Roman"/>
          <w:lang w:val="en-US"/>
        </w:rPr>
        <w:t>Konami Group Inc</w:t>
      </w:r>
      <w:r w:rsidRPr="008670F9">
        <w:rPr>
          <w:rFonts w:eastAsia="Times New Roman"/>
          <w:lang w:val="en-US"/>
        </w:rPr>
        <w:t>.</w:t>
      </w:r>
    </w:p>
    <w:p w14:paraId="7D7E70F9" w14:textId="77777777" w:rsidR="00EB0865" w:rsidRPr="008670F9" w:rsidRDefault="00EB0865" w:rsidP="008670F9">
      <w:pPr>
        <w:spacing w:line="360" w:lineRule="auto"/>
        <w:rPr>
          <w:rFonts w:eastAsia="Times New Roman"/>
        </w:rPr>
      </w:pPr>
    </w:p>
    <w:tbl>
      <w:tblPr>
        <w:tblStyle w:val="TableGrid"/>
        <w:tblW w:w="0" w:type="auto"/>
        <w:tblLook w:val="04A0" w:firstRow="1" w:lastRow="0" w:firstColumn="1" w:lastColumn="0" w:noHBand="0" w:noVBand="1"/>
      </w:tblPr>
      <w:tblGrid>
        <w:gridCol w:w="3116"/>
        <w:gridCol w:w="3117"/>
        <w:gridCol w:w="3117"/>
      </w:tblGrid>
      <w:tr w:rsidR="00F21813" w:rsidRPr="008670F9" w14:paraId="2DDF1C51" w14:textId="77777777" w:rsidTr="00F21813">
        <w:tc>
          <w:tcPr>
            <w:tcW w:w="3116" w:type="dxa"/>
          </w:tcPr>
          <w:p w14:paraId="335888E9" w14:textId="77777777" w:rsidR="00F21813" w:rsidRPr="008670F9" w:rsidRDefault="00F21813" w:rsidP="008670F9">
            <w:pPr>
              <w:spacing w:line="360" w:lineRule="auto"/>
              <w:rPr>
                <w:rFonts w:eastAsia="Times New Roman"/>
                <w:b/>
                <w:bCs/>
              </w:rPr>
            </w:pPr>
          </w:p>
        </w:tc>
        <w:tc>
          <w:tcPr>
            <w:tcW w:w="3117" w:type="dxa"/>
          </w:tcPr>
          <w:p w14:paraId="668934A6" w14:textId="27EEBFD1" w:rsidR="00F21813" w:rsidRPr="008670F9" w:rsidRDefault="00F21813" w:rsidP="008670F9">
            <w:pPr>
              <w:spacing w:line="360" w:lineRule="auto"/>
              <w:rPr>
                <w:rFonts w:eastAsia="Times New Roman"/>
                <w:b/>
                <w:bCs/>
              </w:rPr>
            </w:pPr>
            <w:r w:rsidRPr="008670F9">
              <w:rPr>
                <w:rFonts w:eastAsia="Times New Roman"/>
                <w:b/>
                <w:bCs/>
              </w:rPr>
              <w:t xml:space="preserve">EXISTING PRODUCTS </w:t>
            </w:r>
          </w:p>
        </w:tc>
        <w:tc>
          <w:tcPr>
            <w:tcW w:w="3117" w:type="dxa"/>
          </w:tcPr>
          <w:p w14:paraId="38B5B49F" w14:textId="7DDC838A" w:rsidR="00F21813" w:rsidRPr="008670F9" w:rsidRDefault="002342F4" w:rsidP="008670F9">
            <w:pPr>
              <w:spacing w:line="360" w:lineRule="auto"/>
              <w:rPr>
                <w:rFonts w:eastAsia="Times New Roman"/>
                <w:b/>
                <w:bCs/>
              </w:rPr>
            </w:pPr>
            <w:r w:rsidRPr="008670F9">
              <w:rPr>
                <w:rFonts w:eastAsia="Times New Roman"/>
                <w:b/>
                <w:bCs/>
              </w:rPr>
              <w:t xml:space="preserve">NEW PRODUCTS </w:t>
            </w:r>
          </w:p>
        </w:tc>
      </w:tr>
      <w:tr w:rsidR="00F21813" w:rsidRPr="008670F9" w14:paraId="779EF130" w14:textId="77777777" w:rsidTr="00F21813">
        <w:tc>
          <w:tcPr>
            <w:tcW w:w="3116" w:type="dxa"/>
          </w:tcPr>
          <w:p w14:paraId="634E201F" w14:textId="2D7C867C" w:rsidR="00F21813" w:rsidRPr="008670F9" w:rsidRDefault="002342F4" w:rsidP="008670F9">
            <w:pPr>
              <w:spacing w:line="360" w:lineRule="auto"/>
              <w:rPr>
                <w:rFonts w:eastAsia="Times New Roman"/>
                <w:b/>
                <w:bCs/>
              </w:rPr>
            </w:pPr>
            <w:r w:rsidRPr="008670F9">
              <w:rPr>
                <w:rFonts w:eastAsia="Times New Roman"/>
                <w:b/>
                <w:bCs/>
              </w:rPr>
              <w:t>EXISTING MARKETS</w:t>
            </w:r>
          </w:p>
        </w:tc>
        <w:tc>
          <w:tcPr>
            <w:tcW w:w="3117" w:type="dxa"/>
          </w:tcPr>
          <w:p w14:paraId="60991B4A" w14:textId="77777777" w:rsidR="00F21813" w:rsidRPr="008670F9" w:rsidRDefault="00750F96" w:rsidP="008670F9">
            <w:pPr>
              <w:spacing w:line="360" w:lineRule="auto"/>
              <w:rPr>
                <w:rFonts w:eastAsia="Times New Roman"/>
                <w:b/>
                <w:bCs/>
              </w:rPr>
            </w:pPr>
            <w:r w:rsidRPr="008670F9">
              <w:rPr>
                <w:rFonts w:eastAsia="Times New Roman"/>
                <w:b/>
                <w:bCs/>
              </w:rPr>
              <w:t>Market Penetration</w:t>
            </w:r>
          </w:p>
          <w:p w14:paraId="3C059562" w14:textId="77777777" w:rsidR="005E6AF5" w:rsidRPr="005E6AF5" w:rsidRDefault="005E6AF5" w:rsidP="008670F9">
            <w:pPr>
              <w:spacing w:after="240" w:line="360" w:lineRule="auto"/>
              <w:rPr>
                <w:rFonts w:eastAsia="Times New Roman"/>
              </w:rPr>
            </w:pPr>
            <w:r w:rsidRPr="005E6AF5">
              <w:rPr>
                <w:rFonts w:eastAsia="Times New Roman"/>
              </w:rPr>
              <w:t>Konami might focus on enhancing its network of retailers to make its items more accessible to buyers. The effort might entail extending collaborations with shops, upgrading online distribution channels, and optimizing logistics to ensure speedier supply.</w:t>
            </w:r>
          </w:p>
          <w:p w14:paraId="78A5D53D" w14:textId="77777777" w:rsidR="00AD54BF" w:rsidRPr="00AD54BF" w:rsidRDefault="00AD54BF" w:rsidP="008670F9">
            <w:pPr>
              <w:spacing w:after="240" w:line="360" w:lineRule="auto"/>
              <w:rPr>
                <w:rFonts w:eastAsia="Times New Roman"/>
              </w:rPr>
            </w:pPr>
            <w:r w:rsidRPr="00AD54BF">
              <w:rPr>
                <w:rFonts w:eastAsia="Times New Roman"/>
              </w:rPr>
              <w:t>Regular improvements and upgrades on current items may assist keep customers interested and satisfied. Konami may retain gamers involved by releasing updates, modifications, or extra material for the current console or trading card games.</w:t>
            </w:r>
          </w:p>
          <w:p w14:paraId="29E9FEEB" w14:textId="77777777" w:rsidR="00750F96" w:rsidRPr="008670F9" w:rsidRDefault="00750F96" w:rsidP="008670F9">
            <w:pPr>
              <w:spacing w:line="360" w:lineRule="auto"/>
              <w:rPr>
                <w:rFonts w:eastAsia="Times New Roman"/>
                <w:b/>
                <w:bCs/>
              </w:rPr>
            </w:pPr>
          </w:p>
          <w:p w14:paraId="46DA009C" w14:textId="77777777" w:rsidR="00750F96" w:rsidRPr="008670F9" w:rsidRDefault="00750F96" w:rsidP="008670F9">
            <w:pPr>
              <w:spacing w:line="360" w:lineRule="auto"/>
              <w:rPr>
                <w:rFonts w:eastAsia="Times New Roman"/>
                <w:b/>
                <w:bCs/>
              </w:rPr>
            </w:pPr>
          </w:p>
          <w:p w14:paraId="47333727" w14:textId="64851590" w:rsidR="00750F96" w:rsidRPr="008670F9" w:rsidRDefault="00750F96" w:rsidP="008670F9">
            <w:pPr>
              <w:spacing w:line="360" w:lineRule="auto"/>
              <w:rPr>
                <w:rFonts w:eastAsia="Times New Roman"/>
                <w:b/>
                <w:bCs/>
              </w:rPr>
            </w:pPr>
          </w:p>
        </w:tc>
        <w:tc>
          <w:tcPr>
            <w:tcW w:w="3117" w:type="dxa"/>
          </w:tcPr>
          <w:p w14:paraId="0B3BBD87" w14:textId="6E6FADD9" w:rsidR="002C7534" w:rsidRPr="008670F9" w:rsidRDefault="00750F96" w:rsidP="008670F9">
            <w:pPr>
              <w:spacing w:line="360" w:lineRule="auto"/>
              <w:rPr>
                <w:rFonts w:eastAsia="Times New Roman"/>
                <w:b/>
                <w:bCs/>
              </w:rPr>
            </w:pPr>
            <w:r w:rsidRPr="008670F9">
              <w:rPr>
                <w:rFonts w:eastAsia="Times New Roman"/>
                <w:b/>
                <w:bCs/>
              </w:rPr>
              <w:t>Product Development</w:t>
            </w:r>
          </w:p>
          <w:p w14:paraId="7B8EA3FE" w14:textId="77777777" w:rsidR="002C7534" w:rsidRPr="002C7534" w:rsidRDefault="002C7534" w:rsidP="008670F9">
            <w:pPr>
              <w:spacing w:line="360" w:lineRule="auto"/>
              <w:rPr>
                <w:rFonts w:eastAsia="Times New Roman"/>
              </w:rPr>
            </w:pPr>
            <w:r w:rsidRPr="002C7534">
              <w:rPr>
                <w:rFonts w:eastAsia="Times New Roman"/>
              </w:rPr>
              <w:t xml:space="preserve">Konami </w:t>
            </w:r>
            <w:proofErr w:type="gramStart"/>
            <w:r w:rsidRPr="002C7534">
              <w:rPr>
                <w:rFonts w:eastAsia="Times New Roman"/>
              </w:rPr>
              <w:t>is able to</w:t>
            </w:r>
            <w:proofErr w:type="gramEnd"/>
            <w:r w:rsidRPr="002C7534">
              <w:rPr>
                <w:rFonts w:eastAsia="Times New Roman"/>
              </w:rPr>
              <w:t xml:space="preserve"> distinguish themselves in competitive environments by generating games with creative gameplay elements or distinctive features. This might include developing with novel control systems, game mechanics, or storytelling strategies to provide new experiences for gamers.</w:t>
            </w:r>
          </w:p>
          <w:p w14:paraId="12D7B09B" w14:textId="1D597073" w:rsidR="002C7534" w:rsidRPr="008670F9" w:rsidRDefault="002C7534" w:rsidP="008670F9">
            <w:pPr>
              <w:spacing w:line="360" w:lineRule="auto"/>
              <w:rPr>
                <w:rFonts w:eastAsia="Times New Roman"/>
                <w:b/>
                <w:bCs/>
              </w:rPr>
            </w:pPr>
          </w:p>
        </w:tc>
      </w:tr>
      <w:tr w:rsidR="00F21813" w:rsidRPr="008670F9" w14:paraId="4CE38D42" w14:textId="77777777" w:rsidTr="00F21813">
        <w:tc>
          <w:tcPr>
            <w:tcW w:w="3116" w:type="dxa"/>
          </w:tcPr>
          <w:p w14:paraId="2797B833" w14:textId="2FCF0A39" w:rsidR="00F21813" w:rsidRPr="008670F9" w:rsidRDefault="002342F4" w:rsidP="008670F9">
            <w:pPr>
              <w:spacing w:line="360" w:lineRule="auto"/>
              <w:rPr>
                <w:rFonts w:eastAsia="Times New Roman"/>
                <w:b/>
                <w:bCs/>
              </w:rPr>
            </w:pPr>
            <w:r w:rsidRPr="008670F9">
              <w:rPr>
                <w:rFonts w:eastAsia="Times New Roman"/>
                <w:b/>
                <w:bCs/>
              </w:rPr>
              <w:t xml:space="preserve">NEW MARKETS </w:t>
            </w:r>
          </w:p>
        </w:tc>
        <w:tc>
          <w:tcPr>
            <w:tcW w:w="3117" w:type="dxa"/>
          </w:tcPr>
          <w:p w14:paraId="73BB1F42" w14:textId="77777777" w:rsidR="00F21813" w:rsidRPr="008670F9" w:rsidRDefault="00750F96" w:rsidP="008670F9">
            <w:pPr>
              <w:spacing w:line="360" w:lineRule="auto"/>
              <w:rPr>
                <w:rFonts w:eastAsia="Times New Roman"/>
                <w:b/>
                <w:bCs/>
              </w:rPr>
            </w:pPr>
            <w:r w:rsidRPr="008670F9">
              <w:rPr>
                <w:rFonts w:eastAsia="Times New Roman"/>
                <w:b/>
                <w:bCs/>
              </w:rPr>
              <w:t xml:space="preserve">Market Development </w:t>
            </w:r>
          </w:p>
          <w:p w14:paraId="27A0E446" w14:textId="77777777" w:rsidR="00A04CFC" w:rsidRPr="00A04CFC" w:rsidRDefault="00A04CFC" w:rsidP="008670F9">
            <w:pPr>
              <w:spacing w:line="360" w:lineRule="auto"/>
              <w:rPr>
                <w:rFonts w:eastAsia="Times New Roman"/>
              </w:rPr>
            </w:pPr>
            <w:r w:rsidRPr="00A04CFC">
              <w:rPr>
                <w:rFonts w:eastAsia="Times New Roman"/>
              </w:rPr>
              <w:lastRenderedPageBreak/>
              <w:t xml:space="preserve">Konami may combine its items together and work with other businesses to provide corresponding goods as part of an arrangement. This method may assist in helping the company's offerings be seen as more valuable and attract more customers. </w:t>
            </w:r>
            <w:r w:rsidRPr="00A04CFC">
              <w:rPr>
                <w:rFonts w:eastAsia="Times New Roman"/>
              </w:rPr>
              <w:br/>
            </w:r>
            <w:r w:rsidRPr="00A04CFC">
              <w:rPr>
                <w:rFonts w:eastAsia="Times New Roman"/>
              </w:rPr>
              <w:br/>
              <w:t>Consistent upgrading of existing goods through revisions, modifications, and more material helps keep people interested and committed to the company's brands. This could include adding fresh levels, characters, or features to video games, as well as offering new trading card sets.</w:t>
            </w:r>
          </w:p>
          <w:p w14:paraId="02823673" w14:textId="4D6D4349" w:rsidR="002C7534" w:rsidRPr="008670F9" w:rsidRDefault="002C7534" w:rsidP="008670F9">
            <w:pPr>
              <w:spacing w:line="360" w:lineRule="auto"/>
              <w:rPr>
                <w:rFonts w:eastAsia="Times New Roman"/>
                <w:b/>
                <w:bCs/>
              </w:rPr>
            </w:pPr>
          </w:p>
        </w:tc>
        <w:tc>
          <w:tcPr>
            <w:tcW w:w="3117" w:type="dxa"/>
          </w:tcPr>
          <w:p w14:paraId="46127C15" w14:textId="77777777" w:rsidR="00F21813" w:rsidRPr="008670F9" w:rsidRDefault="00750F96" w:rsidP="008670F9">
            <w:pPr>
              <w:spacing w:line="360" w:lineRule="auto"/>
              <w:rPr>
                <w:rFonts w:eastAsia="Times New Roman"/>
                <w:b/>
                <w:bCs/>
              </w:rPr>
            </w:pPr>
            <w:r w:rsidRPr="008670F9">
              <w:rPr>
                <w:rFonts w:eastAsia="Times New Roman"/>
                <w:b/>
                <w:bCs/>
              </w:rPr>
              <w:lastRenderedPageBreak/>
              <w:t>Diversification</w:t>
            </w:r>
          </w:p>
          <w:p w14:paraId="7CE92A6F" w14:textId="77777777" w:rsidR="00CB06BA" w:rsidRPr="00CB06BA" w:rsidRDefault="00CB06BA" w:rsidP="008670F9">
            <w:pPr>
              <w:spacing w:line="360" w:lineRule="auto"/>
              <w:rPr>
                <w:rFonts w:eastAsia="Times New Roman"/>
              </w:rPr>
            </w:pPr>
            <w:r w:rsidRPr="00CB06BA">
              <w:rPr>
                <w:rFonts w:eastAsia="Times New Roman"/>
              </w:rPr>
              <w:lastRenderedPageBreak/>
              <w:t xml:space="preserve">Konami can investigate novel categories of products that are consistent with its knowledge and identification as a brand. This could involve expanding into related sectors such as gaming accessories, gaming devices, or even products based on the company's successful gaming brands. </w:t>
            </w:r>
            <w:r w:rsidRPr="00CB06BA">
              <w:rPr>
                <w:rFonts w:eastAsia="Times New Roman"/>
              </w:rPr>
              <w:br/>
            </w:r>
            <w:r w:rsidRPr="00CB06BA">
              <w:rPr>
                <w:rFonts w:eastAsia="Times New Roman"/>
              </w:rPr>
              <w:br/>
              <w:t>Konami may concentrate on new client groups that are not yet reached by its current line of products. As an instance, companies may create games that are educational for children, exercise games for those who care about their health, or casual games for the elderly.</w:t>
            </w:r>
          </w:p>
          <w:p w14:paraId="586F9CE9" w14:textId="45B4D9C0" w:rsidR="00CB06BA" w:rsidRPr="008670F9" w:rsidRDefault="00CB06BA" w:rsidP="008670F9">
            <w:pPr>
              <w:spacing w:line="360" w:lineRule="auto"/>
              <w:rPr>
                <w:rFonts w:eastAsia="Times New Roman"/>
                <w:b/>
                <w:bCs/>
              </w:rPr>
            </w:pPr>
          </w:p>
        </w:tc>
      </w:tr>
    </w:tbl>
    <w:p w14:paraId="636BBA59" w14:textId="77777777" w:rsidR="00EB0865" w:rsidRPr="008670F9" w:rsidRDefault="00EB0865" w:rsidP="008670F9">
      <w:pPr>
        <w:spacing w:line="360" w:lineRule="auto"/>
        <w:rPr>
          <w:rFonts w:eastAsia="Times New Roman"/>
          <w:b/>
          <w:bCs/>
        </w:rPr>
      </w:pPr>
    </w:p>
    <w:p w14:paraId="0B517CC8" w14:textId="77777777" w:rsidR="006045B9" w:rsidRPr="008670F9" w:rsidRDefault="006045B9" w:rsidP="008670F9">
      <w:pPr>
        <w:spacing w:line="360" w:lineRule="auto"/>
        <w:rPr>
          <w:rFonts w:eastAsia="Times New Roman"/>
          <w:b/>
          <w:bCs/>
        </w:rPr>
      </w:pPr>
    </w:p>
    <w:p w14:paraId="5DA3CD67" w14:textId="77777777" w:rsidR="006045B9" w:rsidRPr="008670F9" w:rsidRDefault="006045B9" w:rsidP="008670F9">
      <w:pPr>
        <w:spacing w:line="360" w:lineRule="auto"/>
        <w:rPr>
          <w:rFonts w:eastAsia="Times New Roman"/>
          <w:b/>
          <w:bCs/>
        </w:rPr>
      </w:pPr>
    </w:p>
    <w:p w14:paraId="5389BF76" w14:textId="77777777" w:rsidR="005F7865" w:rsidRPr="008670F9" w:rsidRDefault="005F7865" w:rsidP="008670F9">
      <w:pPr>
        <w:spacing w:line="360" w:lineRule="auto"/>
        <w:jc w:val="center"/>
        <w:rPr>
          <w:rFonts w:eastAsia="Times New Roman"/>
          <w:b/>
          <w:bCs/>
        </w:rPr>
      </w:pPr>
    </w:p>
    <w:p w14:paraId="488DA56F" w14:textId="77777777" w:rsidR="005F7865" w:rsidRPr="008670F9" w:rsidRDefault="005F7865" w:rsidP="008670F9">
      <w:pPr>
        <w:spacing w:line="360" w:lineRule="auto"/>
        <w:jc w:val="center"/>
        <w:rPr>
          <w:rFonts w:eastAsia="Times New Roman"/>
          <w:b/>
          <w:bCs/>
        </w:rPr>
      </w:pPr>
    </w:p>
    <w:p w14:paraId="7966DF5E" w14:textId="77777777" w:rsidR="005F7865" w:rsidRPr="008670F9" w:rsidRDefault="005F7865" w:rsidP="008670F9">
      <w:pPr>
        <w:spacing w:line="360" w:lineRule="auto"/>
        <w:jc w:val="center"/>
        <w:rPr>
          <w:rFonts w:eastAsia="Times New Roman"/>
          <w:b/>
          <w:bCs/>
        </w:rPr>
      </w:pPr>
    </w:p>
    <w:p w14:paraId="1DA62E91" w14:textId="77777777" w:rsidR="005F7865" w:rsidRPr="008670F9" w:rsidRDefault="005F7865" w:rsidP="008670F9">
      <w:pPr>
        <w:spacing w:line="360" w:lineRule="auto"/>
        <w:jc w:val="center"/>
        <w:rPr>
          <w:rFonts w:eastAsia="Times New Roman"/>
          <w:b/>
          <w:bCs/>
        </w:rPr>
      </w:pPr>
    </w:p>
    <w:p w14:paraId="5EB462AE" w14:textId="77777777" w:rsidR="005F7865" w:rsidRPr="008670F9" w:rsidRDefault="005F7865" w:rsidP="008670F9">
      <w:pPr>
        <w:spacing w:line="360" w:lineRule="auto"/>
        <w:jc w:val="center"/>
        <w:rPr>
          <w:rFonts w:eastAsia="Times New Roman"/>
          <w:b/>
          <w:bCs/>
        </w:rPr>
      </w:pPr>
    </w:p>
    <w:p w14:paraId="67D432F1" w14:textId="77777777" w:rsidR="005F7865" w:rsidRPr="008670F9" w:rsidRDefault="005F7865" w:rsidP="008670F9">
      <w:pPr>
        <w:spacing w:line="360" w:lineRule="auto"/>
        <w:jc w:val="center"/>
        <w:rPr>
          <w:rFonts w:eastAsia="Times New Roman"/>
          <w:b/>
          <w:bCs/>
        </w:rPr>
      </w:pPr>
    </w:p>
    <w:p w14:paraId="3F1FF377" w14:textId="77777777" w:rsidR="005F7865" w:rsidRPr="008670F9" w:rsidRDefault="005F7865" w:rsidP="008670F9">
      <w:pPr>
        <w:spacing w:line="360" w:lineRule="auto"/>
        <w:jc w:val="center"/>
        <w:rPr>
          <w:rFonts w:eastAsia="Times New Roman"/>
          <w:b/>
          <w:bCs/>
        </w:rPr>
      </w:pPr>
    </w:p>
    <w:p w14:paraId="73700774" w14:textId="77777777" w:rsidR="005F7865" w:rsidRPr="008670F9" w:rsidRDefault="005F7865" w:rsidP="008670F9">
      <w:pPr>
        <w:spacing w:line="360" w:lineRule="auto"/>
        <w:jc w:val="center"/>
        <w:rPr>
          <w:rFonts w:eastAsia="Times New Roman"/>
          <w:b/>
          <w:bCs/>
        </w:rPr>
      </w:pPr>
    </w:p>
    <w:p w14:paraId="46F5A838" w14:textId="47CBE07D" w:rsidR="00A43D01" w:rsidRPr="008670F9" w:rsidRDefault="006045B9" w:rsidP="008670F9">
      <w:pPr>
        <w:spacing w:line="360" w:lineRule="auto"/>
        <w:jc w:val="center"/>
        <w:rPr>
          <w:rFonts w:eastAsia="Times New Roman"/>
          <w:b/>
          <w:bCs/>
        </w:rPr>
      </w:pPr>
      <w:r w:rsidRPr="008670F9">
        <w:rPr>
          <w:rFonts w:eastAsia="Times New Roman"/>
          <w:b/>
          <w:bCs/>
        </w:rPr>
        <w:lastRenderedPageBreak/>
        <w:t>SECTION 2</w:t>
      </w:r>
    </w:p>
    <w:p w14:paraId="5B86604B" w14:textId="71DBCFC4" w:rsidR="006045B9" w:rsidRPr="008670F9" w:rsidRDefault="00602C9F" w:rsidP="008670F9">
      <w:pPr>
        <w:spacing w:line="360" w:lineRule="auto"/>
        <w:jc w:val="center"/>
      </w:pPr>
      <w:r w:rsidRPr="008670F9">
        <w:t>Critical Evaluation of the Change Management Models</w:t>
      </w:r>
    </w:p>
    <w:p w14:paraId="78BE997A" w14:textId="77777777" w:rsidR="00BB0C3E" w:rsidRPr="008670F9" w:rsidRDefault="00BB0C3E" w:rsidP="008670F9">
      <w:pPr>
        <w:spacing w:line="360" w:lineRule="auto"/>
        <w:jc w:val="center"/>
      </w:pPr>
    </w:p>
    <w:p w14:paraId="50AD782D" w14:textId="77777777" w:rsidR="00A43D01" w:rsidRPr="008670F9" w:rsidRDefault="00A43D01" w:rsidP="008670F9">
      <w:pPr>
        <w:spacing w:line="360" w:lineRule="auto"/>
        <w:jc w:val="center"/>
      </w:pPr>
    </w:p>
    <w:p w14:paraId="2B028BFE" w14:textId="5BBAB31B" w:rsidR="00602C9F" w:rsidRPr="008670F9" w:rsidRDefault="00BB0C3E" w:rsidP="008670F9">
      <w:pPr>
        <w:spacing w:line="360" w:lineRule="auto"/>
        <w:jc w:val="center"/>
        <w:rPr>
          <w:b/>
          <w:bCs/>
        </w:rPr>
      </w:pPr>
      <w:r w:rsidRPr="008670F9">
        <w:rPr>
          <w:b/>
          <w:bCs/>
        </w:rPr>
        <w:t>Lewin's Three-Step Model for Change Management</w:t>
      </w:r>
    </w:p>
    <w:p w14:paraId="43060F3E" w14:textId="77777777" w:rsidR="00BB0C3E" w:rsidRPr="008670F9" w:rsidRDefault="00BB0C3E" w:rsidP="008670F9">
      <w:pPr>
        <w:spacing w:line="360" w:lineRule="auto"/>
      </w:pPr>
    </w:p>
    <w:p w14:paraId="02FF973B" w14:textId="038F219E" w:rsidR="00BB0C3E" w:rsidRPr="008670F9" w:rsidRDefault="00E36AFC" w:rsidP="008670F9">
      <w:pPr>
        <w:spacing w:line="360" w:lineRule="auto"/>
      </w:pPr>
      <w:r w:rsidRPr="008670F9">
        <w:t xml:space="preserve">The three stages of the model are: ● Unfreeze ● Change ● </w:t>
      </w:r>
      <w:proofErr w:type="gramStart"/>
      <w:r w:rsidRPr="008670F9">
        <w:t>Refreeze</w:t>
      </w:r>
      <w:proofErr w:type="gramEnd"/>
    </w:p>
    <w:p w14:paraId="133C3220" w14:textId="77777777" w:rsidR="002F62F0" w:rsidRPr="008670F9" w:rsidRDefault="002F62F0" w:rsidP="008670F9">
      <w:pPr>
        <w:spacing w:line="360" w:lineRule="auto"/>
      </w:pPr>
    </w:p>
    <w:p w14:paraId="27177C65" w14:textId="77777777" w:rsidR="002F62F0" w:rsidRPr="002F62F0" w:rsidRDefault="002F62F0" w:rsidP="008670F9">
      <w:pPr>
        <w:spacing w:line="360" w:lineRule="auto"/>
        <w:jc w:val="both"/>
        <w:rPr>
          <w:rFonts w:eastAsia="Times New Roman"/>
        </w:rPr>
      </w:pPr>
      <w:r w:rsidRPr="002F62F0">
        <w:rPr>
          <w:rFonts w:eastAsia="Times New Roman"/>
        </w:rPr>
        <w:t xml:space="preserve">Kurt Lewin, a psychologist, developed the Lewin's Three-Step Model for Change Management, which provides a methodical framework for managing organizational change. The "unfreeze" phase of the strategy is where leaders raise awareness of the need for change, dismantle any opposition that may present, and build a feeling of urgency. Subsequently, the "change" phase entails putting the intended changes into practice through efficient training, support, and communication. The organization stabilizes in its new state by rewarding new behaviors and bringing systems and processes into alignment during the "refreeze" phase. For long-term success, eliminating resistance, enabling adoption, and ingraining the changes into the corporate culture will require meticulous preparation, involvement, and constant assistance throughout the entire process. </w:t>
      </w:r>
    </w:p>
    <w:p w14:paraId="294B9B6D" w14:textId="77777777" w:rsidR="00E54E10" w:rsidRPr="008670F9" w:rsidRDefault="00E54E10" w:rsidP="008670F9">
      <w:pPr>
        <w:spacing w:line="360" w:lineRule="auto"/>
        <w:jc w:val="both"/>
      </w:pPr>
    </w:p>
    <w:p w14:paraId="27DD15A5" w14:textId="1612D047" w:rsidR="00E54E10" w:rsidRPr="008670F9" w:rsidRDefault="00E54E10" w:rsidP="008670F9">
      <w:pPr>
        <w:spacing w:line="360" w:lineRule="auto"/>
        <w:jc w:val="center"/>
        <w:rPr>
          <w:b/>
          <w:bCs/>
        </w:rPr>
      </w:pPr>
      <w:r w:rsidRPr="008670F9">
        <w:rPr>
          <w:b/>
          <w:bCs/>
        </w:rPr>
        <w:t>ADKAR Change Management Model</w:t>
      </w:r>
    </w:p>
    <w:p w14:paraId="2DFABAC5" w14:textId="77777777" w:rsidR="008468FF" w:rsidRPr="008670F9" w:rsidRDefault="008468FF" w:rsidP="008670F9">
      <w:pPr>
        <w:spacing w:line="360" w:lineRule="auto"/>
        <w:jc w:val="both"/>
      </w:pPr>
    </w:p>
    <w:p w14:paraId="7B14B6F2" w14:textId="77777777" w:rsidR="008468FF" w:rsidRPr="008468FF" w:rsidRDefault="008468FF" w:rsidP="008670F9">
      <w:pPr>
        <w:spacing w:line="360" w:lineRule="auto"/>
        <w:jc w:val="both"/>
        <w:rPr>
          <w:rFonts w:eastAsia="Times New Roman"/>
        </w:rPr>
      </w:pPr>
      <w:r w:rsidRPr="008468FF">
        <w:rPr>
          <w:rFonts w:eastAsia="Times New Roman"/>
        </w:rPr>
        <w:t xml:space="preserve">The ADKAR change model was created in 2003 by </w:t>
      </w:r>
      <w:proofErr w:type="spellStart"/>
      <w:r w:rsidRPr="008468FF">
        <w:rPr>
          <w:rFonts w:eastAsia="Times New Roman"/>
        </w:rPr>
        <w:t>Prosci</w:t>
      </w:r>
      <w:proofErr w:type="spellEnd"/>
      <w:r w:rsidRPr="008468FF">
        <w:rPr>
          <w:rFonts w:eastAsia="Times New Roman"/>
        </w:rPr>
        <w:t xml:space="preserve"> director Jeff Hiatt following a thorough analysis of the change practices of more than 700 firms. As managing change within an organization commences and concludes at the person level, he found throughout his research that individual change is crucial. A successful modification that lasts for a long time cannot be implemented if everyone isn't focused on the same objective. Rather, you will encounter opposition, and some people will revert to their previous behaviors.</w:t>
      </w:r>
    </w:p>
    <w:p w14:paraId="4D6378F2" w14:textId="2DFA90D2" w:rsidR="00A43D01" w:rsidRPr="008670F9" w:rsidRDefault="00A43D01" w:rsidP="008670F9">
      <w:pPr>
        <w:spacing w:line="360" w:lineRule="auto"/>
        <w:jc w:val="center"/>
        <w:rPr>
          <w:b/>
          <w:bCs/>
        </w:rPr>
      </w:pPr>
    </w:p>
    <w:p w14:paraId="49373DBF" w14:textId="71078B77" w:rsidR="00A43D01" w:rsidRPr="008670F9" w:rsidRDefault="00A43D01" w:rsidP="008670F9">
      <w:pPr>
        <w:spacing w:line="360" w:lineRule="auto"/>
        <w:jc w:val="center"/>
        <w:rPr>
          <w:b/>
          <w:bCs/>
        </w:rPr>
      </w:pPr>
      <w:r w:rsidRPr="008670F9">
        <w:rPr>
          <w:b/>
          <w:bCs/>
        </w:rPr>
        <w:t xml:space="preserve">Kotter’s </w:t>
      </w:r>
      <w:r w:rsidRPr="00F07801">
        <w:rPr>
          <w:rFonts w:eastAsia="Times New Roman"/>
          <w:b/>
          <w:bCs/>
        </w:rPr>
        <w:t>Eight-Step Change Model</w:t>
      </w:r>
    </w:p>
    <w:p w14:paraId="1F8D88DC" w14:textId="77777777" w:rsidR="00F07801" w:rsidRPr="00F07801" w:rsidRDefault="00F07801" w:rsidP="008670F9">
      <w:pPr>
        <w:spacing w:line="360" w:lineRule="auto"/>
        <w:jc w:val="both"/>
        <w:rPr>
          <w:rFonts w:eastAsia="Times New Roman"/>
        </w:rPr>
      </w:pPr>
      <w:r w:rsidRPr="00F07801">
        <w:rPr>
          <w:rFonts w:eastAsia="Times New Roman"/>
        </w:rPr>
        <w:t xml:space="preserve">John Kotter, a professor at Harvard Business School, established the Eight-Step Change Model, which provides an extensive structure for effectively handling changes in an organization. The methodology begins by instilling a sense of urgency to rally behind change, then proceeds to assembling a formidable combination of leaders </w:t>
      </w:r>
      <w:proofErr w:type="gramStart"/>
      <w:r w:rsidRPr="00F07801">
        <w:rPr>
          <w:rFonts w:eastAsia="Times New Roman"/>
        </w:rPr>
        <w:t>in order to</w:t>
      </w:r>
      <w:proofErr w:type="gramEnd"/>
      <w:r w:rsidRPr="00F07801">
        <w:rPr>
          <w:rFonts w:eastAsia="Times New Roman"/>
        </w:rPr>
        <w:t xml:space="preserve"> propel the project forward. The methodology revolves around developing an unambiguous and compelling case for change, </w:t>
      </w:r>
      <w:r w:rsidRPr="00F07801">
        <w:rPr>
          <w:rFonts w:eastAsia="Times New Roman"/>
        </w:rPr>
        <w:lastRenderedPageBreak/>
        <w:t xml:space="preserve">which is effectively communicated throughout the business to promote alignment and buy-in. Empowering workers to put ideas into actions and achieving immediate achievements are critical steps toward maintaining momentum and demonstrating accomplishment. To achieve long-term alteration, it is critical that you consolidate gains, resolve hurdles, and generate further improvement while integrating new ways into the environment of the company. </w:t>
      </w:r>
    </w:p>
    <w:p w14:paraId="160EA90E" w14:textId="77777777" w:rsidR="008468FF" w:rsidRPr="008670F9" w:rsidRDefault="008468FF" w:rsidP="008670F9">
      <w:pPr>
        <w:spacing w:line="360" w:lineRule="auto"/>
        <w:jc w:val="both"/>
      </w:pPr>
    </w:p>
    <w:p w14:paraId="786EE4F5" w14:textId="77777777" w:rsidR="00140DE3" w:rsidRPr="008670F9" w:rsidRDefault="00140DE3" w:rsidP="008670F9">
      <w:pPr>
        <w:spacing w:line="360" w:lineRule="auto"/>
        <w:jc w:val="both"/>
        <w:rPr>
          <w:rFonts w:eastAsia="Times New Roman"/>
        </w:rPr>
      </w:pPr>
    </w:p>
    <w:p w14:paraId="67E3F44A" w14:textId="02D153B7" w:rsidR="00140DE3" w:rsidRPr="008670F9" w:rsidRDefault="00140DE3" w:rsidP="008670F9">
      <w:pPr>
        <w:spacing w:line="360" w:lineRule="auto"/>
        <w:jc w:val="center"/>
        <w:rPr>
          <w:b/>
          <w:bCs/>
        </w:rPr>
      </w:pPr>
      <w:r w:rsidRPr="008670F9">
        <w:rPr>
          <w:b/>
          <w:bCs/>
        </w:rPr>
        <w:t>Identifying the suitable change management model that may be of use to implement the identified suitable strategic change for the KONAMI GROUP INC.</w:t>
      </w:r>
    </w:p>
    <w:p w14:paraId="43C064E9" w14:textId="77777777" w:rsidR="00140DE3" w:rsidRPr="008670F9" w:rsidRDefault="00140DE3" w:rsidP="008670F9">
      <w:pPr>
        <w:spacing w:line="360" w:lineRule="auto"/>
        <w:jc w:val="both"/>
        <w:rPr>
          <w:rFonts w:eastAsia="Times New Roman"/>
        </w:rPr>
      </w:pPr>
    </w:p>
    <w:p w14:paraId="5BB885EB" w14:textId="1D1F3E3D" w:rsidR="00AD6284" w:rsidRPr="00AD6284" w:rsidRDefault="00AD6284" w:rsidP="008670F9">
      <w:pPr>
        <w:spacing w:line="360" w:lineRule="auto"/>
        <w:ind w:firstLine="720"/>
        <w:jc w:val="both"/>
        <w:rPr>
          <w:rFonts w:eastAsia="Times New Roman"/>
        </w:rPr>
      </w:pPr>
      <w:r w:rsidRPr="00AD6284">
        <w:rPr>
          <w:rFonts w:eastAsia="Times New Roman"/>
        </w:rPr>
        <w:t>Lewin's Three-Step Model for Change Management is a valuable resource for Konami, especially in the gaming and entertainment industries. The model is divided into three phases: "unfreeze," "change," and "refreeze." The "unfreeze" phase evaluates Konami's present situation and identifies opportunities for change, including customer demands, innovations in technology, or problems within the company. The "change" phase allows Konami to make required adjustments, such as new gaming titles, growth into newer areas, or breakthrough technology. The "refreeze" phase solidifies and incorporates the changes into the environment of the company, ensuring that they are embedded and maintained over time. This organized method enables Konami to adapt to the changing gaming industry, foster innovation, and continue to gain its edge over others.</w:t>
      </w:r>
    </w:p>
    <w:p w14:paraId="2F354821" w14:textId="77777777" w:rsidR="00E36AFC" w:rsidRPr="008670F9" w:rsidRDefault="00E36AFC" w:rsidP="008670F9">
      <w:pPr>
        <w:spacing w:line="360" w:lineRule="auto"/>
      </w:pPr>
    </w:p>
    <w:p w14:paraId="32EB4763" w14:textId="45FC3A20" w:rsidR="00E36AFC" w:rsidRPr="008670F9" w:rsidRDefault="00140DE3" w:rsidP="008670F9">
      <w:pPr>
        <w:spacing w:line="360" w:lineRule="auto"/>
        <w:jc w:val="center"/>
        <w:rPr>
          <w:rFonts w:eastAsia="Times New Roman"/>
          <w:b/>
          <w:bCs/>
        </w:rPr>
      </w:pPr>
      <w:r w:rsidRPr="008670F9">
        <w:rPr>
          <w:rFonts w:eastAsia="Times New Roman"/>
          <w:b/>
          <w:bCs/>
        </w:rPr>
        <w:t>SECTION 3</w:t>
      </w:r>
    </w:p>
    <w:p w14:paraId="66F7E18A" w14:textId="6B6E3DF4" w:rsidR="006C3782" w:rsidRPr="008670F9" w:rsidRDefault="006C3782" w:rsidP="008670F9">
      <w:pPr>
        <w:spacing w:line="360" w:lineRule="auto"/>
        <w:jc w:val="center"/>
      </w:pPr>
      <w:r w:rsidRPr="008670F9">
        <w:t>Implementation of Change Strategy</w:t>
      </w:r>
    </w:p>
    <w:p w14:paraId="6769057D" w14:textId="77777777" w:rsidR="00942960" w:rsidRPr="008670F9" w:rsidRDefault="00942960" w:rsidP="008670F9">
      <w:pPr>
        <w:spacing w:line="360" w:lineRule="auto"/>
        <w:jc w:val="center"/>
      </w:pPr>
    </w:p>
    <w:p w14:paraId="19346026" w14:textId="77777777" w:rsidR="00AB49CE" w:rsidRPr="008670F9" w:rsidRDefault="00AB49CE" w:rsidP="008670F9">
      <w:pPr>
        <w:spacing w:line="360" w:lineRule="auto"/>
        <w:ind w:firstLine="720"/>
        <w:jc w:val="both"/>
        <w:rPr>
          <w:rFonts w:eastAsia="Times New Roman"/>
        </w:rPr>
      </w:pPr>
      <w:r w:rsidRPr="00AB49CE">
        <w:rPr>
          <w:rFonts w:eastAsia="Times New Roman"/>
        </w:rPr>
        <w:t xml:space="preserve">Konami may use transformational, servant, collaborative, or adaptive leadership approaches to establish and carry out the indicated alternatives to strategy. Transformational managers stimulate creativity and empower organizations to accept change, whereas servant leaders focus on worker requirements and build trust. Collaboration-based leaders would include stakeholders in decision-making, assuring buy-in and assistance, whereas adaptive leaders would efficiently manage uncertainty. The step-by-step process for implementing the change strategy would include evaluation, preparation, interaction, implementation, monitoring, assessment, and modification. This implementation is anticipated to have an impact on Konami's corporate culture by encouraging increased innovation, adaptability, and customer focus. </w:t>
      </w:r>
      <w:r w:rsidRPr="00AB49CE">
        <w:rPr>
          <w:rFonts w:eastAsia="Times New Roman"/>
        </w:rPr>
        <w:lastRenderedPageBreak/>
        <w:t>However, good interpersonal relationships and managerial support would be required to overcome resistance and achieve a smooth shift in culture in line with Konami's strategic goals.</w:t>
      </w:r>
    </w:p>
    <w:p w14:paraId="74D5C8F9" w14:textId="77777777" w:rsidR="00942960" w:rsidRPr="008670F9" w:rsidRDefault="00942960" w:rsidP="008670F9">
      <w:pPr>
        <w:spacing w:line="360" w:lineRule="auto"/>
        <w:ind w:firstLine="720"/>
        <w:jc w:val="both"/>
        <w:rPr>
          <w:rFonts w:eastAsia="Times New Roman"/>
        </w:rPr>
      </w:pPr>
    </w:p>
    <w:p w14:paraId="3CFD3B13" w14:textId="30C67747" w:rsidR="00942960" w:rsidRPr="008670F9" w:rsidRDefault="00942960" w:rsidP="008670F9">
      <w:pPr>
        <w:spacing w:line="360" w:lineRule="auto"/>
        <w:ind w:firstLine="720"/>
        <w:jc w:val="center"/>
        <w:rPr>
          <w:rFonts w:eastAsia="Times New Roman"/>
          <w:b/>
          <w:bCs/>
        </w:rPr>
      </w:pPr>
      <w:r w:rsidRPr="008670F9">
        <w:rPr>
          <w:rFonts w:eastAsia="Times New Roman"/>
          <w:b/>
          <w:bCs/>
        </w:rPr>
        <w:t>Conclusion and Recommendation</w:t>
      </w:r>
    </w:p>
    <w:p w14:paraId="71DF00C4" w14:textId="77777777" w:rsidR="00E87CDB" w:rsidRPr="008670F9" w:rsidRDefault="00E87CDB" w:rsidP="008670F9">
      <w:pPr>
        <w:spacing w:line="360" w:lineRule="auto"/>
        <w:ind w:firstLine="720"/>
        <w:jc w:val="center"/>
        <w:rPr>
          <w:rFonts w:eastAsia="Times New Roman"/>
          <w:b/>
          <w:bCs/>
        </w:rPr>
      </w:pPr>
    </w:p>
    <w:p w14:paraId="676DA53E" w14:textId="5E4180F3" w:rsidR="00E87CDB" w:rsidRPr="008670F9" w:rsidRDefault="00773B20" w:rsidP="008670F9">
      <w:pPr>
        <w:spacing w:line="360" w:lineRule="auto"/>
        <w:jc w:val="both"/>
        <w:rPr>
          <w:rFonts w:eastAsia="Times New Roman"/>
        </w:rPr>
      </w:pPr>
      <w:r w:rsidRPr="00773B20">
        <w:rPr>
          <w:rFonts w:eastAsia="Times New Roman"/>
        </w:rPr>
        <w:t xml:space="preserve">This detailed research digs into the significance and rapid pace of change within organizations in the modern business scene, which is fueled by causes such as the rise of globalization innovations in technology, and strategic imperatives. Konami, a Japanese entertainment firm that operates in a variety of industries including digital entertainment, gaming, and sports, is well-suited in this dynamic environment. The business's history, financial achievements, and competitive position in the market demonstrate the importance of strategic changes and adaptive administration. Considering change management methods, Lewin's Three-Step Model appears to be a good fit for Konami. Its staged strategy of unfreezing, changing and refreezing is consistent with Konami's requirement to review its current situation, execute strategic adjustments, and integrate changes into the culture of its organization. Additionally, Kotter's Eight-Step Change Model provides guidance on organizing stakeholders, communicating change, and maintaining momentum throughout. </w:t>
      </w:r>
      <w:r w:rsidR="00E87CDB" w:rsidRPr="008670F9">
        <w:rPr>
          <w:rFonts w:eastAsia="Times New Roman"/>
        </w:rPr>
        <w:t>Moreover, the adoption of changes has a tremendous impact on Konami's organizational culture. It entails encouraging innovation, adaptability, and customer-centricity while mitigating any resistance and assuring alignment with strategic goals. Excellent leadership, communication, and managerial support are critical for promoting a smooth cultural transformation and attaining long-term change outcomes consistent with Konami's strategic goals.</w:t>
      </w:r>
    </w:p>
    <w:p w14:paraId="098834ED" w14:textId="77777777" w:rsidR="00942960" w:rsidRPr="008670F9" w:rsidRDefault="00942960" w:rsidP="008670F9">
      <w:pPr>
        <w:spacing w:line="360" w:lineRule="auto"/>
        <w:jc w:val="both"/>
        <w:rPr>
          <w:rFonts w:eastAsia="Times New Roman"/>
        </w:rPr>
      </w:pPr>
    </w:p>
    <w:p w14:paraId="7E8BE8C9" w14:textId="462F2A78" w:rsidR="00A94AC4" w:rsidRPr="008670F9" w:rsidRDefault="00A94AC4" w:rsidP="008670F9">
      <w:pPr>
        <w:spacing w:line="360" w:lineRule="auto"/>
        <w:jc w:val="center"/>
        <w:rPr>
          <w:rFonts w:eastAsia="Times New Roman"/>
          <w:b/>
          <w:bCs/>
        </w:rPr>
      </w:pPr>
      <w:r w:rsidRPr="008670F9">
        <w:rPr>
          <w:rFonts w:eastAsia="Times New Roman"/>
          <w:b/>
          <w:bCs/>
        </w:rPr>
        <w:t>Recommendation</w:t>
      </w:r>
    </w:p>
    <w:p w14:paraId="3DE0F742" w14:textId="77777777" w:rsidR="00A94AC4" w:rsidRPr="008670F9" w:rsidRDefault="00A94AC4" w:rsidP="008670F9">
      <w:pPr>
        <w:spacing w:line="360" w:lineRule="auto"/>
        <w:jc w:val="both"/>
        <w:rPr>
          <w:rFonts w:eastAsia="Times New Roman"/>
        </w:rPr>
      </w:pPr>
    </w:p>
    <w:p w14:paraId="1214D88C" w14:textId="77777777" w:rsidR="00343D52" w:rsidRPr="008670F9" w:rsidRDefault="00343D52" w:rsidP="008670F9">
      <w:pPr>
        <w:spacing w:line="360" w:lineRule="auto"/>
        <w:jc w:val="both"/>
        <w:rPr>
          <w:rFonts w:eastAsia="Times New Roman"/>
        </w:rPr>
      </w:pPr>
    </w:p>
    <w:p w14:paraId="59AFD58E" w14:textId="5CCAF56D" w:rsidR="004D5871" w:rsidRPr="008670F9" w:rsidRDefault="007874BA" w:rsidP="008670F9">
      <w:pPr>
        <w:spacing w:line="360" w:lineRule="auto"/>
        <w:ind w:firstLine="720"/>
        <w:jc w:val="both"/>
        <w:rPr>
          <w:rFonts w:eastAsia="Times New Roman"/>
        </w:rPr>
      </w:pPr>
      <w:r w:rsidRPr="007874BA">
        <w:rPr>
          <w:rFonts w:eastAsia="Times New Roman"/>
        </w:rPr>
        <w:t xml:space="preserve">Participate in focused digital advertising activities to raise awareness of the business and interactions with consumers. Use the power of social networks, influencers collaborations, and specific campaigns to reach more consumers quickly. Executing this tip is critical because it may end up in instant increases in brand visibility and client acquisition, particularly in the extremely competitive electronic entertainment business. </w:t>
      </w:r>
      <w:r w:rsidRPr="008670F9">
        <w:rPr>
          <w:rFonts w:eastAsia="Times New Roman"/>
        </w:rPr>
        <w:t xml:space="preserve">KONAMI </w:t>
      </w:r>
      <w:r w:rsidR="00803D87" w:rsidRPr="008670F9">
        <w:rPr>
          <w:rFonts w:eastAsia="Times New Roman"/>
        </w:rPr>
        <w:t>may p</w:t>
      </w:r>
      <w:r w:rsidRPr="007874BA">
        <w:rPr>
          <w:rFonts w:eastAsia="Times New Roman"/>
        </w:rPr>
        <w:t xml:space="preserve">rovide regular improvements and enhancements to current gaming titles and digital material. This engages people, stimulates repeat purchases, and sustains fascination with Konami's products. Implementing this tip ensures retention of customers in a short time by delivering fresh and engaging material, keeping </w:t>
      </w:r>
      <w:r w:rsidRPr="007874BA">
        <w:rPr>
          <w:rFonts w:eastAsia="Times New Roman"/>
        </w:rPr>
        <w:lastRenderedPageBreak/>
        <w:t>consumers from leaving for alternatives.</w:t>
      </w:r>
      <w:r w:rsidR="004D5871" w:rsidRPr="008670F9">
        <w:rPr>
          <w:rFonts w:eastAsia="Times New Roman"/>
        </w:rPr>
        <w:t xml:space="preserve"> Additionally for the mid-term recommendation KONAMI may invest in research and development for next-generation gaming technologies such as virtual reality (VR), augmented reality (AR), and cloud gaming. Engage with technology companies and colleges to keep on the cutting edge of development. Executing this proposal is critical for Konami to maintain its competitive advantage in the </w:t>
      </w:r>
      <w:proofErr w:type="gramStart"/>
      <w:r w:rsidR="004D5871" w:rsidRPr="008670F9">
        <w:rPr>
          <w:rFonts w:eastAsia="Times New Roman"/>
        </w:rPr>
        <w:t>fast changing</w:t>
      </w:r>
      <w:proofErr w:type="gramEnd"/>
      <w:r w:rsidR="004D5871" w:rsidRPr="008670F9">
        <w:rPr>
          <w:rFonts w:eastAsia="Times New Roman"/>
        </w:rPr>
        <w:t xml:space="preserve"> gaming industry and seize future market opportunities</w:t>
      </w:r>
      <w:r w:rsidR="00DA377B" w:rsidRPr="008670F9">
        <w:rPr>
          <w:rFonts w:eastAsia="Times New Roman"/>
        </w:rPr>
        <w:t xml:space="preserve">. </w:t>
      </w:r>
    </w:p>
    <w:p w14:paraId="50357872" w14:textId="499E5CC9" w:rsidR="00DA377B" w:rsidRPr="008670F9" w:rsidRDefault="00DA377B" w:rsidP="008670F9">
      <w:pPr>
        <w:spacing w:line="360" w:lineRule="auto"/>
        <w:jc w:val="both"/>
        <w:rPr>
          <w:rFonts w:eastAsia="Times New Roman"/>
        </w:rPr>
      </w:pPr>
      <w:r w:rsidRPr="008670F9">
        <w:rPr>
          <w:rFonts w:eastAsia="Times New Roman"/>
        </w:rPr>
        <w:t xml:space="preserve">Lastly for the </w:t>
      </w:r>
      <w:proofErr w:type="gramStart"/>
      <w:r w:rsidRPr="008670F9">
        <w:rPr>
          <w:rFonts w:eastAsia="Times New Roman"/>
        </w:rPr>
        <w:t>long term</w:t>
      </w:r>
      <w:proofErr w:type="gramEnd"/>
      <w:r w:rsidRPr="008670F9">
        <w:rPr>
          <w:rFonts w:eastAsia="Times New Roman"/>
        </w:rPr>
        <w:t xml:space="preserve"> recommendation, KONAMI can seek fresh business possibilities outside of gaming, which include electronic entertainment services, e-sports events, and streaming platforms. Utilize Konami's established reputation and competence to expand into complementary sectors with significant potential for development. Implementing this tip is critical for long-term resilience and sustainability to market volatility in the film and television sector. Embed sustainability into the developer's corporate strategy by lowering carbon footprints, decreasing waste, and encouraging environmentally friendly practices throughout operations and the supply chain. Implement energy from sustainable sources, environmentally friendly packaging, and ethical sourcing standards. Implementing this proposal is critical for a sustainable future since it boosts company reputation, promotes ecological concerned customers, and reduces the risks related with changing climates other regulatory obligations.</w:t>
      </w:r>
    </w:p>
    <w:p w14:paraId="49185831" w14:textId="77777777" w:rsidR="006C3782" w:rsidRPr="008670F9" w:rsidRDefault="006C3782" w:rsidP="008670F9">
      <w:pPr>
        <w:spacing w:line="360" w:lineRule="auto"/>
        <w:rPr>
          <w:rFonts w:eastAsia="Times New Roman"/>
          <w:b/>
          <w:bCs/>
        </w:rPr>
      </w:pPr>
    </w:p>
    <w:p w14:paraId="019AC179" w14:textId="77777777" w:rsidR="005C7051" w:rsidRPr="008670F9" w:rsidRDefault="005C7051" w:rsidP="008670F9">
      <w:pPr>
        <w:spacing w:line="360" w:lineRule="auto"/>
        <w:ind w:firstLine="720"/>
        <w:jc w:val="both"/>
        <w:rPr>
          <w:rFonts w:eastAsia="Times New Roman"/>
        </w:rPr>
      </w:pPr>
    </w:p>
    <w:p w14:paraId="66712434" w14:textId="77777777" w:rsidR="00D31A46" w:rsidRDefault="00D31A46" w:rsidP="008670F9">
      <w:pPr>
        <w:spacing w:after="240" w:line="360" w:lineRule="auto"/>
        <w:jc w:val="both"/>
        <w:rPr>
          <w:rFonts w:eastAsia="Times New Roman"/>
        </w:rPr>
      </w:pPr>
    </w:p>
    <w:p w14:paraId="5643FA44" w14:textId="77777777" w:rsidR="00D31A46" w:rsidRDefault="00D31A46" w:rsidP="008670F9">
      <w:pPr>
        <w:spacing w:after="240" w:line="360" w:lineRule="auto"/>
        <w:jc w:val="both"/>
        <w:rPr>
          <w:rFonts w:eastAsia="Times New Roman"/>
        </w:rPr>
      </w:pPr>
    </w:p>
    <w:p w14:paraId="5071A0B5" w14:textId="77777777" w:rsidR="00D31A46" w:rsidRDefault="00D31A46" w:rsidP="008670F9">
      <w:pPr>
        <w:spacing w:after="240" w:line="360" w:lineRule="auto"/>
        <w:jc w:val="both"/>
        <w:rPr>
          <w:rFonts w:eastAsia="Times New Roman"/>
        </w:rPr>
      </w:pPr>
    </w:p>
    <w:p w14:paraId="56C16DB0" w14:textId="77777777" w:rsidR="00D31A46" w:rsidRDefault="00D31A46" w:rsidP="008670F9">
      <w:pPr>
        <w:spacing w:after="240" w:line="360" w:lineRule="auto"/>
        <w:jc w:val="both"/>
        <w:rPr>
          <w:rFonts w:eastAsia="Times New Roman"/>
        </w:rPr>
      </w:pPr>
    </w:p>
    <w:p w14:paraId="0A997E10" w14:textId="77777777" w:rsidR="00D31A46" w:rsidRDefault="00D31A46" w:rsidP="008670F9">
      <w:pPr>
        <w:spacing w:after="240" w:line="360" w:lineRule="auto"/>
        <w:jc w:val="both"/>
        <w:rPr>
          <w:rFonts w:eastAsia="Times New Roman"/>
        </w:rPr>
      </w:pPr>
    </w:p>
    <w:p w14:paraId="52895A6D" w14:textId="77777777" w:rsidR="00D31A46" w:rsidRDefault="00D31A46" w:rsidP="008670F9">
      <w:pPr>
        <w:spacing w:after="240" w:line="360" w:lineRule="auto"/>
        <w:jc w:val="both"/>
        <w:rPr>
          <w:rFonts w:eastAsia="Times New Roman"/>
        </w:rPr>
      </w:pPr>
    </w:p>
    <w:p w14:paraId="26F260BB" w14:textId="77777777" w:rsidR="00D31A46" w:rsidRDefault="00D31A46" w:rsidP="008670F9">
      <w:pPr>
        <w:spacing w:after="240" w:line="360" w:lineRule="auto"/>
        <w:jc w:val="both"/>
        <w:rPr>
          <w:rFonts w:eastAsia="Times New Roman"/>
        </w:rPr>
      </w:pPr>
    </w:p>
    <w:p w14:paraId="2AA4D625" w14:textId="77777777" w:rsidR="00D31A46" w:rsidRDefault="00D31A46" w:rsidP="008670F9">
      <w:pPr>
        <w:spacing w:after="240" w:line="360" w:lineRule="auto"/>
        <w:jc w:val="both"/>
        <w:rPr>
          <w:rFonts w:eastAsia="Times New Roman"/>
        </w:rPr>
      </w:pPr>
    </w:p>
    <w:p w14:paraId="0014F687" w14:textId="77777777" w:rsidR="00D31A46" w:rsidRDefault="00D31A46" w:rsidP="008670F9">
      <w:pPr>
        <w:spacing w:after="240" w:line="360" w:lineRule="auto"/>
        <w:jc w:val="both"/>
        <w:rPr>
          <w:rFonts w:eastAsia="Times New Roman"/>
        </w:rPr>
      </w:pPr>
    </w:p>
    <w:p w14:paraId="6B67B40B" w14:textId="77777777" w:rsidR="00D31A46" w:rsidRDefault="00D31A46" w:rsidP="008670F9">
      <w:pPr>
        <w:spacing w:after="240" w:line="360" w:lineRule="auto"/>
        <w:jc w:val="both"/>
        <w:rPr>
          <w:rFonts w:eastAsia="Times New Roman"/>
        </w:rPr>
      </w:pPr>
    </w:p>
    <w:p w14:paraId="019AC17A" w14:textId="3F423E95" w:rsidR="005C7051" w:rsidRPr="008670F9" w:rsidRDefault="00EA1111" w:rsidP="008670F9">
      <w:pPr>
        <w:spacing w:after="240" w:line="360" w:lineRule="auto"/>
        <w:jc w:val="both"/>
        <w:rPr>
          <w:rFonts w:eastAsia="Times New Roman"/>
        </w:rPr>
      </w:pPr>
      <w:r w:rsidRPr="008670F9">
        <w:rPr>
          <w:rFonts w:eastAsia="Times New Roman"/>
        </w:rPr>
        <w:t>References</w:t>
      </w:r>
    </w:p>
    <w:p w14:paraId="019AC17B" w14:textId="77777777" w:rsidR="005C7051" w:rsidRPr="008670F9" w:rsidRDefault="005C7051" w:rsidP="008670F9">
      <w:pPr>
        <w:spacing w:after="240" w:line="360" w:lineRule="auto"/>
        <w:jc w:val="both"/>
        <w:rPr>
          <w:rFonts w:eastAsia="Times New Roman"/>
        </w:rPr>
      </w:pPr>
    </w:p>
    <w:p w14:paraId="019AC17C" w14:textId="0EB4CD67" w:rsidR="005C7051" w:rsidRPr="008670F9" w:rsidRDefault="00EA1111" w:rsidP="008670F9">
      <w:pPr>
        <w:spacing w:after="240" w:line="360" w:lineRule="auto"/>
        <w:rPr>
          <w:rFonts w:eastAsia="Times New Roman"/>
        </w:rPr>
      </w:pPr>
      <w:r w:rsidRPr="008670F9">
        <w:rPr>
          <w:rFonts w:eastAsia="Times New Roman"/>
        </w:rPr>
        <w:t xml:space="preserve">Ahmed, M., Ayub, K. and Dawood (n.d.). PESTEL and SWOT Analysis of Selected Electric Car Manufacturers in India. [online] </w:t>
      </w:r>
      <w:proofErr w:type="spellStart"/>
      <w:proofErr w:type="gramStart"/>
      <w:r w:rsidRPr="008670F9">
        <w:rPr>
          <w:rFonts w:eastAsia="Times New Roman"/>
        </w:rPr>
        <w:t>doi:https</w:t>
      </w:r>
      <w:proofErr w:type="spellEnd"/>
      <w:r w:rsidRPr="008670F9">
        <w:rPr>
          <w:rFonts w:eastAsia="Times New Roman"/>
        </w:rPr>
        <w:t>://doi.org/10.5281/zenodo.5530495</w:t>
      </w:r>
      <w:proofErr w:type="gramEnd"/>
      <w:r w:rsidR="008C3264" w:rsidRPr="008670F9">
        <w:rPr>
          <w:rFonts w:eastAsia="Times New Roman"/>
        </w:rPr>
        <w:t xml:space="preserve"> </w:t>
      </w:r>
      <w:r w:rsidRPr="008670F9">
        <w:rPr>
          <w:rFonts w:eastAsia="Times New Roman"/>
        </w:rPr>
        <w:t>.</w:t>
      </w:r>
    </w:p>
    <w:p w14:paraId="019AC17D" w14:textId="77777777" w:rsidR="005C7051" w:rsidRPr="008670F9" w:rsidRDefault="00EA1111" w:rsidP="008670F9">
      <w:pPr>
        <w:pStyle w:val="NormalWeb"/>
        <w:spacing w:before="0" w:beforeAutospacing="0" w:after="240" w:afterAutospacing="0" w:line="360" w:lineRule="auto"/>
        <w:rPr>
          <w:rFonts w:ascii="Arial" w:hAnsi="Arial" w:cs="Arial"/>
          <w:sz w:val="22"/>
          <w:szCs w:val="22"/>
        </w:rPr>
      </w:pPr>
      <w:r w:rsidRPr="008670F9">
        <w:rPr>
          <w:rFonts w:ascii="Arial" w:hAnsi="Arial" w:cs="Arial"/>
          <w:sz w:val="22"/>
          <w:szCs w:val="22"/>
        </w:rPr>
        <w:t xml:space="preserve">www.konami.com. (n.d.). </w:t>
      </w:r>
      <w:r w:rsidRPr="008670F9">
        <w:rPr>
          <w:rFonts w:ascii="Arial" w:hAnsi="Arial" w:cs="Arial"/>
          <w:i/>
          <w:iCs/>
          <w:sz w:val="22"/>
          <w:szCs w:val="22"/>
        </w:rPr>
        <w:t>Corporate History - KONAMI HOLDINGS CORPORATION</w:t>
      </w:r>
      <w:r w:rsidRPr="008670F9">
        <w:rPr>
          <w:rFonts w:ascii="Arial" w:hAnsi="Arial" w:cs="Arial"/>
          <w:sz w:val="22"/>
          <w:szCs w:val="22"/>
        </w:rPr>
        <w:t xml:space="preserve">. [online] Available at: </w:t>
      </w:r>
      <w:hyperlink r:id="rId8" w:history="1">
        <w:r w:rsidRPr="008670F9">
          <w:rPr>
            <w:rStyle w:val="Hyperlink"/>
            <w:rFonts w:ascii="Arial" w:hAnsi="Arial" w:cs="Arial"/>
            <w:sz w:val="22"/>
            <w:szCs w:val="22"/>
          </w:rPr>
          <w:t>https://www.konami.com/corporate/en/history/</w:t>
        </w:r>
      </w:hyperlink>
      <w:r w:rsidRPr="008670F9">
        <w:rPr>
          <w:rFonts w:ascii="Arial" w:hAnsi="Arial" w:cs="Arial"/>
          <w:sz w:val="22"/>
          <w:szCs w:val="22"/>
        </w:rPr>
        <w:t>.</w:t>
      </w:r>
    </w:p>
    <w:p w14:paraId="019AC17E" w14:textId="46608049" w:rsidR="005C7051" w:rsidRPr="008670F9" w:rsidRDefault="00EA1111" w:rsidP="008670F9">
      <w:pPr>
        <w:pStyle w:val="NormalWeb"/>
        <w:spacing w:before="0" w:beforeAutospacing="0" w:after="240" w:afterAutospacing="0" w:line="360" w:lineRule="auto"/>
        <w:rPr>
          <w:rFonts w:ascii="Arial" w:hAnsi="Arial" w:cs="Arial"/>
          <w:sz w:val="22"/>
          <w:szCs w:val="22"/>
        </w:rPr>
      </w:pPr>
      <w:r w:rsidRPr="008670F9">
        <w:rPr>
          <w:rFonts w:ascii="Arial" w:hAnsi="Arial" w:cs="Arial"/>
          <w:sz w:val="22"/>
          <w:szCs w:val="22"/>
        </w:rPr>
        <w:t xml:space="preserve">www.konami.com. (n.d.). </w:t>
      </w:r>
      <w:r w:rsidRPr="008670F9">
        <w:rPr>
          <w:rFonts w:ascii="Arial" w:hAnsi="Arial" w:cs="Arial"/>
          <w:i/>
          <w:iCs/>
          <w:sz w:val="22"/>
          <w:szCs w:val="22"/>
        </w:rPr>
        <w:t>Financial Information - KONAMI GROUP CORPORATION</w:t>
      </w:r>
      <w:r w:rsidRPr="008670F9">
        <w:rPr>
          <w:rFonts w:ascii="Arial" w:hAnsi="Arial" w:cs="Arial"/>
          <w:sz w:val="22"/>
          <w:szCs w:val="22"/>
        </w:rPr>
        <w:t xml:space="preserve">. [online] Available at: </w:t>
      </w:r>
      <w:hyperlink r:id="rId9" w:history="1">
        <w:r w:rsidR="008C3264" w:rsidRPr="008670F9">
          <w:rPr>
            <w:rStyle w:val="Hyperlink"/>
            <w:rFonts w:ascii="Arial" w:hAnsi="Arial" w:cs="Arial"/>
            <w:sz w:val="22"/>
            <w:szCs w:val="22"/>
          </w:rPr>
          <w:t>https://www.konami.com/ir/en/financialinfo/</w:t>
        </w:r>
      </w:hyperlink>
      <w:r w:rsidR="008C3264" w:rsidRPr="008670F9">
        <w:rPr>
          <w:rFonts w:ascii="Arial" w:hAnsi="Arial" w:cs="Arial"/>
          <w:sz w:val="22"/>
          <w:szCs w:val="22"/>
        </w:rPr>
        <w:t xml:space="preserve"> </w:t>
      </w:r>
      <w:r w:rsidRPr="008670F9">
        <w:rPr>
          <w:rFonts w:ascii="Arial" w:hAnsi="Arial" w:cs="Arial"/>
          <w:sz w:val="22"/>
          <w:szCs w:val="22"/>
        </w:rPr>
        <w:t xml:space="preserve">[Accessed 6 Apr. 2024]. </w:t>
      </w:r>
    </w:p>
    <w:p w14:paraId="019AC17F" w14:textId="7493B150" w:rsidR="005C7051" w:rsidRPr="008670F9" w:rsidRDefault="00EA1111" w:rsidP="008670F9">
      <w:pPr>
        <w:spacing w:after="240" w:line="360" w:lineRule="auto"/>
        <w:rPr>
          <w:rFonts w:eastAsia="Times New Roman"/>
        </w:rPr>
      </w:pPr>
      <w:r w:rsidRPr="008670F9">
        <w:rPr>
          <w:rFonts w:eastAsia="Times New Roman"/>
        </w:rPr>
        <w:t xml:space="preserve">Ruan, S. (2020). Research on Strategic Cost Management of Enterprises Based on Porter’s Value Chain Model. </w:t>
      </w:r>
      <w:r w:rsidRPr="008670F9">
        <w:rPr>
          <w:rFonts w:eastAsia="Times New Roman"/>
          <w:i/>
          <w:iCs/>
        </w:rPr>
        <w:t>Journal of Physics: Conference Series</w:t>
      </w:r>
      <w:r w:rsidRPr="008670F9">
        <w:rPr>
          <w:rFonts w:eastAsia="Times New Roman"/>
        </w:rPr>
        <w:t xml:space="preserve">, 1533(2), p.022056. </w:t>
      </w:r>
      <w:proofErr w:type="spellStart"/>
      <w:proofErr w:type="gramStart"/>
      <w:r w:rsidRPr="008670F9">
        <w:rPr>
          <w:rFonts w:eastAsia="Times New Roman"/>
        </w:rPr>
        <w:t>doi:https</w:t>
      </w:r>
      <w:proofErr w:type="spellEnd"/>
      <w:r w:rsidRPr="008670F9">
        <w:rPr>
          <w:rFonts w:eastAsia="Times New Roman"/>
        </w:rPr>
        <w:t>://doi.org/10.1088/1742-6596/1533/2/022056</w:t>
      </w:r>
      <w:proofErr w:type="gramEnd"/>
      <w:r w:rsidR="008C3264" w:rsidRPr="008670F9">
        <w:rPr>
          <w:rFonts w:eastAsia="Times New Roman"/>
        </w:rPr>
        <w:t xml:space="preserve"> </w:t>
      </w:r>
      <w:r w:rsidRPr="008670F9">
        <w:rPr>
          <w:rFonts w:eastAsia="Times New Roman"/>
        </w:rPr>
        <w:t>.</w:t>
      </w:r>
    </w:p>
    <w:p w14:paraId="019AC180" w14:textId="245FD8FA" w:rsidR="005C7051" w:rsidRPr="008670F9" w:rsidRDefault="00EA1111" w:rsidP="008670F9">
      <w:pPr>
        <w:spacing w:after="240" w:line="360" w:lineRule="auto"/>
        <w:rPr>
          <w:rFonts w:eastAsia="Times New Roman"/>
        </w:rPr>
      </w:pPr>
      <w:r w:rsidRPr="008670F9">
        <w:rPr>
          <w:rFonts w:eastAsia="Times New Roman"/>
          <w:lang w:val="en-US"/>
        </w:rPr>
        <w:t xml:space="preserve">Editor, R.F.C. (2015). What is happening at Konami? [online] GamesIndustry.biz. Available at: </w:t>
      </w:r>
      <w:hyperlink r:id="rId10" w:history="1">
        <w:r w:rsidR="008C3264" w:rsidRPr="008670F9">
          <w:rPr>
            <w:rStyle w:val="Hyperlink"/>
            <w:rFonts w:eastAsia="Times New Roman"/>
            <w:lang w:val="en-US"/>
          </w:rPr>
          <w:t>https://www.gamesindustry.biz/what-is-happening-at-konami</w:t>
        </w:r>
      </w:hyperlink>
      <w:r w:rsidR="008C3264" w:rsidRPr="008670F9">
        <w:rPr>
          <w:rFonts w:eastAsia="Times New Roman"/>
          <w:lang w:val="en-US"/>
        </w:rPr>
        <w:t xml:space="preserve"> </w:t>
      </w:r>
      <w:r w:rsidRPr="008670F9">
        <w:rPr>
          <w:rFonts w:eastAsia="Times New Roman"/>
          <w:lang w:val="en-US"/>
        </w:rPr>
        <w:t>.</w:t>
      </w:r>
    </w:p>
    <w:p w14:paraId="019AC181" w14:textId="4FAD603B" w:rsidR="005C7051" w:rsidRPr="008670F9" w:rsidRDefault="00EA1111" w:rsidP="008670F9">
      <w:pPr>
        <w:spacing w:after="240" w:line="360" w:lineRule="auto"/>
        <w:rPr>
          <w:rFonts w:eastAsia="Times New Roman"/>
        </w:rPr>
      </w:pPr>
      <w:r w:rsidRPr="008670F9">
        <w:rPr>
          <w:rFonts w:eastAsia="Times New Roman"/>
          <w:lang w:val="en-US"/>
        </w:rPr>
        <w:t xml:space="preserve">Fern Fort University. (n.d.). Konami Holdings Corporation [SWOT Analysis] Weighted SWOT Matrix. [online] Available at: </w:t>
      </w:r>
      <w:hyperlink r:id="rId11" w:history="1">
        <w:r w:rsidR="008C3264" w:rsidRPr="008670F9">
          <w:rPr>
            <w:rStyle w:val="Hyperlink"/>
            <w:rFonts w:eastAsia="Times New Roman"/>
            <w:lang w:val="en-US"/>
          </w:rPr>
          <w:t>http://fernfortuniversity.com/term-papers/swot/nyse/6656-konami-holdings-corporation.php</w:t>
        </w:r>
      </w:hyperlink>
      <w:r w:rsidR="008C3264" w:rsidRPr="008670F9">
        <w:rPr>
          <w:rFonts w:eastAsia="Times New Roman"/>
          <w:lang w:val="en-US"/>
        </w:rPr>
        <w:t xml:space="preserve"> </w:t>
      </w:r>
      <w:r w:rsidRPr="008670F9">
        <w:rPr>
          <w:rFonts w:eastAsia="Times New Roman"/>
          <w:lang w:val="en-US"/>
        </w:rPr>
        <w:t xml:space="preserve">. </w:t>
      </w:r>
    </w:p>
    <w:p w14:paraId="68A92164" w14:textId="61923801" w:rsidR="008E6D53" w:rsidRPr="008E6D53" w:rsidRDefault="008E6D53" w:rsidP="008670F9">
      <w:pPr>
        <w:spacing w:after="240" w:line="360" w:lineRule="auto"/>
        <w:rPr>
          <w:rFonts w:eastAsia="Times New Roman"/>
        </w:rPr>
      </w:pPr>
      <w:r w:rsidRPr="008E6D53">
        <w:rPr>
          <w:rFonts w:eastAsia="Times New Roman"/>
        </w:rPr>
        <w:t>Haapa-</w:t>
      </w:r>
      <w:proofErr w:type="spellStart"/>
      <w:r w:rsidRPr="008E6D53">
        <w:rPr>
          <w:rFonts w:eastAsia="Times New Roman"/>
        </w:rPr>
        <w:t>aho</w:t>
      </w:r>
      <w:proofErr w:type="spellEnd"/>
      <w:r w:rsidRPr="008E6D53">
        <w:rPr>
          <w:rFonts w:eastAsia="Times New Roman"/>
        </w:rPr>
        <w:t xml:space="preserve">, M. (2012). Creating a Change Management Model for Business Process Implementation. </w:t>
      </w:r>
      <w:r w:rsidRPr="008E6D53">
        <w:rPr>
          <w:rFonts w:eastAsia="Times New Roman"/>
          <w:i/>
          <w:iCs/>
        </w:rPr>
        <w:t>trepo.tuni.fi</w:t>
      </w:r>
      <w:r w:rsidRPr="008E6D53">
        <w:rPr>
          <w:rFonts w:eastAsia="Times New Roman"/>
        </w:rPr>
        <w:t xml:space="preserve">. [online] Available at: </w:t>
      </w:r>
      <w:hyperlink r:id="rId12" w:history="1">
        <w:r w:rsidRPr="008E6D53">
          <w:rPr>
            <w:rStyle w:val="Hyperlink"/>
            <w:rFonts w:eastAsia="Times New Roman"/>
          </w:rPr>
          <w:t>https://trepo.tuni.fi//handle/123456789/20996</w:t>
        </w:r>
      </w:hyperlink>
      <w:r w:rsidRPr="008670F9">
        <w:rPr>
          <w:rFonts w:eastAsia="Times New Roman"/>
        </w:rPr>
        <w:t xml:space="preserve"> </w:t>
      </w:r>
      <w:r w:rsidRPr="008E6D53">
        <w:rPr>
          <w:rFonts w:eastAsia="Times New Roman"/>
        </w:rPr>
        <w:t xml:space="preserve"> [Accessed 14 Apr. 2024].</w:t>
      </w:r>
    </w:p>
    <w:p w14:paraId="019AC182" w14:textId="77777777" w:rsidR="005C7051" w:rsidRPr="008670F9" w:rsidRDefault="005C7051" w:rsidP="008670F9">
      <w:pPr>
        <w:spacing w:after="240" w:line="360" w:lineRule="auto"/>
        <w:rPr>
          <w:rFonts w:eastAsia="Times New Roman"/>
        </w:rPr>
      </w:pPr>
    </w:p>
    <w:p w14:paraId="019AC183" w14:textId="77777777" w:rsidR="005C7051" w:rsidRPr="008670F9" w:rsidRDefault="00EA1111" w:rsidP="008670F9">
      <w:pPr>
        <w:spacing w:after="240" w:line="360" w:lineRule="auto"/>
        <w:rPr>
          <w:rFonts w:eastAsia="Times New Roman"/>
        </w:rPr>
      </w:pPr>
      <w:r w:rsidRPr="008670F9">
        <w:rPr>
          <w:rFonts w:eastAsia="Times New Roman"/>
          <w:lang w:val="en-US"/>
        </w:rPr>
        <w:t>‌</w:t>
      </w:r>
    </w:p>
    <w:p w14:paraId="019AC184" w14:textId="77777777" w:rsidR="005C7051" w:rsidRPr="008670F9" w:rsidRDefault="00EA1111" w:rsidP="008670F9">
      <w:pPr>
        <w:spacing w:after="240" w:line="360" w:lineRule="auto"/>
        <w:rPr>
          <w:rFonts w:eastAsia="Times New Roman"/>
        </w:rPr>
      </w:pPr>
      <w:r w:rsidRPr="008670F9">
        <w:rPr>
          <w:rFonts w:eastAsia="Times New Roman"/>
          <w:lang w:val="en-US"/>
        </w:rPr>
        <w:t>‌</w:t>
      </w:r>
    </w:p>
    <w:p w14:paraId="019AC188" w14:textId="77777777" w:rsidR="005C7051" w:rsidRPr="008670F9" w:rsidRDefault="005C7051" w:rsidP="008670F9">
      <w:pPr>
        <w:spacing w:line="360" w:lineRule="auto"/>
        <w:jc w:val="both"/>
      </w:pPr>
    </w:p>
    <w:sectPr w:rsidR="005C7051" w:rsidRPr="008670F9">
      <w:footerReference w:type="default" r:id="rId13"/>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4D0EC7" w14:textId="77777777" w:rsidR="009112A9" w:rsidRDefault="009112A9">
      <w:pPr>
        <w:spacing w:line="240" w:lineRule="auto"/>
      </w:pPr>
      <w:r>
        <w:separator/>
      </w:r>
    </w:p>
  </w:endnote>
  <w:endnote w:type="continuationSeparator" w:id="0">
    <w:p w14:paraId="7F60D5FF" w14:textId="77777777" w:rsidR="009112A9" w:rsidRDefault="009112A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panose1 w:val="00000000000000000000"/>
    <w:charset w:val="00"/>
    <w:family w:val="roman"/>
    <w:notTrueType/>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9AC189" w14:textId="77777777" w:rsidR="005C7051" w:rsidRDefault="00EA1111">
    <w:pPr>
      <w:pStyle w:val="Footer"/>
      <w:jc w:val="right"/>
    </w:pPr>
    <w:r>
      <w:fldChar w:fldCharType="begin"/>
    </w:r>
    <w:r>
      <w:instrText xml:space="preserve"> PAGE   \* MERGEFORMAT </w:instrText>
    </w:r>
    <w:r>
      <w:fldChar w:fldCharType="separate"/>
    </w:r>
    <w:r>
      <w:rPr>
        <w:noProof/>
      </w:rPr>
      <w:t>11</w:t>
    </w:r>
    <w:r>
      <w:rPr>
        <w:noProof/>
      </w:rPr>
      <w:fldChar w:fldCharType="end"/>
    </w:r>
  </w:p>
  <w:p w14:paraId="019AC18A" w14:textId="77777777" w:rsidR="005C7051" w:rsidRDefault="005C70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B66420" w14:textId="77777777" w:rsidR="009112A9" w:rsidRDefault="009112A9">
      <w:pPr>
        <w:spacing w:line="240" w:lineRule="auto"/>
      </w:pPr>
      <w:r>
        <w:separator/>
      </w:r>
    </w:p>
  </w:footnote>
  <w:footnote w:type="continuationSeparator" w:id="0">
    <w:p w14:paraId="13653193" w14:textId="77777777" w:rsidR="009112A9" w:rsidRDefault="009112A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1C04195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00000002"/>
    <w:multiLevelType w:val="hybridMultilevel"/>
    <w:tmpl w:val="127C71F2"/>
    <w:lvl w:ilvl="0" w:tplc="CC347EE2">
      <w:start w:val="1"/>
      <w:numFmt w:val="upperRoman"/>
      <w:lvlText w:val="%1."/>
      <w:lvlJc w:val="left"/>
      <w:pPr>
        <w:ind w:left="1080" w:hanging="720"/>
      </w:pPr>
      <w:rPr>
        <w:rFonts w:hint="default"/>
      </w:rPr>
    </w:lvl>
    <w:lvl w:ilvl="1" w:tplc="34090019">
      <w:start w:val="1"/>
      <w:numFmt w:val="lowerLetter"/>
      <w:lvlText w:val="%2."/>
      <w:lvlJc w:val="left"/>
      <w:pPr>
        <w:ind w:left="1440" w:hanging="360"/>
      </w:pPr>
    </w:lvl>
    <w:lvl w:ilvl="2" w:tplc="3409001B" w:tentative="1">
      <w:start w:val="1"/>
      <w:numFmt w:val="lowerRoman"/>
      <w:lvlText w:val="%3."/>
      <w:lvlJc w:val="right"/>
      <w:pPr>
        <w:ind w:left="2160" w:hanging="180"/>
      </w:pPr>
    </w:lvl>
    <w:lvl w:ilvl="3" w:tplc="3409000F" w:tentative="1">
      <w:start w:val="1"/>
      <w:numFmt w:val="decimal"/>
      <w:lvlText w:val="%4."/>
      <w:lvlJc w:val="left"/>
      <w:pPr>
        <w:ind w:left="2880" w:hanging="360"/>
      </w:pPr>
    </w:lvl>
    <w:lvl w:ilvl="4" w:tplc="34090019" w:tentative="1">
      <w:start w:val="1"/>
      <w:numFmt w:val="lowerLetter"/>
      <w:lvlText w:val="%5."/>
      <w:lvlJc w:val="left"/>
      <w:pPr>
        <w:ind w:left="3600" w:hanging="360"/>
      </w:pPr>
    </w:lvl>
    <w:lvl w:ilvl="5" w:tplc="3409001B" w:tentative="1">
      <w:start w:val="1"/>
      <w:numFmt w:val="lowerRoman"/>
      <w:lvlText w:val="%6."/>
      <w:lvlJc w:val="right"/>
      <w:pPr>
        <w:ind w:left="4320" w:hanging="180"/>
      </w:pPr>
    </w:lvl>
    <w:lvl w:ilvl="6" w:tplc="3409000F" w:tentative="1">
      <w:start w:val="1"/>
      <w:numFmt w:val="decimal"/>
      <w:lvlText w:val="%7."/>
      <w:lvlJc w:val="left"/>
      <w:pPr>
        <w:ind w:left="5040" w:hanging="360"/>
      </w:pPr>
    </w:lvl>
    <w:lvl w:ilvl="7" w:tplc="34090019" w:tentative="1">
      <w:start w:val="1"/>
      <w:numFmt w:val="lowerLetter"/>
      <w:lvlText w:val="%8."/>
      <w:lvlJc w:val="left"/>
      <w:pPr>
        <w:ind w:left="5760" w:hanging="360"/>
      </w:pPr>
    </w:lvl>
    <w:lvl w:ilvl="8" w:tplc="3409001B" w:tentative="1">
      <w:start w:val="1"/>
      <w:numFmt w:val="lowerRoman"/>
      <w:lvlText w:val="%9."/>
      <w:lvlJc w:val="right"/>
      <w:pPr>
        <w:ind w:left="6480" w:hanging="180"/>
      </w:pPr>
    </w:lvl>
  </w:abstractNum>
  <w:abstractNum w:abstractNumId="2" w15:restartNumberingAfterBreak="0">
    <w:nsid w:val="00000003"/>
    <w:multiLevelType w:val="multilevel"/>
    <w:tmpl w:val="FE362C5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00000004"/>
    <w:multiLevelType w:val="hybridMultilevel"/>
    <w:tmpl w:val="33FEFAD4"/>
    <w:lvl w:ilvl="0" w:tplc="3409000F">
      <w:start w:val="1"/>
      <w:numFmt w:val="decimal"/>
      <w:lvlText w:val="%1."/>
      <w:lvlJc w:val="left"/>
      <w:pPr>
        <w:ind w:left="720" w:hanging="360"/>
      </w:pPr>
    </w:lvl>
    <w:lvl w:ilvl="1" w:tplc="34090019" w:tentative="1">
      <w:start w:val="1"/>
      <w:numFmt w:val="lowerLetter"/>
      <w:lvlText w:val="%2."/>
      <w:lvlJc w:val="left"/>
      <w:pPr>
        <w:ind w:left="1440" w:hanging="360"/>
      </w:pPr>
    </w:lvl>
    <w:lvl w:ilvl="2" w:tplc="3409001B" w:tentative="1">
      <w:start w:val="1"/>
      <w:numFmt w:val="lowerRoman"/>
      <w:lvlText w:val="%3."/>
      <w:lvlJc w:val="right"/>
      <w:pPr>
        <w:ind w:left="2160" w:hanging="180"/>
      </w:pPr>
    </w:lvl>
    <w:lvl w:ilvl="3" w:tplc="3409000F" w:tentative="1">
      <w:start w:val="1"/>
      <w:numFmt w:val="decimal"/>
      <w:lvlText w:val="%4."/>
      <w:lvlJc w:val="left"/>
      <w:pPr>
        <w:ind w:left="2880" w:hanging="360"/>
      </w:pPr>
    </w:lvl>
    <w:lvl w:ilvl="4" w:tplc="34090019" w:tentative="1">
      <w:start w:val="1"/>
      <w:numFmt w:val="lowerLetter"/>
      <w:lvlText w:val="%5."/>
      <w:lvlJc w:val="left"/>
      <w:pPr>
        <w:ind w:left="3600" w:hanging="360"/>
      </w:pPr>
    </w:lvl>
    <w:lvl w:ilvl="5" w:tplc="3409001B" w:tentative="1">
      <w:start w:val="1"/>
      <w:numFmt w:val="lowerRoman"/>
      <w:lvlText w:val="%6."/>
      <w:lvlJc w:val="right"/>
      <w:pPr>
        <w:ind w:left="4320" w:hanging="180"/>
      </w:pPr>
    </w:lvl>
    <w:lvl w:ilvl="6" w:tplc="3409000F" w:tentative="1">
      <w:start w:val="1"/>
      <w:numFmt w:val="decimal"/>
      <w:lvlText w:val="%7."/>
      <w:lvlJc w:val="left"/>
      <w:pPr>
        <w:ind w:left="5040" w:hanging="360"/>
      </w:pPr>
    </w:lvl>
    <w:lvl w:ilvl="7" w:tplc="34090019" w:tentative="1">
      <w:start w:val="1"/>
      <w:numFmt w:val="lowerLetter"/>
      <w:lvlText w:val="%8."/>
      <w:lvlJc w:val="left"/>
      <w:pPr>
        <w:ind w:left="5760" w:hanging="360"/>
      </w:pPr>
    </w:lvl>
    <w:lvl w:ilvl="8" w:tplc="3409001B" w:tentative="1">
      <w:start w:val="1"/>
      <w:numFmt w:val="lowerRoman"/>
      <w:lvlText w:val="%9."/>
      <w:lvlJc w:val="right"/>
      <w:pPr>
        <w:ind w:left="6480" w:hanging="180"/>
      </w:pPr>
    </w:lvl>
  </w:abstractNum>
  <w:abstractNum w:abstractNumId="4" w15:restartNumberingAfterBreak="0">
    <w:nsid w:val="00000005"/>
    <w:multiLevelType w:val="multilevel"/>
    <w:tmpl w:val="21E487A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 w15:restartNumberingAfterBreak="0">
    <w:nsid w:val="00000006"/>
    <w:multiLevelType w:val="multilevel"/>
    <w:tmpl w:val="D45447E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00000007"/>
    <w:multiLevelType w:val="multilevel"/>
    <w:tmpl w:val="49AE1EE2"/>
    <w:lvl w:ilvl="0">
      <w:start w:val="1"/>
      <w:numFmt w:val="decimal"/>
      <w:lvlText w:val="%1."/>
      <w:lvlJc w:val="left"/>
      <w:pPr>
        <w:ind w:left="1080" w:hanging="360"/>
      </w:p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abstractNum w:abstractNumId="7" w15:restartNumberingAfterBreak="0">
    <w:nsid w:val="00000008"/>
    <w:multiLevelType w:val="multilevel"/>
    <w:tmpl w:val="605E7F6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8" w15:restartNumberingAfterBreak="0">
    <w:nsid w:val="00000009"/>
    <w:multiLevelType w:val="hybridMultilevel"/>
    <w:tmpl w:val="DDA49AFA"/>
    <w:lvl w:ilvl="0" w:tplc="34090001">
      <w:start w:val="1"/>
      <w:numFmt w:val="bullet"/>
      <w:lvlText w:val=""/>
      <w:lvlJc w:val="left"/>
      <w:pPr>
        <w:ind w:left="720" w:hanging="360"/>
      </w:pPr>
      <w:rPr>
        <w:rFonts w:ascii="Symbol" w:hAnsi="Symbol" w:hint="default"/>
      </w:rPr>
    </w:lvl>
    <w:lvl w:ilvl="1" w:tplc="34090003" w:tentative="1">
      <w:start w:val="1"/>
      <w:numFmt w:val="bullet"/>
      <w:lvlText w:val="o"/>
      <w:lvlJc w:val="left"/>
      <w:pPr>
        <w:ind w:left="1440" w:hanging="360"/>
      </w:pPr>
      <w:rPr>
        <w:rFonts w:ascii="Courier New" w:hAnsi="Courier New" w:cs="Courier New" w:hint="default"/>
      </w:rPr>
    </w:lvl>
    <w:lvl w:ilvl="2" w:tplc="34090005" w:tentative="1">
      <w:start w:val="1"/>
      <w:numFmt w:val="bullet"/>
      <w:lvlText w:val=""/>
      <w:lvlJc w:val="left"/>
      <w:pPr>
        <w:ind w:left="2160" w:hanging="360"/>
      </w:pPr>
      <w:rPr>
        <w:rFonts w:ascii="Wingdings" w:hAnsi="Wingdings" w:hint="default"/>
      </w:rPr>
    </w:lvl>
    <w:lvl w:ilvl="3" w:tplc="34090001" w:tentative="1">
      <w:start w:val="1"/>
      <w:numFmt w:val="bullet"/>
      <w:lvlText w:val=""/>
      <w:lvlJc w:val="left"/>
      <w:pPr>
        <w:ind w:left="2880" w:hanging="360"/>
      </w:pPr>
      <w:rPr>
        <w:rFonts w:ascii="Symbol" w:hAnsi="Symbol" w:hint="default"/>
      </w:rPr>
    </w:lvl>
    <w:lvl w:ilvl="4" w:tplc="34090003" w:tentative="1">
      <w:start w:val="1"/>
      <w:numFmt w:val="bullet"/>
      <w:lvlText w:val="o"/>
      <w:lvlJc w:val="left"/>
      <w:pPr>
        <w:ind w:left="3600" w:hanging="360"/>
      </w:pPr>
      <w:rPr>
        <w:rFonts w:ascii="Courier New" w:hAnsi="Courier New" w:cs="Courier New" w:hint="default"/>
      </w:rPr>
    </w:lvl>
    <w:lvl w:ilvl="5" w:tplc="34090005" w:tentative="1">
      <w:start w:val="1"/>
      <w:numFmt w:val="bullet"/>
      <w:lvlText w:val=""/>
      <w:lvlJc w:val="left"/>
      <w:pPr>
        <w:ind w:left="4320" w:hanging="360"/>
      </w:pPr>
      <w:rPr>
        <w:rFonts w:ascii="Wingdings" w:hAnsi="Wingdings" w:hint="default"/>
      </w:rPr>
    </w:lvl>
    <w:lvl w:ilvl="6" w:tplc="34090001" w:tentative="1">
      <w:start w:val="1"/>
      <w:numFmt w:val="bullet"/>
      <w:lvlText w:val=""/>
      <w:lvlJc w:val="left"/>
      <w:pPr>
        <w:ind w:left="5040" w:hanging="360"/>
      </w:pPr>
      <w:rPr>
        <w:rFonts w:ascii="Symbol" w:hAnsi="Symbol" w:hint="default"/>
      </w:rPr>
    </w:lvl>
    <w:lvl w:ilvl="7" w:tplc="34090003" w:tentative="1">
      <w:start w:val="1"/>
      <w:numFmt w:val="bullet"/>
      <w:lvlText w:val="o"/>
      <w:lvlJc w:val="left"/>
      <w:pPr>
        <w:ind w:left="5760" w:hanging="360"/>
      </w:pPr>
      <w:rPr>
        <w:rFonts w:ascii="Courier New" w:hAnsi="Courier New" w:cs="Courier New" w:hint="default"/>
      </w:rPr>
    </w:lvl>
    <w:lvl w:ilvl="8" w:tplc="34090005" w:tentative="1">
      <w:start w:val="1"/>
      <w:numFmt w:val="bullet"/>
      <w:lvlText w:val=""/>
      <w:lvlJc w:val="left"/>
      <w:pPr>
        <w:ind w:left="6480" w:hanging="360"/>
      </w:pPr>
      <w:rPr>
        <w:rFonts w:ascii="Wingdings" w:hAnsi="Wingdings" w:hint="default"/>
      </w:rPr>
    </w:lvl>
  </w:abstractNum>
  <w:abstractNum w:abstractNumId="9" w15:restartNumberingAfterBreak="0">
    <w:nsid w:val="0000000A"/>
    <w:multiLevelType w:val="hybridMultilevel"/>
    <w:tmpl w:val="840ADFEE"/>
    <w:lvl w:ilvl="0" w:tplc="34090001">
      <w:start w:val="1"/>
      <w:numFmt w:val="bullet"/>
      <w:lvlText w:val=""/>
      <w:lvlJc w:val="left"/>
      <w:pPr>
        <w:ind w:left="720" w:hanging="360"/>
      </w:pPr>
      <w:rPr>
        <w:rFonts w:ascii="Symbol" w:hAnsi="Symbol" w:hint="default"/>
      </w:rPr>
    </w:lvl>
    <w:lvl w:ilvl="1" w:tplc="34090003" w:tentative="1">
      <w:start w:val="1"/>
      <w:numFmt w:val="bullet"/>
      <w:lvlText w:val="o"/>
      <w:lvlJc w:val="left"/>
      <w:pPr>
        <w:ind w:left="1440" w:hanging="360"/>
      </w:pPr>
      <w:rPr>
        <w:rFonts w:ascii="Courier New" w:hAnsi="Courier New" w:cs="Courier New" w:hint="default"/>
      </w:rPr>
    </w:lvl>
    <w:lvl w:ilvl="2" w:tplc="34090005" w:tentative="1">
      <w:start w:val="1"/>
      <w:numFmt w:val="bullet"/>
      <w:lvlText w:val=""/>
      <w:lvlJc w:val="left"/>
      <w:pPr>
        <w:ind w:left="2160" w:hanging="360"/>
      </w:pPr>
      <w:rPr>
        <w:rFonts w:ascii="Wingdings" w:hAnsi="Wingdings" w:hint="default"/>
      </w:rPr>
    </w:lvl>
    <w:lvl w:ilvl="3" w:tplc="34090001" w:tentative="1">
      <w:start w:val="1"/>
      <w:numFmt w:val="bullet"/>
      <w:lvlText w:val=""/>
      <w:lvlJc w:val="left"/>
      <w:pPr>
        <w:ind w:left="2880" w:hanging="360"/>
      </w:pPr>
      <w:rPr>
        <w:rFonts w:ascii="Symbol" w:hAnsi="Symbol" w:hint="default"/>
      </w:rPr>
    </w:lvl>
    <w:lvl w:ilvl="4" w:tplc="34090003" w:tentative="1">
      <w:start w:val="1"/>
      <w:numFmt w:val="bullet"/>
      <w:lvlText w:val="o"/>
      <w:lvlJc w:val="left"/>
      <w:pPr>
        <w:ind w:left="3600" w:hanging="360"/>
      </w:pPr>
      <w:rPr>
        <w:rFonts w:ascii="Courier New" w:hAnsi="Courier New" w:cs="Courier New" w:hint="default"/>
      </w:rPr>
    </w:lvl>
    <w:lvl w:ilvl="5" w:tplc="34090005" w:tentative="1">
      <w:start w:val="1"/>
      <w:numFmt w:val="bullet"/>
      <w:lvlText w:val=""/>
      <w:lvlJc w:val="left"/>
      <w:pPr>
        <w:ind w:left="4320" w:hanging="360"/>
      </w:pPr>
      <w:rPr>
        <w:rFonts w:ascii="Wingdings" w:hAnsi="Wingdings" w:hint="default"/>
      </w:rPr>
    </w:lvl>
    <w:lvl w:ilvl="6" w:tplc="34090001" w:tentative="1">
      <w:start w:val="1"/>
      <w:numFmt w:val="bullet"/>
      <w:lvlText w:val=""/>
      <w:lvlJc w:val="left"/>
      <w:pPr>
        <w:ind w:left="5040" w:hanging="360"/>
      </w:pPr>
      <w:rPr>
        <w:rFonts w:ascii="Symbol" w:hAnsi="Symbol" w:hint="default"/>
      </w:rPr>
    </w:lvl>
    <w:lvl w:ilvl="7" w:tplc="34090003" w:tentative="1">
      <w:start w:val="1"/>
      <w:numFmt w:val="bullet"/>
      <w:lvlText w:val="o"/>
      <w:lvlJc w:val="left"/>
      <w:pPr>
        <w:ind w:left="5760" w:hanging="360"/>
      </w:pPr>
      <w:rPr>
        <w:rFonts w:ascii="Courier New" w:hAnsi="Courier New" w:cs="Courier New" w:hint="default"/>
      </w:rPr>
    </w:lvl>
    <w:lvl w:ilvl="8" w:tplc="34090005" w:tentative="1">
      <w:start w:val="1"/>
      <w:numFmt w:val="bullet"/>
      <w:lvlText w:val=""/>
      <w:lvlJc w:val="left"/>
      <w:pPr>
        <w:ind w:left="6480" w:hanging="360"/>
      </w:pPr>
      <w:rPr>
        <w:rFonts w:ascii="Wingdings" w:hAnsi="Wingdings" w:hint="default"/>
      </w:rPr>
    </w:lvl>
  </w:abstractNum>
  <w:abstractNum w:abstractNumId="10" w15:restartNumberingAfterBreak="0">
    <w:nsid w:val="0000000B"/>
    <w:multiLevelType w:val="hybridMultilevel"/>
    <w:tmpl w:val="33BADAD0"/>
    <w:lvl w:ilvl="0" w:tplc="34090001">
      <w:start w:val="1"/>
      <w:numFmt w:val="bullet"/>
      <w:lvlText w:val=""/>
      <w:lvlJc w:val="left"/>
      <w:pPr>
        <w:ind w:left="720" w:hanging="360"/>
      </w:pPr>
      <w:rPr>
        <w:rFonts w:ascii="Symbol" w:hAnsi="Symbol" w:hint="default"/>
      </w:rPr>
    </w:lvl>
    <w:lvl w:ilvl="1" w:tplc="34090003" w:tentative="1">
      <w:start w:val="1"/>
      <w:numFmt w:val="bullet"/>
      <w:lvlText w:val="o"/>
      <w:lvlJc w:val="left"/>
      <w:pPr>
        <w:ind w:left="1440" w:hanging="360"/>
      </w:pPr>
      <w:rPr>
        <w:rFonts w:ascii="Courier New" w:hAnsi="Courier New" w:cs="Courier New" w:hint="default"/>
      </w:rPr>
    </w:lvl>
    <w:lvl w:ilvl="2" w:tplc="34090005" w:tentative="1">
      <w:start w:val="1"/>
      <w:numFmt w:val="bullet"/>
      <w:lvlText w:val=""/>
      <w:lvlJc w:val="left"/>
      <w:pPr>
        <w:ind w:left="2160" w:hanging="360"/>
      </w:pPr>
      <w:rPr>
        <w:rFonts w:ascii="Wingdings" w:hAnsi="Wingdings" w:hint="default"/>
      </w:rPr>
    </w:lvl>
    <w:lvl w:ilvl="3" w:tplc="34090001" w:tentative="1">
      <w:start w:val="1"/>
      <w:numFmt w:val="bullet"/>
      <w:lvlText w:val=""/>
      <w:lvlJc w:val="left"/>
      <w:pPr>
        <w:ind w:left="2880" w:hanging="360"/>
      </w:pPr>
      <w:rPr>
        <w:rFonts w:ascii="Symbol" w:hAnsi="Symbol" w:hint="default"/>
      </w:rPr>
    </w:lvl>
    <w:lvl w:ilvl="4" w:tplc="34090003" w:tentative="1">
      <w:start w:val="1"/>
      <w:numFmt w:val="bullet"/>
      <w:lvlText w:val="o"/>
      <w:lvlJc w:val="left"/>
      <w:pPr>
        <w:ind w:left="3600" w:hanging="360"/>
      </w:pPr>
      <w:rPr>
        <w:rFonts w:ascii="Courier New" w:hAnsi="Courier New" w:cs="Courier New" w:hint="default"/>
      </w:rPr>
    </w:lvl>
    <w:lvl w:ilvl="5" w:tplc="34090005" w:tentative="1">
      <w:start w:val="1"/>
      <w:numFmt w:val="bullet"/>
      <w:lvlText w:val=""/>
      <w:lvlJc w:val="left"/>
      <w:pPr>
        <w:ind w:left="4320" w:hanging="360"/>
      </w:pPr>
      <w:rPr>
        <w:rFonts w:ascii="Wingdings" w:hAnsi="Wingdings" w:hint="default"/>
      </w:rPr>
    </w:lvl>
    <w:lvl w:ilvl="6" w:tplc="34090001" w:tentative="1">
      <w:start w:val="1"/>
      <w:numFmt w:val="bullet"/>
      <w:lvlText w:val=""/>
      <w:lvlJc w:val="left"/>
      <w:pPr>
        <w:ind w:left="5040" w:hanging="360"/>
      </w:pPr>
      <w:rPr>
        <w:rFonts w:ascii="Symbol" w:hAnsi="Symbol" w:hint="default"/>
      </w:rPr>
    </w:lvl>
    <w:lvl w:ilvl="7" w:tplc="34090003" w:tentative="1">
      <w:start w:val="1"/>
      <w:numFmt w:val="bullet"/>
      <w:lvlText w:val="o"/>
      <w:lvlJc w:val="left"/>
      <w:pPr>
        <w:ind w:left="5760" w:hanging="360"/>
      </w:pPr>
      <w:rPr>
        <w:rFonts w:ascii="Courier New" w:hAnsi="Courier New" w:cs="Courier New" w:hint="default"/>
      </w:rPr>
    </w:lvl>
    <w:lvl w:ilvl="8" w:tplc="34090005" w:tentative="1">
      <w:start w:val="1"/>
      <w:numFmt w:val="bullet"/>
      <w:lvlText w:val=""/>
      <w:lvlJc w:val="left"/>
      <w:pPr>
        <w:ind w:left="6480" w:hanging="360"/>
      </w:pPr>
      <w:rPr>
        <w:rFonts w:ascii="Wingdings" w:hAnsi="Wingdings" w:hint="default"/>
      </w:rPr>
    </w:lvl>
  </w:abstractNum>
  <w:abstractNum w:abstractNumId="11" w15:restartNumberingAfterBreak="0">
    <w:nsid w:val="29CB13D0"/>
    <w:multiLevelType w:val="multilevel"/>
    <w:tmpl w:val="829ACC2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906037636">
    <w:abstractNumId w:val="1"/>
  </w:num>
  <w:num w:numId="2" w16cid:durableId="1001741399">
    <w:abstractNumId w:val="7"/>
  </w:num>
  <w:num w:numId="3" w16cid:durableId="1880850300">
    <w:abstractNumId w:val="4"/>
  </w:num>
  <w:num w:numId="4" w16cid:durableId="855315962">
    <w:abstractNumId w:val="5"/>
  </w:num>
  <w:num w:numId="5" w16cid:durableId="1384403387">
    <w:abstractNumId w:val="0"/>
  </w:num>
  <w:num w:numId="6" w16cid:durableId="1091777170">
    <w:abstractNumId w:val="6"/>
  </w:num>
  <w:num w:numId="7" w16cid:durableId="1868565419">
    <w:abstractNumId w:val="11"/>
  </w:num>
  <w:num w:numId="8" w16cid:durableId="1465926776">
    <w:abstractNumId w:val="2"/>
  </w:num>
  <w:num w:numId="9" w16cid:durableId="1291520899">
    <w:abstractNumId w:val="3"/>
  </w:num>
  <w:num w:numId="10" w16cid:durableId="933366195">
    <w:abstractNumId w:val="9"/>
  </w:num>
  <w:num w:numId="11" w16cid:durableId="1370372721">
    <w:abstractNumId w:val="10"/>
  </w:num>
  <w:num w:numId="12" w16cid:durableId="105107721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C7051"/>
    <w:rsid w:val="00140DE3"/>
    <w:rsid w:val="002342F4"/>
    <w:rsid w:val="002C7534"/>
    <w:rsid w:val="002F62F0"/>
    <w:rsid w:val="0031498A"/>
    <w:rsid w:val="00343D52"/>
    <w:rsid w:val="00394B5B"/>
    <w:rsid w:val="004D5871"/>
    <w:rsid w:val="005C7051"/>
    <w:rsid w:val="005E6AF5"/>
    <w:rsid w:val="005F7865"/>
    <w:rsid w:val="00602C9F"/>
    <w:rsid w:val="006045B9"/>
    <w:rsid w:val="006C3782"/>
    <w:rsid w:val="00750F96"/>
    <w:rsid w:val="00773B20"/>
    <w:rsid w:val="007874BA"/>
    <w:rsid w:val="007D531F"/>
    <w:rsid w:val="00803D87"/>
    <w:rsid w:val="008468FF"/>
    <w:rsid w:val="008670F9"/>
    <w:rsid w:val="008A54A6"/>
    <w:rsid w:val="008B729C"/>
    <w:rsid w:val="008C3264"/>
    <w:rsid w:val="008E6D53"/>
    <w:rsid w:val="008F184D"/>
    <w:rsid w:val="009112A9"/>
    <w:rsid w:val="00942960"/>
    <w:rsid w:val="00A04CFC"/>
    <w:rsid w:val="00A43D01"/>
    <w:rsid w:val="00A94AC4"/>
    <w:rsid w:val="00AB49CE"/>
    <w:rsid w:val="00AD54BF"/>
    <w:rsid w:val="00AD6284"/>
    <w:rsid w:val="00BB0C3E"/>
    <w:rsid w:val="00C6079D"/>
    <w:rsid w:val="00CB06BA"/>
    <w:rsid w:val="00D31A46"/>
    <w:rsid w:val="00D81BEC"/>
    <w:rsid w:val="00DA377B"/>
    <w:rsid w:val="00E36AFC"/>
    <w:rsid w:val="00E50265"/>
    <w:rsid w:val="00E54E10"/>
    <w:rsid w:val="00E87CDB"/>
    <w:rsid w:val="00EA1111"/>
    <w:rsid w:val="00EB0865"/>
    <w:rsid w:val="00F07801"/>
    <w:rsid w:val="00F21813"/>
  </w:rsids>
  <m:mathPr>
    <m:mathFont m:val="Cambria Math"/>
    <m:brkBin m:val="before"/>
    <m:brkBinSub m:val="--"/>
    <m:smallFrac m:val="0"/>
    <m:dispDef/>
    <m:lMargin m:val="0"/>
    <m:rMargin m:val="0"/>
    <m:defJc m:val="centerGroup"/>
    <m:wrapIndent m:val="1440"/>
    <m:intLim m:val="subSup"/>
    <m:naryLim m:val="undOvr"/>
  </m:mathPr>
  <w:themeFontLang w:val="en-PH"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19AC0F0"/>
  <w15:docId w15:val="{64BFCEC4-FB6B-41BB-B359-3426D57C2F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PH" w:eastAsia="en-PH"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rPr>
      <w:color w:val="0000FF"/>
      <w:u w:val="single"/>
    </w:rPr>
  </w:style>
  <w:style w:type="character" w:customStyle="1" w:styleId="article-info-value">
    <w:name w:val="article-info-value"/>
    <w:basedOn w:val="DefaultParagraphFont"/>
  </w:style>
  <w:style w:type="character" w:customStyle="1" w:styleId="article-info-label">
    <w:name w:val="article-info-label"/>
    <w:basedOn w:val="DefaultParagraphFont"/>
  </w:style>
  <w:style w:type="character" w:styleId="Strong">
    <w:name w:val="Strong"/>
    <w:basedOn w:val="DefaultParagraphFont"/>
    <w:uiPriority w:val="22"/>
    <w:qFormat/>
    <w:rPr>
      <w:b/>
      <w:bCs/>
    </w:rPr>
  </w:style>
  <w:style w:type="table" w:styleId="TableGrid">
    <w:name w:val="Table Grid"/>
    <w:basedOn w:val="TableNormal"/>
    <w:uiPriority w:val="3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PlainTable51">
    <w:name w:val="Plain Table 51"/>
    <w:basedOn w:val="TableNormal"/>
    <w:uiPriority w:val="45"/>
    <w:pPr>
      <w:spacing w:line="240" w:lineRule="auto"/>
    </w:pPr>
    <w:tblPr>
      <w:tblStyleRowBandSize w:val="1"/>
      <w:tblStyleColBandSize w:val="1"/>
    </w:tblPr>
    <w:tblStylePr w:type="firstRow">
      <w:rPr>
        <w:rFonts w:ascii="Calibri" w:eastAsia="SimSun" w:hAnsi="Calibri" w:cs="SimSun"/>
        <w:i/>
        <w:iCs/>
        <w:sz w:val="26"/>
      </w:rPr>
      <w:tblPr/>
      <w:tcPr>
        <w:tcBorders>
          <w:bottom w:val="single" w:sz="4" w:space="0" w:color="7F7F7F"/>
        </w:tcBorders>
        <w:shd w:val="clear" w:color="auto" w:fill="FFFFFF"/>
      </w:tcPr>
    </w:tblStylePr>
    <w:tblStylePr w:type="lastRow">
      <w:rPr>
        <w:rFonts w:ascii="Calibri" w:eastAsia="SimSun" w:hAnsi="Calibri" w:cs="SimSun"/>
        <w:i/>
        <w:iCs/>
        <w:sz w:val="26"/>
      </w:rPr>
      <w:tblPr/>
      <w:tcPr>
        <w:tcBorders>
          <w:top w:val="single" w:sz="4" w:space="0" w:color="7F7F7F"/>
        </w:tcBorders>
        <w:shd w:val="clear" w:color="auto" w:fill="FFFFFF"/>
      </w:tcPr>
    </w:tblStylePr>
    <w:tblStylePr w:type="firstCol">
      <w:pPr>
        <w:jc w:val="right"/>
      </w:pPr>
      <w:rPr>
        <w:rFonts w:ascii="Calibri" w:eastAsia="SimSun" w:hAnsi="Calibri" w:cs="SimSun"/>
        <w:i/>
        <w:iCs/>
        <w:sz w:val="26"/>
      </w:rPr>
      <w:tblPr/>
      <w:tcPr>
        <w:tcBorders>
          <w:right w:val="single" w:sz="4" w:space="0" w:color="7F7F7F"/>
        </w:tcBorders>
        <w:shd w:val="clear" w:color="auto" w:fill="FFFFFF"/>
      </w:tcPr>
    </w:tblStylePr>
    <w:tblStylePr w:type="lastCol">
      <w:rPr>
        <w:rFonts w:ascii="Calibri" w:eastAsia="SimSun" w:hAnsi="Calibri" w:cs="SimSun"/>
        <w:i/>
        <w:iCs/>
        <w:sz w:val="26"/>
      </w:rPr>
      <w:tblPr/>
      <w:tcPr>
        <w:tcBorders>
          <w:left w:val="single" w:sz="4" w:space="0" w:color="7F7F7F"/>
        </w:tcBorders>
        <w:shd w:val="clear" w:color="auto" w:fill="FFFFFF"/>
      </w:tcPr>
    </w:tblStylePr>
    <w:tblStylePr w:type="band1Vert">
      <w:tblPr/>
      <w:tcPr>
        <w:shd w:val="clear" w:color="auto" w:fill="F2F2F2"/>
      </w:tcPr>
    </w:tblStylePr>
    <w:tblStylePr w:type="band1Horz">
      <w:tblPr/>
      <w:tcPr>
        <w:shd w:val="clear" w:color="auto" w:fill="F2F2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GridTable5Dark-Accent31">
    <w:name w:val="Grid Table 5 Dark - Accent 31"/>
    <w:basedOn w:val="TableNormal"/>
    <w:uiPriority w:val="50"/>
    <w:pPr>
      <w:spacing w:line="240" w:lineRule="auto"/>
    </w:pPr>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shd w:val="clear" w:color="auto" w:fill="EAF1DD"/>
    </w:tblPr>
    <w:tcPr>
      <w:shd w:val="clear" w:color="auto" w:fill="EAF1DD"/>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9BBB59"/>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9BBB59"/>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9BBB59"/>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9BBB59"/>
      </w:tcPr>
    </w:tblStylePr>
    <w:tblStylePr w:type="band1Vert">
      <w:tblPr/>
      <w:tcPr>
        <w:shd w:val="clear" w:color="auto" w:fill="D6E3BC"/>
      </w:tcPr>
    </w:tblStylePr>
    <w:tblStylePr w:type="band1Horz">
      <w:tblPr/>
      <w:tcPr>
        <w:shd w:val="clear" w:color="auto" w:fill="D6E3BC"/>
      </w:tcPr>
    </w:tblStylePr>
  </w:style>
  <w:style w:type="paragraph" w:styleId="NormalWeb">
    <w:name w:val="Normal (Web)"/>
    <w:basedOn w:val="Normal"/>
    <w:uiPriority w:val="99"/>
    <w:pPr>
      <w:spacing w:before="100" w:beforeAutospacing="1" w:after="100" w:afterAutospacing="1" w:line="240" w:lineRule="auto"/>
    </w:pPr>
    <w:rPr>
      <w:rFonts w:ascii="Times New Roman" w:eastAsia="Times New Roman" w:hAnsi="Times New Roman" w:cs="Times New Roman"/>
      <w:sz w:val="24"/>
      <w:szCs w:val="24"/>
    </w:rPr>
  </w:style>
  <w:style w:type="table" w:customStyle="1" w:styleId="a">
    <w:basedOn w:val="TableNormal"/>
    <w:pPr>
      <w:spacing w:line="240" w:lineRule="auto"/>
    </w:pPr>
    <w:tblPr>
      <w:tblStyleRowBandSize w:val="1"/>
      <w:tblStyleColBandSize w:val="1"/>
      <w:shd w:val="clear" w:color="auto" w:fill="EBF1DD"/>
      <w:tblCellMar>
        <w:left w:w="115" w:type="dxa"/>
        <w:right w:w="115" w:type="dxa"/>
      </w:tblCellMar>
    </w:tblPr>
    <w:tcPr>
      <w:shd w:val="clear" w:color="auto" w:fill="EBF1DD"/>
    </w:tcPr>
  </w:style>
  <w:style w:type="table" w:customStyle="1" w:styleId="a0">
    <w:basedOn w:val="TableNormal"/>
    <w:pPr>
      <w:spacing w:line="240" w:lineRule="auto"/>
    </w:pPr>
    <w:tblPr>
      <w:tblStyleRowBandSize w:val="1"/>
      <w:tblStyleColBandSize w:val="1"/>
      <w:shd w:val="clear" w:color="auto" w:fill="EBF1DD"/>
      <w:tblCellMar>
        <w:left w:w="115" w:type="dxa"/>
        <w:right w:w="115" w:type="dxa"/>
      </w:tblCellMar>
    </w:tblPr>
    <w:tcPr>
      <w:shd w:val="clear" w:color="auto" w:fill="EBF1DD"/>
    </w:tcPr>
    <w:tblStylePr w:type="firstRow">
      <w:rPr>
        <w:b/>
        <w:color w:val="FFFFFF"/>
      </w:rPr>
      <w:tblPr/>
      <w:tcPr>
        <w:tcBorders>
          <w:top w:val="single" w:sz="4" w:space="0" w:color="FFFFFF"/>
          <w:left w:val="single" w:sz="4" w:space="0" w:color="FFFFFF"/>
          <w:right w:val="single" w:sz="4" w:space="0" w:color="FFFFFF"/>
          <w:insideH w:val="nil"/>
          <w:insideV w:val="nil"/>
        </w:tcBorders>
        <w:shd w:val="clear" w:color="auto" w:fill="9BBB59"/>
      </w:tcPr>
    </w:tblStylePr>
    <w:tblStylePr w:type="lastRow">
      <w:rPr>
        <w:b/>
        <w:color w:val="FFFFFF"/>
      </w:rPr>
      <w:tblPr/>
      <w:tcPr>
        <w:tcBorders>
          <w:left w:val="single" w:sz="4" w:space="0" w:color="FFFFFF"/>
          <w:bottom w:val="single" w:sz="4" w:space="0" w:color="FFFFFF"/>
          <w:right w:val="single" w:sz="4" w:space="0" w:color="FFFFFF"/>
          <w:insideH w:val="nil"/>
          <w:insideV w:val="nil"/>
        </w:tcBorders>
        <w:shd w:val="clear" w:color="auto" w:fill="9BBB59"/>
      </w:tcPr>
    </w:tblStylePr>
    <w:tblStylePr w:type="firstCol">
      <w:rPr>
        <w:b/>
        <w:color w:val="FFFFFF"/>
      </w:rPr>
      <w:tblPr/>
      <w:tcPr>
        <w:tcBorders>
          <w:top w:val="single" w:sz="4" w:space="0" w:color="FFFFFF"/>
          <w:left w:val="single" w:sz="4" w:space="0" w:color="FFFFFF"/>
          <w:bottom w:val="single" w:sz="4" w:space="0" w:color="FFFFFF"/>
          <w:insideV w:val="nil"/>
        </w:tcBorders>
        <w:shd w:val="clear" w:color="auto" w:fill="9BBB59"/>
      </w:tcPr>
    </w:tblStylePr>
    <w:tblStylePr w:type="lastCol">
      <w:rPr>
        <w:b/>
        <w:color w:val="FFFFFF"/>
      </w:rPr>
      <w:tblPr/>
      <w:tcPr>
        <w:tcBorders>
          <w:top w:val="single" w:sz="4" w:space="0" w:color="FFFFFF"/>
          <w:bottom w:val="single" w:sz="4" w:space="0" w:color="FFFFFF"/>
          <w:right w:val="single" w:sz="4" w:space="0" w:color="FFFFFF"/>
          <w:insideV w:val="nil"/>
        </w:tcBorders>
        <w:shd w:val="clear" w:color="auto" w:fill="9BBB59"/>
      </w:tcPr>
    </w:tblStylePr>
    <w:tblStylePr w:type="band1Vert">
      <w:tblPr/>
      <w:tcPr>
        <w:shd w:val="clear" w:color="auto" w:fill="D7E3BC"/>
      </w:tcPr>
    </w:tblStylePr>
    <w:tblStylePr w:type="band1Horz">
      <w:tblPr/>
      <w:tcPr>
        <w:shd w:val="clear" w:color="auto" w:fill="D7E3BC"/>
      </w:tcPr>
    </w:tblStylePr>
  </w:style>
  <w:style w:type="table" w:customStyle="1" w:styleId="a1">
    <w:basedOn w:val="TableNormal"/>
    <w:pPr>
      <w:spacing w:line="240" w:lineRule="auto"/>
    </w:pPr>
    <w:tblPr>
      <w:tblStyleRowBandSize w:val="1"/>
      <w:tblStyleColBandSize w:val="1"/>
      <w:shd w:val="clear" w:color="auto" w:fill="EBF1DD"/>
      <w:tblCellMar>
        <w:left w:w="115" w:type="dxa"/>
        <w:right w:w="115" w:type="dxa"/>
      </w:tblCellMar>
    </w:tblPr>
    <w:tcPr>
      <w:shd w:val="clear" w:color="auto" w:fill="EBF1DD"/>
    </w:tcPr>
  </w:style>
  <w:style w:type="paragraph" w:styleId="Header">
    <w:name w:val="header"/>
    <w:basedOn w:val="Normal"/>
    <w:link w:val="HeaderChar"/>
    <w:uiPriority w:val="99"/>
    <w:pPr>
      <w:tabs>
        <w:tab w:val="center" w:pos="4680"/>
        <w:tab w:val="right" w:pos="9360"/>
      </w:tabs>
      <w:spacing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pPr>
      <w:tabs>
        <w:tab w:val="center" w:pos="4680"/>
        <w:tab w:val="right" w:pos="9360"/>
      </w:tabs>
      <w:spacing w:line="240" w:lineRule="auto"/>
    </w:pPr>
  </w:style>
  <w:style w:type="character" w:customStyle="1" w:styleId="FooterChar">
    <w:name w:val="Footer Char"/>
    <w:basedOn w:val="DefaultParagraphFont"/>
    <w:link w:val="Footer"/>
    <w:uiPriority w:val="99"/>
  </w:style>
  <w:style w:type="table" w:styleId="MediumGrid3">
    <w:name w:val="Medium Grid 3"/>
    <w:basedOn w:val="TableNormal"/>
    <w:uiPriority w:val="69"/>
    <w:tblPr>
      <w:tblStyleRowBandSize w:val="1"/>
      <w:tblStyleColBandSize w:val="1"/>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C0C0C0"/>
    </w:tblPr>
    <w:tcPr>
      <w:shd w:val="clear" w:color="auto" w:fill="C0C0C0"/>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000000"/>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000000"/>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000000"/>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000000"/>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808080"/>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808080"/>
      </w:tcPr>
    </w:tblStylePr>
  </w:style>
  <w:style w:type="table" w:styleId="MediumGrid3-Accent1">
    <w:name w:val="Medium Grid 3 Accent 1"/>
    <w:basedOn w:val="TableNormal"/>
    <w:uiPriority w:val="69"/>
    <w:tblPr>
      <w:tblStyleRowBandSize w:val="1"/>
      <w:tblStyleColBandSize w:val="1"/>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D3DFEE"/>
    </w:tblPr>
    <w:tcPr>
      <w:shd w:val="clear" w:color="auto" w:fill="D3DFEE"/>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4F81BD"/>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4F81BD"/>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4F81BD"/>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4F81BD"/>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A7BFDE"/>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A7BFDE"/>
      </w:tcPr>
    </w:tblStylePr>
  </w:style>
  <w:style w:type="table" w:styleId="MediumGrid3-Accent2">
    <w:name w:val="Medium Grid 3 Accent 2"/>
    <w:basedOn w:val="TableNormal"/>
    <w:uiPriority w:val="69"/>
    <w:tblPr>
      <w:tblStyleRowBandSize w:val="1"/>
      <w:tblStyleColBandSize w:val="1"/>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EFD3D2"/>
    </w:tblPr>
    <w:tcPr>
      <w:shd w:val="clear" w:color="auto" w:fill="EFD3D2"/>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C0504D"/>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C0504D"/>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C0504D"/>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C0504D"/>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DFA7A6"/>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DFA7A6"/>
      </w:tcPr>
    </w:tblStylePr>
  </w:style>
  <w:style w:type="table" w:styleId="MediumGrid3-Accent3">
    <w:name w:val="Medium Grid 3 Accent 3"/>
    <w:basedOn w:val="TableNormal"/>
    <w:uiPriority w:val="69"/>
    <w:tblPr>
      <w:tblStyleRowBandSize w:val="1"/>
      <w:tblStyleColBandSize w:val="1"/>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E6EED5"/>
    </w:tblPr>
    <w:tcPr>
      <w:shd w:val="clear" w:color="auto" w:fill="E6EED5"/>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9BBB59"/>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9BBB59"/>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9BBB59"/>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9BBB59"/>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CDDDAC"/>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CDDDAC"/>
      </w:tcPr>
    </w:tblStylePr>
  </w:style>
  <w:style w:type="table" w:styleId="MediumGrid3-Accent4">
    <w:name w:val="Medium Grid 3 Accent 4"/>
    <w:basedOn w:val="TableNormal"/>
    <w:uiPriority w:val="69"/>
    <w:tblPr>
      <w:tblStyleRowBandSize w:val="1"/>
      <w:tblStyleColBandSize w:val="1"/>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DFD8E8"/>
    </w:tblPr>
    <w:tcPr>
      <w:shd w:val="clear" w:color="auto" w:fill="DFD8E8"/>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8064A2"/>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8064A2"/>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8064A2"/>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8064A2"/>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BFB1D0"/>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BFB1D0"/>
      </w:tcPr>
    </w:tblStylePr>
  </w:style>
  <w:style w:type="table" w:styleId="MediumGrid3-Accent5">
    <w:name w:val="Medium Grid 3 Accent 5"/>
    <w:basedOn w:val="TableNormal"/>
    <w:uiPriority w:val="69"/>
    <w:tblPr>
      <w:tblStyleRowBandSize w:val="1"/>
      <w:tblStyleColBandSize w:val="1"/>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D2EAF1"/>
    </w:tblPr>
    <w:tcPr>
      <w:shd w:val="clear" w:color="auto" w:fill="D2EAF1"/>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4BACC6"/>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4BACC6"/>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4BACC6"/>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4BACC6"/>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A5D5E2"/>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A5D5E2"/>
      </w:tcPr>
    </w:tblStylePr>
  </w:style>
  <w:style w:type="table" w:styleId="MediumGrid3-Accent6">
    <w:name w:val="Medium Grid 3 Accent 6"/>
    <w:basedOn w:val="TableNormal"/>
    <w:uiPriority w:val="69"/>
    <w:tblPr>
      <w:tblStyleRowBandSize w:val="1"/>
      <w:tblStyleColBandSize w:val="1"/>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FDE4D0"/>
    </w:tblPr>
    <w:tcPr>
      <w:shd w:val="clear" w:color="auto" w:fill="FDE4D0"/>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F79646"/>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F79646"/>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F79646"/>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F79646"/>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FBCAA2"/>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FBCAA2"/>
      </w:tcPr>
    </w:tblStylePr>
  </w:style>
  <w:style w:type="character" w:styleId="UnresolvedMention">
    <w:name w:val="Unresolved Mention"/>
    <w:basedOn w:val="DefaultParagraphFont"/>
    <w:uiPriority w:val="99"/>
    <w:semiHidden/>
    <w:unhideWhenUsed/>
    <w:rsid w:val="008C326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001382">
      <w:bodyDiv w:val="1"/>
      <w:marLeft w:val="0"/>
      <w:marRight w:val="0"/>
      <w:marTop w:val="0"/>
      <w:marBottom w:val="0"/>
      <w:divBdr>
        <w:top w:val="none" w:sz="0" w:space="0" w:color="auto"/>
        <w:left w:val="none" w:sz="0" w:space="0" w:color="auto"/>
        <w:bottom w:val="none" w:sz="0" w:space="0" w:color="auto"/>
        <w:right w:val="none" w:sz="0" w:space="0" w:color="auto"/>
      </w:divBdr>
    </w:div>
    <w:div w:id="225603189">
      <w:bodyDiv w:val="1"/>
      <w:marLeft w:val="0"/>
      <w:marRight w:val="0"/>
      <w:marTop w:val="0"/>
      <w:marBottom w:val="0"/>
      <w:divBdr>
        <w:top w:val="none" w:sz="0" w:space="0" w:color="auto"/>
        <w:left w:val="none" w:sz="0" w:space="0" w:color="auto"/>
        <w:bottom w:val="none" w:sz="0" w:space="0" w:color="auto"/>
        <w:right w:val="none" w:sz="0" w:space="0" w:color="auto"/>
      </w:divBdr>
      <w:divsChild>
        <w:div w:id="1052120216">
          <w:marLeft w:val="0"/>
          <w:marRight w:val="0"/>
          <w:marTop w:val="0"/>
          <w:marBottom w:val="0"/>
          <w:divBdr>
            <w:top w:val="none" w:sz="0" w:space="0" w:color="auto"/>
            <w:left w:val="none" w:sz="0" w:space="0" w:color="auto"/>
            <w:bottom w:val="none" w:sz="0" w:space="0" w:color="auto"/>
            <w:right w:val="none" w:sz="0" w:space="0" w:color="auto"/>
          </w:divBdr>
        </w:div>
      </w:divsChild>
    </w:div>
    <w:div w:id="244194912">
      <w:bodyDiv w:val="1"/>
      <w:marLeft w:val="0"/>
      <w:marRight w:val="0"/>
      <w:marTop w:val="0"/>
      <w:marBottom w:val="0"/>
      <w:divBdr>
        <w:top w:val="none" w:sz="0" w:space="0" w:color="auto"/>
        <w:left w:val="none" w:sz="0" w:space="0" w:color="auto"/>
        <w:bottom w:val="none" w:sz="0" w:space="0" w:color="auto"/>
        <w:right w:val="none" w:sz="0" w:space="0" w:color="auto"/>
      </w:divBdr>
    </w:div>
    <w:div w:id="367222658">
      <w:bodyDiv w:val="1"/>
      <w:marLeft w:val="0"/>
      <w:marRight w:val="0"/>
      <w:marTop w:val="0"/>
      <w:marBottom w:val="0"/>
      <w:divBdr>
        <w:top w:val="none" w:sz="0" w:space="0" w:color="auto"/>
        <w:left w:val="none" w:sz="0" w:space="0" w:color="auto"/>
        <w:bottom w:val="none" w:sz="0" w:space="0" w:color="auto"/>
        <w:right w:val="none" w:sz="0" w:space="0" w:color="auto"/>
      </w:divBdr>
    </w:div>
    <w:div w:id="566915561">
      <w:bodyDiv w:val="1"/>
      <w:marLeft w:val="0"/>
      <w:marRight w:val="0"/>
      <w:marTop w:val="0"/>
      <w:marBottom w:val="0"/>
      <w:divBdr>
        <w:top w:val="none" w:sz="0" w:space="0" w:color="auto"/>
        <w:left w:val="none" w:sz="0" w:space="0" w:color="auto"/>
        <w:bottom w:val="none" w:sz="0" w:space="0" w:color="auto"/>
        <w:right w:val="none" w:sz="0" w:space="0" w:color="auto"/>
      </w:divBdr>
    </w:div>
    <w:div w:id="633560968">
      <w:bodyDiv w:val="1"/>
      <w:marLeft w:val="0"/>
      <w:marRight w:val="0"/>
      <w:marTop w:val="0"/>
      <w:marBottom w:val="0"/>
      <w:divBdr>
        <w:top w:val="none" w:sz="0" w:space="0" w:color="auto"/>
        <w:left w:val="none" w:sz="0" w:space="0" w:color="auto"/>
        <w:bottom w:val="none" w:sz="0" w:space="0" w:color="auto"/>
        <w:right w:val="none" w:sz="0" w:space="0" w:color="auto"/>
      </w:divBdr>
    </w:div>
    <w:div w:id="924803493">
      <w:bodyDiv w:val="1"/>
      <w:marLeft w:val="0"/>
      <w:marRight w:val="0"/>
      <w:marTop w:val="0"/>
      <w:marBottom w:val="0"/>
      <w:divBdr>
        <w:top w:val="none" w:sz="0" w:space="0" w:color="auto"/>
        <w:left w:val="none" w:sz="0" w:space="0" w:color="auto"/>
        <w:bottom w:val="none" w:sz="0" w:space="0" w:color="auto"/>
        <w:right w:val="none" w:sz="0" w:space="0" w:color="auto"/>
      </w:divBdr>
    </w:div>
    <w:div w:id="1069040984">
      <w:bodyDiv w:val="1"/>
      <w:marLeft w:val="0"/>
      <w:marRight w:val="0"/>
      <w:marTop w:val="0"/>
      <w:marBottom w:val="0"/>
      <w:divBdr>
        <w:top w:val="none" w:sz="0" w:space="0" w:color="auto"/>
        <w:left w:val="none" w:sz="0" w:space="0" w:color="auto"/>
        <w:bottom w:val="none" w:sz="0" w:space="0" w:color="auto"/>
        <w:right w:val="none" w:sz="0" w:space="0" w:color="auto"/>
      </w:divBdr>
    </w:div>
    <w:div w:id="1250457841">
      <w:bodyDiv w:val="1"/>
      <w:marLeft w:val="0"/>
      <w:marRight w:val="0"/>
      <w:marTop w:val="0"/>
      <w:marBottom w:val="0"/>
      <w:divBdr>
        <w:top w:val="none" w:sz="0" w:space="0" w:color="auto"/>
        <w:left w:val="none" w:sz="0" w:space="0" w:color="auto"/>
        <w:bottom w:val="none" w:sz="0" w:space="0" w:color="auto"/>
        <w:right w:val="none" w:sz="0" w:space="0" w:color="auto"/>
      </w:divBdr>
    </w:div>
    <w:div w:id="1291009149">
      <w:bodyDiv w:val="1"/>
      <w:marLeft w:val="0"/>
      <w:marRight w:val="0"/>
      <w:marTop w:val="0"/>
      <w:marBottom w:val="0"/>
      <w:divBdr>
        <w:top w:val="none" w:sz="0" w:space="0" w:color="auto"/>
        <w:left w:val="none" w:sz="0" w:space="0" w:color="auto"/>
        <w:bottom w:val="none" w:sz="0" w:space="0" w:color="auto"/>
        <w:right w:val="none" w:sz="0" w:space="0" w:color="auto"/>
      </w:divBdr>
    </w:div>
    <w:div w:id="1431927679">
      <w:bodyDiv w:val="1"/>
      <w:marLeft w:val="0"/>
      <w:marRight w:val="0"/>
      <w:marTop w:val="0"/>
      <w:marBottom w:val="0"/>
      <w:divBdr>
        <w:top w:val="none" w:sz="0" w:space="0" w:color="auto"/>
        <w:left w:val="none" w:sz="0" w:space="0" w:color="auto"/>
        <w:bottom w:val="none" w:sz="0" w:space="0" w:color="auto"/>
        <w:right w:val="none" w:sz="0" w:space="0" w:color="auto"/>
      </w:divBdr>
    </w:div>
    <w:div w:id="1491091501">
      <w:bodyDiv w:val="1"/>
      <w:marLeft w:val="0"/>
      <w:marRight w:val="0"/>
      <w:marTop w:val="0"/>
      <w:marBottom w:val="0"/>
      <w:divBdr>
        <w:top w:val="none" w:sz="0" w:space="0" w:color="auto"/>
        <w:left w:val="none" w:sz="0" w:space="0" w:color="auto"/>
        <w:bottom w:val="none" w:sz="0" w:space="0" w:color="auto"/>
        <w:right w:val="none" w:sz="0" w:space="0" w:color="auto"/>
      </w:divBdr>
    </w:div>
    <w:div w:id="1531143318">
      <w:bodyDiv w:val="1"/>
      <w:marLeft w:val="0"/>
      <w:marRight w:val="0"/>
      <w:marTop w:val="0"/>
      <w:marBottom w:val="0"/>
      <w:divBdr>
        <w:top w:val="none" w:sz="0" w:space="0" w:color="auto"/>
        <w:left w:val="none" w:sz="0" w:space="0" w:color="auto"/>
        <w:bottom w:val="none" w:sz="0" w:space="0" w:color="auto"/>
        <w:right w:val="none" w:sz="0" w:space="0" w:color="auto"/>
      </w:divBdr>
    </w:div>
    <w:div w:id="1688363327">
      <w:bodyDiv w:val="1"/>
      <w:marLeft w:val="0"/>
      <w:marRight w:val="0"/>
      <w:marTop w:val="0"/>
      <w:marBottom w:val="0"/>
      <w:divBdr>
        <w:top w:val="none" w:sz="0" w:space="0" w:color="auto"/>
        <w:left w:val="none" w:sz="0" w:space="0" w:color="auto"/>
        <w:bottom w:val="none" w:sz="0" w:space="0" w:color="auto"/>
        <w:right w:val="none" w:sz="0" w:space="0" w:color="auto"/>
      </w:divBdr>
    </w:div>
    <w:div w:id="1845783780">
      <w:bodyDiv w:val="1"/>
      <w:marLeft w:val="0"/>
      <w:marRight w:val="0"/>
      <w:marTop w:val="0"/>
      <w:marBottom w:val="0"/>
      <w:divBdr>
        <w:top w:val="none" w:sz="0" w:space="0" w:color="auto"/>
        <w:left w:val="none" w:sz="0" w:space="0" w:color="auto"/>
        <w:bottom w:val="none" w:sz="0" w:space="0" w:color="auto"/>
        <w:right w:val="none" w:sz="0" w:space="0" w:color="auto"/>
      </w:divBdr>
    </w:div>
    <w:div w:id="1904487345">
      <w:bodyDiv w:val="1"/>
      <w:marLeft w:val="0"/>
      <w:marRight w:val="0"/>
      <w:marTop w:val="0"/>
      <w:marBottom w:val="0"/>
      <w:divBdr>
        <w:top w:val="none" w:sz="0" w:space="0" w:color="auto"/>
        <w:left w:val="none" w:sz="0" w:space="0" w:color="auto"/>
        <w:bottom w:val="none" w:sz="0" w:space="0" w:color="auto"/>
        <w:right w:val="none" w:sz="0" w:space="0" w:color="auto"/>
      </w:divBdr>
    </w:div>
    <w:div w:id="205654156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konami.com/corporate/en/history/"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trepo.tuni.fi//handle/123456789/20996"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fernfortuniversity.com/term-papers/swot/nyse/6656-konami-holdings-corporation.php"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gamesindustry.biz/what-is-happening-at-konami" TargetMode="External"/><Relationship Id="rId4" Type="http://schemas.openxmlformats.org/officeDocument/2006/relationships/settings" Target="settings.xml"/><Relationship Id="rId9" Type="http://schemas.openxmlformats.org/officeDocument/2006/relationships/hyperlink" Target="https://www.konami.com/ir/en/financialinfo/"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jLiDde54eI0Lvh1qfCSS7Y9JZvcw==">AMUW2mVleYWUQmRZaTY0wtiO3rhvK1Dq+TrVUGtLmxEWOEQicb1iBejz4+2yiyFx++ZhXTpo1XQOjJgMRjSzFdANIhhniBImqYQOBbRROI0my3kcs+U3DxkkTHtexuvADt0DyWYyu8TY</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21</Pages>
  <Words>5337</Words>
  <Characters>30427</Characters>
  <Application>Microsoft Office Word</Application>
  <DocSecurity>4</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diakov.net</Company>
  <LinksUpToDate>false</LinksUpToDate>
  <CharactersWithSpaces>35693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Nishi Ramsurrun</dc:creator>
  <cp:lastModifiedBy>Eliane Mukeba (Institute of Inner City Learning)</cp:lastModifiedBy>
  <cp:revision>2</cp:revision>
  <dcterms:created xsi:type="dcterms:W3CDTF">2024-04-29T13:40:00Z</dcterms:created>
  <dcterms:modified xsi:type="dcterms:W3CDTF">2024-04-29T13:40:00Z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6a305618aa26482e966ea47ce5a13be2</vt:lpwstr>
  </property>
</Properties>
</file>