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C057624" w:rsidR="00DD5969" w:rsidRPr="00353860" w:rsidRDefault="00DD5969" w:rsidP="00DD5969">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095D05C6" w:rsidRPr="00353860">
        <w:rPr>
          <w:rFonts w:ascii="Arial"/>
          <w:b/>
          <w:bCs/>
          <w:sz w:val="48"/>
          <w:szCs w:val="48"/>
          <w:lang w:val="fr-FR"/>
        </w:rPr>
        <w:t xml:space="preserve"> </w:t>
      </w:r>
      <w:r w:rsidR="00545AD7" w:rsidRPr="00353860">
        <w:rPr>
          <w:rFonts w:ascii="Arial"/>
          <w:b/>
          <w:bCs/>
          <w:sz w:val="40"/>
          <w:szCs w:val="40"/>
          <w:lang w:val="fr-FR"/>
        </w:rPr>
        <w:t>EC</w:t>
      </w:r>
      <w:r w:rsidR="00393B92">
        <w:rPr>
          <w:rFonts w:ascii="Arial"/>
          <w:b/>
          <w:bCs/>
          <w:sz w:val="40"/>
          <w:szCs w:val="40"/>
          <w:lang w:val="fr-FR"/>
        </w:rPr>
        <w:t>P</w:t>
      </w:r>
      <w:r w:rsidR="00F540D5">
        <w:rPr>
          <w:rFonts w:ascii="Arial"/>
          <w:b/>
          <w:bCs/>
          <w:sz w:val="40"/>
          <w:szCs w:val="40"/>
          <w:lang w:val="fr-FR"/>
        </w:rPr>
        <w:t>T6003</w:t>
      </w:r>
      <w:r w:rsidR="00A6013A" w:rsidRPr="00353860">
        <w:rPr>
          <w:rFonts w:ascii="Arial"/>
          <w:b/>
          <w:bCs/>
          <w:sz w:val="40"/>
          <w:szCs w:val="40"/>
          <w:lang w:val="fr-FR"/>
        </w:rPr>
        <w:t xml:space="preserve"> </w:t>
      </w:r>
    </w:p>
    <w:p w14:paraId="5051A2D5" w14:textId="77777777" w:rsidR="00347EA1" w:rsidRPr="00353860" w:rsidRDefault="00347EA1" w:rsidP="00DD5969">
      <w:pPr>
        <w:spacing w:before="212"/>
        <w:rPr>
          <w:rFonts w:ascii="Arial"/>
          <w:b/>
          <w:sz w:val="48"/>
          <w:szCs w:val="48"/>
          <w:lang w:val="fr-FR"/>
        </w:rPr>
      </w:pPr>
    </w:p>
    <w:p w14:paraId="52D012F0" w14:textId="049F757B"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Pr</w:t>
      </w:r>
      <w:r w:rsidR="00457AD8">
        <w:rPr>
          <w:rFonts w:ascii="Arial"/>
          <w:b/>
          <w:bCs/>
          <w:sz w:val="40"/>
          <w:szCs w:val="40"/>
        </w:rPr>
        <w:t>ofessional</w:t>
      </w:r>
      <w:r w:rsidR="00353860" w:rsidRPr="00353860">
        <w:rPr>
          <w:rFonts w:ascii="Arial"/>
          <w:b/>
          <w:bCs/>
          <w:sz w:val="40"/>
          <w:szCs w:val="40"/>
        </w:rPr>
        <w:t xml:space="preserve"> </w:t>
      </w:r>
      <w:r w:rsidR="00307139">
        <w:rPr>
          <w:rFonts w:ascii="Arial"/>
          <w:b/>
          <w:bCs/>
          <w:sz w:val="40"/>
          <w:szCs w:val="40"/>
        </w:rPr>
        <w:t>Observation</w:t>
      </w:r>
    </w:p>
    <w:p w14:paraId="6AA1A7DC" w14:textId="77777777" w:rsidR="00DD5969" w:rsidRPr="00353860" w:rsidRDefault="00DD5969" w:rsidP="00DD5969">
      <w:pPr>
        <w:spacing w:before="7"/>
        <w:jc w:val="center"/>
        <w:rPr>
          <w:rFonts w:ascii="Arial"/>
          <w:b/>
          <w:sz w:val="44"/>
        </w:rPr>
      </w:pPr>
    </w:p>
    <w:p w14:paraId="7681432B" w14:textId="37B74849" w:rsidR="00DD5969" w:rsidRPr="00DD5969" w:rsidRDefault="00DD5969" w:rsidP="00DD5969">
      <w:pPr>
        <w:spacing w:before="3"/>
        <w:rPr>
          <w:rFonts w:ascii="Arial"/>
          <w:b/>
          <w:sz w:val="48"/>
          <w:szCs w:val="48"/>
        </w:rPr>
      </w:pPr>
      <w:r w:rsidRPr="00DD5969">
        <w:rPr>
          <w:rFonts w:ascii="Arial"/>
          <w:b/>
          <w:sz w:val="48"/>
          <w:szCs w:val="48"/>
        </w:rPr>
        <w:t>STUDENT NAME:</w:t>
      </w:r>
      <w:r w:rsidR="0051629D">
        <w:rPr>
          <w:rFonts w:ascii="Arial"/>
          <w:b/>
          <w:sz w:val="48"/>
          <w:szCs w:val="48"/>
        </w:rPr>
        <w:t xml:space="preserve"> Tracy Linsey</w:t>
      </w:r>
    </w:p>
    <w:p w14:paraId="0D16D138" w14:textId="77777777" w:rsidR="00DD5969" w:rsidRPr="00DD5969" w:rsidRDefault="00DD5969" w:rsidP="00DD5969">
      <w:pPr>
        <w:spacing w:before="3"/>
        <w:rPr>
          <w:rFonts w:ascii="Arial"/>
          <w:b/>
          <w:sz w:val="48"/>
          <w:szCs w:val="48"/>
        </w:rPr>
      </w:pPr>
    </w:p>
    <w:p w14:paraId="18107AFF" w14:textId="313B4B92"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51629D">
        <w:rPr>
          <w:rFonts w:ascii="Arial"/>
          <w:b/>
          <w:sz w:val="48"/>
          <w:szCs w:val="48"/>
        </w:rPr>
        <w:t xml:space="preserve"> 1908007</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8280710" w14:textId="6AA23995" w:rsidR="00E243A8" w:rsidRPr="00C2550A" w:rsidRDefault="00E243A8" w:rsidP="00DD5969">
      <w:pPr>
        <w:rPr>
          <w:b/>
          <w:bCs/>
        </w:rPr>
      </w:pPr>
      <w:r w:rsidRPr="00C2550A">
        <w:rPr>
          <w:b/>
          <w:bCs/>
        </w:rPr>
        <w:t>OR:</w:t>
      </w:r>
    </w:p>
    <w:p w14:paraId="35F8404C" w14:textId="77777777" w:rsidR="00E243A8" w:rsidRDefault="00E243A8" w:rsidP="00DD5969"/>
    <w:p w14:paraId="44C358F6" w14:textId="5058D5CB" w:rsidR="00DD5969" w:rsidRPr="00DD5969" w:rsidRDefault="00DD5969" w:rsidP="00981C96">
      <w:pPr>
        <w:spacing w:line="360" w:lineRule="auto"/>
      </w:pPr>
      <w:r w:rsidRPr="00DD5969">
        <w:t>I acknowledge the use of [</w:t>
      </w:r>
      <w:proofErr w:type="spellStart"/>
      <w:r w:rsidR="002C6439">
        <w:t>grammerly</w:t>
      </w:r>
      <w:proofErr w:type="spellEnd"/>
      <w:r w:rsidRPr="00DD5969">
        <w:t>] [(</w:t>
      </w:r>
      <w:r w:rsidR="009C14CC" w:rsidRPr="009C14CC">
        <w:t>https://www.grammarly.com/</w:t>
      </w:r>
      <w:r w:rsidRPr="00DD5969">
        <w:t>)] on [</w:t>
      </w:r>
      <w:r w:rsidR="000074B5">
        <w:t>06/02/2025</w:t>
      </w:r>
      <w:r w:rsidRPr="00DD5969">
        <w:t>] to [</w:t>
      </w:r>
      <w:r w:rsidR="00981C96">
        <w:t>readability</w:t>
      </w:r>
      <w:r w:rsidR="002E6F4E">
        <w:t>, grammar, syntax</w:t>
      </w:r>
      <w:r w:rsidRPr="00DD5969">
        <w:t xml:space="preserve">]. I used the prompt(s): </w:t>
      </w:r>
    </w:p>
    <w:p w14:paraId="15389F66" w14:textId="04E88864" w:rsidR="00DD5969" w:rsidRPr="00DD5969" w:rsidRDefault="00DD5969" w:rsidP="00DD5969">
      <w:r w:rsidRPr="00DD5969">
        <w:t>1. [</w:t>
      </w:r>
      <w:r w:rsidR="004F228A">
        <w:t>R</w:t>
      </w:r>
      <w:r w:rsidR="004F228A" w:rsidRPr="004F228A">
        <w:t>eadability</w:t>
      </w:r>
      <w:r w:rsidRPr="00DD5969">
        <w:t>]</w:t>
      </w:r>
    </w:p>
    <w:p w14:paraId="3847D137" w14:textId="6FC75547" w:rsidR="00DD5969" w:rsidRPr="00DD5969" w:rsidRDefault="00DD5969" w:rsidP="00DD5969">
      <w:r w:rsidRPr="00DD5969">
        <w:t>2. [</w:t>
      </w:r>
      <w:r w:rsidR="004F228A">
        <w:t>Grammer</w:t>
      </w:r>
      <w:r w:rsidRPr="00DD5969">
        <w:t xml:space="preserve">] </w:t>
      </w:r>
    </w:p>
    <w:p w14:paraId="35F2F4DA" w14:textId="0C4CFAD7" w:rsidR="00DD5969" w:rsidRPr="00DD5969" w:rsidRDefault="00DD5969" w:rsidP="00DD5969">
      <w:r w:rsidRPr="00DD5969">
        <w:t>3. [</w:t>
      </w:r>
      <w:r w:rsidR="004F228A">
        <w:t>Syntax</w:t>
      </w:r>
      <w:r w:rsidRPr="00DD5969">
        <w:t xml:space="preserve">] </w:t>
      </w:r>
    </w:p>
    <w:p w14:paraId="4008D193" w14:textId="77777777" w:rsidR="00E243A8" w:rsidRDefault="00DD5969" w:rsidP="00DD5969">
      <w:r w:rsidRPr="00DD5969">
        <w:t xml:space="preserve">I confirm that I have not presented any AI generated text as my own work. </w:t>
      </w:r>
    </w:p>
    <w:p w14:paraId="44A8291C" w14:textId="080D3142" w:rsidR="00DD5969"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31507470" w14:textId="77777777" w:rsidR="00C2550A" w:rsidRDefault="00C2550A" w:rsidP="00DD5969"/>
    <w:p w14:paraId="3DED3071" w14:textId="7E5C4BDE" w:rsidR="00E10797" w:rsidRPr="00C2550A" w:rsidRDefault="00B724BB" w:rsidP="00E10797">
      <w:r>
        <w:t>Please r</w:t>
      </w:r>
      <w:r w:rsidR="00E10797" w:rsidRPr="00C2550A">
        <w:t>efer to the next page for examples.</w:t>
      </w:r>
    </w:p>
    <w:p w14:paraId="4F6824F5" w14:textId="1A1CAB21" w:rsidR="00E10797" w:rsidRPr="00C2550A" w:rsidRDefault="00E10797" w:rsidP="00E10797">
      <w:r w:rsidRPr="00C2550A">
        <w:t>Prior to submission of your assignment, please delete any information</w:t>
      </w:r>
      <w:r w:rsidR="000C541C">
        <w:t xml:space="preserve"> on these pages</w:t>
      </w:r>
      <w:r w:rsidRPr="00C2550A">
        <w:t xml:space="preserve"> that is not relevant to your submission</w:t>
      </w:r>
      <w:r w:rsidR="000C541C">
        <w:t>, including the examples given below.</w:t>
      </w:r>
    </w:p>
    <w:p w14:paraId="061710D3" w14:textId="77777777" w:rsidR="00E10797" w:rsidRDefault="00E10797" w:rsidP="00DD5969"/>
    <w:p w14:paraId="5C1162E5" w14:textId="20D100B4" w:rsidR="0053246E" w:rsidRDefault="0053246E" w:rsidP="00DD5969"/>
    <w:p w14:paraId="204C9F18" w14:textId="0C5C1D4D" w:rsidR="0053246E" w:rsidRDefault="0053246E" w:rsidP="00DD5969"/>
    <w:p w14:paraId="6D802E54" w14:textId="526CF9C8" w:rsidR="0053246E" w:rsidRDefault="0053246E" w:rsidP="00DD5969"/>
    <w:p w14:paraId="1113C735" w14:textId="77777777" w:rsidR="0053246E" w:rsidRDefault="0053246E" w:rsidP="00DD5969"/>
    <w:p w14:paraId="5DF01135" w14:textId="77777777" w:rsidR="00D405BB" w:rsidRDefault="00D405BB" w:rsidP="00DD5969"/>
    <w:p w14:paraId="7E6BA84B"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lastRenderedPageBreak/>
        <w:t>This essay explores the valuable insights I gained from observing two teaching approaches in educational studies classes. These observations focused on Miss Johnson's lesson on lesson planning and Mr Thompson's lesson on wellbeing in education. Each observation, lasting three hours, provided insights into effective teaching practices, classroom management strategies, and student engagement techniques that will inform my future career as a teacher. By examining these teaching styles, I aim to identify best practices to incorporate into my own teaching. This essay will discuss key aspects of each observation, including the classroom environment, teaching strategies, and student engagement techniques while reflecting on their alignment with educational theories and how I might apply these insights to my own teaching. Through this analysis, I will explore how these observations have enhanced my understanding of effective teaching and how I plan to implement these insights in my future practice.</w:t>
      </w:r>
    </w:p>
    <w:p w14:paraId="03244E98" w14:textId="77777777" w:rsidR="00246B9E" w:rsidRPr="00246B9E" w:rsidRDefault="00246B9E" w:rsidP="00246B9E">
      <w:pPr>
        <w:spacing w:line="360" w:lineRule="auto"/>
        <w:rPr>
          <w:rFonts w:ascii="Calibri" w:eastAsiaTheme="minorHAnsi" w:hAnsi="Calibri" w:cs="Calibri"/>
          <w:b/>
          <w:bCs/>
          <w:u w:val="single"/>
          <w:lang w:eastAsia="en-US"/>
        </w:rPr>
      </w:pPr>
      <w:r w:rsidRPr="00246B9E">
        <w:rPr>
          <w:rFonts w:ascii="Calibri" w:eastAsiaTheme="minorHAnsi" w:hAnsi="Calibri" w:cs="Calibri"/>
          <w:b/>
          <w:bCs/>
          <w:u w:val="single"/>
          <w:lang w:eastAsia="en-US"/>
        </w:rPr>
        <w:t>Observation of Miss Johnson's class</w:t>
      </w:r>
    </w:p>
    <w:p w14:paraId="22E7CEC0"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Observing Miss Johnson's educational studies class gave me valuable insights into effective teaching practices, which I can reflect upon and adapt for my future teaching career. Her approach to classroom layout, lesson delivery, student engagement, and reflective practice demonstrated thoughtful, research-informed teaching that I aspire to emulate.</w:t>
      </w:r>
    </w:p>
    <w:p w14:paraId="31F351B4"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Upon entering Miss Johnson's classroom, I noticed the traditional layout of tables and chairs facing the teacher and the whiteboard. While such arrangements are sometimes criticised for promoting passive learning (Rands and Gansemer-Topf, 2017), in this context, they proved effective. The setup allowed Miss Johnson to maintain eye contact with all students and facilitated direct instruction and individual work. This aligns with the findings of Wannarka and Ruhl (2008), which show how traditional layouts can support specific teaching styles and contribute to achieving desired learning outcomes. In my future teaching practice, I would consider using this layout when individual work or direct instruction is central to the lesson objectives.</w:t>
      </w:r>
    </w:p>
    <w:p w14:paraId="5E92287A"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Classroom management was an area where Miss Johnson excelled. She maintained a positive and focused learning atmosphere throughout the three-hour lesson by effectively managing time and smoothly transitioning between activities (Race, 2015, p. 164). When minor disruptions, such as late arrivals or technical issues with the projector, occurred, she </w:t>
      </w:r>
      <w:r w:rsidRPr="00246B9E">
        <w:rPr>
          <w:rFonts w:ascii="Calibri" w:eastAsiaTheme="minorHAnsi" w:hAnsi="Calibri" w:cs="Calibri"/>
          <w:lang w:eastAsia="en-US"/>
        </w:rPr>
        <w:lastRenderedPageBreak/>
        <w:t xml:space="preserve">handled them calmly and efficiently, minimising their impact on the flow of the lesson (Race, 2015, p. 178). This balanced approach demonstrated her ability to maintain structure while adapting to unforeseen challenges. Additionally, her approachable demeanour encouraged student participation while fostering positive teacher-student relationships, which is essential in promoting engagement and achievement (Roorda </w:t>
      </w:r>
      <w:r w:rsidRPr="00246B9E">
        <w:rPr>
          <w:rFonts w:ascii="Calibri" w:eastAsiaTheme="minorHAnsi" w:hAnsi="Calibri" w:cs="Calibri"/>
          <w:i/>
          <w:iCs/>
          <w:lang w:eastAsia="en-US"/>
        </w:rPr>
        <w:t>et a</w:t>
      </w:r>
      <w:r w:rsidRPr="00246B9E">
        <w:rPr>
          <w:rFonts w:ascii="Calibri" w:eastAsiaTheme="minorHAnsi" w:hAnsi="Calibri" w:cs="Calibri"/>
          <w:lang w:eastAsia="en-US"/>
        </w:rPr>
        <w:t xml:space="preserve">l., 2011). These observations highlighted how strong organisational </w:t>
      </w:r>
      <w:proofErr w:type="gramStart"/>
      <w:r w:rsidRPr="00246B9E">
        <w:rPr>
          <w:rFonts w:ascii="Calibri" w:eastAsiaTheme="minorHAnsi" w:hAnsi="Calibri" w:cs="Calibri"/>
          <w:lang w:eastAsia="en-US"/>
        </w:rPr>
        <w:t>skills</w:t>
      </w:r>
      <w:proofErr w:type="gramEnd"/>
      <w:r w:rsidRPr="00246B9E">
        <w:rPr>
          <w:rFonts w:ascii="Calibri" w:eastAsiaTheme="minorHAnsi" w:hAnsi="Calibri" w:cs="Calibri"/>
          <w:lang w:eastAsia="en-US"/>
        </w:rPr>
        <w:t xml:space="preserve"> and meaningful interpersonal connections create a supportive environment where students feel motivated and engaged.</w:t>
      </w:r>
    </w:p>
    <w:p w14:paraId="2827B21A"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Miss Johnson began the lesson by clearly stating the objectives, which focused on effective lesson planning techniques. This approach reflects Hattie's (2012) research on visible learning, emphasising the importance of clear learning intentions. She connected these objectives to the students' future teaching careers, demonstrating the relevance of knowledge, which is a key principle in adult education (Knowles, Holton and Swanson, 2015). This practice resonated with me as it highlighted the importance of making content meaningful for students. In my teaching career, I plan to adopt this strategy to ensure students understand the purpose of their learning and how it applies to their lives.</w:t>
      </w:r>
    </w:p>
    <w:p w14:paraId="15E86ADC"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One particularly engaging aspect of Miss Johnson's lesson was her use of a story sack to demonstrate lesson planning and delivery techniques. This hands-on activity exemplified Kolb's (2015) Experiential Learning Theory, which emphasises the role of concrete experiences in the learning process. It also reflects Race's (2015) emphasis on "learning by doing" as a crucial factor in successful learning. I observed how this activity significantly increased student engagement, with many actively participating in the lesson-planning process. This reinforced my belief in incorporating interactive and experiential activities into my lessons to enhance student involvement and understanding.</w:t>
      </w:r>
    </w:p>
    <w:p w14:paraId="1058447B"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Throughout the lesson, Miss Johnson employed various strategies to maintain high levels of student engagement. She frequently used open-ended questions that addressed different levels of Bloom's revised taxonomy, from remembering and understanding to analysing and evaluating (Krathwohl, 2002). Additionally, she implemented think-pair-share activities to encourage peer discussion and foster deeper understanding through collaboration. These strategies align with research suggesting that active learning promotes better retention and comprehension of course material (Freeman </w:t>
      </w:r>
      <w:r w:rsidRPr="00246B9E">
        <w:rPr>
          <w:rFonts w:ascii="Calibri" w:eastAsiaTheme="minorHAnsi" w:hAnsi="Calibri" w:cs="Calibri"/>
          <w:i/>
          <w:iCs/>
          <w:lang w:eastAsia="en-US"/>
        </w:rPr>
        <w:t>et al</w:t>
      </w:r>
      <w:r w:rsidRPr="00246B9E">
        <w:rPr>
          <w:rFonts w:ascii="Calibri" w:eastAsiaTheme="minorHAnsi" w:hAnsi="Calibri" w:cs="Calibri"/>
          <w:lang w:eastAsia="en-US"/>
        </w:rPr>
        <w:t xml:space="preserve">., 2014). When students were not engaging, she called on them by name, a personalised approach that ensured participation </w:t>
      </w:r>
      <w:r w:rsidRPr="00246B9E">
        <w:rPr>
          <w:rFonts w:ascii="Calibri" w:eastAsiaTheme="minorHAnsi" w:hAnsi="Calibri" w:cs="Calibri"/>
          <w:lang w:eastAsia="en-US"/>
        </w:rPr>
        <w:lastRenderedPageBreak/>
        <w:t xml:space="preserve">while fostering accountability and inclusivity within the classroom. Research supports this method as an effective way to increase engagement and create a more inclusive environment (Lisdawati </w:t>
      </w:r>
      <w:r w:rsidRPr="00246B9E">
        <w:rPr>
          <w:rFonts w:ascii="Calibri" w:eastAsiaTheme="minorHAnsi" w:hAnsi="Calibri" w:cs="Calibri"/>
          <w:i/>
          <w:iCs/>
          <w:lang w:eastAsia="en-US"/>
        </w:rPr>
        <w:t>et al.,</w:t>
      </w:r>
      <w:r w:rsidRPr="00246B9E">
        <w:rPr>
          <w:rFonts w:ascii="Calibri" w:eastAsiaTheme="minorHAnsi" w:hAnsi="Calibri" w:cs="Calibri"/>
          <w:lang w:eastAsia="en-US"/>
        </w:rPr>
        <w:t xml:space="preserve"> 2024). These observations have inspired me to prioritise active learning strategies in my future teaching practice.</w:t>
      </w:r>
    </w:p>
    <w:p w14:paraId="2547CBE5"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Miss Johnson also demonstrated attentiveness to her students' needs during the lesson. At one point, she noticed some students taking notes while she spoke. Recognising the importance of allowing time to process information, she paused her instruction to let them finish writing. This thoughtful action aligns with research on </w:t>
      </w:r>
      <w:proofErr w:type="gramStart"/>
      <w:r w:rsidRPr="00246B9E">
        <w:rPr>
          <w:rFonts w:ascii="Calibri" w:eastAsiaTheme="minorHAnsi" w:hAnsi="Calibri" w:cs="Calibri"/>
          <w:lang w:eastAsia="en-US"/>
        </w:rPr>
        <w:t>note-taking</w:t>
      </w:r>
      <w:proofErr w:type="gramEnd"/>
      <w:r w:rsidRPr="00246B9E">
        <w:rPr>
          <w:rFonts w:ascii="Calibri" w:eastAsiaTheme="minorHAnsi" w:hAnsi="Calibri" w:cs="Calibri"/>
          <w:lang w:eastAsia="en-US"/>
        </w:rPr>
        <w:t xml:space="preserve"> as a tool for enhancing learning and retention (Jansen </w:t>
      </w:r>
      <w:proofErr w:type="spellStart"/>
      <w:r w:rsidRPr="00246B9E">
        <w:rPr>
          <w:rFonts w:ascii="Calibri" w:eastAsiaTheme="minorHAnsi" w:hAnsi="Calibri" w:cs="Calibri"/>
          <w:lang w:eastAsia="en-US"/>
        </w:rPr>
        <w:t>Lakens</w:t>
      </w:r>
      <w:proofErr w:type="spellEnd"/>
      <w:r w:rsidRPr="00246B9E">
        <w:rPr>
          <w:rFonts w:ascii="Calibri" w:eastAsiaTheme="minorHAnsi" w:hAnsi="Calibri" w:cs="Calibri"/>
          <w:lang w:eastAsia="en-US"/>
        </w:rPr>
        <w:t xml:space="preserve"> and </w:t>
      </w:r>
      <w:proofErr w:type="spellStart"/>
      <w:r w:rsidRPr="00246B9E">
        <w:rPr>
          <w:rFonts w:ascii="Calibri" w:eastAsiaTheme="minorHAnsi" w:hAnsi="Calibri" w:cs="Calibri"/>
          <w:lang w:eastAsia="en-US"/>
        </w:rPr>
        <w:t>IJsselsteijn</w:t>
      </w:r>
      <w:proofErr w:type="spellEnd"/>
      <w:r w:rsidRPr="00246B9E">
        <w:rPr>
          <w:rFonts w:ascii="Calibri" w:eastAsiaTheme="minorHAnsi" w:hAnsi="Calibri" w:cs="Calibri"/>
          <w:lang w:eastAsia="en-US"/>
        </w:rPr>
        <w:t>, 2017). Furthermore, it reflects the Professional Standards for Wales (PSFW) emphasis on supporting learners based on their starting points and progression (Welsh Government, 2017). This moment highlighted the importance of being observant and responsive to students' needs in real-time, a practice I aim to incorporate into my own teaching.</w:t>
      </w:r>
    </w:p>
    <w:p w14:paraId="4E65E649"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Another significant aspect of Miss Johnson's teaching was her use of scaffolding techniques. Scaffolding involves providing temporary support to help students develop new skills or understanding before gradually reducing support as they gain competence (Wood, Bruner and Ross, 1976). For instance, when a student struggled to incorporate formative assessment into their lesson plan, Miss Johnson asked, 'What quick activities could you use to check if students are identifying the main ideas?' This practical question prompted the student to consider simple yet effective methods like mini-quizzes or group discussions. As the student became more confident in selecting appropriate assessment strategies, Miss Johnson gradually reduced her support, allowing the student to incorporate them into their lesson plans independently. This approach aligns with Vygotsky's (1978) concept of the zone of proximal development, where students are supported in achieving tasks just beyond their current capabilities. Research shows effective scaffolding enhances student engagement and promotes deeper understanding (van de Pol, Volman and </w:t>
      </w:r>
      <w:proofErr w:type="spellStart"/>
      <w:r w:rsidRPr="00246B9E">
        <w:rPr>
          <w:rFonts w:ascii="Calibri" w:eastAsiaTheme="minorHAnsi" w:hAnsi="Calibri" w:cs="Calibri"/>
          <w:lang w:eastAsia="en-US"/>
        </w:rPr>
        <w:t>Beishuizen</w:t>
      </w:r>
      <w:proofErr w:type="spellEnd"/>
      <w:r w:rsidRPr="00246B9E">
        <w:rPr>
          <w:rFonts w:ascii="Calibri" w:eastAsiaTheme="minorHAnsi" w:hAnsi="Calibri" w:cs="Calibri"/>
          <w:lang w:eastAsia="en-US"/>
        </w:rPr>
        <w:t>, 2010). Observing this technique reinforced my belief in providing structured support tailored to individual students' needs.</w:t>
      </w:r>
    </w:p>
    <w:p w14:paraId="36404D0C"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Towards the end of the lesson, Miss Johnson demonstrated self-awareness by acknowledging her oversight that she had forgotten to activate students' prior knowledge at the start of class. Rather than ignoring this mistake, she openly admitted it to her students, a </w:t>
      </w:r>
      <w:r w:rsidRPr="00246B9E">
        <w:rPr>
          <w:rFonts w:ascii="Calibri" w:eastAsiaTheme="minorHAnsi" w:hAnsi="Calibri" w:cs="Calibri"/>
          <w:lang w:eastAsia="en-US"/>
        </w:rPr>
        <w:lastRenderedPageBreak/>
        <w:t xml:space="preserve">transparent approach that aligns with research suggesting that teacher honesty can enhance trust and engagement (Vivekananda and Meenakshi, 2022). Activating prior knowledge is a crucial step in scaffolding new learning, as it helps students connect new information with existing knowledge, enhancing both understanding and retention (Ambrose </w:t>
      </w:r>
      <w:r w:rsidRPr="00246B9E">
        <w:rPr>
          <w:rFonts w:ascii="Calibri" w:eastAsiaTheme="minorHAnsi" w:hAnsi="Calibri" w:cs="Calibri"/>
          <w:i/>
          <w:iCs/>
          <w:lang w:eastAsia="en-US"/>
        </w:rPr>
        <w:t>et al</w:t>
      </w:r>
      <w:r w:rsidRPr="00246B9E">
        <w:rPr>
          <w:rFonts w:ascii="Calibri" w:eastAsiaTheme="minorHAnsi" w:hAnsi="Calibri" w:cs="Calibri"/>
          <w:lang w:eastAsia="en-US"/>
        </w:rPr>
        <w:t>., 2010). By modelling reflective practice through her admission, Miss Johnson emphasised the value of continual self-improvement, a principle I hope to embody in my own teaching career.</w:t>
      </w:r>
    </w:p>
    <w:p w14:paraId="5BD8869F" w14:textId="77777777" w:rsidR="00246B9E" w:rsidRPr="00246B9E" w:rsidRDefault="00246B9E" w:rsidP="00246B9E">
      <w:pPr>
        <w:spacing w:line="360" w:lineRule="auto"/>
        <w:rPr>
          <w:rFonts w:ascii="Calibri" w:eastAsiaTheme="minorHAnsi" w:hAnsi="Calibri" w:cs="Calibri"/>
          <w:b/>
          <w:bCs/>
          <w:u w:val="single"/>
          <w:lang w:eastAsia="en-US"/>
        </w:rPr>
      </w:pPr>
      <w:r w:rsidRPr="00246B9E">
        <w:rPr>
          <w:rFonts w:ascii="Calibri" w:eastAsiaTheme="minorHAnsi" w:hAnsi="Calibri" w:cs="Calibri"/>
          <w:b/>
          <w:bCs/>
          <w:u w:val="single"/>
          <w:lang w:eastAsia="en-US"/>
        </w:rPr>
        <w:t>Observation of Mr Thompson's class</w:t>
      </w:r>
    </w:p>
    <w:p w14:paraId="1CB1639F" w14:textId="77777777" w:rsidR="00246B9E" w:rsidRPr="00246B9E" w:rsidRDefault="00246B9E" w:rsidP="00246B9E">
      <w:pPr>
        <w:spacing w:line="360" w:lineRule="auto"/>
        <w:rPr>
          <w:rFonts w:ascii="Calibri" w:eastAsiaTheme="minorHAnsi" w:hAnsi="Calibri" w:cs="Calibri"/>
          <w:b/>
          <w:bCs/>
          <w:u w:val="single"/>
          <w:lang w:eastAsia="en-US"/>
        </w:rPr>
      </w:pPr>
      <w:r w:rsidRPr="00246B9E">
        <w:rPr>
          <w:rFonts w:ascii="Calibri" w:eastAsiaTheme="minorHAnsi" w:hAnsi="Calibri" w:cs="Calibri"/>
          <w:lang w:eastAsia="en-US"/>
        </w:rPr>
        <w:t>Following my observation of Miss Johnson's class, I had the opportunity to observe Mr Thompson's educational studies class, which provided a clear contrast in teaching styles and classroom environments. While both instructors demonstrated effective teaching practices, Mr Thompson's approach highlighted different aspects of student-centred learning and engagement.</w:t>
      </w:r>
    </w:p>
    <w:p w14:paraId="5C4786C7"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Upon entering Mr Thompson's classroom, I was immediately struck by the warm and welcoming environment he had established. He greeted each student personally as they arrived, showing a personal approach that Marzano, Marzano, and Pickering (2003) argue is essential for building positive teacher-student relationships. This initial interaction set a positive tone for the lesson and demonstrated the importance of establishing rapport with students. Research suggests that personalised interactions can improve student engagement and motivation (Roorda </w:t>
      </w:r>
      <w:r w:rsidRPr="00246B9E">
        <w:rPr>
          <w:rFonts w:ascii="Calibri" w:eastAsiaTheme="minorHAnsi" w:hAnsi="Calibri" w:cs="Calibri"/>
          <w:i/>
          <w:iCs/>
          <w:lang w:eastAsia="en-US"/>
        </w:rPr>
        <w:t>et al</w:t>
      </w:r>
      <w:r w:rsidRPr="00246B9E">
        <w:rPr>
          <w:rFonts w:ascii="Calibri" w:eastAsiaTheme="minorHAnsi" w:hAnsi="Calibri" w:cs="Calibri"/>
          <w:lang w:eastAsia="en-US"/>
        </w:rPr>
        <w:t>., 2011). In my own teaching, I plan to adopt similar strategies, such as greeting and interacting with students by their names.</w:t>
      </w:r>
    </w:p>
    <w:p w14:paraId="3F0A6D17"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The flexible seating arrangement in the classroom, where tables were grouped and distributed throughout the room to facilitate small group discussions, reflected Mr Thompson's student-centred approach that encouraged student collaboration and interaction (Poirier </w:t>
      </w:r>
      <w:r w:rsidRPr="00246B9E">
        <w:rPr>
          <w:rFonts w:ascii="Calibri" w:eastAsiaTheme="minorHAnsi" w:hAnsi="Calibri" w:cs="Calibri"/>
          <w:i/>
          <w:iCs/>
          <w:lang w:eastAsia="en-US"/>
        </w:rPr>
        <w:t>et al</w:t>
      </w:r>
      <w:r w:rsidRPr="00246B9E">
        <w:rPr>
          <w:rFonts w:ascii="Calibri" w:eastAsiaTheme="minorHAnsi" w:hAnsi="Calibri" w:cs="Calibri"/>
          <w:lang w:eastAsia="en-US"/>
        </w:rPr>
        <w:t xml:space="preserve">., 2022). Observing how students quickly transitioned between whole-class discussions and small group work inspired me to consider how I might incorporate flexible seating in my own classroom. Research supports the idea that flexible seating arrangements can enhance peer learning and foster active engagement (Rands &amp; Gansemer-Topf, 2017). While flexible seating offers many benefits, it may not be suitable for all students, particularly those needing more structure or have specific learning needs. With this consideration in mind, I plan to experiment with different seating layouts based on the </w:t>
      </w:r>
      <w:r w:rsidRPr="00246B9E">
        <w:rPr>
          <w:rFonts w:ascii="Calibri" w:eastAsiaTheme="minorHAnsi" w:hAnsi="Calibri" w:cs="Calibri"/>
          <w:lang w:eastAsia="en-US"/>
        </w:rPr>
        <w:lastRenderedPageBreak/>
        <w:t>objectives of my lessons to promote student interaction and collaborative learning while remaining mindful of individual student requirements.</w:t>
      </w:r>
    </w:p>
    <w:p w14:paraId="0E07DB4F"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Mr Thompson began the lesson with a brief recap of the previous lesson, effectively activating students' prior knowledge. This strategy aligns with Hattie's (2012) research on visible learning, which emphasises the importance of connecting new information to existing knowledge. Additionally, activating prior knowledge is crucial for scaffolding new learning (Ambrose </w:t>
      </w:r>
      <w:r w:rsidRPr="00246B9E">
        <w:rPr>
          <w:rFonts w:ascii="Calibri" w:eastAsiaTheme="minorHAnsi" w:hAnsi="Calibri" w:cs="Calibri"/>
          <w:i/>
          <w:iCs/>
          <w:lang w:eastAsia="en-US"/>
        </w:rPr>
        <w:t>et al</w:t>
      </w:r>
      <w:r w:rsidRPr="00246B9E">
        <w:rPr>
          <w:rFonts w:ascii="Calibri" w:eastAsiaTheme="minorHAnsi" w:hAnsi="Calibri" w:cs="Calibri"/>
          <w:lang w:eastAsia="en-US"/>
        </w:rPr>
        <w:t>., 2010). I noticed how this approach not only provided a refresher but also ensured a smooth transition into the day's lesson. In my future teaching practice, I aim to incorporate similar recap activities, using interactive quizzes or brief discussions to engage students and reinforce their understanding before introducing new concepts.</w:t>
      </w:r>
    </w:p>
    <w:p w14:paraId="5E7511E8" w14:textId="655D2E15"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Throughout the lesson, I was impressed by Mr Thompson's engaging teaching style and evident enthusiasm for the topic, which created a high level of student engagement, supporting Race's (2015, p. 13) idea that 'enthusiasm is very infectious.' A key aspect of his approach was the effective use of classroom </w:t>
      </w:r>
      <w:r w:rsidR="00801086" w:rsidRPr="00246B9E">
        <w:rPr>
          <w:rFonts w:ascii="Calibri" w:eastAsiaTheme="minorHAnsi" w:hAnsi="Calibri" w:cs="Calibri"/>
          <w:lang w:eastAsia="en-US"/>
        </w:rPr>
        <w:t xml:space="preserve">space, </w:t>
      </w:r>
      <w:r w:rsidR="00801086">
        <w:rPr>
          <w:rFonts w:ascii="Calibri" w:eastAsiaTheme="minorHAnsi" w:hAnsi="Calibri" w:cs="Calibri"/>
          <w:lang w:eastAsia="en-US"/>
        </w:rPr>
        <w:t>as</w:t>
      </w:r>
      <w:r w:rsidR="009C6186">
        <w:rPr>
          <w:rFonts w:ascii="Calibri" w:eastAsiaTheme="minorHAnsi" w:hAnsi="Calibri" w:cs="Calibri"/>
          <w:lang w:eastAsia="en-US"/>
        </w:rPr>
        <w:t xml:space="preserve"> he</w:t>
      </w:r>
      <w:r w:rsidRPr="00246B9E">
        <w:rPr>
          <w:rFonts w:ascii="Calibri" w:eastAsiaTheme="minorHAnsi" w:hAnsi="Calibri" w:cs="Calibri"/>
          <w:lang w:eastAsia="en-US"/>
        </w:rPr>
        <w:t xml:space="preserve"> mov</w:t>
      </w:r>
      <w:r w:rsidR="009C6186">
        <w:rPr>
          <w:rFonts w:ascii="Calibri" w:eastAsiaTheme="minorHAnsi" w:hAnsi="Calibri" w:cs="Calibri"/>
          <w:lang w:eastAsia="en-US"/>
        </w:rPr>
        <w:t>ed</w:t>
      </w:r>
      <w:r w:rsidRPr="00246B9E">
        <w:rPr>
          <w:rFonts w:ascii="Calibri" w:eastAsiaTheme="minorHAnsi" w:hAnsi="Calibri" w:cs="Calibri"/>
          <w:lang w:eastAsia="en-US"/>
        </w:rPr>
        <w:t xml:space="preserve"> around to interact with students individually and in small groups. This</w:t>
      </w:r>
      <w:r w:rsidR="00801086">
        <w:rPr>
          <w:rFonts w:ascii="Calibri" w:eastAsiaTheme="minorHAnsi" w:hAnsi="Calibri" w:cs="Calibri"/>
          <w:lang w:eastAsia="en-US"/>
        </w:rPr>
        <w:t xml:space="preserve"> </w:t>
      </w:r>
      <w:r w:rsidRPr="00246B9E">
        <w:rPr>
          <w:rFonts w:ascii="Calibri" w:eastAsiaTheme="minorHAnsi" w:hAnsi="Calibri" w:cs="Calibri"/>
          <w:lang w:eastAsia="en-US"/>
        </w:rPr>
        <w:t>encouraged personalised interactions</w:t>
      </w:r>
      <w:r w:rsidR="00801086">
        <w:rPr>
          <w:rFonts w:ascii="Calibri" w:eastAsiaTheme="minorHAnsi" w:hAnsi="Calibri" w:cs="Calibri"/>
          <w:lang w:eastAsia="en-US"/>
        </w:rPr>
        <w:t xml:space="preserve">, </w:t>
      </w:r>
      <w:r w:rsidRPr="00246B9E">
        <w:rPr>
          <w:rFonts w:ascii="Calibri" w:eastAsiaTheme="minorHAnsi" w:hAnsi="Calibri" w:cs="Calibri"/>
          <w:lang w:eastAsia="en-US"/>
        </w:rPr>
        <w:t xml:space="preserve">provided individualised support and served as a non-verbal cue to maintain focus. Research shows teacher proximity increases student engagement (Lampi, Fenty, &amp; </w:t>
      </w:r>
      <w:proofErr w:type="spellStart"/>
      <w:r w:rsidRPr="00246B9E">
        <w:rPr>
          <w:rFonts w:ascii="Calibri" w:eastAsiaTheme="minorHAnsi" w:hAnsi="Calibri" w:cs="Calibri"/>
          <w:lang w:eastAsia="en-US"/>
        </w:rPr>
        <w:t>Beaunae</w:t>
      </w:r>
      <w:proofErr w:type="spellEnd"/>
      <w:r w:rsidRPr="00246B9E">
        <w:rPr>
          <w:rFonts w:ascii="Calibri" w:eastAsiaTheme="minorHAnsi" w:hAnsi="Calibri" w:cs="Calibri"/>
          <w:lang w:eastAsia="en-US"/>
        </w:rPr>
        <w:t>, 2005), while Riches (2019) suggests circulating the room allows teachers to observe, guide, and challenge students in real-time. Mr Thompson's ability to maintain a calm and approachable demeanour while moving around the classroom contributed to an atmosphere that encouraged learnin</w:t>
      </w:r>
      <w:r w:rsidR="00801086">
        <w:rPr>
          <w:rFonts w:ascii="Calibri" w:eastAsiaTheme="minorHAnsi" w:hAnsi="Calibri" w:cs="Calibri"/>
          <w:lang w:eastAsia="en-US"/>
        </w:rPr>
        <w:t xml:space="preserve">g, </w:t>
      </w:r>
      <w:r w:rsidRPr="00246B9E">
        <w:rPr>
          <w:rFonts w:ascii="Calibri" w:eastAsiaTheme="minorHAnsi" w:hAnsi="Calibri" w:cs="Calibri"/>
          <w:lang w:eastAsia="en-US"/>
        </w:rPr>
        <w:t>strengthen</w:t>
      </w:r>
      <w:r w:rsidR="00FA411B">
        <w:rPr>
          <w:rFonts w:ascii="Calibri" w:eastAsiaTheme="minorHAnsi" w:hAnsi="Calibri" w:cs="Calibri"/>
          <w:lang w:eastAsia="en-US"/>
        </w:rPr>
        <w:t>ed</w:t>
      </w:r>
      <w:r w:rsidRPr="00246B9E">
        <w:rPr>
          <w:rFonts w:ascii="Calibri" w:eastAsiaTheme="minorHAnsi" w:hAnsi="Calibri" w:cs="Calibri"/>
          <w:lang w:eastAsia="en-US"/>
        </w:rPr>
        <w:t xml:space="preserve"> teacher-student relationships and foster</w:t>
      </w:r>
      <w:r w:rsidR="00801086">
        <w:rPr>
          <w:rFonts w:ascii="Calibri" w:eastAsiaTheme="minorHAnsi" w:hAnsi="Calibri" w:cs="Calibri"/>
          <w:lang w:eastAsia="en-US"/>
        </w:rPr>
        <w:t>ed</w:t>
      </w:r>
      <w:r w:rsidRPr="00246B9E">
        <w:rPr>
          <w:rFonts w:ascii="Calibri" w:eastAsiaTheme="minorHAnsi" w:hAnsi="Calibri" w:cs="Calibri"/>
          <w:lang w:eastAsia="en-US"/>
        </w:rPr>
        <w:t xml:space="preserve"> greater engagement. Observing this has led me to reflect on incorporat</w:t>
      </w:r>
      <w:r w:rsidR="00801086">
        <w:rPr>
          <w:rFonts w:ascii="Calibri" w:eastAsiaTheme="minorHAnsi" w:hAnsi="Calibri" w:cs="Calibri"/>
          <w:lang w:eastAsia="en-US"/>
        </w:rPr>
        <w:t>ing</w:t>
      </w:r>
      <w:r w:rsidRPr="00246B9E">
        <w:rPr>
          <w:rFonts w:ascii="Calibri" w:eastAsiaTheme="minorHAnsi" w:hAnsi="Calibri" w:cs="Calibri"/>
          <w:lang w:eastAsia="en-US"/>
        </w:rPr>
        <w:t xml:space="preserve"> more movement into my own teaching to build stronger connections and create a more engaging atmosphere. By using classroom space </w:t>
      </w:r>
      <w:r w:rsidR="00801086" w:rsidRPr="00246B9E">
        <w:rPr>
          <w:rFonts w:ascii="Calibri" w:eastAsiaTheme="minorHAnsi" w:hAnsi="Calibri" w:cs="Calibri"/>
          <w:lang w:eastAsia="en-US"/>
        </w:rPr>
        <w:t>effectively</w:t>
      </w:r>
      <w:r w:rsidR="00801086" w:rsidRPr="00246B9E">
        <w:rPr>
          <w:rFonts w:ascii="Calibri" w:eastAsiaTheme="minorHAnsi" w:hAnsi="Calibri" w:cs="Calibri"/>
          <w:lang w:eastAsia="en-US"/>
        </w:rPr>
        <w:t xml:space="preserve"> </w:t>
      </w:r>
      <w:r w:rsidRPr="00246B9E">
        <w:rPr>
          <w:rFonts w:ascii="Calibri" w:eastAsiaTheme="minorHAnsi" w:hAnsi="Calibri" w:cs="Calibri"/>
          <w:lang w:eastAsia="en-US"/>
        </w:rPr>
        <w:t xml:space="preserve">and interacting more with </w:t>
      </w:r>
      <w:r w:rsidR="00801086" w:rsidRPr="00246B9E">
        <w:rPr>
          <w:rFonts w:ascii="Calibri" w:eastAsiaTheme="minorHAnsi" w:hAnsi="Calibri" w:cs="Calibri"/>
          <w:lang w:eastAsia="en-US"/>
        </w:rPr>
        <w:t>students,</w:t>
      </w:r>
      <w:r w:rsidRPr="00246B9E">
        <w:rPr>
          <w:rFonts w:ascii="Calibri" w:eastAsiaTheme="minorHAnsi" w:hAnsi="Calibri" w:cs="Calibri"/>
          <w:lang w:eastAsia="en-US"/>
        </w:rPr>
        <w:t xml:space="preserve"> I can foster personal connections and encourage active participation.</w:t>
      </w:r>
    </w:p>
    <w:p w14:paraId="4C3CD190"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One important aspect of Mr Thompson's teaching was his regular use of positive reinforcement. He frequently acknowledged students' contributions with verbal praise and non-verbal cues, which helped to motivate them and encourage participation in class discussions. As Race (2015) states, positive feedback helps students feel valued, and this was evident in Mr Thompson's interactions. Seeing the impact of this approach has made me </w:t>
      </w:r>
      <w:r w:rsidRPr="00246B9E">
        <w:rPr>
          <w:rFonts w:ascii="Calibri" w:eastAsiaTheme="minorHAnsi" w:hAnsi="Calibri" w:cs="Calibri"/>
          <w:lang w:eastAsia="en-US"/>
        </w:rPr>
        <w:lastRenderedPageBreak/>
        <w:t>reflect on how I can use similar techniques in my own teaching to support student engagement and confidence.</w:t>
      </w:r>
    </w:p>
    <w:p w14:paraId="54406AD0"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Mr Thompson encouraged students to share their professional experiences to show how the theories they learn in class are relevant and could be applied to their actual work or future careers. His approach created opportunities for students to connect their learning with real-life situations, making lessons more meaningful and applicable. Lave and Wenger (1991) highlight the importance of contextual learning, where students gain a deeper understanding by relating theoretical knowledge to practical experiences. Inspired by this, I intend to encourage students to share their own insights in my teaching, helping them to see the relevance of what they learn in class.</w:t>
      </w:r>
    </w:p>
    <w:p w14:paraId="464E7DD0"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 xml:space="preserve">Mr Thompson's active learning strategies exemplified an effective approach to teaching, aligning with the PSFW (Welsh Government, 2017). His methods incorporated think-pair-share activities, group discussions, and practical exercises that required students to apply theoretical concepts to real-world scenarios. Research shows that active learning leads to better retention and a deeper understanding of the material (Freeman </w:t>
      </w:r>
      <w:r w:rsidRPr="00246B9E">
        <w:rPr>
          <w:rFonts w:ascii="Calibri" w:eastAsiaTheme="minorHAnsi" w:hAnsi="Calibri" w:cs="Calibri"/>
          <w:i/>
          <w:iCs/>
          <w:lang w:eastAsia="en-US"/>
        </w:rPr>
        <w:t>et al</w:t>
      </w:r>
      <w:r w:rsidRPr="00246B9E">
        <w:rPr>
          <w:rFonts w:ascii="Calibri" w:eastAsiaTheme="minorHAnsi" w:hAnsi="Calibri" w:cs="Calibri"/>
          <w:lang w:eastAsia="en-US"/>
        </w:rPr>
        <w:t xml:space="preserve">., 2014). By encouraging students to participate actively rather than passively receive information, Mr Thompson demonstrated the importance of creating engaging learning environments and supporting learners' progression </w:t>
      </w:r>
      <w:bookmarkStart w:id="0" w:name="_Hlk189829569"/>
      <w:r w:rsidRPr="00246B9E">
        <w:rPr>
          <w:rFonts w:ascii="Calibri" w:eastAsiaTheme="minorHAnsi" w:hAnsi="Calibri" w:cs="Calibri"/>
          <w:lang w:eastAsia="en-US"/>
        </w:rPr>
        <w:t>(Welsh Government, 2017)</w:t>
      </w:r>
      <w:bookmarkEnd w:id="0"/>
      <w:r w:rsidRPr="00246B9E">
        <w:rPr>
          <w:rFonts w:ascii="Calibri" w:eastAsiaTheme="minorHAnsi" w:hAnsi="Calibri" w:cs="Calibri"/>
          <w:lang w:eastAsia="en-US"/>
        </w:rPr>
        <w:t>. The think-pair-share activities were designed to maximise student engagement. Students were given time to process information individually, then discuss it with a partner, and finally share their insights with the group. This approach promoted individual reflection and collaborative learning, allowing students to articulate their understanding and learn from their peers (</w:t>
      </w:r>
      <w:proofErr w:type="spellStart"/>
      <w:r w:rsidRPr="00246B9E">
        <w:rPr>
          <w:rFonts w:ascii="Calibri" w:eastAsiaTheme="minorHAnsi" w:hAnsi="Calibri" w:cs="Calibri"/>
          <w:lang w:eastAsia="en-US"/>
        </w:rPr>
        <w:t>Kothiyal</w:t>
      </w:r>
      <w:proofErr w:type="spellEnd"/>
      <w:r w:rsidRPr="00246B9E">
        <w:rPr>
          <w:rFonts w:ascii="Calibri" w:eastAsiaTheme="minorHAnsi" w:hAnsi="Calibri" w:cs="Calibri"/>
          <w:lang w:eastAsia="en-US"/>
        </w:rPr>
        <w:t>, Murthy &amp; Iyer, 2014).</w:t>
      </w:r>
    </w:p>
    <w:p w14:paraId="4C3D5CA5"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The group discussions facilitated peer learning and the exchange of ideas, while practical exercises bridged the gap between theory and application (</w:t>
      </w:r>
      <w:proofErr w:type="spellStart"/>
      <w:r w:rsidRPr="00246B9E">
        <w:rPr>
          <w:rFonts w:ascii="Calibri" w:eastAsiaTheme="minorHAnsi" w:hAnsi="Calibri" w:cs="Calibri"/>
          <w:lang w:eastAsia="en-US"/>
        </w:rPr>
        <w:t>Deslauriers</w:t>
      </w:r>
      <w:proofErr w:type="spellEnd"/>
      <w:r w:rsidRPr="00246B9E">
        <w:rPr>
          <w:rFonts w:ascii="Calibri" w:eastAsiaTheme="minorHAnsi" w:hAnsi="Calibri" w:cs="Calibri"/>
          <w:lang w:eastAsia="en-US"/>
        </w:rPr>
        <w:t xml:space="preserve"> </w:t>
      </w:r>
      <w:r w:rsidRPr="00246B9E">
        <w:rPr>
          <w:rFonts w:ascii="Calibri" w:eastAsiaTheme="minorHAnsi" w:hAnsi="Calibri" w:cs="Calibri"/>
          <w:i/>
          <w:iCs/>
          <w:lang w:eastAsia="en-US"/>
        </w:rPr>
        <w:t>et al</w:t>
      </w:r>
      <w:r w:rsidRPr="00246B9E">
        <w:rPr>
          <w:rFonts w:ascii="Calibri" w:eastAsiaTheme="minorHAnsi" w:hAnsi="Calibri" w:cs="Calibri"/>
          <w:lang w:eastAsia="en-US"/>
        </w:rPr>
        <w:t xml:space="preserve">., 2019). Mr Thompson's approach demonstrated how various teaching strategies can support students in developing and expressing their understanding. His methods aligned with the PSFW's focus on using assessment to support student progress and create engaging learning environments (Welsh Government, 2017). Reflecting on this experience, I see great potential in incorporating these techniques into my own teaching practice, particularly for engaging students who may be hesitant to speak up in larger groups. By using various teaching and </w:t>
      </w:r>
      <w:r w:rsidRPr="00246B9E">
        <w:rPr>
          <w:rFonts w:ascii="Calibri" w:eastAsiaTheme="minorHAnsi" w:hAnsi="Calibri" w:cs="Calibri"/>
          <w:lang w:eastAsia="en-US"/>
        </w:rPr>
        <w:lastRenderedPageBreak/>
        <w:t>assessment methods, Mr Thompson demonstrated effective practices that support student learning and progress (Welsh Government, 2017).</w:t>
      </w:r>
    </w:p>
    <w:p w14:paraId="6917F5BD" w14:textId="77777777" w:rsidR="00246B9E" w:rsidRPr="00246B9E" w:rsidRDefault="00246B9E" w:rsidP="00246B9E">
      <w:pPr>
        <w:spacing w:line="360" w:lineRule="auto"/>
        <w:rPr>
          <w:rFonts w:ascii="Calibri" w:eastAsiaTheme="minorHAnsi" w:hAnsi="Calibri" w:cs="Calibri"/>
          <w:b/>
          <w:bCs/>
          <w:u w:val="single"/>
          <w:lang w:eastAsia="en-US"/>
        </w:rPr>
      </w:pPr>
      <w:r w:rsidRPr="00246B9E">
        <w:rPr>
          <w:rFonts w:ascii="Calibri" w:eastAsiaTheme="minorHAnsi" w:hAnsi="Calibri" w:cs="Calibri"/>
          <w:b/>
          <w:bCs/>
          <w:u w:val="single"/>
          <w:lang w:eastAsia="en-US"/>
        </w:rPr>
        <w:t>Conclusion</w:t>
      </w:r>
    </w:p>
    <w:p w14:paraId="573B3EA8" w14:textId="77777777" w:rsidR="00246B9E" w:rsidRPr="00246B9E" w:rsidRDefault="00246B9E" w:rsidP="00246B9E">
      <w:pPr>
        <w:spacing w:line="360" w:lineRule="auto"/>
        <w:rPr>
          <w:rFonts w:ascii="Calibri" w:eastAsiaTheme="minorHAnsi" w:hAnsi="Calibri" w:cs="Calibri"/>
          <w:lang w:eastAsia="en-US"/>
        </w:rPr>
      </w:pPr>
      <w:r w:rsidRPr="00246B9E">
        <w:rPr>
          <w:rFonts w:ascii="Calibri" w:eastAsiaTheme="minorHAnsi" w:hAnsi="Calibri" w:cs="Calibri"/>
          <w:lang w:eastAsia="en-US"/>
        </w:rPr>
        <w:t>After observing both Miss Johnson and Mr Thompson's teaching approaches, I have gained valuable insights into effective practices. Their contrasting approaches demonstrate that different methods can successfully foster student engagement and learning. Moving forward, I aim to incorporate elements from both teaching styles into my practice. This will involve balancing structured planning with student-centred strategies, implementing experiential learning techniques, and creating a collaborative classroom environment. By combining these approaches, I hope to develop a teaching style that promotes both academic achievement and active participation. These observations have reinforced the importance of aligning teaching methods with educational theories and frameworks like the PSFW. As I progress in my career, I will strive to apply these insights, adapting my approach to suit different learning contexts and student needs, always with the goal of fostering student success.</w:t>
      </w:r>
    </w:p>
    <w:p w14:paraId="67BDA92E" w14:textId="77777777" w:rsidR="003B4BF1" w:rsidRDefault="003B4BF1" w:rsidP="00DD5969"/>
    <w:p w14:paraId="19ADDDF0" w14:textId="77777777" w:rsidR="003B4BF1" w:rsidRDefault="003B4BF1" w:rsidP="00DD5969"/>
    <w:p w14:paraId="1F81BE00" w14:textId="77777777" w:rsidR="003B4BF1" w:rsidRDefault="003B4BF1" w:rsidP="00DD5969"/>
    <w:p w14:paraId="60A2A84F" w14:textId="77777777" w:rsidR="003B4BF1" w:rsidRDefault="003B4BF1" w:rsidP="00DD5969"/>
    <w:p w14:paraId="6942C061" w14:textId="77777777" w:rsidR="00B430B4" w:rsidRDefault="00B430B4" w:rsidP="00DD5969"/>
    <w:p w14:paraId="6BFFCBE8" w14:textId="77777777" w:rsidR="003B4BF1" w:rsidRDefault="003B4BF1" w:rsidP="00DD5969"/>
    <w:p w14:paraId="27227907" w14:textId="77777777" w:rsidR="003B4BF1" w:rsidRDefault="003B4BF1" w:rsidP="00DD5969"/>
    <w:p w14:paraId="70119A0B" w14:textId="77777777" w:rsidR="003B4BF1" w:rsidRDefault="003B4BF1" w:rsidP="00DD5969"/>
    <w:p w14:paraId="7CC2C2F6" w14:textId="77777777" w:rsidR="003B4BF1" w:rsidRDefault="003B4BF1" w:rsidP="00DD5969"/>
    <w:p w14:paraId="614335FD" w14:textId="77777777" w:rsidR="003B4BF1" w:rsidRDefault="003B4BF1" w:rsidP="00DD5969"/>
    <w:p w14:paraId="0EC510A8" w14:textId="77777777" w:rsidR="003B4BF1" w:rsidRDefault="003B4BF1" w:rsidP="00DD5969"/>
    <w:p w14:paraId="1B3F2D53" w14:textId="77777777" w:rsidR="003B4BF1" w:rsidRDefault="003B4BF1" w:rsidP="00DD5969"/>
    <w:p w14:paraId="4DEC7463" w14:textId="77777777" w:rsidR="003B4BF1" w:rsidRDefault="003B4BF1" w:rsidP="00DD5969"/>
    <w:p w14:paraId="5E2BA43D" w14:textId="77777777" w:rsidR="003B4BF1" w:rsidRDefault="003B4BF1" w:rsidP="00DD5969"/>
    <w:p w14:paraId="51A7DC23" w14:textId="77777777" w:rsidR="003B4BF1" w:rsidRPr="003B4BF1" w:rsidRDefault="003B4BF1" w:rsidP="003B4BF1">
      <w:pPr>
        <w:spacing w:line="360" w:lineRule="auto"/>
        <w:rPr>
          <w:rFonts w:ascii="Calibri" w:eastAsiaTheme="minorHAnsi" w:hAnsi="Calibri" w:cs="Calibri"/>
          <w:b/>
          <w:bCs/>
          <w:u w:val="single"/>
          <w:lang w:eastAsia="en-US"/>
        </w:rPr>
      </w:pPr>
      <w:r w:rsidRPr="003B4BF1">
        <w:rPr>
          <w:rFonts w:ascii="Calibri" w:eastAsiaTheme="minorHAnsi" w:hAnsi="Calibri" w:cs="Calibri"/>
          <w:b/>
          <w:bCs/>
          <w:u w:val="single"/>
          <w:lang w:eastAsia="en-US"/>
        </w:rPr>
        <w:lastRenderedPageBreak/>
        <w:t>Action plan</w:t>
      </w:r>
    </w:p>
    <w:tbl>
      <w:tblPr>
        <w:tblStyle w:val="TableGrid1"/>
        <w:tblpPr w:leftFromText="180" w:rightFromText="180" w:vertAnchor="text" w:horzAnchor="margin" w:tblpXSpec="center" w:tblpY="78"/>
        <w:tblW w:w="10910" w:type="dxa"/>
        <w:tblLayout w:type="fixed"/>
        <w:tblLook w:val="04A0" w:firstRow="1" w:lastRow="0" w:firstColumn="1" w:lastColumn="0" w:noHBand="0" w:noVBand="1"/>
      </w:tblPr>
      <w:tblGrid>
        <w:gridCol w:w="1607"/>
        <w:gridCol w:w="1507"/>
        <w:gridCol w:w="1661"/>
        <w:gridCol w:w="2024"/>
        <w:gridCol w:w="1985"/>
        <w:gridCol w:w="2126"/>
      </w:tblGrid>
      <w:tr w:rsidR="003B4BF1" w:rsidRPr="003B4BF1" w14:paraId="2DB9D987" w14:textId="77777777" w:rsidTr="00B57EA7">
        <w:tc>
          <w:tcPr>
            <w:tcW w:w="1607" w:type="dxa"/>
          </w:tcPr>
          <w:p w14:paraId="2FB51C75" w14:textId="77777777" w:rsidR="003B4BF1" w:rsidRPr="003B4BF1" w:rsidRDefault="003B4BF1" w:rsidP="003B4BF1">
            <w:pPr>
              <w:spacing w:line="360" w:lineRule="auto"/>
              <w:jc w:val="center"/>
              <w:rPr>
                <w:rFonts w:ascii="Calibri" w:hAnsi="Calibri" w:cs="Calibri"/>
                <w:b/>
                <w:bCs/>
              </w:rPr>
            </w:pPr>
            <w:r w:rsidRPr="003B4BF1">
              <w:rPr>
                <w:rFonts w:ascii="Calibri" w:hAnsi="Calibri" w:cs="Calibri"/>
                <w:b/>
                <w:bCs/>
              </w:rPr>
              <w:t>Goal</w:t>
            </w:r>
          </w:p>
        </w:tc>
        <w:tc>
          <w:tcPr>
            <w:tcW w:w="1507" w:type="dxa"/>
          </w:tcPr>
          <w:p w14:paraId="52118401" w14:textId="77777777" w:rsidR="003B4BF1" w:rsidRPr="003B4BF1" w:rsidRDefault="003B4BF1" w:rsidP="003B4BF1">
            <w:pPr>
              <w:spacing w:line="360" w:lineRule="auto"/>
              <w:jc w:val="center"/>
              <w:rPr>
                <w:rFonts w:ascii="Calibri" w:hAnsi="Calibri" w:cs="Calibri"/>
                <w:b/>
                <w:bCs/>
              </w:rPr>
            </w:pPr>
            <w:r w:rsidRPr="003B4BF1">
              <w:rPr>
                <w:rFonts w:ascii="Calibri" w:hAnsi="Calibri" w:cs="Calibri"/>
                <w:b/>
                <w:bCs/>
              </w:rPr>
              <w:t>Action steps</w:t>
            </w:r>
          </w:p>
        </w:tc>
        <w:tc>
          <w:tcPr>
            <w:tcW w:w="1661" w:type="dxa"/>
          </w:tcPr>
          <w:p w14:paraId="0501E97E" w14:textId="77777777" w:rsidR="003B4BF1" w:rsidRPr="003B4BF1" w:rsidRDefault="003B4BF1" w:rsidP="003B4BF1">
            <w:pPr>
              <w:spacing w:line="360" w:lineRule="auto"/>
              <w:jc w:val="center"/>
              <w:rPr>
                <w:rFonts w:ascii="Calibri" w:hAnsi="Calibri" w:cs="Calibri"/>
                <w:b/>
                <w:bCs/>
              </w:rPr>
            </w:pPr>
            <w:r w:rsidRPr="003B4BF1">
              <w:rPr>
                <w:rFonts w:ascii="Calibri" w:hAnsi="Calibri" w:cs="Calibri"/>
                <w:b/>
                <w:bCs/>
              </w:rPr>
              <w:t>How to achieve these goals</w:t>
            </w:r>
          </w:p>
        </w:tc>
        <w:tc>
          <w:tcPr>
            <w:tcW w:w="2024" w:type="dxa"/>
          </w:tcPr>
          <w:p w14:paraId="3567330F" w14:textId="77777777" w:rsidR="003B4BF1" w:rsidRPr="003B4BF1" w:rsidRDefault="003B4BF1" w:rsidP="003B4BF1">
            <w:pPr>
              <w:spacing w:line="360" w:lineRule="auto"/>
              <w:jc w:val="center"/>
              <w:rPr>
                <w:rFonts w:ascii="Calibri" w:hAnsi="Calibri" w:cs="Calibri"/>
                <w:b/>
                <w:bCs/>
              </w:rPr>
            </w:pPr>
            <w:r w:rsidRPr="003B4BF1">
              <w:rPr>
                <w:rFonts w:ascii="Calibri" w:hAnsi="Calibri" w:cs="Calibri"/>
                <w:b/>
                <w:bCs/>
              </w:rPr>
              <w:t>Resources</w:t>
            </w:r>
          </w:p>
        </w:tc>
        <w:tc>
          <w:tcPr>
            <w:tcW w:w="1985" w:type="dxa"/>
          </w:tcPr>
          <w:p w14:paraId="531E8756" w14:textId="77777777" w:rsidR="003B4BF1" w:rsidRPr="003B4BF1" w:rsidRDefault="003B4BF1" w:rsidP="003B4BF1">
            <w:pPr>
              <w:spacing w:line="360" w:lineRule="auto"/>
              <w:jc w:val="center"/>
              <w:rPr>
                <w:rFonts w:ascii="Calibri" w:hAnsi="Calibri" w:cs="Calibri"/>
                <w:b/>
                <w:bCs/>
              </w:rPr>
            </w:pPr>
            <w:r w:rsidRPr="003B4BF1">
              <w:rPr>
                <w:rFonts w:ascii="Calibri" w:hAnsi="Calibri" w:cs="Calibri"/>
                <w:b/>
                <w:bCs/>
              </w:rPr>
              <w:t>Timeline/targets</w:t>
            </w:r>
          </w:p>
        </w:tc>
        <w:tc>
          <w:tcPr>
            <w:tcW w:w="2126" w:type="dxa"/>
          </w:tcPr>
          <w:p w14:paraId="553AD39F" w14:textId="77777777" w:rsidR="003B4BF1" w:rsidRPr="003B4BF1" w:rsidRDefault="003B4BF1" w:rsidP="003B4BF1">
            <w:pPr>
              <w:spacing w:line="360" w:lineRule="auto"/>
              <w:jc w:val="center"/>
              <w:rPr>
                <w:rFonts w:ascii="Calibri" w:hAnsi="Calibri" w:cs="Calibri"/>
                <w:b/>
                <w:bCs/>
              </w:rPr>
            </w:pPr>
            <w:r w:rsidRPr="003B4BF1">
              <w:rPr>
                <w:rFonts w:ascii="Calibri" w:hAnsi="Calibri" w:cs="Calibri"/>
                <w:b/>
                <w:bCs/>
              </w:rPr>
              <w:t>Links to professional standards</w:t>
            </w:r>
          </w:p>
          <w:p w14:paraId="4CD54B62" w14:textId="77777777" w:rsidR="003B4BF1" w:rsidRPr="003B4BF1" w:rsidRDefault="003B4BF1" w:rsidP="003B4BF1">
            <w:pPr>
              <w:spacing w:line="360" w:lineRule="auto"/>
              <w:jc w:val="center"/>
              <w:rPr>
                <w:rFonts w:ascii="Calibri" w:hAnsi="Calibri" w:cs="Calibri"/>
                <w:b/>
                <w:bCs/>
              </w:rPr>
            </w:pPr>
            <w:r w:rsidRPr="003B4BF1">
              <w:rPr>
                <w:rFonts w:ascii="Calibri" w:hAnsi="Calibri" w:cs="Calibri"/>
                <w:b/>
                <w:bCs/>
              </w:rPr>
              <w:t>Welsh Government (2017)</w:t>
            </w:r>
          </w:p>
        </w:tc>
      </w:tr>
      <w:tr w:rsidR="003B4BF1" w:rsidRPr="003B4BF1" w14:paraId="0E7F0A6C" w14:textId="77777777" w:rsidTr="00B57EA7">
        <w:tc>
          <w:tcPr>
            <w:tcW w:w="1607" w:type="dxa"/>
          </w:tcPr>
          <w:p w14:paraId="4DDACB3C" w14:textId="77777777" w:rsidR="003B4BF1" w:rsidRPr="003B4BF1" w:rsidRDefault="003B4BF1" w:rsidP="003B4BF1">
            <w:pPr>
              <w:spacing w:line="360" w:lineRule="auto"/>
              <w:rPr>
                <w:rFonts w:ascii="Calibri" w:hAnsi="Calibri" w:cs="Calibri"/>
              </w:rPr>
            </w:pPr>
            <w:r w:rsidRPr="003B4BF1">
              <w:rPr>
                <w:rFonts w:ascii="Calibri" w:hAnsi="Calibri" w:cs="Calibri"/>
              </w:rPr>
              <w:t>Establish positive teacher-student relationships</w:t>
            </w:r>
          </w:p>
        </w:tc>
        <w:tc>
          <w:tcPr>
            <w:tcW w:w="1507" w:type="dxa"/>
          </w:tcPr>
          <w:p w14:paraId="5DB3A9AB" w14:textId="77777777" w:rsidR="003B4BF1" w:rsidRPr="003B4BF1" w:rsidRDefault="003B4BF1" w:rsidP="003B4BF1">
            <w:pPr>
              <w:spacing w:line="360" w:lineRule="auto"/>
              <w:rPr>
                <w:rFonts w:ascii="Calibri" w:hAnsi="Calibri" w:cs="Calibri"/>
              </w:rPr>
            </w:pPr>
            <w:r w:rsidRPr="003B4BF1">
              <w:rPr>
                <w:rFonts w:ascii="Calibri" w:hAnsi="Calibri" w:cs="Calibri"/>
              </w:rPr>
              <w:t>1. Greet students by name.</w:t>
            </w:r>
          </w:p>
          <w:p w14:paraId="5080DC0A" w14:textId="77777777" w:rsidR="003B4BF1" w:rsidRPr="003B4BF1" w:rsidRDefault="003B4BF1" w:rsidP="003B4BF1">
            <w:pPr>
              <w:spacing w:line="360" w:lineRule="auto"/>
              <w:rPr>
                <w:rFonts w:ascii="Calibri" w:hAnsi="Calibri" w:cs="Calibri"/>
              </w:rPr>
            </w:pPr>
            <w:r w:rsidRPr="003B4BF1">
              <w:rPr>
                <w:rFonts w:ascii="Calibri" w:hAnsi="Calibri" w:cs="Calibri"/>
              </w:rPr>
              <w:t>2. Use names in interactions.</w:t>
            </w:r>
          </w:p>
          <w:p w14:paraId="7A863A14" w14:textId="77777777" w:rsidR="003B4BF1" w:rsidRPr="003B4BF1" w:rsidRDefault="003B4BF1" w:rsidP="003B4BF1">
            <w:pPr>
              <w:spacing w:line="360" w:lineRule="auto"/>
              <w:rPr>
                <w:rFonts w:ascii="Calibri" w:hAnsi="Calibri" w:cs="Calibri"/>
              </w:rPr>
            </w:pPr>
            <w:r w:rsidRPr="003B4BF1">
              <w:rPr>
                <w:rFonts w:ascii="Calibri" w:hAnsi="Calibri" w:cs="Calibri"/>
              </w:rPr>
              <w:t>3. Build rapport during lessons.</w:t>
            </w:r>
          </w:p>
        </w:tc>
        <w:tc>
          <w:tcPr>
            <w:tcW w:w="1661" w:type="dxa"/>
          </w:tcPr>
          <w:p w14:paraId="0A6F184A" w14:textId="77777777" w:rsidR="003B4BF1" w:rsidRPr="003B4BF1" w:rsidRDefault="003B4BF1" w:rsidP="003B4BF1">
            <w:pPr>
              <w:spacing w:line="360" w:lineRule="auto"/>
              <w:rPr>
                <w:rFonts w:ascii="Calibri" w:hAnsi="Calibri" w:cs="Calibri"/>
              </w:rPr>
            </w:pPr>
            <w:r w:rsidRPr="003B4BF1">
              <w:rPr>
                <w:rFonts w:ascii="Calibri" w:hAnsi="Calibri" w:cs="Calibri"/>
              </w:rPr>
              <w:t>1. Learn students' names.</w:t>
            </w:r>
          </w:p>
          <w:p w14:paraId="63038EA5" w14:textId="77777777" w:rsidR="003B4BF1" w:rsidRPr="003B4BF1" w:rsidRDefault="003B4BF1" w:rsidP="003B4BF1">
            <w:pPr>
              <w:spacing w:line="360" w:lineRule="auto"/>
              <w:rPr>
                <w:rFonts w:ascii="Calibri" w:hAnsi="Calibri" w:cs="Calibri"/>
              </w:rPr>
            </w:pPr>
            <w:r w:rsidRPr="003B4BF1">
              <w:rPr>
                <w:rFonts w:ascii="Calibri" w:hAnsi="Calibri" w:cs="Calibri"/>
              </w:rPr>
              <w:t>2. Engage in brief personal conversations.</w:t>
            </w:r>
          </w:p>
          <w:p w14:paraId="1A843FE3" w14:textId="77777777" w:rsidR="003B4BF1" w:rsidRPr="003B4BF1" w:rsidRDefault="003B4BF1" w:rsidP="003B4BF1">
            <w:pPr>
              <w:spacing w:line="360" w:lineRule="auto"/>
              <w:rPr>
                <w:rFonts w:ascii="Calibri" w:hAnsi="Calibri" w:cs="Calibri"/>
              </w:rPr>
            </w:pPr>
            <w:r w:rsidRPr="003B4BF1">
              <w:rPr>
                <w:rFonts w:ascii="Calibri" w:hAnsi="Calibri" w:cs="Calibri"/>
              </w:rPr>
              <w:t>3. Foster an inclusive environment.</w:t>
            </w:r>
          </w:p>
        </w:tc>
        <w:tc>
          <w:tcPr>
            <w:tcW w:w="2024" w:type="dxa"/>
          </w:tcPr>
          <w:p w14:paraId="5E93A92D"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Research on rapport-building Roorda </w:t>
            </w:r>
            <w:r w:rsidRPr="003B4BF1">
              <w:rPr>
                <w:rFonts w:ascii="Calibri" w:hAnsi="Calibri" w:cs="Calibri"/>
                <w:i/>
                <w:iCs/>
              </w:rPr>
              <w:t>et al</w:t>
            </w:r>
            <w:r w:rsidRPr="003B4BF1">
              <w:rPr>
                <w:rFonts w:ascii="Calibri" w:hAnsi="Calibri" w:cs="Calibri"/>
              </w:rPr>
              <w:t>. (2011)</w:t>
            </w:r>
          </w:p>
          <w:p w14:paraId="61CE08A6" w14:textId="77777777" w:rsidR="003B4BF1" w:rsidRPr="003B4BF1" w:rsidRDefault="003B4BF1" w:rsidP="003B4BF1">
            <w:pPr>
              <w:spacing w:line="360" w:lineRule="auto"/>
              <w:rPr>
                <w:rFonts w:ascii="Calibri" w:hAnsi="Calibri" w:cs="Calibri"/>
              </w:rPr>
            </w:pPr>
            <w:r w:rsidRPr="003B4BF1">
              <w:rPr>
                <w:rFonts w:ascii="Calibri" w:hAnsi="Calibri" w:cs="Calibri"/>
              </w:rPr>
              <w:t>Active listening techniques https://wayne.edu/learning-communities/pdf/becoming-active-listener-13.pdf</w:t>
            </w:r>
          </w:p>
          <w:p w14:paraId="382EB853" w14:textId="77777777" w:rsidR="003B4BF1" w:rsidRPr="003B4BF1" w:rsidRDefault="003B4BF1" w:rsidP="003B4BF1">
            <w:pPr>
              <w:spacing w:line="360" w:lineRule="auto"/>
              <w:rPr>
                <w:rFonts w:ascii="Calibri" w:hAnsi="Calibri" w:cs="Calibri"/>
              </w:rPr>
            </w:pPr>
          </w:p>
        </w:tc>
        <w:tc>
          <w:tcPr>
            <w:tcW w:w="1985" w:type="dxa"/>
          </w:tcPr>
          <w:p w14:paraId="736210D4" w14:textId="21AB0A4F" w:rsidR="003B4BF1" w:rsidRPr="003B4BF1" w:rsidRDefault="00FA411B" w:rsidP="003B4BF1">
            <w:pPr>
              <w:spacing w:line="360" w:lineRule="auto"/>
              <w:rPr>
                <w:rFonts w:ascii="Calibri" w:hAnsi="Calibri" w:cs="Calibri"/>
              </w:rPr>
            </w:pPr>
            <w:r>
              <w:rPr>
                <w:rFonts w:ascii="Calibri" w:hAnsi="Calibri" w:cs="Calibri"/>
              </w:rPr>
              <w:t>Start immediately</w:t>
            </w:r>
          </w:p>
        </w:tc>
        <w:tc>
          <w:tcPr>
            <w:tcW w:w="2126" w:type="dxa"/>
          </w:tcPr>
          <w:p w14:paraId="142C9C90" w14:textId="77777777" w:rsidR="003B4BF1" w:rsidRPr="003B4BF1" w:rsidRDefault="003B4BF1" w:rsidP="003B4BF1">
            <w:pPr>
              <w:spacing w:line="360" w:lineRule="auto"/>
              <w:rPr>
                <w:rFonts w:ascii="Calibri" w:hAnsi="Calibri" w:cs="Calibri"/>
              </w:rPr>
            </w:pPr>
            <w:r w:rsidRPr="003B4BF1">
              <w:rPr>
                <w:rFonts w:ascii="Calibri" w:hAnsi="Calibri" w:cs="Calibri"/>
              </w:rPr>
              <w:t>Build positive and collaborative relationships.</w:t>
            </w:r>
          </w:p>
        </w:tc>
      </w:tr>
      <w:tr w:rsidR="003B4BF1" w:rsidRPr="003B4BF1" w14:paraId="61EBD811" w14:textId="77777777" w:rsidTr="00B57EA7">
        <w:tc>
          <w:tcPr>
            <w:tcW w:w="1607" w:type="dxa"/>
          </w:tcPr>
          <w:p w14:paraId="3ABF7700" w14:textId="77777777" w:rsidR="003B4BF1" w:rsidRPr="003B4BF1" w:rsidRDefault="003B4BF1" w:rsidP="003B4BF1">
            <w:pPr>
              <w:spacing w:line="360" w:lineRule="auto"/>
              <w:rPr>
                <w:rFonts w:ascii="Calibri" w:hAnsi="Calibri" w:cs="Calibri"/>
              </w:rPr>
            </w:pPr>
            <w:r w:rsidRPr="003B4BF1">
              <w:rPr>
                <w:rFonts w:ascii="Calibri" w:hAnsi="Calibri" w:cs="Calibri"/>
              </w:rPr>
              <w:t>Encourage student engagement through interactive methods</w:t>
            </w:r>
          </w:p>
        </w:tc>
        <w:tc>
          <w:tcPr>
            <w:tcW w:w="1507" w:type="dxa"/>
          </w:tcPr>
          <w:p w14:paraId="5E450374" w14:textId="18A6E5FA" w:rsidR="003B4BF1" w:rsidRPr="003B4BF1" w:rsidRDefault="003B4BF1" w:rsidP="003B4BF1">
            <w:pPr>
              <w:spacing w:line="360" w:lineRule="auto"/>
              <w:rPr>
                <w:rFonts w:ascii="Calibri" w:hAnsi="Calibri" w:cs="Calibri"/>
              </w:rPr>
            </w:pPr>
            <w:r w:rsidRPr="003B4BF1">
              <w:rPr>
                <w:rFonts w:ascii="Calibri" w:hAnsi="Calibri" w:cs="Calibri"/>
              </w:rPr>
              <w:t xml:space="preserve">1. </w:t>
            </w:r>
            <w:r w:rsidR="00FA411B">
              <w:rPr>
                <w:rFonts w:ascii="Calibri" w:hAnsi="Calibri" w:cs="Calibri"/>
              </w:rPr>
              <w:t xml:space="preserve">incorporate </w:t>
            </w:r>
            <w:r w:rsidRPr="003B4BF1">
              <w:rPr>
                <w:rFonts w:ascii="Calibri" w:hAnsi="Calibri" w:cs="Calibri"/>
              </w:rPr>
              <w:t>engaging multimedia.</w:t>
            </w:r>
          </w:p>
          <w:p w14:paraId="18A26BC9" w14:textId="77777777" w:rsidR="003B4BF1" w:rsidRPr="003B4BF1" w:rsidRDefault="003B4BF1" w:rsidP="003B4BF1">
            <w:pPr>
              <w:spacing w:line="360" w:lineRule="auto"/>
              <w:rPr>
                <w:rFonts w:ascii="Calibri" w:hAnsi="Calibri" w:cs="Calibri"/>
              </w:rPr>
            </w:pPr>
            <w:r w:rsidRPr="003B4BF1">
              <w:rPr>
                <w:rFonts w:ascii="Calibri" w:hAnsi="Calibri" w:cs="Calibri"/>
              </w:rPr>
              <w:t>2. Incorporate real-time polls and quizzes.</w:t>
            </w:r>
          </w:p>
        </w:tc>
        <w:tc>
          <w:tcPr>
            <w:tcW w:w="1661" w:type="dxa"/>
          </w:tcPr>
          <w:p w14:paraId="2A0DAE0D" w14:textId="77777777" w:rsidR="003B4BF1" w:rsidRPr="003B4BF1" w:rsidRDefault="003B4BF1" w:rsidP="003B4BF1">
            <w:pPr>
              <w:spacing w:line="360" w:lineRule="auto"/>
              <w:rPr>
                <w:rFonts w:ascii="Calibri" w:hAnsi="Calibri" w:cs="Calibri"/>
              </w:rPr>
            </w:pPr>
            <w:r w:rsidRPr="003B4BF1">
              <w:rPr>
                <w:rFonts w:ascii="Calibri" w:hAnsi="Calibri" w:cs="Calibri"/>
              </w:rPr>
              <w:t>1. Create relevant multimedia (videos, podcasts).</w:t>
            </w:r>
          </w:p>
          <w:p w14:paraId="69DAECC1"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2. Use tools like Kahoot or </w:t>
            </w:r>
            <w:proofErr w:type="spellStart"/>
            <w:r w:rsidRPr="003B4BF1">
              <w:rPr>
                <w:rFonts w:ascii="Calibri" w:hAnsi="Calibri" w:cs="Calibri"/>
              </w:rPr>
              <w:t>Mentimeter</w:t>
            </w:r>
            <w:proofErr w:type="spellEnd"/>
            <w:r w:rsidRPr="003B4BF1">
              <w:rPr>
                <w:rFonts w:ascii="Calibri" w:hAnsi="Calibri" w:cs="Calibri"/>
              </w:rPr>
              <w:t xml:space="preserve"> for interactive activities.</w:t>
            </w:r>
          </w:p>
        </w:tc>
        <w:tc>
          <w:tcPr>
            <w:tcW w:w="2024" w:type="dxa"/>
          </w:tcPr>
          <w:p w14:paraId="0EB9A59F" w14:textId="77777777" w:rsidR="003B4BF1" w:rsidRPr="003B4BF1" w:rsidRDefault="003B4BF1" w:rsidP="003B4BF1">
            <w:pPr>
              <w:spacing w:line="360" w:lineRule="auto"/>
              <w:rPr>
                <w:rFonts w:ascii="Calibri" w:hAnsi="Calibri" w:cs="Calibri"/>
              </w:rPr>
            </w:pPr>
            <w:proofErr w:type="spellStart"/>
            <w:r w:rsidRPr="003B4BF1">
              <w:rPr>
                <w:rFonts w:ascii="Calibri" w:hAnsi="Calibri" w:cs="Calibri"/>
              </w:rPr>
              <w:t>Mentimeter</w:t>
            </w:r>
            <w:proofErr w:type="spellEnd"/>
            <w:r w:rsidRPr="003B4BF1">
              <w:rPr>
                <w:rFonts w:ascii="Calibri" w:hAnsi="Calibri" w:cs="Calibri"/>
              </w:rPr>
              <w:t xml:space="preserve"> https://www.mentimeter.com/</w:t>
            </w:r>
          </w:p>
          <w:p w14:paraId="031381C2" w14:textId="77777777" w:rsidR="003B4BF1" w:rsidRPr="003B4BF1" w:rsidRDefault="003B4BF1" w:rsidP="003B4BF1">
            <w:pPr>
              <w:spacing w:line="360" w:lineRule="auto"/>
              <w:rPr>
                <w:rFonts w:ascii="Calibri" w:hAnsi="Calibri" w:cs="Calibri"/>
              </w:rPr>
            </w:pPr>
            <w:r w:rsidRPr="003B4BF1">
              <w:rPr>
                <w:rFonts w:ascii="Calibri" w:hAnsi="Calibri" w:cs="Calibri"/>
              </w:rPr>
              <w:t>Kahoot</w:t>
            </w:r>
          </w:p>
          <w:p w14:paraId="1E659D69" w14:textId="77777777" w:rsidR="003B4BF1" w:rsidRPr="003B4BF1" w:rsidRDefault="003B4BF1" w:rsidP="003B4BF1">
            <w:pPr>
              <w:spacing w:line="360" w:lineRule="auto"/>
              <w:rPr>
                <w:rFonts w:ascii="Calibri" w:hAnsi="Calibri" w:cs="Calibri"/>
              </w:rPr>
            </w:pPr>
            <w:r w:rsidRPr="003B4BF1">
              <w:rPr>
                <w:rFonts w:ascii="Calibri" w:hAnsi="Calibri" w:cs="Calibri"/>
              </w:rPr>
              <w:t>https://kahoot.com/</w:t>
            </w:r>
          </w:p>
          <w:p w14:paraId="3B5485E3" w14:textId="77777777" w:rsidR="003B4BF1" w:rsidRPr="003B4BF1" w:rsidRDefault="003B4BF1" w:rsidP="003B4BF1">
            <w:pPr>
              <w:spacing w:line="360" w:lineRule="auto"/>
              <w:rPr>
                <w:rFonts w:ascii="Calibri" w:hAnsi="Calibri" w:cs="Calibri"/>
              </w:rPr>
            </w:pPr>
          </w:p>
        </w:tc>
        <w:tc>
          <w:tcPr>
            <w:tcW w:w="1985" w:type="dxa"/>
          </w:tcPr>
          <w:p w14:paraId="34A11D8C" w14:textId="5B5D7124" w:rsidR="003B4BF1" w:rsidRPr="003B4BF1" w:rsidRDefault="003B4BF1" w:rsidP="003B4BF1">
            <w:pPr>
              <w:spacing w:line="360" w:lineRule="auto"/>
              <w:rPr>
                <w:rFonts w:ascii="Calibri" w:hAnsi="Calibri" w:cs="Calibri"/>
              </w:rPr>
            </w:pPr>
            <w:r w:rsidRPr="003B4BF1">
              <w:rPr>
                <w:rFonts w:ascii="Calibri" w:hAnsi="Calibri" w:cs="Calibri"/>
              </w:rPr>
              <w:t xml:space="preserve">Implement when </w:t>
            </w:r>
            <w:r w:rsidR="00FA411B" w:rsidRPr="003B4BF1">
              <w:rPr>
                <w:rFonts w:ascii="Calibri" w:hAnsi="Calibri" w:cs="Calibri"/>
              </w:rPr>
              <w:t>beneficial</w:t>
            </w:r>
          </w:p>
        </w:tc>
        <w:tc>
          <w:tcPr>
            <w:tcW w:w="2126" w:type="dxa"/>
          </w:tcPr>
          <w:p w14:paraId="23F753A9" w14:textId="77777777" w:rsidR="003B4BF1" w:rsidRPr="003B4BF1" w:rsidRDefault="003B4BF1" w:rsidP="003B4BF1">
            <w:pPr>
              <w:spacing w:line="360" w:lineRule="auto"/>
              <w:rPr>
                <w:rFonts w:ascii="Calibri" w:hAnsi="Calibri" w:cs="Calibri"/>
              </w:rPr>
            </w:pPr>
            <w:r w:rsidRPr="003B4BF1">
              <w:rPr>
                <w:rFonts w:ascii="Calibri" w:hAnsi="Calibri" w:cs="Calibri"/>
              </w:rPr>
              <w:t>Plan and deliver effective learning, teaching and assessment.</w:t>
            </w:r>
          </w:p>
          <w:p w14:paraId="62513F07" w14:textId="77777777" w:rsidR="003B4BF1" w:rsidRPr="003B4BF1" w:rsidRDefault="003B4BF1" w:rsidP="003B4BF1">
            <w:pPr>
              <w:spacing w:line="360" w:lineRule="auto"/>
              <w:rPr>
                <w:rFonts w:ascii="Calibri" w:hAnsi="Calibri" w:cs="Calibri"/>
              </w:rPr>
            </w:pPr>
          </w:p>
        </w:tc>
      </w:tr>
      <w:tr w:rsidR="003B4BF1" w:rsidRPr="003B4BF1" w14:paraId="4363AC58" w14:textId="77777777" w:rsidTr="00B57EA7">
        <w:tc>
          <w:tcPr>
            <w:tcW w:w="1607" w:type="dxa"/>
          </w:tcPr>
          <w:p w14:paraId="2FCCECED" w14:textId="77777777" w:rsidR="003B4BF1" w:rsidRPr="003B4BF1" w:rsidRDefault="003B4BF1" w:rsidP="003B4BF1">
            <w:pPr>
              <w:spacing w:line="360" w:lineRule="auto"/>
              <w:rPr>
                <w:rFonts w:ascii="Calibri" w:hAnsi="Calibri" w:cs="Calibri"/>
              </w:rPr>
            </w:pPr>
            <w:r w:rsidRPr="003B4BF1">
              <w:rPr>
                <w:rFonts w:ascii="Calibri" w:hAnsi="Calibri" w:cs="Calibri"/>
              </w:rPr>
              <w:t>Utilise active learning strategies</w:t>
            </w:r>
          </w:p>
        </w:tc>
        <w:tc>
          <w:tcPr>
            <w:tcW w:w="1507" w:type="dxa"/>
          </w:tcPr>
          <w:p w14:paraId="63AA1763" w14:textId="77777777" w:rsidR="003B4BF1" w:rsidRPr="003B4BF1" w:rsidRDefault="003B4BF1" w:rsidP="003B4BF1">
            <w:pPr>
              <w:spacing w:line="360" w:lineRule="auto"/>
              <w:rPr>
                <w:rFonts w:ascii="Calibri" w:hAnsi="Calibri" w:cs="Calibri"/>
              </w:rPr>
            </w:pPr>
            <w:r w:rsidRPr="003B4BF1">
              <w:rPr>
                <w:rFonts w:ascii="Calibri" w:hAnsi="Calibri" w:cs="Calibri"/>
              </w:rPr>
              <w:t>1. Think-pair-share.</w:t>
            </w:r>
          </w:p>
          <w:p w14:paraId="0F502242" w14:textId="77777777" w:rsidR="003B4BF1" w:rsidRPr="003B4BF1" w:rsidRDefault="003B4BF1" w:rsidP="003B4BF1">
            <w:pPr>
              <w:spacing w:line="360" w:lineRule="auto"/>
              <w:rPr>
                <w:rFonts w:ascii="Calibri" w:hAnsi="Calibri" w:cs="Calibri"/>
              </w:rPr>
            </w:pPr>
            <w:r w:rsidRPr="003B4BF1">
              <w:rPr>
                <w:rFonts w:ascii="Calibri" w:hAnsi="Calibri" w:cs="Calibri"/>
              </w:rPr>
              <w:t>2. Group discussions.</w:t>
            </w:r>
          </w:p>
          <w:p w14:paraId="103F0A08" w14:textId="77777777" w:rsidR="003B4BF1" w:rsidRPr="003B4BF1" w:rsidRDefault="003B4BF1" w:rsidP="003B4BF1">
            <w:pPr>
              <w:spacing w:line="360" w:lineRule="auto"/>
              <w:rPr>
                <w:rFonts w:ascii="Calibri" w:hAnsi="Calibri" w:cs="Calibri"/>
              </w:rPr>
            </w:pPr>
            <w:r w:rsidRPr="003B4BF1">
              <w:rPr>
                <w:rFonts w:ascii="Calibri" w:hAnsi="Calibri" w:cs="Calibri"/>
              </w:rPr>
              <w:t>3. Real-world case studies.</w:t>
            </w:r>
          </w:p>
          <w:p w14:paraId="5D709664" w14:textId="77777777" w:rsidR="003B4BF1" w:rsidRPr="003B4BF1" w:rsidRDefault="003B4BF1" w:rsidP="003B4BF1">
            <w:pPr>
              <w:spacing w:line="360" w:lineRule="auto"/>
              <w:rPr>
                <w:rFonts w:ascii="Calibri" w:hAnsi="Calibri" w:cs="Calibri"/>
              </w:rPr>
            </w:pPr>
            <w:r w:rsidRPr="003B4BF1">
              <w:rPr>
                <w:rFonts w:ascii="Calibri" w:hAnsi="Calibri" w:cs="Calibri"/>
              </w:rPr>
              <w:lastRenderedPageBreak/>
              <w:t>4. Encourage sharing of experiences.</w:t>
            </w:r>
          </w:p>
        </w:tc>
        <w:tc>
          <w:tcPr>
            <w:tcW w:w="1661" w:type="dxa"/>
          </w:tcPr>
          <w:p w14:paraId="43467117" w14:textId="77777777" w:rsidR="003B4BF1" w:rsidRPr="003B4BF1" w:rsidRDefault="003B4BF1" w:rsidP="003B4BF1">
            <w:pPr>
              <w:spacing w:line="360" w:lineRule="auto"/>
              <w:rPr>
                <w:rFonts w:ascii="Calibri" w:hAnsi="Calibri" w:cs="Calibri"/>
              </w:rPr>
            </w:pPr>
            <w:r w:rsidRPr="003B4BF1">
              <w:rPr>
                <w:rFonts w:ascii="Calibri" w:hAnsi="Calibri" w:cs="Calibri"/>
              </w:rPr>
              <w:lastRenderedPageBreak/>
              <w:t>1. Prepare discussion prompts.</w:t>
            </w:r>
          </w:p>
          <w:p w14:paraId="006D5561" w14:textId="77777777" w:rsidR="003B4BF1" w:rsidRPr="003B4BF1" w:rsidRDefault="003B4BF1" w:rsidP="003B4BF1">
            <w:pPr>
              <w:spacing w:line="360" w:lineRule="auto"/>
              <w:rPr>
                <w:rFonts w:ascii="Calibri" w:hAnsi="Calibri" w:cs="Calibri"/>
              </w:rPr>
            </w:pPr>
            <w:r w:rsidRPr="003B4BF1">
              <w:rPr>
                <w:rFonts w:ascii="Calibri" w:hAnsi="Calibri" w:cs="Calibri"/>
              </w:rPr>
              <w:t>2. Organise structured group activities.</w:t>
            </w:r>
          </w:p>
          <w:p w14:paraId="7D710B6E" w14:textId="77777777" w:rsidR="003B4BF1" w:rsidRPr="003B4BF1" w:rsidRDefault="003B4BF1" w:rsidP="003B4BF1">
            <w:pPr>
              <w:spacing w:line="360" w:lineRule="auto"/>
              <w:rPr>
                <w:rFonts w:ascii="Calibri" w:hAnsi="Calibri" w:cs="Calibri"/>
              </w:rPr>
            </w:pPr>
            <w:r w:rsidRPr="003B4BF1">
              <w:rPr>
                <w:rFonts w:ascii="Calibri" w:hAnsi="Calibri" w:cs="Calibri"/>
              </w:rPr>
              <w:lastRenderedPageBreak/>
              <w:t>3. Connect content to real-world applications.</w:t>
            </w:r>
          </w:p>
          <w:p w14:paraId="74D066B5" w14:textId="77777777" w:rsidR="003B4BF1" w:rsidRPr="003B4BF1" w:rsidRDefault="003B4BF1" w:rsidP="003B4BF1">
            <w:pPr>
              <w:spacing w:line="360" w:lineRule="auto"/>
              <w:rPr>
                <w:rFonts w:ascii="Calibri" w:hAnsi="Calibri" w:cs="Calibri"/>
              </w:rPr>
            </w:pPr>
            <w:r w:rsidRPr="003B4BF1">
              <w:rPr>
                <w:rFonts w:ascii="Calibri" w:hAnsi="Calibri" w:cs="Calibri"/>
              </w:rPr>
              <w:t>4. Create opportunities for student insights.</w:t>
            </w:r>
          </w:p>
        </w:tc>
        <w:tc>
          <w:tcPr>
            <w:tcW w:w="2024" w:type="dxa"/>
          </w:tcPr>
          <w:p w14:paraId="7A011AC5" w14:textId="77777777" w:rsidR="003B4BF1" w:rsidRPr="003B4BF1" w:rsidRDefault="003B4BF1" w:rsidP="003B4BF1">
            <w:pPr>
              <w:spacing w:line="360" w:lineRule="auto"/>
              <w:rPr>
                <w:rFonts w:ascii="Calibri" w:hAnsi="Calibri" w:cs="Calibri"/>
              </w:rPr>
            </w:pPr>
            <w:r w:rsidRPr="003B4BF1">
              <w:rPr>
                <w:rFonts w:ascii="Calibri" w:hAnsi="Calibri" w:cs="Calibri"/>
              </w:rPr>
              <w:lastRenderedPageBreak/>
              <w:t xml:space="preserve">Active learning research Freeman </w:t>
            </w:r>
            <w:r w:rsidRPr="003B4BF1">
              <w:rPr>
                <w:rFonts w:ascii="Calibri" w:hAnsi="Calibri" w:cs="Calibri"/>
                <w:i/>
                <w:iCs/>
              </w:rPr>
              <w:t>et al</w:t>
            </w:r>
            <w:r w:rsidRPr="003B4BF1">
              <w:rPr>
                <w:rFonts w:ascii="Calibri" w:hAnsi="Calibri" w:cs="Calibri"/>
              </w:rPr>
              <w:t>. (2014)</w:t>
            </w:r>
          </w:p>
          <w:p w14:paraId="176D02DC" w14:textId="77777777" w:rsidR="003B4BF1" w:rsidRPr="003B4BF1" w:rsidRDefault="003B4BF1" w:rsidP="003B4BF1">
            <w:pPr>
              <w:spacing w:line="360" w:lineRule="auto"/>
              <w:rPr>
                <w:rFonts w:ascii="Calibri" w:hAnsi="Calibri" w:cs="Calibri"/>
              </w:rPr>
            </w:pPr>
            <w:r w:rsidRPr="003B4BF1">
              <w:rPr>
                <w:rFonts w:ascii="Calibri" w:hAnsi="Calibri" w:cs="Calibri"/>
              </w:rPr>
              <w:t>case studies, discussion prompts</w:t>
            </w:r>
          </w:p>
        </w:tc>
        <w:tc>
          <w:tcPr>
            <w:tcW w:w="1985" w:type="dxa"/>
          </w:tcPr>
          <w:p w14:paraId="4C137F2C" w14:textId="77777777" w:rsidR="003B4BF1" w:rsidRPr="003B4BF1" w:rsidRDefault="003B4BF1" w:rsidP="003B4BF1">
            <w:pPr>
              <w:spacing w:line="360" w:lineRule="auto"/>
              <w:rPr>
                <w:rFonts w:ascii="Calibri" w:hAnsi="Calibri" w:cs="Calibri"/>
              </w:rPr>
            </w:pPr>
            <w:r w:rsidRPr="003B4BF1">
              <w:rPr>
                <w:rFonts w:ascii="Calibri" w:hAnsi="Calibri" w:cs="Calibri"/>
              </w:rPr>
              <w:t>Use in every lesson, review effectiveness regularly</w:t>
            </w:r>
          </w:p>
        </w:tc>
        <w:tc>
          <w:tcPr>
            <w:tcW w:w="2126" w:type="dxa"/>
          </w:tcPr>
          <w:p w14:paraId="23029F3E"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1.Plan and deliver effective learning, teaching and assessment </w:t>
            </w:r>
          </w:p>
          <w:p w14:paraId="36A3C259"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2. Enable learners to share responsibility for their own </w:t>
            </w:r>
            <w:r w:rsidRPr="003B4BF1">
              <w:rPr>
                <w:rFonts w:ascii="Calibri" w:hAnsi="Calibri" w:cs="Calibri"/>
              </w:rPr>
              <w:lastRenderedPageBreak/>
              <w:t>learning and assessment</w:t>
            </w:r>
          </w:p>
        </w:tc>
      </w:tr>
      <w:tr w:rsidR="003B4BF1" w:rsidRPr="003B4BF1" w14:paraId="7CF1656E" w14:textId="77777777" w:rsidTr="00B57EA7">
        <w:trPr>
          <w:trHeight w:val="3534"/>
        </w:trPr>
        <w:tc>
          <w:tcPr>
            <w:tcW w:w="1607" w:type="dxa"/>
          </w:tcPr>
          <w:p w14:paraId="61D787E7" w14:textId="77777777" w:rsidR="003B4BF1" w:rsidRPr="003B4BF1" w:rsidRDefault="003B4BF1" w:rsidP="003B4BF1">
            <w:pPr>
              <w:spacing w:line="360" w:lineRule="auto"/>
              <w:rPr>
                <w:rFonts w:ascii="Calibri" w:hAnsi="Calibri" w:cs="Calibri"/>
              </w:rPr>
            </w:pPr>
            <w:r w:rsidRPr="003B4BF1">
              <w:rPr>
                <w:rFonts w:ascii="Calibri" w:hAnsi="Calibri" w:cs="Calibri"/>
              </w:rPr>
              <w:lastRenderedPageBreak/>
              <w:t>Provide scaffolding to support student learning</w:t>
            </w:r>
          </w:p>
        </w:tc>
        <w:tc>
          <w:tcPr>
            <w:tcW w:w="1507" w:type="dxa"/>
          </w:tcPr>
          <w:p w14:paraId="2485A440" w14:textId="77777777" w:rsidR="003B4BF1" w:rsidRPr="003B4BF1" w:rsidRDefault="003B4BF1" w:rsidP="003B4BF1">
            <w:pPr>
              <w:spacing w:line="360" w:lineRule="auto"/>
              <w:rPr>
                <w:rFonts w:ascii="Calibri" w:hAnsi="Calibri" w:cs="Calibri"/>
              </w:rPr>
            </w:pPr>
            <w:r w:rsidRPr="003B4BF1">
              <w:rPr>
                <w:rFonts w:ascii="Calibri" w:hAnsi="Calibri" w:cs="Calibri"/>
              </w:rPr>
              <w:t>1. Use guided questions.</w:t>
            </w:r>
          </w:p>
          <w:p w14:paraId="35FB0457" w14:textId="77777777" w:rsidR="003B4BF1" w:rsidRPr="003B4BF1" w:rsidRDefault="003B4BF1" w:rsidP="003B4BF1">
            <w:pPr>
              <w:spacing w:line="360" w:lineRule="auto"/>
              <w:rPr>
                <w:rFonts w:ascii="Calibri" w:hAnsi="Calibri" w:cs="Calibri"/>
              </w:rPr>
            </w:pPr>
            <w:r w:rsidRPr="003B4BF1">
              <w:rPr>
                <w:rFonts w:ascii="Calibri" w:hAnsi="Calibri" w:cs="Calibri"/>
              </w:rPr>
              <w:t>2. Break down tasks.</w:t>
            </w:r>
          </w:p>
          <w:p w14:paraId="79E25651" w14:textId="77777777" w:rsidR="003B4BF1" w:rsidRPr="003B4BF1" w:rsidRDefault="003B4BF1" w:rsidP="003B4BF1">
            <w:pPr>
              <w:spacing w:line="360" w:lineRule="auto"/>
              <w:rPr>
                <w:rFonts w:ascii="Calibri" w:hAnsi="Calibri" w:cs="Calibri"/>
              </w:rPr>
            </w:pPr>
            <w:r w:rsidRPr="003B4BF1">
              <w:rPr>
                <w:rFonts w:ascii="Calibri" w:hAnsi="Calibri" w:cs="Calibri"/>
              </w:rPr>
              <w:t>3. Provide feedback.</w:t>
            </w:r>
          </w:p>
        </w:tc>
        <w:tc>
          <w:tcPr>
            <w:tcW w:w="1661" w:type="dxa"/>
          </w:tcPr>
          <w:p w14:paraId="2F0923CC" w14:textId="77777777" w:rsidR="00FA411B" w:rsidRDefault="003B4BF1" w:rsidP="003B4BF1">
            <w:pPr>
              <w:spacing w:line="360" w:lineRule="auto"/>
              <w:rPr>
                <w:rFonts w:ascii="Calibri" w:hAnsi="Calibri" w:cs="Calibri"/>
              </w:rPr>
            </w:pPr>
            <w:r w:rsidRPr="003B4BF1">
              <w:rPr>
                <w:rFonts w:ascii="Calibri" w:hAnsi="Calibri" w:cs="Calibri"/>
              </w:rPr>
              <w:t xml:space="preserve">1. Design learning activities that build on students' prior knowledge and abilities. </w:t>
            </w:r>
          </w:p>
          <w:p w14:paraId="7B166406" w14:textId="0CAF0E32" w:rsidR="003B4BF1" w:rsidRPr="003B4BF1" w:rsidRDefault="003B4BF1" w:rsidP="003B4BF1">
            <w:pPr>
              <w:spacing w:line="360" w:lineRule="auto"/>
              <w:rPr>
                <w:rFonts w:ascii="Calibri" w:hAnsi="Calibri" w:cs="Calibri"/>
              </w:rPr>
            </w:pPr>
            <w:r w:rsidRPr="003B4BF1">
              <w:rPr>
                <w:rFonts w:ascii="Calibri" w:hAnsi="Calibri" w:cs="Calibri"/>
              </w:rPr>
              <w:t xml:space="preserve">2. Ask guiding questions that help students think critically. </w:t>
            </w:r>
          </w:p>
          <w:p w14:paraId="25082B19" w14:textId="77777777" w:rsidR="003B4BF1" w:rsidRPr="003B4BF1" w:rsidRDefault="003B4BF1" w:rsidP="003B4BF1">
            <w:pPr>
              <w:spacing w:line="360" w:lineRule="auto"/>
              <w:rPr>
                <w:rFonts w:ascii="Calibri" w:hAnsi="Calibri" w:cs="Calibri"/>
              </w:rPr>
            </w:pPr>
            <w:r w:rsidRPr="003B4BF1">
              <w:rPr>
                <w:rFonts w:ascii="Calibri" w:hAnsi="Calibri" w:cs="Calibri"/>
              </w:rPr>
              <w:t>3. Offer ongoing support and feedback.</w:t>
            </w:r>
          </w:p>
        </w:tc>
        <w:tc>
          <w:tcPr>
            <w:tcW w:w="2024" w:type="dxa"/>
          </w:tcPr>
          <w:p w14:paraId="456A2DBB"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Scaffolding theories </w:t>
            </w:r>
          </w:p>
          <w:p w14:paraId="15693BFF" w14:textId="77777777" w:rsidR="003B4BF1" w:rsidRPr="003B4BF1" w:rsidRDefault="003B4BF1" w:rsidP="003B4BF1">
            <w:pPr>
              <w:spacing w:line="360" w:lineRule="auto"/>
              <w:rPr>
                <w:rFonts w:ascii="Calibri" w:hAnsi="Calibri" w:cs="Calibri"/>
              </w:rPr>
            </w:pPr>
            <w:r w:rsidRPr="003B4BF1">
              <w:rPr>
                <w:rFonts w:ascii="Calibri" w:hAnsi="Calibri" w:cs="Calibri"/>
              </w:rPr>
              <w:t>Wood, Bruner and Ross (1976)</w:t>
            </w:r>
          </w:p>
          <w:p w14:paraId="012F700B" w14:textId="77777777" w:rsidR="003B4BF1" w:rsidRPr="003B4BF1" w:rsidRDefault="003B4BF1" w:rsidP="003B4BF1">
            <w:pPr>
              <w:spacing w:line="360" w:lineRule="auto"/>
              <w:rPr>
                <w:rFonts w:ascii="Calibri" w:hAnsi="Calibri" w:cs="Calibri"/>
              </w:rPr>
            </w:pPr>
            <w:r w:rsidRPr="003B4BF1">
              <w:rPr>
                <w:rFonts w:ascii="Calibri" w:hAnsi="Calibri" w:cs="Calibri"/>
              </w:rPr>
              <w:t>Vygotsky (1978)</w:t>
            </w:r>
          </w:p>
        </w:tc>
        <w:tc>
          <w:tcPr>
            <w:tcW w:w="1985" w:type="dxa"/>
          </w:tcPr>
          <w:p w14:paraId="13EA17A3"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Ongoing throughout the course. </w:t>
            </w:r>
          </w:p>
        </w:tc>
        <w:tc>
          <w:tcPr>
            <w:tcW w:w="2126" w:type="dxa"/>
          </w:tcPr>
          <w:p w14:paraId="16998031" w14:textId="77777777" w:rsidR="003B4BF1" w:rsidRPr="003B4BF1" w:rsidRDefault="003B4BF1" w:rsidP="003B4BF1">
            <w:pPr>
              <w:spacing w:line="360" w:lineRule="auto"/>
              <w:rPr>
                <w:rFonts w:ascii="Calibri" w:hAnsi="Calibri" w:cs="Calibri"/>
              </w:rPr>
            </w:pPr>
            <w:r w:rsidRPr="003B4BF1">
              <w:rPr>
                <w:rFonts w:ascii="Calibri" w:hAnsi="Calibri" w:cs="Calibri"/>
              </w:rPr>
              <w:t>1. Maintain and update knowledge of my subject(s) and how best to teach and assess them.</w:t>
            </w:r>
          </w:p>
          <w:p w14:paraId="19D78AB8" w14:textId="77777777" w:rsidR="003B4BF1" w:rsidRPr="003B4BF1" w:rsidRDefault="003B4BF1" w:rsidP="003B4BF1">
            <w:pPr>
              <w:spacing w:line="360" w:lineRule="auto"/>
              <w:rPr>
                <w:rFonts w:ascii="Calibri" w:hAnsi="Calibri" w:cs="Calibri"/>
              </w:rPr>
            </w:pPr>
            <w:r w:rsidRPr="003B4BF1">
              <w:rPr>
                <w:rFonts w:ascii="Calibri" w:hAnsi="Calibri" w:cs="Calibri"/>
              </w:rPr>
              <w:t>2. Know how to use evidence and research to improve my practice.</w:t>
            </w:r>
          </w:p>
        </w:tc>
      </w:tr>
      <w:tr w:rsidR="003B4BF1" w:rsidRPr="003B4BF1" w14:paraId="0EC843EC" w14:textId="77777777" w:rsidTr="00B57EA7">
        <w:trPr>
          <w:trHeight w:val="3534"/>
        </w:trPr>
        <w:tc>
          <w:tcPr>
            <w:tcW w:w="1607" w:type="dxa"/>
          </w:tcPr>
          <w:p w14:paraId="53CD3870" w14:textId="77777777" w:rsidR="003B4BF1" w:rsidRPr="003B4BF1" w:rsidRDefault="003B4BF1" w:rsidP="003B4BF1">
            <w:pPr>
              <w:spacing w:line="360" w:lineRule="auto"/>
              <w:rPr>
                <w:rFonts w:ascii="Calibri" w:hAnsi="Calibri" w:cs="Calibri"/>
              </w:rPr>
            </w:pPr>
            <w:r w:rsidRPr="003B4BF1">
              <w:rPr>
                <w:rFonts w:ascii="Calibri" w:hAnsi="Calibri" w:cs="Calibri"/>
              </w:rPr>
              <w:t>Reflect on teaching practice and continuously improve</w:t>
            </w:r>
          </w:p>
        </w:tc>
        <w:tc>
          <w:tcPr>
            <w:tcW w:w="1507" w:type="dxa"/>
          </w:tcPr>
          <w:p w14:paraId="02FB1282" w14:textId="77777777" w:rsidR="003B4BF1" w:rsidRPr="003B4BF1" w:rsidRDefault="003B4BF1" w:rsidP="003B4BF1">
            <w:pPr>
              <w:spacing w:line="360" w:lineRule="auto"/>
              <w:rPr>
                <w:rFonts w:ascii="Calibri" w:hAnsi="Calibri" w:cs="Calibri"/>
              </w:rPr>
            </w:pPr>
            <w:r w:rsidRPr="003B4BF1">
              <w:rPr>
                <w:rFonts w:ascii="Calibri" w:hAnsi="Calibri" w:cs="Calibri"/>
              </w:rPr>
              <w:t>1. Implement reflection journal.</w:t>
            </w:r>
          </w:p>
          <w:p w14:paraId="7501B554" w14:textId="77777777" w:rsidR="003B4BF1" w:rsidRPr="003B4BF1" w:rsidRDefault="003B4BF1" w:rsidP="003B4BF1">
            <w:pPr>
              <w:spacing w:line="360" w:lineRule="auto"/>
              <w:rPr>
                <w:rFonts w:ascii="Calibri" w:hAnsi="Calibri" w:cs="Calibri"/>
              </w:rPr>
            </w:pPr>
            <w:r w:rsidRPr="003B4BF1">
              <w:rPr>
                <w:rFonts w:ascii="Calibri" w:hAnsi="Calibri" w:cs="Calibri"/>
              </w:rPr>
              <w:t>2. Get student feedback.</w:t>
            </w:r>
          </w:p>
          <w:p w14:paraId="5D9648E2" w14:textId="77777777" w:rsidR="003B4BF1" w:rsidRPr="003B4BF1" w:rsidRDefault="003B4BF1" w:rsidP="003B4BF1">
            <w:pPr>
              <w:spacing w:line="360" w:lineRule="auto"/>
              <w:rPr>
                <w:rFonts w:ascii="Calibri" w:hAnsi="Calibri" w:cs="Calibri"/>
              </w:rPr>
            </w:pPr>
            <w:r w:rsidRPr="003B4BF1">
              <w:rPr>
                <w:rFonts w:ascii="Calibri" w:hAnsi="Calibri" w:cs="Calibri"/>
              </w:rPr>
              <w:t>3. Revise lesson plans accordingly.</w:t>
            </w:r>
          </w:p>
        </w:tc>
        <w:tc>
          <w:tcPr>
            <w:tcW w:w="1661" w:type="dxa"/>
          </w:tcPr>
          <w:p w14:paraId="6976F01F" w14:textId="77777777" w:rsidR="003B4BF1" w:rsidRPr="003B4BF1" w:rsidRDefault="003B4BF1" w:rsidP="003B4BF1">
            <w:pPr>
              <w:spacing w:line="360" w:lineRule="auto"/>
              <w:rPr>
                <w:rFonts w:ascii="Calibri" w:hAnsi="Calibri" w:cs="Calibri"/>
              </w:rPr>
            </w:pPr>
            <w:r w:rsidRPr="003B4BF1">
              <w:rPr>
                <w:rFonts w:ascii="Calibri" w:hAnsi="Calibri" w:cs="Calibri"/>
              </w:rPr>
              <w:t>1. Reflect after each lesson.</w:t>
            </w:r>
          </w:p>
          <w:p w14:paraId="12E6D64B" w14:textId="77777777" w:rsidR="003B4BF1" w:rsidRPr="003B4BF1" w:rsidRDefault="003B4BF1" w:rsidP="003B4BF1">
            <w:pPr>
              <w:spacing w:line="360" w:lineRule="auto"/>
              <w:rPr>
                <w:rFonts w:ascii="Calibri" w:hAnsi="Calibri" w:cs="Calibri"/>
              </w:rPr>
            </w:pPr>
            <w:r w:rsidRPr="003B4BF1">
              <w:rPr>
                <w:rFonts w:ascii="Calibri" w:hAnsi="Calibri" w:cs="Calibri"/>
              </w:rPr>
              <w:t>2. Use surveys and feedback forms.</w:t>
            </w:r>
          </w:p>
          <w:p w14:paraId="3CB7A67B" w14:textId="77777777" w:rsidR="003B4BF1" w:rsidRPr="003B4BF1" w:rsidRDefault="003B4BF1" w:rsidP="003B4BF1">
            <w:pPr>
              <w:spacing w:line="360" w:lineRule="auto"/>
              <w:rPr>
                <w:rFonts w:ascii="Calibri" w:hAnsi="Calibri" w:cs="Calibri"/>
              </w:rPr>
            </w:pPr>
            <w:r w:rsidRPr="003B4BF1">
              <w:rPr>
                <w:rFonts w:ascii="Calibri" w:hAnsi="Calibri" w:cs="Calibri"/>
              </w:rPr>
              <w:t>3. Adjust lessons based on insights</w:t>
            </w:r>
          </w:p>
        </w:tc>
        <w:tc>
          <w:tcPr>
            <w:tcW w:w="2024" w:type="dxa"/>
          </w:tcPr>
          <w:p w14:paraId="6C7A8F1A"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Reflection resources </w:t>
            </w:r>
          </w:p>
          <w:p w14:paraId="34D0D128" w14:textId="77777777" w:rsidR="003B4BF1" w:rsidRPr="003B4BF1" w:rsidRDefault="003B4BF1" w:rsidP="003B4BF1">
            <w:pPr>
              <w:spacing w:line="360" w:lineRule="auto"/>
              <w:rPr>
                <w:rFonts w:ascii="Calibri" w:hAnsi="Calibri" w:cs="Calibri"/>
              </w:rPr>
            </w:pPr>
            <w:r w:rsidRPr="003B4BF1">
              <w:rPr>
                <w:rFonts w:ascii="Calibri" w:hAnsi="Calibri" w:cs="Calibri"/>
              </w:rPr>
              <w:t>Schön (1983)</w:t>
            </w:r>
          </w:p>
          <w:p w14:paraId="49F4B6FC" w14:textId="77777777" w:rsidR="003B4BF1" w:rsidRPr="003B4BF1" w:rsidRDefault="003B4BF1" w:rsidP="003B4BF1">
            <w:pPr>
              <w:spacing w:line="360" w:lineRule="auto"/>
              <w:rPr>
                <w:rFonts w:ascii="Calibri" w:hAnsi="Calibri" w:cs="Calibri"/>
              </w:rPr>
            </w:pPr>
            <w:r w:rsidRPr="003B4BF1">
              <w:rPr>
                <w:rFonts w:ascii="Calibri" w:hAnsi="Calibri" w:cs="Calibri"/>
              </w:rPr>
              <w:t>Gibbs reflective cycle (1988)</w:t>
            </w:r>
          </w:p>
        </w:tc>
        <w:tc>
          <w:tcPr>
            <w:tcW w:w="1985" w:type="dxa"/>
          </w:tcPr>
          <w:p w14:paraId="4C1CB804" w14:textId="4D837B33" w:rsidR="003B4BF1" w:rsidRPr="003B4BF1" w:rsidRDefault="003B4BF1" w:rsidP="003B4BF1">
            <w:pPr>
              <w:spacing w:line="360" w:lineRule="auto"/>
              <w:rPr>
                <w:rFonts w:ascii="Calibri" w:hAnsi="Calibri" w:cs="Calibri"/>
              </w:rPr>
            </w:pPr>
            <w:r w:rsidRPr="003B4BF1">
              <w:rPr>
                <w:rFonts w:ascii="Calibri" w:hAnsi="Calibri" w:cs="Calibri"/>
              </w:rPr>
              <w:t>Implement daily after each lesson</w:t>
            </w:r>
          </w:p>
          <w:p w14:paraId="04CC3C76" w14:textId="77777777" w:rsidR="003B4BF1" w:rsidRPr="003B4BF1" w:rsidRDefault="003B4BF1" w:rsidP="003B4BF1">
            <w:pPr>
              <w:spacing w:line="360" w:lineRule="auto"/>
              <w:rPr>
                <w:rFonts w:ascii="Calibri" w:hAnsi="Calibri" w:cs="Calibri"/>
              </w:rPr>
            </w:pPr>
          </w:p>
        </w:tc>
        <w:tc>
          <w:tcPr>
            <w:tcW w:w="2126" w:type="dxa"/>
          </w:tcPr>
          <w:p w14:paraId="2A382787" w14:textId="77777777" w:rsidR="003B4BF1" w:rsidRPr="003B4BF1" w:rsidRDefault="003B4BF1" w:rsidP="003B4BF1">
            <w:pPr>
              <w:spacing w:line="360" w:lineRule="auto"/>
              <w:rPr>
                <w:rFonts w:ascii="Calibri" w:hAnsi="Calibri" w:cs="Calibri"/>
              </w:rPr>
            </w:pPr>
            <w:r w:rsidRPr="003B4BF1">
              <w:rPr>
                <w:rFonts w:ascii="Calibri" w:hAnsi="Calibri" w:cs="Calibri"/>
              </w:rPr>
              <w:t>1. Critically reflect on own values, knowledge and skills to improve learning</w:t>
            </w:r>
          </w:p>
          <w:p w14:paraId="47512369" w14:textId="77777777" w:rsidR="003B4BF1" w:rsidRPr="003B4BF1" w:rsidRDefault="003B4BF1" w:rsidP="003B4BF1">
            <w:pPr>
              <w:spacing w:line="360" w:lineRule="auto"/>
              <w:rPr>
                <w:rFonts w:ascii="Calibri" w:hAnsi="Calibri" w:cs="Calibri"/>
              </w:rPr>
            </w:pPr>
            <w:r w:rsidRPr="003B4BF1">
              <w:rPr>
                <w:rFonts w:ascii="Calibri" w:hAnsi="Calibri" w:cs="Calibri"/>
              </w:rPr>
              <w:t>2. Know how to use evidence and research to improve my practice</w:t>
            </w:r>
          </w:p>
        </w:tc>
      </w:tr>
      <w:tr w:rsidR="003B4BF1" w:rsidRPr="003B4BF1" w14:paraId="7EAB3171" w14:textId="77777777" w:rsidTr="00B57EA7">
        <w:trPr>
          <w:trHeight w:val="3534"/>
        </w:trPr>
        <w:tc>
          <w:tcPr>
            <w:tcW w:w="1607" w:type="dxa"/>
          </w:tcPr>
          <w:p w14:paraId="33E260DE" w14:textId="77777777" w:rsidR="003B4BF1" w:rsidRPr="003B4BF1" w:rsidRDefault="003B4BF1" w:rsidP="003B4BF1">
            <w:pPr>
              <w:spacing w:line="360" w:lineRule="auto"/>
              <w:rPr>
                <w:rFonts w:ascii="Calibri" w:hAnsi="Calibri" w:cs="Calibri"/>
              </w:rPr>
            </w:pPr>
            <w:r w:rsidRPr="003B4BF1">
              <w:rPr>
                <w:rFonts w:ascii="Calibri" w:hAnsi="Calibri" w:cs="Calibri"/>
              </w:rPr>
              <w:lastRenderedPageBreak/>
              <w:t>Cognitive development</w:t>
            </w:r>
          </w:p>
        </w:tc>
        <w:tc>
          <w:tcPr>
            <w:tcW w:w="1507" w:type="dxa"/>
          </w:tcPr>
          <w:p w14:paraId="0EAAFDF7" w14:textId="77777777" w:rsidR="003B4BF1" w:rsidRPr="003B4BF1" w:rsidRDefault="003B4BF1" w:rsidP="003B4BF1">
            <w:pPr>
              <w:spacing w:line="360" w:lineRule="auto"/>
              <w:rPr>
                <w:rFonts w:ascii="Calibri" w:hAnsi="Calibri" w:cs="Calibri"/>
              </w:rPr>
            </w:pPr>
            <w:r w:rsidRPr="003B4BF1">
              <w:rPr>
                <w:rFonts w:ascii="Calibri" w:hAnsi="Calibri" w:cs="Calibri"/>
              </w:rPr>
              <w:t>Use and apply Bloom's revised taxonomy</w:t>
            </w:r>
          </w:p>
        </w:tc>
        <w:tc>
          <w:tcPr>
            <w:tcW w:w="1661" w:type="dxa"/>
          </w:tcPr>
          <w:p w14:paraId="50DDB3FD" w14:textId="77777777" w:rsidR="003B4BF1" w:rsidRPr="003B4BF1" w:rsidRDefault="003B4BF1" w:rsidP="003B4BF1">
            <w:pPr>
              <w:spacing w:line="360" w:lineRule="auto"/>
              <w:rPr>
                <w:rFonts w:ascii="Calibri" w:hAnsi="Calibri" w:cs="Calibri"/>
              </w:rPr>
            </w:pPr>
            <w:r w:rsidRPr="003B4BF1">
              <w:rPr>
                <w:rFonts w:ascii="Calibri" w:hAnsi="Calibri" w:cs="Calibri"/>
              </w:rPr>
              <w:t>Design activities addressing different cognitive levels.</w:t>
            </w:r>
          </w:p>
          <w:p w14:paraId="644EC0C8" w14:textId="77777777" w:rsidR="003B4BF1" w:rsidRPr="003B4BF1" w:rsidRDefault="003B4BF1" w:rsidP="003B4BF1">
            <w:pPr>
              <w:spacing w:line="360" w:lineRule="auto"/>
              <w:rPr>
                <w:rFonts w:ascii="Calibri" w:hAnsi="Calibri" w:cs="Calibri"/>
              </w:rPr>
            </w:pPr>
            <w:r w:rsidRPr="003B4BF1">
              <w:rPr>
                <w:rFonts w:ascii="Calibri" w:hAnsi="Calibri" w:cs="Calibri"/>
              </w:rPr>
              <w:t>Create a question bank covering taxonomy levels.</w:t>
            </w:r>
          </w:p>
        </w:tc>
        <w:tc>
          <w:tcPr>
            <w:tcW w:w="2024" w:type="dxa"/>
          </w:tcPr>
          <w:p w14:paraId="3C46AA9F" w14:textId="77777777" w:rsidR="003B4BF1" w:rsidRPr="003B4BF1" w:rsidRDefault="003B4BF1" w:rsidP="003B4BF1">
            <w:pPr>
              <w:spacing w:line="360" w:lineRule="auto"/>
              <w:rPr>
                <w:rFonts w:ascii="Calibri" w:hAnsi="Calibri" w:cs="Calibri"/>
              </w:rPr>
            </w:pPr>
            <w:r w:rsidRPr="003B4BF1">
              <w:rPr>
                <w:rFonts w:ascii="Calibri" w:hAnsi="Calibri" w:cs="Calibri"/>
              </w:rPr>
              <w:t>Bloom's revised taxonomy Krathwohl (2002)</w:t>
            </w:r>
          </w:p>
        </w:tc>
        <w:tc>
          <w:tcPr>
            <w:tcW w:w="1985" w:type="dxa"/>
          </w:tcPr>
          <w:p w14:paraId="7E0C7A2A" w14:textId="77777777" w:rsidR="003B4BF1" w:rsidRPr="003B4BF1" w:rsidRDefault="003B4BF1" w:rsidP="003B4BF1">
            <w:pPr>
              <w:spacing w:line="360" w:lineRule="auto"/>
              <w:rPr>
                <w:rFonts w:ascii="Calibri" w:hAnsi="Calibri" w:cs="Calibri"/>
              </w:rPr>
            </w:pPr>
            <w:r w:rsidRPr="003B4BF1">
              <w:rPr>
                <w:rFonts w:ascii="Calibri" w:hAnsi="Calibri" w:cs="Calibri"/>
              </w:rPr>
              <w:t>Develop 3 questions per taxonomy level weekly</w:t>
            </w:r>
          </w:p>
        </w:tc>
        <w:tc>
          <w:tcPr>
            <w:tcW w:w="2126" w:type="dxa"/>
          </w:tcPr>
          <w:p w14:paraId="3FB78662" w14:textId="77777777" w:rsidR="003B4BF1" w:rsidRPr="003B4BF1" w:rsidRDefault="003B4BF1" w:rsidP="003B4BF1">
            <w:pPr>
              <w:spacing w:line="360" w:lineRule="auto"/>
              <w:rPr>
                <w:rFonts w:ascii="Calibri" w:hAnsi="Calibri" w:cs="Calibri"/>
              </w:rPr>
            </w:pPr>
            <w:r w:rsidRPr="003B4BF1">
              <w:rPr>
                <w:rFonts w:ascii="Calibri" w:hAnsi="Calibri" w:cs="Calibri"/>
              </w:rPr>
              <w:t>Plan and deliver effective learning, teaching, and assessment.</w:t>
            </w:r>
          </w:p>
        </w:tc>
      </w:tr>
      <w:tr w:rsidR="003B4BF1" w:rsidRPr="003B4BF1" w14:paraId="5CEAAAF9" w14:textId="77777777" w:rsidTr="00B57EA7">
        <w:trPr>
          <w:trHeight w:val="3534"/>
        </w:trPr>
        <w:tc>
          <w:tcPr>
            <w:tcW w:w="1607" w:type="dxa"/>
          </w:tcPr>
          <w:p w14:paraId="0894C613" w14:textId="77777777" w:rsidR="003B4BF1" w:rsidRPr="003B4BF1" w:rsidRDefault="003B4BF1" w:rsidP="003B4BF1">
            <w:pPr>
              <w:spacing w:line="360" w:lineRule="auto"/>
              <w:rPr>
                <w:rFonts w:ascii="Calibri" w:hAnsi="Calibri" w:cs="Calibri"/>
              </w:rPr>
            </w:pPr>
            <w:r w:rsidRPr="003B4BF1">
              <w:rPr>
                <w:rFonts w:ascii="Calibri" w:hAnsi="Calibri" w:cs="Calibri"/>
              </w:rPr>
              <w:t>Positive reinforcement</w:t>
            </w:r>
          </w:p>
        </w:tc>
        <w:tc>
          <w:tcPr>
            <w:tcW w:w="1507" w:type="dxa"/>
          </w:tcPr>
          <w:p w14:paraId="4E7F6A7E" w14:textId="77777777" w:rsidR="003B4BF1" w:rsidRPr="003B4BF1" w:rsidRDefault="003B4BF1" w:rsidP="003B4BF1">
            <w:pPr>
              <w:spacing w:line="360" w:lineRule="auto"/>
              <w:rPr>
                <w:rFonts w:ascii="Calibri" w:hAnsi="Calibri" w:cs="Calibri"/>
              </w:rPr>
            </w:pPr>
            <w:r w:rsidRPr="003B4BF1">
              <w:rPr>
                <w:rFonts w:ascii="Calibri" w:hAnsi="Calibri" w:cs="Calibri"/>
              </w:rPr>
              <w:t>Implement a consistent praise system</w:t>
            </w:r>
          </w:p>
        </w:tc>
        <w:tc>
          <w:tcPr>
            <w:tcW w:w="1661" w:type="dxa"/>
          </w:tcPr>
          <w:p w14:paraId="09254855" w14:textId="77777777" w:rsidR="003B4BF1" w:rsidRPr="003B4BF1" w:rsidRDefault="003B4BF1" w:rsidP="003B4BF1">
            <w:pPr>
              <w:spacing w:line="360" w:lineRule="auto"/>
              <w:rPr>
                <w:rFonts w:ascii="Calibri" w:hAnsi="Calibri" w:cs="Calibri"/>
              </w:rPr>
            </w:pPr>
            <w:r w:rsidRPr="003B4BF1">
              <w:rPr>
                <w:rFonts w:ascii="Calibri" w:hAnsi="Calibri" w:cs="Calibri"/>
              </w:rPr>
              <w:t>Use verbal and non-verbal gestures to acknowledge student contributions.</w:t>
            </w:r>
          </w:p>
        </w:tc>
        <w:tc>
          <w:tcPr>
            <w:tcW w:w="2024" w:type="dxa"/>
          </w:tcPr>
          <w:p w14:paraId="76548F36" w14:textId="77777777" w:rsidR="003B4BF1" w:rsidRPr="003B4BF1" w:rsidRDefault="003B4BF1" w:rsidP="003B4BF1">
            <w:pPr>
              <w:spacing w:line="360" w:lineRule="auto"/>
              <w:rPr>
                <w:rFonts w:ascii="Calibri" w:hAnsi="Calibri" w:cs="Calibri"/>
              </w:rPr>
            </w:pPr>
            <w:r w:rsidRPr="003B4BF1">
              <w:rPr>
                <w:rFonts w:ascii="Calibri" w:hAnsi="Calibri" w:cs="Calibri"/>
              </w:rPr>
              <w:t xml:space="preserve">Caldarella </w:t>
            </w:r>
            <w:r w:rsidRPr="003B4BF1">
              <w:rPr>
                <w:rFonts w:ascii="Calibri" w:hAnsi="Calibri" w:cs="Calibri"/>
                <w:i/>
                <w:iCs/>
              </w:rPr>
              <w:t>et al</w:t>
            </w:r>
            <w:r w:rsidRPr="003B4BF1">
              <w:rPr>
                <w:rFonts w:ascii="Calibri" w:hAnsi="Calibri" w:cs="Calibri"/>
              </w:rPr>
              <w:t xml:space="preserve">. (2020) </w:t>
            </w:r>
          </w:p>
          <w:p w14:paraId="2506FC83" w14:textId="77777777" w:rsidR="003B4BF1" w:rsidRPr="003B4BF1" w:rsidRDefault="003B4BF1" w:rsidP="003B4BF1">
            <w:pPr>
              <w:spacing w:line="360" w:lineRule="auto"/>
              <w:rPr>
                <w:rFonts w:ascii="Calibri" w:hAnsi="Calibri" w:cs="Calibri"/>
              </w:rPr>
            </w:pPr>
            <w:r w:rsidRPr="003B4BF1">
              <w:rPr>
                <w:rFonts w:ascii="Calibri" w:hAnsi="Calibri" w:cs="Calibri"/>
              </w:rPr>
              <w:t>Skinner (1953)</w:t>
            </w:r>
          </w:p>
        </w:tc>
        <w:tc>
          <w:tcPr>
            <w:tcW w:w="1985" w:type="dxa"/>
          </w:tcPr>
          <w:p w14:paraId="1811E4AA" w14:textId="77777777" w:rsidR="003B4BF1" w:rsidRPr="003B4BF1" w:rsidRDefault="003B4BF1" w:rsidP="003B4BF1">
            <w:pPr>
              <w:spacing w:line="360" w:lineRule="auto"/>
              <w:rPr>
                <w:rFonts w:ascii="Calibri" w:hAnsi="Calibri" w:cs="Calibri"/>
              </w:rPr>
            </w:pPr>
            <w:r w:rsidRPr="003B4BF1">
              <w:rPr>
                <w:rFonts w:ascii="Calibri" w:hAnsi="Calibri" w:cs="Calibri"/>
              </w:rPr>
              <w:t>Start immediately and ongoing</w:t>
            </w:r>
          </w:p>
        </w:tc>
        <w:tc>
          <w:tcPr>
            <w:tcW w:w="2126" w:type="dxa"/>
          </w:tcPr>
          <w:p w14:paraId="017E14A5" w14:textId="77777777" w:rsidR="003B4BF1" w:rsidRPr="003B4BF1" w:rsidRDefault="003B4BF1" w:rsidP="003B4BF1">
            <w:pPr>
              <w:spacing w:line="360" w:lineRule="auto"/>
              <w:rPr>
                <w:rFonts w:ascii="Calibri" w:hAnsi="Calibri" w:cs="Calibri"/>
              </w:rPr>
            </w:pPr>
            <w:r w:rsidRPr="003B4BF1">
              <w:rPr>
                <w:rFonts w:ascii="Calibri" w:hAnsi="Calibri" w:cs="Calibri"/>
              </w:rPr>
              <w:t>Demonstrate dignity, courtesy, and respect towards others</w:t>
            </w:r>
          </w:p>
        </w:tc>
      </w:tr>
    </w:tbl>
    <w:p w14:paraId="798A5B4C" w14:textId="77777777" w:rsidR="003B4BF1" w:rsidRDefault="003B4BF1" w:rsidP="001F36B3">
      <w:pPr>
        <w:rPr>
          <w:rFonts w:ascii="Calibri" w:hAnsi="Calibri" w:cs="Calibri"/>
          <w:b/>
          <w:bCs/>
          <w:u w:val="single"/>
        </w:rPr>
      </w:pPr>
    </w:p>
    <w:p w14:paraId="09BB450A" w14:textId="77777777" w:rsidR="003B4BF1" w:rsidRDefault="003B4BF1" w:rsidP="001F36B3">
      <w:pPr>
        <w:rPr>
          <w:rFonts w:ascii="Calibri" w:hAnsi="Calibri" w:cs="Calibri"/>
          <w:b/>
          <w:bCs/>
          <w:u w:val="single"/>
        </w:rPr>
      </w:pPr>
    </w:p>
    <w:p w14:paraId="6CB44D1B" w14:textId="77777777" w:rsidR="003B4BF1" w:rsidRDefault="003B4BF1" w:rsidP="001F36B3">
      <w:pPr>
        <w:rPr>
          <w:rFonts w:ascii="Calibri" w:hAnsi="Calibri" w:cs="Calibri"/>
          <w:b/>
          <w:bCs/>
          <w:u w:val="single"/>
        </w:rPr>
      </w:pPr>
    </w:p>
    <w:p w14:paraId="61DD50EC" w14:textId="77777777" w:rsidR="003B4BF1" w:rsidRDefault="003B4BF1" w:rsidP="001F36B3">
      <w:pPr>
        <w:rPr>
          <w:rFonts w:ascii="Calibri" w:hAnsi="Calibri" w:cs="Calibri"/>
          <w:b/>
          <w:bCs/>
          <w:u w:val="single"/>
        </w:rPr>
      </w:pPr>
    </w:p>
    <w:p w14:paraId="7679A1B2" w14:textId="77777777" w:rsidR="00B430B4" w:rsidRDefault="00B430B4" w:rsidP="001F36B3">
      <w:pPr>
        <w:rPr>
          <w:rFonts w:ascii="Calibri" w:hAnsi="Calibri" w:cs="Calibri"/>
          <w:b/>
          <w:bCs/>
          <w:u w:val="single"/>
        </w:rPr>
      </w:pPr>
    </w:p>
    <w:p w14:paraId="0D36E9CC" w14:textId="77777777" w:rsidR="00B430B4" w:rsidRDefault="00B430B4" w:rsidP="001F36B3">
      <w:pPr>
        <w:rPr>
          <w:rFonts w:ascii="Calibri" w:hAnsi="Calibri" w:cs="Calibri"/>
          <w:b/>
          <w:bCs/>
          <w:u w:val="single"/>
        </w:rPr>
      </w:pPr>
    </w:p>
    <w:p w14:paraId="4BD822D7" w14:textId="77777777" w:rsidR="00B430B4" w:rsidRDefault="00B430B4" w:rsidP="001F36B3">
      <w:pPr>
        <w:rPr>
          <w:rFonts w:ascii="Calibri" w:hAnsi="Calibri" w:cs="Calibri"/>
          <w:b/>
          <w:bCs/>
          <w:u w:val="single"/>
        </w:rPr>
      </w:pPr>
    </w:p>
    <w:p w14:paraId="299D7529" w14:textId="77777777" w:rsidR="00B430B4" w:rsidRDefault="00B430B4" w:rsidP="001F36B3">
      <w:pPr>
        <w:rPr>
          <w:rFonts w:ascii="Calibri" w:hAnsi="Calibri" w:cs="Calibri"/>
          <w:b/>
          <w:bCs/>
          <w:u w:val="single"/>
        </w:rPr>
      </w:pPr>
    </w:p>
    <w:p w14:paraId="791B8899" w14:textId="77777777" w:rsidR="00B430B4" w:rsidRDefault="00B430B4" w:rsidP="001F36B3">
      <w:pPr>
        <w:rPr>
          <w:rFonts w:ascii="Calibri" w:hAnsi="Calibri" w:cs="Calibri"/>
          <w:b/>
          <w:bCs/>
          <w:u w:val="single"/>
        </w:rPr>
      </w:pPr>
    </w:p>
    <w:p w14:paraId="2A8C1E76" w14:textId="77777777" w:rsidR="00B430B4" w:rsidRDefault="00B430B4" w:rsidP="001F36B3">
      <w:pPr>
        <w:rPr>
          <w:rFonts w:ascii="Calibri" w:hAnsi="Calibri" w:cs="Calibri"/>
          <w:b/>
          <w:bCs/>
          <w:u w:val="single"/>
        </w:rPr>
      </w:pPr>
    </w:p>
    <w:p w14:paraId="3637AE5B" w14:textId="77777777" w:rsidR="00B430B4" w:rsidRDefault="00B430B4" w:rsidP="001F36B3">
      <w:pPr>
        <w:rPr>
          <w:rFonts w:ascii="Calibri" w:hAnsi="Calibri" w:cs="Calibri"/>
          <w:b/>
          <w:bCs/>
          <w:u w:val="single"/>
        </w:rPr>
      </w:pPr>
    </w:p>
    <w:p w14:paraId="0F25FE42" w14:textId="77777777" w:rsidR="003B4BF1" w:rsidRDefault="003B4BF1" w:rsidP="001F36B3">
      <w:pPr>
        <w:rPr>
          <w:rFonts w:ascii="Calibri" w:hAnsi="Calibri" w:cs="Calibri"/>
          <w:b/>
          <w:bCs/>
          <w:u w:val="single"/>
        </w:rPr>
      </w:pPr>
    </w:p>
    <w:p w14:paraId="696AC819" w14:textId="77777777" w:rsidR="00E42C7E" w:rsidRDefault="00E42C7E" w:rsidP="003B4BF1">
      <w:pPr>
        <w:jc w:val="center"/>
        <w:rPr>
          <w:rFonts w:ascii="Calibri" w:hAnsi="Calibri" w:cs="Calibri"/>
          <w:b/>
          <w:bCs/>
          <w:u w:val="single"/>
        </w:rPr>
      </w:pPr>
    </w:p>
    <w:p w14:paraId="46737E1F" w14:textId="753766AC" w:rsidR="001F36B3" w:rsidRPr="001F36B3" w:rsidRDefault="001F36B3" w:rsidP="003B4BF1">
      <w:pPr>
        <w:jc w:val="center"/>
        <w:rPr>
          <w:rFonts w:ascii="Calibri" w:hAnsi="Calibri" w:cs="Calibri"/>
          <w:u w:val="single"/>
        </w:rPr>
      </w:pPr>
      <w:r w:rsidRPr="001F36B3">
        <w:rPr>
          <w:rFonts w:ascii="Calibri" w:hAnsi="Calibri" w:cs="Calibri"/>
          <w:b/>
          <w:bCs/>
          <w:u w:val="single"/>
        </w:rPr>
        <w:lastRenderedPageBreak/>
        <w:t>Reference list</w:t>
      </w:r>
    </w:p>
    <w:p w14:paraId="57BA434D" w14:textId="77777777" w:rsidR="001F36B3" w:rsidRPr="001F36B3" w:rsidRDefault="001F36B3" w:rsidP="001F36B3">
      <w:pPr>
        <w:rPr>
          <w:rFonts w:ascii="Calibri" w:hAnsi="Calibri" w:cs="Calibri"/>
        </w:rPr>
      </w:pPr>
      <w:r w:rsidRPr="001F36B3">
        <w:rPr>
          <w:rFonts w:ascii="Calibri" w:hAnsi="Calibri" w:cs="Calibri"/>
        </w:rPr>
        <w:t>Ambrose, S.A., Bridges, M.W., DiPietro, M., Lovett, M.C. and Norman, M.K. (2010) </w:t>
      </w:r>
      <w:r w:rsidRPr="001F36B3">
        <w:rPr>
          <w:rFonts w:ascii="Calibri" w:hAnsi="Calibri" w:cs="Calibri"/>
          <w:i/>
          <w:iCs/>
        </w:rPr>
        <w:t>How learning works: seven research-based principles for smart teaching</w:t>
      </w:r>
      <w:r w:rsidRPr="001F36B3">
        <w:rPr>
          <w:rFonts w:ascii="Calibri" w:hAnsi="Calibri" w:cs="Calibri"/>
        </w:rPr>
        <w:t xml:space="preserve">. San Francisco, CA: Jossey-Bass. Available at: </w:t>
      </w:r>
      <w:hyperlink r:id="rId10" w:history="1">
        <w:r w:rsidRPr="001F36B3">
          <w:rPr>
            <w:rStyle w:val="Hyperlink"/>
            <w:rFonts w:ascii="Calibri" w:hAnsi="Calibri" w:cs="Calibri"/>
          </w:rPr>
          <w:t>https://firstliteracy.org/wp-content/uploads/2015/07/How-Learning-Works.pdf</w:t>
        </w:r>
      </w:hyperlink>
    </w:p>
    <w:p w14:paraId="1FB4CB39" w14:textId="77777777" w:rsidR="001F36B3" w:rsidRPr="001F36B3" w:rsidRDefault="001F36B3" w:rsidP="001F36B3">
      <w:pPr>
        <w:rPr>
          <w:rFonts w:ascii="Calibri" w:hAnsi="Calibri" w:cs="Calibri"/>
        </w:rPr>
      </w:pPr>
      <w:r w:rsidRPr="001F36B3">
        <w:rPr>
          <w:rFonts w:ascii="Calibri" w:hAnsi="Calibri" w:cs="Calibri"/>
        </w:rPr>
        <w:t>Caldarella, P., Larsen, R.A.A., Williams, L., Downs, K.R., Wills, H.P. and Wehby, J.H. (2020) 'Effects of teachers’ praise-to-reprimand ratios on elementary students’ on-task behaviour', </w:t>
      </w:r>
      <w:r w:rsidRPr="001F36B3">
        <w:rPr>
          <w:rFonts w:ascii="Calibri" w:hAnsi="Calibri" w:cs="Calibri"/>
          <w:i/>
          <w:iCs/>
        </w:rPr>
        <w:t>Educational Psychology</w:t>
      </w:r>
      <w:r w:rsidRPr="001F36B3">
        <w:rPr>
          <w:rFonts w:ascii="Calibri" w:hAnsi="Calibri" w:cs="Calibri"/>
        </w:rPr>
        <w:t xml:space="preserve">, 40(6), pp. 730–750. Available at:  </w:t>
      </w:r>
      <w:hyperlink r:id="rId11" w:history="1">
        <w:r w:rsidRPr="001F36B3">
          <w:rPr>
            <w:rStyle w:val="Hyperlink"/>
            <w:rFonts w:ascii="Calibri" w:hAnsi="Calibri" w:cs="Calibri"/>
          </w:rPr>
          <w:t>https://doi.org/10.1080/01443410.2020.1711872</w:t>
        </w:r>
      </w:hyperlink>
    </w:p>
    <w:p w14:paraId="75E512E9" w14:textId="77777777" w:rsidR="001F36B3" w:rsidRPr="001F36B3" w:rsidRDefault="001F36B3" w:rsidP="001F36B3">
      <w:pPr>
        <w:rPr>
          <w:rFonts w:ascii="Calibri" w:hAnsi="Calibri" w:cs="Calibri"/>
        </w:rPr>
      </w:pPr>
      <w:proofErr w:type="spellStart"/>
      <w:r w:rsidRPr="001F36B3">
        <w:rPr>
          <w:rFonts w:ascii="Calibri" w:hAnsi="Calibri" w:cs="Calibri"/>
        </w:rPr>
        <w:t>Deslauriers</w:t>
      </w:r>
      <w:proofErr w:type="spellEnd"/>
      <w:r w:rsidRPr="001F36B3">
        <w:rPr>
          <w:rFonts w:ascii="Calibri" w:hAnsi="Calibri" w:cs="Calibri"/>
        </w:rPr>
        <w:t>, L., McCarty, L.S., Miller, K., Callaghan, K. and Kestin, G. (2019) 'Measuring actual learning versus feeling of learning in response to being actively engaged in the classroom', </w:t>
      </w:r>
      <w:r w:rsidRPr="001F36B3">
        <w:rPr>
          <w:rFonts w:ascii="Calibri" w:hAnsi="Calibri" w:cs="Calibri"/>
          <w:i/>
          <w:iCs/>
        </w:rPr>
        <w:t>Proceedings of the National Academy of Sciences</w:t>
      </w:r>
      <w:r w:rsidRPr="001F36B3">
        <w:rPr>
          <w:rFonts w:ascii="Calibri" w:hAnsi="Calibri" w:cs="Calibri"/>
        </w:rPr>
        <w:t>, 116(39), pp. 19251–19257. Available at: </w:t>
      </w:r>
      <w:hyperlink r:id="rId12" w:tgtFrame="_blank" w:history="1">
        <w:r w:rsidRPr="001F36B3">
          <w:rPr>
            <w:rStyle w:val="Hyperlink"/>
            <w:rFonts w:ascii="Calibri" w:hAnsi="Calibri" w:cs="Calibri"/>
          </w:rPr>
          <w:t>https://doi.org/10.1073/pnas.1821936116</w:t>
        </w:r>
      </w:hyperlink>
    </w:p>
    <w:p w14:paraId="7013603D" w14:textId="77777777" w:rsidR="001F36B3" w:rsidRPr="001F36B3" w:rsidRDefault="001F36B3" w:rsidP="001F36B3">
      <w:pPr>
        <w:rPr>
          <w:rFonts w:ascii="Calibri" w:hAnsi="Calibri" w:cs="Calibri"/>
        </w:rPr>
      </w:pPr>
      <w:r w:rsidRPr="001F36B3">
        <w:rPr>
          <w:rFonts w:ascii="Calibri" w:hAnsi="Calibri" w:cs="Calibri"/>
        </w:rPr>
        <w:t>Freeman, S., Eddy, S.L., McDonough, M., Smith, M.K., Okoroafor, N., Jordt, H. and Wenderoth, M.P. (2014) 'Active learning increases student performance in science, engineering, and mathematics', </w:t>
      </w:r>
      <w:r w:rsidRPr="001F36B3">
        <w:rPr>
          <w:rFonts w:ascii="Calibri" w:hAnsi="Calibri" w:cs="Calibri"/>
          <w:i/>
          <w:iCs/>
        </w:rPr>
        <w:t>Proceedings of the National Academy of Sciences</w:t>
      </w:r>
      <w:r w:rsidRPr="001F36B3">
        <w:rPr>
          <w:rFonts w:ascii="Calibri" w:hAnsi="Calibri" w:cs="Calibri"/>
        </w:rPr>
        <w:t>, 111(23), pp. 8410–8415. Available at: </w:t>
      </w:r>
      <w:hyperlink r:id="rId13" w:tgtFrame="_blank" w:history="1">
        <w:r w:rsidRPr="001F36B3">
          <w:rPr>
            <w:rStyle w:val="Hyperlink"/>
            <w:rFonts w:ascii="Calibri" w:hAnsi="Calibri" w:cs="Calibri"/>
          </w:rPr>
          <w:t>https://doi.org/10.1073/pnas.1319030111</w:t>
        </w:r>
      </w:hyperlink>
    </w:p>
    <w:p w14:paraId="325FFE12" w14:textId="77777777" w:rsidR="001F36B3" w:rsidRPr="001F36B3" w:rsidRDefault="001F36B3" w:rsidP="001F36B3">
      <w:pPr>
        <w:rPr>
          <w:rFonts w:ascii="Calibri" w:hAnsi="Calibri" w:cs="Calibri"/>
        </w:rPr>
      </w:pPr>
      <w:r w:rsidRPr="001F36B3">
        <w:rPr>
          <w:rFonts w:ascii="Calibri" w:hAnsi="Calibri" w:cs="Calibri"/>
        </w:rPr>
        <w:t>Hattie, J. (2012) </w:t>
      </w:r>
      <w:r w:rsidRPr="001F36B3">
        <w:rPr>
          <w:rFonts w:ascii="Calibri" w:hAnsi="Calibri" w:cs="Calibri"/>
          <w:i/>
          <w:iCs/>
        </w:rPr>
        <w:t>Visible learning for teachers: maximizing impact on learning</w:t>
      </w:r>
      <w:r w:rsidRPr="001F36B3">
        <w:rPr>
          <w:rFonts w:ascii="Calibri" w:hAnsi="Calibri" w:cs="Calibri"/>
        </w:rPr>
        <w:t>. London: Routledge. Available at: </w:t>
      </w:r>
      <w:hyperlink r:id="rId14" w:tgtFrame="_blank" w:history="1">
        <w:r w:rsidRPr="001F36B3">
          <w:rPr>
            <w:rStyle w:val="Hyperlink"/>
            <w:rFonts w:ascii="Calibri" w:hAnsi="Calibri" w:cs="Calibri"/>
          </w:rPr>
          <w:t>https://www.routledge.com/Visible-Learning-for-Teachers-Maximizing-Impact-on-Learning/Hattie/p/book/9780415690157</w:t>
        </w:r>
      </w:hyperlink>
      <w:r w:rsidRPr="001F36B3">
        <w:rPr>
          <w:rFonts w:ascii="Calibri" w:hAnsi="Calibri" w:cs="Calibri"/>
        </w:rPr>
        <w:t> (Accessed: 1 February 2025).</w:t>
      </w:r>
    </w:p>
    <w:p w14:paraId="27A2C066" w14:textId="77777777" w:rsidR="001F36B3" w:rsidRPr="001F36B3" w:rsidRDefault="001F36B3" w:rsidP="001F36B3">
      <w:pPr>
        <w:rPr>
          <w:rFonts w:ascii="Calibri" w:hAnsi="Calibri" w:cs="Calibri"/>
        </w:rPr>
      </w:pPr>
      <w:r w:rsidRPr="001F36B3">
        <w:rPr>
          <w:rFonts w:ascii="Calibri" w:hAnsi="Calibri" w:cs="Calibri"/>
        </w:rPr>
        <w:t xml:space="preserve">Jansen, R.S., </w:t>
      </w:r>
      <w:proofErr w:type="spellStart"/>
      <w:r w:rsidRPr="001F36B3">
        <w:rPr>
          <w:rFonts w:ascii="Calibri" w:hAnsi="Calibri" w:cs="Calibri"/>
        </w:rPr>
        <w:t>Lakens</w:t>
      </w:r>
      <w:proofErr w:type="spellEnd"/>
      <w:r w:rsidRPr="001F36B3">
        <w:rPr>
          <w:rFonts w:ascii="Calibri" w:hAnsi="Calibri" w:cs="Calibri"/>
        </w:rPr>
        <w:t xml:space="preserve">, D. and </w:t>
      </w:r>
      <w:proofErr w:type="spellStart"/>
      <w:r w:rsidRPr="001F36B3">
        <w:rPr>
          <w:rFonts w:ascii="Calibri" w:hAnsi="Calibri" w:cs="Calibri"/>
        </w:rPr>
        <w:t>IJsselsteijn</w:t>
      </w:r>
      <w:proofErr w:type="spellEnd"/>
      <w:r w:rsidRPr="001F36B3">
        <w:rPr>
          <w:rFonts w:ascii="Calibri" w:hAnsi="Calibri" w:cs="Calibri"/>
        </w:rPr>
        <w:t xml:space="preserve">, W.A. (2017) 'An integrative review of the cognitive costs and benefits of </w:t>
      </w:r>
      <w:proofErr w:type="gramStart"/>
      <w:r w:rsidRPr="001F36B3">
        <w:rPr>
          <w:rFonts w:ascii="Calibri" w:hAnsi="Calibri" w:cs="Calibri"/>
        </w:rPr>
        <w:t>note-taking</w:t>
      </w:r>
      <w:proofErr w:type="gramEnd"/>
      <w:r w:rsidRPr="001F36B3">
        <w:rPr>
          <w:rFonts w:ascii="Calibri" w:hAnsi="Calibri" w:cs="Calibri"/>
        </w:rPr>
        <w:t>', </w:t>
      </w:r>
      <w:r w:rsidRPr="001F36B3">
        <w:rPr>
          <w:rFonts w:ascii="Calibri" w:hAnsi="Calibri" w:cs="Calibri"/>
          <w:i/>
          <w:iCs/>
        </w:rPr>
        <w:t>Educational Research Review</w:t>
      </w:r>
      <w:r w:rsidRPr="001F36B3">
        <w:rPr>
          <w:rFonts w:ascii="Calibri" w:hAnsi="Calibri" w:cs="Calibri"/>
        </w:rPr>
        <w:t xml:space="preserve">, 22, pp. 223–233. Available at:  </w:t>
      </w:r>
      <w:hyperlink r:id="rId15" w:history="1">
        <w:r w:rsidRPr="001F36B3">
          <w:rPr>
            <w:rStyle w:val="Hyperlink"/>
            <w:rFonts w:ascii="Calibri" w:hAnsi="Calibri" w:cs="Calibri"/>
          </w:rPr>
          <w:t>https://doi.org/10.1016/j.edurev.2017.10.001</w:t>
        </w:r>
      </w:hyperlink>
      <w:r w:rsidRPr="001F36B3">
        <w:rPr>
          <w:rFonts w:ascii="Calibri" w:hAnsi="Calibri" w:cs="Calibri"/>
        </w:rPr>
        <w:t xml:space="preserve"> (Accessed: 29 January 2025)</w:t>
      </w:r>
    </w:p>
    <w:p w14:paraId="29BBC3F3" w14:textId="77777777" w:rsidR="001F36B3" w:rsidRPr="001F36B3" w:rsidRDefault="001F36B3" w:rsidP="001F36B3">
      <w:pPr>
        <w:rPr>
          <w:rFonts w:ascii="Calibri" w:hAnsi="Calibri" w:cs="Calibri"/>
        </w:rPr>
      </w:pPr>
      <w:r w:rsidRPr="001F36B3">
        <w:rPr>
          <w:rFonts w:ascii="Calibri" w:hAnsi="Calibri" w:cs="Calibri"/>
        </w:rPr>
        <w:t>Knowles, M.S., Holton III, E.F. and Swanson, R.A. (2015) </w:t>
      </w:r>
      <w:r w:rsidRPr="001F36B3">
        <w:rPr>
          <w:rFonts w:ascii="Calibri" w:hAnsi="Calibri" w:cs="Calibri"/>
          <w:i/>
          <w:iCs/>
        </w:rPr>
        <w:t>The adult learner: The definitive classic in adult education and human resource development</w:t>
      </w:r>
      <w:r w:rsidRPr="001F36B3">
        <w:rPr>
          <w:rFonts w:ascii="Calibri" w:hAnsi="Calibri" w:cs="Calibri"/>
        </w:rPr>
        <w:t xml:space="preserve">. 8th </w:t>
      </w:r>
      <w:proofErr w:type="spellStart"/>
      <w:r w:rsidRPr="001F36B3">
        <w:rPr>
          <w:rFonts w:ascii="Calibri" w:hAnsi="Calibri" w:cs="Calibri"/>
        </w:rPr>
        <w:t>edn</w:t>
      </w:r>
      <w:proofErr w:type="spellEnd"/>
      <w:r w:rsidRPr="001F36B3">
        <w:rPr>
          <w:rFonts w:ascii="Calibri" w:hAnsi="Calibri" w:cs="Calibri"/>
        </w:rPr>
        <w:t>. London: Routledge.</w:t>
      </w:r>
    </w:p>
    <w:p w14:paraId="23591247" w14:textId="77777777" w:rsidR="001F36B3" w:rsidRPr="001F36B3" w:rsidRDefault="001F36B3" w:rsidP="001F36B3">
      <w:pPr>
        <w:rPr>
          <w:rFonts w:ascii="Calibri" w:hAnsi="Calibri" w:cs="Calibri"/>
        </w:rPr>
      </w:pPr>
      <w:r w:rsidRPr="001F36B3">
        <w:rPr>
          <w:rFonts w:ascii="Calibri" w:hAnsi="Calibri" w:cs="Calibri"/>
        </w:rPr>
        <w:t>Krathwohl, D.R. (2002) 'A revision of Bloom's Taxonomy: An overview', </w:t>
      </w:r>
      <w:r w:rsidRPr="001F36B3">
        <w:rPr>
          <w:rFonts w:ascii="Calibri" w:hAnsi="Calibri" w:cs="Calibri"/>
          <w:i/>
          <w:iCs/>
        </w:rPr>
        <w:t xml:space="preserve">Theory </w:t>
      </w:r>
      <w:proofErr w:type="gramStart"/>
      <w:r w:rsidRPr="001F36B3">
        <w:rPr>
          <w:rFonts w:ascii="Calibri" w:hAnsi="Calibri" w:cs="Calibri"/>
          <w:i/>
          <w:iCs/>
        </w:rPr>
        <w:t>Into</w:t>
      </w:r>
      <w:proofErr w:type="gramEnd"/>
      <w:r w:rsidRPr="001F36B3">
        <w:rPr>
          <w:rFonts w:ascii="Calibri" w:hAnsi="Calibri" w:cs="Calibri"/>
          <w:i/>
          <w:iCs/>
        </w:rPr>
        <w:t xml:space="preserve"> Practice</w:t>
      </w:r>
      <w:r w:rsidRPr="001F36B3">
        <w:rPr>
          <w:rFonts w:ascii="Calibri" w:hAnsi="Calibri" w:cs="Calibri"/>
        </w:rPr>
        <w:t>, 41(4), pp. 212–218. Available at: </w:t>
      </w:r>
      <w:hyperlink r:id="rId16" w:tgtFrame="_blank" w:history="1">
        <w:r w:rsidRPr="001F36B3">
          <w:rPr>
            <w:rStyle w:val="Hyperlink"/>
            <w:rFonts w:ascii="Calibri" w:hAnsi="Calibri" w:cs="Calibri"/>
          </w:rPr>
          <w:t>https://www.jstor.org/stable/1477405</w:t>
        </w:r>
      </w:hyperlink>
    </w:p>
    <w:p w14:paraId="2B1EEED5" w14:textId="77777777" w:rsidR="001F36B3" w:rsidRPr="001F36B3" w:rsidRDefault="001F36B3" w:rsidP="001F36B3">
      <w:pPr>
        <w:rPr>
          <w:rFonts w:ascii="Calibri" w:hAnsi="Calibri" w:cs="Calibri"/>
        </w:rPr>
      </w:pPr>
      <w:r w:rsidRPr="001F36B3">
        <w:rPr>
          <w:rFonts w:ascii="Calibri" w:hAnsi="Calibri" w:cs="Calibri"/>
        </w:rPr>
        <w:t>Kolb, D.A. (2015) </w:t>
      </w:r>
      <w:r w:rsidRPr="001F36B3">
        <w:rPr>
          <w:rFonts w:ascii="Calibri" w:hAnsi="Calibri" w:cs="Calibri"/>
          <w:i/>
          <w:iCs/>
        </w:rPr>
        <w:t>Experiential learning: experience as the source of learning and development</w:t>
      </w:r>
      <w:r w:rsidRPr="001F36B3">
        <w:rPr>
          <w:rFonts w:ascii="Calibri" w:hAnsi="Calibri" w:cs="Calibri"/>
        </w:rPr>
        <w:t xml:space="preserve">. 2nd </w:t>
      </w:r>
      <w:proofErr w:type="spellStart"/>
      <w:r w:rsidRPr="001F36B3">
        <w:rPr>
          <w:rFonts w:ascii="Calibri" w:hAnsi="Calibri" w:cs="Calibri"/>
        </w:rPr>
        <w:t>edn</w:t>
      </w:r>
      <w:proofErr w:type="spellEnd"/>
      <w:r w:rsidRPr="001F36B3">
        <w:rPr>
          <w:rFonts w:ascii="Calibri" w:hAnsi="Calibri" w:cs="Calibri"/>
        </w:rPr>
        <w:t xml:space="preserve">. Harlow: Pearson FT Press. </w:t>
      </w:r>
    </w:p>
    <w:p w14:paraId="5CBD2E54" w14:textId="77777777" w:rsidR="001F36B3" w:rsidRPr="001F36B3" w:rsidRDefault="001F36B3" w:rsidP="001F36B3">
      <w:pPr>
        <w:rPr>
          <w:rFonts w:ascii="Calibri" w:hAnsi="Calibri" w:cs="Calibri"/>
        </w:rPr>
      </w:pPr>
      <w:proofErr w:type="spellStart"/>
      <w:r w:rsidRPr="001F36B3">
        <w:rPr>
          <w:rFonts w:ascii="Calibri" w:hAnsi="Calibri" w:cs="Calibri"/>
        </w:rPr>
        <w:t>Kothiyal</w:t>
      </w:r>
      <w:proofErr w:type="spellEnd"/>
      <w:r w:rsidRPr="001F36B3">
        <w:rPr>
          <w:rFonts w:ascii="Calibri" w:hAnsi="Calibri" w:cs="Calibri"/>
        </w:rPr>
        <w:t>, A., Murthy, S. and Iyer, S. (2014) 'Think-pair-share in a large CS1 class: does learning really happen?', in </w:t>
      </w:r>
      <w:r w:rsidRPr="001F36B3">
        <w:rPr>
          <w:rFonts w:ascii="Calibri" w:hAnsi="Calibri" w:cs="Calibri"/>
          <w:i/>
          <w:iCs/>
        </w:rPr>
        <w:t>Proceedings of the 2014 conference on innovation and technology in computer science education</w:t>
      </w:r>
      <w:r w:rsidRPr="001F36B3">
        <w:rPr>
          <w:rFonts w:ascii="Calibri" w:hAnsi="Calibri" w:cs="Calibri"/>
        </w:rPr>
        <w:t xml:space="preserve">. New York: ACM, pp. 51-56. Available at:  </w:t>
      </w:r>
      <w:hyperlink r:id="rId17" w:history="1">
        <w:r w:rsidRPr="001F36B3">
          <w:rPr>
            <w:rStyle w:val="Hyperlink"/>
            <w:rFonts w:ascii="Calibri" w:hAnsi="Calibri" w:cs="Calibri"/>
          </w:rPr>
          <w:t>https://dl.acm.org/doi/10.1145/2591708.2591739</w:t>
        </w:r>
      </w:hyperlink>
      <w:r w:rsidRPr="001F36B3">
        <w:rPr>
          <w:rFonts w:ascii="Calibri" w:hAnsi="Calibri" w:cs="Calibri"/>
        </w:rPr>
        <w:t> (Accessed: 1 February 2025).</w:t>
      </w:r>
    </w:p>
    <w:p w14:paraId="60A73B42" w14:textId="77777777" w:rsidR="001F36B3" w:rsidRPr="001F36B3" w:rsidRDefault="001F36B3" w:rsidP="001F36B3">
      <w:pPr>
        <w:rPr>
          <w:rFonts w:ascii="Calibri" w:hAnsi="Calibri" w:cs="Calibri"/>
        </w:rPr>
      </w:pPr>
      <w:r w:rsidRPr="001F36B3">
        <w:rPr>
          <w:rFonts w:ascii="Calibri" w:hAnsi="Calibri" w:cs="Calibri"/>
        </w:rPr>
        <w:t>Lave, J. and Wenger, E. (1991) </w:t>
      </w:r>
      <w:r w:rsidRPr="001F36B3">
        <w:rPr>
          <w:rFonts w:ascii="Calibri" w:hAnsi="Calibri" w:cs="Calibri"/>
          <w:i/>
          <w:iCs/>
        </w:rPr>
        <w:t>Situated learning: legitimate peripheral participation</w:t>
      </w:r>
      <w:r w:rsidRPr="001F36B3">
        <w:rPr>
          <w:rFonts w:ascii="Calibri" w:hAnsi="Calibri" w:cs="Calibri"/>
        </w:rPr>
        <w:t>. Cambridge: Cambridge University Press.</w:t>
      </w:r>
    </w:p>
    <w:p w14:paraId="0A993EA7" w14:textId="77777777" w:rsidR="001F36B3" w:rsidRPr="001F36B3" w:rsidRDefault="001F36B3" w:rsidP="001F36B3">
      <w:pPr>
        <w:rPr>
          <w:rFonts w:ascii="Calibri" w:hAnsi="Calibri" w:cs="Calibri"/>
        </w:rPr>
      </w:pPr>
      <w:r w:rsidRPr="001F36B3">
        <w:rPr>
          <w:rFonts w:ascii="Calibri" w:hAnsi="Calibri" w:cs="Calibri"/>
        </w:rPr>
        <w:lastRenderedPageBreak/>
        <w:t xml:space="preserve">Lampi, A.R., Fenty, N.S. &amp; </w:t>
      </w:r>
      <w:proofErr w:type="spellStart"/>
      <w:r w:rsidRPr="001F36B3">
        <w:rPr>
          <w:rFonts w:ascii="Calibri" w:hAnsi="Calibri" w:cs="Calibri"/>
        </w:rPr>
        <w:t>Beaunae</w:t>
      </w:r>
      <w:proofErr w:type="spellEnd"/>
      <w:r w:rsidRPr="001F36B3">
        <w:rPr>
          <w:rFonts w:ascii="Calibri" w:hAnsi="Calibri" w:cs="Calibri"/>
        </w:rPr>
        <w:t>, C. (2005) 'Making the three Ps easier: praise, proximity, and precorrection', </w:t>
      </w:r>
      <w:r w:rsidRPr="001F36B3">
        <w:rPr>
          <w:rFonts w:ascii="Calibri" w:hAnsi="Calibri" w:cs="Calibri"/>
          <w:i/>
          <w:iCs/>
        </w:rPr>
        <w:t xml:space="preserve">Beyond </w:t>
      </w:r>
      <w:proofErr w:type="spellStart"/>
      <w:r w:rsidRPr="001F36B3">
        <w:rPr>
          <w:rFonts w:ascii="Calibri" w:hAnsi="Calibri" w:cs="Calibri"/>
          <w:i/>
          <w:iCs/>
        </w:rPr>
        <w:t>Behavior</w:t>
      </w:r>
      <w:proofErr w:type="spellEnd"/>
      <w:r w:rsidRPr="001F36B3">
        <w:rPr>
          <w:rFonts w:ascii="Calibri" w:hAnsi="Calibri" w:cs="Calibri"/>
        </w:rPr>
        <w:t xml:space="preserve">, 15(1), pp. 8-12. Available at:  </w:t>
      </w:r>
      <w:hyperlink r:id="rId18" w:history="1">
        <w:r w:rsidRPr="001F36B3">
          <w:rPr>
            <w:rStyle w:val="Hyperlink"/>
            <w:rFonts w:ascii="Calibri" w:hAnsi="Calibri" w:cs="Calibri"/>
          </w:rPr>
          <w:t>https://www.jstor.org/stable/41824408</w:t>
        </w:r>
      </w:hyperlink>
      <w:r w:rsidRPr="001F36B3">
        <w:rPr>
          <w:rFonts w:ascii="Calibri" w:hAnsi="Calibri" w:cs="Calibri"/>
        </w:rPr>
        <w:t> (Accessed: 2 February 2025).</w:t>
      </w:r>
    </w:p>
    <w:p w14:paraId="340540D2" w14:textId="77777777" w:rsidR="001F36B3" w:rsidRPr="001F36B3" w:rsidRDefault="001F36B3" w:rsidP="001F36B3">
      <w:pPr>
        <w:rPr>
          <w:rFonts w:ascii="Calibri" w:hAnsi="Calibri" w:cs="Calibri"/>
        </w:rPr>
      </w:pPr>
      <w:r w:rsidRPr="001F36B3">
        <w:rPr>
          <w:rFonts w:ascii="Calibri" w:hAnsi="Calibri" w:cs="Calibri"/>
        </w:rPr>
        <w:t xml:space="preserve">Lisdawati, I., </w:t>
      </w:r>
      <w:proofErr w:type="spellStart"/>
      <w:r w:rsidRPr="001F36B3">
        <w:rPr>
          <w:rFonts w:ascii="Calibri" w:hAnsi="Calibri" w:cs="Calibri"/>
        </w:rPr>
        <w:t>Bhuana</w:t>
      </w:r>
      <w:proofErr w:type="spellEnd"/>
      <w:r w:rsidRPr="001F36B3">
        <w:rPr>
          <w:rFonts w:ascii="Calibri" w:hAnsi="Calibri" w:cs="Calibri"/>
        </w:rPr>
        <w:t xml:space="preserve">, G.P., El Fauziah, U.N. and </w:t>
      </w:r>
      <w:proofErr w:type="spellStart"/>
      <w:r w:rsidRPr="001F36B3">
        <w:rPr>
          <w:rFonts w:ascii="Calibri" w:hAnsi="Calibri" w:cs="Calibri"/>
        </w:rPr>
        <w:t>Syathroh</w:t>
      </w:r>
      <w:proofErr w:type="spellEnd"/>
      <w:r w:rsidRPr="001F36B3">
        <w:rPr>
          <w:rFonts w:ascii="Calibri" w:hAnsi="Calibri" w:cs="Calibri"/>
        </w:rPr>
        <w:t>, I.L. (2024) 'Exploring divergent questions and cold calling in a class discussion', </w:t>
      </w:r>
      <w:r w:rsidRPr="001F36B3">
        <w:rPr>
          <w:rFonts w:ascii="Calibri" w:hAnsi="Calibri" w:cs="Calibri"/>
          <w:i/>
          <w:iCs/>
        </w:rPr>
        <w:t>Journal of English Language and Literature (JELA)</w:t>
      </w:r>
      <w:r w:rsidRPr="001F36B3">
        <w:rPr>
          <w:rFonts w:ascii="Calibri" w:hAnsi="Calibri" w:cs="Calibri"/>
        </w:rPr>
        <w:t>, 6(1), pp. 1–10. Available at: </w:t>
      </w:r>
      <w:hyperlink r:id="rId19" w:tgtFrame="_blank" w:history="1">
        <w:r w:rsidRPr="001F36B3">
          <w:rPr>
            <w:rStyle w:val="Hyperlink"/>
            <w:rFonts w:ascii="Calibri" w:hAnsi="Calibri" w:cs="Calibri"/>
          </w:rPr>
          <w:t>https://doi.org/10.37742/jela.v6i1.124</w:t>
        </w:r>
      </w:hyperlink>
    </w:p>
    <w:p w14:paraId="48947BF3" w14:textId="77777777" w:rsidR="001F36B3" w:rsidRPr="001F36B3" w:rsidRDefault="001F36B3" w:rsidP="001F36B3">
      <w:pPr>
        <w:rPr>
          <w:rFonts w:ascii="Calibri" w:hAnsi="Calibri" w:cs="Calibri"/>
        </w:rPr>
      </w:pPr>
      <w:r w:rsidRPr="001F36B3">
        <w:rPr>
          <w:rFonts w:ascii="Calibri" w:hAnsi="Calibri" w:cs="Calibri"/>
        </w:rPr>
        <w:t>Marzano, R.J., Marzano, J.S. and Pickering, D.J. (2003) </w:t>
      </w:r>
      <w:r w:rsidRPr="001F36B3">
        <w:rPr>
          <w:rFonts w:ascii="Calibri" w:hAnsi="Calibri" w:cs="Calibri"/>
          <w:i/>
          <w:iCs/>
        </w:rPr>
        <w:t>Classroom management that works: Research-based strategies for every teacher</w:t>
      </w:r>
      <w:r w:rsidRPr="001F36B3">
        <w:rPr>
          <w:rFonts w:ascii="Calibri" w:hAnsi="Calibri" w:cs="Calibri"/>
        </w:rPr>
        <w:t>. Alexandria, VA: ASCD</w:t>
      </w:r>
    </w:p>
    <w:p w14:paraId="0363F3F2" w14:textId="77777777" w:rsidR="001F36B3" w:rsidRPr="001F36B3" w:rsidRDefault="001F36B3" w:rsidP="001F36B3">
      <w:pPr>
        <w:rPr>
          <w:rFonts w:ascii="Calibri" w:hAnsi="Calibri" w:cs="Calibri"/>
        </w:rPr>
      </w:pPr>
      <w:r w:rsidRPr="001F36B3">
        <w:rPr>
          <w:rFonts w:ascii="Calibri" w:hAnsi="Calibri" w:cs="Calibri"/>
        </w:rPr>
        <w:t xml:space="preserve">Poirier, M., </w:t>
      </w:r>
      <w:proofErr w:type="spellStart"/>
      <w:r w:rsidRPr="001F36B3">
        <w:rPr>
          <w:rFonts w:ascii="Calibri" w:hAnsi="Calibri" w:cs="Calibri"/>
        </w:rPr>
        <w:t>Aubenas</w:t>
      </w:r>
      <w:proofErr w:type="spellEnd"/>
      <w:r w:rsidRPr="001F36B3">
        <w:rPr>
          <w:rFonts w:ascii="Calibri" w:hAnsi="Calibri" w:cs="Calibri"/>
        </w:rPr>
        <w:t xml:space="preserve">, S., </w:t>
      </w:r>
      <w:proofErr w:type="spellStart"/>
      <w:r w:rsidRPr="001F36B3">
        <w:rPr>
          <w:rFonts w:ascii="Calibri" w:hAnsi="Calibri" w:cs="Calibri"/>
        </w:rPr>
        <w:t>Bluteau</w:t>
      </w:r>
      <w:proofErr w:type="spellEnd"/>
      <w:r w:rsidRPr="001F36B3">
        <w:rPr>
          <w:rFonts w:ascii="Calibri" w:hAnsi="Calibri" w:cs="Calibri"/>
        </w:rPr>
        <w:t>, J. and Dufour, F. (2022) ‘Influence of flexible classroom seating on the wellbeing and mental health of upper elementary school students: A gender analysis’, </w:t>
      </w:r>
      <w:r w:rsidRPr="001F36B3">
        <w:rPr>
          <w:rFonts w:ascii="Calibri" w:hAnsi="Calibri" w:cs="Calibri"/>
          <w:i/>
        </w:rPr>
        <w:t>Frontiers in Psychology</w:t>
      </w:r>
      <w:r w:rsidRPr="001F36B3">
        <w:rPr>
          <w:rFonts w:ascii="Calibri" w:hAnsi="Calibri" w:cs="Calibri"/>
        </w:rPr>
        <w:t xml:space="preserve">, 13, 821227. Available at: </w:t>
      </w:r>
      <w:hyperlink r:id="rId20" w:history="1">
        <w:r w:rsidRPr="001F36B3">
          <w:rPr>
            <w:rStyle w:val="Hyperlink"/>
            <w:rFonts w:ascii="Calibri" w:hAnsi="Calibri" w:cs="Calibri"/>
          </w:rPr>
          <w:t>https://doi.org/10.3389/fpsyg.2022.821227</w:t>
        </w:r>
      </w:hyperlink>
      <w:r w:rsidRPr="001F36B3">
        <w:rPr>
          <w:rFonts w:ascii="Calibri" w:hAnsi="Calibri" w:cs="Calibri"/>
        </w:rPr>
        <w:t xml:space="preserve"> (Accessed: 1 February 2025).</w:t>
      </w:r>
    </w:p>
    <w:p w14:paraId="2C923626" w14:textId="77777777" w:rsidR="001F36B3" w:rsidRPr="001F36B3" w:rsidRDefault="001F36B3" w:rsidP="001F36B3">
      <w:pPr>
        <w:rPr>
          <w:rFonts w:ascii="Calibri" w:hAnsi="Calibri" w:cs="Calibri"/>
        </w:rPr>
      </w:pPr>
      <w:r w:rsidRPr="001F36B3">
        <w:rPr>
          <w:rFonts w:ascii="Calibri" w:hAnsi="Calibri" w:cs="Calibri"/>
        </w:rPr>
        <w:t>Race, P. (2015) </w:t>
      </w:r>
      <w:r w:rsidRPr="001F36B3">
        <w:rPr>
          <w:rFonts w:ascii="Calibri" w:hAnsi="Calibri" w:cs="Calibri"/>
          <w:i/>
          <w:iCs/>
        </w:rPr>
        <w:t>The lecturer's toolkit: a practical guide to assessment, learning and teaching</w:t>
      </w:r>
      <w:r w:rsidRPr="001F36B3">
        <w:rPr>
          <w:rFonts w:ascii="Calibri" w:hAnsi="Calibri" w:cs="Calibri"/>
        </w:rPr>
        <w:t xml:space="preserve">. 4th </w:t>
      </w:r>
      <w:proofErr w:type="spellStart"/>
      <w:r w:rsidRPr="001F36B3">
        <w:rPr>
          <w:rFonts w:ascii="Calibri" w:hAnsi="Calibri" w:cs="Calibri"/>
        </w:rPr>
        <w:t>edn</w:t>
      </w:r>
      <w:proofErr w:type="spellEnd"/>
      <w:r w:rsidRPr="001F36B3">
        <w:rPr>
          <w:rFonts w:ascii="Calibri" w:hAnsi="Calibri" w:cs="Calibri"/>
        </w:rPr>
        <w:t>. Abingdon: Routledge.</w:t>
      </w:r>
    </w:p>
    <w:p w14:paraId="0034223B" w14:textId="77777777" w:rsidR="001F36B3" w:rsidRPr="001F36B3" w:rsidRDefault="001F36B3" w:rsidP="001F36B3">
      <w:pPr>
        <w:rPr>
          <w:rFonts w:ascii="Calibri" w:hAnsi="Calibri" w:cs="Calibri"/>
        </w:rPr>
      </w:pPr>
      <w:r w:rsidRPr="001F36B3">
        <w:rPr>
          <w:rFonts w:ascii="Calibri" w:hAnsi="Calibri" w:cs="Calibri"/>
        </w:rPr>
        <w:t>Rands, M.L. and Gansemer-Topf, A.M. (2017) 'The room itself is active: how classroom design impacts student engagement', </w:t>
      </w:r>
      <w:r w:rsidRPr="001F36B3">
        <w:rPr>
          <w:rFonts w:ascii="Calibri" w:hAnsi="Calibri" w:cs="Calibri"/>
          <w:i/>
          <w:iCs/>
        </w:rPr>
        <w:t>Journal of Learning Spaces</w:t>
      </w:r>
      <w:r w:rsidRPr="001F36B3">
        <w:rPr>
          <w:rFonts w:ascii="Calibri" w:hAnsi="Calibri" w:cs="Calibri"/>
        </w:rPr>
        <w:t>, 6(1), pp. 26-33. Available at: </w:t>
      </w:r>
      <w:hyperlink r:id="rId21" w:history="1">
        <w:r w:rsidRPr="001F36B3">
          <w:rPr>
            <w:rStyle w:val="Hyperlink"/>
            <w:rFonts w:ascii="Calibri" w:hAnsi="Calibri" w:cs="Calibri"/>
          </w:rPr>
          <w:t>http://libjournal.uncg.edu/jls/article/view/1286</w:t>
        </w:r>
      </w:hyperlink>
      <w:r w:rsidRPr="001F36B3">
        <w:rPr>
          <w:rFonts w:ascii="Calibri" w:hAnsi="Calibri" w:cs="Calibri"/>
        </w:rPr>
        <w:t> (Accessed: 29 January 2025).</w:t>
      </w:r>
    </w:p>
    <w:p w14:paraId="6B11DD6A" w14:textId="77777777" w:rsidR="001F36B3" w:rsidRPr="001F36B3" w:rsidRDefault="001F36B3" w:rsidP="001F36B3">
      <w:pPr>
        <w:rPr>
          <w:rFonts w:ascii="Calibri" w:hAnsi="Calibri" w:cs="Calibri"/>
        </w:rPr>
      </w:pPr>
      <w:r w:rsidRPr="001F36B3">
        <w:rPr>
          <w:rFonts w:ascii="Calibri" w:hAnsi="Calibri" w:cs="Calibri"/>
        </w:rPr>
        <w:t>Riches, A. (2019) 'Get out from behind the desk', </w:t>
      </w:r>
      <w:r w:rsidRPr="001F36B3">
        <w:rPr>
          <w:rFonts w:ascii="Calibri" w:hAnsi="Calibri" w:cs="Calibri"/>
          <w:i/>
          <w:iCs/>
        </w:rPr>
        <w:t>SecEd</w:t>
      </w:r>
      <w:r w:rsidRPr="001F36B3">
        <w:rPr>
          <w:rFonts w:ascii="Calibri" w:hAnsi="Calibri" w:cs="Calibri"/>
        </w:rPr>
        <w:t>. Available at: </w:t>
      </w:r>
      <w:hyperlink r:id="rId22" w:tgtFrame="_blank" w:history="1">
        <w:r w:rsidRPr="001F36B3">
          <w:rPr>
            <w:rStyle w:val="Hyperlink"/>
            <w:rFonts w:ascii="Calibri" w:hAnsi="Calibri" w:cs="Calibri"/>
          </w:rPr>
          <w:t>https://www.sec-ed.co.uk/content/best-practice/get-out-from-behind-the-desk/</w:t>
        </w:r>
      </w:hyperlink>
      <w:r w:rsidRPr="001F36B3">
        <w:rPr>
          <w:rFonts w:ascii="Calibri" w:hAnsi="Calibri" w:cs="Calibri"/>
        </w:rPr>
        <w:t> (Accessed: 1 February 2025).</w:t>
      </w:r>
    </w:p>
    <w:p w14:paraId="27681D41" w14:textId="77777777" w:rsidR="001F36B3" w:rsidRPr="001F36B3" w:rsidRDefault="001F36B3" w:rsidP="001F36B3">
      <w:pPr>
        <w:rPr>
          <w:rFonts w:ascii="Calibri" w:hAnsi="Calibri" w:cs="Calibri"/>
        </w:rPr>
      </w:pPr>
      <w:r w:rsidRPr="001F36B3">
        <w:rPr>
          <w:rFonts w:ascii="Calibri" w:hAnsi="Calibri" w:cs="Calibri"/>
        </w:rPr>
        <w:t xml:space="preserve">Roorda, D. L., Koomen, H. M. Y., Spilt, J. L. and Oort, F. J. (2011) 'The influence of affective teacher-student relationships on students' school engagement and achievement: A meta-analytic approach', </w:t>
      </w:r>
      <w:r w:rsidRPr="001F36B3">
        <w:rPr>
          <w:rFonts w:ascii="Calibri" w:hAnsi="Calibri" w:cs="Calibri"/>
          <w:i/>
          <w:iCs/>
        </w:rPr>
        <w:t>Review of Educational Research</w:t>
      </w:r>
      <w:r w:rsidRPr="001F36B3">
        <w:rPr>
          <w:rFonts w:ascii="Calibri" w:hAnsi="Calibri" w:cs="Calibri"/>
        </w:rPr>
        <w:t xml:space="preserve">, 81(4), pp. 493-529. Available at: </w:t>
      </w:r>
      <w:hyperlink r:id="rId23" w:history="1">
        <w:r w:rsidRPr="001F36B3">
          <w:rPr>
            <w:rStyle w:val="Hyperlink"/>
            <w:rFonts w:ascii="Calibri" w:hAnsi="Calibri" w:cs="Calibri"/>
          </w:rPr>
          <w:t>https://journals.sagepub.com/doi/pdf/10.3102/0034654311421793?casa_token=MFzRt411MWYAAAAA:p9v5EhxjPxQXfNB6icwa7XbOZoktd9w3QyXUQph3lx_D50AsdA8VHtDfE3dmDX6wkW4fFa4AiGA</w:t>
        </w:r>
      </w:hyperlink>
      <w:r w:rsidRPr="001F36B3">
        <w:rPr>
          <w:rFonts w:ascii="Calibri" w:hAnsi="Calibri" w:cs="Calibri"/>
        </w:rPr>
        <w:t xml:space="preserve"> (Accessed: 30 January 2025)</w:t>
      </w:r>
    </w:p>
    <w:p w14:paraId="6036FE22" w14:textId="77777777" w:rsidR="001F36B3" w:rsidRPr="001F36B3" w:rsidRDefault="001F36B3" w:rsidP="001F36B3">
      <w:pPr>
        <w:rPr>
          <w:rFonts w:ascii="Calibri" w:hAnsi="Calibri" w:cs="Calibri"/>
        </w:rPr>
      </w:pPr>
      <w:r w:rsidRPr="001F36B3">
        <w:rPr>
          <w:rFonts w:ascii="Calibri" w:hAnsi="Calibri" w:cs="Calibri"/>
        </w:rPr>
        <w:t>Skinner, B.F. (1953) </w:t>
      </w:r>
      <w:r w:rsidRPr="001F36B3">
        <w:rPr>
          <w:rFonts w:ascii="Calibri" w:hAnsi="Calibri" w:cs="Calibri"/>
          <w:i/>
        </w:rPr>
        <w:t xml:space="preserve">Science and </w:t>
      </w:r>
      <w:r w:rsidRPr="001F36B3">
        <w:rPr>
          <w:rFonts w:ascii="Calibri" w:hAnsi="Calibri" w:cs="Calibri"/>
          <w:i/>
          <w:iCs/>
        </w:rPr>
        <w:t xml:space="preserve">human </w:t>
      </w:r>
      <w:proofErr w:type="spellStart"/>
      <w:r w:rsidRPr="001F36B3">
        <w:rPr>
          <w:rFonts w:ascii="Calibri" w:hAnsi="Calibri" w:cs="Calibri"/>
          <w:i/>
          <w:iCs/>
        </w:rPr>
        <w:t>behavior</w:t>
      </w:r>
      <w:proofErr w:type="spellEnd"/>
      <w:r w:rsidRPr="001F36B3">
        <w:rPr>
          <w:rFonts w:ascii="Calibri" w:hAnsi="Calibri" w:cs="Calibri"/>
        </w:rPr>
        <w:t>. New York: Macmillan.</w:t>
      </w:r>
    </w:p>
    <w:p w14:paraId="38C04F0B" w14:textId="77777777" w:rsidR="001F36B3" w:rsidRPr="001F36B3" w:rsidRDefault="001F36B3" w:rsidP="001F36B3">
      <w:pPr>
        <w:rPr>
          <w:rFonts w:ascii="Calibri" w:hAnsi="Calibri" w:cs="Calibri"/>
        </w:rPr>
      </w:pPr>
      <w:r w:rsidRPr="001F36B3">
        <w:rPr>
          <w:rFonts w:ascii="Calibri" w:hAnsi="Calibri" w:cs="Calibri"/>
        </w:rPr>
        <w:t xml:space="preserve">van de Pol, J., Volman, M. and </w:t>
      </w:r>
      <w:proofErr w:type="spellStart"/>
      <w:r w:rsidRPr="001F36B3">
        <w:rPr>
          <w:rFonts w:ascii="Calibri" w:hAnsi="Calibri" w:cs="Calibri"/>
        </w:rPr>
        <w:t>Beishuizen</w:t>
      </w:r>
      <w:proofErr w:type="spellEnd"/>
      <w:r w:rsidRPr="001F36B3">
        <w:rPr>
          <w:rFonts w:ascii="Calibri" w:hAnsi="Calibri" w:cs="Calibri"/>
        </w:rPr>
        <w:t>, J. (2010) 'Scaffolding in teacher-student interaction: a decade of research', </w:t>
      </w:r>
      <w:r w:rsidRPr="001F36B3">
        <w:rPr>
          <w:rFonts w:ascii="Calibri" w:hAnsi="Calibri" w:cs="Calibri"/>
          <w:i/>
          <w:iCs/>
        </w:rPr>
        <w:t>Educational Psychology Review</w:t>
      </w:r>
      <w:r w:rsidRPr="001F36B3">
        <w:rPr>
          <w:rFonts w:ascii="Calibri" w:hAnsi="Calibri" w:cs="Calibri"/>
        </w:rPr>
        <w:t xml:space="preserve">, 22(3), pp. 271-296. Available at:  </w:t>
      </w:r>
      <w:hyperlink r:id="rId24" w:history="1">
        <w:r w:rsidRPr="001F36B3">
          <w:rPr>
            <w:rStyle w:val="Hyperlink"/>
            <w:rFonts w:ascii="Calibri" w:hAnsi="Calibri" w:cs="Calibri"/>
          </w:rPr>
          <w:t>https://doi.org/10.1007/s10648-010-9127-6</w:t>
        </w:r>
      </w:hyperlink>
      <w:r w:rsidRPr="001F36B3">
        <w:rPr>
          <w:rFonts w:ascii="Calibri" w:hAnsi="Calibri" w:cs="Calibri"/>
        </w:rPr>
        <w:t> (Accessed: 30 January 2025).</w:t>
      </w:r>
    </w:p>
    <w:p w14:paraId="44A53A07" w14:textId="77777777" w:rsidR="001F36B3" w:rsidRPr="001F36B3" w:rsidRDefault="001F36B3" w:rsidP="001F36B3">
      <w:pPr>
        <w:rPr>
          <w:rFonts w:ascii="Calibri" w:hAnsi="Calibri" w:cs="Calibri"/>
        </w:rPr>
      </w:pPr>
      <w:r w:rsidRPr="001F36B3">
        <w:rPr>
          <w:rFonts w:ascii="Calibri" w:hAnsi="Calibri" w:cs="Calibri"/>
        </w:rPr>
        <w:t>Vivekananda, N. and Meenakshi, R. (2022) 'The importance of honesty in the teaching profession', </w:t>
      </w:r>
      <w:r w:rsidRPr="001F36B3">
        <w:rPr>
          <w:rFonts w:ascii="Calibri" w:hAnsi="Calibri" w:cs="Calibri"/>
          <w:i/>
          <w:iCs/>
        </w:rPr>
        <w:t>IJFANS International Journal of Food and Nutritional Sciences</w:t>
      </w:r>
      <w:r w:rsidRPr="001F36B3">
        <w:rPr>
          <w:rFonts w:ascii="Calibri" w:hAnsi="Calibri" w:cs="Calibri"/>
        </w:rPr>
        <w:t>, 11(Special Issue 7), pp. 4505-4510. Available at:  </w:t>
      </w:r>
      <w:hyperlink r:id="rId25" w:tgtFrame="_blank" w:history="1">
        <w:r w:rsidRPr="001F36B3">
          <w:rPr>
            <w:rStyle w:val="Hyperlink"/>
            <w:rFonts w:ascii="Calibri" w:hAnsi="Calibri" w:cs="Calibri"/>
          </w:rPr>
          <w:t>https://ijfans.org/uploads/paper/f5cd2bf04215b4c4d079d10ea19ed419.pdf</w:t>
        </w:r>
      </w:hyperlink>
      <w:r w:rsidRPr="001F36B3">
        <w:rPr>
          <w:rFonts w:ascii="Calibri" w:hAnsi="Calibri" w:cs="Calibri"/>
        </w:rPr>
        <w:t> (Accessed: 31 January 2025).</w:t>
      </w:r>
    </w:p>
    <w:p w14:paraId="11B00100" w14:textId="77777777" w:rsidR="001F36B3" w:rsidRPr="001F36B3" w:rsidRDefault="001F36B3" w:rsidP="001F36B3">
      <w:pPr>
        <w:rPr>
          <w:rFonts w:ascii="Calibri" w:hAnsi="Calibri" w:cs="Calibri"/>
        </w:rPr>
      </w:pPr>
      <w:r w:rsidRPr="001F36B3">
        <w:rPr>
          <w:rFonts w:ascii="Calibri" w:hAnsi="Calibri" w:cs="Calibri"/>
        </w:rPr>
        <w:t>Vygotsky, L.S. (1978) </w:t>
      </w:r>
      <w:r w:rsidRPr="001F36B3">
        <w:rPr>
          <w:rFonts w:ascii="Calibri" w:hAnsi="Calibri" w:cs="Calibri"/>
          <w:i/>
          <w:iCs/>
        </w:rPr>
        <w:t>Mind in society: the development of higher psychological processes</w:t>
      </w:r>
      <w:r w:rsidRPr="001F36B3">
        <w:rPr>
          <w:rFonts w:ascii="Calibri" w:hAnsi="Calibri" w:cs="Calibri"/>
        </w:rPr>
        <w:t>. Cambridge, MA: Harvard University Press.</w:t>
      </w:r>
    </w:p>
    <w:p w14:paraId="28232A67" w14:textId="77777777" w:rsidR="001F36B3" w:rsidRPr="001F36B3" w:rsidRDefault="001F36B3" w:rsidP="001F36B3">
      <w:pPr>
        <w:rPr>
          <w:rFonts w:ascii="Calibri" w:hAnsi="Calibri" w:cs="Calibri"/>
        </w:rPr>
      </w:pPr>
      <w:r w:rsidRPr="001F36B3">
        <w:rPr>
          <w:rFonts w:ascii="Calibri" w:hAnsi="Calibri" w:cs="Calibri"/>
        </w:rPr>
        <w:lastRenderedPageBreak/>
        <w:t>Wannarka, R. and Ruhl, K. (2008) 'Seating arrangements that promote positive academic and behavioural outcomes: a review of empirical research', </w:t>
      </w:r>
      <w:r w:rsidRPr="001F36B3">
        <w:rPr>
          <w:rFonts w:ascii="Calibri" w:hAnsi="Calibri" w:cs="Calibri"/>
          <w:i/>
          <w:iCs/>
        </w:rPr>
        <w:t>Support for Learning</w:t>
      </w:r>
      <w:r w:rsidRPr="001F36B3">
        <w:rPr>
          <w:rFonts w:ascii="Calibri" w:hAnsi="Calibri" w:cs="Calibri"/>
        </w:rPr>
        <w:t>, 23(2), pp. 89-93. Available at: </w:t>
      </w:r>
      <w:hyperlink r:id="rId26" w:tgtFrame="_blank" w:history="1">
        <w:r w:rsidRPr="001F36B3">
          <w:rPr>
            <w:rStyle w:val="Hyperlink"/>
            <w:rFonts w:ascii="Calibri" w:hAnsi="Calibri" w:cs="Calibri"/>
          </w:rPr>
          <w:t>https://doi.org/10.1111/j.1467-9604.2008.00375.x</w:t>
        </w:r>
      </w:hyperlink>
      <w:r w:rsidRPr="001F36B3">
        <w:rPr>
          <w:rFonts w:ascii="Calibri" w:hAnsi="Calibri" w:cs="Calibri"/>
        </w:rPr>
        <w:t> (Accessed: 2 February 2025).</w:t>
      </w:r>
    </w:p>
    <w:p w14:paraId="681E7D3E" w14:textId="77777777" w:rsidR="001F36B3" w:rsidRPr="001F36B3" w:rsidRDefault="001F36B3" w:rsidP="001F36B3">
      <w:pPr>
        <w:rPr>
          <w:rFonts w:ascii="Calibri" w:hAnsi="Calibri" w:cs="Calibri"/>
        </w:rPr>
      </w:pPr>
      <w:r w:rsidRPr="001F36B3">
        <w:rPr>
          <w:rFonts w:ascii="Calibri" w:hAnsi="Calibri" w:cs="Calibri"/>
        </w:rPr>
        <w:t>Welsh Government (2017) </w:t>
      </w:r>
      <w:r w:rsidRPr="001F36B3">
        <w:rPr>
          <w:rFonts w:ascii="Calibri" w:hAnsi="Calibri" w:cs="Calibri"/>
          <w:i/>
          <w:iCs/>
        </w:rPr>
        <w:t>Professional Standards for Further Education Teachers and Work-Based Learning Practitioners in Wales</w:t>
      </w:r>
      <w:r w:rsidRPr="001F36B3">
        <w:rPr>
          <w:rFonts w:ascii="Calibri" w:hAnsi="Calibri" w:cs="Calibri"/>
        </w:rPr>
        <w:t xml:space="preserve">. Available at: </w:t>
      </w:r>
      <w:hyperlink r:id="rId27" w:history="1">
        <w:r w:rsidRPr="001F36B3">
          <w:rPr>
            <w:rStyle w:val="Hyperlink"/>
            <w:rFonts w:ascii="Calibri" w:hAnsi="Calibri" w:cs="Calibri"/>
          </w:rPr>
          <w:t>https://hwb.gov.wales/api/storage/460a740a-7bf1-4c7b-b4ae-348ae380879b/professional-standards-further-education-teachers-work-based-learning-practitioners-wales.pdf</w:t>
        </w:r>
      </w:hyperlink>
      <w:r w:rsidRPr="001F36B3">
        <w:rPr>
          <w:rFonts w:ascii="Calibri" w:hAnsi="Calibri" w:cs="Calibri"/>
        </w:rPr>
        <w:t xml:space="preserve"> (Accessed: 31 January 2025).</w:t>
      </w:r>
    </w:p>
    <w:p w14:paraId="2AE1CF9A" w14:textId="77777777" w:rsidR="000C541C" w:rsidRDefault="000C541C" w:rsidP="00DD5969">
      <w:pPr>
        <w:rPr>
          <w:rFonts w:ascii="Calibri" w:hAnsi="Calibri" w:cs="Calibri"/>
        </w:rPr>
      </w:pPr>
    </w:p>
    <w:p w14:paraId="3AD8DD4D" w14:textId="77777777" w:rsidR="00E42C7E" w:rsidRDefault="00E42C7E" w:rsidP="00DD5969">
      <w:pPr>
        <w:rPr>
          <w:rFonts w:ascii="Calibri" w:hAnsi="Calibri" w:cs="Calibri"/>
        </w:rPr>
      </w:pPr>
    </w:p>
    <w:p w14:paraId="43DDBC99" w14:textId="77777777" w:rsidR="00E42C7E" w:rsidRDefault="00E42C7E" w:rsidP="00DD5969">
      <w:pPr>
        <w:rPr>
          <w:rFonts w:ascii="Calibri" w:hAnsi="Calibri" w:cs="Calibri"/>
        </w:rPr>
      </w:pPr>
    </w:p>
    <w:p w14:paraId="0648F665" w14:textId="77777777" w:rsidR="00E42C7E" w:rsidRDefault="00E42C7E" w:rsidP="00DD5969">
      <w:pPr>
        <w:rPr>
          <w:rFonts w:ascii="Calibri" w:hAnsi="Calibri" w:cs="Calibri"/>
        </w:rPr>
      </w:pPr>
    </w:p>
    <w:p w14:paraId="6CF7E5FF" w14:textId="77777777" w:rsidR="00E42C7E" w:rsidRDefault="00E42C7E" w:rsidP="00DD5969">
      <w:pPr>
        <w:rPr>
          <w:rFonts w:ascii="Calibri" w:hAnsi="Calibri" w:cs="Calibri"/>
        </w:rPr>
      </w:pPr>
    </w:p>
    <w:p w14:paraId="0400FA8C" w14:textId="77777777" w:rsidR="00E42C7E" w:rsidRDefault="00E42C7E" w:rsidP="00DD5969">
      <w:pPr>
        <w:rPr>
          <w:rFonts w:ascii="Calibri" w:hAnsi="Calibri" w:cs="Calibri"/>
        </w:rPr>
      </w:pPr>
    </w:p>
    <w:p w14:paraId="58EABBA3" w14:textId="77777777" w:rsidR="00E42C7E" w:rsidRDefault="00E42C7E" w:rsidP="00DD5969">
      <w:pPr>
        <w:rPr>
          <w:rFonts w:ascii="Calibri" w:hAnsi="Calibri" w:cs="Calibri"/>
        </w:rPr>
      </w:pPr>
    </w:p>
    <w:p w14:paraId="24CCA2BD" w14:textId="77777777" w:rsidR="00E42C7E" w:rsidRDefault="00E42C7E" w:rsidP="00DD5969">
      <w:pPr>
        <w:rPr>
          <w:rFonts w:ascii="Calibri" w:hAnsi="Calibri" w:cs="Calibri"/>
        </w:rPr>
      </w:pPr>
    </w:p>
    <w:p w14:paraId="6878557C" w14:textId="77777777" w:rsidR="00E42C7E" w:rsidRDefault="00E42C7E" w:rsidP="00DD5969">
      <w:pPr>
        <w:rPr>
          <w:rFonts w:ascii="Calibri" w:hAnsi="Calibri" w:cs="Calibri"/>
        </w:rPr>
      </w:pPr>
    </w:p>
    <w:p w14:paraId="6BDE1E75" w14:textId="77777777" w:rsidR="00E42C7E" w:rsidRDefault="00E42C7E" w:rsidP="00DD5969">
      <w:pPr>
        <w:rPr>
          <w:rFonts w:ascii="Calibri" w:hAnsi="Calibri" w:cs="Calibri"/>
        </w:rPr>
      </w:pPr>
    </w:p>
    <w:p w14:paraId="0A548606" w14:textId="77777777" w:rsidR="00E42C7E" w:rsidRDefault="00E42C7E" w:rsidP="00DD5969">
      <w:pPr>
        <w:rPr>
          <w:rFonts w:ascii="Calibri" w:hAnsi="Calibri" w:cs="Calibri"/>
        </w:rPr>
      </w:pPr>
    </w:p>
    <w:p w14:paraId="7417472C" w14:textId="77777777" w:rsidR="00E42C7E" w:rsidRDefault="00E42C7E" w:rsidP="00DD5969">
      <w:pPr>
        <w:rPr>
          <w:rFonts w:ascii="Calibri" w:hAnsi="Calibri" w:cs="Calibri"/>
        </w:rPr>
      </w:pPr>
    </w:p>
    <w:p w14:paraId="24778806" w14:textId="77777777" w:rsidR="00E42C7E" w:rsidRDefault="00E42C7E" w:rsidP="00DD5969">
      <w:pPr>
        <w:rPr>
          <w:rFonts w:ascii="Calibri" w:hAnsi="Calibri" w:cs="Calibri"/>
        </w:rPr>
      </w:pPr>
    </w:p>
    <w:p w14:paraId="4DC3738E" w14:textId="77777777" w:rsidR="00E42C7E" w:rsidRDefault="00E42C7E" w:rsidP="00DD5969">
      <w:pPr>
        <w:rPr>
          <w:rFonts w:ascii="Calibri" w:hAnsi="Calibri" w:cs="Calibri"/>
        </w:rPr>
      </w:pPr>
    </w:p>
    <w:p w14:paraId="300A40A8" w14:textId="77777777" w:rsidR="00E42C7E" w:rsidRDefault="00E42C7E" w:rsidP="00DD5969">
      <w:pPr>
        <w:rPr>
          <w:rFonts w:ascii="Calibri" w:hAnsi="Calibri" w:cs="Calibri"/>
        </w:rPr>
      </w:pPr>
    </w:p>
    <w:p w14:paraId="255154A5" w14:textId="77777777" w:rsidR="00E42C7E" w:rsidRDefault="00E42C7E" w:rsidP="00DD5969">
      <w:pPr>
        <w:rPr>
          <w:rFonts w:ascii="Calibri" w:hAnsi="Calibri" w:cs="Calibri"/>
        </w:rPr>
      </w:pPr>
    </w:p>
    <w:p w14:paraId="0B40B659" w14:textId="77777777" w:rsidR="00E42C7E" w:rsidRDefault="00E42C7E" w:rsidP="00DD5969">
      <w:pPr>
        <w:rPr>
          <w:rFonts w:ascii="Calibri" w:hAnsi="Calibri" w:cs="Calibri"/>
        </w:rPr>
      </w:pPr>
    </w:p>
    <w:p w14:paraId="356C35A9" w14:textId="77777777" w:rsidR="00E42C7E" w:rsidRDefault="00E42C7E" w:rsidP="00DD5969">
      <w:pPr>
        <w:rPr>
          <w:rFonts w:ascii="Calibri" w:hAnsi="Calibri" w:cs="Calibri"/>
        </w:rPr>
      </w:pPr>
    </w:p>
    <w:p w14:paraId="7F68CB9E" w14:textId="77777777" w:rsidR="00E42C7E" w:rsidRDefault="00E42C7E" w:rsidP="00DD5969">
      <w:pPr>
        <w:rPr>
          <w:rFonts w:ascii="Calibri" w:hAnsi="Calibri" w:cs="Calibri"/>
        </w:rPr>
      </w:pPr>
    </w:p>
    <w:p w14:paraId="4370D71B" w14:textId="77777777" w:rsidR="00E42C7E" w:rsidRDefault="00E42C7E" w:rsidP="00DD5969">
      <w:pPr>
        <w:rPr>
          <w:rFonts w:ascii="Calibri" w:hAnsi="Calibri" w:cs="Calibri"/>
        </w:rPr>
      </w:pPr>
    </w:p>
    <w:p w14:paraId="1E0DACCE" w14:textId="77777777" w:rsidR="00E42C7E" w:rsidRDefault="00E42C7E" w:rsidP="00DD5969">
      <w:pPr>
        <w:rPr>
          <w:rFonts w:ascii="Calibri" w:hAnsi="Calibri" w:cs="Calibri"/>
        </w:rPr>
      </w:pPr>
    </w:p>
    <w:p w14:paraId="3D8CEF21" w14:textId="77777777" w:rsidR="00E42C7E" w:rsidRPr="00E42C7E" w:rsidRDefault="00E42C7E" w:rsidP="00E42C7E">
      <w:pPr>
        <w:keepNext/>
        <w:spacing w:after="0" w:line="240" w:lineRule="auto"/>
        <w:outlineLvl w:val="1"/>
        <w:rPr>
          <w:rFonts w:ascii="Calibri" w:eastAsia="Times New Roman" w:hAnsi="Calibri" w:cs="Times New Roman"/>
          <w:b/>
          <w:bCs/>
          <w:kern w:val="0"/>
          <w:sz w:val="28"/>
          <w:szCs w:val="28"/>
          <w:lang w:val="en-US" w:eastAsia="x-none"/>
          <w14:ligatures w14:val="none"/>
        </w:rPr>
      </w:pPr>
      <w:bookmarkStart w:id="1" w:name="_Toc48127143"/>
      <w:r w:rsidRPr="00E42C7E">
        <w:rPr>
          <w:rFonts w:ascii="Calibri" w:eastAsia="Times New Roman" w:hAnsi="Calibri" w:cs="Times New Roman"/>
          <w:b/>
          <w:bCs/>
          <w:kern w:val="0"/>
          <w:sz w:val="28"/>
          <w:szCs w:val="28"/>
          <w:lang w:val="en-US" w:eastAsia="x-none"/>
          <w14:ligatures w14:val="none"/>
        </w:rPr>
        <w:lastRenderedPageBreak/>
        <w:t>Teacher Observation Form</w:t>
      </w:r>
      <w:bookmarkEnd w:id="1"/>
      <w:r w:rsidRPr="00E42C7E">
        <w:rPr>
          <w:rFonts w:ascii="Calibri" w:eastAsia="Times New Roman" w:hAnsi="Calibri" w:cs="Times New Roman"/>
          <w:b/>
          <w:bCs/>
          <w:kern w:val="0"/>
          <w:sz w:val="28"/>
          <w:szCs w:val="28"/>
          <w:lang w:val="en-US" w:eastAsia="x-none"/>
          <w14:ligatures w14:val="none"/>
        </w:rPr>
        <w:t xml:space="preserve"> </w:t>
      </w:r>
    </w:p>
    <w:p w14:paraId="62BE88A6" w14:textId="77777777" w:rsidR="00E42C7E" w:rsidRPr="00E42C7E" w:rsidRDefault="00E42C7E" w:rsidP="00E42C7E">
      <w:pPr>
        <w:spacing w:after="0" w:line="240" w:lineRule="auto"/>
        <w:rPr>
          <w:rFonts w:ascii="Calibri" w:eastAsia="Times New Roman" w:hAnsi="Calibri" w:cs="Calibri"/>
          <w:b/>
          <w:kern w:val="0"/>
          <w:sz w:val="18"/>
          <w:szCs w:val="18"/>
          <w:lang w:val="en-US" w:eastAsia="en-US"/>
          <w14:ligatures w14:val="none"/>
        </w:rPr>
      </w:pPr>
    </w:p>
    <w:p w14:paraId="428D22F8" w14:textId="77777777" w:rsidR="00E42C7E" w:rsidRPr="00E42C7E" w:rsidRDefault="00E42C7E" w:rsidP="00E42C7E">
      <w:pPr>
        <w:spacing w:after="0" w:line="240" w:lineRule="auto"/>
        <w:jc w:val="center"/>
        <w:rPr>
          <w:rFonts w:ascii="Times New Roman" w:eastAsia="Times New Roman" w:hAnsi="Times New Roman" w:cs="Times New Roman"/>
          <w:kern w:val="0"/>
          <w:szCs w:val="20"/>
          <w:lang w:val="en-US" w:eastAsia="en-US"/>
          <w14:ligatures w14:val="none"/>
        </w:rPr>
      </w:pPr>
      <w:r w:rsidRPr="00E42C7E">
        <w:rPr>
          <w:rFonts w:ascii="Times New Roman" w:eastAsia="Times New Roman" w:hAnsi="Times New Roman" w:cs="Times New Roman"/>
          <w:noProof/>
          <w:kern w:val="0"/>
          <w:szCs w:val="20"/>
          <w:lang w:eastAsia="en-GB"/>
          <w14:ligatures w14:val="none"/>
        </w:rPr>
        <w:drawing>
          <wp:inline distT="0" distB="0" distL="0" distR="0" wp14:anchorId="50CC9C41" wp14:editId="147E660C">
            <wp:extent cx="1362075" cy="481330"/>
            <wp:effectExtent l="0" t="0" r="9525" b="0"/>
            <wp:docPr id="1" name="Picture 1"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B8355B1" w14:textId="77777777" w:rsidR="00E42C7E" w:rsidRPr="00E42C7E" w:rsidRDefault="00E42C7E" w:rsidP="00E42C7E">
      <w:pPr>
        <w:spacing w:after="0" w:line="240" w:lineRule="auto"/>
        <w:rPr>
          <w:rFonts w:ascii="Calibri" w:eastAsia="Times New Roman" w:hAnsi="Calibri" w:cs="Calibri"/>
          <w:kern w:val="0"/>
          <w:lang w:val="en-US" w:eastAsia="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gridCol w:w="289"/>
      </w:tblGrid>
      <w:tr w:rsidR="00E42C7E" w:rsidRPr="00E42C7E" w14:paraId="55A29D3A" w14:textId="77777777" w:rsidTr="00B57EA7">
        <w:trPr>
          <w:jc w:val="center"/>
        </w:trPr>
        <w:tc>
          <w:tcPr>
            <w:tcW w:w="10201" w:type="dxa"/>
            <w:shd w:val="clear" w:color="auto" w:fill="auto"/>
          </w:tcPr>
          <w:p w14:paraId="387B39B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Teacher</w:t>
            </w:r>
          </w:p>
          <w:p w14:paraId="6A62408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Sue Ainsworth</w:t>
            </w:r>
          </w:p>
        </w:tc>
        <w:tc>
          <w:tcPr>
            <w:tcW w:w="289" w:type="dxa"/>
            <w:shd w:val="clear" w:color="auto" w:fill="auto"/>
          </w:tcPr>
          <w:p w14:paraId="565352F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r>
      <w:tr w:rsidR="00E42C7E" w:rsidRPr="00E42C7E" w14:paraId="081C3E15" w14:textId="77777777" w:rsidTr="00B57EA7">
        <w:trPr>
          <w:jc w:val="center"/>
        </w:trPr>
        <w:tc>
          <w:tcPr>
            <w:tcW w:w="10201" w:type="dxa"/>
            <w:shd w:val="clear" w:color="auto" w:fill="auto"/>
          </w:tcPr>
          <w:p w14:paraId="5A76AF8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Date</w:t>
            </w:r>
          </w:p>
          <w:p w14:paraId="1639D39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03/12/2024</w:t>
            </w:r>
          </w:p>
        </w:tc>
        <w:tc>
          <w:tcPr>
            <w:tcW w:w="289" w:type="dxa"/>
            <w:shd w:val="clear" w:color="auto" w:fill="auto"/>
          </w:tcPr>
          <w:p w14:paraId="4377557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5416C1F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r>
      <w:tr w:rsidR="00E42C7E" w:rsidRPr="00E42C7E" w14:paraId="1C6BA0E0" w14:textId="77777777" w:rsidTr="00B57EA7">
        <w:trPr>
          <w:trHeight w:val="455"/>
          <w:jc w:val="center"/>
        </w:trPr>
        <w:tc>
          <w:tcPr>
            <w:tcW w:w="10201" w:type="dxa"/>
            <w:shd w:val="clear" w:color="auto" w:fill="auto"/>
          </w:tcPr>
          <w:p w14:paraId="3E867030" w14:textId="77777777" w:rsidR="00E42C7E" w:rsidRPr="00E42C7E" w:rsidRDefault="00E42C7E" w:rsidP="00E42C7E">
            <w:pPr>
              <w:spacing w:after="0" w:line="240" w:lineRule="auto"/>
              <w:rPr>
                <w:rFonts w:ascii="Times New Roman" w:eastAsia="Times New Roman" w:hAnsi="Times New Roman" w:cs="Times New Roman"/>
                <w:kern w:val="0"/>
                <w:szCs w:val="20"/>
                <w:lang w:val="en-US" w:eastAsia="en-US"/>
                <w14:ligatures w14:val="none"/>
              </w:rPr>
            </w:pPr>
            <w:r w:rsidRPr="00E42C7E">
              <w:rPr>
                <w:rFonts w:ascii="Calibri" w:eastAsia="Times New Roman" w:hAnsi="Calibri" w:cs="Calibri"/>
                <w:b/>
                <w:kern w:val="0"/>
                <w:lang w:val="en-US" w:eastAsia="en-US"/>
                <w14:ligatures w14:val="none"/>
              </w:rPr>
              <w:t>Group</w:t>
            </w:r>
            <w:r w:rsidRPr="00E42C7E">
              <w:rPr>
                <w:rFonts w:ascii="Times New Roman" w:eastAsia="Times New Roman" w:hAnsi="Times New Roman" w:cs="Times New Roman"/>
                <w:kern w:val="0"/>
                <w:szCs w:val="20"/>
                <w:lang w:val="en-US" w:eastAsia="en-US"/>
                <w14:ligatures w14:val="none"/>
              </w:rPr>
              <w:t xml:space="preserve"> </w:t>
            </w:r>
          </w:p>
          <w:p w14:paraId="468AC2F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 xml:space="preserve">Educational Studies </w:t>
            </w:r>
          </w:p>
        </w:tc>
        <w:tc>
          <w:tcPr>
            <w:tcW w:w="289" w:type="dxa"/>
            <w:shd w:val="clear" w:color="auto" w:fill="auto"/>
          </w:tcPr>
          <w:p w14:paraId="54677725"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20529D5C"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r>
      <w:tr w:rsidR="00E42C7E" w:rsidRPr="00E42C7E" w14:paraId="5B5DE940" w14:textId="77777777" w:rsidTr="00B57EA7">
        <w:trPr>
          <w:jc w:val="center"/>
        </w:trPr>
        <w:tc>
          <w:tcPr>
            <w:tcW w:w="10201" w:type="dxa"/>
            <w:tcBorders>
              <w:bottom w:val="single" w:sz="4" w:space="0" w:color="auto"/>
            </w:tcBorders>
            <w:shd w:val="clear" w:color="auto" w:fill="auto"/>
          </w:tcPr>
          <w:p w14:paraId="68076BAB"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Topic/Context</w:t>
            </w:r>
          </w:p>
          <w:p w14:paraId="7FBA651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Lesson planning</w:t>
            </w:r>
          </w:p>
        </w:tc>
        <w:tc>
          <w:tcPr>
            <w:tcW w:w="289" w:type="dxa"/>
            <w:tcBorders>
              <w:bottom w:val="single" w:sz="4" w:space="0" w:color="auto"/>
            </w:tcBorders>
            <w:shd w:val="clear" w:color="auto" w:fill="auto"/>
          </w:tcPr>
          <w:p w14:paraId="2CC55217"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28EB065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r>
      <w:tr w:rsidR="00E42C7E" w:rsidRPr="00E42C7E" w14:paraId="341F4F97" w14:textId="77777777" w:rsidTr="00B57EA7">
        <w:trPr>
          <w:jc w:val="center"/>
        </w:trPr>
        <w:tc>
          <w:tcPr>
            <w:tcW w:w="10490" w:type="dxa"/>
            <w:gridSpan w:val="2"/>
            <w:shd w:val="clear" w:color="auto" w:fill="auto"/>
          </w:tcPr>
          <w:p w14:paraId="3CCA335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Notes on the lesson:</w:t>
            </w:r>
          </w:p>
        </w:tc>
      </w:tr>
      <w:tr w:rsidR="00E42C7E" w:rsidRPr="00E42C7E" w14:paraId="133163A7" w14:textId="77777777" w:rsidTr="00B57EA7">
        <w:trPr>
          <w:jc w:val="center"/>
        </w:trPr>
        <w:tc>
          <w:tcPr>
            <w:tcW w:w="10201" w:type="dxa"/>
            <w:tcBorders>
              <w:bottom w:val="single" w:sz="4" w:space="0" w:color="auto"/>
              <w:right w:val="nil"/>
            </w:tcBorders>
            <w:shd w:val="clear" w:color="auto" w:fill="auto"/>
          </w:tcPr>
          <w:p w14:paraId="303D314B"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Classroom Layout:</w:t>
            </w:r>
          </w:p>
          <w:p w14:paraId="3698D12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The classroom had a traditional setup with tables and chairs facing the whiteboard.</w:t>
            </w:r>
          </w:p>
          <w:p w14:paraId="1F9BB26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331739D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Lesson Introduction:</w:t>
            </w:r>
          </w:p>
          <w:p w14:paraId="1D119CBB"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Began the lesson with a clear statement of objectives focused on effective lesson planning techniques.</w:t>
            </w:r>
          </w:p>
          <w:p w14:paraId="47B6864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 xml:space="preserve">Connected the objectives to students' future teaching careers, </w:t>
            </w:r>
            <w:proofErr w:type="spellStart"/>
            <w:r w:rsidRPr="00E42C7E">
              <w:rPr>
                <w:rFonts w:ascii="Calibri" w:eastAsia="Times New Roman" w:hAnsi="Calibri" w:cs="Calibri"/>
                <w:b/>
                <w:kern w:val="0"/>
                <w:lang w:val="en-US" w:eastAsia="en-US"/>
                <w14:ligatures w14:val="none"/>
              </w:rPr>
              <w:t>emphasising</w:t>
            </w:r>
            <w:proofErr w:type="spellEnd"/>
            <w:r w:rsidRPr="00E42C7E">
              <w:rPr>
                <w:rFonts w:ascii="Calibri" w:eastAsia="Times New Roman" w:hAnsi="Calibri" w:cs="Calibri"/>
                <w:b/>
                <w:kern w:val="0"/>
                <w:lang w:val="en-US" w:eastAsia="en-US"/>
                <w14:ligatures w14:val="none"/>
              </w:rPr>
              <w:t xml:space="preserve"> the relevance of the learning material.</w:t>
            </w:r>
          </w:p>
          <w:p w14:paraId="404B260B"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1DFF4752"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Teaching Methods:</w:t>
            </w:r>
          </w:p>
          <w:p w14:paraId="655FC7AA"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Used a story sack for a hands-on demonstration of planning and delivery methods.</w:t>
            </w:r>
          </w:p>
          <w:p w14:paraId="267BAB6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716BAF2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Engagement Strategies:</w:t>
            </w:r>
          </w:p>
          <w:p w14:paraId="4B2AC34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Used open-ended questions to stimulate critical thinking.</w:t>
            </w:r>
          </w:p>
          <w:p w14:paraId="42936F4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Implemented think-pair-share activities for peer discussion and knowledge application.</w:t>
            </w:r>
          </w:p>
          <w:p w14:paraId="2D2034B5"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Called on students by name to ensure participation.</w:t>
            </w:r>
          </w:p>
          <w:p w14:paraId="4792D5A7"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Used Bloom's revised Taxonomy to address various cognitive levels.</w:t>
            </w:r>
          </w:p>
          <w:p w14:paraId="671B2F9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18FDE8CF"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Attentiveness to Student Needs:</w:t>
            </w:r>
          </w:p>
          <w:p w14:paraId="5FD91A1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Paused the lesson to allow students to finish notetaking.</w:t>
            </w:r>
          </w:p>
          <w:p w14:paraId="26CA32A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Demonstrated respect for diverse learning styles.</w:t>
            </w:r>
          </w:p>
          <w:p w14:paraId="360706A4"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46969BB7"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Scaffolding Techniques:</w:t>
            </w:r>
          </w:p>
          <w:p w14:paraId="1AE0A907"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Provided prompts and guiding questions to develop student understanding.</w:t>
            </w:r>
          </w:p>
          <w:p w14:paraId="37C13A7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Gradually reduced support as students gained competence.</w:t>
            </w:r>
          </w:p>
          <w:p w14:paraId="0AEC1D8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Asked, "What quick activities could you use to check if students are identifying the main ideas?" to guide learning and understanding.</w:t>
            </w:r>
          </w:p>
          <w:p w14:paraId="1F349B8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403F76B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Classroom Management:</w:t>
            </w:r>
          </w:p>
          <w:p w14:paraId="5DB9265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Maintained a positive atmosphere throughout the 3-hour session.</w:t>
            </w:r>
          </w:p>
          <w:p w14:paraId="22FFA5E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Demonstrated effective time management and smooth transitions between activities.</w:t>
            </w:r>
          </w:p>
          <w:p w14:paraId="448B61E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Calmly handled minor disruptions such as late arrivals and projector issues.</w:t>
            </w:r>
          </w:p>
          <w:p w14:paraId="3237F1D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lastRenderedPageBreak/>
              <w:t>Real-world Connections:</w:t>
            </w:r>
          </w:p>
          <w:p w14:paraId="2744FEC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Consistently linked theoretical concepts to practical teaching scenarios.</w:t>
            </w:r>
          </w:p>
          <w:p w14:paraId="1CEDD01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Reflective Practice:</w:t>
            </w:r>
          </w:p>
          <w:p w14:paraId="6A54A8A4"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At the end of lesson acknowledged forgetting to activate their prior knowledge at the start of the lesson.</w:t>
            </w:r>
          </w:p>
          <w:p w14:paraId="4CD694D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Openly discussed this oversight with students, modelling transparency.</w:t>
            </w:r>
          </w:p>
          <w:p w14:paraId="5F17C55B"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c>
          <w:tcPr>
            <w:tcW w:w="289" w:type="dxa"/>
            <w:tcBorders>
              <w:left w:val="nil"/>
              <w:bottom w:val="single" w:sz="4" w:space="0" w:color="auto"/>
            </w:tcBorders>
            <w:shd w:val="clear" w:color="auto" w:fill="auto"/>
          </w:tcPr>
          <w:p w14:paraId="2DFB0D1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r>
      <w:tr w:rsidR="00E42C7E" w:rsidRPr="00E42C7E" w14:paraId="773ABEDC" w14:textId="77777777" w:rsidTr="00B57EA7">
        <w:trPr>
          <w:jc w:val="center"/>
        </w:trPr>
        <w:tc>
          <w:tcPr>
            <w:tcW w:w="10490" w:type="dxa"/>
            <w:gridSpan w:val="2"/>
            <w:shd w:val="clear" w:color="auto" w:fill="auto"/>
          </w:tcPr>
          <w:p w14:paraId="68C8B7A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What I have learned:</w:t>
            </w:r>
          </w:p>
        </w:tc>
      </w:tr>
      <w:tr w:rsidR="00E42C7E" w:rsidRPr="00E42C7E" w14:paraId="3571889D" w14:textId="77777777" w:rsidTr="00B57EA7">
        <w:trPr>
          <w:jc w:val="center"/>
        </w:trPr>
        <w:tc>
          <w:tcPr>
            <w:tcW w:w="10201" w:type="dxa"/>
            <w:tcBorders>
              <w:bottom w:val="single" w:sz="4" w:space="0" w:color="auto"/>
              <w:right w:val="nil"/>
            </w:tcBorders>
            <w:shd w:val="clear" w:color="auto" w:fill="auto"/>
          </w:tcPr>
          <w:p w14:paraId="23B8F06A"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Clearly stating objectives at the start of the lesson is important</w:t>
            </w:r>
          </w:p>
          <w:p w14:paraId="08EBDAF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Connecting lesson content to students' future careers enhances relevance and motivation</w:t>
            </w:r>
          </w:p>
          <w:p w14:paraId="5B3C0202"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Using hands-on demonstrations (like the story sack) significantly increases student engagement</w:t>
            </w:r>
          </w:p>
          <w:p w14:paraId="2825DD1F"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Implementing varied questioning techniques, including open-ended questions, stimulates critical thinking</w:t>
            </w:r>
          </w:p>
          <w:p w14:paraId="4FA0B24C"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Think-pair-share activities promote peer learning and knowledge application</w:t>
            </w:r>
          </w:p>
          <w:p w14:paraId="62E4E4C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Calling students by name ensures participation and creates an inclusive environment</w:t>
            </w:r>
          </w:p>
          <w:p w14:paraId="02287D1C"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Addressing various cognitive levels using Bloom's revised Taxonomy deepens learning</w:t>
            </w:r>
          </w:p>
          <w:p w14:paraId="6654491A"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Being attentive to students' needs (e.g., pausing for notetaking) shows respect for diverse learning styles</w:t>
            </w:r>
          </w:p>
          <w:p w14:paraId="4A85518C"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Scaffolding techniques, such as providing prompts and guiding questions, supporting student understanding</w:t>
            </w:r>
          </w:p>
          <w:p w14:paraId="7796564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Gradually reducing support as students gain competence fosters independent learning</w:t>
            </w:r>
          </w:p>
          <w:p w14:paraId="5D79BE22"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Maintaining a positive atmosphere throughout a long session (3 hours) is crucial</w:t>
            </w:r>
          </w:p>
          <w:p w14:paraId="2280096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Smooth transitions between activities and calm handling of disruptions minimize lesson interruptions</w:t>
            </w:r>
          </w:p>
          <w:p w14:paraId="24F663BB"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Consistently linking theoretical concepts to real-world teaching scenarios enhances relevance</w:t>
            </w:r>
          </w:p>
          <w:p w14:paraId="1B5CBB34"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Acknowledging oversights (like forgetting to activate prior knowledge) models self-reflection</w:t>
            </w:r>
          </w:p>
          <w:p w14:paraId="4F866B3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Being transparent with students can build trust and demonstrate professional growth</w:t>
            </w:r>
          </w:p>
          <w:p w14:paraId="72CB249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Traditional classroom layout can be effective for certain teaching styles and activities</w:t>
            </w:r>
          </w:p>
          <w:p w14:paraId="7646D2D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Creating a supportive, engaging, and inclusive atmosphere is vital for effective learning</w:t>
            </w:r>
          </w:p>
          <w:p w14:paraId="1613B88F"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c>
          <w:tcPr>
            <w:tcW w:w="289" w:type="dxa"/>
            <w:tcBorders>
              <w:left w:val="nil"/>
              <w:bottom w:val="single" w:sz="4" w:space="0" w:color="auto"/>
            </w:tcBorders>
            <w:shd w:val="clear" w:color="auto" w:fill="auto"/>
          </w:tcPr>
          <w:p w14:paraId="0D9C04D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r>
      <w:tr w:rsidR="00E42C7E" w:rsidRPr="00E42C7E" w14:paraId="1B3CE18D" w14:textId="77777777" w:rsidTr="00B57EA7">
        <w:trPr>
          <w:jc w:val="center"/>
        </w:trPr>
        <w:tc>
          <w:tcPr>
            <w:tcW w:w="10490" w:type="dxa"/>
            <w:gridSpan w:val="2"/>
            <w:shd w:val="clear" w:color="auto" w:fill="auto"/>
          </w:tcPr>
          <w:p w14:paraId="5F92BBD6" w14:textId="77777777" w:rsidR="00E42C7E" w:rsidRPr="00E42C7E" w:rsidRDefault="00E42C7E" w:rsidP="00E42C7E">
            <w:pPr>
              <w:spacing w:after="0" w:line="240" w:lineRule="auto"/>
              <w:rPr>
                <w:rFonts w:ascii="Calibri" w:eastAsia="Times New Roman" w:hAnsi="Calibri" w:cs="Calibri"/>
                <w:b/>
                <w:bCs/>
                <w:kern w:val="0"/>
                <w:szCs w:val="20"/>
                <w:lang w:val="en-US" w:eastAsia="en-US"/>
                <w14:ligatures w14:val="none"/>
              </w:rPr>
            </w:pPr>
            <w:r w:rsidRPr="00E42C7E">
              <w:rPr>
                <w:rFonts w:ascii="Calibri" w:eastAsia="Times New Roman" w:hAnsi="Calibri" w:cs="Calibri"/>
                <w:b/>
                <w:bCs/>
                <w:kern w:val="0"/>
                <w:szCs w:val="20"/>
                <w:lang w:val="en-US" w:eastAsia="en-US"/>
                <w14:ligatures w14:val="none"/>
              </w:rPr>
              <w:t>Targets to improve my own practice (mapped to professional standards):</w:t>
            </w:r>
          </w:p>
        </w:tc>
      </w:tr>
      <w:tr w:rsidR="00E42C7E" w:rsidRPr="00E42C7E" w14:paraId="55FC72CA" w14:textId="77777777" w:rsidTr="00B57EA7">
        <w:trPr>
          <w:trHeight w:val="14024"/>
          <w:jc w:val="center"/>
        </w:trPr>
        <w:tc>
          <w:tcPr>
            <w:tcW w:w="10201" w:type="dxa"/>
            <w:tcBorders>
              <w:right w:val="nil"/>
            </w:tcBorders>
            <w:shd w:val="clear" w:color="auto" w:fill="auto"/>
          </w:tcPr>
          <w:p w14:paraId="09A5ABC7"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lastRenderedPageBreak/>
              <w:t>1. Demonstrate Commitment to Learners, Their Learning, Safety, and Well-being:</w:t>
            </w:r>
          </w:p>
          <w:p w14:paraId="33BBA4B2"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Maintain a positive atmosphere throughout lessons to keep students engaged and motivated.</w:t>
            </w:r>
          </w:p>
          <w:p w14:paraId="40AA0B5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 xml:space="preserve">Ensure smooth transitions between activities to sustain student focus and </w:t>
            </w:r>
            <w:proofErr w:type="spellStart"/>
            <w:r w:rsidRPr="00E42C7E">
              <w:rPr>
                <w:rFonts w:ascii="Calibri" w:eastAsia="Times New Roman" w:hAnsi="Calibri" w:cs="Calibri"/>
                <w:b/>
                <w:kern w:val="0"/>
                <w:lang w:val="en-US" w:eastAsia="en-US"/>
                <w14:ligatures w14:val="none"/>
              </w:rPr>
              <w:t>minimise</w:t>
            </w:r>
            <w:proofErr w:type="spellEnd"/>
            <w:r w:rsidRPr="00E42C7E">
              <w:rPr>
                <w:rFonts w:ascii="Calibri" w:eastAsia="Times New Roman" w:hAnsi="Calibri" w:cs="Calibri"/>
                <w:b/>
                <w:kern w:val="0"/>
                <w:lang w:val="en-US" w:eastAsia="en-US"/>
                <w14:ligatures w14:val="none"/>
              </w:rPr>
              <w:t xml:space="preserve"> disruptions.</w:t>
            </w:r>
          </w:p>
          <w:p w14:paraId="5682F2A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Handle minor disruptions, such as late arrivals and technical issues, calmly and professionally.</w:t>
            </w:r>
          </w:p>
          <w:p w14:paraId="78A40B3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48503F29"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2. Value and Promote Diversity, Equality of Opportunity, and Inclusion:</w:t>
            </w:r>
          </w:p>
          <w:p w14:paraId="4993E8A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Call on students by name to encourage participation and create an inclusive learning environment.</w:t>
            </w:r>
          </w:p>
          <w:p w14:paraId="4A502F12"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Use a variety of engagement strategies, such as open-ended questions and think-pair-share, to support different learning styles.</w:t>
            </w:r>
          </w:p>
          <w:p w14:paraId="012AA36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 xml:space="preserve">Allow time for </w:t>
            </w:r>
            <w:proofErr w:type="gramStart"/>
            <w:r w:rsidRPr="00E42C7E">
              <w:rPr>
                <w:rFonts w:ascii="Calibri" w:eastAsia="Times New Roman" w:hAnsi="Calibri" w:cs="Calibri"/>
                <w:b/>
                <w:kern w:val="0"/>
                <w:lang w:val="en-US" w:eastAsia="en-US"/>
                <w14:ligatures w14:val="none"/>
              </w:rPr>
              <w:t>note-taking</w:t>
            </w:r>
            <w:proofErr w:type="gramEnd"/>
            <w:r w:rsidRPr="00E42C7E">
              <w:rPr>
                <w:rFonts w:ascii="Calibri" w:eastAsia="Times New Roman" w:hAnsi="Calibri" w:cs="Calibri"/>
                <w:b/>
                <w:kern w:val="0"/>
                <w:lang w:val="en-US" w:eastAsia="en-US"/>
                <w14:ligatures w14:val="none"/>
              </w:rPr>
              <w:t xml:space="preserve"> to accommodate students who require additional processing time.</w:t>
            </w:r>
          </w:p>
          <w:p w14:paraId="5BCC56E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492FA32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3. Demonstrate Dignity, Courtesy, and Respect Towards Others:</w:t>
            </w:r>
          </w:p>
          <w:p w14:paraId="439216E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Pause during lessons to allow students to complete their notes, demonstrating respect for their learning needs.</w:t>
            </w:r>
          </w:p>
          <w:p w14:paraId="5685AE07"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Engage with students in a professional and respectful manner, encouraging open discussions.</w:t>
            </w:r>
          </w:p>
          <w:p w14:paraId="6172240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72DCE014"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4. Maintain and Update Knowledge of My Subject(s) and How Best to Teach and Assess Them:</w:t>
            </w:r>
          </w:p>
          <w:p w14:paraId="1E8D60AB"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Use Bloom’s Revised Taxonomy to structure questioning and support different cognitive levels.</w:t>
            </w:r>
          </w:p>
          <w:p w14:paraId="30C24E4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Implement a variety of teaching strategies, such as hands-on demonstrations (e.g., story sack), to improve lesson delivery.</w:t>
            </w:r>
          </w:p>
          <w:p w14:paraId="29419837"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54794614"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5. Know How to Use Evidence and Research to Improve My Practice:</w:t>
            </w:r>
          </w:p>
          <w:p w14:paraId="4B824DC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Apply scaffolding techniques by providing prompts and guiding questions to develop student understanding.</w:t>
            </w:r>
          </w:p>
          <w:p w14:paraId="60EE7CF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Gradually reduce support as students gain competence to foster independent learning.</w:t>
            </w:r>
          </w:p>
          <w:p w14:paraId="383D2058"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1C0E992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6. Plan and Deliver Effective Learning, Teaching, and Assessment:</w:t>
            </w:r>
          </w:p>
          <w:p w14:paraId="77171894"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Clearly state lesson objectives at the beginning and connect them to students' future teaching careers.</w:t>
            </w:r>
          </w:p>
          <w:p w14:paraId="4C16DFAC"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Incorporate real-world examples to link theoretical concepts to practical teaching scenarios.</w:t>
            </w:r>
          </w:p>
          <w:p w14:paraId="248FB7B5"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Use open-ended questioning to encourage deeper thinking and student engagement.</w:t>
            </w:r>
          </w:p>
          <w:p w14:paraId="388755A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3AED924E"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7. Build Positive and Collaborative Relationships:</w:t>
            </w:r>
          </w:p>
          <w:p w14:paraId="47127B60"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Engage students through interactive activities such as think-pair-share to foster peer collaboration.</w:t>
            </w:r>
          </w:p>
          <w:p w14:paraId="2B13DED4"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Create a classroom environment that encourages discussion and active participation.</w:t>
            </w:r>
          </w:p>
          <w:p w14:paraId="3458336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36B8955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8. Enable Learners to Share Responsibility for Their Own Learning and Assessment:</w:t>
            </w:r>
          </w:p>
          <w:p w14:paraId="6246EB4C"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Ask reflective questions, such as: "What quick activities could you use to check if students are identifying the main ideas?" to guide students in their learning process.</w:t>
            </w:r>
          </w:p>
          <w:p w14:paraId="55BDACA2"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68949D8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9. Critically Reflect on Own Values, Knowledge, and Skills to Improve Learning:</w:t>
            </w:r>
          </w:p>
          <w:p w14:paraId="286BA28D"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Acknowledge and discuss teaching oversights, such as forgetting to activate prior knowledge, to model self-reflection.</w:t>
            </w:r>
          </w:p>
          <w:p w14:paraId="4447CDA5"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r w:rsidRPr="00E42C7E">
              <w:rPr>
                <w:rFonts w:ascii="Calibri" w:eastAsia="Times New Roman" w:hAnsi="Calibri" w:cs="Calibri"/>
                <w:b/>
                <w:kern w:val="0"/>
                <w:lang w:val="en-US" w:eastAsia="en-US"/>
                <w14:ligatures w14:val="none"/>
              </w:rPr>
              <w:t>Reflect on the effectiveness of different engagement strategies and lesson structures to improve future practice.</w:t>
            </w:r>
          </w:p>
        </w:tc>
        <w:tc>
          <w:tcPr>
            <w:tcW w:w="289" w:type="dxa"/>
            <w:tcBorders>
              <w:left w:val="nil"/>
            </w:tcBorders>
            <w:shd w:val="clear" w:color="auto" w:fill="auto"/>
          </w:tcPr>
          <w:p w14:paraId="11A9054A"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1C3CB343"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5FB5E0D6"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5F7F673A"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35A81515"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0C3D8785"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2F84B855"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11A06581"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p w14:paraId="5162CA6C" w14:textId="77777777" w:rsidR="00E42C7E" w:rsidRPr="00E42C7E" w:rsidRDefault="00E42C7E" w:rsidP="00E42C7E">
            <w:pPr>
              <w:spacing w:after="0" w:line="240" w:lineRule="auto"/>
              <w:rPr>
                <w:rFonts w:ascii="Calibri" w:eastAsia="Times New Roman" w:hAnsi="Calibri" w:cs="Calibri"/>
                <w:b/>
                <w:kern w:val="0"/>
                <w:lang w:val="en-US" w:eastAsia="en-US"/>
                <w14:ligatures w14:val="none"/>
              </w:rPr>
            </w:pPr>
          </w:p>
        </w:tc>
      </w:tr>
    </w:tbl>
    <w:p w14:paraId="1313E1C6" w14:textId="77777777" w:rsidR="00471513" w:rsidRPr="00471513" w:rsidRDefault="00471513" w:rsidP="00471513">
      <w:pPr>
        <w:keepNext/>
        <w:spacing w:after="0" w:line="240" w:lineRule="auto"/>
        <w:outlineLvl w:val="1"/>
        <w:rPr>
          <w:rFonts w:ascii="Calibri" w:eastAsia="Times New Roman" w:hAnsi="Calibri" w:cs="Times New Roman"/>
          <w:b/>
          <w:bCs/>
          <w:kern w:val="0"/>
          <w:sz w:val="28"/>
          <w:szCs w:val="28"/>
          <w:lang w:val="en-US" w:eastAsia="x-none"/>
          <w14:ligatures w14:val="none"/>
        </w:rPr>
      </w:pPr>
      <w:r w:rsidRPr="00471513">
        <w:rPr>
          <w:rFonts w:ascii="Calibri" w:eastAsia="Times New Roman" w:hAnsi="Calibri" w:cs="Times New Roman"/>
          <w:b/>
          <w:bCs/>
          <w:kern w:val="0"/>
          <w:sz w:val="28"/>
          <w:szCs w:val="28"/>
          <w:lang w:val="en-US" w:eastAsia="x-none"/>
          <w14:ligatures w14:val="none"/>
        </w:rPr>
        <w:lastRenderedPageBreak/>
        <w:t xml:space="preserve">Teacher Observation Form </w:t>
      </w:r>
    </w:p>
    <w:p w14:paraId="7CC91595" w14:textId="77777777" w:rsidR="00471513" w:rsidRPr="00471513" w:rsidRDefault="00471513" w:rsidP="00471513">
      <w:pPr>
        <w:spacing w:after="0" w:line="240" w:lineRule="auto"/>
        <w:rPr>
          <w:rFonts w:ascii="Calibri" w:eastAsia="Times New Roman" w:hAnsi="Calibri" w:cs="Calibri"/>
          <w:b/>
          <w:kern w:val="0"/>
          <w:sz w:val="18"/>
          <w:szCs w:val="18"/>
          <w:lang w:val="en-US" w:eastAsia="en-US"/>
          <w14:ligatures w14:val="none"/>
        </w:rPr>
      </w:pPr>
    </w:p>
    <w:p w14:paraId="494DFF39" w14:textId="77777777" w:rsidR="00471513" w:rsidRPr="00471513" w:rsidRDefault="00471513" w:rsidP="00471513">
      <w:pPr>
        <w:spacing w:after="0" w:line="240" w:lineRule="auto"/>
        <w:jc w:val="center"/>
        <w:rPr>
          <w:rFonts w:ascii="Times New Roman" w:eastAsia="Times New Roman" w:hAnsi="Times New Roman" w:cs="Times New Roman"/>
          <w:kern w:val="0"/>
          <w:szCs w:val="20"/>
          <w:lang w:val="en-US" w:eastAsia="en-US"/>
          <w14:ligatures w14:val="none"/>
        </w:rPr>
      </w:pPr>
      <w:r w:rsidRPr="00471513">
        <w:rPr>
          <w:rFonts w:ascii="Times New Roman" w:eastAsia="Times New Roman" w:hAnsi="Times New Roman" w:cs="Times New Roman"/>
          <w:noProof/>
          <w:kern w:val="0"/>
          <w:szCs w:val="20"/>
          <w:lang w:eastAsia="en-GB"/>
          <w14:ligatures w14:val="none"/>
        </w:rPr>
        <w:drawing>
          <wp:inline distT="0" distB="0" distL="0" distR="0" wp14:anchorId="497755A6" wp14:editId="6F693F46">
            <wp:extent cx="1362075" cy="481330"/>
            <wp:effectExtent l="0" t="0" r="9525" b="0"/>
            <wp:docPr id="1630441955" name="Picture 1630441955"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41955" name="Picture 1630441955" descr="A black and white sign with black tex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044FE8E" w14:textId="77777777" w:rsidR="00471513" w:rsidRPr="00471513" w:rsidRDefault="00471513" w:rsidP="00471513">
      <w:pPr>
        <w:spacing w:after="0" w:line="240" w:lineRule="auto"/>
        <w:rPr>
          <w:rFonts w:ascii="Calibri" w:eastAsia="Times New Roman" w:hAnsi="Calibri" w:cs="Calibri"/>
          <w:kern w:val="0"/>
          <w:lang w:val="en-US" w:eastAsia="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gridCol w:w="289"/>
      </w:tblGrid>
      <w:tr w:rsidR="00471513" w:rsidRPr="00471513" w14:paraId="2AD3EECB" w14:textId="77777777" w:rsidTr="00B57EA7">
        <w:trPr>
          <w:jc w:val="center"/>
        </w:trPr>
        <w:tc>
          <w:tcPr>
            <w:tcW w:w="10201" w:type="dxa"/>
            <w:shd w:val="clear" w:color="auto" w:fill="auto"/>
          </w:tcPr>
          <w:p w14:paraId="01E6670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Teacher</w:t>
            </w:r>
          </w:p>
          <w:p w14:paraId="7F0C32E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Ross Phillips</w:t>
            </w:r>
          </w:p>
        </w:tc>
        <w:tc>
          <w:tcPr>
            <w:tcW w:w="289" w:type="dxa"/>
            <w:shd w:val="clear" w:color="auto" w:fill="auto"/>
          </w:tcPr>
          <w:p w14:paraId="120A2902"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r>
      <w:tr w:rsidR="00471513" w:rsidRPr="00471513" w14:paraId="5052CA2B" w14:textId="77777777" w:rsidTr="00B57EA7">
        <w:trPr>
          <w:jc w:val="center"/>
        </w:trPr>
        <w:tc>
          <w:tcPr>
            <w:tcW w:w="10201" w:type="dxa"/>
            <w:shd w:val="clear" w:color="auto" w:fill="auto"/>
          </w:tcPr>
          <w:p w14:paraId="1F7CBD0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Date</w:t>
            </w:r>
          </w:p>
          <w:p w14:paraId="0F6BD8B6"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28/01/2025</w:t>
            </w:r>
          </w:p>
          <w:p w14:paraId="37656F92"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c>
          <w:tcPr>
            <w:tcW w:w="289" w:type="dxa"/>
            <w:shd w:val="clear" w:color="auto" w:fill="auto"/>
          </w:tcPr>
          <w:p w14:paraId="49760962"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r>
      <w:tr w:rsidR="00471513" w:rsidRPr="00471513" w14:paraId="29CE5BEC" w14:textId="77777777" w:rsidTr="00B57EA7">
        <w:trPr>
          <w:jc w:val="center"/>
        </w:trPr>
        <w:tc>
          <w:tcPr>
            <w:tcW w:w="10201" w:type="dxa"/>
            <w:shd w:val="clear" w:color="auto" w:fill="auto"/>
          </w:tcPr>
          <w:p w14:paraId="1322BE19"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 xml:space="preserve">Group </w:t>
            </w:r>
          </w:p>
          <w:p w14:paraId="36E37CD4"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Educational Studies</w:t>
            </w:r>
          </w:p>
        </w:tc>
        <w:tc>
          <w:tcPr>
            <w:tcW w:w="289" w:type="dxa"/>
            <w:shd w:val="clear" w:color="auto" w:fill="auto"/>
          </w:tcPr>
          <w:p w14:paraId="5038B04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r>
      <w:tr w:rsidR="00471513" w:rsidRPr="00471513" w14:paraId="71CAB2C0" w14:textId="77777777" w:rsidTr="00B57EA7">
        <w:trPr>
          <w:jc w:val="center"/>
        </w:trPr>
        <w:tc>
          <w:tcPr>
            <w:tcW w:w="10201" w:type="dxa"/>
            <w:tcBorders>
              <w:bottom w:val="single" w:sz="4" w:space="0" w:color="auto"/>
            </w:tcBorders>
            <w:shd w:val="clear" w:color="auto" w:fill="auto"/>
          </w:tcPr>
          <w:p w14:paraId="6CA929F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Topic/Context</w:t>
            </w:r>
          </w:p>
          <w:p w14:paraId="30BB387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Well-being in education</w:t>
            </w:r>
          </w:p>
          <w:p w14:paraId="19727B1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c>
          <w:tcPr>
            <w:tcW w:w="289" w:type="dxa"/>
            <w:tcBorders>
              <w:bottom w:val="single" w:sz="4" w:space="0" w:color="auto"/>
            </w:tcBorders>
            <w:shd w:val="clear" w:color="auto" w:fill="auto"/>
          </w:tcPr>
          <w:p w14:paraId="57E7C70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r>
      <w:tr w:rsidR="00471513" w:rsidRPr="00471513" w14:paraId="771AA198" w14:textId="77777777" w:rsidTr="00B57EA7">
        <w:trPr>
          <w:jc w:val="center"/>
        </w:trPr>
        <w:tc>
          <w:tcPr>
            <w:tcW w:w="10490" w:type="dxa"/>
            <w:gridSpan w:val="2"/>
            <w:shd w:val="clear" w:color="auto" w:fill="auto"/>
          </w:tcPr>
          <w:p w14:paraId="083868D6" w14:textId="77777777" w:rsidR="00471513" w:rsidRPr="00471513" w:rsidRDefault="00471513" w:rsidP="00471513">
            <w:pPr>
              <w:spacing w:after="0" w:line="240" w:lineRule="auto"/>
              <w:rPr>
                <w:rFonts w:ascii="Calibri" w:eastAsia="Times New Roman" w:hAnsi="Calibri" w:cs="Calibri"/>
                <w:b/>
                <w:kern w:val="0"/>
                <w:highlight w:val="yellow"/>
                <w:lang w:val="en-US" w:eastAsia="en-US"/>
                <w14:ligatures w14:val="none"/>
              </w:rPr>
            </w:pPr>
            <w:r w:rsidRPr="00471513">
              <w:rPr>
                <w:rFonts w:ascii="Calibri" w:eastAsia="Times New Roman" w:hAnsi="Calibri" w:cs="Calibri"/>
                <w:b/>
                <w:kern w:val="0"/>
                <w:lang w:val="en-US" w:eastAsia="en-US"/>
                <w14:ligatures w14:val="none"/>
              </w:rPr>
              <w:t>Notes on the lesson:</w:t>
            </w:r>
          </w:p>
        </w:tc>
      </w:tr>
      <w:tr w:rsidR="00471513" w:rsidRPr="00471513" w14:paraId="3A95B5CF" w14:textId="77777777" w:rsidTr="00B57EA7">
        <w:trPr>
          <w:jc w:val="center"/>
        </w:trPr>
        <w:tc>
          <w:tcPr>
            <w:tcW w:w="10201" w:type="dxa"/>
            <w:tcBorders>
              <w:bottom w:val="single" w:sz="4" w:space="0" w:color="auto"/>
              <w:right w:val="nil"/>
            </w:tcBorders>
            <w:shd w:val="clear" w:color="auto" w:fill="auto"/>
          </w:tcPr>
          <w:p w14:paraId="53B64BD7"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Classroom Environment:</w:t>
            </w:r>
          </w:p>
          <w:p w14:paraId="13884841"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Warm and welcoming atmosphere.</w:t>
            </w:r>
          </w:p>
          <w:p w14:paraId="6E48B496"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Personal greetings to students upon arrival.</w:t>
            </w:r>
          </w:p>
          <w:p w14:paraId="7644C99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Flexible seating arrangement with tables and chairs grouped together scattered around the room.</w:t>
            </w:r>
          </w:p>
          <w:p w14:paraId="47F588E1"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31910B69"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Teaching Approach:</w:t>
            </w:r>
          </w:p>
          <w:p w14:paraId="246F95A9"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Began with a brief recap of the previous lesson.</w:t>
            </w:r>
          </w:p>
          <w:p w14:paraId="67CD380D"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Enthusiastic and engaging.</w:t>
            </w:r>
          </w:p>
          <w:p w14:paraId="46EC4BC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Effectively used the classroom space, moving around to interact with students.</w:t>
            </w:r>
          </w:p>
          <w:p w14:paraId="7222D658"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Consistently used positive reinforcement.</w:t>
            </w:r>
          </w:p>
          <w:p w14:paraId="3D85E6C1"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54F24C7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Active Learning Strategies:</w:t>
            </w:r>
          </w:p>
          <w:p w14:paraId="6E6C163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Encouraged sharing of professional experiences.</w:t>
            </w:r>
          </w:p>
          <w:p w14:paraId="439E3E6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Incorporated think-pair-share activities.</w:t>
            </w:r>
          </w:p>
          <w:p w14:paraId="28CC2B2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Facilitated group discussions.</w:t>
            </w:r>
          </w:p>
          <w:p w14:paraId="3BA0C3DF"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Assigned practical exercises applying theory to real-world scenarios.</w:t>
            </w:r>
          </w:p>
          <w:p w14:paraId="2187252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58A8BBD4"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Student Engagement:</w:t>
            </w:r>
          </w:p>
          <w:p w14:paraId="5C3AA77B"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High levels of student participation observed.</w:t>
            </w:r>
          </w:p>
          <w:p w14:paraId="5137F00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Students easily transitioned between whole-class and small-group work.</w:t>
            </w:r>
          </w:p>
          <w:p w14:paraId="69FF136D"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Active involvement in discussions and activities.</w:t>
            </w:r>
          </w:p>
          <w:p w14:paraId="79993E38"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06F4F3B1"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Teacher-Student Interactions:</w:t>
            </w:r>
          </w:p>
          <w:p w14:paraId="7E357ED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 xml:space="preserve">Built positive relationships through </w:t>
            </w:r>
            <w:proofErr w:type="spellStart"/>
            <w:r w:rsidRPr="00471513">
              <w:rPr>
                <w:rFonts w:ascii="Calibri" w:eastAsia="Times New Roman" w:hAnsi="Calibri" w:cs="Calibri"/>
                <w:b/>
                <w:kern w:val="0"/>
                <w:lang w:val="en-US" w:eastAsia="en-US"/>
                <w14:ligatures w14:val="none"/>
              </w:rPr>
              <w:t>personalised</w:t>
            </w:r>
            <w:proofErr w:type="spellEnd"/>
            <w:r w:rsidRPr="00471513">
              <w:rPr>
                <w:rFonts w:ascii="Calibri" w:eastAsia="Times New Roman" w:hAnsi="Calibri" w:cs="Calibri"/>
                <w:b/>
                <w:kern w:val="0"/>
                <w:lang w:val="en-US" w:eastAsia="en-US"/>
                <w14:ligatures w14:val="none"/>
              </w:rPr>
              <w:t xml:space="preserve"> interactions.</w:t>
            </w:r>
          </w:p>
          <w:p w14:paraId="654F675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Maintained a calm and approachable demeanor.</w:t>
            </w:r>
          </w:p>
          <w:p w14:paraId="323BD2F7"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 xml:space="preserve">Provided </w:t>
            </w:r>
            <w:proofErr w:type="spellStart"/>
            <w:r w:rsidRPr="00471513">
              <w:rPr>
                <w:rFonts w:ascii="Calibri" w:eastAsia="Times New Roman" w:hAnsi="Calibri" w:cs="Calibri"/>
                <w:b/>
                <w:kern w:val="0"/>
                <w:lang w:val="en-US" w:eastAsia="en-US"/>
                <w14:ligatures w14:val="none"/>
              </w:rPr>
              <w:t>individualised</w:t>
            </w:r>
            <w:proofErr w:type="spellEnd"/>
            <w:r w:rsidRPr="00471513">
              <w:rPr>
                <w:rFonts w:ascii="Calibri" w:eastAsia="Times New Roman" w:hAnsi="Calibri" w:cs="Calibri"/>
                <w:b/>
                <w:kern w:val="0"/>
                <w:lang w:val="en-US" w:eastAsia="en-US"/>
                <w14:ligatures w14:val="none"/>
              </w:rPr>
              <w:t xml:space="preserve"> instruction and support.</w:t>
            </w:r>
          </w:p>
          <w:p w14:paraId="3C191237"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Alignment with Professional Standards.</w:t>
            </w:r>
          </w:p>
          <w:p w14:paraId="28DCA292"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Methods supported learner progression.</w:t>
            </w:r>
          </w:p>
          <w:p w14:paraId="335585AB"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Created an engaging learning environment.</w:t>
            </w:r>
          </w:p>
          <w:p w14:paraId="72F5C7A9"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Used varied teaching and assessment strategies.</w:t>
            </w:r>
          </w:p>
          <w:p w14:paraId="59F996B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571852FB"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Practical Application:</w:t>
            </w:r>
          </w:p>
          <w:p w14:paraId="5B345939"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Connected theoretical concepts to real-life situations.</w:t>
            </w:r>
          </w:p>
          <w:p w14:paraId="024FCB15" w14:textId="77777777" w:rsidR="00471513" w:rsidRPr="00471513" w:rsidRDefault="00471513" w:rsidP="00471513">
            <w:pPr>
              <w:spacing w:after="0" w:line="240" w:lineRule="auto"/>
              <w:rPr>
                <w:rFonts w:ascii="Calibri" w:eastAsia="Times New Roman" w:hAnsi="Calibri" w:cs="Calibri"/>
                <w:b/>
                <w:kern w:val="0"/>
                <w:highlight w:val="yellow"/>
                <w:lang w:val="en-US" w:eastAsia="en-US"/>
                <w14:ligatures w14:val="none"/>
              </w:rPr>
            </w:pPr>
            <w:proofErr w:type="spellStart"/>
            <w:r w:rsidRPr="00471513">
              <w:rPr>
                <w:rFonts w:ascii="Calibri" w:eastAsia="Times New Roman" w:hAnsi="Calibri" w:cs="Calibri"/>
                <w:b/>
                <w:kern w:val="0"/>
                <w:lang w:val="en-US" w:eastAsia="en-US"/>
                <w14:ligatures w14:val="none"/>
              </w:rPr>
              <w:t>Emphasised</w:t>
            </w:r>
            <w:proofErr w:type="spellEnd"/>
            <w:r w:rsidRPr="00471513">
              <w:rPr>
                <w:rFonts w:ascii="Calibri" w:eastAsia="Times New Roman" w:hAnsi="Calibri" w:cs="Calibri"/>
                <w:b/>
                <w:kern w:val="0"/>
                <w:lang w:val="en-US" w:eastAsia="en-US"/>
                <w14:ligatures w14:val="none"/>
              </w:rPr>
              <w:t xml:space="preserve"> relevance of learning to students' work or future careers.</w:t>
            </w:r>
          </w:p>
          <w:p w14:paraId="05DC2334" w14:textId="77777777" w:rsidR="00471513" w:rsidRPr="00471513" w:rsidRDefault="00471513" w:rsidP="00471513">
            <w:pPr>
              <w:spacing w:after="0" w:line="240" w:lineRule="auto"/>
              <w:rPr>
                <w:rFonts w:ascii="Calibri" w:eastAsia="Times New Roman" w:hAnsi="Calibri" w:cs="Calibri"/>
                <w:b/>
                <w:kern w:val="0"/>
                <w:highlight w:val="yellow"/>
                <w:lang w:val="en-US" w:eastAsia="en-US"/>
                <w14:ligatures w14:val="none"/>
              </w:rPr>
            </w:pPr>
          </w:p>
        </w:tc>
        <w:tc>
          <w:tcPr>
            <w:tcW w:w="289" w:type="dxa"/>
            <w:tcBorders>
              <w:left w:val="nil"/>
              <w:bottom w:val="single" w:sz="4" w:space="0" w:color="auto"/>
            </w:tcBorders>
            <w:shd w:val="clear" w:color="auto" w:fill="auto"/>
          </w:tcPr>
          <w:p w14:paraId="693F4061"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r>
      <w:tr w:rsidR="00471513" w:rsidRPr="00471513" w14:paraId="0F66C43F" w14:textId="77777777" w:rsidTr="00B57EA7">
        <w:trPr>
          <w:jc w:val="center"/>
        </w:trPr>
        <w:tc>
          <w:tcPr>
            <w:tcW w:w="10490" w:type="dxa"/>
            <w:gridSpan w:val="2"/>
            <w:shd w:val="clear" w:color="auto" w:fill="auto"/>
          </w:tcPr>
          <w:p w14:paraId="1C6CA79C"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What I have learned:</w:t>
            </w:r>
          </w:p>
        </w:tc>
      </w:tr>
      <w:tr w:rsidR="00471513" w:rsidRPr="00471513" w14:paraId="6021FFCB" w14:textId="77777777" w:rsidTr="00B57EA7">
        <w:trPr>
          <w:jc w:val="center"/>
        </w:trPr>
        <w:tc>
          <w:tcPr>
            <w:tcW w:w="10201" w:type="dxa"/>
            <w:tcBorders>
              <w:bottom w:val="single" w:sz="4" w:space="0" w:color="auto"/>
              <w:right w:val="nil"/>
            </w:tcBorders>
            <w:shd w:val="clear" w:color="auto" w:fill="auto"/>
          </w:tcPr>
          <w:p w14:paraId="74835DA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Flexible seating arrangements encourage collaboration, peer learning, and accommodate diverse learning needs.</w:t>
            </w:r>
          </w:p>
          <w:p w14:paraId="6EADD046"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roofErr w:type="spellStart"/>
            <w:r w:rsidRPr="00471513">
              <w:rPr>
                <w:rFonts w:ascii="Calibri" w:eastAsia="Times New Roman" w:hAnsi="Calibri" w:cs="Calibri"/>
                <w:b/>
                <w:kern w:val="0"/>
                <w:lang w:val="en-US" w:eastAsia="en-US"/>
                <w14:ligatures w14:val="none"/>
              </w:rPr>
              <w:t>Personalised</w:t>
            </w:r>
            <w:proofErr w:type="spellEnd"/>
            <w:r w:rsidRPr="00471513">
              <w:rPr>
                <w:rFonts w:ascii="Calibri" w:eastAsia="Times New Roman" w:hAnsi="Calibri" w:cs="Calibri"/>
                <w:b/>
                <w:kern w:val="0"/>
                <w:lang w:val="en-US" w:eastAsia="en-US"/>
                <w14:ligatures w14:val="none"/>
              </w:rPr>
              <w:t xml:space="preserve"> greetings and interactions help build positive teacher-student relationships, improving engagement and creating a welcoming classroom environment.</w:t>
            </w:r>
          </w:p>
          <w:p w14:paraId="1D1BF53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Teacher enthusiasm and strategic movement around the classroom enhance student motivation, participation, and engagement.</w:t>
            </w:r>
          </w:p>
          <w:p w14:paraId="549ABBC2"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Encouraging students to share professional experiences connects theoretical knowledge to practical applications, making learning more meaningful and relevant.</w:t>
            </w:r>
          </w:p>
          <w:p w14:paraId="4F21E29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Activating prior knowledge through lesson recaps aids in scaffolding new learning.</w:t>
            </w:r>
          </w:p>
          <w:p w14:paraId="61FE578D"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Consistent positive reinforcement motivates students, encourages participation, and builds confidence.</w:t>
            </w:r>
          </w:p>
          <w:p w14:paraId="7571ABDD"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Think-pair-share activities, group discussions, and practical exercises promote individual reflection, collaborative learning, and bridge theory with application.</w:t>
            </w:r>
          </w:p>
          <w:p w14:paraId="24DB2FD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Using varied teaching and assessment methods supports different learning styles, maintains student interest, and helps students develop and express their understanding.</w:t>
            </w:r>
          </w:p>
          <w:p w14:paraId="07C78DB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Aligning teaching practices with professional standards is significant for effective education.</w:t>
            </w:r>
          </w:p>
          <w:p w14:paraId="0D93B4CB"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c>
          <w:tcPr>
            <w:tcW w:w="289" w:type="dxa"/>
            <w:tcBorders>
              <w:left w:val="nil"/>
              <w:bottom w:val="single" w:sz="4" w:space="0" w:color="auto"/>
            </w:tcBorders>
            <w:shd w:val="clear" w:color="auto" w:fill="auto"/>
          </w:tcPr>
          <w:p w14:paraId="768B7C07"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r>
      <w:tr w:rsidR="00471513" w:rsidRPr="00471513" w14:paraId="3CCDFFFD" w14:textId="77777777" w:rsidTr="00B57EA7">
        <w:trPr>
          <w:jc w:val="center"/>
        </w:trPr>
        <w:tc>
          <w:tcPr>
            <w:tcW w:w="10490" w:type="dxa"/>
            <w:gridSpan w:val="2"/>
            <w:shd w:val="clear" w:color="auto" w:fill="auto"/>
          </w:tcPr>
          <w:p w14:paraId="135EF447" w14:textId="77777777" w:rsidR="00471513" w:rsidRPr="00471513" w:rsidRDefault="00471513" w:rsidP="00471513">
            <w:pPr>
              <w:spacing w:after="0" w:line="240" w:lineRule="auto"/>
              <w:rPr>
                <w:rFonts w:ascii="Calibri" w:eastAsia="Times New Roman" w:hAnsi="Calibri" w:cs="Calibri"/>
                <w:b/>
                <w:bCs/>
                <w:kern w:val="0"/>
                <w:szCs w:val="20"/>
                <w:lang w:val="en-US" w:eastAsia="en-US"/>
                <w14:ligatures w14:val="none"/>
              </w:rPr>
            </w:pPr>
            <w:r w:rsidRPr="00471513">
              <w:rPr>
                <w:rFonts w:ascii="Calibri" w:eastAsia="Times New Roman" w:hAnsi="Calibri" w:cs="Calibri"/>
                <w:b/>
                <w:bCs/>
                <w:kern w:val="0"/>
                <w:szCs w:val="20"/>
                <w:lang w:val="en-US" w:eastAsia="en-US"/>
                <w14:ligatures w14:val="none"/>
              </w:rPr>
              <w:t>Targets to improve my own practice (mapped to professional standards):</w:t>
            </w:r>
          </w:p>
        </w:tc>
      </w:tr>
      <w:tr w:rsidR="00471513" w:rsidRPr="00471513" w14:paraId="0789B87D" w14:textId="77777777" w:rsidTr="00B57EA7">
        <w:trPr>
          <w:jc w:val="center"/>
        </w:trPr>
        <w:tc>
          <w:tcPr>
            <w:tcW w:w="10201" w:type="dxa"/>
            <w:tcBorders>
              <w:right w:val="nil"/>
            </w:tcBorders>
            <w:shd w:val="clear" w:color="auto" w:fill="auto"/>
          </w:tcPr>
          <w:p w14:paraId="45E26F97"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1. Demonstrate Commitment to Learners, Their Learning, Safety, and Well-being:</w:t>
            </w:r>
          </w:p>
          <w:p w14:paraId="1ADFD62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Create a warm and welcoming atmosphere.</w:t>
            </w:r>
          </w:p>
          <w:p w14:paraId="1827C8B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Greet students personally upon arrival.</w:t>
            </w:r>
          </w:p>
          <w:p w14:paraId="494C3547"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Maintain a calm and approachable demeanor.</w:t>
            </w:r>
          </w:p>
          <w:p w14:paraId="0BA4B6F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 xml:space="preserve">Provide </w:t>
            </w:r>
            <w:proofErr w:type="spellStart"/>
            <w:r w:rsidRPr="00471513">
              <w:rPr>
                <w:rFonts w:ascii="Calibri" w:eastAsia="Times New Roman" w:hAnsi="Calibri" w:cs="Calibri"/>
                <w:b/>
                <w:kern w:val="0"/>
                <w:lang w:val="en-US" w:eastAsia="en-US"/>
                <w14:ligatures w14:val="none"/>
              </w:rPr>
              <w:t>individualised</w:t>
            </w:r>
            <w:proofErr w:type="spellEnd"/>
            <w:r w:rsidRPr="00471513">
              <w:rPr>
                <w:rFonts w:ascii="Calibri" w:eastAsia="Times New Roman" w:hAnsi="Calibri" w:cs="Calibri"/>
                <w:b/>
                <w:kern w:val="0"/>
                <w:lang w:val="en-US" w:eastAsia="en-US"/>
                <w14:ligatures w14:val="none"/>
              </w:rPr>
              <w:t xml:space="preserve"> instruction and support.</w:t>
            </w:r>
          </w:p>
          <w:p w14:paraId="490CEBB7"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0FBBA33A"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2. Value and Promote Diversity, Equality of Opportunity, and Inclusion:</w:t>
            </w:r>
          </w:p>
          <w:p w14:paraId="2C71901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Use a flexible seating arrangement with tables and chairs grouped together.</w:t>
            </w:r>
          </w:p>
          <w:p w14:paraId="1BB14F52"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Encourage the sharing of professional experiences to value and integrate diverse backgrounds.</w:t>
            </w:r>
          </w:p>
          <w:p w14:paraId="7C3CC08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Encourage high levels of student participation, ensuring inclusivity in teaching.</w:t>
            </w:r>
          </w:p>
          <w:p w14:paraId="41B2B65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0008E89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3. Demonstrate Dignity, Courtesy, and Respect Towards Others:</w:t>
            </w:r>
          </w:p>
          <w:p w14:paraId="70D0A8CC"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 xml:space="preserve">Build positive relationships through </w:t>
            </w:r>
            <w:proofErr w:type="spellStart"/>
            <w:r w:rsidRPr="00471513">
              <w:rPr>
                <w:rFonts w:ascii="Calibri" w:eastAsia="Times New Roman" w:hAnsi="Calibri" w:cs="Calibri"/>
                <w:b/>
                <w:kern w:val="0"/>
                <w:lang w:val="en-US" w:eastAsia="en-US"/>
                <w14:ligatures w14:val="none"/>
              </w:rPr>
              <w:t>personalised</w:t>
            </w:r>
            <w:proofErr w:type="spellEnd"/>
            <w:r w:rsidRPr="00471513">
              <w:rPr>
                <w:rFonts w:ascii="Calibri" w:eastAsia="Times New Roman" w:hAnsi="Calibri" w:cs="Calibri"/>
                <w:b/>
                <w:kern w:val="0"/>
                <w:lang w:val="en-US" w:eastAsia="en-US"/>
                <w14:ligatures w14:val="none"/>
              </w:rPr>
              <w:t xml:space="preserve"> interactions.</w:t>
            </w:r>
          </w:p>
          <w:p w14:paraId="0FE88B2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Consistently use positive reinforcement to motivate and encourage students.</w:t>
            </w:r>
          </w:p>
          <w:p w14:paraId="67302891"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3D91401B"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4. Maintain and Update Knowledge of My Subject(s) and How Best to Teach and Assess Them:</w:t>
            </w:r>
          </w:p>
          <w:p w14:paraId="0855283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Use varied teaching and assessment strategies to enhance learning and assessment.</w:t>
            </w:r>
          </w:p>
          <w:p w14:paraId="45F3DE94"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37AEBA7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5. Plan and Deliver Effective Learning, Teaching, and Assessment:</w:t>
            </w:r>
          </w:p>
          <w:p w14:paraId="45354EBD"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Begin lessons with a brief recap of the previous session to activate prior knowledge.</w:t>
            </w:r>
          </w:p>
          <w:p w14:paraId="291A6FC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Facilitate group discussions and think-pair-share activities to engage students actively.</w:t>
            </w:r>
          </w:p>
          <w:p w14:paraId="763E9A8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Assign practical exercises applying theory to real-world scenarios to connect learning to practice.</w:t>
            </w:r>
          </w:p>
          <w:p w14:paraId="5ABA1AB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309F757C"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lastRenderedPageBreak/>
              <w:t>6. Build Positive and Collaborative Relationships:</w:t>
            </w:r>
          </w:p>
          <w:p w14:paraId="706AE6D1"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Encourage the sharing of professional experiences to foster a collaborative learning environment.</w:t>
            </w:r>
          </w:p>
          <w:p w14:paraId="5025D8C9"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Observe high levels of student participation to strengthen peer interaction.</w:t>
            </w:r>
          </w:p>
          <w:p w14:paraId="56FA7068"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60B73A5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7. Enable Learners to Share Responsibility for Their Own Learning and Assessment:</w:t>
            </w:r>
          </w:p>
          <w:p w14:paraId="70471A43"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Ensure students can easily transition between whole-class and small-group work, encouraging independent learning.</w:t>
            </w:r>
          </w:p>
          <w:p w14:paraId="72C76EAD"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Facilitate group discussions and think-pair-share activities to encourage students to take responsibility for their learning.</w:t>
            </w:r>
          </w:p>
          <w:p w14:paraId="67EDEA3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2D402F0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8. Critically Reflect on Own Values, Knowledge, and Skills to Improve Learning:</w:t>
            </w:r>
          </w:p>
          <w:p w14:paraId="125A0075"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r w:rsidRPr="00471513">
              <w:rPr>
                <w:rFonts w:ascii="Calibri" w:eastAsia="Times New Roman" w:hAnsi="Calibri" w:cs="Calibri"/>
                <w:b/>
                <w:kern w:val="0"/>
                <w:lang w:val="en-US" w:eastAsia="en-US"/>
                <w14:ligatures w14:val="none"/>
              </w:rPr>
              <w:t>Align teaching practices with professional standards to ensure continuous improvement.</w:t>
            </w:r>
          </w:p>
        </w:tc>
        <w:tc>
          <w:tcPr>
            <w:tcW w:w="289" w:type="dxa"/>
            <w:tcBorders>
              <w:left w:val="nil"/>
            </w:tcBorders>
            <w:shd w:val="clear" w:color="auto" w:fill="auto"/>
          </w:tcPr>
          <w:p w14:paraId="21D05036"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4FA1FAF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1424A26E"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5C78163F"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05FA694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72A4611D"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272E7D76"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3D8FEF4F"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p w14:paraId="55DC8290" w14:textId="77777777" w:rsidR="00471513" w:rsidRPr="00471513" w:rsidRDefault="00471513" w:rsidP="00471513">
            <w:pPr>
              <w:spacing w:after="0" w:line="240" w:lineRule="auto"/>
              <w:rPr>
                <w:rFonts w:ascii="Calibri" w:eastAsia="Times New Roman" w:hAnsi="Calibri" w:cs="Calibri"/>
                <w:b/>
                <w:kern w:val="0"/>
                <w:lang w:val="en-US" w:eastAsia="en-US"/>
                <w14:ligatures w14:val="none"/>
              </w:rPr>
            </w:pPr>
          </w:p>
        </w:tc>
      </w:tr>
    </w:tbl>
    <w:p w14:paraId="0FC3E6FC" w14:textId="77777777" w:rsidR="00E42C7E" w:rsidRPr="00FB3F3A" w:rsidRDefault="00E42C7E" w:rsidP="00DD5969">
      <w:pPr>
        <w:rPr>
          <w:rFonts w:ascii="Calibri" w:hAnsi="Calibri" w:cs="Calibri"/>
        </w:rPr>
      </w:pPr>
    </w:p>
    <w:sectPr w:rsidR="00E42C7E" w:rsidRPr="00FB3F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688F8" w14:textId="77777777" w:rsidR="008C0C9C" w:rsidRDefault="008C0C9C" w:rsidP="00011AB6">
      <w:pPr>
        <w:spacing w:after="0" w:line="240" w:lineRule="auto"/>
      </w:pPr>
      <w:r>
        <w:separator/>
      </w:r>
    </w:p>
  </w:endnote>
  <w:endnote w:type="continuationSeparator" w:id="0">
    <w:p w14:paraId="69741E01" w14:textId="77777777" w:rsidR="008C0C9C" w:rsidRDefault="008C0C9C"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D6AE3" w14:textId="77777777" w:rsidR="008C0C9C" w:rsidRDefault="008C0C9C" w:rsidP="00011AB6">
      <w:pPr>
        <w:spacing w:after="0" w:line="240" w:lineRule="auto"/>
      </w:pPr>
      <w:r>
        <w:separator/>
      </w:r>
    </w:p>
  </w:footnote>
  <w:footnote w:type="continuationSeparator" w:id="0">
    <w:p w14:paraId="470CD967" w14:textId="77777777" w:rsidR="008C0C9C" w:rsidRDefault="008C0C9C"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74B5"/>
    <w:rsid w:val="00007AB2"/>
    <w:rsid w:val="00011AB6"/>
    <w:rsid w:val="00051C6A"/>
    <w:rsid w:val="00061BBC"/>
    <w:rsid w:val="00063ADC"/>
    <w:rsid w:val="000A2E17"/>
    <w:rsid w:val="000A470F"/>
    <w:rsid w:val="000C144A"/>
    <w:rsid w:val="000C541C"/>
    <w:rsid w:val="000C59FB"/>
    <w:rsid w:val="000C68CB"/>
    <w:rsid w:val="000D5B34"/>
    <w:rsid w:val="0010406A"/>
    <w:rsid w:val="00110DEC"/>
    <w:rsid w:val="001118FB"/>
    <w:rsid w:val="00115538"/>
    <w:rsid w:val="00126543"/>
    <w:rsid w:val="00135DD1"/>
    <w:rsid w:val="00147924"/>
    <w:rsid w:val="00164156"/>
    <w:rsid w:val="001819DF"/>
    <w:rsid w:val="001A1AEA"/>
    <w:rsid w:val="001B086C"/>
    <w:rsid w:val="001C6E70"/>
    <w:rsid w:val="001F36B3"/>
    <w:rsid w:val="002120AB"/>
    <w:rsid w:val="002424D0"/>
    <w:rsid w:val="00246B9E"/>
    <w:rsid w:val="00262DC1"/>
    <w:rsid w:val="002C6439"/>
    <w:rsid w:val="002E6F4E"/>
    <w:rsid w:val="002F243A"/>
    <w:rsid w:val="00301906"/>
    <w:rsid w:val="00302BB1"/>
    <w:rsid w:val="00307139"/>
    <w:rsid w:val="00311DB2"/>
    <w:rsid w:val="003341DF"/>
    <w:rsid w:val="00347EA1"/>
    <w:rsid w:val="00353860"/>
    <w:rsid w:val="00382546"/>
    <w:rsid w:val="00393B92"/>
    <w:rsid w:val="003A4B66"/>
    <w:rsid w:val="003A709B"/>
    <w:rsid w:val="003B4BF1"/>
    <w:rsid w:val="003D223A"/>
    <w:rsid w:val="003F529F"/>
    <w:rsid w:val="00417AB6"/>
    <w:rsid w:val="00457AD8"/>
    <w:rsid w:val="00471513"/>
    <w:rsid w:val="004D474C"/>
    <w:rsid w:val="004F228A"/>
    <w:rsid w:val="0051629D"/>
    <w:rsid w:val="0053246E"/>
    <w:rsid w:val="00536CFB"/>
    <w:rsid w:val="00543F5E"/>
    <w:rsid w:val="00545AD7"/>
    <w:rsid w:val="00546F5F"/>
    <w:rsid w:val="00584970"/>
    <w:rsid w:val="005A71D9"/>
    <w:rsid w:val="005B4971"/>
    <w:rsid w:val="005B783A"/>
    <w:rsid w:val="005F42D0"/>
    <w:rsid w:val="005F7C42"/>
    <w:rsid w:val="0062310A"/>
    <w:rsid w:val="00664B16"/>
    <w:rsid w:val="00673F55"/>
    <w:rsid w:val="006B52C3"/>
    <w:rsid w:val="007203C3"/>
    <w:rsid w:val="00724112"/>
    <w:rsid w:val="007352C0"/>
    <w:rsid w:val="00743752"/>
    <w:rsid w:val="007B73E6"/>
    <w:rsid w:val="007C73DE"/>
    <w:rsid w:val="007D3AE1"/>
    <w:rsid w:val="007D777F"/>
    <w:rsid w:val="007E01E0"/>
    <w:rsid w:val="00801086"/>
    <w:rsid w:val="00803155"/>
    <w:rsid w:val="00814F92"/>
    <w:rsid w:val="00840BEE"/>
    <w:rsid w:val="00851EDB"/>
    <w:rsid w:val="0087242F"/>
    <w:rsid w:val="00887A61"/>
    <w:rsid w:val="008C0C9C"/>
    <w:rsid w:val="008D3759"/>
    <w:rsid w:val="008D7180"/>
    <w:rsid w:val="008F1086"/>
    <w:rsid w:val="009060A0"/>
    <w:rsid w:val="0091355A"/>
    <w:rsid w:val="00917008"/>
    <w:rsid w:val="00935B8D"/>
    <w:rsid w:val="00981C96"/>
    <w:rsid w:val="009B02E5"/>
    <w:rsid w:val="009B164A"/>
    <w:rsid w:val="009C14CC"/>
    <w:rsid w:val="009C6186"/>
    <w:rsid w:val="00A23D6E"/>
    <w:rsid w:val="00A476E3"/>
    <w:rsid w:val="00A6013A"/>
    <w:rsid w:val="00AA5273"/>
    <w:rsid w:val="00AD7313"/>
    <w:rsid w:val="00AE2AA9"/>
    <w:rsid w:val="00AE3307"/>
    <w:rsid w:val="00B028A8"/>
    <w:rsid w:val="00B053E6"/>
    <w:rsid w:val="00B103B9"/>
    <w:rsid w:val="00B42784"/>
    <w:rsid w:val="00B430B4"/>
    <w:rsid w:val="00B51B61"/>
    <w:rsid w:val="00B724BB"/>
    <w:rsid w:val="00BE053D"/>
    <w:rsid w:val="00BE2A35"/>
    <w:rsid w:val="00BE3554"/>
    <w:rsid w:val="00C129B8"/>
    <w:rsid w:val="00C24461"/>
    <w:rsid w:val="00C2550A"/>
    <w:rsid w:val="00C4699D"/>
    <w:rsid w:val="00CF32AC"/>
    <w:rsid w:val="00D0262E"/>
    <w:rsid w:val="00D24ADF"/>
    <w:rsid w:val="00D26517"/>
    <w:rsid w:val="00D33868"/>
    <w:rsid w:val="00D405BB"/>
    <w:rsid w:val="00D8321B"/>
    <w:rsid w:val="00DC55F3"/>
    <w:rsid w:val="00DD5969"/>
    <w:rsid w:val="00DF2D92"/>
    <w:rsid w:val="00E10797"/>
    <w:rsid w:val="00E12EA7"/>
    <w:rsid w:val="00E243A8"/>
    <w:rsid w:val="00E42C7E"/>
    <w:rsid w:val="00E6747C"/>
    <w:rsid w:val="00E7059D"/>
    <w:rsid w:val="00EA0B9A"/>
    <w:rsid w:val="00EA15D1"/>
    <w:rsid w:val="00EA6220"/>
    <w:rsid w:val="00EC1771"/>
    <w:rsid w:val="00EC3AD1"/>
    <w:rsid w:val="00EE1000"/>
    <w:rsid w:val="00F11040"/>
    <w:rsid w:val="00F540D5"/>
    <w:rsid w:val="00F8089C"/>
    <w:rsid w:val="00F96C0B"/>
    <w:rsid w:val="00FA411B"/>
    <w:rsid w:val="00FB1E92"/>
    <w:rsid w:val="00FB3F3A"/>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character" w:styleId="Hyperlink">
    <w:name w:val="Hyperlink"/>
    <w:basedOn w:val="DefaultParagraphFont"/>
    <w:uiPriority w:val="99"/>
    <w:unhideWhenUsed/>
    <w:rsid w:val="001F36B3"/>
    <w:rPr>
      <w:color w:val="467886" w:themeColor="hyperlink"/>
      <w:u w:val="single"/>
    </w:rPr>
  </w:style>
  <w:style w:type="character" w:styleId="UnresolvedMention">
    <w:name w:val="Unresolved Mention"/>
    <w:basedOn w:val="DefaultParagraphFont"/>
    <w:uiPriority w:val="99"/>
    <w:semiHidden/>
    <w:unhideWhenUsed/>
    <w:rsid w:val="001F36B3"/>
    <w:rPr>
      <w:color w:val="605E5C"/>
      <w:shd w:val="clear" w:color="auto" w:fill="E1DFDD"/>
    </w:rPr>
  </w:style>
  <w:style w:type="table" w:customStyle="1" w:styleId="TableGrid1">
    <w:name w:val="Table Grid1"/>
    <w:basedOn w:val="TableNormal"/>
    <w:next w:val="TableGrid"/>
    <w:uiPriority w:val="39"/>
    <w:rsid w:val="003B4BF1"/>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73/pnas.1319030111" TargetMode="External"/><Relationship Id="rId18" Type="http://schemas.openxmlformats.org/officeDocument/2006/relationships/hyperlink" Target="https://www.jstor.org/stable/41824408" TargetMode="External"/><Relationship Id="rId26" Type="http://schemas.openxmlformats.org/officeDocument/2006/relationships/hyperlink" Target="https://doi.org/10.1111/j.1467-9604.2008.00375.x" TargetMode="External"/><Relationship Id="rId3" Type="http://schemas.openxmlformats.org/officeDocument/2006/relationships/customXml" Target="../customXml/item3.xml"/><Relationship Id="rId21" Type="http://schemas.openxmlformats.org/officeDocument/2006/relationships/hyperlink" Target="http://libjournal.uncg.edu/jls/article/view/1286" TargetMode="External"/><Relationship Id="rId7" Type="http://schemas.openxmlformats.org/officeDocument/2006/relationships/footnotes" Target="footnotes.xml"/><Relationship Id="rId12" Type="http://schemas.openxmlformats.org/officeDocument/2006/relationships/hyperlink" Target="https://doi.org/10.1073/pnas.1821936116" TargetMode="External"/><Relationship Id="rId17" Type="http://schemas.openxmlformats.org/officeDocument/2006/relationships/hyperlink" Target="https://dl.acm.org/doi/10.1145/2591708.2591739" TargetMode="External"/><Relationship Id="rId25" Type="http://schemas.openxmlformats.org/officeDocument/2006/relationships/hyperlink" Target="https://ijfans.org/uploads/paper/f5cd2bf04215b4c4d079d10ea19ed419.pdf" TargetMode="External"/><Relationship Id="rId2" Type="http://schemas.openxmlformats.org/officeDocument/2006/relationships/customXml" Target="../customXml/item2.xml"/><Relationship Id="rId16" Type="http://schemas.openxmlformats.org/officeDocument/2006/relationships/hyperlink" Target="https://www.jstor.org/stable/1477405" TargetMode="External"/><Relationship Id="rId20" Type="http://schemas.openxmlformats.org/officeDocument/2006/relationships/hyperlink" Target="https://doi.org/10.3389/fpsyg.2022.82122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01443410.2020.1711872" TargetMode="External"/><Relationship Id="rId24" Type="http://schemas.openxmlformats.org/officeDocument/2006/relationships/hyperlink" Target="https://doi.org/10.1007/s10648-010-9127-6" TargetMode="External"/><Relationship Id="rId5" Type="http://schemas.openxmlformats.org/officeDocument/2006/relationships/settings" Target="settings.xml"/><Relationship Id="rId15" Type="http://schemas.openxmlformats.org/officeDocument/2006/relationships/hyperlink" Target="https://doi.org/10.1016/j.edurev.2017.10.001" TargetMode="External"/><Relationship Id="rId23" Type="http://schemas.openxmlformats.org/officeDocument/2006/relationships/hyperlink" Target="https://journals.sagepub.com/doi/pdf/10.3102/0034654311421793?casa_token=MFzRt411MWYAAAAA:p9v5EhxjPxQXfNB6icwa7XbOZoktd9w3QyXUQph3lx_D50AsdA8VHtDfE3dmDX6wkW4fFa4AiGA" TargetMode="External"/><Relationship Id="rId28" Type="http://schemas.openxmlformats.org/officeDocument/2006/relationships/image" Target="media/image2.png"/><Relationship Id="rId10" Type="http://schemas.openxmlformats.org/officeDocument/2006/relationships/hyperlink" Target="https://firstliteracy.org/wp-content/uploads/2015/07/How-Learning-Works.pdf" TargetMode="External"/><Relationship Id="rId19" Type="http://schemas.openxmlformats.org/officeDocument/2006/relationships/hyperlink" Target="https://doi.org/10.37742/jela.v6i1.12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outledge.com/Visible-Learning-for-Teachers-Maximizing-Impact-on-Learning/Hattie/p/book/9780415690157" TargetMode="External"/><Relationship Id="rId22" Type="http://schemas.openxmlformats.org/officeDocument/2006/relationships/hyperlink" Target="https://www.sec-ed.co.uk/content/best-practice/get-out-from-behind-the-desk/" TargetMode="External"/><Relationship Id="rId27" Type="http://schemas.openxmlformats.org/officeDocument/2006/relationships/hyperlink" Target="https://hwb.gov.wales/api/storage/460a740a-7bf1-4c7b-b4ae-348ae380879b/professional-standards-further-education-teachers-work-based-learning-practitioners-wales.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7" ma:contentTypeDescription="Create a new document." ma:contentTypeScope="" ma:versionID="1801f057e9dbf92d301abf324cad32c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5e796a1e4311106cacddfd97a69f6c8"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D4E1B2-05FC-4E21-90D5-9F5443366A0E}">
  <ds:schemaRefs>
    <ds:schemaRef ds:uri="http://purl.org/dc/dcmitype/"/>
    <ds:schemaRef ds:uri="921765a0-fcf6-47d1-8ac4-5d670786d758"/>
    <ds:schemaRef ds:uri="http://schemas.openxmlformats.org/package/2006/metadata/core-properties"/>
    <ds:schemaRef ds:uri="http://schemas.microsoft.com/office/2006/documentManagement/types"/>
    <ds:schemaRef ds:uri="http://purl.org/dc/elements/1.1/"/>
    <ds:schemaRef ds:uri="http://purl.org/dc/terms/"/>
    <ds:schemaRef ds:uri="http://schemas.microsoft.com/office/2006/metadata/properties"/>
    <ds:schemaRef ds:uri="http://www.w3.org/XML/1998/namespace"/>
    <ds:schemaRef ds:uri="http://schemas.microsoft.com/office/infopath/2007/PartnerControls"/>
    <ds:schemaRef ds:uri="46b8f10f-f56e-4e87-af4a-2384ac144562"/>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BB687BBD-D210-4B67-A5FE-238A69710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6094</Words>
  <Characters>34738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Tracy Linsey (1908007)</cp:lastModifiedBy>
  <cp:revision>2</cp:revision>
  <dcterms:created xsi:type="dcterms:W3CDTF">2025-02-07T20:54:00Z</dcterms:created>
  <dcterms:modified xsi:type="dcterms:W3CDTF">2025-02-07T20:54:00Z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