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F7302" w14:textId="77777777" w:rsidR="0011660E" w:rsidRPr="00843364" w:rsidRDefault="0011660E" w:rsidP="00843364">
      <w:pPr>
        <w:spacing w:before="120" w:after="120"/>
        <w:ind w:firstLine="720"/>
        <w:rPr>
          <w:rFonts w:ascii="Arial" w:hAnsi="Arial" w:cs="Arial"/>
          <w:b/>
          <w:color w:val="EE0000"/>
          <w:sz w:val="24"/>
          <w:szCs w:val="24"/>
        </w:rPr>
      </w:pPr>
      <w:r w:rsidRPr="00843364">
        <w:rPr>
          <w:rFonts w:ascii="Arial" w:eastAsia="Arial" w:hAnsi="Arial" w:cs="Arial"/>
          <w:b/>
          <w:color w:val="EE0000"/>
          <w:sz w:val="24"/>
          <w:szCs w:val="24"/>
        </w:rPr>
        <w:t xml:space="preserve">BA (Hons) Leadership and Management Skills in the Workplace </w:t>
      </w:r>
    </w:p>
    <w:p w14:paraId="3058833C" w14:textId="77777777" w:rsidR="0011660E" w:rsidRDefault="0011660E" w:rsidP="00CF4544">
      <w:pPr>
        <w:spacing w:before="120" w:after="120"/>
        <w:ind w:left="720" w:firstLine="720"/>
        <w:rPr>
          <w:rFonts w:cstheme="minorHAnsi"/>
          <w:b/>
          <w:bCs/>
          <w:sz w:val="28"/>
          <w:szCs w:val="28"/>
        </w:rPr>
      </w:pPr>
    </w:p>
    <w:p w14:paraId="7AA22AB5" w14:textId="7DD004E3" w:rsidR="004455EA" w:rsidRPr="004455EA" w:rsidRDefault="004455EA" w:rsidP="00CF4544">
      <w:pPr>
        <w:spacing w:before="120" w:after="120"/>
        <w:ind w:left="720" w:firstLine="720"/>
        <w:rPr>
          <w:rFonts w:cstheme="minorHAnsi"/>
          <w:b/>
          <w:bCs/>
          <w:sz w:val="28"/>
          <w:szCs w:val="28"/>
        </w:rPr>
      </w:pPr>
      <w:r w:rsidRPr="0089706C">
        <w:rPr>
          <w:rFonts w:cstheme="minorHAnsi"/>
          <w:b/>
          <w:bCs/>
          <w:sz w:val="28"/>
          <w:szCs w:val="28"/>
        </w:rPr>
        <w:t>Module code:</w:t>
      </w:r>
      <w:r>
        <w:rPr>
          <w:rFonts w:cstheme="minorHAnsi"/>
          <w:b/>
          <w:bCs/>
          <w:sz w:val="28"/>
          <w:szCs w:val="28"/>
        </w:rPr>
        <w:tab/>
      </w:r>
      <w:r>
        <w:rPr>
          <w:rFonts w:cstheme="minorHAnsi"/>
          <w:b/>
          <w:bCs/>
          <w:sz w:val="28"/>
          <w:szCs w:val="28"/>
        </w:rPr>
        <w:tab/>
      </w:r>
      <w:r w:rsidRPr="004455EA">
        <w:rPr>
          <w:rFonts w:cstheme="minorHAnsi"/>
          <w:b/>
          <w:bCs/>
          <w:sz w:val="28"/>
          <w:szCs w:val="28"/>
        </w:rPr>
        <w:t xml:space="preserve"> </w:t>
      </w:r>
      <w:r w:rsidRPr="0089706C">
        <w:rPr>
          <w:rFonts w:cstheme="minorHAnsi"/>
          <w:b/>
          <w:bCs/>
          <w:sz w:val="28"/>
          <w:szCs w:val="28"/>
        </w:rPr>
        <w:t>LCLM5003</w:t>
      </w:r>
    </w:p>
    <w:p w14:paraId="1F5B289E" w14:textId="7CCB1DB8" w:rsidR="004455EA" w:rsidRPr="004455EA" w:rsidRDefault="004455EA" w:rsidP="00CF4544">
      <w:pPr>
        <w:spacing w:before="120" w:after="120"/>
        <w:ind w:left="720" w:firstLine="720"/>
        <w:rPr>
          <w:rFonts w:eastAsia="Arial" w:cstheme="minorHAnsi"/>
          <w:b/>
          <w:sz w:val="28"/>
          <w:szCs w:val="28"/>
        </w:rPr>
      </w:pPr>
      <w:r w:rsidRPr="004455EA">
        <w:rPr>
          <w:rFonts w:eastAsia="Arial" w:cstheme="minorHAnsi"/>
          <w:b/>
          <w:sz w:val="28"/>
          <w:szCs w:val="28"/>
        </w:rPr>
        <w:t>Project</w:t>
      </w:r>
      <w:r w:rsidR="00843364">
        <w:rPr>
          <w:rFonts w:eastAsia="Arial" w:cstheme="minorHAnsi"/>
          <w:b/>
          <w:sz w:val="28"/>
          <w:szCs w:val="28"/>
        </w:rPr>
        <w:t>:</w:t>
      </w:r>
      <w:r w:rsidR="00843364">
        <w:rPr>
          <w:rFonts w:eastAsia="Arial" w:cstheme="minorHAnsi"/>
          <w:b/>
          <w:sz w:val="28"/>
          <w:szCs w:val="28"/>
        </w:rPr>
        <w:tab/>
      </w:r>
      <w:r>
        <w:rPr>
          <w:rFonts w:eastAsia="Arial" w:cstheme="minorHAnsi"/>
          <w:b/>
          <w:sz w:val="28"/>
          <w:szCs w:val="28"/>
        </w:rPr>
        <w:tab/>
      </w:r>
      <w:r>
        <w:rPr>
          <w:rFonts w:eastAsia="Arial" w:cstheme="minorHAnsi"/>
          <w:b/>
          <w:sz w:val="28"/>
          <w:szCs w:val="28"/>
        </w:rPr>
        <w:tab/>
      </w:r>
      <w:r w:rsidRPr="004455EA">
        <w:rPr>
          <w:rFonts w:eastAsia="Arial" w:cstheme="minorHAnsi"/>
          <w:b/>
          <w:sz w:val="28"/>
          <w:szCs w:val="28"/>
        </w:rPr>
        <w:t xml:space="preserve"> Management  </w:t>
      </w:r>
    </w:p>
    <w:p w14:paraId="673CB791" w14:textId="42A23436" w:rsidR="004455EA" w:rsidRPr="004455EA" w:rsidRDefault="004455EA" w:rsidP="00CF4544">
      <w:pPr>
        <w:spacing w:before="120" w:after="120"/>
        <w:ind w:left="720" w:firstLine="720"/>
        <w:rPr>
          <w:rFonts w:cstheme="minorHAnsi"/>
          <w:b/>
          <w:bCs/>
          <w:sz w:val="28"/>
          <w:szCs w:val="28"/>
        </w:rPr>
      </w:pPr>
      <w:r w:rsidRPr="004455EA">
        <w:rPr>
          <w:rFonts w:cstheme="minorHAnsi"/>
          <w:b/>
          <w:bCs/>
          <w:sz w:val="28"/>
          <w:szCs w:val="28"/>
        </w:rPr>
        <w:t xml:space="preserve">Student: </w:t>
      </w:r>
      <w:r>
        <w:rPr>
          <w:rFonts w:cstheme="minorHAnsi"/>
          <w:b/>
          <w:bCs/>
          <w:sz w:val="28"/>
          <w:szCs w:val="28"/>
        </w:rPr>
        <w:tab/>
      </w:r>
      <w:r>
        <w:rPr>
          <w:rFonts w:cstheme="minorHAnsi"/>
          <w:b/>
          <w:bCs/>
          <w:sz w:val="28"/>
          <w:szCs w:val="28"/>
        </w:rPr>
        <w:tab/>
      </w:r>
      <w:r>
        <w:rPr>
          <w:rFonts w:cstheme="minorHAnsi"/>
          <w:b/>
          <w:bCs/>
          <w:sz w:val="28"/>
          <w:szCs w:val="28"/>
        </w:rPr>
        <w:tab/>
      </w:r>
      <w:r w:rsidRPr="004455EA">
        <w:rPr>
          <w:rFonts w:cstheme="minorHAnsi"/>
          <w:b/>
          <w:bCs/>
          <w:sz w:val="28"/>
          <w:szCs w:val="28"/>
        </w:rPr>
        <w:t xml:space="preserve">DARIUSH NEZAMALMOLKI </w:t>
      </w:r>
    </w:p>
    <w:p w14:paraId="0F258E0B" w14:textId="6D07C69C" w:rsidR="004455EA" w:rsidRPr="004455EA" w:rsidRDefault="004455EA" w:rsidP="00CF4544">
      <w:pPr>
        <w:spacing w:before="120" w:after="120"/>
        <w:ind w:left="720" w:firstLine="720"/>
        <w:rPr>
          <w:rFonts w:cstheme="minorHAnsi"/>
          <w:b/>
          <w:bCs/>
          <w:sz w:val="28"/>
          <w:szCs w:val="28"/>
        </w:rPr>
      </w:pPr>
      <w:r w:rsidRPr="004455EA">
        <w:rPr>
          <w:rFonts w:cstheme="minorHAnsi"/>
          <w:b/>
          <w:bCs/>
          <w:sz w:val="28"/>
          <w:szCs w:val="28"/>
        </w:rPr>
        <w:t xml:space="preserve">Student No: </w:t>
      </w:r>
      <w:r>
        <w:rPr>
          <w:rFonts w:cstheme="minorHAnsi"/>
          <w:b/>
          <w:bCs/>
          <w:sz w:val="28"/>
          <w:szCs w:val="28"/>
        </w:rPr>
        <w:tab/>
      </w:r>
      <w:r>
        <w:rPr>
          <w:rFonts w:cstheme="minorHAnsi"/>
          <w:b/>
          <w:bCs/>
          <w:sz w:val="28"/>
          <w:szCs w:val="28"/>
        </w:rPr>
        <w:tab/>
      </w:r>
      <w:r w:rsidRPr="004455EA">
        <w:rPr>
          <w:rFonts w:cstheme="minorHAnsi"/>
          <w:b/>
          <w:bCs/>
          <w:sz w:val="28"/>
          <w:szCs w:val="28"/>
        </w:rPr>
        <w:t>2407310</w:t>
      </w:r>
    </w:p>
    <w:p w14:paraId="1BE3EA14" w14:textId="5E5B4B5A" w:rsidR="004455EA" w:rsidRDefault="004455EA" w:rsidP="00CF4544">
      <w:pPr>
        <w:spacing w:before="120" w:after="120"/>
        <w:ind w:left="720" w:firstLine="720"/>
        <w:rPr>
          <w:rFonts w:eastAsia="Arial" w:cstheme="minorHAnsi"/>
          <w:b/>
          <w:bCs/>
          <w:color w:val="000000" w:themeColor="text1"/>
          <w:sz w:val="28"/>
          <w:szCs w:val="28"/>
        </w:rPr>
      </w:pPr>
      <w:r w:rsidRPr="004455EA">
        <w:rPr>
          <w:rFonts w:eastAsia="Arial" w:cstheme="minorHAnsi"/>
          <w:b/>
          <w:bCs/>
          <w:color w:val="000000" w:themeColor="text1"/>
          <w:sz w:val="28"/>
          <w:szCs w:val="28"/>
        </w:rPr>
        <w:t>Module Leader:</w:t>
      </w:r>
      <w:r>
        <w:rPr>
          <w:rFonts w:eastAsia="Arial" w:cstheme="minorHAnsi"/>
          <w:b/>
          <w:bCs/>
          <w:color w:val="000000" w:themeColor="text1"/>
          <w:sz w:val="28"/>
          <w:szCs w:val="28"/>
        </w:rPr>
        <w:tab/>
      </w:r>
      <w:r w:rsidRPr="004455EA">
        <w:rPr>
          <w:rFonts w:eastAsia="Arial" w:cstheme="minorHAnsi"/>
          <w:b/>
          <w:bCs/>
          <w:color w:val="000000" w:themeColor="text1"/>
          <w:sz w:val="28"/>
          <w:szCs w:val="28"/>
        </w:rPr>
        <w:tab/>
        <w:t>SAMSON OLADEJO</w:t>
      </w:r>
    </w:p>
    <w:p w14:paraId="770454AA" w14:textId="77777777" w:rsidR="004455EA" w:rsidRDefault="004455EA" w:rsidP="004455EA">
      <w:pPr>
        <w:spacing w:before="120" w:after="120"/>
        <w:ind w:firstLine="720"/>
        <w:rPr>
          <w:rFonts w:eastAsia="Arial" w:cstheme="minorHAnsi"/>
          <w:b/>
          <w:bCs/>
          <w:color w:val="000000" w:themeColor="text1"/>
          <w:sz w:val="28"/>
          <w:szCs w:val="28"/>
        </w:rPr>
      </w:pPr>
    </w:p>
    <w:p w14:paraId="1A248FB4" w14:textId="5ABBF43C" w:rsidR="004455EA" w:rsidRPr="004455EA" w:rsidRDefault="0011660E" w:rsidP="0011660E">
      <w:pPr>
        <w:tabs>
          <w:tab w:val="left" w:pos="6036"/>
        </w:tabs>
        <w:spacing w:before="120" w:after="120"/>
        <w:ind w:firstLine="720"/>
        <w:rPr>
          <w:rFonts w:cstheme="minorHAnsi"/>
          <w:b/>
          <w:bCs/>
          <w:sz w:val="28"/>
          <w:szCs w:val="28"/>
        </w:rPr>
      </w:pPr>
      <w:r>
        <w:rPr>
          <w:rFonts w:cstheme="minorHAnsi"/>
          <w:b/>
          <w:bCs/>
          <w:sz w:val="28"/>
          <w:szCs w:val="28"/>
        </w:rPr>
        <w:tab/>
      </w:r>
    </w:p>
    <w:p w14:paraId="194BAEF4" w14:textId="77777777" w:rsidR="004455EA" w:rsidRDefault="004455EA" w:rsidP="0089706C">
      <w:pPr>
        <w:spacing w:before="120" w:after="120"/>
        <w:rPr>
          <w:b/>
          <w:bCs/>
          <w:sz w:val="28"/>
          <w:szCs w:val="28"/>
        </w:rPr>
      </w:pPr>
    </w:p>
    <w:p w14:paraId="42FF04FE" w14:textId="77777777" w:rsidR="004455EA" w:rsidRDefault="004455EA" w:rsidP="0089706C">
      <w:pPr>
        <w:spacing w:before="120" w:after="120"/>
        <w:rPr>
          <w:b/>
          <w:bCs/>
          <w:sz w:val="28"/>
          <w:szCs w:val="28"/>
        </w:rPr>
      </w:pPr>
    </w:p>
    <w:p w14:paraId="064E82B4" w14:textId="3A4D4FE6" w:rsidR="0089706C" w:rsidRDefault="002A5125" w:rsidP="0089706C">
      <w:pPr>
        <w:spacing w:before="120" w:after="120"/>
        <w:rPr>
          <w:rFonts w:ascii="Arial" w:eastAsia="Arial" w:hAnsi="Arial" w:cs="Arial"/>
          <w:b/>
          <w:bCs/>
          <w:color w:val="000000" w:themeColor="text1"/>
          <w:sz w:val="28"/>
          <w:szCs w:val="28"/>
        </w:rPr>
      </w:pPr>
      <w:r>
        <w:rPr>
          <w:rFonts w:ascii="Arial" w:eastAsia="Arial" w:hAnsi="Arial" w:cs="Arial"/>
          <w:b/>
          <w:bCs/>
          <w:color w:val="000000" w:themeColor="text1"/>
          <w:sz w:val="28"/>
          <w:szCs w:val="28"/>
        </w:rPr>
        <w:t xml:space="preserve">PART </w:t>
      </w:r>
      <w:r w:rsidR="004455EA">
        <w:rPr>
          <w:rFonts w:ascii="Arial" w:eastAsia="Arial" w:hAnsi="Arial" w:cs="Arial"/>
          <w:b/>
          <w:bCs/>
          <w:color w:val="000000" w:themeColor="text1"/>
          <w:sz w:val="28"/>
          <w:szCs w:val="28"/>
        </w:rPr>
        <w:t>A:</w:t>
      </w:r>
      <w:r>
        <w:rPr>
          <w:rFonts w:ascii="Arial" w:eastAsia="Arial" w:hAnsi="Arial" w:cs="Arial"/>
          <w:b/>
          <w:bCs/>
          <w:color w:val="000000" w:themeColor="text1"/>
          <w:sz w:val="28"/>
          <w:szCs w:val="28"/>
        </w:rPr>
        <w:t xml:space="preserve"> POSTER</w:t>
      </w:r>
    </w:p>
    <w:p w14:paraId="6554B5D1" w14:textId="77777777" w:rsidR="0011660E" w:rsidRPr="0089706C" w:rsidRDefault="0011660E" w:rsidP="0089706C">
      <w:pPr>
        <w:spacing w:before="120" w:after="120"/>
        <w:rPr>
          <w:rFonts w:ascii="Arial" w:eastAsia="Arial" w:hAnsi="Arial" w:cs="Arial"/>
          <w:b/>
          <w:bCs/>
          <w:color w:val="000000" w:themeColor="text1"/>
          <w:sz w:val="28"/>
          <w:szCs w:val="28"/>
        </w:rPr>
      </w:pPr>
    </w:p>
    <w:p w14:paraId="420A22E0" w14:textId="67B6B356" w:rsidR="0089706C" w:rsidRDefault="0089706C" w:rsidP="0089706C">
      <w:pPr>
        <w:spacing w:before="120" w:after="120"/>
        <w:rPr>
          <w:rFonts w:ascii="Arial" w:eastAsia="Arial" w:hAnsi="Arial" w:cs="Arial"/>
          <w:color w:val="000000" w:themeColor="text1"/>
        </w:rPr>
      </w:pPr>
      <w:r>
        <w:rPr>
          <w:noProof/>
          <w:lang w:val="en-US"/>
        </w:rPr>
        <w:drawing>
          <wp:anchor distT="0" distB="0" distL="114300" distR="114300" simplePos="0" relativeHeight="251658240" behindDoc="0" locked="0" layoutInCell="1" allowOverlap="1" wp14:anchorId="76E9A55D" wp14:editId="21F24E68">
            <wp:simplePos x="914400" y="4351020"/>
            <wp:positionH relativeFrom="column">
              <wp:align>left</wp:align>
            </wp:positionH>
            <wp:positionV relativeFrom="paragraph">
              <wp:align>top</wp:align>
            </wp:positionV>
            <wp:extent cx="5731510" cy="3206115"/>
            <wp:effectExtent l="0" t="0" r="2540" b="0"/>
            <wp:wrapSquare wrapText="bothSides"/>
            <wp:docPr id="1322328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328512" name="Picture 1322328512"/>
                    <pic:cNvPicPr/>
                  </pic:nvPicPr>
                  <pic:blipFill>
                    <a:blip r:embed="rId7">
                      <a:extLst>
                        <a:ext uri="{28A0092B-C50C-407E-A947-70E740481C1C}">
                          <a14:useLocalDpi xmlns:a14="http://schemas.microsoft.com/office/drawing/2010/main" val="0"/>
                        </a:ext>
                      </a:extLst>
                    </a:blip>
                    <a:stretch>
                      <a:fillRect/>
                    </a:stretch>
                  </pic:blipFill>
                  <pic:spPr>
                    <a:xfrm>
                      <a:off x="0" y="0"/>
                      <a:ext cx="5731510" cy="3206115"/>
                    </a:xfrm>
                    <a:prstGeom prst="rect">
                      <a:avLst/>
                    </a:prstGeom>
                  </pic:spPr>
                </pic:pic>
              </a:graphicData>
            </a:graphic>
          </wp:anchor>
        </w:drawing>
      </w:r>
      <w:r w:rsidR="002A5125">
        <w:rPr>
          <w:rFonts w:ascii="Arial" w:eastAsia="Arial" w:hAnsi="Arial" w:cs="Arial"/>
          <w:color w:val="000000" w:themeColor="text1"/>
        </w:rPr>
        <w:br w:type="textWrapping" w:clear="all"/>
      </w:r>
    </w:p>
    <w:p w14:paraId="479F74D1" w14:textId="77777777" w:rsidR="0089706C" w:rsidRDefault="0089706C" w:rsidP="0033346F">
      <w:pPr>
        <w:rPr>
          <w:b/>
          <w:bCs/>
        </w:rPr>
      </w:pPr>
    </w:p>
    <w:p w14:paraId="58F5755D" w14:textId="77777777" w:rsidR="0089706C" w:rsidRDefault="0089706C" w:rsidP="0033346F">
      <w:pPr>
        <w:rPr>
          <w:b/>
          <w:bCs/>
        </w:rPr>
      </w:pPr>
    </w:p>
    <w:p w14:paraId="31913F84" w14:textId="77777777" w:rsidR="0089706C" w:rsidRDefault="0089706C" w:rsidP="0033346F">
      <w:pPr>
        <w:rPr>
          <w:b/>
          <w:bCs/>
        </w:rPr>
      </w:pPr>
    </w:p>
    <w:p w14:paraId="738507EB" w14:textId="77777777" w:rsidR="0089706C" w:rsidRDefault="0089706C" w:rsidP="0033346F">
      <w:pPr>
        <w:rPr>
          <w:b/>
          <w:bCs/>
        </w:rPr>
      </w:pPr>
    </w:p>
    <w:p w14:paraId="4496E85C" w14:textId="77777777" w:rsidR="0089706C" w:rsidRDefault="0089706C" w:rsidP="0033346F">
      <w:pPr>
        <w:rPr>
          <w:b/>
          <w:bCs/>
        </w:rPr>
      </w:pPr>
    </w:p>
    <w:p w14:paraId="016E06A8" w14:textId="77777777" w:rsidR="00CF4544" w:rsidRDefault="00CF4544" w:rsidP="002A5125">
      <w:pPr>
        <w:rPr>
          <w:b/>
          <w:bCs/>
        </w:rPr>
      </w:pPr>
    </w:p>
    <w:p w14:paraId="6CC22E13" w14:textId="77777777" w:rsidR="00CF4544" w:rsidRDefault="00CF4544" w:rsidP="002A5125">
      <w:pPr>
        <w:rPr>
          <w:b/>
          <w:bCs/>
        </w:rPr>
      </w:pPr>
    </w:p>
    <w:p w14:paraId="63092BC6" w14:textId="75021A91" w:rsidR="002A5125" w:rsidRDefault="002A5125" w:rsidP="002A5125">
      <w:pPr>
        <w:rPr>
          <w:b/>
          <w:bCs/>
          <w:sz w:val="24"/>
          <w:szCs w:val="24"/>
        </w:rPr>
      </w:pPr>
      <w:r>
        <w:rPr>
          <w:b/>
          <w:bCs/>
          <w:sz w:val="24"/>
          <w:szCs w:val="24"/>
        </w:rPr>
        <w:t>PART B:</w:t>
      </w:r>
    </w:p>
    <w:p w14:paraId="157D7349" w14:textId="77777777" w:rsidR="004455EA" w:rsidRPr="004455EA" w:rsidRDefault="004455EA" w:rsidP="004455EA">
      <w:pPr>
        <w:rPr>
          <w:b/>
          <w:bCs/>
        </w:rPr>
      </w:pPr>
      <w:r w:rsidRPr="004455EA">
        <w:rPr>
          <w:b/>
          <w:bCs/>
        </w:rPr>
        <w:t>My reflection will use Gibbs’ reflective circle to evaluate the development of the poster on the emergency reopening and flood-resilient upgrade of the A449 highway corridor following the July 2025 flooding caused by the River Severn. The poster aimed to present key elements of the project including the objectives, stakeholders, work breakdown structure, timeline, risks and expected outcomes related to restoring access and improving infrastructure resilience.</w:t>
      </w:r>
    </w:p>
    <w:p w14:paraId="08BC6262" w14:textId="77777777" w:rsidR="004455EA" w:rsidRPr="004455EA" w:rsidRDefault="004455EA" w:rsidP="004455EA">
      <w:pPr>
        <w:rPr>
          <w:b/>
          <w:bCs/>
        </w:rPr>
      </w:pPr>
      <w:r w:rsidRPr="004455EA">
        <w:rPr>
          <w:b/>
          <w:bCs/>
        </w:rPr>
        <w:t>Reflection (Description)</w:t>
      </w:r>
      <w:r w:rsidRPr="004455EA">
        <w:rPr>
          <w:b/>
          <w:bCs/>
        </w:rPr>
        <w:br/>
        <w:t>The poster focused on the emergency response required after severe flooding disrupted the A449 corridor across Worcester, Shrewsbury and Kidderminster. Flooding caused significant infrastructure damage and blocked transport routes, which limited emergency services access and disrupted economic activities. The project aimed to reopen the corridor quickly while integrating long-term resilience improvements. The poster outlined the key phases of the project including planning and assessment, clearance and stabilisation, road reconstruction and drainage upgrades, and resilience works before reopening the highway. It also presented project management tools such as a Work Breakdown Structure (WBS), a Gantt chart for scheduling, and a risk analysis addressing issues such as further flooding, supply delays, safety incidents and community disruption.</w:t>
      </w:r>
    </w:p>
    <w:p w14:paraId="38E5C9DD" w14:textId="77777777" w:rsidR="004455EA" w:rsidRPr="004455EA" w:rsidRDefault="004455EA" w:rsidP="004455EA">
      <w:pPr>
        <w:rPr>
          <w:b/>
          <w:bCs/>
        </w:rPr>
      </w:pPr>
      <w:r w:rsidRPr="004455EA">
        <w:rPr>
          <w:b/>
          <w:bCs/>
        </w:rPr>
        <w:t>Feelings</w:t>
      </w:r>
      <w:r w:rsidRPr="004455EA">
        <w:rPr>
          <w:b/>
          <w:bCs/>
        </w:rPr>
        <w:br/>
        <w:t>At the beginning of the task, I found it challenging to summarise such a complex infrastructure recovery project into a single poster format. Infrastructure projects often involve multiple stakeholders, technical processes and risk factors, which made it difficult to decide what information was most important to include. However, as I began organising the poster using project management frameworks, I felt more confident in presenting the information in a structured and logical way. The use of visual tools such as the Gantt chart and WBS helped me better understand how complex projects can be broken down into manageable tasks. This process also helped me appreciate the importance of planning and coordination when managing emergency infrastructure projects.</w:t>
      </w:r>
    </w:p>
    <w:p w14:paraId="627DE525" w14:textId="77777777" w:rsidR="004455EA" w:rsidRPr="004455EA" w:rsidRDefault="004455EA" w:rsidP="004455EA">
      <w:pPr>
        <w:rPr>
          <w:b/>
          <w:bCs/>
        </w:rPr>
      </w:pPr>
      <w:r w:rsidRPr="004455EA">
        <w:rPr>
          <w:b/>
          <w:bCs/>
        </w:rPr>
        <w:t>Evaluation</w:t>
      </w:r>
      <w:r w:rsidRPr="004455EA">
        <w:rPr>
          <w:b/>
          <w:bCs/>
        </w:rPr>
        <w:br/>
        <w:t>One strength of the poster was the clear structure used to present the project. The inclusion of the Work Breakdown Structure and Gantt chart helped demonstrate how project tasks can be organised and scheduled effectively, which is widely recognised as an essential part of project management practice (Kerzner, 2022; Project Management Institute, 2021). Additionally, identifying key stakeholders such as local councils, National Highways and emergency services highlighted the collaborative nature of infrastructure recovery projects (Turner, 2023). However, a limitation of the poster was that some areas, particularly the risk analysis and mitigation strategies, could have been explained in greater detail to show deeper critical understanding.</w:t>
      </w:r>
    </w:p>
    <w:p w14:paraId="12CCAFAF" w14:textId="77777777" w:rsidR="004455EA" w:rsidRPr="004455EA" w:rsidRDefault="004455EA" w:rsidP="004455EA">
      <w:pPr>
        <w:rPr>
          <w:b/>
          <w:bCs/>
        </w:rPr>
      </w:pPr>
      <w:r w:rsidRPr="004455EA">
        <w:rPr>
          <w:b/>
          <w:bCs/>
        </w:rPr>
        <w:t>Analysis</w:t>
      </w:r>
      <w:r w:rsidRPr="004455EA">
        <w:rPr>
          <w:b/>
          <w:bCs/>
        </w:rPr>
        <w:br/>
        <w:t xml:space="preserve">From a project management perspective, infrastructure recovery following natural disasters requires efficient coordination of time, resources and risk. Effective planning tools such as the WBS allow project managers to divide complex projects into smaller tasks, improving control and </w:t>
      </w:r>
      <w:r w:rsidRPr="004455EA">
        <w:rPr>
          <w:b/>
          <w:bCs/>
        </w:rPr>
        <w:lastRenderedPageBreak/>
        <w:t>accountability (Kerzner, 2022). Similarly, scheduling tools like Gantt charts help visualise timelines and dependencies between activities, which supports better resource management (PMI, 2021). Risk management is also critical in infrastructure projects, particularly when environmental uncertainties such as further flooding may affect project progress (Hillson, 2017). Furthermore, integrating flood-resilient design elements such as improved drainage systems reflects current infrastructure resilience strategies promoted by environmental and transport authorities (Environment Agency, 2024; UK Department for Transport, 2023). These approaches support not only short-term recovery but also long-term infrastructure sustainability.</w:t>
      </w:r>
    </w:p>
    <w:p w14:paraId="517C8DFC" w14:textId="77777777" w:rsidR="004455EA" w:rsidRPr="004455EA" w:rsidRDefault="004455EA" w:rsidP="004455EA">
      <w:pPr>
        <w:rPr>
          <w:b/>
          <w:bCs/>
        </w:rPr>
      </w:pPr>
      <w:r w:rsidRPr="004455EA">
        <w:rPr>
          <w:b/>
          <w:bCs/>
        </w:rPr>
        <w:t>Conclusion</w:t>
      </w:r>
      <w:r w:rsidRPr="004455EA">
        <w:rPr>
          <w:b/>
          <w:bCs/>
        </w:rPr>
        <w:br/>
        <w:t>Overall, creating this poster helped me understand how project management principles are applied in real-world infrastructure recovery scenarios. The task demonstrated the importance of structured planning, stakeholder collaboration and risk management when responding to environmental disruptions. It also showed how visual tools such as work breakdown structures and Gantt charts can effectively communicate complex project information. In future work, I would aim to provide deeper critical analysis of project risks and resilience strategies, as well as strengthen the link between theoretical project management frameworks and practical infrastructure delivery.</w:t>
      </w:r>
    </w:p>
    <w:p w14:paraId="0672C970" w14:textId="77777777" w:rsidR="0089706C" w:rsidRDefault="0089706C" w:rsidP="0033346F">
      <w:pPr>
        <w:rPr>
          <w:b/>
          <w:bCs/>
        </w:rPr>
      </w:pPr>
    </w:p>
    <w:p w14:paraId="1962C931" w14:textId="77777777" w:rsidR="0089706C" w:rsidRDefault="0089706C" w:rsidP="0033346F">
      <w:pPr>
        <w:rPr>
          <w:b/>
          <w:bCs/>
        </w:rPr>
      </w:pPr>
    </w:p>
    <w:p w14:paraId="42C7997F" w14:textId="77777777" w:rsidR="0089706C" w:rsidRDefault="0089706C" w:rsidP="0033346F">
      <w:pPr>
        <w:rPr>
          <w:b/>
          <w:bCs/>
        </w:rPr>
      </w:pPr>
    </w:p>
    <w:p w14:paraId="1FCB49AC" w14:textId="77777777" w:rsidR="0089706C" w:rsidRDefault="0089706C" w:rsidP="0033346F">
      <w:pPr>
        <w:rPr>
          <w:b/>
          <w:bCs/>
        </w:rPr>
      </w:pPr>
    </w:p>
    <w:p w14:paraId="31D96713" w14:textId="77777777" w:rsidR="0089706C" w:rsidRDefault="0089706C" w:rsidP="0033346F">
      <w:pPr>
        <w:rPr>
          <w:b/>
          <w:bCs/>
        </w:rPr>
      </w:pPr>
    </w:p>
    <w:p w14:paraId="3E7F3C4E" w14:textId="40B60A44" w:rsidR="0089706C" w:rsidRDefault="0011660E" w:rsidP="0033346F">
      <w:pPr>
        <w:rPr>
          <w:b/>
          <w:bCs/>
        </w:rPr>
      </w:pPr>
      <w:r>
        <w:rPr>
          <w:b/>
          <w:bCs/>
        </w:rPr>
        <w:t>PART C:</w:t>
      </w:r>
    </w:p>
    <w:p w14:paraId="2A5C0849" w14:textId="77777777" w:rsidR="0011660E" w:rsidRPr="0011660E" w:rsidRDefault="0011660E" w:rsidP="0011660E">
      <w:pPr>
        <w:rPr>
          <w:b/>
          <w:bCs/>
        </w:rPr>
      </w:pPr>
      <w:r w:rsidRPr="0011660E">
        <w:rPr>
          <w:b/>
          <w:bCs/>
        </w:rPr>
        <w:t>1. Introduction</w:t>
      </w:r>
    </w:p>
    <w:p w14:paraId="0166D011" w14:textId="77777777" w:rsidR="005B7C91" w:rsidRPr="005B7C91" w:rsidRDefault="005B7C91" w:rsidP="005B7C91">
      <w:pPr>
        <w:rPr>
          <w:b/>
          <w:bCs/>
        </w:rPr>
      </w:pPr>
      <w:r w:rsidRPr="005B7C91">
        <w:rPr>
          <w:b/>
          <w:bCs/>
        </w:rPr>
        <w:t>Recent severe floods have exposed the vulnerability of UK transport infrastructure, especially near major rivers (Environment Agency, 2024; HM Government, 2023). For example, repeated Severn overflows have disrupted Worcester, Shrewsbury and Kidderminster, damaging sections of the A449 corridor by undermining road foundations and surfacing (Jha et al., 2019). Such flooding forced closures that impeded local mobility and commerce (Smith and Petley, 2020; Jha et al., 2019).</w:t>
      </w:r>
    </w:p>
    <w:p w14:paraId="6048D3C5" w14:textId="77777777" w:rsidR="005B7C91" w:rsidRPr="005B7C91" w:rsidRDefault="005B7C91" w:rsidP="005B7C91">
      <w:pPr>
        <w:rPr>
          <w:b/>
          <w:bCs/>
        </w:rPr>
      </w:pPr>
      <w:r w:rsidRPr="005B7C91">
        <w:rPr>
          <w:b/>
          <w:bCs/>
        </w:rPr>
        <w:t>Environment Agency and government reports note that climate change is increasing rainfall intensity and storm frequency, making flood events more frequent and severe (Environment Agency, 2024; HM Government, 2023). Highway closures therefore not only inconvenience commuters but also hinder emergency response and supply chains. Consequently, rapid recovery coupled with long-term resilience planning has become a policy priority (HM Government, 2023; DEFRA, 2022; National Infrastructure Commission, 2022).</w:t>
      </w:r>
    </w:p>
    <w:p w14:paraId="64F1243A" w14:textId="77777777" w:rsidR="005B7C91" w:rsidRPr="005B7C91" w:rsidRDefault="005B7C91" w:rsidP="005B7C91">
      <w:pPr>
        <w:rPr>
          <w:b/>
          <w:bCs/>
        </w:rPr>
      </w:pPr>
      <w:r w:rsidRPr="005B7C91">
        <w:rPr>
          <w:b/>
          <w:bCs/>
        </w:rPr>
        <w:t>The emergency reopening of the A449 is thus a resilience-driven initiative, not just a short-term repair. It aims to restore safe, reliable access while embedding flood-resistant design features to reduce future vulnerability (Young, 2022; Zevenbergen et al., 2018). This approach aligns with modern infrastructure practices emphasizing sustainability, risk mitigation and life-cycle performance rather than temporary fixes (Young, 2022; OECD, 2021).</w:t>
      </w:r>
    </w:p>
    <w:p w14:paraId="1207AD73" w14:textId="77777777" w:rsidR="005B7C91" w:rsidRPr="005B7C91" w:rsidRDefault="005B7C91" w:rsidP="005B7C91">
      <w:pPr>
        <w:rPr>
          <w:b/>
          <w:bCs/>
        </w:rPr>
      </w:pPr>
      <w:r w:rsidRPr="005B7C91">
        <w:rPr>
          <w:b/>
          <w:bCs/>
        </w:rPr>
        <w:lastRenderedPageBreak/>
        <w:t>The project also exemplifies structured project management in engineering. Clear planning, stakeholder coordination, risk analysis and phased scheduling are essential to ensure efficient delivery without compromising safety (Kerzner, 2022; PMI, 2021). By combining immediate repairs with resilience upgrades, the scheme supports continuous operation and improved long-term performance under climate stress (National Infrastructure Commission, 2022; OECD, 2021).</w:t>
      </w:r>
    </w:p>
    <w:p w14:paraId="12C06D99" w14:textId="77777777" w:rsidR="0011660E" w:rsidRPr="0011660E" w:rsidRDefault="0011660E" w:rsidP="0011660E">
      <w:pPr>
        <w:rPr>
          <w:b/>
          <w:bCs/>
        </w:rPr>
      </w:pPr>
      <w:r w:rsidRPr="0011660E">
        <w:rPr>
          <w:b/>
          <w:bCs/>
        </w:rPr>
        <w:t>2. Project Description</w:t>
      </w:r>
    </w:p>
    <w:p w14:paraId="257A5AD6" w14:textId="77777777" w:rsidR="005B7C91" w:rsidRPr="005B7C91" w:rsidRDefault="005B7C91" w:rsidP="005B7C91">
      <w:pPr>
        <w:rPr>
          <w:b/>
          <w:bCs/>
        </w:rPr>
      </w:pPr>
      <w:r w:rsidRPr="005B7C91">
        <w:rPr>
          <w:b/>
          <w:bCs/>
        </w:rPr>
        <w:t>The Emergency A449 Reopening project involves rapid restoration and strengthening of flood-damaged road infrastructure to reopen this critical route safely. The work includes repairing pavement layers, stabilising weakened subgrades, restoring drainage, and installing flood-resilient engineering improvements (Zevenbergen et al., 2018; Jha et al., 2019).</w:t>
      </w:r>
    </w:p>
    <w:p w14:paraId="61FB9BEE" w14:textId="77777777" w:rsidR="005B7C91" w:rsidRPr="005B7C91" w:rsidRDefault="005B7C91" w:rsidP="005B7C91">
      <w:pPr>
        <w:rPr>
          <w:b/>
          <w:bCs/>
        </w:rPr>
      </w:pPr>
      <w:r w:rsidRPr="005B7C91">
        <w:rPr>
          <w:b/>
          <w:bCs/>
        </w:rPr>
        <w:t>The scheme follows UK Department for Transport guidance and British Standards (Eurocode 7) for infrastructure, which emphasize durability, safety and climate adaptation (UK Department for Transport, 2023; British Standards Institution, 2022). Coordination with National Highways ensures alignment with national road network requirements and traffic management standards.</w:t>
      </w:r>
    </w:p>
    <w:p w14:paraId="0C99F1A6" w14:textId="77777777" w:rsidR="005B7C91" w:rsidRPr="005B7C91" w:rsidRDefault="005B7C91" w:rsidP="005B7C91">
      <w:pPr>
        <w:rPr>
          <w:b/>
          <w:bCs/>
        </w:rPr>
      </w:pPr>
      <w:r w:rsidRPr="005B7C91">
        <w:rPr>
          <w:b/>
          <w:bCs/>
        </w:rPr>
        <w:t>The project is structured into four main phases over approximately 16 weeks:</w:t>
      </w:r>
    </w:p>
    <w:p w14:paraId="08D82E45" w14:textId="77777777" w:rsidR="005B7C91" w:rsidRPr="005B7C91" w:rsidRDefault="005B7C91" w:rsidP="005B7C91">
      <w:pPr>
        <w:numPr>
          <w:ilvl w:val="0"/>
          <w:numId w:val="2"/>
        </w:numPr>
        <w:rPr>
          <w:b/>
          <w:bCs/>
        </w:rPr>
      </w:pPr>
      <w:r w:rsidRPr="005B7C91">
        <w:rPr>
          <w:b/>
          <w:bCs/>
        </w:rPr>
        <w:t>Phase 1 – Planning &amp; Assessment (Weeks 1–4): Structural inspections, flood-damage evaluation and geotechnical investigations identify sub-base erosion, pavement cracking and drainage failures. Detailed assessment (British Standards Institution, 2022) guides selection of appropriate repair methods and materials.</w:t>
      </w:r>
    </w:p>
    <w:p w14:paraId="6873D30C" w14:textId="77777777" w:rsidR="005B7C91" w:rsidRPr="005B7C91" w:rsidRDefault="005B7C91" w:rsidP="005B7C91">
      <w:pPr>
        <w:numPr>
          <w:ilvl w:val="0"/>
          <w:numId w:val="2"/>
        </w:numPr>
        <w:rPr>
          <w:b/>
          <w:bCs/>
        </w:rPr>
      </w:pPr>
      <w:r w:rsidRPr="005B7C91">
        <w:rPr>
          <w:b/>
          <w:bCs/>
        </w:rPr>
        <w:t>Phase 2 – Clearance &amp; Stabilisation (Weeks 5–6): Debris removal, soil reinforcement and temporary stabilisation prepare the site for repair. Measures like compaction improvement and temporary drainage controls prevent further damage during works.</w:t>
      </w:r>
    </w:p>
    <w:p w14:paraId="3E74663A" w14:textId="77777777" w:rsidR="005B7C91" w:rsidRPr="005B7C91" w:rsidRDefault="005B7C91" w:rsidP="005B7C91">
      <w:pPr>
        <w:numPr>
          <w:ilvl w:val="0"/>
          <w:numId w:val="2"/>
        </w:numPr>
        <w:rPr>
          <w:b/>
          <w:bCs/>
        </w:rPr>
      </w:pPr>
      <w:r w:rsidRPr="005B7C91">
        <w:rPr>
          <w:b/>
          <w:bCs/>
        </w:rPr>
        <w:t>Phase 3 – Reconstruction &amp; Drainage Upgrades (Weeks 7–12): This technically critical stage resurfaces damaged carriageways and strengthens pavement layers. Improved drainage systems (culverts, channels) are installed to increase capacity and reduce future flood impact (Zevenbergen et al., 2018; Jha et al., 2019).</w:t>
      </w:r>
    </w:p>
    <w:p w14:paraId="12828402" w14:textId="77777777" w:rsidR="005B7C91" w:rsidRPr="005B7C91" w:rsidRDefault="005B7C91" w:rsidP="005B7C91">
      <w:pPr>
        <w:numPr>
          <w:ilvl w:val="0"/>
          <w:numId w:val="2"/>
        </w:numPr>
        <w:rPr>
          <w:b/>
          <w:bCs/>
        </w:rPr>
      </w:pPr>
      <w:r w:rsidRPr="005B7C91">
        <w:rPr>
          <w:b/>
          <w:bCs/>
        </w:rPr>
        <w:t>Phase 4 – Resilience Works &amp; Reopening (Weeks 13–16): Final surface treatments, safety inspections, road markings and traffic management installations ensure the corridor meets operational standards before reopening.</w:t>
      </w:r>
    </w:p>
    <w:p w14:paraId="340EF866" w14:textId="77777777" w:rsidR="005B7C91" w:rsidRPr="005B7C91" w:rsidRDefault="005B7C91" w:rsidP="005B7C91">
      <w:pPr>
        <w:rPr>
          <w:b/>
          <w:bCs/>
        </w:rPr>
      </w:pPr>
      <w:r w:rsidRPr="005B7C91">
        <w:rPr>
          <w:b/>
          <w:bCs/>
        </w:rPr>
        <w:t>Overall, the project integrates emergency response with long-term infrastructure resilience. By combining repair with design improvements, the scheme aims to lower life-cycle maintenance needs and enhance network reliability under future climatic stress (Young, 2022; OECD, 2021).</w:t>
      </w:r>
    </w:p>
    <w:p w14:paraId="688FC060" w14:textId="5CD50AE8" w:rsidR="005B7C91" w:rsidRPr="0011660E" w:rsidRDefault="005B7C91" w:rsidP="0011660E">
      <w:pPr>
        <w:rPr>
          <w:b/>
          <w:bCs/>
        </w:rPr>
      </w:pPr>
      <w:r>
        <w:rPr>
          <w:b/>
          <w:bCs/>
          <w:noProof/>
        </w:rPr>
        <w:drawing>
          <wp:inline distT="0" distB="0" distL="0" distR="0" wp14:anchorId="741052A0" wp14:editId="3A3B570A">
            <wp:extent cx="5731510" cy="635000"/>
            <wp:effectExtent l="0" t="0" r="2540" b="0"/>
            <wp:docPr id="1309217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217287" name="Picture 1309217287"/>
                    <pic:cNvPicPr/>
                  </pic:nvPicPr>
                  <pic:blipFill>
                    <a:blip r:embed="rId8">
                      <a:extLst>
                        <a:ext uri="{28A0092B-C50C-407E-A947-70E740481C1C}">
                          <a14:useLocalDpi xmlns:a14="http://schemas.microsoft.com/office/drawing/2010/main" val="0"/>
                        </a:ext>
                      </a:extLst>
                    </a:blip>
                    <a:stretch>
                      <a:fillRect/>
                    </a:stretch>
                  </pic:blipFill>
                  <pic:spPr>
                    <a:xfrm>
                      <a:off x="0" y="0"/>
                      <a:ext cx="5731510" cy="635000"/>
                    </a:xfrm>
                    <a:prstGeom prst="rect">
                      <a:avLst/>
                    </a:prstGeom>
                  </pic:spPr>
                </pic:pic>
              </a:graphicData>
            </a:graphic>
          </wp:inline>
        </w:drawing>
      </w:r>
    </w:p>
    <w:p w14:paraId="599DB99A" w14:textId="77777777" w:rsidR="00B949E7" w:rsidRDefault="00B949E7"/>
    <w:p w14:paraId="5EA1326A" w14:textId="77777777" w:rsidR="002D0A0A" w:rsidRPr="002D0A0A" w:rsidRDefault="002D0A0A" w:rsidP="002D0A0A">
      <w:pPr>
        <w:rPr>
          <w:b/>
          <w:bCs/>
        </w:rPr>
      </w:pPr>
      <w:r w:rsidRPr="002D0A0A">
        <w:rPr>
          <w:b/>
          <w:bCs/>
        </w:rPr>
        <w:t>Scope</w:t>
      </w:r>
    </w:p>
    <w:p w14:paraId="6917FB2D" w14:textId="77777777" w:rsidR="002D0A0A" w:rsidRPr="002D0A0A" w:rsidRDefault="002D0A0A" w:rsidP="002D0A0A">
      <w:pPr>
        <w:rPr>
          <w:b/>
          <w:bCs/>
        </w:rPr>
      </w:pPr>
      <w:r w:rsidRPr="002D0A0A">
        <w:rPr>
          <w:b/>
          <w:bCs/>
        </w:rPr>
        <w:t xml:space="preserve">The project scope defines the work boundaries for restoring the flood-damaged A449 corridor and ensures control over deliverables, responsibilities and project constraints. A clear scope prevents delays, cost overruns and uncertainty, which is critical in emergency projects with tight deadlines </w:t>
      </w:r>
      <w:r w:rsidRPr="002D0A0A">
        <w:rPr>
          <w:b/>
          <w:bCs/>
        </w:rPr>
        <w:lastRenderedPageBreak/>
        <w:t>(Kerzner, 2022; HM Government, 2023). The scope statement typically lists specific deliverables, assumptions and constraints to set stakeholder expectations (PMI, 2021), avoiding scope creep and supporting accountability.</w:t>
      </w:r>
    </w:p>
    <w:p w14:paraId="580BD20D" w14:textId="77777777" w:rsidR="002D0A0A" w:rsidRPr="002D0A0A" w:rsidRDefault="002D0A0A" w:rsidP="002D0A0A">
      <w:pPr>
        <w:rPr>
          <w:b/>
          <w:bCs/>
        </w:rPr>
      </w:pPr>
      <w:r w:rsidRPr="002D0A0A">
        <w:rPr>
          <w:b/>
          <w:bCs/>
        </w:rPr>
        <w:t>In-scope activities include structural damage assessment, pavement reconstruction, drainage upgrades and traffic management. Detailed inspections evaluate road surfaces, subgrades and adjacent structures. Reconstruction uses improved materials to increase resistance to water damage and structural weakening (Young, 2022), while strong drainage design and durable pavement layers enhance long-term resilience.</w:t>
      </w:r>
    </w:p>
    <w:p w14:paraId="58861B5B" w14:textId="77777777" w:rsidR="002D0A0A" w:rsidRPr="002D0A0A" w:rsidRDefault="002D0A0A" w:rsidP="002D0A0A">
      <w:pPr>
        <w:rPr>
          <w:b/>
          <w:bCs/>
        </w:rPr>
      </w:pPr>
      <w:r w:rsidRPr="002D0A0A">
        <w:rPr>
          <w:b/>
          <w:bCs/>
        </w:rPr>
        <w:t>Drainage enhancement is central. Floods often block drains, so new channels, culverts and runoff systems are installed to handle high water volumes, reducing standing water and future closures (Zevenbergen et al., 2018; Jha et al., 2019). Traffic management ensures safe access during works through temporary diversions, signage and phased lane closures.</w:t>
      </w:r>
    </w:p>
    <w:p w14:paraId="2BD45BB6" w14:textId="77777777" w:rsidR="002D0A0A" w:rsidRPr="002D0A0A" w:rsidRDefault="002D0A0A" w:rsidP="002D0A0A">
      <w:pPr>
        <w:rPr>
          <w:b/>
          <w:bCs/>
        </w:rPr>
      </w:pPr>
      <w:r w:rsidRPr="002D0A0A">
        <w:rPr>
          <w:b/>
          <w:bCs/>
        </w:rPr>
        <w:t>Resource planning covers human (project managers, engineers, crews), physical (machinery, materials, equipment) and financial resources (</w:t>
      </w:r>
      <w:proofErr w:type="spellStart"/>
      <w:r w:rsidRPr="002D0A0A">
        <w:rPr>
          <w:b/>
          <w:bCs/>
        </w:rPr>
        <w:t>labor</w:t>
      </w:r>
      <w:proofErr w:type="spellEnd"/>
      <w:r w:rsidRPr="002D0A0A">
        <w:rPr>
          <w:b/>
          <w:bCs/>
        </w:rPr>
        <w:t>, material budgets, contingency funds). This ensures readiness for risks like weather delays or supply-chain disruptions.</w:t>
      </w:r>
    </w:p>
    <w:p w14:paraId="0CCF0CF1" w14:textId="77777777" w:rsidR="002D0A0A" w:rsidRPr="002D0A0A" w:rsidRDefault="002D0A0A" w:rsidP="002D0A0A">
      <w:pPr>
        <w:rPr>
          <w:b/>
          <w:bCs/>
        </w:rPr>
      </w:pPr>
      <w:r w:rsidRPr="002D0A0A">
        <w:rPr>
          <w:b/>
          <w:bCs/>
        </w:rPr>
        <w:t xml:space="preserve">Outside the scope are residential flood protection, regional flood </w:t>
      </w:r>
      <w:proofErr w:type="spellStart"/>
      <w:r w:rsidRPr="002D0A0A">
        <w:rPr>
          <w:b/>
          <w:bCs/>
        </w:rPr>
        <w:t>defenses</w:t>
      </w:r>
      <w:proofErr w:type="spellEnd"/>
      <w:r w:rsidRPr="002D0A0A">
        <w:rPr>
          <w:b/>
          <w:bCs/>
        </w:rPr>
        <w:t xml:space="preserve"> and community compensation, which are handled by other agencies (Environment Agency, 2024; National Infrastructure Commission, 2022). Risk management is integrated: key threats (further flooding, supply delays, safety hazards) are monitored and mitigated by weather alerts, approved suppliers, strict safety protocols and clear communication (DEFRA, 2022).</w:t>
      </w:r>
    </w:p>
    <w:p w14:paraId="7E303963" w14:textId="77777777" w:rsidR="002D0A0A" w:rsidRPr="002D0A0A" w:rsidRDefault="002D0A0A" w:rsidP="002D0A0A">
      <w:pPr>
        <w:rPr>
          <w:b/>
          <w:bCs/>
        </w:rPr>
      </w:pPr>
      <w:r w:rsidRPr="002D0A0A">
        <w:rPr>
          <w:b/>
          <w:bCs/>
        </w:rPr>
        <w:t>Overall, the defined scope focuses the team on emergency reopening objectives and long-term resilience. A structured scope framework enables efficient, safe and timely delivery within budget and schedule (Kerzner, 2022; PMI, 2021). This aligns with industry best practices and standards, ensuring the project meets required performance goals.</w:t>
      </w:r>
    </w:p>
    <w:p w14:paraId="1B1681E1" w14:textId="77777777" w:rsidR="002D0A0A" w:rsidRPr="002D0A0A" w:rsidRDefault="002D0A0A" w:rsidP="002D0A0A">
      <w:pPr>
        <w:rPr>
          <w:b/>
          <w:bCs/>
        </w:rPr>
      </w:pPr>
      <w:r w:rsidRPr="002D0A0A">
        <w:rPr>
          <w:b/>
          <w:bCs/>
        </w:rPr>
        <w:t>Work Breakdown Structure (WBS)</w:t>
      </w:r>
    </w:p>
    <w:p w14:paraId="49815267" w14:textId="77777777" w:rsidR="002D0A0A" w:rsidRPr="002D0A0A" w:rsidRDefault="002D0A0A" w:rsidP="002D0A0A">
      <w:pPr>
        <w:rPr>
          <w:b/>
          <w:bCs/>
        </w:rPr>
      </w:pPr>
      <w:r w:rsidRPr="002D0A0A">
        <w:rPr>
          <w:b/>
          <w:bCs/>
        </w:rPr>
        <w:t>The WBS is a foundational project management tool that divides the complex project into smaller, manageable components, improving planning accuracy, resource allocation, cost control and progress tracking (Kerzner, 2022; PMI, 2021). It ensures all necessary tasks are covered and no work is overlooked.</w:t>
      </w:r>
    </w:p>
    <w:p w14:paraId="01432611" w14:textId="77777777" w:rsidR="002D0A0A" w:rsidRPr="002D0A0A" w:rsidRDefault="002D0A0A" w:rsidP="002D0A0A">
      <w:pPr>
        <w:rPr>
          <w:b/>
          <w:bCs/>
        </w:rPr>
      </w:pPr>
      <w:r w:rsidRPr="002D0A0A">
        <w:rPr>
          <w:b/>
          <w:bCs/>
        </w:rPr>
        <w:t>Level 1: The project is split into four major phases: Planning &amp; Assessment, Site Clearance &amp; Stabilisation, Reconstruction &amp; Drainage Upgrades, and Testing &amp; Reopening. These phases reflect the emergency recovery lifecycle from initial investigation to final commissioning.</w:t>
      </w:r>
    </w:p>
    <w:p w14:paraId="08181C31" w14:textId="77777777" w:rsidR="002D0A0A" w:rsidRPr="002D0A0A" w:rsidRDefault="002D0A0A" w:rsidP="002D0A0A">
      <w:pPr>
        <w:rPr>
          <w:b/>
          <w:bCs/>
        </w:rPr>
      </w:pPr>
      <w:r w:rsidRPr="002D0A0A">
        <w:rPr>
          <w:b/>
          <w:bCs/>
        </w:rPr>
        <w:t>Level 2: Each phase is broken into task categories. In Planning &amp; Assessment, activities include site inspections, structural and geotechnical assessments, and risk evaluation (British Standards Institution, 2022). Early data collection here reduces uncertainty and costly rework later. The Site Clearance &amp; Stabilisation phase covers debris removal, temporary drainage control and soil stabilisation to prepare a safe construction zone.</w:t>
      </w:r>
    </w:p>
    <w:p w14:paraId="1FFE3841" w14:textId="77777777" w:rsidR="002D0A0A" w:rsidRPr="002D0A0A" w:rsidRDefault="002D0A0A" w:rsidP="002D0A0A">
      <w:pPr>
        <w:rPr>
          <w:b/>
          <w:bCs/>
        </w:rPr>
      </w:pPr>
      <w:r w:rsidRPr="002D0A0A">
        <w:rPr>
          <w:b/>
          <w:bCs/>
        </w:rPr>
        <w:t xml:space="preserve">The Reconstruction &amp; Drainage Upgrades phase is the core of the project. It includes pavement reconstruction, sub-base strengthening, resurfacing, installation of improved drainage systems, and any required slope or embankment protection (Zevenbergen et al., 2018; Jha et al., 2019). Improved drainage in this stage prevents future water accumulation and reduces maintenance </w:t>
      </w:r>
      <w:r w:rsidRPr="002D0A0A">
        <w:rPr>
          <w:b/>
          <w:bCs/>
        </w:rPr>
        <w:lastRenderedPageBreak/>
        <w:t>needs. The Testing &amp; Reopening phase involves safety inspections, road marking and signage installation, and final audits. Once all standards are met, the highway corridor is reopened.</w:t>
      </w:r>
    </w:p>
    <w:p w14:paraId="76C0DA48" w14:textId="77777777" w:rsidR="002D0A0A" w:rsidRPr="002D0A0A" w:rsidRDefault="002D0A0A" w:rsidP="002D0A0A">
      <w:pPr>
        <w:rPr>
          <w:b/>
          <w:bCs/>
        </w:rPr>
      </w:pPr>
      <w:r w:rsidRPr="002D0A0A">
        <w:rPr>
          <w:b/>
          <w:bCs/>
        </w:rPr>
        <w:t>Level 3: Each task is further divided into operational activities (material delivery, equipment mobilization, workforce allocation, site supervision). This ensures clear responsibility and daily progress tracking.</w:t>
      </w:r>
    </w:p>
    <w:p w14:paraId="5F82FB58" w14:textId="77777777" w:rsidR="002D0A0A" w:rsidRPr="002D0A0A" w:rsidRDefault="002D0A0A" w:rsidP="002D0A0A">
      <w:pPr>
        <w:rPr>
          <w:b/>
          <w:bCs/>
        </w:rPr>
      </w:pPr>
      <w:r w:rsidRPr="002D0A0A">
        <w:rPr>
          <w:b/>
          <w:bCs/>
        </w:rPr>
        <w:t>Overall, the WBS provides a clear task hierarchy for coordinating engineers, contractors and stakeholders. It also supports scheduling (e.g. Gantt charts) and links tasks to risks, helping deliver the project safely, efficiently and on schedule (PMI, 2021).</w:t>
      </w:r>
    </w:p>
    <w:p w14:paraId="480F33AC" w14:textId="77777777" w:rsidR="0033346F" w:rsidRDefault="0033346F" w:rsidP="0033346F"/>
    <w:p w14:paraId="6E665DCA" w14:textId="77777777" w:rsidR="0033346F" w:rsidRDefault="0033346F" w:rsidP="0033346F"/>
    <w:p w14:paraId="0AA87C3D" w14:textId="77777777" w:rsidR="0033346F" w:rsidRDefault="0033346F" w:rsidP="0033346F"/>
    <w:p w14:paraId="779141D7" w14:textId="4619EC8A" w:rsidR="0033346F" w:rsidRPr="0033346F" w:rsidRDefault="0033346F" w:rsidP="0033346F">
      <w:pPr>
        <w:rPr>
          <w:b/>
          <w:bCs/>
          <w:sz w:val="32"/>
          <w:szCs w:val="32"/>
          <w:u w:val="single"/>
        </w:rPr>
      </w:pPr>
      <w:r w:rsidRPr="0033346F">
        <w:rPr>
          <w:b/>
          <w:bCs/>
          <w:sz w:val="32"/>
          <w:szCs w:val="32"/>
          <w:u w:val="single"/>
        </w:rPr>
        <w:t>QUAD CHART</w:t>
      </w:r>
    </w:p>
    <w:p w14:paraId="5026EA9C" w14:textId="77777777" w:rsidR="008D7815" w:rsidRDefault="008D7815" w:rsidP="0033346F"/>
    <w:p w14:paraId="7E5C0AC2" w14:textId="4F8F867B" w:rsidR="0033346F" w:rsidRPr="0033346F" w:rsidRDefault="0033346F" w:rsidP="0033346F">
      <w:r w:rsidRPr="0033346F">
        <w:t> </w:t>
      </w:r>
    </w:p>
    <w:tbl>
      <w:tblPr>
        <w:tblW w:w="4522"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160"/>
        <w:gridCol w:w="2362"/>
      </w:tblGrid>
      <w:tr w:rsidR="0033346F" w:rsidRPr="0033346F" w14:paraId="28F07FC9" w14:textId="77777777" w:rsidTr="0033346F">
        <w:trPr>
          <w:trHeight w:val="525"/>
        </w:trPr>
        <w:tc>
          <w:tcPr>
            <w:tcW w:w="2160" w:type="dxa"/>
            <w:tcBorders>
              <w:top w:val="single" w:sz="2" w:space="0" w:color="FFFFFF"/>
              <w:left w:val="single" w:sz="2" w:space="0" w:color="FFFFFF"/>
              <w:bottom w:val="single" w:sz="2" w:space="0" w:color="FFFFFF"/>
              <w:right w:val="single" w:sz="2" w:space="0" w:color="FFFFFF"/>
            </w:tcBorders>
            <w:vAlign w:val="center"/>
            <w:hideMark/>
          </w:tcPr>
          <w:p w14:paraId="2C15BDE6" w14:textId="77777777" w:rsidR="0033346F" w:rsidRPr="0033346F" w:rsidRDefault="0033346F" w:rsidP="0033346F">
            <w:pPr>
              <w:rPr>
                <w:lang w:val="en-US"/>
              </w:rPr>
            </w:pPr>
            <w:r w:rsidRPr="0033346F">
              <w:rPr>
                <w:b/>
                <w:bCs/>
                <w:lang w:val="en-US"/>
              </w:rPr>
              <w:t>1️</w:t>
            </w:r>
            <w:r w:rsidRPr="0033346F">
              <w:rPr>
                <w:rFonts w:ascii="Segoe UI Symbol" w:hAnsi="Segoe UI Symbol" w:cs="Segoe UI Symbol"/>
                <w:b/>
                <w:bCs/>
                <w:lang w:val="en-US"/>
              </w:rPr>
              <w:t>⃣</w:t>
            </w:r>
            <w:r w:rsidRPr="0033346F">
              <w:rPr>
                <w:b/>
                <w:bCs/>
                <w:lang w:val="en-US"/>
              </w:rPr>
              <w:t xml:space="preserve"> Purpose (Objectives)</w:t>
            </w:r>
            <w:r w:rsidRPr="0033346F">
              <w:rPr>
                <w:lang w:val="en-US"/>
              </w:rPr>
              <w:t>​</w:t>
            </w:r>
          </w:p>
        </w:tc>
        <w:tc>
          <w:tcPr>
            <w:tcW w:w="2362" w:type="dxa"/>
            <w:tcBorders>
              <w:top w:val="single" w:sz="2" w:space="0" w:color="FFFFFF"/>
              <w:left w:val="single" w:sz="2" w:space="0" w:color="FFFFFF"/>
              <w:bottom w:val="single" w:sz="2" w:space="0" w:color="FFFFFF"/>
              <w:right w:val="single" w:sz="2" w:space="0" w:color="FFFFFF"/>
            </w:tcBorders>
            <w:vAlign w:val="center"/>
            <w:hideMark/>
          </w:tcPr>
          <w:p w14:paraId="5922D920" w14:textId="77777777" w:rsidR="0033346F" w:rsidRPr="0033346F" w:rsidRDefault="0033346F" w:rsidP="0033346F">
            <w:pPr>
              <w:rPr>
                <w:lang w:val="en-US"/>
              </w:rPr>
            </w:pPr>
            <w:r w:rsidRPr="0033346F">
              <w:rPr>
                <w:b/>
                <w:bCs/>
                <w:lang w:val="en-US"/>
              </w:rPr>
              <w:t>2️</w:t>
            </w:r>
            <w:r w:rsidRPr="0033346F">
              <w:rPr>
                <w:rFonts w:ascii="Segoe UI Symbol" w:hAnsi="Segoe UI Symbol" w:cs="Segoe UI Symbol"/>
                <w:b/>
                <w:bCs/>
                <w:lang w:val="en-US"/>
              </w:rPr>
              <w:t>⃣</w:t>
            </w:r>
            <w:r w:rsidRPr="0033346F">
              <w:rPr>
                <w:b/>
                <w:bCs/>
                <w:lang w:val="en-US"/>
              </w:rPr>
              <w:t xml:space="preserve"> Customers (Stakeholders)</w:t>
            </w:r>
            <w:r w:rsidRPr="0033346F">
              <w:rPr>
                <w:lang w:val="en-US"/>
              </w:rPr>
              <w:t>​</w:t>
            </w:r>
          </w:p>
        </w:tc>
      </w:tr>
      <w:tr w:rsidR="0033346F" w:rsidRPr="0033346F" w14:paraId="70CBD651" w14:textId="77777777" w:rsidTr="0033346F">
        <w:trPr>
          <w:trHeight w:val="450"/>
        </w:trPr>
        <w:tc>
          <w:tcPr>
            <w:tcW w:w="2160" w:type="dxa"/>
            <w:tcBorders>
              <w:top w:val="single" w:sz="2" w:space="0" w:color="FFFFFF"/>
              <w:left w:val="single" w:sz="2" w:space="0" w:color="FFFFFF"/>
              <w:bottom w:val="single" w:sz="2" w:space="0" w:color="FFFFFF"/>
              <w:right w:val="single" w:sz="2" w:space="0" w:color="FFFFFF"/>
            </w:tcBorders>
            <w:vAlign w:val="center"/>
            <w:hideMark/>
          </w:tcPr>
          <w:p w14:paraId="2D630FB9" w14:textId="77777777" w:rsidR="0033346F" w:rsidRPr="0033346F" w:rsidRDefault="0033346F" w:rsidP="0033346F">
            <w:pPr>
              <w:rPr>
                <w:lang w:val="en-US"/>
              </w:rPr>
            </w:pPr>
            <w:r w:rsidRPr="0033346F">
              <w:rPr>
                <w:lang w:val="en-US"/>
              </w:rPr>
              <w:t>• Restore access to the </w:t>
            </w:r>
            <w:r w:rsidRPr="0033346F">
              <w:rPr>
                <w:b/>
                <w:bCs/>
                <w:lang w:val="en-US"/>
              </w:rPr>
              <w:t>A449</w:t>
            </w:r>
            <w:r w:rsidRPr="0033346F">
              <w:rPr>
                <w:lang w:val="en-US"/>
              </w:rPr>
              <w:t>​</w:t>
            </w:r>
          </w:p>
        </w:tc>
        <w:tc>
          <w:tcPr>
            <w:tcW w:w="2362" w:type="dxa"/>
            <w:tcBorders>
              <w:top w:val="single" w:sz="2" w:space="0" w:color="FFFFFF"/>
              <w:left w:val="single" w:sz="2" w:space="0" w:color="FFFFFF"/>
              <w:bottom w:val="single" w:sz="2" w:space="0" w:color="FFFFFF"/>
              <w:right w:val="single" w:sz="2" w:space="0" w:color="FFFFFF"/>
            </w:tcBorders>
            <w:vAlign w:val="center"/>
            <w:hideMark/>
          </w:tcPr>
          <w:p w14:paraId="4C5EED8B" w14:textId="77777777" w:rsidR="0033346F" w:rsidRPr="0033346F" w:rsidRDefault="0033346F" w:rsidP="0033346F">
            <w:pPr>
              <w:rPr>
                <w:lang w:val="en-US"/>
              </w:rPr>
            </w:pPr>
            <w:r w:rsidRPr="0033346F">
              <w:rPr>
                <w:lang w:val="en-US"/>
              </w:rPr>
              <w:t>• Local councils​</w:t>
            </w:r>
          </w:p>
        </w:tc>
      </w:tr>
      <w:tr w:rsidR="0033346F" w:rsidRPr="0033346F" w14:paraId="2569B894" w14:textId="77777777" w:rsidTr="0033346F">
        <w:trPr>
          <w:trHeight w:val="285"/>
        </w:trPr>
        <w:tc>
          <w:tcPr>
            <w:tcW w:w="2160" w:type="dxa"/>
            <w:tcBorders>
              <w:top w:val="single" w:sz="2" w:space="0" w:color="FFFFFF"/>
              <w:left w:val="single" w:sz="2" w:space="0" w:color="FFFFFF"/>
              <w:bottom w:val="single" w:sz="2" w:space="0" w:color="FFFFFF"/>
              <w:right w:val="single" w:sz="2" w:space="0" w:color="FFFFFF"/>
            </w:tcBorders>
            <w:vAlign w:val="center"/>
            <w:hideMark/>
          </w:tcPr>
          <w:p w14:paraId="56E9E60C" w14:textId="77777777" w:rsidR="0033346F" w:rsidRPr="0033346F" w:rsidRDefault="0033346F" w:rsidP="0033346F">
            <w:pPr>
              <w:rPr>
                <w:lang w:val="en-US"/>
              </w:rPr>
            </w:pPr>
            <w:r w:rsidRPr="0033346F">
              <w:rPr>
                <w:lang w:val="en-US"/>
              </w:rPr>
              <w:t>• Improve flood resilience​</w:t>
            </w:r>
          </w:p>
        </w:tc>
        <w:tc>
          <w:tcPr>
            <w:tcW w:w="2362" w:type="dxa"/>
            <w:tcBorders>
              <w:top w:val="single" w:sz="2" w:space="0" w:color="FFFFFF"/>
              <w:left w:val="single" w:sz="2" w:space="0" w:color="FFFFFF"/>
              <w:bottom w:val="single" w:sz="2" w:space="0" w:color="FFFFFF"/>
              <w:right w:val="single" w:sz="2" w:space="0" w:color="FFFFFF"/>
            </w:tcBorders>
            <w:vAlign w:val="center"/>
            <w:hideMark/>
          </w:tcPr>
          <w:p w14:paraId="662B47AE" w14:textId="77777777" w:rsidR="0033346F" w:rsidRPr="0033346F" w:rsidRDefault="0033346F" w:rsidP="0033346F">
            <w:pPr>
              <w:rPr>
                <w:lang w:val="en-US"/>
              </w:rPr>
            </w:pPr>
            <w:r w:rsidRPr="0033346F">
              <w:rPr>
                <w:lang w:val="en-US"/>
              </w:rPr>
              <w:t>• National Highways​</w:t>
            </w:r>
          </w:p>
        </w:tc>
      </w:tr>
      <w:tr w:rsidR="0033346F" w:rsidRPr="0033346F" w14:paraId="0ED52D47" w14:textId="77777777" w:rsidTr="0033346F">
        <w:trPr>
          <w:trHeight w:val="285"/>
        </w:trPr>
        <w:tc>
          <w:tcPr>
            <w:tcW w:w="2160" w:type="dxa"/>
            <w:tcBorders>
              <w:top w:val="single" w:sz="2" w:space="0" w:color="FFFFFF"/>
              <w:left w:val="single" w:sz="2" w:space="0" w:color="FFFFFF"/>
              <w:bottom w:val="single" w:sz="2" w:space="0" w:color="FFFFFF"/>
              <w:right w:val="single" w:sz="2" w:space="0" w:color="FFFFFF"/>
            </w:tcBorders>
            <w:vAlign w:val="center"/>
            <w:hideMark/>
          </w:tcPr>
          <w:p w14:paraId="63DABB7D" w14:textId="77777777" w:rsidR="0033346F" w:rsidRPr="0033346F" w:rsidRDefault="0033346F" w:rsidP="0033346F">
            <w:pPr>
              <w:rPr>
                <w:lang w:val="en-US"/>
              </w:rPr>
            </w:pPr>
            <w:r w:rsidRPr="0033346F">
              <w:rPr>
                <w:lang w:val="en-US"/>
              </w:rPr>
              <w:t>• Ensure public safety​</w:t>
            </w:r>
          </w:p>
        </w:tc>
        <w:tc>
          <w:tcPr>
            <w:tcW w:w="2362" w:type="dxa"/>
            <w:tcBorders>
              <w:top w:val="single" w:sz="2" w:space="0" w:color="FFFFFF"/>
              <w:left w:val="single" w:sz="2" w:space="0" w:color="FFFFFF"/>
              <w:bottom w:val="single" w:sz="2" w:space="0" w:color="FFFFFF"/>
              <w:right w:val="single" w:sz="2" w:space="0" w:color="FFFFFF"/>
            </w:tcBorders>
            <w:vAlign w:val="center"/>
            <w:hideMark/>
          </w:tcPr>
          <w:p w14:paraId="59578D50" w14:textId="77777777" w:rsidR="0033346F" w:rsidRPr="0033346F" w:rsidRDefault="0033346F" w:rsidP="0033346F">
            <w:pPr>
              <w:rPr>
                <w:lang w:val="en-US"/>
              </w:rPr>
            </w:pPr>
            <w:r w:rsidRPr="0033346F">
              <w:rPr>
                <w:lang w:val="en-US"/>
              </w:rPr>
              <w:t>• Emergency services​</w:t>
            </w:r>
          </w:p>
        </w:tc>
      </w:tr>
      <w:tr w:rsidR="0033346F" w:rsidRPr="0033346F" w14:paraId="1102D299" w14:textId="77777777" w:rsidTr="0033346F">
        <w:trPr>
          <w:trHeight w:val="330"/>
        </w:trPr>
        <w:tc>
          <w:tcPr>
            <w:tcW w:w="2160" w:type="dxa"/>
            <w:tcBorders>
              <w:top w:val="single" w:sz="2" w:space="0" w:color="FFFFFF"/>
              <w:left w:val="single" w:sz="2" w:space="0" w:color="FFFFFF"/>
              <w:bottom w:val="single" w:sz="2" w:space="0" w:color="FFFFFF"/>
              <w:right w:val="single" w:sz="2" w:space="0" w:color="FFFFFF"/>
            </w:tcBorders>
            <w:vAlign w:val="center"/>
            <w:hideMark/>
          </w:tcPr>
          <w:p w14:paraId="2336AFE5" w14:textId="77777777" w:rsidR="0033346F" w:rsidRPr="0033346F" w:rsidRDefault="0033346F" w:rsidP="0033346F">
            <w:pPr>
              <w:rPr>
                <w:lang w:val="en-US"/>
              </w:rPr>
            </w:pPr>
            <w:r w:rsidRPr="0033346F">
              <w:rPr>
                <w:lang w:val="en-US"/>
              </w:rPr>
              <w:t>​</w:t>
            </w:r>
          </w:p>
        </w:tc>
        <w:tc>
          <w:tcPr>
            <w:tcW w:w="2362" w:type="dxa"/>
            <w:tcBorders>
              <w:top w:val="single" w:sz="2" w:space="0" w:color="FFFFFF"/>
              <w:left w:val="single" w:sz="2" w:space="0" w:color="FFFFFF"/>
              <w:bottom w:val="single" w:sz="2" w:space="0" w:color="FFFFFF"/>
              <w:right w:val="single" w:sz="2" w:space="0" w:color="FFFFFF"/>
            </w:tcBorders>
            <w:vAlign w:val="center"/>
            <w:hideMark/>
          </w:tcPr>
          <w:p w14:paraId="0406B964" w14:textId="77777777" w:rsidR="0033346F" w:rsidRPr="0033346F" w:rsidRDefault="0033346F" w:rsidP="0033346F">
            <w:pPr>
              <w:rPr>
                <w:lang w:val="en-US"/>
              </w:rPr>
            </w:pPr>
            <w:r w:rsidRPr="0033346F">
              <w:rPr>
                <w:lang w:val="en-US"/>
              </w:rPr>
              <w:t>​</w:t>
            </w:r>
          </w:p>
        </w:tc>
      </w:tr>
    </w:tbl>
    <w:p w14:paraId="5E0C1D92" w14:textId="77777777" w:rsidR="0033346F" w:rsidRPr="0033346F" w:rsidRDefault="0033346F" w:rsidP="0033346F">
      <w:r w:rsidRPr="0033346F">
        <w:t> </w:t>
      </w:r>
    </w:p>
    <w:tbl>
      <w:tblPr>
        <w:tblW w:w="469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265"/>
        <w:gridCol w:w="2430"/>
      </w:tblGrid>
      <w:tr w:rsidR="0033346F" w:rsidRPr="0033346F" w14:paraId="09D5812A" w14:textId="77777777" w:rsidTr="0033346F">
        <w:trPr>
          <w:trHeight w:val="450"/>
        </w:trPr>
        <w:tc>
          <w:tcPr>
            <w:tcW w:w="2265" w:type="dxa"/>
            <w:tcBorders>
              <w:top w:val="single" w:sz="2" w:space="0" w:color="FFFFFF"/>
              <w:left w:val="single" w:sz="2" w:space="0" w:color="FFFFFF"/>
              <w:bottom w:val="single" w:sz="2" w:space="0" w:color="FFFFFF"/>
              <w:right w:val="single" w:sz="2" w:space="0" w:color="FFFFFF"/>
            </w:tcBorders>
            <w:vAlign w:val="center"/>
            <w:hideMark/>
          </w:tcPr>
          <w:p w14:paraId="11D746E1" w14:textId="77777777" w:rsidR="0033346F" w:rsidRPr="0033346F" w:rsidRDefault="0033346F" w:rsidP="0033346F">
            <w:pPr>
              <w:rPr>
                <w:lang w:val="en-US"/>
              </w:rPr>
            </w:pPr>
            <w:r w:rsidRPr="0033346F">
              <w:rPr>
                <w:b/>
                <w:bCs/>
                <w:lang w:val="en-US"/>
              </w:rPr>
              <w:t>3️</w:t>
            </w:r>
            <w:r w:rsidRPr="0033346F">
              <w:rPr>
                <w:rFonts w:ascii="Segoe UI Symbol" w:hAnsi="Segoe UI Symbol" w:cs="Segoe UI Symbol"/>
                <w:b/>
                <w:bCs/>
                <w:lang w:val="en-US"/>
              </w:rPr>
              <w:t>⃣</w:t>
            </w:r>
            <w:r w:rsidRPr="0033346F">
              <w:rPr>
                <w:b/>
                <w:bCs/>
                <w:lang w:val="en-US"/>
              </w:rPr>
              <w:t xml:space="preserve"> Desired End Result </w:t>
            </w:r>
            <w:r w:rsidRPr="0033346F">
              <w:rPr>
                <w:lang w:val="en-US"/>
              </w:rPr>
              <w:t>​</w:t>
            </w:r>
          </w:p>
        </w:tc>
        <w:tc>
          <w:tcPr>
            <w:tcW w:w="2430" w:type="dxa"/>
            <w:tcBorders>
              <w:top w:val="single" w:sz="2" w:space="0" w:color="FFFFFF"/>
              <w:left w:val="single" w:sz="2" w:space="0" w:color="FFFFFF"/>
              <w:bottom w:val="single" w:sz="2" w:space="0" w:color="FFFFFF"/>
              <w:right w:val="single" w:sz="2" w:space="0" w:color="FFFFFF"/>
            </w:tcBorders>
            <w:vAlign w:val="center"/>
            <w:hideMark/>
          </w:tcPr>
          <w:p w14:paraId="0AC6DB3E" w14:textId="77777777" w:rsidR="0033346F" w:rsidRPr="0033346F" w:rsidRDefault="0033346F" w:rsidP="0033346F">
            <w:pPr>
              <w:rPr>
                <w:lang w:val="en-US"/>
              </w:rPr>
            </w:pPr>
            <w:r w:rsidRPr="0033346F">
              <w:rPr>
                <w:b/>
                <w:bCs/>
                <w:lang w:val="en-US"/>
              </w:rPr>
              <w:t>4️</w:t>
            </w:r>
            <w:r w:rsidRPr="0033346F">
              <w:rPr>
                <w:rFonts w:ascii="Segoe UI Symbol" w:hAnsi="Segoe UI Symbol" w:cs="Segoe UI Symbol"/>
                <w:b/>
                <w:bCs/>
                <w:lang w:val="en-US"/>
              </w:rPr>
              <w:t>⃣</w:t>
            </w:r>
            <w:r w:rsidRPr="0033346F">
              <w:rPr>
                <w:b/>
                <w:bCs/>
                <w:lang w:val="en-US"/>
              </w:rPr>
              <w:t xml:space="preserve"> Measures of Success</w:t>
            </w:r>
            <w:r w:rsidRPr="0033346F">
              <w:rPr>
                <w:lang w:val="en-US"/>
              </w:rPr>
              <w:t>​</w:t>
            </w:r>
          </w:p>
        </w:tc>
      </w:tr>
      <w:tr w:rsidR="0033346F" w:rsidRPr="0033346F" w14:paraId="0B677C91" w14:textId="77777777" w:rsidTr="0033346F">
        <w:trPr>
          <w:trHeight w:val="450"/>
        </w:trPr>
        <w:tc>
          <w:tcPr>
            <w:tcW w:w="2265" w:type="dxa"/>
            <w:tcBorders>
              <w:top w:val="single" w:sz="2" w:space="0" w:color="FFFFFF"/>
              <w:left w:val="single" w:sz="2" w:space="0" w:color="FFFFFF"/>
              <w:bottom w:val="single" w:sz="2" w:space="0" w:color="FFFFFF"/>
              <w:right w:val="single" w:sz="2" w:space="0" w:color="FFFFFF"/>
            </w:tcBorders>
            <w:vAlign w:val="center"/>
            <w:hideMark/>
          </w:tcPr>
          <w:p w14:paraId="5EC8DF1B" w14:textId="77777777" w:rsidR="0033346F" w:rsidRPr="0033346F" w:rsidRDefault="0033346F" w:rsidP="0033346F">
            <w:pPr>
              <w:rPr>
                <w:lang w:val="en-US"/>
              </w:rPr>
            </w:pPr>
            <w:r w:rsidRPr="0033346F">
              <w:rPr>
                <w:lang w:val="en-US"/>
              </w:rPr>
              <w:t>• Road fully operational in 16 weeks​</w:t>
            </w:r>
          </w:p>
        </w:tc>
        <w:tc>
          <w:tcPr>
            <w:tcW w:w="2430" w:type="dxa"/>
            <w:tcBorders>
              <w:top w:val="single" w:sz="2" w:space="0" w:color="FFFFFF"/>
              <w:left w:val="single" w:sz="2" w:space="0" w:color="FFFFFF"/>
              <w:bottom w:val="single" w:sz="2" w:space="0" w:color="FFFFFF"/>
              <w:right w:val="single" w:sz="2" w:space="0" w:color="FFFFFF"/>
            </w:tcBorders>
            <w:vAlign w:val="center"/>
            <w:hideMark/>
          </w:tcPr>
          <w:p w14:paraId="5B23E726" w14:textId="77777777" w:rsidR="0033346F" w:rsidRPr="0033346F" w:rsidRDefault="0033346F" w:rsidP="0033346F">
            <w:pPr>
              <w:rPr>
                <w:lang w:val="en-US"/>
              </w:rPr>
            </w:pPr>
            <w:r w:rsidRPr="0033346F">
              <w:rPr>
                <w:lang w:val="en-US"/>
              </w:rPr>
              <w:t>• Reopened on schedule​</w:t>
            </w:r>
          </w:p>
        </w:tc>
      </w:tr>
      <w:tr w:rsidR="0033346F" w:rsidRPr="0033346F" w14:paraId="6E6F34D7" w14:textId="77777777" w:rsidTr="0033346F">
        <w:trPr>
          <w:trHeight w:val="450"/>
        </w:trPr>
        <w:tc>
          <w:tcPr>
            <w:tcW w:w="2265" w:type="dxa"/>
            <w:tcBorders>
              <w:top w:val="single" w:sz="2" w:space="0" w:color="FFFFFF"/>
              <w:left w:val="single" w:sz="2" w:space="0" w:color="FFFFFF"/>
              <w:bottom w:val="single" w:sz="2" w:space="0" w:color="FFFFFF"/>
              <w:right w:val="single" w:sz="2" w:space="0" w:color="FFFFFF"/>
            </w:tcBorders>
            <w:vAlign w:val="center"/>
            <w:hideMark/>
          </w:tcPr>
          <w:p w14:paraId="1C227F66" w14:textId="77777777" w:rsidR="0033346F" w:rsidRPr="0033346F" w:rsidRDefault="0033346F" w:rsidP="0033346F">
            <w:pPr>
              <w:rPr>
                <w:lang w:val="en-US"/>
              </w:rPr>
            </w:pPr>
            <w:r w:rsidRPr="0033346F">
              <w:rPr>
                <w:lang w:val="en-US"/>
              </w:rPr>
              <w:t>• Flood-resistant infrastructure​</w:t>
            </w:r>
          </w:p>
        </w:tc>
        <w:tc>
          <w:tcPr>
            <w:tcW w:w="2430" w:type="dxa"/>
            <w:tcBorders>
              <w:top w:val="single" w:sz="2" w:space="0" w:color="FFFFFF"/>
              <w:left w:val="single" w:sz="2" w:space="0" w:color="FFFFFF"/>
              <w:bottom w:val="single" w:sz="2" w:space="0" w:color="FFFFFF"/>
              <w:right w:val="single" w:sz="2" w:space="0" w:color="FFFFFF"/>
            </w:tcBorders>
            <w:vAlign w:val="center"/>
            <w:hideMark/>
          </w:tcPr>
          <w:p w14:paraId="727E32C9" w14:textId="77777777" w:rsidR="0033346F" w:rsidRPr="0033346F" w:rsidRDefault="0033346F" w:rsidP="0033346F">
            <w:pPr>
              <w:rPr>
                <w:lang w:val="en-US"/>
              </w:rPr>
            </w:pPr>
            <w:r w:rsidRPr="0033346F">
              <w:rPr>
                <w:lang w:val="en-US"/>
              </w:rPr>
              <w:t>• Delivered within budget​</w:t>
            </w:r>
          </w:p>
        </w:tc>
      </w:tr>
      <w:tr w:rsidR="0033346F" w:rsidRPr="0033346F" w14:paraId="62BD4452" w14:textId="77777777" w:rsidTr="0033346F">
        <w:trPr>
          <w:trHeight w:val="450"/>
        </w:trPr>
        <w:tc>
          <w:tcPr>
            <w:tcW w:w="2265" w:type="dxa"/>
            <w:tcBorders>
              <w:top w:val="single" w:sz="2" w:space="0" w:color="FFFFFF"/>
              <w:left w:val="single" w:sz="2" w:space="0" w:color="FFFFFF"/>
              <w:bottom w:val="single" w:sz="2" w:space="0" w:color="FFFFFF"/>
              <w:right w:val="single" w:sz="2" w:space="0" w:color="FFFFFF"/>
            </w:tcBorders>
            <w:vAlign w:val="center"/>
            <w:hideMark/>
          </w:tcPr>
          <w:p w14:paraId="3B4B04A2" w14:textId="77777777" w:rsidR="0033346F" w:rsidRPr="0033346F" w:rsidRDefault="0033346F" w:rsidP="0033346F">
            <w:pPr>
              <w:rPr>
                <w:lang w:val="en-US"/>
              </w:rPr>
            </w:pPr>
            <w:r w:rsidRPr="0033346F">
              <w:rPr>
                <w:lang w:val="en-US"/>
              </w:rPr>
              <w:t>• Safe, reliable transport route​</w:t>
            </w:r>
          </w:p>
        </w:tc>
        <w:tc>
          <w:tcPr>
            <w:tcW w:w="2430" w:type="dxa"/>
            <w:tcBorders>
              <w:top w:val="single" w:sz="2" w:space="0" w:color="FFFFFF"/>
              <w:left w:val="single" w:sz="2" w:space="0" w:color="FFFFFF"/>
              <w:bottom w:val="single" w:sz="2" w:space="0" w:color="FFFFFF"/>
              <w:right w:val="single" w:sz="2" w:space="0" w:color="FFFFFF"/>
            </w:tcBorders>
            <w:vAlign w:val="center"/>
            <w:hideMark/>
          </w:tcPr>
          <w:p w14:paraId="47FD7D50" w14:textId="7F9FECC8" w:rsidR="0033346F" w:rsidRPr="0033346F" w:rsidRDefault="0033346F" w:rsidP="0033346F">
            <w:pPr>
              <w:rPr>
                <w:lang w:val="en-US"/>
              </w:rPr>
            </w:pPr>
            <w:r w:rsidRPr="0033346F">
              <w:rPr>
                <w:lang w:val="en-US"/>
              </w:rPr>
              <w:t>• No major safety incidents​</w:t>
            </w:r>
          </w:p>
        </w:tc>
      </w:tr>
      <w:tr w:rsidR="0033346F" w:rsidRPr="0033346F" w14:paraId="5FC76F13" w14:textId="77777777" w:rsidTr="0033346F">
        <w:trPr>
          <w:trHeight w:val="285"/>
        </w:trPr>
        <w:tc>
          <w:tcPr>
            <w:tcW w:w="2265" w:type="dxa"/>
            <w:tcBorders>
              <w:top w:val="single" w:sz="2" w:space="0" w:color="FFFFFF"/>
              <w:left w:val="single" w:sz="2" w:space="0" w:color="FFFFFF"/>
              <w:bottom w:val="single" w:sz="2" w:space="0" w:color="FFFFFF"/>
              <w:right w:val="single" w:sz="2" w:space="0" w:color="FFFFFF"/>
            </w:tcBorders>
            <w:vAlign w:val="center"/>
            <w:hideMark/>
          </w:tcPr>
          <w:p w14:paraId="11F2EAF6" w14:textId="77777777" w:rsidR="0033346F" w:rsidRPr="0033346F" w:rsidRDefault="0033346F" w:rsidP="0033346F">
            <w:pPr>
              <w:rPr>
                <w:lang w:val="en-US"/>
              </w:rPr>
            </w:pPr>
            <w:r w:rsidRPr="0033346F">
              <w:rPr>
                <w:lang w:val="en-US"/>
              </w:rPr>
              <w:t>​</w:t>
            </w:r>
          </w:p>
        </w:tc>
        <w:tc>
          <w:tcPr>
            <w:tcW w:w="2430" w:type="dxa"/>
            <w:tcBorders>
              <w:top w:val="single" w:sz="2" w:space="0" w:color="FFFFFF"/>
              <w:left w:val="single" w:sz="2" w:space="0" w:color="FFFFFF"/>
              <w:bottom w:val="single" w:sz="2" w:space="0" w:color="FFFFFF"/>
              <w:right w:val="single" w:sz="2" w:space="0" w:color="FFFFFF"/>
            </w:tcBorders>
            <w:vAlign w:val="center"/>
            <w:hideMark/>
          </w:tcPr>
          <w:p w14:paraId="2F2CABCC" w14:textId="77777777" w:rsidR="0033346F" w:rsidRPr="0033346F" w:rsidRDefault="0033346F" w:rsidP="0033346F">
            <w:pPr>
              <w:rPr>
                <w:lang w:val="en-US"/>
              </w:rPr>
            </w:pPr>
            <w:r w:rsidRPr="0033346F">
              <w:rPr>
                <w:lang w:val="en-US"/>
              </w:rPr>
              <w:t>​</w:t>
            </w:r>
          </w:p>
        </w:tc>
      </w:tr>
    </w:tbl>
    <w:p w14:paraId="16AB4579" w14:textId="77777777" w:rsidR="008D7815" w:rsidRDefault="008D7815" w:rsidP="0033346F">
      <w:pPr>
        <w:rPr>
          <w:b/>
          <w:bCs/>
          <w:sz w:val="32"/>
          <w:szCs w:val="32"/>
          <w:u w:val="single"/>
        </w:rPr>
      </w:pPr>
    </w:p>
    <w:p w14:paraId="432DC640" w14:textId="77777777" w:rsidR="008D7815" w:rsidRDefault="008D7815" w:rsidP="0033346F">
      <w:pPr>
        <w:rPr>
          <w:b/>
          <w:bCs/>
          <w:sz w:val="32"/>
          <w:szCs w:val="32"/>
          <w:u w:val="single"/>
        </w:rPr>
      </w:pPr>
    </w:p>
    <w:p w14:paraId="0B69638A" w14:textId="77777777" w:rsidR="008D7815" w:rsidRDefault="008D7815" w:rsidP="0033346F">
      <w:pPr>
        <w:rPr>
          <w:b/>
          <w:bCs/>
          <w:sz w:val="32"/>
          <w:szCs w:val="32"/>
          <w:u w:val="single"/>
        </w:rPr>
      </w:pPr>
    </w:p>
    <w:p w14:paraId="0C018487" w14:textId="77777777" w:rsidR="008D7815" w:rsidRDefault="008D7815" w:rsidP="0033346F">
      <w:pPr>
        <w:rPr>
          <w:b/>
          <w:bCs/>
          <w:sz w:val="32"/>
          <w:szCs w:val="32"/>
          <w:u w:val="single"/>
        </w:rPr>
      </w:pPr>
    </w:p>
    <w:p w14:paraId="30F24549" w14:textId="651C5BFA" w:rsidR="0033346F" w:rsidRDefault="0033346F" w:rsidP="0033346F">
      <w:pPr>
        <w:rPr>
          <w:b/>
          <w:bCs/>
          <w:sz w:val="32"/>
          <w:szCs w:val="32"/>
          <w:u w:val="single"/>
        </w:rPr>
      </w:pPr>
      <w:r w:rsidRPr="0033346F">
        <w:rPr>
          <w:b/>
          <w:bCs/>
          <w:sz w:val="32"/>
          <w:szCs w:val="32"/>
          <w:u w:val="single"/>
        </w:rPr>
        <w:t>GANNT CHART</w:t>
      </w:r>
    </w:p>
    <w:p w14:paraId="49D6C15B" w14:textId="77777777" w:rsidR="0033346F" w:rsidRPr="0033346F" w:rsidRDefault="0033346F" w:rsidP="0033346F">
      <w:pPr>
        <w:rPr>
          <w:b/>
          <w:bCs/>
          <w:sz w:val="32"/>
          <w:szCs w:val="32"/>
          <w:u w:val="single"/>
          <w:lang w:val="en-US"/>
        </w:rPr>
      </w:pPr>
    </w:p>
    <w:p w14:paraId="4AD52443" w14:textId="4162A467" w:rsidR="0033346F" w:rsidRPr="0033346F" w:rsidRDefault="0033346F" w:rsidP="0033346F">
      <w:pPr>
        <w:rPr>
          <w:lang w:val="en-US"/>
        </w:rPr>
      </w:pPr>
      <w:r w:rsidRPr="0033346F">
        <w:rPr>
          <w:lang w:val="en-US"/>
        </w:rPr>
        <w:t>------------------------------------------------------------​</w:t>
      </w:r>
    </w:p>
    <w:p w14:paraId="6DDCE8F7" w14:textId="77777777" w:rsidR="0033346F" w:rsidRPr="0033346F" w:rsidRDefault="0033346F" w:rsidP="0033346F">
      <w:pPr>
        <w:rPr>
          <w:lang w:val="en-US"/>
        </w:rPr>
      </w:pPr>
      <w:r w:rsidRPr="0033346F">
        <w:rPr>
          <w:lang w:val="en-US"/>
        </w:rPr>
        <w:t>| Activity                              | Week 1–16 Timeline    |​</w:t>
      </w:r>
    </w:p>
    <w:p w14:paraId="4EE248A3" w14:textId="77777777" w:rsidR="0033346F" w:rsidRPr="0033346F" w:rsidRDefault="0033346F" w:rsidP="0033346F">
      <w:pPr>
        <w:rPr>
          <w:lang w:val="en-US"/>
        </w:rPr>
      </w:pPr>
      <w:r w:rsidRPr="0033346F">
        <w:rPr>
          <w:lang w:val="en-US"/>
        </w:rPr>
        <w:t>-----------------------------------------------------------------​</w:t>
      </w:r>
    </w:p>
    <w:p w14:paraId="5A096743" w14:textId="77777777" w:rsidR="0033346F" w:rsidRPr="0033346F" w:rsidRDefault="0033346F" w:rsidP="0033346F">
      <w:pPr>
        <w:rPr>
          <w:lang w:val="en-US"/>
        </w:rPr>
      </w:pPr>
      <w:r w:rsidRPr="0033346F">
        <w:rPr>
          <w:lang w:val="en-US"/>
        </w:rPr>
        <w:t xml:space="preserve">| Planning &amp; Assessment                 | </w:t>
      </w:r>
      <w:r w:rsidRPr="0033346F">
        <w:rPr>
          <w:rFonts w:ascii="Arial" w:hAnsi="Arial" w:cs="Arial"/>
          <w:lang w:val="en-US"/>
        </w:rPr>
        <w:t>████</w:t>
      </w:r>
      <w:r w:rsidRPr="0033346F">
        <w:rPr>
          <w:rFonts w:ascii="Calibri" w:hAnsi="Calibri" w:cs="Calibri"/>
          <w:lang w:val="en-US"/>
        </w:rPr>
        <w:t>                 </w:t>
      </w:r>
      <w:r w:rsidRPr="0033346F">
        <w:rPr>
          <w:lang w:val="en-US"/>
        </w:rPr>
        <w:t xml:space="preserve"> |​</w:t>
      </w:r>
    </w:p>
    <w:p w14:paraId="35CB4B35" w14:textId="77777777" w:rsidR="0033346F" w:rsidRPr="0033346F" w:rsidRDefault="0033346F" w:rsidP="0033346F">
      <w:pPr>
        <w:rPr>
          <w:lang w:val="en-US"/>
        </w:rPr>
      </w:pPr>
      <w:r w:rsidRPr="0033346F">
        <w:rPr>
          <w:lang w:val="en-US"/>
        </w:rPr>
        <w:t xml:space="preserve">| (Weeks 1–2)                           | </w:t>
      </w:r>
      <w:proofErr w:type="gramStart"/>
      <w:r w:rsidRPr="0033346F">
        <w:rPr>
          <w:lang w:val="en-US"/>
        </w:rPr>
        <w:t>1  2</w:t>
      </w:r>
      <w:proofErr w:type="gramEnd"/>
      <w:r w:rsidRPr="0033346F">
        <w:rPr>
          <w:lang w:val="en-US"/>
        </w:rPr>
        <w:t>                  |​</w:t>
      </w:r>
    </w:p>
    <w:p w14:paraId="5311103C" w14:textId="77777777" w:rsidR="0033346F" w:rsidRPr="0033346F" w:rsidRDefault="0033346F" w:rsidP="0033346F">
      <w:pPr>
        <w:rPr>
          <w:lang w:val="en-US"/>
        </w:rPr>
      </w:pPr>
      <w:r w:rsidRPr="0033346F">
        <w:rPr>
          <w:lang w:val="en-US"/>
        </w:rPr>
        <w:t>-----------------------------------------------------------------​</w:t>
      </w:r>
    </w:p>
    <w:p w14:paraId="50A8C1C9" w14:textId="77777777" w:rsidR="0033346F" w:rsidRPr="0033346F" w:rsidRDefault="0033346F" w:rsidP="0033346F">
      <w:pPr>
        <w:rPr>
          <w:lang w:val="en-US"/>
        </w:rPr>
      </w:pPr>
      <w:r w:rsidRPr="0033346F">
        <w:rPr>
          <w:lang w:val="en-US"/>
        </w:rPr>
        <w:t xml:space="preserve">| Clearance &amp;Stabilization             |      </w:t>
      </w:r>
      <w:r w:rsidRPr="0033346F">
        <w:rPr>
          <w:rFonts w:ascii="Arial" w:hAnsi="Arial" w:cs="Arial"/>
          <w:lang w:val="en-US"/>
        </w:rPr>
        <w:t>████████</w:t>
      </w:r>
      <w:r w:rsidRPr="0033346F">
        <w:rPr>
          <w:rFonts w:ascii="Calibri" w:hAnsi="Calibri" w:cs="Calibri"/>
          <w:lang w:val="en-US"/>
        </w:rPr>
        <w:t>        </w:t>
      </w:r>
      <w:r w:rsidRPr="0033346F">
        <w:rPr>
          <w:lang w:val="en-US"/>
        </w:rPr>
        <w:t xml:space="preserve"> |​</w:t>
      </w:r>
    </w:p>
    <w:p w14:paraId="751F1CC0" w14:textId="77777777" w:rsidR="0033346F" w:rsidRPr="0033346F" w:rsidRDefault="0033346F" w:rsidP="0033346F">
      <w:pPr>
        <w:rPr>
          <w:lang w:val="en-US"/>
        </w:rPr>
      </w:pPr>
      <w:r w:rsidRPr="0033346F">
        <w:rPr>
          <w:lang w:val="en-US"/>
        </w:rPr>
        <w:t xml:space="preserve">| (Weeks 3–6)                           |       </w:t>
      </w:r>
      <w:proofErr w:type="gramStart"/>
      <w:r w:rsidRPr="0033346F">
        <w:rPr>
          <w:lang w:val="en-US"/>
        </w:rPr>
        <w:t>3  4</w:t>
      </w:r>
      <w:proofErr w:type="gramEnd"/>
      <w:r w:rsidRPr="0033346F">
        <w:rPr>
          <w:lang w:val="en-US"/>
        </w:rPr>
        <w:t xml:space="preserve">  </w:t>
      </w:r>
      <w:proofErr w:type="gramStart"/>
      <w:r w:rsidRPr="0033346F">
        <w:rPr>
          <w:lang w:val="en-US"/>
        </w:rPr>
        <w:t>5  6</w:t>
      </w:r>
      <w:proofErr w:type="gramEnd"/>
      <w:r w:rsidRPr="0033346F">
        <w:rPr>
          <w:lang w:val="en-US"/>
        </w:rPr>
        <w:t>      |​</w:t>
      </w:r>
    </w:p>
    <w:p w14:paraId="459EDEB2" w14:textId="77777777" w:rsidR="0033346F" w:rsidRPr="0033346F" w:rsidRDefault="0033346F" w:rsidP="0033346F">
      <w:pPr>
        <w:rPr>
          <w:lang w:val="en-US"/>
        </w:rPr>
      </w:pPr>
      <w:r w:rsidRPr="0033346F">
        <w:rPr>
          <w:lang w:val="en-US"/>
        </w:rPr>
        <w:t>-----------------------------------------------------------------​</w:t>
      </w:r>
    </w:p>
    <w:p w14:paraId="7AD230B2" w14:textId="77777777" w:rsidR="0033346F" w:rsidRPr="0033346F" w:rsidRDefault="0033346F" w:rsidP="0033346F">
      <w:pPr>
        <w:rPr>
          <w:lang w:val="en-US"/>
        </w:rPr>
      </w:pPr>
      <w:r w:rsidRPr="0033346F">
        <w:rPr>
          <w:lang w:val="en-US"/>
        </w:rPr>
        <w:t xml:space="preserve">| Reconstruction &amp; </w:t>
      </w:r>
      <w:proofErr w:type="spellStart"/>
      <w:r w:rsidRPr="0033346F">
        <w:rPr>
          <w:lang w:val="en-US"/>
        </w:rPr>
        <w:t>DrainageUpgrades</w:t>
      </w:r>
      <w:proofErr w:type="spellEnd"/>
      <w:r w:rsidRPr="0033346F">
        <w:rPr>
          <w:lang w:val="en-US"/>
        </w:rPr>
        <w:t xml:space="preserve">    |              </w:t>
      </w:r>
      <w:r w:rsidRPr="0033346F">
        <w:rPr>
          <w:rFonts w:ascii="Arial" w:hAnsi="Arial" w:cs="Arial"/>
          <w:lang w:val="en-US"/>
        </w:rPr>
        <w:t>████████████</w:t>
      </w:r>
      <w:r w:rsidRPr="0033346F">
        <w:rPr>
          <w:lang w:val="en-US"/>
        </w:rPr>
        <w:t xml:space="preserve"> |​</w:t>
      </w:r>
    </w:p>
    <w:p w14:paraId="6CA31B4A" w14:textId="77777777" w:rsidR="0033346F" w:rsidRPr="0033346F" w:rsidRDefault="0033346F" w:rsidP="0033346F">
      <w:pPr>
        <w:rPr>
          <w:lang w:val="en-US"/>
        </w:rPr>
      </w:pPr>
      <w:r w:rsidRPr="0033346F">
        <w:rPr>
          <w:lang w:val="en-US"/>
        </w:rPr>
        <w:t xml:space="preserve">| (Weeks 7–12)                          |              </w:t>
      </w:r>
      <w:proofErr w:type="gramStart"/>
      <w:r w:rsidRPr="0033346F">
        <w:rPr>
          <w:lang w:val="en-US"/>
        </w:rPr>
        <w:t>7  8</w:t>
      </w:r>
      <w:proofErr w:type="gramEnd"/>
      <w:r w:rsidRPr="0033346F">
        <w:rPr>
          <w:lang w:val="en-US"/>
        </w:rPr>
        <w:t>  9 10 11 12 |​</w:t>
      </w:r>
    </w:p>
    <w:p w14:paraId="485AE530" w14:textId="77777777" w:rsidR="0033346F" w:rsidRPr="0033346F" w:rsidRDefault="0033346F" w:rsidP="0033346F">
      <w:pPr>
        <w:rPr>
          <w:lang w:val="en-US"/>
        </w:rPr>
      </w:pPr>
      <w:r w:rsidRPr="0033346F">
        <w:rPr>
          <w:lang w:val="en-US"/>
        </w:rPr>
        <w:t>-----------------------------------------------------------------​</w:t>
      </w:r>
    </w:p>
    <w:p w14:paraId="62172D4A" w14:textId="77777777" w:rsidR="0033346F" w:rsidRPr="0033346F" w:rsidRDefault="0033346F" w:rsidP="0033346F">
      <w:pPr>
        <w:rPr>
          <w:lang w:val="en-US"/>
        </w:rPr>
      </w:pPr>
      <w:r w:rsidRPr="0033346F">
        <w:rPr>
          <w:lang w:val="en-US"/>
        </w:rPr>
        <w:t xml:space="preserve">| Resilience Works &amp;Reopening          |                          </w:t>
      </w:r>
      <w:r w:rsidRPr="0033346F">
        <w:rPr>
          <w:rFonts w:ascii="Arial" w:hAnsi="Arial" w:cs="Arial"/>
          <w:lang w:val="en-US"/>
        </w:rPr>
        <w:t>████████</w:t>
      </w:r>
      <w:r w:rsidRPr="0033346F">
        <w:rPr>
          <w:lang w:val="en-US"/>
        </w:rPr>
        <w:t xml:space="preserve"> |​</w:t>
      </w:r>
    </w:p>
    <w:p w14:paraId="2E315B55" w14:textId="77777777" w:rsidR="0033346F" w:rsidRPr="0033346F" w:rsidRDefault="0033346F" w:rsidP="0033346F">
      <w:pPr>
        <w:pBdr>
          <w:bottom w:val="single" w:sz="6" w:space="1" w:color="auto"/>
        </w:pBdr>
        <w:rPr>
          <w:lang w:val="en-US"/>
        </w:rPr>
      </w:pPr>
      <w:r w:rsidRPr="0033346F">
        <w:rPr>
          <w:lang w:val="en-US"/>
        </w:rPr>
        <w:t>| (Weeks 13–16)                         |                          13 14 1516 |​</w:t>
      </w:r>
    </w:p>
    <w:p w14:paraId="61F2EFC5" w14:textId="77777777" w:rsidR="008D7815" w:rsidRDefault="008D7815" w:rsidP="0033346F">
      <w:pPr>
        <w:rPr>
          <w:lang w:val="en-US"/>
        </w:rPr>
      </w:pPr>
    </w:p>
    <w:p w14:paraId="59AE5037" w14:textId="77777777" w:rsidR="008D7815" w:rsidRDefault="008D7815" w:rsidP="0033346F">
      <w:pPr>
        <w:rPr>
          <w:lang w:val="en-US"/>
        </w:rPr>
      </w:pPr>
    </w:p>
    <w:p w14:paraId="605CFBBE" w14:textId="77777777" w:rsidR="008D7815" w:rsidRPr="0033346F" w:rsidRDefault="008D7815" w:rsidP="0033346F">
      <w:pPr>
        <w:rPr>
          <w:lang w:val="en-US"/>
        </w:rPr>
      </w:pPr>
    </w:p>
    <w:p w14:paraId="569F386F" w14:textId="77777777" w:rsidR="0033346F" w:rsidRPr="0033346F" w:rsidRDefault="0033346F" w:rsidP="0033346F">
      <w:pPr>
        <w:rPr>
          <w:lang w:val="en-US"/>
        </w:rPr>
      </w:pPr>
      <w:r w:rsidRPr="0033346F">
        <w:rPr>
          <w:lang w:val="en-US"/>
        </w:rPr>
        <w:t>​</w:t>
      </w:r>
    </w:p>
    <w:p w14:paraId="76ACC6B8" w14:textId="77777777" w:rsidR="00843364" w:rsidRPr="00843364" w:rsidRDefault="00843364" w:rsidP="00843364">
      <w:pPr>
        <w:rPr>
          <w:b/>
          <w:bCs/>
        </w:rPr>
      </w:pPr>
      <w:r w:rsidRPr="00843364">
        <w:rPr>
          <w:b/>
          <w:bCs/>
        </w:rPr>
        <w:t>Stakeholders’ Involvement</w:t>
      </w:r>
    </w:p>
    <w:p w14:paraId="5D507AAD" w14:textId="77777777" w:rsidR="00843364" w:rsidRPr="00843364" w:rsidRDefault="00843364" w:rsidP="00843364">
      <w:pPr>
        <w:rPr>
          <w:b/>
          <w:bCs/>
        </w:rPr>
      </w:pPr>
      <w:r w:rsidRPr="00843364">
        <w:rPr>
          <w:b/>
          <w:bCs/>
        </w:rPr>
        <w:t>Stakeholder involvement is critical to successful project delivery. Emergency infrastructure projects must address technical, social, environmental and economic concerns concurrently (Smith and Petley, 2020; OECD, 2021). Effective engagement improves communication, reduces conflicts and speeds decision-making (PMI, 2021).</w:t>
      </w:r>
    </w:p>
    <w:p w14:paraId="737F262C" w14:textId="77777777" w:rsidR="00843364" w:rsidRPr="00843364" w:rsidRDefault="00843364" w:rsidP="00843364">
      <w:pPr>
        <w:rPr>
          <w:b/>
          <w:bCs/>
        </w:rPr>
      </w:pPr>
      <w:r w:rsidRPr="00843364">
        <w:rPr>
          <w:b/>
          <w:bCs/>
        </w:rPr>
        <w:t xml:space="preserve">Key stakeholders include local authorities, transport agencies, emergency services, contractors and local communities. Local councils coordinate regional transport needs, while National Highways provides technical oversight and ensures works meet safety standards (UK Department for Transport, 2023). The Environment Agency advises on flood risk and drainage compliance (Environment Agency, 2024), and emergency services prioritise rapid reopening to restore access </w:t>
      </w:r>
      <w:r w:rsidRPr="00843364">
        <w:rPr>
          <w:b/>
          <w:bCs/>
        </w:rPr>
        <w:lastRenderedPageBreak/>
        <w:t>for first responders (Kerzner, 2022). Regulatory bodies also oversee environmental standards to ensure compliance (Environment Agency, 2024).</w:t>
      </w:r>
    </w:p>
    <w:p w14:paraId="6FE85254" w14:textId="77777777" w:rsidR="00843364" w:rsidRPr="00843364" w:rsidRDefault="00843364" w:rsidP="00843364">
      <w:pPr>
        <w:rPr>
          <w:b/>
          <w:bCs/>
        </w:rPr>
      </w:pPr>
      <w:r w:rsidRPr="00843364">
        <w:rPr>
          <w:b/>
          <w:bCs/>
        </w:rPr>
        <w:t>Contractors deliver the construction works (site stabilisation, resurfacing, drainage) from planning through testing. Nearby residents and businesses, who experience temporary disruptions, are kept informed via updates and traffic advisories (PMI, 2021). Stakeholder engagement is maintained through regular progress meetings, risk review sessions and performance reporting (PMI, 2021). Clear communication channels ensure delays, safety issues or design changes are addressed promptly. Collaboration among engineers, authorities and communities balances technical efficiency with local needs and national standards.</w:t>
      </w:r>
    </w:p>
    <w:p w14:paraId="3EAB5388" w14:textId="77777777" w:rsidR="00843364" w:rsidRPr="00843364" w:rsidRDefault="00843364" w:rsidP="00843364">
      <w:pPr>
        <w:rPr>
          <w:b/>
          <w:bCs/>
        </w:rPr>
      </w:pPr>
      <w:r w:rsidRPr="00843364">
        <w:rPr>
          <w:b/>
          <w:bCs/>
        </w:rPr>
        <w:t>Allocation of Resources</w:t>
      </w:r>
    </w:p>
    <w:p w14:paraId="4DB05B5A" w14:textId="77777777" w:rsidR="00843364" w:rsidRPr="00843364" w:rsidRDefault="00843364" w:rsidP="00843364">
      <w:pPr>
        <w:rPr>
          <w:b/>
          <w:bCs/>
        </w:rPr>
      </w:pPr>
      <w:r w:rsidRPr="00843364">
        <w:rPr>
          <w:b/>
          <w:bCs/>
        </w:rPr>
        <w:t xml:space="preserve">Efficient resource allocation is essential to meet the planned schedule and budget (Kerzner, 2022; PMI, 2021). This ensures </w:t>
      </w:r>
      <w:proofErr w:type="spellStart"/>
      <w:r w:rsidRPr="00843364">
        <w:rPr>
          <w:b/>
          <w:bCs/>
        </w:rPr>
        <w:t>labor</w:t>
      </w:r>
      <w:proofErr w:type="spellEnd"/>
      <w:r w:rsidRPr="00843364">
        <w:rPr>
          <w:b/>
          <w:bCs/>
        </w:rPr>
        <w:t>, materials, equipment and funds are distributed across each project phase in a timely manner, following industry best practices (PMI, 2021).</w:t>
      </w:r>
    </w:p>
    <w:p w14:paraId="01AD6876" w14:textId="77777777" w:rsidR="00843364" w:rsidRPr="00843364" w:rsidRDefault="00843364" w:rsidP="00843364">
      <w:pPr>
        <w:rPr>
          <w:b/>
          <w:bCs/>
        </w:rPr>
      </w:pPr>
      <w:r w:rsidRPr="00843364">
        <w:rPr>
          <w:b/>
          <w:bCs/>
        </w:rPr>
        <w:t>Human resources: The team includes project managers, civil engineers, site supervisors, safety officers and construction workers. Managers handle planning and stakeholder coordination; engineers oversee design and technical work; safety officers enforce standards to prevent incidents (PMI, 2021).</w:t>
      </w:r>
    </w:p>
    <w:p w14:paraId="748D2565" w14:textId="77777777" w:rsidR="00843364" w:rsidRPr="00843364" w:rsidRDefault="00843364" w:rsidP="00843364">
      <w:pPr>
        <w:rPr>
          <w:b/>
          <w:bCs/>
        </w:rPr>
      </w:pPr>
      <w:r w:rsidRPr="00843364">
        <w:rPr>
          <w:b/>
          <w:bCs/>
        </w:rPr>
        <w:t>Physical resources: Key assets include construction machinery (excavators, rollers, pavers), durable surfacing materials and drainage components (pipes, culverts). High-quality materials are vital because flood-damaged roads require durable solutions (Young, 2022). Drainage equipment is prioritised to improve water management and reduce future flood risk (Zevenbergen et al., 2018; Environment Agency, 2024).</w:t>
      </w:r>
    </w:p>
    <w:p w14:paraId="65E08C2D" w14:textId="77777777" w:rsidR="00843364" w:rsidRPr="00843364" w:rsidRDefault="00843364" w:rsidP="00843364">
      <w:pPr>
        <w:rPr>
          <w:b/>
          <w:bCs/>
        </w:rPr>
      </w:pPr>
      <w:r w:rsidRPr="00843364">
        <w:rPr>
          <w:b/>
          <w:bCs/>
        </w:rPr>
        <w:t xml:space="preserve">Financial resources: Budgets cover </w:t>
      </w:r>
      <w:proofErr w:type="spellStart"/>
      <w:r w:rsidRPr="00843364">
        <w:rPr>
          <w:b/>
          <w:bCs/>
        </w:rPr>
        <w:t>labor</w:t>
      </w:r>
      <w:proofErr w:type="spellEnd"/>
      <w:r w:rsidRPr="00843364">
        <w:rPr>
          <w:b/>
          <w:bCs/>
        </w:rPr>
        <w:t xml:space="preserve"> costs, materials procurement, equipment operation and contingency funds. Expenditures are monitored through budget control measures. Contingency funds are especially important in emergency projects to address unexpected issues like further weather events or price changes (DEFRA, 2022).</w:t>
      </w:r>
    </w:p>
    <w:p w14:paraId="726E8E42" w14:textId="77777777" w:rsidR="00843364" w:rsidRPr="00843364" w:rsidRDefault="00843364" w:rsidP="00843364">
      <w:pPr>
        <w:rPr>
          <w:b/>
          <w:bCs/>
        </w:rPr>
      </w:pPr>
      <w:r w:rsidRPr="00843364">
        <w:rPr>
          <w:b/>
          <w:bCs/>
        </w:rPr>
        <w:t xml:space="preserve">Resource scheduling is tied to the project </w:t>
      </w:r>
      <w:proofErr w:type="gramStart"/>
      <w:r w:rsidRPr="00843364">
        <w:rPr>
          <w:b/>
          <w:bCs/>
        </w:rPr>
        <w:t>timeline</w:t>
      </w:r>
      <w:proofErr w:type="gramEnd"/>
      <w:r w:rsidRPr="00843364">
        <w:rPr>
          <w:b/>
          <w:bCs/>
        </w:rPr>
        <w:t xml:space="preserve"> so materials and </w:t>
      </w:r>
      <w:proofErr w:type="spellStart"/>
      <w:r w:rsidRPr="00843364">
        <w:rPr>
          <w:b/>
          <w:bCs/>
        </w:rPr>
        <w:t>labor</w:t>
      </w:r>
      <w:proofErr w:type="spellEnd"/>
      <w:r w:rsidRPr="00843364">
        <w:rPr>
          <w:b/>
          <w:bCs/>
        </w:rPr>
        <w:t xml:space="preserve"> arrive when needed. Delays in availability can affect multiple stages; thus, coordination with suppliers and contractors is essential (Kerzner, 2022). Overall, proper allocation and scheduling ensure the project progresses efficiently while maintaining quality and safety.</w:t>
      </w:r>
    </w:p>
    <w:p w14:paraId="16547A1B" w14:textId="77777777" w:rsidR="00843364" w:rsidRPr="00843364" w:rsidRDefault="00843364" w:rsidP="00843364">
      <w:pPr>
        <w:rPr>
          <w:b/>
          <w:bCs/>
        </w:rPr>
      </w:pPr>
      <w:r w:rsidRPr="00843364">
        <w:rPr>
          <w:b/>
          <w:bCs/>
        </w:rPr>
        <w:t>Risk Analysis</w:t>
      </w:r>
    </w:p>
    <w:p w14:paraId="41DD28AA" w14:textId="77777777" w:rsidR="00843364" w:rsidRPr="00843364" w:rsidRDefault="00843364" w:rsidP="00843364">
      <w:pPr>
        <w:rPr>
          <w:b/>
          <w:bCs/>
        </w:rPr>
      </w:pPr>
      <w:r w:rsidRPr="00843364">
        <w:rPr>
          <w:b/>
          <w:bCs/>
        </w:rPr>
        <w:t>Risk analysis is fundamental in managing infrastructure projects on flood-affected networks (Smith and Petley, 2020; OECD, 2021). The A449 reopening faces uncertainties that could impact cost, schedule and safety. Early risk identification lets the team apply mitigations to reduce impacts.</w:t>
      </w:r>
    </w:p>
    <w:p w14:paraId="5C6DC6D7" w14:textId="77777777" w:rsidR="00843364" w:rsidRPr="00843364" w:rsidRDefault="00843364" w:rsidP="00843364">
      <w:pPr>
        <w:rPr>
          <w:b/>
          <w:bCs/>
        </w:rPr>
      </w:pPr>
      <w:r w:rsidRPr="00843364">
        <w:rPr>
          <w:b/>
          <w:bCs/>
        </w:rPr>
        <w:t>Flooding: Further floods are a primary risk. Extreme weather can delay work, damage structures and create unsafe conditions. Weather monitoring and flexible scheduling reduce this exposure (HM Government, 2023; OECD, 2021). Temporary drainage or barriers may also protect the site (Zevenbergen et al., 2018).</w:t>
      </w:r>
    </w:p>
    <w:p w14:paraId="7A721213" w14:textId="77777777" w:rsidR="00843364" w:rsidRPr="00843364" w:rsidRDefault="00843364" w:rsidP="00843364">
      <w:pPr>
        <w:rPr>
          <w:b/>
          <w:bCs/>
        </w:rPr>
      </w:pPr>
      <w:r w:rsidRPr="00843364">
        <w:rPr>
          <w:b/>
          <w:bCs/>
        </w:rPr>
        <w:t>Supply chain: Delays in delivering aggregates, asphalt or drainage parts can derail the schedule. The project uses approved suppliers and alternative procurement to manage this risk (PMI, 2021). For example, contingency strategies such as stockpiling key materials can also mitigate supply risks (OECD, 2021).</w:t>
      </w:r>
    </w:p>
    <w:p w14:paraId="052C594B" w14:textId="77777777" w:rsidR="00843364" w:rsidRPr="00843364" w:rsidRDefault="00843364" w:rsidP="00843364">
      <w:pPr>
        <w:rPr>
          <w:b/>
          <w:bCs/>
        </w:rPr>
      </w:pPr>
      <w:r w:rsidRPr="00843364">
        <w:rPr>
          <w:b/>
          <w:bCs/>
        </w:rPr>
        <w:lastRenderedPageBreak/>
        <w:t>Safety: Heavy equipment, unstable ground and live traffic pose hazards. Strict safety procedures, personal protective equipment and regular inspections minimise accidents. Health and safety plans ensure compliance with regulations and protect workers and road users (PMI, 2021).</w:t>
      </w:r>
    </w:p>
    <w:p w14:paraId="116A456D" w14:textId="77777777" w:rsidR="00843364" w:rsidRPr="00843364" w:rsidRDefault="00843364" w:rsidP="00843364">
      <w:pPr>
        <w:rPr>
          <w:b/>
          <w:bCs/>
        </w:rPr>
      </w:pPr>
      <w:r w:rsidRPr="00843364">
        <w:rPr>
          <w:b/>
          <w:bCs/>
        </w:rPr>
        <w:t>Community disruption: Closures and construction noise affect residents and businesses. Effective communication (updates, diversions) mitigates inconvenience and maintains stakeholder support (PMI, 2021).</w:t>
      </w:r>
    </w:p>
    <w:p w14:paraId="34F61C66" w14:textId="77777777" w:rsidR="00843364" w:rsidRPr="00843364" w:rsidRDefault="00843364" w:rsidP="00843364">
      <w:pPr>
        <w:rPr>
          <w:b/>
          <w:bCs/>
        </w:rPr>
      </w:pPr>
      <w:r w:rsidRPr="00843364">
        <w:rPr>
          <w:b/>
          <w:bCs/>
        </w:rPr>
        <w:t>The project maintains a risk register and conducts regular review meetings, allowing the team to respond to changing conditions. Proactive risk management improves the likelihood of safe and reliable outcomes (DEFRA, 2022; PMI, 2021).</w:t>
      </w:r>
    </w:p>
    <w:p w14:paraId="60AC3890" w14:textId="77777777" w:rsidR="00843364" w:rsidRPr="00843364" w:rsidRDefault="00843364" w:rsidP="00843364">
      <w:pPr>
        <w:rPr>
          <w:b/>
          <w:bCs/>
        </w:rPr>
      </w:pPr>
      <w:r w:rsidRPr="00843364">
        <w:rPr>
          <w:b/>
          <w:bCs/>
        </w:rPr>
        <w:t>Conclusion</w:t>
      </w:r>
    </w:p>
    <w:p w14:paraId="4A02DF67" w14:textId="77777777" w:rsidR="00843364" w:rsidRPr="00843364" w:rsidRDefault="00843364" w:rsidP="00843364">
      <w:pPr>
        <w:rPr>
          <w:b/>
          <w:bCs/>
        </w:rPr>
      </w:pPr>
      <w:r w:rsidRPr="00843364">
        <w:rPr>
          <w:b/>
          <w:bCs/>
        </w:rPr>
        <w:t>The A449 emergency reopening highlights the importance of structured project management in infrastructure recovery. Flood events have exposed network vulnerabilities, making rapid repair plus long-term resilience planning essential (HM Government, 2023; OECD, 2021). Through clear planning, stakeholder coordination and phased work, the project aims to restore safe, efficient access while reducing future vulnerability.</w:t>
      </w:r>
    </w:p>
    <w:p w14:paraId="6B414C41" w14:textId="77777777" w:rsidR="00843364" w:rsidRPr="00843364" w:rsidRDefault="00843364" w:rsidP="00843364">
      <w:pPr>
        <w:rPr>
          <w:b/>
          <w:bCs/>
        </w:rPr>
      </w:pPr>
      <w:r w:rsidRPr="00843364">
        <w:rPr>
          <w:b/>
          <w:bCs/>
        </w:rPr>
        <w:t>Strong stakeholder involvement ensures technical, environmental and community needs are addressed (National Infrastructure Commission, 2022). Collaboration among engineers, authorities, emergency services and regulators supports effective decisions and compliance with national standards (UK Department for Transport, 2023).</w:t>
      </w:r>
    </w:p>
    <w:p w14:paraId="431751A6" w14:textId="77777777" w:rsidR="00843364" w:rsidRPr="00843364" w:rsidRDefault="00843364" w:rsidP="00843364">
      <w:pPr>
        <w:rPr>
          <w:b/>
          <w:bCs/>
        </w:rPr>
      </w:pPr>
      <w:r w:rsidRPr="00843364">
        <w:rPr>
          <w:b/>
          <w:bCs/>
        </w:rPr>
        <w:t>Efficient resource allocation and scheduling minimise delays and maintain quality (Kerzner, 2022; PMI, 2021). Risk analysis helps identify weather, supply and safety threats early, enabling mitigations that improve project reliability (DEFRA, 2022; PMI, 2021).</w:t>
      </w:r>
    </w:p>
    <w:p w14:paraId="70A426D7" w14:textId="77777777" w:rsidR="00843364" w:rsidRPr="00843364" w:rsidRDefault="00843364" w:rsidP="00843364">
      <w:pPr>
        <w:rPr>
          <w:b/>
          <w:bCs/>
        </w:rPr>
      </w:pPr>
      <w:r w:rsidRPr="00843364">
        <w:rPr>
          <w:b/>
          <w:bCs/>
        </w:rPr>
        <w:t xml:space="preserve">Overall, this project underscores the national emphasis on resilient infrastructure design (HM Government, 2023). </w:t>
      </w:r>
      <w:proofErr w:type="gramStart"/>
      <w:r w:rsidRPr="00843364">
        <w:rPr>
          <w:b/>
          <w:bCs/>
        </w:rPr>
        <w:t>Integrated drainage,</w:t>
      </w:r>
      <w:proofErr w:type="gramEnd"/>
      <w:r w:rsidRPr="00843364">
        <w:rPr>
          <w:b/>
          <w:bCs/>
        </w:rPr>
        <w:t xml:space="preserve"> strengthened pavements and structured planning ensure the A449 corridor operates safely now </w:t>
      </w:r>
      <w:proofErr w:type="gramStart"/>
      <w:r w:rsidRPr="00843364">
        <w:rPr>
          <w:b/>
          <w:bCs/>
        </w:rPr>
        <w:t>and in the future</w:t>
      </w:r>
      <w:proofErr w:type="gramEnd"/>
      <w:r w:rsidRPr="00843364">
        <w:rPr>
          <w:b/>
          <w:bCs/>
        </w:rPr>
        <w:t xml:space="preserve"> (Zevenbergen et al., 2018; Young, 2022). These measures not only restore immediate transport functionality but also support sustainable long-term performance.</w:t>
      </w:r>
    </w:p>
    <w:p w14:paraId="0C500645" w14:textId="1824F3D3" w:rsidR="008D7815" w:rsidRPr="008D7815" w:rsidRDefault="008D7815" w:rsidP="008D7815"/>
    <w:p w14:paraId="25D1DE62" w14:textId="77777777" w:rsidR="00E90858" w:rsidRDefault="00E90858" w:rsidP="00E90858">
      <w:pPr>
        <w:numPr>
          <w:ilvl w:val="0"/>
          <w:numId w:val="1"/>
        </w:numPr>
        <w:rPr>
          <w:lang w:val="en-US"/>
        </w:rPr>
      </w:pPr>
      <w:r w:rsidRPr="008D7815">
        <w:rPr>
          <w:b/>
          <w:bCs/>
          <w:sz w:val="28"/>
          <w:szCs w:val="28"/>
          <w:lang w:val="en-US"/>
        </w:rPr>
        <w:t>References</w:t>
      </w:r>
      <w:r w:rsidRPr="008D7815">
        <w:rPr>
          <w:lang w:val="en-US"/>
        </w:rPr>
        <w:t>​</w:t>
      </w:r>
    </w:p>
    <w:p w14:paraId="7F4D0EC5" w14:textId="77777777" w:rsidR="00E90858" w:rsidRPr="008D7815" w:rsidRDefault="00E90858" w:rsidP="00E90858">
      <w:pPr>
        <w:numPr>
          <w:ilvl w:val="0"/>
          <w:numId w:val="1"/>
        </w:numPr>
        <w:rPr>
          <w:lang w:val="en-US"/>
        </w:rPr>
      </w:pPr>
    </w:p>
    <w:p w14:paraId="4A3C8C1C" w14:textId="77777777" w:rsidR="00E90858" w:rsidRPr="008D7815" w:rsidRDefault="00E90858" w:rsidP="00E90858">
      <w:pPr>
        <w:numPr>
          <w:ilvl w:val="0"/>
          <w:numId w:val="1"/>
        </w:numPr>
        <w:rPr>
          <w:lang w:val="en-US"/>
        </w:rPr>
      </w:pPr>
      <w:r w:rsidRPr="008D7815">
        <w:rPr>
          <w:b/>
          <w:bCs/>
          <w:lang w:val="en-US"/>
        </w:rPr>
        <w:t>APM (2023) </w:t>
      </w:r>
      <w:r w:rsidRPr="008D7815">
        <w:rPr>
          <w:b/>
          <w:bCs/>
          <w:i/>
          <w:iCs/>
          <w:lang w:val="en-US"/>
        </w:rPr>
        <w:t>Directing Change: A Guide to Governance of Project Management</w:t>
      </w:r>
      <w:r w:rsidRPr="008D7815">
        <w:rPr>
          <w:b/>
          <w:bCs/>
          <w:lang w:val="en-US"/>
        </w:rPr>
        <w:t>. 3rd </w:t>
      </w:r>
      <w:proofErr w:type="spellStart"/>
      <w:proofErr w:type="gramStart"/>
      <w:r w:rsidRPr="008D7815">
        <w:rPr>
          <w:b/>
          <w:bCs/>
          <w:lang w:val="en-US"/>
        </w:rPr>
        <w:t>edn</w:t>
      </w:r>
      <w:proofErr w:type="spellEnd"/>
      <w:proofErr w:type="gramEnd"/>
      <w:r w:rsidRPr="008D7815">
        <w:rPr>
          <w:b/>
          <w:bCs/>
          <w:lang w:val="en-US"/>
        </w:rPr>
        <w:t>. Buckinghamshire: Association for Project Management.</w:t>
      </w:r>
      <w:r w:rsidRPr="008D7815">
        <w:rPr>
          <w:lang w:val="en-US"/>
        </w:rPr>
        <w:t>​</w:t>
      </w:r>
    </w:p>
    <w:p w14:paraId="0FD7E16C" w14:textId="77777777" w:rsidR="00E90858" w:rsidRPr="008D7815" w:rsidRDefault="00E90858" w:rsidP="00E90858">
      <w:pPr>
        <w:numPr>
          <w:ilvl w:val="0"/>
          <w:numId w:val="1"/>
        </w:numPr>
        <w:rPr>
          <w:lang w:val="en-US"/>
        </w:rPr>
      </w:pPr>
      <w:r w:rsidRPr="008D7815">
        <w:rPr>
          <w:b/>
          <w:bCs/>
          <w:lang w:val="en-US"/>
        </w:rPr>
        <w:t>British Standards Institution (2022) </w:t>
      </w:r>
      <w:r w:rsidRPr="008D7815">
        <w:rPr>
          <w:b/>
          <w:bCs/>
          <w:i/>
          <w:iCs/>
          <w:lang w:val="en-US"/>
        </w:rPr>
        <w:t>BS EN 1997-1: Eurocode 7 – Geotechnical Design</w:t>
      </w:r>
      <w:r w:rsidRPr="008D7815">
        <w:rPr>
          <w:b/>
          <w:bCs/>
          <w:lang w:val="en-US"/>
        </w:rPr>
        <w:t>. London: BSI.</w:t>
      </w:r>
      <w:r w:rsidRPr="008D7815">
        <w:rPr>
          <w:lang w:val="en-US"/>
        </w:rPr>
        <w:t>​</w:t>
      </w:r>
    </w:p>
    <w:p w14:paraId="67EF9824" w14:textId="77777777" w:rsidR="00E90858" w:rsidRPr="008D7815" w:rsidRDefault="00E90858" w:rsidP="00E90858">
      <w:pPr>
        <w:numPr>
          <w:ilvl w:val="0"/>
          <w:numId w:val="1"/>
        </w:numPr>
        <w:rPr>
          <w:lang w:val="en-US"/>
        </w:rPr>
      </w:pPr>
      <w:r w:rsidRPr="008D7815">
        <w:rPr>
          <w:b/>
          <w:bCs/>
          <w:lang w:val="en-US"/>
        </w:rPr>
        <w:t>Environment Agency (2024) </w:t>
      </w:r>
      <w:r w:rsidRPr="008D7815">
        <w:rPr>
          <w:b/>
          <w:bCs/>
          <w:i/>
          <w:iCs/>
          <w:lang w:val="en-US"/>
        </w:rPr>
        <w:t>Flood Risk Management Plans: River Severn District</w:t>
      </w:r>
      <w:r w:rsidRPr="008D7815">
        <w:rPr>
          <w:b/>
          <w:bCs/>
          <w:lang w:val="en-US"/>
        </w:rPr>
        <w:t>. Bristol: Environment Agency.</w:t>
      </w:r>
      <w:r w:rsidRPr="008D7815">
        <w:rPr>
          <w:lang w:val="en-US"/>
        </w:rPr>
        <w:t>​</w:t>
      </w:r>
    </w:p>
    <w:p w14:paraId="6DAC87D9" w14:textId="77777777" w:rsidR="00E90858" w:rsidRPr="008D7815" w:rsidRDefault="00E90858" w:rsidP="00E90858">
      <w:pPr>
        <w:numPr>
          <w:ilvl w:val="0"/>
          <w:numId w:val="1"/>
        </w:numPr>
        <w:rPr>
          <w:lang w:val="en-US"/>
        </w:rPr>
      </w:pPr>
      <w:r w:rsidRPr="008D7815">
        <w:rPr>
          <w:b/>
          <w:bCs/>
          <w:lang w:val="en-US"/>
        </w:rPr>
        <w:t>HM Government (2023) </w:t>
      </w:r>
      <w:r w:rsidRPr="008D7815">
        <w:rPr>
          <w:b/>
          <w:bCs/>
          <w:i/>
          <w:iCs/>
          <w:lang w:val="en-US"/>
        </w:rPr>
        <w:t>National Flood and Coastal Erosion Risk Management Strategy for England</w:t>
      </w:r>
      <w:r w:rsidRPr="008D7815">
        <w:rPr>
          <w:b/>
          <w:bCs/>
          <w:lang w:val="en-US"/>
        </w:rPr>
        <w:t>. London: DEFRA.</w:t>
      </w:r>
      <w:r w:rsidRPr="008D7815">
        <w:rPr>
          <w:lang w:val="en-US"/>
        </w:rPr>
        <w:t>​</w:t>
      </w:r>
    </w:p>
    <w:p w14:paraId="0EE489D2" w14:textId="77777777" w:rsidR="00E90858" w:rsidRPr="008D7815" w:rsidRDefault="00E90858" w:rsidP="00E90858">
      <w:pPr>
        <w:numPr>
          <w:ilvl w:val="0"/>
          <w:numId w:val="1"/>
        </w:numPr>
        <w:rPr>
          <w:lang w:val="en-US"/>
        </w:rPr>
      </w:pPr>
      <w:r w:rsidRPr="008D7815">
        <w:rPr>
          <w:b/>
          <w:bCs/>
          <w:lang w:val="en-US"/>
        </w:rPr>
        <w:lastRenderedPageBreak/>
        <w:t>Kerzner, H. (2022) </w:t>
      </w:r>
      <w:r w:rsidRPr="008D7815">
        <w:rPr>
          <w:b/>
          <w:bCs/>
          <w:i/>
          <w:iCs/>
          <w:lang w:val="en-US"/>
        </w:rPr>
        <w:t>Project Management: A Systems Approach to Planning, Scheduling, and Controlling</w:t>
      </w:r>
      <w:r w:rsidRPr="008D7815">
        <w:rPr>
          <w:b/>
          <w:bCs/>
          <w:lang w:val="en-US"/>
        </w:rPr>
        <w:t>. 13th </w:t>
      </w:r>
      <w:proofErr w:type="spellStart"/>
      <w:r w:rsidRPr="008D7815">
        <w:rPr>
          <w:b/>
          <w:bCs/>
          <w:lang w:val="en-US"/>
        </w:rPr>
        <w:t>edn</w:t>
      </w:r>
      <w:proofErr w:type="spellEnd"/>
      <w:r w:rsidRPr="008D7815">
        <w:rPr>
          <w:b/>
          <w:bCs/>
          <w:lang w:val="en-US"/>
        </w:rPr>
        <w:t>. Hoboken: Wiley.</w:t>
      </w:r>
      <w:r w:rsidRPr="008D7815">
        <w:rPr>
          <w:lang w:val="en-US"/>
        </w:rPr>
        <w:t>​</w:t>
      </w:r>
    </w:p>
    <w:p w14:paraId="7087E5AC" w14:textId="77777777" w:rsidR="00E90858" w:rsidRPr="008D7815" w:rsidRDefault="00E90858" w:rsidP="00E90858">
      <w:pPr>
        <w:numPr>
          <w:ilvl w:val="0"/>
          <w:numId w:val="1"/>
        </w:numPr>
        <w:rPr>
          <w:lang w:val="en-US"/>
        </w:rPr>
      </w:pPr>
      <w:r w:rsidRPr="008D7815">
        <w:rPr>
          <w:b/>
          <w:bCs/>
          <w:lang w:val="en-US"/>
        </w:rPr>
        <w:t>PMI (2021) </w:t>
      </w:r>
      <w:r w:rsidRPr="008D7815">
        <w:rPr>
          <w:b/>
          <w:bCs/>
          <w:i/>
          <w:iCs/>
          <w:lang w:val="en-US"/>
        </w:rPr>
        <w:t>A Guide to the Project Management Body of Knowledge (PMBOK® Guide)</w:t>
      </w:r>
      <w:r w:rsidRPr="008D7815">
        <w:rPr>
          <w:b/>
          <w:bCs/>
          <w:lang w:val="en-US"/>
        </w:rPr>
        <w:t>. 7th </w:t>
      </w:r>
      <w:proofErr w:type="spellStart"/>
      <w:proofErr w:type="gramStart"/>
      <w:r w:rsidRPr="008D7815">
        <w:rPr>
          <w:b/>
          <w:bCs/>
          <w:lang w:val="en-US"/>
        </w:rPr>
        <w:t>edn</w:t>
      </w:r>
      <w:proofErr w:type="spellEnd"/>
      <w:proofErr w:type="gramEnd"/>
      <w:r w:rsidRPr="008D7815">
        <w:rPr>
          <w:b/>
          <w:bCs/>
          <w:lang w:val="en-US"/>
        </w:rPr>
        <w:t>. Newtown Square, PA: Project Management Institute.</w:t>
      </w:r>
      <w:r w:rsidRPr="008D7815">
        <w:rPr>
          <w:lang w:val="en-US"/>
        </w:rPr>
        <w:t>​</w:t>
      </w:r>
    </w:p>
    <w:p w14:paraId="2882F404" w14:textId="77777777" w:rsidR="00E90858" w:rsidRPr="008D7815" w:rsidRDefault="00E90858" w:rsidP="00E90858">
      <w:pPr>
        <w:numPr>
          <w:ilvl w:val="0"/>
          <w:numId w:val="1"/>
        </w:numPr>
        <w:rPr>
          <w:lang w:val="en-US"/>
        </w:rPr>
      </w:pPr>
      <w:r w:rsidRPr="008D7815">
        <w:rPr>
          <w:b/>
          <w:bCs/>
          <w:lang w:val="en-US"/>
        </w:rPr>
        <w:t>Turner, J.R. (2023) </w:t>
      </w:r>
      <w:r w:rsidRPr="008D7815">
        <w:rPr>
          <w:b/>
          <w:bCs/>
          <w:i/>
          <w:iCs/>
          <w:lang w:val="en-US"/>
        </w:rPr>
        <w:t>The Handbook of Project-Based Management</w:t>
      </w:r>
      <w:r w:rsidRPr="008D7815">
        <w:rPr>
          <w:b/>
          <w:bCs/>
          <w:lang w:val="en-US"/>
        </w:rPr>
        <w:t>. 5th </w:t>
      </w:r>
      <w:proofErr w:type="spellStart"/>
      <w:proofErr w:type="gramStart"/>
      <w:r w:rsidRPr="008D7815">
        <w:rPr>
          <w:b/>
          <w:bCs/>
          <w:lang w:val="en-US"/>
        </w:rPr>
        <w:t>edn</w:t>
      </w:r>
      <w:proofErr w:type="spellEnd"/>
      <w:proofErr w:type="gramEnd"/>
      <w:r w:rsidRPr="008D7815">
        <w:rPr>
          <w:b/>
          <w:bCs/>
          <w:lang w:val="en-US"/>
        </w:rPr>
        <w:t>. London: McGraw-Hill.</w:t>
      </w:r>
      <w:r w:rsidRPr="008D7815">
        <w:rPr>
          <w:lang w:val="en-US"/>
        </w:rPr>
        <w:t>​</w:t>
      </w:r>
    </w:p>
    <w:p w14:paraId="42D81319" w14:textId="77777777" w:rsidR="00E90858" w:rsidRPr="008D7815" w:rsidRDefault="00E90858" w:rsidP="00E90858">
      <w:pPr>
        <w:numPr>
          <w:ilvl w:val="0"/>
          <w:numId w:val="1"/>
        </w:numPr>
        <w:rPr>
          <w:lang w:val="en-US"/>
        </w:rPr>
      </w:pPr>
      <w:r w:rsidRPr="008D7815">
        <w:rPr>
          <w:b/>
          <w:bCs/>
          <w:lang w:val="en-US"/>
        </w:rPr>
        <w:t>UK Department for Transport (2023) </w:t>
      </w:r>
      <w:r w:rsidRPr="008D7815">
        <w:rPr>
          <w:b/>
          <w:bCs/>
          <w:i/>
          <w:iCs/>
          <w:lang w:val="en-US"/>
        </w:rPr>
        <w:t>Transport Resilience Review: A Review of the Resilience of the Transport Network</w:t>
      </w:r>
      <w:r w:rsidRPr="008D7815">
        <w:rPr>
          <w:b/>
          <w:bCs/>
          <w:lang w:val="en-US"/>
        </w:rPr>
        <w:t>. London: </w:t>
      </w:r>
      <w:proofErr w:type="spellStart"/>
      <w:r w:rsidRPr="008D7815">
        <w:rPr>
          <w:b/>
          <w:bCs/>
          <w:lang w:val="en-US"/>
        </w:rPr>
        <w:t>DfT.</w:t>
      </w:r>
      <w:proofErr w:type="spellEnd"/>
      <w:r w:rsidRPr="008D7815">
        <w:rPr>
          <w:lang w:val="en-US"/>
        </w:rPr>
        <w:t>​</w:t>
      </w:r>
    </w:p>
    <w:p w14:paraId="76617128" w14:textId="77777777" w:rsidR="00E90858" w:rsidRPr="008D7815" w:rsidRDefault="00E90858" w:rsidP="00E90858">
      <w:pPr>
        <w:numPr>
          <w:ilvl w:val="0"/>
          <w:numId w:val="1"/>
        </w:numPr>
        <w:rPr>
          <w:lang w:val="en-US"/>
        </w:rPr>
      </w:pPr>
      <w:r w:rsidRPr="008D7815">
        <w:rPr>
          <w:b/>
          <w:bCs/>
          <w:lang w:val="en-US"/>
        </w:rPr>
        <w:t>Zevenbergen, C., Cashman, A., </w:t>
      </w:r>
      <w:proofErr w:type="spellStart"/>
      <w:r w:rsidRPr="008D7815">
        <w:rPr>
          <w:b/>
          <w:bCs/>
          <w:lang w:val="en-US"/>
        </w:rPr>
        <w:t>Evelpidou</w:t>
      </w:r>
      <w:proofErr w:type="spellEnd"/>
      <w:r w:rsidRPr="008D7815">
        <w:rPr>
          <w:b/>
          <w:bCs/>
          <w:lang w:val="en-US"/>
        </w:rPr>
        <w:t>, N., Pasche, E., Garvin, S. and Ashley, R. (2018) </w:t>
      </w:r>
      <w:r w:rsidRPr="008D7815">
        <w:rPr>
          <w:b/>
          <w:bCs/>
          <w:i/>
          <w:iCs/>
          <w:lang w:val="en-US"/>
        </w:rPr>
        <w:t>Urban Flood Management</w:t>
      </w:r>
      <w:r w:rsidRPr="008D7815">
        <w:rPr>
          <w:b/>
          <w:bCs/>
          <w:lang w:val="en-US"/>
        </w:rPr>
        <w:t>. Boca Raton: CRC Press.</w:t>
      </w:r>
      <w:r w:rsidRPr="008D7815">
        <w:rPr>
          <w:lang w:val="en-US"/>
        </w:rPr>
        <w:t>​</w:t>
      </w:r>
    </w:p>
    <w:p w14:paraId="133F0BE3" w14:textId="77777777" w:rsidR="00E90858" w:rsidRPr="008D7815" w:rsidRDefault="00E90858" w:rsidP="00E90858">
      <w:pPr>
        <w:numPr>
          <w:ilvl w:val="0"/>
          <w:numId w:val="1"/>
        </w:numPr>
        <w:rPr>
          <w:lang w:val="en-US"/>
        </w:rPr>
      </w:pPr>
      <w:r w:rsidRPr="008D7815">
        <w:rPr>
          <w:b/>
          <w:bCs/>
          <w:lang w:val="en-US"/>
        </w:rPr>
        <w:t>Zio, E. (2021) ‘The challenge of resilience in infrastructure systems’, </w:t>
      </w:r>
      <w:r w:rsidRPr="008D7815">
        <w:rPr>
          <w:b/>
          <w:bCs/>
          <w:i/>
          <w:iCs/>
          <w:lang w:val="en-US"/>
        </w:rPr>
        <w:t>Reliability Engineering and System Safety</w:t>
      </w:r>
      <w:r w:rsidRPr="008D7815">
        <w:rPr>
          <w:b/>
          <w:bCs/>
          <w:lang w:val="en-US"/>
        </w:rPr>
        <w:t>, 215, pp. 1–8.</w:t>
      </w:r>
      <w:r w:rsidRPr="008D7815">
        <w:rPr>
          <w:lang w:val="en-US"/>
        </w:rPr>
        <w:t>​</w:t>
      </w:r>
    </w:p>
    <w:p w14:paraId="74B7BCC8" w14:textId="77777777" w:rsidR="00E90858" w:rsidRPr="008D7815" w:rsidRDefault="00E90858" w:rsidP="00E90858">
      <w:pPr>
        <w:numPr>
          <w:ilvl w:val="0"/>
          <w:numId w:val="1"/>
        </w:numPr>
        <w:rPr>
          <w:lang w:val="en-US"/>
        </w:rPr>
      </w:pPr>
      <w:r w:rsidRPr="008D7815">
        <w:rPr>
          <w:b/>
          <w:bCs/>
          <w:lang w:val="en-US"/>
        </w:rPr>
        <w:t>APM (2021) </w:t>
      </w:r>
      <w:r w:rsidRPr="008D7815">
        <w:rPr>
          <w:b/>
          <w:bCs/>
          <w:i/>
          <w:iCs/>
          <w:lang w:val="en-US"/>
        </w:rPr>
        <w:t>Risk Management for Projects</w:t>
      </w:r>
      <w:r w:rsidRPr="008D7815">
        <w:rPr>
          <w:b/>
          <w:bCs/>
          <w:lang w:val="en-US"/>
        </w:rPr>
        <w:t>. 2nd </w:t>
      </w:r>
      <w:proofErr w:type="spellStart"/>
      <w:proofErr w:type="gramStart"/>
      <w:r w:rsidRPr="008D7815">
        <w:rPr>
          <w:b/>
          <w:bCs/>
          <w:lang w:val="en-US"/>
        </w:rPr>
        <w:t>edn</w:t>
      </w:r>
      <w:proofErr w:type="spellEnd"/>
      <w:proofErr w:type="gramEnd"/>
      <w:r w:rsidRPr="008D7815">
        <w:rPr>
          <w:b/>
          <w:bCs/>
          <w:lang w:val="en-US"/>
        </w:rPr>
        <w:t>. Buckinghamshire: Association for Project Management.</w:t>
      </w:r>
      <w:r w:rsidRPr="008D7815">
        <w:rPr>
          <w:lang w:val="en-US"/>
        </w:rPr>
        <w:t>​</w:t>
      </w:r>
    </w:p>
    <w:p w14:paraId="47D24323" w14:textId="77777777" w:rsidR="00E90858" w:rsidRPr="008D7815" w:rsidRDefault="00E90858" w:rsidP="00E90858">
      <w:pPr>
        <w:numPr>
          <w:ilvl w:val="0"/>
          <w:numId w:val="1"/>
        </w:numPr>
        <w:rPr>
          <w:lang w:val="en-US"/>
        </w:rPr>
      </w:pPr>
      <w:r w:rsidRPr="008D7815">
        <w:rPr>
          <w:b/>
          <w:bCs/>
          <w:lang w:val="en-US"/>
        </w:rPr>
        <w:t>Association of State Floodplain Managers (ASFPM) (2020) </w:t>
      </w:r>
      <w:r w:rsidRPr="008D7815">
        <w:rPr>
          <w:b/>
          <w:bCs/>
          <w:i/>
          <w:iCs/>
          <w:lang w:val="en-US"/>
        </w:rPr>
        <w:t>Flood Risk Management Guidelines</w:t>
      </w:r>
      <w:r w:rsidRPr="008D7815">
        <w:rPr>
          <w:b/>
          <w:bCs/>
          <w:lang w:val="en-US"/>
        </w:rPr>
        <w:t>. Madison, WI: ASFPM.</w:t>
      </w:r>
      <w:r w:rsidRPr="008D7815">
        <w:rPr>
          <w:lang w:val="en-US"/>
        </w:rPr>
        <w:t>​</w:t>
      </w:r>
    </w:p>
    <w:p w14:paraId="68666091" w14:textId="77777777" w:rsidR="00E90858" w:rsidRPr="008D7815" w:rsidRDefault="00E90858" w:rsidP="00E90858">
      <w:pPr>
        <w:numPr>
          <w:ilvl w:val="0"/>
          <w:numId w:val="1"/>
        </w:numPr>
        <w:rPr>
          <w:lang w:val="en-US"/>
        </w:rPr>
      </w:pPr>
      <w:r w:rsidRPr="008D7815">
        <w:rPr>
          <w:b/>
          <w:bCs/>
          <w:lang w:val="en-US"/>
        </w:rPr>
        <w:t>Cangialosi, J.P., Laton, J.A. and Stewart, J. (2020) </w:t>
      </w:r>
      <w:r w:rsidRPr="008D7815">
        <w:rPr>
          <w:b/>
          <w:bCs/>
          <w:i/>
          <w:iCs/>
          <w:lang w:val="en-US"/>
        </w:rPr>
        <w:t>Natural Hazards and Risk Assessment for Infrastructure Projects</w:t>
      </w:r>
      <w:r w:rsidRPr="008D7815">
        <w:rPr>
          <w:b/>
          <w:bCs/>
          <w:lang w:val="en-US"/>
        </w:rPr>
        <w:t>. New York: Springer.</w:t>
      </w:r>
      <w:r w:rsidRPr="008D7815">
        <w:rPr>
          <w:lang w:val="en-US"/>
        </w:rPr>
        <w:t>​</w:t>
      </w:r>
    </w:p>
    <w:p w14:paraId="3A938620" w14:textId="77777777" w:rsidR="00E90858" w:rsidRPr="008D7815" w:rsidRDefault="00E90858" w:rsidP="00E90858">
      <w:pPr>
        <w:numPr>
          <w:ilvl w:val="0"/>
          <w:numId w:val="1"/>
        </w:numPr>
        <w:rPr>
          <w:lang w:val="en-US"/>
        </w:rPr>
      </w:pPr>
      <w:r w:rsidRPr="008D7815">
        <w:rPr>
          <w:b/>
          <w:bCs/>
          <w:lang w:val="en-US"/>
        </w:rPr>
        <w:t>DEFRA (2022) </w:t>
      </w:r>
      <w:r w:rsidRPr="008D7815">
        <w:rPr>
          <w:b/>
          <w:bCs/>
          <w:i/>
          <w:iCs/>
          <w:lang w:val="en-US"/>
        </w:rPr>
        <w:t>UK Climate Change Risk Assessment 2022: Evidence Report</w:t>
      </w:r>
      <w:r w:rsidRPr="008D7815">
        <w:rPr>
          <w:b/>
          <w:bCs/>
          <w:lang w:val="en-US"/>
        </w:rPr>
        <w:t xml:space="preserve">. London: Department </w:t>
      </w:r>
      <w:proofErr w:type="gramStart"/>
      <w:r w:rsidRPr="008D7815">
        <w:rPr>
          <w:b/>
          <w:bCs/>
          <w:lang w:val="en-US"/>
        </w:rPr>
        <w:t>for</w:t>
      </w:r>
      <w:proofErr w:type="gramEnd"/>
      <w:r w:rsidRPr="008D7815">
        <w:rPr>
          <w:b/>
          <w:bCs/>
          <w:lang w:val="en-US"/>
        </w:rPr>
        <w:t xml:space="preserve"> Environment, Food &amp; Rural Affairs.</w:t>
      </w:r>
      <w:r w:rsidRPr="008D7815">
        <w:rPr>
          <w:lang w:val="en-US"/>
        </w:rPr>
        <w:t>​</w:t>
      </w:r>
    </w:p>
    <w:p w14:paraId="488D3F3C" w14:textId="77777777" w:rsidR="00E90858" w:rsidRPr="008D7815" w:rsidRDefault="00E90858" w:rsidP="00E90858">
      <w:pPr>
        <w:numPr>
          <w:ilvl w:val="0"/>
          <w:numId w:val="1"/>
        </w:numPr>
        <w:rPr>
          <w:lang w:val="en-US"/>
        </w:rPr>
      </w:pPr>
      <w:r w:rsidRPr="008D7815">
        <w:rPr>
          <w:b/>
          <w:bCs/>
          <w:lang w:val="en-US"/>
        </w:rPr>
        <w:t>European Commission (2021) </w:t>
      </w:r>
      <w:r w:rsidRPr="008D7815">
        <w:rPr>
          <w:b/>
          <w:bCs/>
          <w:i/>
          <w:iCs/>
          <w:lang w:val="en-US"/>
        </w:rPr>
        <w:t>Guidelines on Risk Assessment and Management for Critical Infrastructure</w:t>
      </w:r>
      <w:r w:rsidRPr="008D7815">
        <w:rPr>
          <w:b/>
          <w:bCs/>
          <w:lang w:val="en-US"/>
        </w:rPr>
        <w:t>. Brussels: EC.</w:t>
      </w:r>
      <w:r w:rsidRPr="008D7815">
        <w:rPr>
          <w:lang w:val="en-US"/>
        </w:rPr>
        <w:t>​</w:t>
      </w:r>
    </w:p>
    <w:p w14:paraId="6DBFB0D1" w14:textId="77777777" w:rsidR="00E90858" w:rsidRPr="008D7815" w:rsidRDefault="00E90858" w:rsidP="00E90858">
      <w:pPr>
        <w:numPr>
          <w:ilvl w:val="0"/>
          <w:numId w:val="1"/>
        </w:numPr>
        <w:rPr>
          <w:lang w:val="en-US"/>
        </w:rPr>
      </w:pPr>
      <w:r w:rsidRPr="008D7815">
        <w:rPr>
          <w:b/>
          <w:bCs/>
          <w:lang w:val="en-US"/>
        </w:rPr>
        <w:t>FEMA (2023) </w:t>
      </w:r>
      <w:r w:rsidRPr="008D7815">
        <w:rPr>
          <w:b/>
          <w:bCs/>
          <w:i/>
          <w:iCs/>
          <w:lang w:val="en-US"/>
        </w:rPr>
        <w:t>Flood Insurance Study Guidelines</w:t>
      </w:r>
      <w:r w:rsidRPr="008D7815">
        <w:rPr>
          <w:b/>
          <w:bCs/>
          <w:lang w:val="en-US"/>
        </w:rPr>
        <w:t>. Washington, DC: Federal Emergency Management Agency.</w:t>
      </w:r>
      <w:r w:rsidRPr="008D7815">
        <w:rPr>
          <w:lang w:val="en-US"/>
        </w:rPr>
        <w:t>​</w:t>
      </w:r>
    </w:p>
    <w:p w14:paraId="6DEF41D3" w14:textId="77777777" w:rsidR="00E90858" w:rsidRPr="008D7815" w:rsidRDefault="00E90858" w:rsidP="00E90858">
      <w:pPr>
        <w:numPr>
          <w:ilvl w:val="0"/>
          <w:numId w:val="1"/>
        </w:numPr>
        <w:rPr>
          <w:lang w:val="en-US"/>
        </w:rPr>
      </w:pPr>
      <w:r w:rsidRPr="008D7815">
        <w:rPr>
          <w:b/>
          <w:bCs/>
          <w:lang w:val="en-US"/>
        </w:rPr>
        <w:t>IPCC (2022) </w:t>
      </w:r>
      <w:r w:rsidRPr="008D7815">
        <w:rPr>
          <w:b/>
          <w:bCs/>
          <w:i/>
          <w:iCs/>
          <w:lang w:val="en-US"/>
        </w:rPr>
        <w:t>Climate Change 2022: Impacts, Adaptation and Vulnerability</w:t>
      </w:r>
      <w:r w:rsidRPr="008D7815">
        <w:rPr>
          <w:b/>
          <w:bCs/>
          <w:lang w:val="en-US"/>
        </w:rPr>
        <w:t>. Cambridge: Cambridge University Press.</w:t>
      </w:r>
      <w:r w:rsidRPr="008D7815">
        <w:rPr>
          <w:lang w:val="en-US"/>
        </w:rPr>
        <w:t>​</w:t>
      </w:r>
    </w:p>
    <w:p w14:paraId="0EBD3E41" w14:textId="77777777" w:rsidR="00E90858" w:rsidRPr="008D7815" w:rsidRDefault="00E90858" w:rsidP="00E90858">
      <w:pPr>
        <w:numPr>
          <w:ilvl w:val="0"/>
          <w:numId w:val="1"/>
        </w:numPr>
        <w:rPr>
          <w:lang w:val="en-US"/>
        </w:rPr>
      </w:pPr>
      <w:r w:rsidRPr="008D7815">
        <w:rPr>
          <w:b/>
          <w:bCs/>
          <w:lang w:val="en-US"/>
        </w:rPr>
        <w:t>Jha, A.K., Bloch, R. and Lamond, J. (2019) </w:t>
      </w:r>
      <w:r w:rsidRPr="008D7815">
        <w:rPr>
          <w:b/>
          <w:bCs/>
          <w:i/>
          <w:iCs/>
          <w:lang w:val="en-US"/>
        </w:rPr>
        <w:t>Cities and Flooding: A Guide to Integrated Urban Flood Risk Management for the 21st Century</w:t>
      </w:r>
      <w:r w:rsidRPr="008D7815">
        <w:rPr>
          <w:b/>
          <w:bCs/>
          <w:lang w:val="en-US"/>
        </w:rPr>
        <w:t>. Washington, DC: World Bank.</w:t>
      </w:r>
      <w:r w:rsidRPr="008D7815">
        <w:rPr>
          <w:lang w:val="en-US"/>
        </w:rPr>
        <w:t>​</w:t>
      </w:r>
    </w:p>
    <w:p w14:paraId="0D0A0E2C" w14:textId="77777777" w:rsidR="00E90858" w:rsidRPr="008D7815" w:rsidRDefault="00E90858" w:rsidP="00E90858">
      <w:pPr>
        <w:numPr>
          <w:ilvl w:val="0"/>
          <w:numId w:val="1"/>
        </w:numPr>
        <w:rPr>
          <w:lang w:val="en-US"/>
        </w:rPr>
      </w:pPr>
      <w:r w:rsidRPr="008D7815">
        <w:rPr>
          <w:b/>
          <w:bCs/>
          <w:lang w:val="en-US"/>
        </w:rPr>
        <w:t>Leitch, R. (2020) </w:t>
      </w:r>
      <w:r w:rsidRPr="008D7815">
        <w:rPr>
          <w:b/>
          <w:bCs/>
          <w:i/>
          <w:iCs/>
          <w:lang w:val="en-US"/>
        </w:rPr>
        <w:t>Organizational Resilience: Concepts, Strategies and Implementation</w:t>
      </w:r>
      <w:r w:rsidRPr="008D7815">
        <w:rPr>
          <w:b/>
          <w:bCs/>
          <w:lang w:val="en-US"/>
        </w:rPr>
        <w:t>. London: Routledge.</w:t>
      </w:r>
      <w:r w:rsidRPr="008D7815">
        <w:rPr>
          <w:lang w:val="en-US"/>
        </w:rPr>
        <w:t>​</w:t>
      </w:r>
    </w:p>
    <w:p w14:paraId="55CE5732" w14:textId="77777777" w:rsidR="00E90858" w:rsidRPr="008D7815" w:rsidRDefault="00E90858" w:rsidP="00E90858">
      <w:pPr>
        <w:numPr>
          <w:ilvl w:val="0"/>
          <w:numId w:val="1"/>
        </w:numPr>
        <w:rPr>
          <w:lang w:val="en-US"/>
        </w:rPr>
      </w:pPr>
      <w:r w:rsidRPr="008D7815">
        <w:rPr>
          <w:b/>
          <w:bCs/>
          <w:lang w:val="en-US"/>
        </w:rPr>
        <w:t>McConnell, C. (2021) </w:t>
      </w:r>
      <w:r w:rsidRPr="008D7815">
        <w:rPr>
          <w:b/>
          <w:bCs/>
          <w:i/>
          <w:iCs/>
          <w:lang w:val="en-US"/>
        </w:rPr>
        <w:t>Project Governance: A Practical Guide to Effective Project Decision Making</w:t>
      </w:r>
      <w:r w:rsidRPr="008D7815">
        <w:rPr>
          <w:b/>
          <w:bCs/>
          <w:lang w:val="en-US"/>
        </w:rPr>
        <w:t>. London: Kogan Page.</w:t>
      </w:r>
      <w:r w:rsidRPr="008D7815">
        <w:rPr>
          <w:lang w:val="en-US"/>
        </w:rPr>
        <w:t>​</w:t>
      </w:r>
    </w:p>
    <w:p w14:paraId="67F3EF41" w14:textId="77777777" w:rsidR="00E90858" w:rsidRPr="008D7815" w:rsidRDefault="00E90858" w:rsidP="00E90858">
      <w:pPr>
        <w:numPr>
          <w:ilvl w:val="0"/>
          <w:numId w:val="1"/>
        </w:numPr>
        <w:rPr>
          <w:lang w:val="en-US"/>
        </w:rPr>
      </w:pPr>
      <w:r w:rsidRPr="008D7815">
        <w:rPr>
          <w:b/>
          <w:bCs/>
          <w:lang w:val="en-US"/>
        </w:rPr>
        <w:t>National Infrastructure Commission (NIC) (2022) </w:t>
      </w:r>
      <w:r w:rsidRPr="008D7815">
        <w:rPr>
          <w:b/>
          <w:bCs/>
          <w:i/>
          <w:iCs/>
          <w:lang w:val="en-US"/>
        </w:rPr>
        <w:t>Resilient Infrastructure Report: Planning for the Future</w:t>
      </w:r>
      <w:r w:rsidRPr="008D7815">
        <w:rPr>
          <w:b/>
          <w:bCs/>
          <w:lang w:val="en-US"/>
        </w:rPr>
        <w:t>. London: NIC.</w:t>
      </w:r>
      <w:r w:rsidRPr="008D7815">
        <w:rPr>
          <w:lang w:val="en-US"/>
        </w:rPr>
        <w:t>​</w:t>
      </w:r>
    </w:p>
    <w:p w14:paraId="142E8581" w14:textId="77777777" w:rsidR="00E90858" w:rsidRPr="008D7815" w:rsidRDefault="00E90858" w:rsidP="00E90858">
      <w:pPr>
        <w:numPr>
          <w:ilvl w:val="0"/>
          <w:numId w:val="1"/>
        </w:numPr>
        <w:rPr>
          <w:lang w:val="en-US"/>
        </w:rPr>
      </w:pPr>
      <w:r w:rsidRPr="008D7815">
        <w:rPr>
          <w:b/>
          <w:bCs/>
          <w:lang w:val="en-US"/>
        </w:rPr>
        <w:t>OECD (2021) </w:t>
      </w:r>
      <w:r w:rsidRPr="008D7815">
        <w:rPr>
          <w:b/>
          <w:bCs/>
          <w:i/>
          <w:iCs/>
          <w:lang w:val="en-US"/>
        </w:rPr>
        <w:t>Enhancing Infrastructure Resilience: Policy and Practice</w:t>
      </w:r>
      <w:r w:rsidRPr="008D7815">
        <w:rPr>
          <w:b/>
          <w:bCs/>
          <w:lang w:val="en-US"/>
        </w:rPr>
        <w:t>. Paris: </w:t>
      </w:r>
      <w:proofErr w:type="spellStart"/>
      <w:r w:rsidRPr="008D7815">
        <w:rPr>
          <w:b/>
          <w:bCs/>
          <w:lang w:val="en-US"/>
        </w:rPr>
        <w:t>Organisation</w:t>
      </w:r>
      <w:proofErr w:type="spellEnd"/>
      <w:r w:rsidRPr="008D7815">
        <w:rPr>
          <w:b/>
          <w:bCs/>
          <w:lang w:val="en-US"/>
        </w:rPr>
        <w:t> for Economic Co-operation and Development.</w:t>
      </w:r>
      <w:r w:rsidRPr="008D7815">
        <w:rPr>
          <w:lang w:val="en-US"/>
        </w:rPr>
        <w:t>​</w:t>
      </w:r>
    </w:p>
    <w:p w14:paraId="57C46720" w14:textId="77777777" w:rsidR="00E90858" w:rsidRPr="008D7815" w:rsidRDefault="00E90858" w:rsidP="00E90858">
      <w:pPr>
        <w:numPr>
          <w:ilvl w:val="0"/>
          <w:numId w:val="1"/>
        </w:numPr>
        <w:rPr>
          <w:lang w:val="en-US"/>
        </w:rPr>
      </w:pPr>
      <w:r w:rsidRPr="008D7815">
        <w:rPr>
          <w:b/>
          <w:bCs/>
          <w:lang w:val="en-US"/>
        </w:rPr>
        <w:t>Smith, K. and Petley, D.N. (2020) </w:t>
      </w:r>
      <w:r w:rsidRPr="008D7815">
        <w:rPr>
          <w:b/>
          <w:bCs/>
          <w:i/>
          <w:iCs/>
          <w:lang w:val="en-US"/>
        </w:rPr>
        <w:t>Environmental Hazards: Assessing Risk and Reducing Disaster</w:t>
      </w:r>
      <w:r w:rsidRPr="008D7815">
        <w:rPr>
          <w:b/>
          <w:bCs/>
          <w:lang w:val="en-US"/>
        </w:rPr>
        <w:t>. 7th </w:t>
      </w:r>
      <w:proofErr w:type="spellStart"/>
      <w:proofErr w:type="gramStart"/>
      <w:r w:rsidRPr="008D7815">
        <w:rPr>
          <w:b/>
          <w:bCs/>
          <w:lang w:val="en-US"/>
        </w:rPr>
        <w:t>edn</w:t>
      </w:r>
      <w:proofErr w:type="spellEnd"/>
      <w:proofErr w:type="gramEnd"/>
      <w:r w:rsidRPr="008D7815">
        <w:rPr>
          <w:b/>
          <w:bCs/>
          <w:lang w:val="en-US"/>
        </w:rPr>
        <w:t>. London: Routledge.</w:t>
      </w:r>
      <w:r w:rsidRPr="008D7815">
        <w:rPr>
          <w:lang w:val="en-US"/>
        </w:rPr>
        <w:t>​</w:t>
      </w:r>
    </w:p>
    <w:p w14:paraId="24B5187C" w14:textId="77777777" w:rsidR="00E90858" w:rsidRPr="008D7815" w:rsidRDefault="00E90858" w:rsidP="00E90858">
      <w:pPr>
        <w:numPr>
          <w:ilvl w:val="0"/>
          <w:numId w:val="1"/>
        </w:numPr>
        <w:rPr>
          <w:lang w:val="en-US"/>
        </w:rPr>
      </w:pPr>
      <w:r w:rsidRPr="008D7815">
        <w:rPr>
          <w:b/>
          <w:bCs/>
          <w:lang w:val="en-US"/>
        </w:rPr>
        <w:lastRenderedPageBreak/>
        <w:t>World Bank (2021) </w:t>
      </w:r>
      <w:r w:rsidRPr="008D7815">
        <w:rPr>
          <w:b/>
          <w:bCs/>
          <w:i/>
          <w:iCs/>
          <w:lang w:val="en-US"/>
        </w:rPr>
        <w:t>Investment in Infrastructure Resilience: Lessons from Global Case Studies</w:t>
      </w:r>
      <w:r w:rsidRPr="008D7815">
        <w:rPr>
          <w:b/>
          <w:bCs/>
          <w:lang w:val="en-US"/>
        </w:rPr>
        <w:t>. Washington, DC: World Bank.</w:t>
      </w:r>
      <w:r w:rsidRPr="008D7815">
        <w:rPr>
          <w:lang w:val="en-US"/>
        </w:rPr>
        <w:t>​</w:t>
      </w:r>
    </w:p>
    <w:p w14:paraId="52790910" w14:textId="77777777" w:rsidR="00E90858" w:rsidRPr="00E90858" w:rsidRDefault="00E90858" w:rsidP="00E90858">
      <w:pPr>
        <w:numPr>
          <w:ilvl w:val="0"/>
          <w:numId w:val="1"/>
        </w:numPr>
        <w:rPr>
          <w:lang w:val="en-US"/>
        </w:rPr>
      </w:pPr>
      <w:r w:rsidRPr="008D7815">
        <w:rPr>
          <w:b/>
          <w:bCs/>
          <w:lang w:val="en-US"/>
        </w:rPr>
        <w:t>Young, M. (2022) </w:t>
      </w:r>
      <w:r w:rsidRPr="008D7815">
        <w:rPr>
          <w:b/>
          <w:bCs/>
          <w:i/>
          <w:iCs/>
          <w:lang w:val="en-US"/>
        </w:rPr>
        <w:t>Infrastructure Risk and Resilience: Strategies for Long-Term Sustainability</w:t>
      </w:r>
      <w:r w:rsidRPr="008D7815">
        <w:rPr>
          <w:b/>
          <w:bCs/>
          <w:lang w:val="en-US"/>
        </w:rPr>
        <w:t>. London: Palgrave Macmillan.</w:t>
      </w:r>
      <w:r w:rsidRPr="008D7815">
        <w:rPr>
          <w:lang w:val="en-US"/>
        </w:rPr>
        <w:t>​</w:t>
      </w:r>
    </w:p>
    <w:p w14:paraId="5688199E" w14:textId="60BB3CB7" w:rsidR="008D7815" w:rsidRPr="00E90858" w:rsidRDefault="008D7815" w:rsidP="00E90858">
      <w:pPr>
        <w:ind w:left="360"/>
        <w:rPr>
          <w:lang w:val="en-US"/>
        </w:rPr>
      </w:pPr>
    </w:p>
    <w:p w14:paraId="1BEED40F" w14:textId="77777777" w:rsidR="0089706C" w:rsidRDefault="0089706C" w:rsidP="0089706C">
      <w:pPr>
        <w:rPr>
          <w:b/>
          <w:bCs/>
          <w:sz w:val="24"/>
          <w:szCs w:val="24"/>
        </w:rPr>
      </w:pPr>
    </w:p>
    <w:p w14:paraId="5DA7CCC2" w14:textId="3544D3DD" w:rsidR="0033346F" w:rsidRDefault="0033346F" w:rsidP="0033346F"/>
    <w:sectPr w:rsidR="0033346F">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C62BF" w14:textId="77777777" w:rsidR="00EA4BDD" w:rsidRDefault="00EA4BDD" w:rsidP="0033346F">
      <w:pPr>
        <w:spacing w:after="0" w:line="240" w:lineRule="auto"/>
      </w:pPr>
      <w:r>
        <w:separator/>
      </w:r>
    </w:p>
  </w:endnote>
  <w:endnote w:type="continuationSeparator" w:id="0">
    <w:p w14:paraId="2322B130" w14:textId="77777777" w:rsidR="00EA4BDD" w:rsidRDefault="00EA4BDD" w:rsidP="00333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CBA62" w14:textId="77777777" w:rsidR="00EA4BDD" w:rsidRDefault="00EA4BDD" w:rsidP="0033346F">
      <w:pPr>
        <w:spacing w:after="0" w:line="240" w:lineRule="auto"/>
      </w:pPr>
      <w:r>
        <w:separator/>
      </w:r>
    </w:p>
  </w:footnote>
  <w:footnote w:type="continuationSeparator" w:id="0">
    <w:p w14:paraId="6D14D630" w14:textId="77777777" w:rsidR="00EA4BDD" w:rsidRDefault="00EA4BDD" w:rsidP="003334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BD48CF"/>
    <w:multiLevelType w:val="multilevel"/>
    <w:tmpl w:val="D690D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2E25E0C"/>
    <w:multiLevelType w:val="multilevel"/>
    <w:tmpl w:val="748E0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48863446">
    <w:abstractNumId w:val="0"/>
  </w:num>
  <w:num w:numId="2" w16cid:durableId="18439286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127"/>
    <w:rsid w:val="0011660E"/>
    <w:rsid w:val="001F522F"/>
    <w:rsid w:val="002A5125"/>
    <w:rsid w:val="002D0A0A"/>
    <w:rsid w:val="002E6D4F"/>
    <w:rsid w:val="0033346F"/>
    <w:rsid w:val="00377B98"/>
    <w:rsid w:val="004455EA"/>
    <w:rsid w:val="004D7D3A"/>
    <w:rsid w:val="00590A09"/>
    <w:rsid w:val="005B7C91"/>
    <w:rsid w:val="008145EE"/>
    <w:rsid w:val="00843364"/>
    <w:rsid w:val="0089706C"/>
    <w:rsid w:val="008D7815"/>
    <w:rsid w:val="00B949E7"/>
    <w:rsid w:val="00C04EFC"/>
    <w:rsid w:val="00CF4544"/>
    <w:rsid w:val="00E52127"/>
    <w:rsid w:val="00E90858"/>
    <w:rsid w:val="00EA4BDD"/>
    <w:rsid w:val="00FD0BC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E5C2B"/>
  <w15:chartTrackingRefBased/>
  <w15:docId w15:val="{B710631E-FD31-4A77-902B-F8AA65EE3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212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5212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5212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5212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5212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521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21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21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21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212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5212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5212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5212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5212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521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21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21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2127"/>
    <w:rPr>
      <w:rFonts w:eastAsiaTheme="majorEastAsia" w:cstheme="majorBidi"/>
      <w:color w:val="272727" w:themeColor="text1" w:themeTint="D8"/>
    </w:rPr>
  </w:style>
  <w:style w:type="paragraph" w:styleId="Title">
    <w:name w:val="Title"/>
    <w:basedOn w:val="Normal"/>
    <w:next w:val="Normal"/>
    <w:link w:val="TitleChar"/>
    <w:uiPriority w:val="10"/>
    <w:qFormat/>
    <w:rsid w:val="00E521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21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21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21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2127"/>
    <w:pPr>
      <w:spacing w:before="160"/>
      <w:jc w:val="center"/>
    </w:pPr>
    <w:rPr>
      <w:i/>
      <w:iCs/>
      <w:color w:val="404040" w:themeColor="text1" w:themeTint="BF"/>
    </w:rPr>
  </w:style>
  <w:style w:type="character" w:customStyle="1" w:styleId="QuoteChar">
    <w:name w:val="Quote Char"/>
    <w:basedOn w:val="DefaultParagraphFont"/>
    <w:link w:val="Quote"/>
    <w:uiPriority w:val="29"/>
    <w:rsid w:val="00E52127"/>
    <w:rPr>
      <w:i/>
      <w:iCs/>
      <w:color w:val="404040" w:themeColor="text1" w:themeTint="BF"/>
    </w:rPr>
  </w:style>
  <w:style w:type="paragraph" w:styleId="ListParagraph">
    <w:name w:val="List Paragraph"/>
    <w:basedOn w:val="Normal"/>
    <w:uiPriority w:val="34"/>
    <w:qFormat/>
    <w:rsid w:val="00E52127"/>
    <w:pPr>
      <w:ind w:left="720"/>
      <w:contextualSpacing/>
    </w:pPr>
  </w:style>
  <w:style w:type="character" w:styleId="IntenseEmphasis">
    <w:name w:val="Intense Emphasis"/>
    <w:basedOn w:val="DefaultParagraphFont"/>
    <w:uiPriority w:val="21"/>
    <w:qFormat/>
    <w:rsid w:val="00E52127"/>
    <w:rPr>
      <w:i/>
      <w:iCs/>
      <w:color w:val="2F5496" w:themeColor="accent1" w:themeShade="BF"/>
    </w:rPr>
  </w:style>
  <w:style w:type="paragraph" w:styleId="IntenseQuote">
    <w:name w:val="Intense Quote"/>
    <w:basedOn w:val="Normal"/>
    <w:next w:val="Normal"/>
    <w:link w:val="IntenseQuoteChar"/>
    <w:uiPriority w:val="30"/>
    <w:qFormat/>
    <w:rsid w:val="00E5212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52127"/>
    <w:rPr>
      <w:i/>
      <w:iCs/>
      <w:color w:val="2F5496" w:themeColor="accent1" w:themeShade="BF"/>
    </w:rPr>
  </w:style>
  <w:style w:type="character" w:styleId="IntenseReference">
    <w:name w:val="Intense Reference"/>
    <w:basedOn w:val="DefaultParagraphFont"/>
    <w:uiPriority w:val="32"/>
    <w:qFormat/>
    <w:rsid w:val="00E52127"/>
    <w:rPr>
      <w:b/>
      <w:bCs/>
      <w:smallCaps/>
      <w:color w:val="2F5496" w:themeColor="accent1" w:themeShade="BF"/>
      <w:spacing w:val="5"/>
    </w:rPr>
  </w:style>
  <w:style w:type="paragraph" w:styleId="Header">
    <w:name w:val="header"/>
    <w:basedOn w:val="Normal"/>
    <w:link w:val="HeaderChar"/>
    <w:uiPriority w:val="99"/>
    <w:unhideWhenUsed/>
    <w:rsid w:val="003334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46F"/>
  </w:style>
  <w:style w:type="paragraph" w:styleId="Footer">
    <w:name w:val="footer"/>
    <w:basedOn w:val="Normal"/>
    <w:link w:val="FooterChar"/>
    <w:uiPriority w:val="99"/>
    <w:unhideWhenUsed/>
    <w:rsid w:val="003334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4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14406</TotalTime>
  <Pages>11</Pages>
  <Words>3611</Words>
  <Characters>20584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dnezamalmolki@gmail.com</dc:creator>
  <cp:keywords/>
  <dc:description/>
  <cp:lastModifiedBy>dnezamalmolki@gmail.com</cp:lastModifiedBy>
  <cp:revision>6</cp:revision>
  <dcterms:created xsi:type="dcterms:W3CDTF">2026-02-24T14:35:00Z</dcterms:created>
  <dcterms:modified xsi:type="dcterms:W3CDTF">2026-03-10T17:09:00Z</dcterms:modified>
</cp:coreProperties>
</file>