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5D1D4" w14:textId="17411C9B"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1012E5">
        <w:rPr>
          <w:b/>
          <w:bCs/>
          <w:color w:val="auto"/>
        </w:rPr>
        <w:t>Elise Blackwell</w:t>
      </w:r>
    </w:p>
    <w:p w14:paraId="4317874E" w14:textId="669C294C"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1012E5">
        <w:rPr>
          <w:b/>
          <w:bCs/>
          <w:color w:val="auto"/>
        </w:rPr>
        <w:t xml:space="preserve"> 2004095</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3968F6D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504CFBD9" w:rsidR="00E6399C" w:rsidRPr="008A6017" w:rsidRDefault="00957ADC" w:rsidP="00A77338">
            <w:pPr>
              <w:rPr>
                <w:rFonts w:asciiTheme="minorHAnsi" w:hAnsiTheme="minorHAnsi" w:cstheme="minorHAnsi"/>
              </w:rPr>
            </w:pPr>
            <w:r w:rsidRPr="008A6017">
              <w:rPr>
                <w:rFonts w:asciiTheme="minorHAnsi" w:hAnsiTheme="minorHAnsi" w:cstheme="minorHAnsi"/>
              </w:rPr>
              <w:t>Engage in deeper and wider background reading and utilise this to support the very good aspects identified.</w:t>
            </w:r>
          </w:p>
        </w:tc>
        <w:tc>
          <w:tcPr>
            <w:tcW w:w="3543" w:type="dxa"/>
          </w:tcPr>
          <w:p w14:paraId="144D9CAC" w14:textId="6E046CE7" w:rsidR="00E6399C" w:rsidRPr="008A6017" w:rsidRDefault="00957ADC" w:rsidP="00A77338">
            <w:pPr>
              <w:rPr>
                <w:rFonts w:asciiTheme="minorHAnsi" w:hAnsiTheme="minorHAnsi" w:cstheme="minorHAnsi"/>
              </w:rPr>
            </w:pPr>
            <w:r w:rsidRPr="008A6017">
              <w:rPr>
                <w:rFonts w:asciiTheme="minorHAnsi" w:hAnsiTheme="minorHAnsi" w:cstheme="minorHAnsi"/>
              </w:rPr>
              <w:t>I have included more litaerature in part 2, and have discussed research in detail to demonstrate why it is relevant.</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77777777" w:rsidR="00E6399C" w:rsidRPr="00A77338" w:rsidRDefault="00E6399C" w:rsidP="00A77338">
            <w:pPr>
              <w:rPr>
                <w:rFonts w:ascii="Arial" w:hAnsi="Arial" w:cs="Arial"/>
              </w:rPr>
            </w:pPr>
          </w:p>
        </w:tc>
        <w:tc>
          <w:tcPr>
            <w:tcW w:w="3543" w:type="dxa"/>
          </w:tcPr>
          <w:p w14:paraId="7C3D0034" w14:textId="77777777" w:rsidR="00E6399C" w:rsidRPr="00A77338" w:rsidRDefault="00E6399C" w:rsidP="00A77338">
            <w:pPr>
              <w:rPr>
                <w:rFonts w:ascii="Arial" w:hAnsi="Arial" w:cs="Arial"/>
              </w:rPr>
            </w:pP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77777777" w:rsidR="00E6399C" w:rsidRPr="00A77338" w:rsidRDefault="00E6399C" w:rsidP="00A77338">
            <w:pPr>
              <w:rPr>
                <w:rFonts w:ascii="Arial" w:hAnsi="Arial" w:cs="Arial"/>
              </w:rPr>
            </w:pPr>
          </w:p>
        </w:tc>
        <w:tc>
          <w:tcPr>
            <w:tcW w:w="3543" w:type="dxa"/>
          </w:tcPr>
          <w:p w14:paraId="7728CCB3" w14:textId="77777777" w:rsidR="00E6399C" w:rsidRPr="00A77338" w:rsidRDefault="00E6399C" w:rsidP="00A77338">
            <w:pPr>
              <w:rPr>
                <w:rFonts w:ascii="Arial" w:hAnsi="Arial" w:cs="Arial"/>
              </w:rPr>
            </w:pPr>
          </w:p>
        </w:tc>
      </w:tr>
    </w:tbl>
    <w:p w14:paraId="5E80A54C" w14:textId="0852387E" w:rsidR="00E6399C" w:rsidRDefault="00E6399C" w:rsidP="00374B80"/>
    <w:p w14:paraId="4F1E18A6" w14:textId="6804AAFE" w:rsidR="2B5A2DAC" w:rsidRDefault="2B5A2DAC">
      <w:r>
        <w:br w:type="page"/>
      </w:r>
    </w:p>
    <w:p w14:paraId="043602D0" w14:textId="5C3F30BA" w:rsidR="00811007" w:rsidRDefault="00811007" w:rsidP="008236C9">
      <w:pPr>
        <w:pStyle w:val="Heading1"/>
      </w:pPr>
      <w:r>
        <w:lastRenderedPageBreak/>
        <w:t>Part 1:</w:t>
      </w:r>
      <w:r w:rsidR="009E100E">
        <w:t xml:space="preserve"> </w:t>
      </w:r>
      <w:r w:rsidR="001C4119">
        <w:t>Professional Learning Passport</w:t>
      </w:r>
    </w:p>
    <w:p w14:paraId="264C1C8B" w14:textId="77777777" w:rsidR="001012E5" w:rsidRDefault="00C50527" w:rsidP="00C50527">
      <w:pPr>
        <w:rPr>
          <w:rFonts w:asciiTheme="majorHAnsi" w:hAnsiTheme="majorHAnsi" w:cstheme="majorHAnsi"/>
          <w:color w:val="1F4E79" w:themeColor="accent1" w:themeShade="80"/>
          <w:sz w:val="32"/>
          <w:szCs w:val="32"/>
        </w:rPr>
      </w:pPr>
      <w:r w:rsidRPr="001012E5">
        <w:rPr>
          <w:rFonts w:asciiTheme="majorHAnsi" w:hAnsiTheme="majorHAnsi" w:cstheme="majorHAnsi"/>
          <w:color w:val="1F4E79" w:themeColor="accent1" w:themeShade="80"/>
          <w:sz w:val="32"/>
          <w:szCs w:val="32"/>
        </w:rPr>
        <w:t>Bridging 2 Reflectio</w:t>
      </w:r>
      <w:r w:rsidR="00B5297D" w:rsidRPr="001012E5">
        <w:rPr>
          <w:rFonts w:asciiTheme="majorHAnsi" w:hAnsiTheme="majorHAnsi" w:cstheme="majorHAnsi"/>
          <w:color w:val="1F4E79" w:themeColor="accent1" w:themeShade="80"/>
          <w:sz w:val="32"/>
          <w:szCs w:val="32"/>
        </w:rPr>
        <w:t>n</w:t>
      </w:r>
    </w:p>
    <w:p w14:paraId="54B2D1F8" w14:textId="50EFD2EB" w:rsidR="4F9C5EBB" w:rsidRPr="001012E5" w:rsidRDefault="4F9C5EBB" w:rsidP="00C50527">
      <w:pPr>
        <w:rPr>
          <w:rFonts w:asciiTheme="majorHAnsi" w:hAnsiTheme="majorHAnsi" w:cstheme="majorHAnsi"/>
          <w:color w:val="1F4E79" w:themeColor="accent1" w:themeShade="80"/>
          <w:sz w:val="32"/>
          <w:szCs w:val="32"/>
        </w:rPr>
      </w:pPr>
      <w:r w:rsidRPr="001012E5">
        <w:rPr>
          <w:rFonts w:asciiTheme="majorHAnsi" w:hAnsiTheme="majorHAnsi" w:cstheme="majorHAnsi"/>
          <w:b/>
          <w:color w:val="1F4E79" w:themeColor="accent1" w:themeShade="80"/>
          <w:szCs w:val="24"/>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r w:rsidRPr="00446402">
              <w:rPr>
                <w:b/>
                <w:szCs w:val="24"/>
              </w:rPr>
              <w:lastRenderedPageBreak/>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r w:rsidRPr="00446402">
              <w:rPr>
                <w:b/>
                <w:szCs w:val="24"/>
              </w:rPr>
              <w:t>Adfyfyrio / Reflect</w:t>
            </w:r>
          </w:p>
        </w:tc>
      </w:tr>
      <w:tr w:rsidR="00C961EE" w:rsidRPr="00446402" w14:paraId="1E348B32" w14:textId="77777777" w:rsidTr="001939AE">
        <w:trPr>
          <w:trHeight w:val="512"/>
        </w:trPr>
        <w:sdt>
          <w:sdtPr>
            <w:id w:val="-1872908135"/>
            <w:placeholder>
              <w:docPart w:val="6047A188F7CA41249DD46FAEEEB3A36C"/>
            </w:placeholder>
          </w:sdtPr>
          <w:sdtEndPr/>
          <w:sdtContent>
            <w:sdt>
              <w:sdtPr>
                <w:id w:val="1293019618"/>
                <w:placeholder>
                  <w:docPart w:val="E9ED6B02E7D649BEB9425DD3FCF38FF2"/>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7215B8A6" w14:textId="77777777" w:rsidR="00774A9B" w:rsidRPr="00880895" w:rsidRDefault="00774A9B" w:rsidP="00774A9B">
                    <w:pPr>
                      <w:numPr>
                        <w:ilvl w:val="0"/>
                        <w:numId w:val="24"/>
                      </w:numPr>
                      <w:spacing w:before="100" w:beforeAutospacing="1" w:after="100" w:afterAutospacing="1" w:line="240" w:lineRule="auto"/>
                      <w:rPr>
                        <w:rFonts w:asciiTheme="minorHAnsi" w:hAnsiTheme="minorHAnsi" w:cstheme="minorHAnsi"/>
                      </w:rPr>
                    </w:pPr>
                    <w:r w:rsidRPr="00880895">
                      <w:rPr>
                        <w:rFonts w:asciiTheme="minorHAnsi" w:hAnsiTheme="minorHAnsi" w:cstheme="minorHAnsi"/>
                      </w:rPr>
                      <w:t xml:space="preserve">We met on Teams with our Network Lead and Curriculum Tutor to discuss the topics for Bridging 2. </w:t>
                    </w:r>
                  </w:p>
                  <w:p w14:paraId="4659BECD" w14:textId="77777777" w:rsidR="00774A9B" w:rsidRPr="00880895" w:rsidRDefault="00774A9B" w:rsidP="00774A9B">
                    <w:pPr>
                      <w:numPr>
                        <w:ilvl w:val="0"/>
                        <w:numId w:val="24"/>
                      </w:numPr>
                      <w:spacing w:before="100" w:beforeAutospacing="1" w:after="100" w:afterAutospacing="1" w:line="240" w:lineRule="auto"/>
                      <w:rPr>
                        <w:rFonts w:asciiTheme="minorHAnsi" w:hAnsiTheme="minorHAnsi" w:cstheme="minorHAnsi"/>
                      </w:rPr>
                    </w:pPr>
                    <w:r w:rsidRPr="00880895">
                      <w:rPr>
                        <w:rFonts w:asciiTheme="minorHAnsi" w:hAnsiTheme="minorHAnsi" w:cstheme="minorHAnsi"/>
                      </w:rPr>
                      <w:t>Prior to the meetings, I engaged with the essential reading of 'The Great Teaching Toolkit' (Coe et al, 2020) which identified four priorities in teaching</w:t>
                    </w:r>
                  </w:p>
                  <w:p w14:paraId="7BF99A1B" w14:textId="77777777" w:rsidR="00774A9B" w:rsidRPr="00880895" w:rsidRDefault="00774A9B" w:rsidP="00774A9B">
                    <w:pPr>
                      <w:numPr>
                        <w:ilvl w:val="1"/>
                        <w:numId w:val="24"/>
                      </w:numPr>
                      <w:spacing w:before="100" w:beforeAutospacing="1" w:after="100" w:afterAutospacing="1" w:line="240" w:lineRule="auto"/>
                      <w:rPr>
                        <w:rFonts w:asciiTheme="minorHAnsi" w:hAnsiTheme="minorHAnsi" w:cstheme="minorHAnsi"/>
                      </w:rPr>
                    </w:pPr>
                    <w:r w:rsidRPr="00880895">
                      <w:rPr>
                        <w:rFonts w:asciiTheme="minorHAnsi" w:hAnsiTheme="minorHAnsi" w:cstheme="minorHAnsi"/>
                      </w:rPr>
                      <w:t>Understanding the content.</w:t>
                    </w:r>
                  </w:p>
                  <w:p w14:paraId="319A03A2" w14:textId="77777777" w:rsidR="00774A9B" w:rsidRPr="00880895" w:rsidRDefault="00774A9B" w:rsidP="00774A9B">
                    <w:pPr>
                      <w:numPr>
                        <w:ilvl w:val="1"/>
                        <w:numId w:val="24"/>
                      </w:numPr>
                      <w:spacing w:before="100" w:beforeAutospacing="1" w:after="100" w:afterAutospacing="1" w:line="240" w:lineRule="auto"/>
                      <w:rPr>
                        <w:rFonts w:asciiTheme="minorHAnsi" w:hAnsiTheme="minorHAnsi" w:cstheme="minorHAnsi"/>
                      </w:rPr>
                    </w:pPr>
                    <w:r w:rsidRPr="00880895">
                      <w:rPr>
                        <w:rFonts w:asciiTheme="minorHAnsi" w:hAnsiTheme="minorHAnsi" w:cstheme="minorHAnsi"/>
                      </w:rPr>
                      <w:t>Creating a supportive environment.</w:t>
                    </w:r>
                  </w:p>
                  <w:p w14:paraId="7C8A2135" w14:textId="77777777" w:rsidR="00774A9B" w:rsidRPr="00880895" w:rsidRDefault="00774A9B" w:rsidP="00774A9B">
                    <w:pPr>
                      <w:numPr>
                        <w:ilvl w:val="1"/>
                        <w:numId w:val="24"/>
                      </w:numPr>
                      <w:spacing w:before="100" w:beforeAutospacing="1" w:after="100" w:afterAutospacing="1" w:line="240" w:lineRule="auto"/>
                      <w:rPr>
                        <w:rFonts w:asciiTheme="minorHAnsi" w:hAnsiTheme="minorHAnsi" w:cstheme="minorHAnsi"/>
                      </w:rPr>
                    </w:pPr>
                    <w:r w:rsidRPr="00880895">
                      <w:rPr>
                        <w:rFonts w:asciiTheme="minorHAnsi" w:hAnsiTheme="minorHAnsi" w:cstheme="minorHAnsi"/>
                      </w:rPr>
                      <w:t>Managing the classroom to maximise opportunity.</w:t>
                    </w:r>
                  </w:p>
                  <w:p w14:paraId="5A28F9C5" w14:textId="77777777" w:rsidR="00774A9B" w:rsidRPr="00880895" w:rsidRDefault="00774A9B" w:rsidP="00774A9B">
                    <w:pPr>
                      <w:numPr>
                        <w:ilvl w:val="1"/>
                        <w:numId w:val="24"/>
                      </w:numPr>
                      <w:spacing w:before="100" w:beforeAutospacing="1" w:after="100" w:afterAutospacing="1" w:line="240" w:lineRule="auto"/>
                      <w:rPr>
                        <w:rFonts w:asciiTheme="minorHAnsi" w:hAnsiTheme="minorHAnsi" w:cstheme="minorHAnsi"/>
                      </w:rPr>
                    </w:pPr>
                    <w:r w:rsidRPr="00880895">
                      <w:rPr>
                        <w:rFonts w:asciiTheme="minorHAnsi" w:hAnsiTheme="minorHAnsi" w:cstheme="minorHAnsi"/>
                      </w:rPr>
                      <w:t>Activating students' thinking with content, activities, and interactions.</w:t>
                    </w:r>
                  </w:p>
                  <w:p w14:paraId="7102DCCB" w14:textId="77777777" w:rsidR="00774A9B" w:rsidRPr="00880895" w:rsidRDefault="00774A9B" w:rsidP="00774A9B">
                    <w:pPr>
                      <w:numPr>
                        <w:ilvl w:val="0"/>
                        <w:numId w:val="24"/>
                      </w:numPr>
                      <w:spacing w:before="100" w:beforeAutospacing="1" w:after="100" w:afterAutospacing="1" w:line="240" w:lineRule="auto"/>
                      <w:rPr>
                        <w:rFonts w:asciiTheme="minorHAnsi" w:hAnsiTheme="minorHAnsi" w:cstheme="minorHAnsi"/>
                      </w:rPr>
                    </w:pPr>
                    <w:r w:rsidRPr="00880895">
                      <w:rPr>
                        <w:rFonts w:asciiTheme="minorHAnsi" w:hAnsiTheme="minorHAnsi" w:cstheme="minorHAnsi"/>
                      </w:rPr>
                      <w:t>During the meeting, we talked about the points discussed in the literature and our own opinions based on our experiences so far on PTE1.</w:t>
                    </w:r>
                  </w:p>
                  <w:p w14:paraId="15DD5CF9" w14:textId="77777777" w:rsidR="00774A9B" w:rsidRPr="001012E5" w:rsidRDefault="00BE1CF1" w:rsidP="00774A9B">
                    <w:pPr>
                      <w:numPr>
                        <w:ilvl w:val="0"/>
                        <w:numId w:val="24"/>
                      </w:numPr>
                      <w:spacing w:before="100" w:beforeAutospacing="1" w:after="100" w:afterAutospacing="1" w:line="240" w:lineRule="auto"/>
                      <w:rPr>
                        <w:rFonts w:ascii="Times New Roman" w:hAnsi="Times New Roman"/>
                      </w:rPr>
                    </w:pPr>
                    <w:hyperlink w:anchor="/viewer/kwhG4Zxrxm6mZm3GqHHmtq7tjh?hist" w:history="1">
                      <w:r w:rsidR="00774A9B" w:rsidRPr="00880895">
                        <w:rPr>
                          <w:rStyle w:val="Hyperlink"/>
                          <w:rFonts w:asciiTheme="minorHAnsi" w:hAnsiTheme="minorHAnsi" w:cstheme="minorHAnsi"/>
                        </w:rPr>
                        <w:t>This was followed by a presentation from the Network Lead in which we were introduced to different Assessment for Learning (AfL) strategies which we might decide to use in the 'test' phase.</w:t>
                      </w:r>
                    </w:hyperlink>
                  </w:p>
                  <w:p w14:paraId="27DF9D4E" w14:textId="68446E6F" w:rsidR="00C961EE" w:rsidRPr="00446402" w:rsidRDefault="00C961EE" w:rsidP="00774A9B"/>
                </w:tc>
              </w:sdtContent>
            </w:sdt>
          </w:sdtContent>
        </w:sdt>
        <w:tc>
          <w:tcPr>
            <w:tcW w:w="4961" w:type="dxa"/>
            <w:tcBorders>
              <w:top w:val="single" w:sz="4" w:space="0" w:color="auto"/>
              <w:left w:val="single" w:sz="4" w:space="0" w:color="auto"/>
              <w:bottom w:val="single" w:sz="4" w:space="0" w:color="auto"/>
              <w:right w:val="single" w:sz="4" w:space="0" w:color="auto"/>
            </w:tcBorders>
          </w:tcPr>
          <w:p w14:paraId="150BF73D" w14:textId="2B207103" w:rsidR="00774A9B" w:rsidRPr="00880895" w:rsidRDefault="00774A9B" w:rsidP="00774A9B">
            <w:pPr>
              <w:numPr>
                <w:ilvl w:val="0"/>
                <w:numId w:val="25"/>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This part of the Bridging session was important in order to have a thorough understanding of what to expect from this bridging session.</w:t>
            </w:r>
          </w:p>
          <w:p w14:paraId="07188E98" w14:textId="77777777" w:rsidR="00774A9B" w:rsidRPr="00880895" w:rsidRDefault="00774A9B" w:rsidP="00774A9B">
            <w:pPr>
              <w:numPr>
                <w:ilvl w:val="0"/>
                <w:numId w:val="25"/>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Reading the 'Great Teaching Toolkit' (Coe et al. 2020) provided a foundation upon which to consider the purpose of Assessment for Learning and the different ways in which it can be used in the classroom.</w:t>
            </w:r>
          </w:p>
          <w:p w14:paraId="54230FDF" w14:textId="77777777" w:rsidR="00774A9B" w:rsidRPr="00880895" w:rsidRDefault="00774A9B" w:rsidP="00774A9B">
            <w:pPr>
              <w:numPr>
                <w:ilvl w:val="0"/>
                <w:numId w:val="25"/>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 xml:space="preserve">Discussion with Curriculum Lead, Network Lead and other student teachers enabled engagement with the content and develop a formal understanding of some key parts of successful teaching. </w:t>
            </w:r>
          </w:p>
          <w:p w14:paraId="6024AFC2" w14:textId="77777777" w:rsidR="00774A9B" w:rsidRPr="00880895" w:rsidRDefault="00774A9B" w:rsidP="00774A9B">
            <w:pPr>
              <w:numPr>
                <w:ilvl w:val="0"/>
                <w:numId w:val="25"/>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A breakdown of the four priorities made things clear and made AfL exploration more accessible. </w:t>
            </w:r>
          </w:p>
          <w:p w14:paraId="7A7785D5" w14:textId="77777777" w:rsidR="00774A9B" w:rsidRPr="00880895" w:rsidRDefault="00774A9B" w:rsidP="00774A9B">
            <w:pPr>
              <w:numPr>
                <w:ilvl w:val="0"/>
                <w:numId w:val="25"/>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 xml:space="preserve">Furthermore, discussion of AfL strategies was incredibly helpful. </w:t>
            </w:r>
          </w:p>
          <w:p w14:paraId="56562CD8" w14:textId="77777777" w:rsidR="00774A9B" w:rsidRPr="00880895" w:rsidRDefault="00774A9B" w:rsidP="00774A9B">
            <w:pPr>
              <w:numPr>
                <w:ilvl w:val="1"/>
                <w:numId w:val="25"/>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It was really helpful to have a breakdown of which strategies would be more suitable for Foundation Phase and Key Stage 2. </w:t>
            </w:r>
          </w:p>
          <w:p w14:paraId="43034D09" w14:textId="77777777" w:rsidR="00774A9B" w:rsidRPr="00880895" w:rsidRDefault="00774A9B" w:rsidP="00774A9B">
            <w:pPr>
              <w:numPr>
                <w:ilvl w:val="1"/>
                <w:numId w:val="25"/>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It was really useful to consider the ways in which strategies can be adapted to suit different phases. For example, sef-assessments using smiley faces in FP and in written form in KS2. Being given these examples prompts my creativity in thinking of ways in which other strategies could be adapted.</w:t>
            </w:r>
          </w:p>
          <w:p w14:paraId="48A2877C" w14:textId="2798C73F" w:rsidR="00C961EE" w:rsidRPr="00446402" w:rsidRDefault="00774A9B" w:rsidP="00774A9B">
            <w:pPr>
              <w:spacing w:line="240" w:lineRule="auto"/>
              <w:rPr>
                <w:sz w:val="22"/>
              </w:rPr>
            </w:pPr>
            <w:r w:rsidRPr="00880895">
              <w:rPr>
                <w:rFonts w:asciiTheme="minorHAnsi" w:eastAsia="Times New Roman" w:hAnsiTheme="minorHAnsi" w:cstheme="minorHAnsi"/>
                <w:szCs w:val="24"/>
                <w:lang w:eastAsia="en-GB"/>
              </w:rPr>
              <w:t xml:space="preserve">I particularly enjoyed learning more about the ways in which AfL strategies have been developed to consider emotional wellbeing.  One example was asking pupils to leave their books in the green, amber, or red box according to how confident they feel about </w:t>
            </w:r>
            <w:r w:rsidRPr="00880895">
              <w:rPr>
                <w:rFonts w:asciiTheme="minorHAnsi" w:eastAsia="Times New Roman" w:hAnsiTheme="minorHAnsi" w:cstheme="minorHAnsi"/>
                <w:szCs w:val="24"/>
                <w:lang w:eastAsia="en-GB"/>
              </w:rPr>
              <w:lastRenderedPageBreak/>
              <w:t>a topic after the lesson. However, the strategy details that books should be placed in the box face down - thus eliminating fears of judgement or ridicule from other pupils. I feel that AfL strategies are much more likely to be successful if these aspects are consdered and accounted for</w:t>
            </w:r>
          </w:p>
        </w:tc>
      </w:tr>
    </w:tbl>
    <w:p w14:paraId="04D56BD5" w14:textId="41AE3A5A" w:rsidR="00446402" w:rsidRPr="00B70105" w:rsidRDefault="00446402" w:rsidP="00B70105">
      <w:pPr>
        <w:pStyle w:val="Heading3"/>
      </w:pPr>
      <w:r w:rsidRPr="00B70105">
        <w:lastRenderedPageBreak/>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r w:rsidRPr="00446402">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r w:rsidRPr="00446402">
              <w:rPr>
                <w:b/>
                <w:szCs w:val="24"/>
              </w:rPr>
              <w:t>Adfyfyrio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5B16493B" w14:textId="7D5C71F8" w:rsidR="00774A9B" w:rsidRPr="00880895" w:rsidRDefault="00774A9B" w:rsidP="00774A9B">
            <w:pPr>
              <w:numPr>
                <w:ilvl w:val="0"/>
                <w:numId w:val="26"/>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In the 'test' phase we were invited to go back to our classes and choose some AfL strategies to trial over the coming days.</w:t>
            </w:r>
          </w:p>
          <w:p w14:paraId="010455AC" w14:textId="77777777" w:rsidR="00774A9B" w:rsidRPr="00880895" w:rsidRDefault="00774A9B" w:rsidP="00774A9B">
            <w:pPr>
              <w:numPr>
                <w:ilvl w:val="0"/>
                <w:numId w:val="26"/>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We were advised to focus on 2 strategies in particular.</w:t>
            </w:r>
          </w:p>
          <w:p w14:paraId="1E5756EB" w14:textId="77777777" w:rsidR="00774A9B" w:rsidRPr="00880895" w:rsidRDefault="00774A9B" w:rsidP="00774A9B">
            <w:pPr>
              <w:numPr>
                <w:ilvl w:val="1"/>
                <w:numId w:val="26"/>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The first I trialled was 'class based assessment sheets'. This involved using a class list when conducting lessons, and taking notes next to each child's name about how they have engaged with the lesson. I used this when introducing the class to 2 x tables, and utilised the assessment sheet to make notes on whether children were confident, confident with support/equipment, or had little understanding. This assessment fed into how I taught the next session (on the same topic) the following day, and enabled me to adjust my resources and methods based on pupil ability.</w:t>
            </w:r>
          </w:p>
          <w:p w14:paraId="17AE2807" w14:textId="77777777" w:rsidR="00774A9B" w:rsidRPr="00880895" w:rsidRDefault="00774A9B" w:rsidP="00774A9B">
            <w:pPr>
              <w:numPr>
                <w:ilvl w:val="1"/>
                <w:numId w:val="26"/>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The second stategy I trialled was 'self-assessment'. Due to being in Foundation Phase I chose to make this as simple as possible. I glued a small box into each child's book - each box had a happy face, an 'in-</w:t>
            </w:r>
            <w:r w:rsidRPr="00880895">
              <w:rPr>
                <w:rFonts w:asciiTheme="minorHAnsi" w:eastAsia="Times New Roman" w:hAnsiTheme="minorHAnsi" w:cstheme="minorHAnsi"/>
                <w:szCs w:val="24"/>
                <w:lang w:eastAsia="en-GB"/>
              </w:rPr>
              <w:lastRenderedPageBreak/>
              <w:t>the-middle' face and a sad face. Underneath each face I wrote the emotion attached, e.g. 'confident', 'nearly there' and 'not confident'. Once the child had completed their work, I asked them to colour in whichever face they felt best represented their feelings towards the work/topic. I then used this to fall into a bigger picture of the pupils' progress.</w:t>
            </w:r>
          </w:p>
          <w:p w14:paraId="4AE1B14F" w14:textId="3424A861" w:rsidR="00446402" w:rsidRPr="005A57BE" w:rsidRDefault="00446402" w:rsidP="005A57BE"/>
        </w:tc>
        <w:tc>
          <w:tcPr>
            <w:tcW w:w="4961" w:type="dxa"/>
            <w:tcBorders>
              <w:top w:val="single" w:sz="4" w:space="0" w:color="auto"/>
              <w:left w:val="single" w:sz="4" w:space="0" w:color="auto"/>
              <w:bottom w:val="single" w:sz="4" w:space="0" w:color="auto"/>
              <w:right w:val="single" w:sz="4" w:space="0" w:color="auto"/>
            </w:tcBorders>
          </w:tcPr>
          <w:p w14:paraId="283FDA13" w14:textId="1212196B" w:rsidR="00774A9B" w:rsidRPr="00880895" w:rsidRDefault="00774A9B" w:rsidP="00774A9B">
            <w:pPr>
              <w:pStyle w:val="NormalWeb"/>
              <w:rPr>
                <w:rFonts w:asciiTheme="minorHAnsi" w:hAnsiTheme="minorHAnsi" w:cstheme="minorHAnsi"/>
                <w:u w:val="single"/>
                <w:lang w:eastAsia="en-GB"/>
              </w:rPr>
            </w:pPr>
            <w:r w:rsidRPr="00880895">
              <w:rPr>
                <w:rFonts w:asciiTheme="minorHAnsi" w:hAnsiTheme="minorHAnsi" w:cstheme="minorHAnsi"/>
                <w:u w:val="single"/>
                <w:lang w:eastAsia="en-GB"/>
              </w:rPr>
              <w:lastRenderedPageBreak/>
              <w:t>Class Based Assessment Sheets</w:t>
            </w:r>
          </w:p>
          <w:p w14:paraId="349DC546" w14:textId="77777777" w:rsidR="00774A9B" w:rsidRPr="00880895" w:rsidRDefault="00774A9B" w:rsidP="00774A9B">
            <w:pPr>
              <w:numPr>
                <w:ilvl w:val="0"/>
                <w:numId w:val="27"/>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The first AfL strategy was extremely useful. My mentor also used this strategy in her teaching, so was able to support me understanding how best to use it.</w:t>
            </w:r>
          </w:p>
          <w:p w14:paraId="23A5D504" w14:textId="77777777" w:rsidR="00774A9B" w:rsidRPr="00880895" w:rsidRDefault="00774A9B" w:rsidP="00774A9B">
            <w:pPr>
              <w:numPr>
                <w:ilvl w:val="0"/>
                <w:numId w:val="27"/>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 xml:space="preserve">I found it gave me a deeper insight into how the children engaged, rather than just a number or colour to indicate their understanding. </w:t>
            </w:r>
          </w:p>
          <w:p w14:paraId="2BE9B1FA" w14:textId="77777777" w:rsidR="00774A9B" w:rsidRPr="00880895" w:rsidRDefault="00774A9B" w:rsidP="00774A9B">
            <w:pPr>
              <w:numPr>
                <w:ilvl w:val="0"/>
                <w:numId w:val="27"/>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Despite it being time-consuming, I think it is worth the effort because it gives such a detailed understanding. Having these detailed notes also becomes useful as time goes on, as I can look back and rather than relying on memory, it is all there written for me. This makes my work easier in the long-term, and actually enables me to provide learning that is more suited to the learners' individual needs.</w:t>
            </w:r>
          </w:p>
          <w:p w14:paraId="3F5D8E26" w14:textId="77777777" w:rsidR="00774A9B" w:rsidRPr="00880895" w:rsidRDefault="00774A9B" w:rsidP="00774A9B">
            <w:pPr>
              <w:spacing w:before="100" w:beforeAutospacing="1" w:after="100" w:afterAutospacing="1" w:line="240" w:lineRule="auto"/>
              <w:rPr>
                <w:rFonts w:asciiTheme="minorHAnsi" w:eastAsia="Times New Roman" w:hAnsiTheme="minorHAnsi" w:cstheme="minorHAnsi"/>
                <w:szCs w:val="24"/>
                <w:u w:val="single"/>
                <w:lang w:eastAsia="en-GB"/>
              </w:rPr>
            </w:pPr>
            <w:r w:rsidRPr="00880895">
              <w:rPr>
                <w:rFonts w:asciiTheme="minorHAnsi" w:eastAsia="Times New Roman" w:hAnsiTheme="minorHAnsi" w:cstheme="minorHAnsi"/>
                <w:szCs w:val="24"/>
                <w:u w:val="single"/>
                <w:lang w:eastAsia="en-GB"/>
              </w:rPr>
              <w:t>Self-Assessment</w:t>
            </w:r>
          </w:p>
          <w:p w14:paraId="032328D7" w14:textId="77777777" w:rsidR="00774A9B" w:rsidRPr="00880895" w:rsidRDefault="00774A9B" w:rsidP="00774A9B">
            <w:pPr>
              <w:numPr>
                <w:ilvl w:val="0"/>
                <w:numId w:val="28"/>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 xml:space="preserve">The second AfL strategy I trialled (self-assessment) was also more successful than I expected. I expected children to all go for the 'confident' face but found that some did put the 'almost there' (none put 'not confident'). </w:t>
            </w:r>
          </w:p>
          <w:p w14:paraId="76E27C32" w14:textId="77777777" w:rsidR="00774A9B" w:rsidRPr="00880895" w:rsidRDefault="00774A9B" w:rsidP="00774A9B">
            <w:pPr>
              <w:numPr>
                <w:ilvl w:val="0"/>
                <w:numId w:val="28"/>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 xml:space="preserve">Having an insight into how the child felt they had understood a topic/piece of work proved extremely useful. Alongside </w:t>
            </w:r>
            <w:r w:rsidRPr="00880895">
              <w:rPr>
                <w:rFonts w:asciiTheme="minorHAnsi" w:eastAsia="Times New Roman" w:hAnsiTheme="minorHAnsi" w:cstheme="minorHAnsi"/>
                <w:szCs w:val="24"/>
                <w:lang w:eastAsia="en-GB"/>
              </w:rPr>
              <w:lastRenderedPageBreak/>
              <w:t>my own assessments and the work they had produced, I was able to form a bigger picture of not just how the child had performed, but their confidence levels as well. This was hugely important and has made me realise that self-assessment is a crucial part of teaching and learning, from the very start in foundation phase.</w:t>
            </w:r>
          </w:p>
          <w:p w14:paraId="69C37DEE" w14:textId="77777777" w:rsidR="00774A9B" w:rsidRPr="00880895" w:rsidRDefault="00774A9B" w:rsidP="00774A9B">
            <w:pPr>
              <w:numPr>
                <w:ilvl w:val="0"/>
                <w:numId w:val="28"/>
              </w:numPr>
              <w:spacing w:before="100" w:beforeAutospacing="1" w:after="100" w:afterAutospacing="1" w:line="240" w:lineRule="auto"/>
              <w:rPr>
                <w:rFonts w:asciiTheme="minorHAnsi" w:eastAsia="Times New Roman" w:hAnsiTheme="minorHAnsi" w:cstheme="minorHAnsi"/>
                <w:szCs w:val="24"/>
                <w:lang w:eastAsia="en-GB"/>
              </w:rPr>
            </w:pPr>
            <w:r w:rsidRPr="00880895">
              <w:rPr>
                <w:rFonts w:asciiTheme="minorHAnsi" w:eastAsia="Times New Roman" w:hAnsiTheme="minorHAnsi" w:cstheme="minorHAnsi"/>
                <w:szCs w:val="24"/>
                <w:lang w:eastAsia="en-GB"/>
              </w:rPr>
              <w:t>A meta-analysis by Panadero, Jonsson, and Botella (2017) found that self-assessment was correlated with self-efficacy. This suggests that self-assessment has an important place in the classroom and may be an extremely powerful AfL strategy for teachers to employ. Perhaps encouraging pupils to assess their own work from when they are in Foundation Phase will have a positive impact on overall development, including confidence and motivation.</w:t>
            </w:r>
          </w:p>
          <w:p w14:paraId="075D8006" w14:textId="7BE818F3" w:rsidR="008632A8" w:rsidRDefault="008632A8" w:rsidP="00446402">
            <w:pPr>
              <w:spacing w:line="240" w:lineRule="auto"/>
              <w:rPr>
                <w:sz w:val="22"/>
              </w:rPr>
            </w:pP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Adfyfyrio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690123CE" w14:textId="4F07A28E" w:rsidR="00774A9B" w:rsidRPr="00880895" w:rsidRDefault="00774A9B" w:rsidP="00774A9B">
            <w:pPr>
              <w:pStyle w:val="ListParagraph"/>
              <w:numPr>
                <w:ilvl w:val="0"/>
                <w:numId w:val="30"/>
              </w:numPr>
              <w:spacing w:line="240" w:lineRule="auto"/>
              <w:rPr>
                <w:rFonts w:eastAsia="Calibri" w:cstheme="minorHAnsi"/>
                <w:sz w:val="22"/>
                <w:lang w:val="en-GB"/>
              </w:rPr>
            </w:pPr>
            <w:r w:rsidRPr="00880895">
              <w:rPr>
                <w:rFonts w:cstheme="minorHAnsi"/>
              </w:rPr>
              <w:t>In the 'share' part of Bridging, we met face-to-face with other student teachers, Network Lead, and the Deputy Head to give a presentation about our test phase and any findings we wanted to feed back.</w:t>
            </w:r>
            <w:r w:rsidRPr="00880895">
              <w:rPr>
                <w:rFonts w:eastAsia="Calibri" w:cstheme="minorHAnsi"/>
                <w:sz w:val="22"/>
                <w:lang w:val="en-GB"/>
              </w:rPr>
              <w:t xml:space="preserve"> </w:t>
            </w:r>
          </w:p>
          <w:p w14:paraId="6BC77345" w14:textId="77777777" w:rsidR="00774A9B" w:rsidRPr="00880895" w:rsidRDefault="00774A9B" w:rsidP="00774A9B">
            <w:pPr>
              <w:numPr>
                <w:ilvl w:val="0"/>
                <w:numId w:val="29"/>
              </w:numPr>
              <w:spacing w:before="100" w:beforeAutospacing="1" w:after="100" w:afterAutospacing="1" w:line="240" w:lineRule="auto"/>
              <w:rPr>
                <w:rFonts w:eastAsia="Times New Roman" w:cstheme="minorHAnsi"/>
                <w:szCs w:val="24"/>
                <w:lang w:val="en-GB" w:eastAsia="en-GB"/>
              </w:rPr>
            </w:pPr>
            <w:r w:rsidRPr="00880895">
              <w:rPr>
                <w:rFonts w:eastAsia="Times New Roman" w:cstheme="minorHAnsi"/>
                <w:szCs w:val="24"/>
                <w:lang w:val="en-GB" w:eastAsia="en-GB"/>
              </w:rPr>
              <w:t>We each presented a 5 minute presentation with background information on AfL, information about our chosen strategies, and our reflections on them. </w:t>
            </w:r>
          </w:p>
          <w:p w14:paraId="5D9E0B4F" w14:textId="77777777" w:rsidR="00774A9B" w:rsidRPr="00880895" w:rsidRDefault="00774A9B" w:rsidP="00774A9B">
            <w:pPr>
              <w:numPr>
                <w:ilvl w:val="0"/>
                <w:numId w:val="29"/>
              </w:numPr>
              <w:spacing w:before="100" w:beforeAutospacing="1" w:after="100" w:afterAutospacing="1" w:line="240" w:lineRule="auto"/>
              <w:rPr>
                <w:rFonts w:eastAsia="Times New Roman" w:cstheme="minorHAnsi"/>
                <w:szCs w:val="24"/>
                <w:lang w:val="en-GB" w:eastAsia="en-GB"/>
              </w:rPr>
            </w:pPr>
            <w:r w:rsidRPr="00880895">
              <w:rPr>
                <w:rFonts w:eastAsia="Times New Roman" w:cstheme="minorHAnsi"/>
                <w:szCs w:val="24"/>
                <w:lang w:val="en-GB" w:eastAsia="en-GB"/>
              </w:rPr>
              <w:t>Once we had all presented, we discussed the strategies collectively, with input from the school staff present.</w:t>
            </w:r>
          </w:p>
          <w:p w14:paraId="4E49FF68" w14:textId="518AA5CE" w:rsidR="00446402" w:rsidRPr="00446402" w:rsidRDefault="00446402" w:rsidP="003710E8">
            <w:pPr>
              <w:spacing w:line="240" w:lineRule="auto"/>
              <w:rPr>
                <w:rFonts w:ascii="Calibri" w:eastAsia="Calibri" w:hAnsi="Calibri" w:cs="Times New Roman"/>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7A357BDE" w14:textId="760E0ADE" w:rsidR="00774A9B" w:rsidRPr="00880895" w:rsidRDefault="00774A9B" w:rsidP="00774A9B">
            <w:pPr>
              <w:numPr>
                <w:ilvl w:val="0"/>
                <w:numId w:val="31"/>
              </w:numPr>
              <w:spacing w:before="100" w:beforeAutospacing="1" w:after="100" w:afterAutospacing="1" w:line="240" w:lineRule="auto"/>
              <w:rPr>
                <w:rFonts w:eastAsia="Times New Roman" w:cstheme="minorHAnsi"/>
                <w:szCs w:val="24"/>
                <w:lang w:val="en-GB" w:eastAsia="en-GB"/>
              </w:rPr>
            </w:pPr>
            <w:r w:rsidRPr="00880895">
              <w:rPr>
                <w:rFonts w:eastAsia="Times New Roman" w:cstheme="minorHAnsi"/>
                <w:szCs w:val="24"/>
                <w:lang w:val="en-GB" w:eastAsia="en-GB"/>
              </w:rPr>
              <w:t>It was beneficial to discuss my own findings with other students and staff. I discussed how the use of self-assessment alongside other strategies such as assessment sheets provides a bigger picture of overall pupil progress, including any confidence issues that may be occurring in pupils that are acheiving as they should be.</w:t>
            </w:r>
          </w:p>
          <w:p w14:paraId="70DDFEA3" w14:textId="77777777" w:rsidR="00774A9B" w:rsidRPr="00880895" w:rsidRDefault="00774A9B" w:rsidP="00774A9B">
            <w:pPr>
              <w:numPr>
                <w:ilvl w:val="0"/>
                <w:numId w:val="31"/>
              </w:numPr>
              <w:spacing w:before="100" w:beforeAutospacing="1" w:after="100" w:afterAutospacing="1" w:line="240" w:lineRule="auto"/>
              <w:rPr>
                <w:rFonts w:eastAsia="Times New Roman" w:cstheme="minorHAnsi"/>
                <w:szCs w:val="24"/>
                <w:lang w:val="en-GB" w:eastAsia="en-GB"/>
              </w:rPr>
            </w:pPr>
            <w:r w:rsidRPr="00880895">
              <w:rPr>
                <w:rFonts w:eastAsia="Times New Roman" w:cstheme="minorHAnsi"/>
                <w:szCs w:val="24"/>
                <w:lang w:val="en-GB" w:eastAsia="en-GB"/>
              </w:rPr>
              <w:t>It was noted that assessment sheets are time consuming but extremely useful as they can give an in-depth perspective, and mean that the teacher doesn't need to rely on memory of pupils' understanding.</w:t>
            </w:r>
          </w:p>
          <w:p w14:paraId="0F7EB153" w14:textId="77777777" w:rsidR="00774A9B" w:rsidRPr="00880895" w:rsidRDefault="00774A9B" w:rsidP="00774A9B">
            <w:pPr>
              <w:numPr>
                <w:ilvl w:val="0"/>
                <w:numId w:val="31"/>
              </w:numPr>
              <w:spacing w:before="100" w:beforeAutospacing="1" w:after="100" w:afterAutospacing="1" w:line="240" w:lineRule="auto"/>
              <w:rPr>
                <w:rFonts w:eastAsia="Times New Roman" w:cstheme="minorHAnsi"/>
                <w:szCs w:val="24"/>
                <w:lang w:val="en-GB" w:eastAsia="en-GB"/>
              </w:rPr>
            </w:pPr>
            <w:r w:rsidRPr="00880895">
              <w:rPr>
                <w:rFonts w:eastAsia="Times New Roman" w:cstheme="minorHAnsi"/>
                <w:szCs w:val="24"/>
                <w:lang w:val="en-GB" w:eastAsia="en-GB"/>
              </w:rPr>
              <w:t xml:space="preserve">It was also really helpful to hear the strategies other students had trialled and their experiences of them. Hearing </w:t>
            </w:r>
            <w:r w:rsidRPr="00880895">
              <w:rPr>
                <w:rFonts w:eastAsia="Times New Roman" w:cstheme="minorHAnsi"/>
                <w:szCs w:val="24"/>
                <w:lang w:val="en-GB" w:eastAsia="en-GB"/>
              </w:rPr>
              <w:lastRenderedPageBreak/>
              <w:t>about the strategies trialled by the other student teacher in Foundation Phase was useful, as she had tested strategies completely different to mine. It was great to get an insight into the ideas she had and how they had worked. Additionally, hearing about the strategies trialled by those in KS2 was really insightful. One student in a year 6 class trialled self-assessment in written form. It was great to mirror the differences between using self-assessment in FP and KS2, equally noting that it is incredibly useful in both phases.</w:t>
            </w:r>
          </w:p>
          <w:p w14:paraId="0A65653E" w14:textId="77777777" w:rsidR="00774A9B" w:rsidRPr="002E364A" w:rsidRDefault="00774A9B" w:rsidP="00774A9B">
            <w:pPr>
              <w:numPr>
                <w:ilvl w:val="0"/>
                <w:numId w:val="31"/>
              </w:numPr>
              <w:spacing w:before="100" w:beforeAutospacing="1" w:after="100" w:afterAutospacing="1" w:line="240" w:lineRule="auto"/>
              <w:rPr>
                <w:rFonts w:ascii="Times New Roman" w:eastAsia="Times New Roman" w:hAnsi="Times New Roman" w:cs="Times New Roman"/>
                <w:szCs w:val="24"/>
                <w:lang w:val="en-GB" w:eastAsia="en-GB"/>
              </w:rPr>
            </w:pPr>
            <w:r w:rsidRPr="00880895">
              <w:rPr>
                <w:rFonts w:eastAsia="Times New Roman" w:cstheme="minorHAnsi"/>
                <w:szCs w:val="24"/>
                <w:lang w:val="en-GB" w:eastAsia="en-GB"/>
              </w:rPr>
              <w:t>It was interesting to have input from both students and staff, as this gave a well-rounded discussion about AfL strategies and the importance of it. I have learned a lot about not just the different strategies, but equally the theory and pedagogy behind assessment for learning, which in turn will enable me to develop informed teaching and learning practises throughout my training and into my career.</w:t>
            </w:r>
          </w:p>
          <w:p w14:paraId="07D8103A" w14:textId="11DA12C0" w:rsidR="008632A8" w:rsidRPr="00446402" w:rsidRDefault="008632A8" w:rsidP="003710E8">
            <w:pPr>
              <w:spacing w:line="240" w:lineRule="auto"/>
              <w:rPr>
                <w:rFonts w:ascii="Calibri" w:eastAsia="Calibri" w:hAnsi="Calibri" w:cs="Times New Roman"/>
                <w:sz w:val="22"/>
                <w:lang w:val="en-GB"/>
              </w:rPr>
            </w:pP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r>
        <w:t>Llythrennedd / Literacy</w:t>
      </w:r>
    </w:p>
    <w:p w14:paraId="0E9332AD" w14:textId="2DF3A2F4" w:rsidR="00EE37F6" w:rsidRPr="00EE37F6" w:rsidRDefault="00EE37F6" w:rsidP="00EE37F6">
      <w:r>
        <w:t xml:space="preserve">Evidenced by an asset? </w:t>
      </w:r>
      <w:sdt>
        <w:sdtPr>
          <w:id w:val="-677499591"/>
          <w14:checkbox>
            <w14:checked w14:val="0"/>
            <w14:checkedState w14:val="0061" w14:font="Webdings"/>
            <w14:uncheckedState w14:val="2610" w14:font="MS Gothic"/>
          </w14:checkbox>
        </w:sdtPr>
        <w:sdtEndPr/>
        <w:sdtContent>
          <w:r w:rsidR="00514992">
            <w:rPr>
              <w:rFonts w:ascii="MS Gothic" w:eastAsia="MS Gothic" w:hAnsi="MS Gothic" w:hint="eastAsia"/>
            </w:rPr>
            <w:t>☐</w:t>
          </w:r>
        </w:sdtContent>
      </w:sdt>
    </w:p>
    <w:p w14:paraId="056A9E00" w14:textId="087BE751" w:rsidR="00EE37F6" w:rsidRDefault="00BE1CF1"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howingPlcHdr/>
        </w:sdtPr>
        <w:sdtEndPr/>
        <w:sdtContent>
          <w:r w:rsidR="00EE7FF0" w:rsidRPr="00EE7FF0">
            <w:t>Paste text here</w:t>
          </w:r>
          <w:r w:rsidR="003529C9">
            <w:t xml:space="preserve"> or n/a</w:t>
          </w:r>
        </w:sdtContent>
      </w:sdt>
      <w:r w:rsidR="000E5D60">
        <w:t xml:space="preserve"> </w:t>
      </w:r>
    </w:p>
    <w:p w14:paraId="083CB8D4" w14:textId="0DCF46D4" w:rsidR="00667EB2" w:rsidRDefault="00667EB2" w:rsidP="00B70105">
      <w:pPr>
        <w:pStyle w:val="Heading3"/>
      </w:pPr>
      <w:r>
        <w:t xml:space="preserve">Rhifedd / </w:t>
      </w:r>
      <w:r w:rsidRPr="00667EB2">
        <w:t>Numeracy</w:t>
      </w:r>
    </w:p>
    <w:p w14:paraId="66327DEC" w14:textId="5CFE3913"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1C299E">
            <w:sym w:font="Webdings" w:char="F061"/>
          </w:r>
        </w:sdtContent>
      </w:sdt>
    </w:p>
    <w:p w14:paraId="7F35F197" w14:textId="47690EB2" w:rsidR="003529C9" w:rsidRDefault="00BE1CF1"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C50527" w:rsidRPr="00880895">
            <w:rPr>
              <w:rFonts w:eastAsia="Times New Roman" w:cstheme="minorHAnsi"/>
              <w:b/>
              <w:bCs/>
              <w:u w:val="single"/>
              <w:lang w:eastAsia="en-GB"/>
            </w:rPr>
            <w:t>Concrete, Pictoral, Abstract</w:t>
          </w:r>
          <w:r w:rsidR="003B41BD" w:rsidRPr="00880895">
            <w:rPr>
              <w:rFonts w:eastAsia="Times New Roman" w:cstheme="minorHAnsi"/>
              <w:b/>
              <w:bCs/>
              <w:u w:val="single"/>
              <w:lang w:eastAsia="en-GB"/>
            </w:rPr>
            <w:t>:</w:t>
          </w:r>
          <w:r w:rsidR="00C50527" w:rsidRPr="00880895">
            <w:rPr>
              <w:rFonts w:eastAsia="Times New Roman" w:cstheme="minorHAnsi"/>
              <w:b/>
              <w:bCs/>
              <w:u w:val="single"/>
              <w:lang w:eastAsia="en-GB"/>
            </w:rPr>
            <w:t xml:space="preserve"> </w:t>
          </w:r>
          <w:r w:rsidR="008A6017">
            <w:rPr>
              <w:rFonts w:eastAsia="Times New Roman" w:cstheme="minorHAnsi"/>
              <w:bCs/>
              <w:lang w:eastAsia="en-GB"/>
            </w:rPr>
            <w:t>[Linked assets:</w:t>
          </w:r>
          <w:r w:rsidR="008A6017">
            <w:rPr>
              <w:i/>
            </w:rPr>
            <w:t xml:space="preserve">Concrete, Pictoral, Abstract JPEG]. </w:t>
          </w:r>
          <w:r w:rsidR="00C50527" w:rsidRPr="00880895">
            <w:rPr>
              <w:rFonts w:eastAsia="Times New Roman" w:cstheme="minorHAnsi"/>
              <w:szCs w:val="24"/>
              <w:lang w:val="en-GB" w:eastAsia="en-GB"/>
            </w:rPr>
            <w:t>During the first few weeks of PTE1, my mentor made it clear to me that concrete, visual (pictoral) and abstract learning should always be included in teaching maths. Research on CPA led me to have a deeper understanding of why all three are important in maths</w:t>
          </w:r>
          <w:r w:rsidR="001012E5" w:rsidRPr="00880895">
            <w:rPr>
              <w:rFonts w:eastAsia="Times New Roman" w:cstheme="minorHAnsi"/>
              <w:szCs w:val="24"/>
              <w:lang w:val="en-GB" w:eastAsia="en-GB"/>
            </w:rPr>
            <w:t xml:space="preserve"> (</w:t>
          </w:r>
          <w:r w:rsidR="00446C5F" w:rsidRPr="00880895">
            <w:rPr>
              <w:rFonts w:eastAsia="Times New Roman" w:cstheme="minorHAnsi"/>
              <w:szCs w:val="24"/>
              <w:lang w:val="en-GB" w:eastAsia="en-GB"/>
            </w:rPr>
            <w:t>Purwadi, Sudiarta, &amp; Suparta, 2019; Leong, Ho, &amp; Cheng, 2015)</w:t>
          </w:r>
          <w:r w:rsidR="00C50527" w:rsidRPr="00880895">
            <w:rPr>
              <w:rFonts w:eastAsia="Times New Roman" w:cstheme="minorHAnsi"/>
              <w:szCs w:val="24"/>
              <w:lang w:val="en-GB" w:eastAsia="en-GB"/>
            </w:rPr>
            <w:t xml:space="preserve">. The picture attached is a screenshot of a website outlining how CPA works, which helped me to have a clearer understanding. In all of my maths teaching since, I have made sure to incluce concrete learning (using numicon, plastic coins, counters), pictoral/visual (tens and units columns), and abstract (number sentences). This has led to a more meaningful learning experience for pupils and has developed my own pedagogical understanding of how to teach maths, particularly in Foundation Phase. I have included a lesson plan for when I taught Halving during online learning. This plan demonstrates how I incorporate CPA into my teaching. </w:t>
          </w:r>
          <w:r w:rsidR="00C50527" w:rsidRPr="00880895">
            <w:rPr>
              <w:rFonts w:eastAsia="Times New Roman" w:cstheme="minorHAnsi"/>
              <w:b/>
              <w:bCs/>
              <w:szCs w:val="24"/>
              <w:u w:val="single"/>
              <w:lang w:val="en-GB" w:eastAsia="en-GB"/>
            </w:rPr>
            <w:t>Differentiation</w:t>
          </w:r>
          <w:r w:rsidR="003B41BD" w:rsidRPr="00880895">
            <w:rPr>
              <w:rFonts w:eastAsia="Times New Roman" w:cstheme="minorHAnsi"/>
              <w:b/>
              <w:bCs/>
              <w:szCs w:val="24"/>
              <w:u w:val="single"/>
              <w:lang w:val="en-GB" w:eastAsia="en-GB"/>
            </w:rPr>
            <w:t>:</w:t>
          </w:r>
          <w:r w:rsidR="00C50527" w:rsidRPr="00880895">
            <w:rPr>
              <w:rFonts w:eastAsia="Times New Roman" w:cstheme="minorHAnsi"/>
              <w:b/>
              <w:bCs/>
              <w:szCs w:val="24"/>
              <w:u w:val="single"/>
              <w:lang w:val="en-GB" w:eastAsia="en-GB"/>
            </w:rPr>
            <w:t xml:space="preserve"> </w:t>
          </w:r>
          <w:r w:rsidR="008A6017">
            <w:rPr>
              <w:rFonts w:eastAsia="Times New Roman" w:cstheme="minorHAnsi"/>
              <w:bCs/>
              <w:szCs w:val="24"/>
              <w:lang w:val="en-GB" w:eastAsia="en-GB"/>
            </w:rPr>
            <w:t xml:space="preserve">[Linked assets: </w:t>
          </w:r>
          <w:r w:rsidR="008A6017">
            <w:rPr>
              <w:rFonts w:eastAsia="Times New Roman" w:cstheme="minorHAnsi"/>
              <w:bCs/>
              <w:i/>
              <w:szCs w:val="24"/>
              <w:lang w:val="en-GB" w:eastAsia="en-GB"/>
            </w:rPr>
            <w:t xml:space="preserve">Numeracy 2 x tables, Numeracy Money 2, Numeracy Subtration, Halving – All are lesson plans]. </w:t>
          </w:r>
          <w:r w:rsidR="00C50527" w:rsidRPr="00880895">
            <w:rPr>
              <w:rFonts w:eastAsia="Times New Roman" w:cstheme="minorHAnsi"/>
              <w:szCs w:val="24"/>
              <w:lang w:val="en-GB" w:eastAsia="en-GB"/>
            </w:rPr>
            <w:t>Throughout PTE1, I have come to develop my understanding of the importance of differentiation, particularly when teaching maths. I have planned and delivered several different maths lessons for year 2, including 2 x tables, money, halving, and subtraction. All lessons were differentiated into three groups: bronze, silver, and gold, and sometimes diamond. The groups would work on the same topic but work with different numbers or a varied level of difficulty. An example is in subtraction, the bronze group were subtracting from 10, the silver were subtracting from 20, the gold from 50, and diamond from 100. This enabled the pupils to work at a level that challenged them, whilst not pushing them to far and disrupting understanding. My inclusion of differentiation throughout PTE1 has developed my own mathematical understanding, as well as my pedagogical understanding of how to exploit subject disciplines in order to deliver meaningful teaching.</w:t>
          </w:r>
          <w:r w:rsidR="001012E5" w:rsidRPr="00880895">
            <w:rPr>
              <w:rStyle w:val="Heading2Char"/>
              <w:rFonts w:asciiTheme="minorHAnsi" w:hAnsiTheme="minorHAnsi" w:cstheme="minorHAnsi"/>
              <w:u w:val="single"/>
            </w:rPr>
            <w:t xml:space="preserve"> </w:t>
          </w:r>
          <w:r w:rsidR="00073696" w:rsidRPr="00880895">
            <w:rPr>
              <w:rFonts w:eastAsia="Times New Roman" w:cstheme="minorHAnsi"/>
              <w:b/>
              <w:bCs/>
              <w:u w:val="single"/>
              <w:lang w:eastAsia="en-GB"/>
            </w:rPr>
            <w:t>Mathematics Expained for Primary Teachers</w:t>
          </w:r>
          <w:r w:rsidR="003B41BD" w:rsidRPr="00880895">
            <w:rPr>
              <w:rFonts w:eastAsia="Times New Roman" w:cstheme="minorHAnsi"/>
              <w:b/>
              <w:bCs/>
              <w:u w:val="single"/>
              <w:lang w:eastAsia="en-GB"/>
            </w:rPr>
            <w:t>:</w:t>
          </w:r>
          <w:r w:rsidR="008A6017">
            <w:rPr>
              <w:rFonts w:eastAsia="Times New Roman" w:cstheme="minorHAnsi"/>
              <w:b/>
              <w:bCs/>
              <w:u w:val="single"/>
              <w:lang w:eastAsia="en-GB"/>
            </w:rPr>
            <w:t xml:space="preserve"> </w:t>
          </w:r>
          <w:r w:rsidR="008A6017">
            <w:rPr>
              <w:rFonts w:eastAsia="Times New Roman" w:cstheme="minorHAnsi"/>
              <w:bCs/>
              <w:lang w:eastAsia="en-GB"/>
            </w:rPr>
            <w:t xml:space="preserve">[Linkes assets: </w:t>
          </w:r>
          <w:r w:rsidR="008A6017">
            <w:rPr>
              <w:rFonts w:eastAsia="Times New Roman" w:cstheme="minorHAnsi"/>
              <w:bCs/>
              <w:i/>
              <w:lang w:eastAsia="en-GB"/>
            </w:rPr>
            <w:t xml:space="preserve">Mathematic Explained for Primary </w:t>
          </w:r>
          <w:r w:rsidR="008A6017">
            <w:rPr>
              <w:rFonts w:eastAsia="Times New Roman" w:cstheme="minorHAnsi"/>
              <w:bCs/>
              <w:i/>
              <w:lang w:eastAsia="en-GB"/>
            </w:rPr>
            <w:lastRenderedPageBreak/>
            <w:t>Teachers JPEG].</w:t>
          </w:r>
          <w:r w:rsidR="008A6017">
            <w:rPr>
              <w:rFonts w:eastAsia="Times New Roman" w:cstheme="minorHAnsi"/>
              <w:b/>
              <w:bCs/>
              <w:lang w:eastAsia="en-GB"/>
            </w:rPr>
            <w:t xml:space="preserve"> </w:t>
          </w:r>
          <w:r w:rsidR="00073696" w:rsidRPr="00880895">
            <w:rPr>
              <w:rFonts w:eastAsia="Times New Roman" w:cstheme="minorHAnsi"/>
              <w:szCs w:val="24"/>
              <w:lang w:val="en-GB" w:eastAsia="en-GB"/>
            </w:rPr>
            <w:t>This textbook by Derek Haylock with Ralph Manning has enabled me to continue professional learning around maths. I purchased the book at the beginning of 2021 in order to develop my confidence in teaching maths. I have been nervous about teaching maths in Key Stage 2, and felt that doing some professional learning would be helpful. I have been able to refer to the book when teaching a topic I am unfamiliar with, which enables me to provide a successful learning experience for pupils. My use of the book is ongoing, and I intend to use it through the first years of my career in order to continue my professional development in regards to Numeracy.</w:t>
          </w:r>
          <w:r w:rsidR="00073696">
            <w:rPr>
              <w:rFonts w:ascii="Times New Roman" w:eastAsia="Times New Roman" w:hAnsi="Times New Roman" w:cs="Times New Roman"/>
              <w:szCs w:val="24"/>
              <w:lang w:val="en-GB" w:eastAsia="en-GB"/>
            </w:rPr>
            <w:t xml:space="preserve"> </w:t>
          </w:r>
          <w:r w:rsidR="00C50527">
            <w:rPr>
              <w:rFonts w:ascii="Times New Roman" w:eastAsia="Times New Roman" w:hAnsi="Times New Roman" w:cs="Times New Roman"/>
              <w:szCs w:val="24"/>
              <w:lang w:val="en-GB" w:eastAsia="en-GB"/>
            </w:rPr>
            <w:t xml:space="preserve"> </w:t>
          </w:r>
        </w:sdtContent>
      </w:sdt>
      <w:r w:rsidR="003529C9">
        <w:t xml:space="preserve"> </w:t>
      </w:r>
    </w:p>
    <w:p w14:paraId="01440A3B" w14:textId="77777777" w:rsidR="00EE37F6" w:rsidRDefault="00EE37F6" w:rsidP="00CA10E6"/>
    <w:p w14:paraId="320D57D3" w14:textId="59AB4458" w:rsidR="00667EB2" w:rsidRDefault="00667EB2" w:rsidP="00B70105">
      <w:pPr>
        <w:pStyle w:val="Heading3"/>
      </w:pPr>
      <w:r>
        <w:t>Cymhwysedd Digidol / Digital competence</w:t>
      </w:r>
    </w:p>
    <w:p w14:paraId="00567E8C" w14:textId="22BAF8D1"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1C299E">
            <w:sym w:font="Webdings" w:char="F061"/>
          </w:r>
        </w:sdtContent>
      </w:sdt>
    </w:p>
    <w:p w14:paraId="3C02CFE0" w14:textId="650491CC" w:rsidR="003529C9" w:rsidRDefault="00BE1CF1"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rPr>
            <w:rFonts w:cstheme="minorHAnsi"/>
          </w:rPr>
        </w:sdtEndPr>
        <w:sdtContent>
          <w:r w:rsidR="001C299E" w:rsidRPr="00880895">
            <w:rPr>
              <w:rFonts w:eastAsia="Times New Roman" w:cstheme="minorHAnsi"/>
              <w:b/>
              <w:bCs/>
              <w:u w:val="single"/>
              <w:lang w:eastAsia="en-GB"/>
            </w:rPr>
            <w:t>Adobe Spark &amp; Video Editing</w:t>
          </w:r>
          <w:r w:rsidR="008A6017">
            <w:rPr>
              <w:rFonts w:eastAsia="Times New Roman" w:cstheme="minorHAnsi"/>
              <w:b/>
              <w:bCs/>
              <w:u w:val="single"/>
              <w:lang w:eastAsia="en-GB"/>
            </w:rPr>
            <w:t>:</w:t>
          </w:r>
          <w:r w:rsidR="001C299E" w:rsidRPr="00880895">
            <w:rPr>
              <w:rFonts w:eastAsia="Times New Roman" w:cstheme="minorHAnsi"/>
              <w:b/>
              <w:bCs/>
              <w:u w:val="single"/>
              <w:lang w:eastAsia="en-GB"/>
            </w:rPr>
            <w:t xml:space="preserve"> </w:t>
          </w:r>
          <w:r w:rsidR="008A6017">
            <w:rPr>
              <w:rFonts w:eastAsia="Times New Roman" w:cstheme="minorHAnsi"/>
              <w:b/>
              <w:bCs/>
              <w:u w:val="single"/>
              <w:lang w:eastAsia="en-GB"/>
            </w:rPr>
            <w:t>[</w:t>
          </w:r>
          <w:r w:rsidR="008A6017">
            <w:rPr>
              <w:rFonts w:eastAsia="Times New Roman" w:cstheme="minorHAnsi"/>
              <w:szCs w:val="24"/>
              <w:lang w:val="en-GB" w:eastAsia="en-GB"/>
            </w:rPr>
            <w:t>Linked</w:t>
          </w:r>
          <w:r w:rsidR="001C299E" w:rsidRPr="00880895">
            <w:rPr>
              <w:rFonts w:eastAsia="Times New Roman" w:cstheme="minorHAnsi"/>
              <w:szCs w:val="24"/>
              <w:lang w:val="en-GB" w:eastAsia="en-GB"/>
            </w:rPr>
            <w:t xml:space="preserve"> assets: </w:t>
          </w:r>
          <w:r w:rsidR="001C299E" w:rsidRPr="008A6017">
            <w:rPr>
              <w:rFonts w:eastAsia="Times New Roman" w:cstheme="minorHAnsi"/>
              <w:i/>
              <w:szCs w:val="24"/>
              <w:lang w:val="en-GB" w:eastAsia="en-GB"/>
            </w:rPr>
            <w:t>Pets MP4 and Video Software JPEG</w:t>
          </w:r>
          <w:r w:rsidR="008A6017">
            <w:rPr>
              <w:rFonts w:eastAsia="Times New Roman" w:cstheme="minorHAnsi"/>
              <w:i/>
              <w:szCs w:val="24"/>
              <w:lang w:val="en-GB" w:eastAsia="en-GB"/>
            </w:rPr>
            <w:t>].</w:t>
          </w:r>
          <w:r w:rsidR="001C299E" w:rsidRPr="00880895">
            <w:rPr>
              <w:rFonts w:eastAsia="Times New Roman" w:cstheme="minorHAnsi"/>
              <w:szCs w:val="24"/>
              <w:lang w:val="en-GB" w:eastAsia="en-GB"/>
            </w:rPr>
            <w:t xml:space="preserve"> In the second half of PTE1, which took place online, I became familiar with the process of recording, editing, and uploading videos to support home learning. The first I used was an editing software called Openshot Video Editor. I used this to create a variety of videos including a science lesson, a Welsh lesson, and a video of me baking birthday cupcakes, which was one of the pupils' rainbow challenges. I later became familiar with Adobe Spark through my use of Hwb. I made a Welsh vocabulary video to help parents support home learning during a week when we were learning about pets. My exploration of these video making programmes supported my own digital competency massively. I feel that going forward, I will be able to apply these skills to everday teaching by creating lesson hooks in video form as well as teaching the children to use them independently. </w:t>
          </w:r>
          <w:r w:rsidR="001C299E" w:rsidRPr="00880895">
            <w:rPr>
              <w:rFonts w:eastAsia="Times New Roman" w:cstheme="minorHAnsi"/>
              <w:b/>
              <w:bCs/>
              <w:szCs w:val="24"/>
              <w:u w:val="single"/>
              <w:lang w:val="en-GB" w:eastAsia="en-GB"/>
            </w:rPr>
            <w:t>Hwb - J2E &amp; Explorify</w:t>
          </w:r>
          <w:r w:rsidR="001C299E" w:rsidRPr="008A6017">
            <w:rPr>
              <w:rFonts w:eastAsia="Times New Roman" w:cstheme="minorHAnsi"/>
              <w:b/>
              <w:bCs/>
              <w:szCs w:val="24"/>
              <w:lang w:val="en-GB" w:eastAsia="en-GB"/>
            </w:rPr>
            <w:t xml:space="preserve"> </w:t>
          </w:r>
          <w:r w:rsidR="008A6017" w:rsidRPr="008A6017">
            <w:rPr>
              <w:rFonts w:eastAsia="Times New Roman" w:cstheme="minorHAnsi"/>
              <w:bCs/>
              <w:szCs w:val="24"/>
              <w:lang w:val="en-GB" w:eastAsia="en-GB"/>
            </w:rPr>
            <w:t>[</w:t>
          </w:r>
          <w:r w:rsidR="008A6017">
            <w:rPr>
              <w:rFonts w:eastAsia="Times New Roman" w:cstheme="minorHAnsi"/>
              <w:szCs w:val="24"/>
              <w:lang w:val="en-GB" w:eastAsia="en-GB"/>
            </w:rPr>
            <w:t xml:space="preserve">Linked </w:t>
          </w:r>
          <w:r w:rsidR="001C299E" w:rsidRPr="00880895">
            <w:rPr>
              <w:rFonts w:eastAsia="Times New Roman" w:cstheme="minorHAnsi"/>
              <w:szCs w:val="24"/>
              <w:lang w:val="en-GB" w:eastAsia="en-GB"/>
            </w:rPr>
            <w:t>Assets:</w:t>
          </w:r>
          <w:r w:rsidR="001C299E" w:rsidRPr="008A6017">
            <w:rPr>
              <w:rFonts w:eastAsia="Times New Roman" w:cstheme="minorHAnsi"/>
              <w:i/>
              <w:szCs w:val="24"/>
              <w:lang w:val="en-GB" w:eastAsia="en-GB"/>
            </w:rPr>
            <w:t xml:space="preserve"> I see, I think, I wonder JPEG, My Favourite Celebration JPEG, Explorify JPEG</w:t>
          </w:r>
          <w:r w:rsidR="008A6017">
            <w:rPr>
              <w:rFonts w:eastAsia="Times New Roman" w:cstheme="minorHAnsi"/>
              <w:i/>
              <w:szCs w:val="24"/>
              <w:lang w:val="en-GB" w:eastAsia="en-GB"/>
            </w:rPr>
            <w:t>]</w:t>
          </w:r>
          <w:r w:rsidR="008A6017">
            <w:rPr>
              <w:rFonts w:eastAsia="Times New Roman" w:cstheme="minorHAnsi"/>
              <w:szCs w:val="24"/>
              <w:lang w:val="en-GB" w:eastAsia="en-GB"/>
            </w:rPr>
            <w:t>.</w:t>
          </w:r>
          <w:r w:rsidR="001C299E" w:rsidRPr="008A6017">
            <w:rPr>
              <w:rFonts w:eastAsia="Times New Roman" w:cstheme="minorHAnsi"/>
              <w:szCs w:val="24"/>
              <w:lang w:val="en-GB" w:eastAsia="en-GB"/>
            </w:rPr>
            <w:t xml:space="preserve"> </w:t>
          </w:r>
          <w:r w:rsidR="001C299E" w:rsidRPr="00880895">
            <w:rPr>
              <w:rFonts w:eastAsia="Times New Roman" w:cstheme="minorHAnsi"/>
              <w:szCs w:val="24"/>
              <w:lang w:val="en-GB" w:eastAsia="en-GB"/>
            </w:rPr>
            <w:t xml:space="preserve">During PTE1 I was encouraged to familiarise myself with J2E as pupils were being taught to use it in the case of another episode of online learning. It is a platform on Hwb which enables pupils to engage with work at home. When we did move to online learning, I managed to involve myself in H2E extensively and incorporated into the majority of my planning and lesson delivery. One way I did this was by creating worksheets in J2E5 and sharing them into pupils' folders, for them to edit themselves at home. When we were learning about pets, I created an 'I see, I think, I wonder' document on J2E5 - I copied in the image, with written instructions as well as an audio recording of myself giving instructions on </w:t>
          </w:r>
          <w:r w:rsidR="001C299E" w:rsidRPr="00880895">
            <w:rPr>
              <w:rFonts w:eastAsia="Times New Roman" w:cstheme="minorHAnsi"/>
              <w:szCs w:val="24"/>
              <w:lang w:val="en-GB" w:eastAsia="en-GB"/>
            </w:rPr>
            <w:lastRenderedPageBreak/>
            <w:t xml:space="preserve">what pupils needed to did. Had I not been familiar with J2E, and explored the different ways in which it could be used to support learning, I would never have done this. I also created WAGOLL (What A Good One Looks Like) examples on J2E to share with pupils in order to help them understand what was expected of them (see 'My Favourite Celebration'. Similarly, when learning about the 5 senses, I used Explorify on Hwb to show pupils a magnified image of the inside of an ear, and used the zoom in and out function to show the different parts of the ear. This served as a great hook and made pupils interested in what we were learning in that session. My enagement with Hwb as a teaching and learning tool has given me the opportunity to improve and develop teaching strategies as well as developing my own digital competency. </w:t>
          </w:r>
        </w:sdtContent>
      </w:sdt>
      <w:r w:rsidR="003529C9">
        <w:t xml:space="preserve"> </w:t>
      </w:r>
    </w:p>
    <w:p w14:paraId="55B40827" w14:textId="77777777" w:rsidR="00EE37F6" w:rsidRDefault="00EE37F6" w:rsidP="00CA10E6"/>
    <w:p w14:paraId="421CF2DC" w14:textId="27AAE083" w:rsidR="00534848" w:rsidRDefault="00534848" w:rsidP="00B70105">
      <w:pPr>
        <w:pStyle w:val="Heading3"/>
      </w:pPr>
      <w:r>
        <w:t>Gwybodaeth bynciol / Subject knowledge</w:t>
      </w:r>
    </w:p>
    <w:p w14:paraId="4C13EED5" w14:textId="77777777" w:rsidR="00EE37F6" w:rsidRPr="00EE37F6" w:rsidRDefault="00EE37F6" w:rsidP="00EE37F6">
      <w:r>
        <w:t xml:space="preserve">Evidenced by an asset? </w:t>
      </w:r>
      <w:sdt>
        <w:sdtPr>
          <w:id w:val="-1784792848"/>
          <w14:checkbox>
            <w14:checked w14:val="0"/>
            <w14:checkedState w14:val="0061" w14:font="Webdings"/>
            <w14:uncheckedState w14:val="2610" w14:font="MS Gothic"/>
          </w14:checkbox>
        </w:sdtPr>
        <w:sdtEndPr/>
        <w:sdtContent>
          <w:r>
            <w:rPr>
              <w:rFonts w:ascii="MS Gothic" w:eastAsia="MS Gothic" w:hAnsi="MS Gothic" w:hint="eastAsia"/>
            </w:rPr>
            <w:t>☐</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5998C2BC" w:rsidR="00CC0CA8" w:rsidRPr="00CC0CA8" w:rsidRDefault="00BE1CF1"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howingPlcHdr/>
            </w:sdtPr>
            <w:sdtEndPr/>
            <w:sdtContent>
              <w:r w:rsidR="003529C9" w:rsidRPr="00EE7FF0">
                <w:t>Paste text here</w:t>
              </w:r>
              <w:r w:rsidR="003529C9">
                <w:t xml:space="preserve"> or n/a</w:t>
              </w:r>
            </w:sdtContent>
          </w:sdt>
          <w:r w:rsidR="003529C9">
            <w:t xml:space="preserve"> </w:t>
          </w:r>
        </w:p>
      </w:sdtContent>
    </w:sdt>
    <w:p w14:paraId="404BAAFA" w14:textId="1B326409" w:rsidR="00667EB2" w:rsidRDefault="00667EB2" w:rsidP="00667EB2"/>
    <w:p w14:paraId="5315715F" w14:textId="4E2047D6" w:rsidR="00A51F96" w:rsidRDefault="002A49CE" w:rsidP="00A51F96">
      <w:pPr>
        <w:pStyle w:val="Heading3"/>
      </w:pPr>
      <w:r>
        <w:t xml:space="preserve">Datblygu’r Gymraeg / </w:t>
      </w:r>
      <w:r w:rsidR="00A51F96">
        <w:t>Welsh Language Development</w:t>
      </w:r>
    </w:p>
    <w:p w14:paraId="4296F6B9" w14:textId="1F42EBAC" w:rsidR="00241E14" w:rsidRPr="00EE37F6" w:rsidRDefault="00241E14" w:rsidP="00241E14">
      <w:r>
        <w:t xml:space="preserve">Evidenced by an asset? </w:t>
      </w:r>
      <w:sdt>
        <w:sdtPr>
          <w:id w:val="-546458439"/>
          <w14:checkbox>
            <w14:checked w14:val="1"/>
            <w14:checkedState w14:val="0061" w14:font="Webdings"/>
            <w14:uncheckedState w14:val="2610" w14:font="MS Gothic"/>
          </w14:checkbox>
        </w:sdtPr>
        <w:sdtEndPr/>
        <w:sdtContent>
          <w:r w:rsidR="00D45B6B">
            <w:sym w:font="Webdings" w:char="F061"/>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EndPr/>
      <w:sdtContent>
        <w:p w14:paraId="32F475EA" w14:textId="458A711E" w:rsidR="00241E14" w:rsidRPr="00241E14" w:rsidRDefault="00BE1CF1" w:rsidP="00241E14">
          <w:pPr>
            <w:rPr>
              <w:lang w:val="en-GB"/>
            </w:rPr>
          </w:pPr>
          <w:sdt>
            <w:sdtPr>
              <w:rPr>
                <w:color w:val="2B579A"/>
                <w:shd w:val="clear" w:color="auto" w:fill="FFFFFF"/>
              </w:rPr>
              <w:alias w:val="Justify, expand upon, or provide a context for your evidence"/>
              <w:tag w:val="Justify, expand upon, or provide a context for your evidence"/>
              <w:id w:val="-372613452"/>
              <w:placeholder>
                <w:docPart w:val="8B3336EA41E04D4291E3F1932019CA5A"/>
              </w:placeholder>
            </w:sdtPr>
            <w:sdtEndPr/>
            <w:sdtContent>
              <w:r w:rsidR="00D45B6B" w:rsidRPr="00880895">
                <w:rPr>
                  <w:rFonts w:eastAsia="Times New Roman" w:cstheme="minorHAnsi"/>
                  <w:b/>
                  <w:bCs/>
                  <w:u w:val="single"/>
                  <w:lang w:eastAsia="en-GB"/>
                </w:rPr>
                <w:t>Lessons</w:t>
              </w:r>
              <w:r w:rsidR="00446C5F" w:rsidRPr="00880895">
                <w:rPr>
                  <w:rFonts w:eastAsia="Times New Roman" w:cstheme="minorHAnsi"/>
                  <w:b/>
                  <w:bCs/>
                  <w:u w:val="single"/>
                  <w:lang w:eastAsia="en-GB"/>
                </w:rPr>
                <w:t>:</w:t>
              </w:r>
              <w:r w:rsidR="00D45B6B" w:rsidRPr="00880895">
                <w:rPr>
                  <w:rFonts w:eastAsia="Times New Roman" w:cstheme="minorHAnsi"/>
                  <w:b/>
                  <w:bCs/>
                  <w:u w:val="single"/>
                  <w:lang w:eastAsia="en-GB"/>
                </w:rPr>
                <w:t xml:space="preserve"> </w:t>
              </w:r>
              <w:r w:rsidR="008A6017">
                <w:rPr>
                  <w:rFonts w:eastAsia="Times New Roman" w:cstheme="minorHAnsi"/>
                  <w:bCs/>
                  <w:lang w:eastAsia="en-GB"/>
                </w:rPr>
                <w:t>[</w:t>
              </w:r>
              <w:r w:rsidR="00D45B6B" w:rsidRPr="00880895">
                <w:rPr>
                  <w:rFonts w:eastAsia="Times New Roman" w:cstheme="minorHAnsi"/>
                  <w:szCs w:val="24"/>
                  <w:lang w:val="en-GB" w:eastAsia="en-GB"/>
                </w:rPr>
                <w:t xml:space="preserve">Linked assets: </w:t>
              </w:r>
              <w:r w:rsidR="00D45B6B" w:rsidRPr="00880895">
                <w:rPr>
                  <w:rFonts w:eastAsia="Times New Roman" w:cstheme="minorHAnsi"/>
                  <w:i/>
                  <w:szCs w:val="24"/>
                  <w:lang w:val="en-GB" w:eastAsia="en-GB"/>
                </w:rPr>
                <w:t>Welsh pets JPEG, Welsh JPEG, Welsh lesson - like and don't like, Welsh 12th Nov 2020, Welsh George the Giant 18th Nov 2020</w:t>
              </w:r>
              <w:r w:rsidR="008A6017">
                <w:rPr>
                  <w:rFonts w:eastAsia="Times New Roman" w:cstheme="minorHAnsi"/>
                  <w:i/>
                  <w:szCs w:val="24"/>
                  <w:lang w:val="en-GB" w:eastAsia="en-GB"/>
                </w:rPr>
                <w:t>]</w:t>
              </w:r>
              <w:r w:rsidR="00D45B6B" w:rsidRPr="00880895">
                <w:rPr>
                  <w:rFonts w:eastAsia="Times New Roman" w:cstheme="minorHAnsi"/>
                  <w:i/>
                  <w:szCs w:val="24"/>
                  <w:lang w:val="en-GB" w:eastAsia="en-GB"/>
                </w:rPr>
                <w:t xml:space="preserve"> </w:t>
              </w:r>
              <w:r w:rsidR="00D45B6B" w:rsidRPr="00880895">
                <w:rPr>
                  <w:rFonts w:eastAsia="Times New Roman" w:cstheme="minorHAnsi"/>
                  <w:szCs w:val="24"/>
                  <w:lang w:val="en-GB" w:eastAsia="en-GB"/>
                </w:rPr>
                <w:t xml:space="preserve">During PTE1 I have taught a series of Welsh lessons, both online and face to face. Topics have included clothes, pets, and expressing like and dislike. Planning and teaching these lessons has greatly improved my confidence in Welsh. I have really enjoyed teaching the pupils, and it has been incredibly rewarding to watch the pupils' confidence grow alongside my own. Going forward, I intend to continue planning and teaching Welsh lessons as a way to further develop my SKD in this area. I have also attached two JPEGs with lesson outlines - these were uploaded to ClassDojo during online learning, in order to explain the task set for the children, as well ass giving parents the opportunity to support the learning.  </w:t>
              </w:r>
              <w:r w:rsidR="00D45B6B" w:rsidRPr="00880895">
                <w:rPr>
                  <w:rFonts w:eastAsia="Times New Roman" w:cstheme="minorHAnsi"/>
                  <w:b/>
                  <w:bCs/>
                  <w:szCs w:val="24"/>
                  <w:u w:val="single"/>
                  <w:lang w:val="en-GB" w:eastAsia="en-GB"/>
                </w:rPr>
                <w:t>Duo Lingo</w:t>
              </w:r>
              <w:r w:rsidR="008A6017">
                <w:rPr>
                  <w:rFonts w:eastAsia="Times New Roman" w:cstheme="minorHAnsi"/>
                  <w:b/>
                  <w:bCs/>
                  <w:szCs w:val="24"/>
                  <w:u w:val="single"/>
                  <w:lang w:val="en-GB" w:eastAsia="en-GB"/>
                </w:rPr>
                <w:t>[</w:t>
              </w:r>
              <w:r w:rsidR="00D45B6B" w:rsidRPr="00880895">
                <w:rPr>
                  <w:rFonts w:eastAsia="Times New Roman" w:cstheme="minorHAnsi"/>
                  <w:b/>
                  <w:bCs/>
                  <w:szCs w:val="24"/>
                  <w:u w:val="single"/>
                  <w:lang w:val="en-GB" w:eastAsia="en-GB"/>
                </w:rPr>
                <w:t xml:space="preserve"> </w:t>
              </w:r>
              <w:r w:rsidR="00D45B6B" w:rsidRPr="00880895">
                <w:rPr>
                  <w:rFonts w:eastAsia="Times New Roman" w:cstheme="minorHAnsi"/>
                  <w:szCs w:val="24"/>
                  <w:lang w:val="en-GB" w:eastAsia="en-GB"/>
                </w:rPr>
                <w:t xml:space="preserve">Linked asset: </w:t>
              </w:r>
              <w:r w:rsidR="00D45B6B" w:rsidRPr="00880895">
                <w:rPr>
                  <w:rFonts w:eastAsia="Times New Roman" w:cstheme="minorHAnsi"/>
                  <w:i/>
                  <w:szCs w:val="24"/>
                  <w:lang w:val="en-GB" w:eastAsia="en-GB"/>
                </w:rPr>
                <w:t>Duo Lingo JPEG</w:t>
              </w:r>
              <w:r w:rsidR="008A6017">
                <w:rPr>
                  <w:rFonts w:eastAsia="Times New Roman" w:cstheme="minorHAnsi"/>
                  <w:i/>
                  <w:szCs w:val="24"/>
                  <w:lang w:val="en-GB" w:eastAsia="en-GB"/>
                </w:rPr>
                <w:t>]</w:t>
              </w:r>
              <w:r w:rsidR="00D45B6B" w:rsidRPr="00880895">
                <w:rPr>
                  <w:rFonts w:eastAsia="Times New Roman" w:cstheme="minorHAnsi"/>
                  <w:szCs w:val="24"/>
                  <w:lang w:val="en-GB" w:eastAsia="en-GB"/>
                </w:rPr>
                <w:t xml:space="preserve"> I have used Duo Lingo for a number of years. At the beginning of February, I decided to set myself a challenge to practice Welsh on DuoLingo every day for the whole month. I chose to do this because I wanted to see how much I could improve over the 28 days, as a personal challenge to myself. I am nearly finished, and have seen a major improvement. I now feel confident using 'dych chi'n' in a </w:t>
              </w:r>
              <w:r w:rsidR="00D45B6B" w:rsidRPr="00880895">
                <w:rPr>
                  <w:rFonts w:eastAsia="Times New Roman" w:cstheme="minorHAnsi"/>
                  <w:szCs w:val="24"/>
                  <w:lang w:val="en-GB" w:eastAsia="en-GB"/>
                </w:rPr>
                <w:lastRenderedPageBreak/>
                <w:t xml:space="preserve">sentence, as well as learning other key vocabulary which will be useful in teaching. Aside from what I have learnt, the challenge has really improved my confidence and being able to see my progress visually on the app is really motivating. I intend to continue my daily practice going into March in order to continue reaping the rewards. </w:t>
              </w:r>
              <w:r w:rsidR="00D45B6B" w:rsidRPr="00880895">
                <w:rPr>
                  <w:rFonts w:eastAsia="Times New Roman" w:cstheme="minorHAnsi"/>
                  <w:b/>
                  <w:bCs/>
                  <w:szCs w:val="24"/>
                  <w:u w:val="single"/>
                  <w:lang w:val="en-GB" w:eastAsia="en-GB"/>
                </w:rPr>
                <w:t xml:space="preserve">Welsh Pets MP4 </w:t>
              </w:r>
              <w:r w:rsidR="008A6017">
                <w:rPr>
                  <w:rFonts w:eastAsia="Times New Roman" w:cstheme="minorHAnsi"/>
                  <w:bCs/>
                  <w:szCs w:val="24"/>
                  <w:lang w:val="en-GB" w:eastAsia="en-GB"/>
                </w:rPr>
                <w:t>[</w:t>
              </w:r>
              <w:r w:rsidR="00D45B6B" w:rsidRPr="00880895">
                <w:rPr>
                  <w:rFonts w:eastAsia="Times New Roman" w:cstheme="minorHAnsi"/>
                  <w:szCs w:val="24"/>
                  <w:lang w:val="en-GB" w:eastAsia="en-GB"/>
                </w:rPr>
                <w:t>Linked asset</w:t>
              </w:r>
              <w:r w:rsidR="00D45B6B" w:rsidRPr="00880895">
                <w:rPr>
                  <w:rFonts w:eastAsia="Times New Roman" w:cstheme="minorHAnsi"/>
                  <w:i/>
                  <w:szCs w:val="24"/>
                  <w:lang w:val="en-GB" w:eastAsia="en-GB"/>
                </w:rPr>
                <w:t>: Welsh Pets MP4</w:t>
              </w:r>
              <w:r w:rsidR="008A6017">
                <w:rPr>
                  <w:rFonts w:eastAsia="Times New Roman" w:cstheme="minorHAnsi"/>
                  <w:i/>
                  <w:szCs w:val="24"/>
                  <w:lang w:val="en-GB" w:eastAsia="en-GB"/>
                </w:rPr>
                <w:t>]</w:t>
              </w:r>
              <w:r w:rsidR="00D45B6B" w:rsidRPr="00880895">
                <w:rPr>
                  <w:rFonts w:eastAsia="Times New Roman" w:cstheme="minorHAnsi"/>
                  <w:szCs w:val="24"/>
                  <w:lang w:val="en-GB" w:eastAsia="en-GB"/>
                </w:rPr>
                <w:t xml:space="preserve"> This is a video I created on Adobe Spark through Hwb in order to support online learning. It is a simple vocabulary video to help pupils and parents with pronounciation. Creating this video, and others like it has encouraged me to 'give it a go' and push myself out of my comfort zone when teaching Welsh.</w:t>
              </w:r>
              <w:r w:rsidR="00D45B6B">
                <w:rPr>
                  <w:rFonts w:ascii="Times New Roman" w:eastAsia="Times New Roman" w:hAnsi="Times New Roman" w:cs="Times New Roman"/>
                  <w:szCs w:val="24"/>
                  <w:lang w:val="en-GB" w:eastAsia="en-GB"/>
                </w:rPr>
                <w:t xml:space="preserve"> </w:t>
              </w:r>
            </w:sdtContent>
          </w:sdt>
          <w:r w:rsidR="00241E14">
            <w:t xml:space="preserve"> </w:t>
          </w:r>
        </w:p>
      </w:sdtContent>
    </w:sdt>
    <w:p w14:paraId="7BB7E4AC" w14:textId="3F95F852" w:rsidR="2B5A2DAC" w:rsidRDefault="2B5A2DAC">
      <w:r>
        <w:br w:type="page"/>
      </w:r>
    </w:p>
    <w:p w14:paraId="1A710675" w14:textId="41CF0A6E" w:rsidR="00A10EAD" w:rsidRDefault="00A10EAD" w:rsidP="000D213D">
      <w:pPr>
        <w:pStyle w:val="Heading2"/>
      </w:pPr>
      <w:r>
        <w:lastRenderedPageBreak/>
        <w:t>Safonau/ Standards</w:t>
      </w:r>
    </w:p>
    <w:p w14:paraId="3ED0067C" w14:textId="77777777" w:rsidR="00552BF1" w:rsidRPr="00552BF1" w:rsidRDefault="00552BF1" w:rsidP="00552BF1"/>
    <w:p w14:paraId="59426E11" w14:textId="68AFD5A3" w:rsidR="000D213D" w:rsidRDefault="000D213D" w:rsidP="00CD1E5D">
      <w:pPr>
        <w:pStyle w:val="Heading2"/>
      </w:pPr>
      <w:r>
        <w:t xml:space="preserve">Professional Experience </w:t>
      </w:r>
      <w:r w:rsidRPr="00CD1E5D">
        <w:t>Template</w:t>
      </w:r>
      <w:r w:rsidR="007C32AA">
        <w:t xml:space="preserve"> 1</w:t>
      </w:r>
      <w:r w:rsidR="00E02C5E">
        <w:t xml:space="preserve">: </w:t>
      </w:r>
      <w:r w:rsidR="001012E5">
        <w:t>ALN Differentiation</w:t>
      </w:r>
    </w:p>
    <w:p w14:paraId="7A167012" w14:textId="598B1842"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74A9B">
            <w:t>Refining: Differentiation</w:t>
          </w:r>
        </w:sdtContent>
      </w:sdt>
    </w:p>
    <w:p w14:paraId="02E30A83" w14:textId="5477FAAD" w:rsidR="007C32AA" w:rsidRDefault="007C32AA" w:rsidP="00B70105">
      <w:pPr>
        <w:pStyle w:val="Heading3"/>
      </w:pPr>
      <w:r>
        <w:t>What did you do and why?</w:t>
      </w:r>
    </w:p>
    <w:p w14:paraId="6771D07C" w14:textId="65B4A577" w:rsidR="00774A9B" w:rsidRPr="00880895" w:rsidRDefault="00774A9B" w:rsidP="00774A9B">
      <w:pPr>
        <w:spacing w:before="100" w:beforeAutospacing="1" w:after="100" w:afterAutospacing="1" w:line="240" w:lineRule="auto"/>
        <w:rPr>
          <w:rFonts w:eastAsia="Times New Roman" w:cstheme="minorHAnsi"/>
          <w:szCs w:val="24"/>
          <w:lang w:val="en-GB" w:eastAsia="en-GB"/>
        </w:rPr>
      </w:pPr>
      <w:r w:rsidRPr="00880895">
        <w:rPr>
          <w:rFonts w:eastAsia="Times New Roman" w:cstheme="minorHAnsi"/>
          <w:szCs w:val="24"/>
          <w:lang w:val="en-GB" w:eastAsia="en-GB"/>
        </w:rPr>
        <w:t>Throughout the first part of PTE1 I became familiar with a child in the class with particular Additional Learning Needs. Amongst other things, the child had severe visual impairments. Engaging with and completing work was challenging for the child as well as the member of staff supporting, due to the complexity of the individual's needs. When I began planning lessons, I decided to incorporate the child's needs into my planning (differentiation) and delivery of lessons. I did this in different ways, and saw different results in each experience. I was supported by my mentor, who supplied more detailed knowledge about the specific needs of the child and the ways I could support them. I intended to improve the child's engagement with the content, as well developing my own understanding of how to cater to individual needs.</w:t>
      </w:r>
    </w:p>
    <w:p w14:paraId="14582241" w14:textId="0949C76F" w:rsidR="00774A9B" w:rsidRPr="00880895" w:rsidRDefault="00774A9B" w:rsidP="00774A9B">
      <w:pPr>
        <w:spacing w:before="100" w:beforeAutospacing="1" w:after="100" w:afterAutospacing="1" w:line="240" w:lineRule="auto"/>
        <w:rPr>
          <w:rFonts w:eastAsia="Times New Roman" w:cstheme="minorHAnsi"/>
          <w:szCs w:val="24"/>
          <w:lang w:val="en-GB" w:eastAsia="en-GB"/>
        </w:rPr>
      </w:pPr>
      <w:r w:rsidRPr="00880895">
        <w:rPr>
          <w:rFonts w:eastAsia="Times New Roman" w:cstheme="minorHAnsi"/>
          <w:szCs w:val="24"/>
          <w:lang w:val="en-GB" w:eastAsia="en-GB"/>
        </w:rPr>
        <w:t>One way in which I supported the child's needs was to arrange resources with a bigger font and images, to ensure that they could see them. This seems straightforward and simple but it led to much higher engagement as the child didn't have to strain their eyes to read the instructions. I made sure that I printed off A4 sized items in contrast to the A5 size I provided for the other children, not just for class work but also for enhanced provision activities which the children are expected to engage with independently. I knew I couldn't reprimand the child for not engaging with content if they couldn't actually see it. Another way in which I differentiated in support of the individual was to make use of technology which could provide assistance. The school provided a tablet with 'Prodigi' installed - the app enables a learner to magnify anything in the classroom to make it easier to read/see. I made sure I had the tablet ready for when I was working with the child, and always asked them if they would like to use it, even if I felt they could manage without (for example if they were already seeing enlarged information). </w:t>
      </w:r>
      <w:r w:rsidR="00364971">
        <w:rPr>
          <w:rFonts w:eastAsia="Times New Roman" w:cstheme="minorHAnsi"/>
          <w:szCs w:val="24"/>
          <w:lang w:val="en-GB" w:eastAsia="en-GB"/>
        </w:rPr>
        <w:t>The Welsh Government has highlighted the importance of the use of assistive technology to support pupils with specific learning difficulties (Welsh Government, 2015), which has encouraged me to utilise these tools further when supporting ALN pupils.</w:t>
      </w:r>
    </w:p>
    <w:p w14:paraId="19D89CBC" w14:textId="2FD6FD00" w:rsidR="008F713A" w:rsidRPr="008F713A" w:rsidRDefault="008F713A" w:rsidP="008F713A"/>
    <w:p w14:paraId="1AD79B70" w14:textId="2F7E7BD1" w:rsidR="007C32AA" w:rsidRDefault="007C32AA" w:rsidP="00B70105">
      <w:pPr>
        <w:pStyle w:val="Heading3"/>
      </w:pPr>
      <w:r>
        <w:t>What have you learned?</w:t>
      </w:r>
    </w:p>
    <w:p w14:paraId="0EB582B3" w14:textId="0BD128BA" w:rsidR="00774A9B" w:rsidRPr="001012E5" w:rsidRDefault="00774A9B" w:rsidP="00774A9B">
      <w:pPr>
        <w:rPr>
          <w:rFonts w:ascii="Times New Roman" w:hAnsi="Times New Roman" w:cs="Times New Roman"/>
        </w:rPr>
      </w:pPr>
      <w:r w:rsidRPr="001012E5">
        <w:rPr>
          <w:rFonts w:ascii="Times New Roman" w:hAnsi="Times New Roman" w:cs="Times New Roman"/>
        </w:rPr>
        <w:t xml:space="preserve">This experience has taught me a substantial amount about differentiation and why it is important. I already understood differentiating for different intellectual abilities, but this was something I hadn't before experienced. Some of the methods I used worked better than others, but that was mainly associated with the specific personality of the child rather than the methods as a whole. I have also learned that it is important not to 'pigeon-hole' a child and expect them to need </w:t>
      </w:r>
      <w:r w:rsidRPr="001012E5">
        <w:rPr>
          <w:rFonts w:ascii="Times New Roman" w:hAnsi="Times New Roman" w:cs="Times New Roman"/>
        </w:rPr>
        <w:lastRenderedPageBreak/>
        <w:t>differentiation from the start. In one instance, I was planning a P.E lesson, and expected the child would have difficulty not colliding with other children due to their visual impairments. This, however, was not the case and the individual was able to participate in the lesson as usual. This has led me to consider the importance of planning for an eventuality, but not always assuming that it will be needed. Overall, this experience has given me a beneficial insight into ALN differentiation and the importance of it. </w:t>
      </w:r>
    </w:p>
    <w:p w14:paraId="2260BE72" w14:textId="47BBD46D" w:rsidR="00505886" w:rsidRPr="00505886" w:rsidRDefault="00505886" w:rsidP="00505886"/>
    <w:p w14:paraId="7142A8EC" w14:textId="3CD8B06A" w:rsidR="007C32AA" w:rsidRPr="007C32AA" w:rsidRDefault="007C32AA" w:rsidP="00B70105">
      <w:pPr>
        <w:pStyle w:val="Heading3"/>
      </w:pPr>
      <w:r>
        <w:t>What next?</w:t>
      </w:r>
    </w:p>
    <w:p w14:paraId="0C3D5881" w14:textId="43ACFA94" w:rsidR="00774A9B" w:rsidRPr="001012E5" w:rsidRDefault="00774A9B" w:rsidP="00774A9B">
      <w:pPr>
        <w:rPr>
          <w:rFonts w:ascii="Times New Roman" w:hAnsi="Times New Roman" w:cs="Times New Roman"/>
        </w:rPr>
      </w:pPr>
      <w:r w:rsidRPr="001012E5">
        <w:rPr>
          <w:rFonts w:ascii="Times New Roman" w:hAnsi="Times New Roman" w:cs="Times New Roman"/>
        </w:rPr>
        <w:t>Going forward I am going to be more mindful of how ALN children can be supported in learning in the long-term. I now know that I need to ensure I plan carefully to ensure the best learning opportunities for ALN pupils. Furthermore, I will engage with colleagues, peers, and online materials to improve my understanding of different ALN conditions and how I can best support them. I also plan to work alongside other staff in the classroom such as TAs to ensure that we are all doing our best to maximise learning and engagement of pupils that have ALN.  In my future career I intend to be a supportive teacher, and am committed to doing what is necessary to best to support the individual needs of all learners.</w:t>
      </w:r>
    </w:p>
    <w:p w14:paraId="1C3A28D3" w14:textId="5D2731C3" w:rsidR="00A95C95" w:rsidRPr="00A95C95" w:rsidRDefault="00A95C95" w:rsidP="00A95C95"/>
    <w:p w14:paraId="1A6E7164" w14:textId="4D95ABCC" w:rsidR="00811007" w:rsidRDefault="00811007" w:rsidP="00811007"/>
    <w:p w14:paraId="01EC8868" w14:textId="77777777" w:rsidR="00552BF1" w:rsidRDefault="00552BF1" w:rsidP="00811007"/>
    <w:p w14:paraId="11F56628" w14:textId="57B1F3F1" w:rsidR="00B9167E" w:rsidRDefault="00B357D8" w:rsidP="00B9167E">
      <w:pPr>
        <w:pStyle w:val="Heading2"/>
      </w:pPr>
      <w:r>
        <w:t>Professional Experience Template 2</w:t>
      </w:r>
      <w:r w:rsidR="00B9167E">
        <w:t>:</w:t>
      </w:r>
      <w:r w:rsidR="00B9167E" w:rsidRPr="00B9167E">
        <w:t xml:space="preserve"> </w:t>
      </w:r>
      <w:r w:rsidR="001012E5">
        <w:t>Kindness Lesson</w:t>
      </w:r>
    </w:p>
    <w:p w14:paraId="1D41B13B" w14:textId="0744213E" w:rsidR="00927DC7" w:rsidRDefault="00927DC7" w:rsidP="00927DC7">
      <w:pPr>
        <w:pStyle w:val="Heading3"/>
      </w:pPr>
      <w:r>
        <w:t xml:space="preserve">Pedagogy Standard: </w:t>
      </w:r>
      <w:sdt>
        <w:sdt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74A9B">
            <w:t>Advancing: Cross Curricular themes</w:t>
          </w:r>
        </w:sdtContent>
      </w:sdt>
    </w:p>
    <w:p w14:paraId="2C2A77DF" w14:textId="77777777" w:rsidR="00846548" w:rsidRDefault="00846548" w:rsidP="00B70105">
      <w:pPr>
        <w:pStyle w:val="Heading3"/>
      </w:pPr>
      <w:r>
        <w:t>What did you do and why?</w:t>
      </w:r>
    </w:p>
    <w:p w14:paraId="5A428246" w14:textId="359A2359" w:rsidR="00774A9B" w:rsidRPr="00957ADC" w:rsidRDefault="00774A9B" w:rsidP="00774A9B">
      <w:pPr>
        <w:spacing w:before="100" w:beforeAutospacing="1" w:after="100" w:afterAutospacing="1" w:line="240" w:lineRule="auto"/>
        <w:rPr>
          <w:rFonts w:eastAsia="Times New Roman" w:cstheme="minorHAnsi"/>
          <w:szCs w:val="24"/>
          <w:lang w:val="en-GB" w:eastAsia="en-GB"/>
        </w:rPr>
      </w:pPr>
      <w:r w:rsidRPr="00957ADC">
        <w:rPr>
          <w:rFonts w:eastAsia="Times New Roman" w:cstheme="minorHAnsi"/>
          <w:szCs w:val="24"/>
          <w:lang w:val="en-GB" w:eastAsia="en-GB"/>
        </w:rPr>
        <w:t xml:space="preserve">During anti-bullying week, my mentor and I decided to plan and run a lesson on kindness for our year 2 class. In planning, I made cross-curricular links to several aspects of literacy, including oracy and writing. In the lesson, we started by writing the word 'kindness' on the whiteboard. The children were asked to (in pairs) think about some words that came to mind when thinking about kindness. The children were then asked to feedback. I wrote contributions on the whiteboard around the word 'kindness', in a similar form to a spider diagram. This encouraged pupils to develop oracy skills as they were expected to discuss ideas with peers as well as to myself and the rest of the class. The core learning of the lesson was a writing task, in which pupils were asked to write some sentences about kindness. The work was differentiated at two levels. The higher ability were required to choose some friends or family members and write what they could do for them to be kind (e.g. tidy up for mum, play with my sister). The lower </w:t>
      </w:r>
      <w:r w:rsidRPr="00957ADC">
        <w:rPr>
          <w:rFonts w:eastAsia="Times New Roman" w:cstheme="minorHAnsi"/>
          <w:szCs w:val="24"/>
          <w:lang w:val="en-GB" w:eastAsia="en-GB"/>
        </w:rPr>
        <w:lastRenderedPageBreak/>
        <w:t>ability were asked to write some examples of kind and unkind things to do. This level was differentiated in the amount they were expected to write. This experience of linking a Health and Wellbeing lesson to Literacy demonstrated my understanding of the importance of these meaningful links. Furthermore, I was able to see for myself how beneficial cross-curricular learning can be when done in a meaningful way.</w:t>
      </w:r>
    </w:p>
    <w:p w14:paraId="744564A6" w14:textId="60DA6679" w:rsidR="00846548" w:rsidRPr="008F713A" w:rsidRDefault="00846548" w:rsidP="00846548"/>
    <w:p w14:paraId="25332ED0" w14:textId="77777777" w:rsidR="00846548" w:rsidRDefault="00846548" w:rsidP="00B70105">
      <w:pPr>
        <w:pStyle w:val="Heading3"/>
      </w:pPr>
      <w:r>
        <w:t>What have you learned?</w:t>
      </w:r>
    </w:p>
    <w:p w14:paraId="300C5252" w14:textId="10406EEF" w:rsidR="00774A9B" w:rsidRPr="00957ADC" w:rsidRDefault="00774A9B" w:rsidP="00774A9B">
      <w:pPr>
        <w:spacing w:before="100" w:beforeAutospacing="1" w:after="100" w:afterAutospacing="1" w:line="240" w:lineRule="auto"/>
        <w:rPr>
          <w:rFonts w:eastAsia="Times New Roman" w:cstheme="minorHAnsi"/>
          <w:szCs w:val="24"/>
          <w:lang w:val="en-GB" w:eastAsia="en-GB"/>
        </w:rPr>
      </w:pPr>
      <w:r w:rsidRPr="00957ADC">
        <w:rPr>
          <w:rFonts w:eastAsia="Times New Roman" w:cstheme="minorHAnsi"/>
          <w:szCs w:val="24"/>
          <w:lang w:val="en-GB" w:eastAsia="en-GB"/>
        </w:rPr>
        <w:t>Throughout my time in this class, I always made an effort to make cross-curricular links</w:t>
      </w:r>
      <w:r w:rsidR="00957ADC" w:rsidRPr="00957ADC">
        <w:rPr>
          <w:rFonts w:eastAsia="Times New Roman" w:cstheme="minorHAnsi"/>
          <w:szCs w:val="24"/>
          <w:lang w:val="en-GB" w:eastAsia="en-GB"/>
        </w:rPr>
        <w:t>, based on the knowledge that there are many benefits to the practise (Barnes, 2015)</w:t>
      </w:r>
      <w:r w:rsidRPr="00957ADC">
        <w:rPr>
          <w:rFonts w:eastAsia="Times New Roman" w:cstheme="minorHAnsi"/>
          <w:szCs w:val="24"/>
          <w:lang w:val="en-GB" w:eastAsia="en-GB"/>
        </w:rPr>
        <w:t>. However this was a really beneficial opportunity to make the most of those links to benefit the learners. This kindness lesson was mainly focused on the Health and Wellbeing area of learning (AoL), and was the first lesson I had done within this AoL. In my planning, I saw an opportunity to link the lesson to literacy, and made use of the Literacy and Numeracy Framework in finding meaningful cross-curricular links. In my lesson plan, I noted the areas of the LNF which related to the lesson. Additionally, during the lesson I ensured to reinforce important literacy skills such as using capital letters, full stops, and writing in full sentences where appropriate in terms of ability. The planning, implementation, and reflection of this lesson solidified my understanding of the importance of making cross-curricular links and how it can contribute to pupil progression.</w:t>
      </w:r>
    </w:p>
    <w:p w14:paraId="3797BACE" w14:textId="50F64186" w:rsidR="00846548" w:rsidRPr="00505886" w:rsidRDefault="00846548" w:rsidP="00846548"/>
    <w:p w14:paraId="52E63120" w14:textId="77777777" w:rsidR="00846548" w:rsidRPr="007C32AA" w:rsidRDefault="00846548" w:rsidP="00B70105">
      <w:pPr>
        <w:pStyle w:val="Heading3"/>
      </w:pPr>
      <w:r>
        <w:t>What next?</w:t>
      </w:r>
    </w:p>
    <w:p w14:paraId="00DFC536" w14:textId="00411235" w:rsidR="00774A9B" w:rsidRPr="001012E5" w:rsidRDefault="00774A9B" w:rsidP="00774A9B">
      <w:pPr>
        <w:rPr>
          <w:rFonts w:ascii="Times New Roman" w:hAnsi="Times New Roman" w:cs="Times New Roman"/>
        </w:rPr>
      </w:pPr>
      <w:r w:rsidRPr="001012E5">
        <w:rPr>
          <w:rFonts w:ascii="Times New Roman" w:hAnsi="Times New Roman" w:cs="Times New Roman"/>
        </w:rPr>
        <w:t>Going forward, I intend to always consider both the cross-curricular opportunities as well as the different ways in which I can improve pupil wellbeing. I think continued practice of including cross-curricular themes in my planning will encourage me to maintain focus on the topic. Moreover, discussion with colleagues with the ways in which they incorporate cross-curricular themes into lessons would also be beneficial. I particularly struggle with finding cross-curricular opportunities in numeracy lessons, so I think collaboration with colleagues will assist me in developing this. I also want to think about different ways in which I can improve wellbeing into everyday classroom activities. I have observed other teachers using the register as a way of checking in on wellbeing, so I think trying this would be a good place to start.</w:t>
      </w:r>
    </w:p>
    <w:p w14:paraId="63F76C9E" w14:textId="5F5FFB85" w:rsidR="00846548" w:rsidRPr="00A95C95" w:rsidRDefault="00846548" w:rsidP="00846548"/>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4D213446" w14:textId="518B1F75" w:rsidR="00B9167E" w:rsidRDefault="00B357D8" w:rsidP="00B9167E">
      <w:pPr>
        <w:pStyle w:val="Heading2"/>
      </w:pPr>
      <w:r>
        <w:lastRenderedPageBreak/>
        <w:t>Professional Experience Template 3</w:t>
      </w:r>
      <w:r w:rsidR="00B9167E">
        <w:t xml:space="preserve">: </w:t>
      </w:r>
      <w:r w:rsidR="001012E5">
        <w:t>Marking</w:t>
      </w:r>
    </w:p>
    <w:p w14:paraId="38BDCED8" w14:textId="2F7275D0" w:rsidR="00927DC7" w:rsidRDefault="00927DC7" w:rsidP="00927DC7">
      <w:pPr>
        <w:pStyle w:val="Heading3"/>
      </w:pPr>
      <w:r>
        <w:t xml:space="preserve">Pedagogy Standard: </w:t>
      </w:r>
      <w:sdt>
        <w:sdt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74A9B">
            <w:t>Influencing: Challenge &amp; Expectations</w:t>
          </w:r>
        </w:sdtContent>
      </w:sdt>
    </w:p>
    <w:p w14:paraId="62EC1BD5" w14:textId="77777777" w:rsidR="00846548" w:rsidRDefault="00846548" w:rsidP="00B70105">
      <w:pPr>
        <w:pStyle w:val="Heading3"/>
      </w:pPr>
      <w:r>
        <w:t>What did you do and why?</w:t>
      </w:r>
    </w:p>
    <w:p w14:paraId="540A2FA2" w14:textId="6BCA85E1" w:rsidR="00774A9B" w:rsidRPr="008F713A" w:rsidRDefault="00774A9B" w:rsidP="00774A9B">
      <w:r>
        <w:t>When developing my marking techniques, my class mentor recommended the use of 'tiny tasks' (written in books as TT). Tiny tasks are small tasks/questions for the learner to complete, which challenges them a little further and will also feed into assessment for learning. As an example, when marking a pupil's work on the 2 x tables, if I feel they have worked well I might give them a tiny task of working out some of the 5 x tables. This encouraged the pupils to challenge themselves to further learning instead of staying in a comfortable position. As well of this, I used 2 stars and 1 wish to make learners aware of my expectations of them in their work, as well as giving them praise for aspects of their work that I am pleased with. Using these marking techniques enabled me to be sure that learners were motivated to further their learning in a meaningful way.</w:t>
      </w:r>
    </w:p>
    <w:p w14:paraId="16F4A621" w14:textId="229290D2" w:rsidR="00846548" w:rsidRPr="008F713A" w:rsidRDefault="00846548" w:rsidP="00846548"/>
    <w:p w14:paraId="4295FB1B" w14:textId="77777777" w:rsidR="00846548" w:rsidRDefault="00846548" w:rsidP="00B70105">
      <w:pPr>
        <w:pStyle w:val="Heading3"/>
      </w:pPr>
      <w:r>
        <w:t>What have you learned?</w:t>
      </w:r>
    </w:p>
    <w:p w14:paraId="51684415" w14:textId="692E9CA0" w:rsidR="00774A9B" w:rsidRPr="001012E5" w:rsidRDefault="00774A9B" w:rsidP="00957ADC">
      <w:pPr>
        <w:rPr>
          <w:lang w:eastAsia="en-GB"/>
        </w:rPr>
      </w:pPr>
      <w:r w:rsidRPr="001012E5">
        <w:rPr>
          <w:lang w:eastAsia="en-GB"/>
        </w:rPr>
        <w:t>I have learned that marking is more than a tick box exercise. When done correctly, marking presents a valuable opportunity to further learning. I have explored different marking techniques, including 2 stars and 1 wish, tiny tasks, and meaningful comments. I feel that exploring these different ways of marking have made me realise its importance. This in turn has improved my own professional development and pedagogical knowledge. I have come to have an understanding of how meaningful feedback to pupils makes a valuable contribution to endorsing the four purposes for learners, in particular the focus on becoming 'ambitious, capable learners'.</w:t>
      </w:r>
    </w:p>
    <w:p w14:paraId="2808C96C" w14:textId="77777777" w:rsidR="00774A9B" w:rsidRPr="001012E5" w:rsidRDefault="00774A9B" w:rsidP="00957ADC">
      <w:pPr>
        <w:rPr>
          <w:rFonts w:eastAsia="Times New Roman"/>
          <w:szCs w:val="24"/>
          <w:lang w:val="en-GB" w:eastAsia="en-GB"/>
        </w:rPr>
      </w:pPr>
      <w:r w:rsidRPr="001012E5">
        <w:rPr>
          <w:rFonts w:eastAsia="Times New Roman"/>
          <w:szCs w:val="24"/>
          <w:lang w:val="en-GB" w:eastAsia="en-GB"/>
        </w:rPr>
        <w:t>In addition to this, I have developed my understanding of how marking can be used as an opportunity to make your expectations of learners known, and tiny tasks are a quick but positive way of challenging pupils to push themselves to achieve further.</w:t>
      </w:r>
    </w:p>
    <w:p w14:paraId="0ECF20B7" w14:textId="7E5DA277" w:rsidR="00846548" w:rsidRPr="00505886" w:rsidRDefault="00846548" w:rsidP="00846548"/>
    <w:p w14:paraId="3B26C128" w14:textId="77777777" w:rsidR="00846548" w:rsidRPr="007C32AA" w:rsidRDefault="00846548" w:rsidP="00B70105">
      <w:pPr>
        <w:pStyle w:val="Heading3"/>
      </w:pPr>
      <w:r>
        <w:lastRenderedPageBreak/>
        <w:t>What next?</w:t>
      </w:r>
    </w:p>
    <w:p w14:paraId="58CCE99B" w14:textId="6B77F83A" w:rsidR="00846548" w:rsidRPr="00A95C95" w:rsidRDefault="00774A9B" w:rsidP="00846548">
      <w:r>
        <w:t>Going forward, I intend to explore different marking strategies, particularly those that can be used in key stage 2. Additionally, I think it would be beneficial to have discussions with colleagues regarding techniques they have used and found particularly helpful or successful. I think reading some literature around marking and the pedagogical importance of it would inspire me to further improve and implement better strategies.</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sdtContent>
        <w:sdt>
          <w:sdtPr>
            <w:alias w:val="Word Count"/>
            <w:tag w:val="Word Count"/>
            <w:id w:val="-101493410"/>
            <w:placeholder>
              <w:docPart w:val="EBAF1A77925B4774BB7C5DAEDCEA8EE0"/>
            </w:placeholder>
            <w:temporary/>
            <w:showingPlcHdr/>
            <w:text/>
          </w:sdtPr>
          <w:sdtEndPr/>
          <w:sdtContent>
            <w:p w14:paraId="60B60867" w14:textId="1E5B2045" w:rsidR="00AC19FF" w:rsidRPr="00AC19FF" w:rsidRDefault="00F778CF" w:rsidP="00AC19FF">
              <w:r w:rsidRPr="00204508">
                <w:rPr>
                  <w:rStyle w:val="PlaceholderText"/>
                </w:rPr>
                <w:t>Click or tap here to enter text.</w:t>
              </w:r>
            </w:p>
          </w:sdtContent>
        </w:sdt>
      </w:sdtContent>
    </w:sdt>
    <w:p w14:paraId="2AA56D82" w14:textId="77777777" w:rsidR="00811007" w:rsidRDefault="00811007" w:rsidP="00811007"/>
    <w:p w14:paraId="1A02AFCB" w14:textId="77777777" w:rsidR="002E626B" w:rsidRDefault="00811007" w:rsidP="002E626B">
      <w:pPr>
        <w:pStyle w:val="Heading2"/>
      </w:pPr>
      <w:r>
        <w:t>Introduction</w:t>
      </w:r>
    </w:p>
    <w:p w14:paraId="2C15173F" w14:textId="77777777" w:rsidR="001012E5" w:rsidRPr="001012E5" w:rsidRDefault="001012E5" w:rsidP="001012E5">
      <w:pPr>
        <w:rPr>
          <w:rFonts w:cstheme="minorHAnsi"/>
        </w:rPr>
      </w:pPr>
      <w:r w:rsidRPr="001012E5">
        <w:rPr>
          <w:rFonts w:cstheme="minorHAnsi"/>
        </w:rPr>
        <w:t>After completing a professional experience around marking, I identified that it would be beneficial to do some research around feedback in education. Developing a deeper, critical understanding of the role of feedback in teaching and learning is likely to make me a better teacher. Thus, this critical reflection will explore theoretical perspectives on the importance of feedback in teaching, as well as considering which types of feedback are perceived by research to be most successful.</w:t>
      </w:r>
    </w:p>
    <w:p w14:paraId="6B0C58DC" w14:textId="77777777" w:rsidR="00811007" w:rsidRPr="00FB2270" w:rsidRDefault="00811007" w:rsidP="00FB2270"/>
    <w:p w14:paraId="53B9EA6E" w14:textId="430EE533" w:rsidR="00811007" w:rsidRDefault="31F7FF0E" w:rsidP="00811007">
      <w:pPr>
        <w:pStyle w:val="Heading2"/>
      </w:pPr>
      <w:r>
        <w:t>Critical Discussion of Chosen Aspect</w:t>
      </w:r>
    </w:p>
    <w:p w14:paraId="2FA893D1" w14:textId="77777777" w:rsidR="001012E5" w:rsidRPr="001012E5" w:rsidRDefault="001012E5" w:rsidP="001012E5">
      <w:pPr>
        <w:rPr>
          <w:rFonts w:cstheme="minorHAnsi"/>
        </w:rPr>
      </w:pPr>
      <w:r w:rsidRPr="001012E5">
        <w:rPr>
          <w:rFonts w:cstheme="minorHAnsi"/>
        </w:rPr>
        <w:t>In The Great Teaching Toolkit (Coe et al., 2020), there are four priorities identified which should aid learning: understanding content, a supportive environment, classroom management, and finally, activating hard thinking. The final priority, activating hard thinking, focuses on a series of actions through which teachers can enable pupils to further learning; one of these is interacting. This aspect of the toolkit notes that the teacher should be considering feedback from students as well as giving appropriate feedback in order to guide learning.  The importance of feedback in teaching has been discussed widely, with Sadler (1989) stating that feedback enables students to assess the strengths and weaknesses of their work in order to improve in the future. This implies that feedback is a significant driver in pushing learning forwards. Feedback will also feed into formative assessment, which gives a teacher insight into pupil/class understanding of a topic. The responses enable the teacher to adjust their teaching strategies going forward in order to improve pupil understanding. All of this demonstrates the importance of feedback in teaching and learning, however there is much debate around which forms of feedback are best.</w:t>
      </w:r>
    </w:p>
    <w:p w14:paraId="713B8D84" w14:textId="77777777" w:rsidR="001012E5" w:rsidRPr="001012E5" w:rsidRDefault="001012E5" w:rsidP="001012E5">
      <w:pPr>
        <w:rPr>
          <w:rFonts w:cstheme="minorHAnsi"/>
        </w:rPr>
      </w:pPr>
      <w:r w:rsidRPr="001012E5">
        <w:rPr>
          <w:rFonts w:cstheme="minorHAnsi"/>
        </w:rPr>
        <w:t xml:space="preserve">Pearson (2016) postulates that there are four factors which influence feedback, including which type of feedback is most suitable. These are: learner characteristics, instructional context, feedback structure, and feedback level. Pearson argues that the most appropriate type of feedback will depend on these factors. For example, in regards to learner characteristics, a </w:t>
      </w:r>
      <w:r w:rsidRPr="001012E5">
        <w:rPr>
          <w:rFonts w:cstheme="minorHAnsi"/>
        </w:rPr>
        <w:lastRenderedPageBreak/>
        <w:t xml:space="preserve">teacher is likely to know whether a pupil will first read, and then digest, written feedback. If the teacher knows this will not happen, then perhaps an alternative feedback strategy would be used. Pearson is arguing that there is not a feedback size that will fit all – understanding and appreciating this will lead to more meaningful feedback and learning opportunities. </w:t>
      </w:r>
    </w:p>
    <w:p w14:paraId="14B103EE" w14:textId="77777777" w:rsidR="001012E5" w:rsidRPr="001012E5" w:rsidRDefault="001012E5" w:rsidP="001012E5">
      <w:pPr>
        <w:rPr>
          <w:rFonts w:cstheme="minorHAnsi"/>
        </w:rPr>
      </w:pPr>
    </w:p>
    <w:p w14:paraId="65F0886B" w14:textId="394B81AC" w:rsidR="001012E5" w:rsidRPr="001012E5" w:rsidRDefault="001012E5" w:rsidP="001012E5">
      <w:pPr>
        <w:rPr>
          <w:rFonts w:cstheme="minorHAnsi"/>
        </w:rPr>
      </w:pPr>
      <w:r w:rsidRPr="001012E5">
        <w:rPr>
          <w:rFonts w:cstheme="minorHAnsi"/>
        </w:rPr>
        <w:t xml:space="preserve">One of the most practiced forms of feedback is corrective feedback. This refers to any type of feedback which corrects the weaknesses or mistakes in performance, and can take form in many ways including written, verbal, or perhaps using grades. A meta-analysis by Kang and Han (2015) looked at 22 studies on primary students learning a second language, and found that written corrective feedback had a significant impact on grammatical accuracy amongst the students. In addition to this, they found that there were several confounding factors which affected the effectiveness of the feedback, including language proficiency. This supports Pearson’s argument that factors such as learner characteristics may impact the suitability of a feedback strategy. There has been a lot of research into the effectiveness of corrective feedback </w:t>
      </w:r>
      <w:r w:rsidRPr="001012E5">
        <w:rPr>
          <w:rFonts w:cstheme="minorHAnsi"/>
          <w:lang w:val="en-GB"/>
        </w:rPr>
        <w:t>(</w:t>
      </w:r>
      <w:r w:rsidR="00AE1963">
        <w:rPr>
          <w:rFonts w:cstheme="minorHAnsi"/>
          <w:lang w:val="en-GB"/>
        </w:rPr>
        <w:t>Suzu</w:t>
      </w:r>
      <w:r w:rsidRPr="001012E5">
        <w:rPr>
          <w:rFonts w:cstheme="minorHAnsi"/>
          <w:lang w:val="en-GB"/>
        </w:rPr>
        <w:t>ki</w:t>
      </w:r>
      <w:r w:rsidRPr="001012E5">
        <w:rPr>
          <w:rFonts w:cstheme="minorHAnsi"/>
        </w:rPr>
        <w:t>, Nassaji &amp; Konosuke, 2019; Hashemifardnia, Namaziandost &amp; Sepehri, 2019), however the majority of research focuses on the use of corrective feedback in second language acquisition. This reduces the population validity, in the sense that the findings cannot be applied to all types of learning, only language learning. Despite this, the research does still support the effectiveness of corrective feedback as part of teaching and learning. The use of corrective feedback links to Vygotsky’s famous educational theories, specifically relating to a</w:t>
      </w:r>
      <w:r w:rsidR="00B112D1">
        <w:rPr>
          <w:rFonts w:cstheme="minorHAnsi"/>
        </w:rPr>
        <w:t xml:space="preserve"> more knowledgeable other (Abtah</w:t>
      </w:r>
      <w:r w:rsidRPr="001012E5">
        <w:rPr>
          <w:rFonts w:cstheme="minorHAnsi"/>
        </w:rPr>
        <w:t>i, 2017). Vygotsky believed that in order for a learner to move through the zone of proximal development (ZPD), a teacher, parent, or other more knowledgeable other (MKO) was required to steer learning. In the context of feedback, through the use of correction, a MKO is directing learning in a direction towards a desired goal. Those in favour of the use of corrective feedback may argue that the absence of the feedback will stunt learning. Thus, corrective feedback and Vygotsky’s theory are well-matched.</w:t>
      </w:r>
    </w:p>
    <w:p w14:paraId="57AE4B3C" w14:textId="77777777" w:rsidR="001012E5" w:rsidRPr="001012E5" w:rsidRDefault="001012E5" w:rsidP="001012E5">
      <w:pPr>
        <w:rPr>
          <w:rFonts w:cstheme="minorHAnsi"/>
        </w:rPr>
      </w:pPr>
    </w:p>
    <w:p w14:paraId="548918E2" w14:textId="01B7E40D" w:rsidR="001012E5" w:rsidRPr="001012E5" w:rsidRDefault="001012E5" w:rsidP="001012E5">
      <w:pPr>
        <w:rPr>
          <w:rFonts w:cstheme="minorHAnsi"/>
        </w:rPr>
      </w:pPr>
      <w:r w:rsidRPr="001012E5">
        <w:rPr>
          <w:rFonts w:cstheme="minorHAnsi"/>
        </w:rPr>
        <w:t xml:space="preserve">Another way in which feedback can be provided is through peers. This involves encouraging peers to mark or provide feedback to one another, through the use of success criteria. Peer feedback has been praised for its role in encouraging independence amongst pupils. This is of </w:t>
      </w:r>
      <w:r w:rsidRPr="001012E5">
        <w:rPr>
          <w:rFonts w:cstheme="minorHAnsi"/>
        </w:rPr>
        <w:lastRenderedPageBreak/>
        <w:t>particularly importance in light of Successful Futures (Donaldson, 2015) which focuses on a new Welsh curriculum which fosters independence amongst children through the Fo</w:t>
      </w:r>
      <w:r w:rsidR="00AE1963">
        <w:rPr>
          <w:rFonts w:cstheme="minorHAnsi"/>
        </w:rPr>
        <w:t>ur Purposes (Welsh Government</w:t>
      </w:r>
      <w:r w:rsidRPr="001012E5">
        <w:rPr>
          <w:rFonts w:cstheme="minorHAnsi"/>
        </w:rPr>
        <w:t xml:space="preserve">, 2020). Three of the four purposes mention that the curriculum aims for pupils to be ambitious, capable, enterprising, and confident – all traits that would likely be developed through the use of peer feedback. In fact, the Curriculum for </w:t>
      </w:r>
      <w:r w:rsidR="00AE1963">
        <w:rPr>
          <w:rFonts w:cstheme="minorHAnsi"/>
        </w:rPr>
        <w:t>Wales guidance (Welsh Government</w:t>
      </w:r>
      <w:r w:rsidRPr="001012E5">
        <w:rPr>
          <w:rFonts w:cstheme="minorHAnsi"/>
        </w:rPr>
        <w:t>, 2020) points out that practitioners should provide opportunities for peer-assessment as well as self-assessment, which will be discussed further in this reflection. This highlights the perceived effectiveness of peer feedback in the classroom.</w:t>
      </w:r>
    </w:p>
    <w:p w14:paraId="2A8C7902" w14:textId="77777777" w:rsidR="001012E5" w:rsidRPr="001012E5" w:rsidRDefault="001012E5" w:rsidP="001012E5">
      <w:pPr>
        <w:rPr>
          <w:rFonts w:cstheme="minorHAnsi"/>
        </w:rPr>
      </w:pPr>
    </w:p>
    <w:p w14:paraId="6A0B1292" w14:textId="6E51DB75" w:rsidR="001012E5" w:rsidRPr="001012E5" w:rsidRDefault="001012E5" w:rsidP="001012E5">
      <w:pPr>
        <w:rPr>
          <w:rFonts w:cstheme="minorHAnsi"/>
        </w:rPr>
      </w:pPr>
      <w:r w:rsidRPr="001012E5">
        <w:rPr>
          <w:rFonts w:cstheme="minorHAnsi"/>
        </w:rPr>
        <w:t>There is a large body of research regarding peer feedback (Latifi, Noroozi, &amp; Talaee, 2021; Banister, 2020; Rotsaert</w:t>
      </w:r>
      <w:r w:rsidR="00B112D1">
        <w:rPr>
          <w:rFonts w:cstheme="minorHAnsi"/>
        </w:rPr>
        <w:t xml:space="preserve"> et al.</w:t>
      </w:r>
      <w:r w:rsidRPr="001012E5">
        <w:rPr>
          <w:rFonts w:cstheme="minorHAnsi"/>
        </w:rPr>
        <w:t xml:space="preserve">, 2018), but one study by Patchan, Schunn, and Correnti (2016) discussed how the effectiveness of peer feedback can be impacted by the features of the feedback itself. Participants were given three tasks: firstly, write an essay (same topic for all participants), then review peers’ writing, and finally revise their own essay based on the feedback they received from peers. The results showed that high amount of praise in the feedback was a predictor of a revision of the essay. Additionally, localisation of a comment was a predictor of revision. Localisation refers to the feedback comment being placed in the area of work the comment in referring to, rather than at the end. The researchers suggest that this is simply because this makes it easier to revise; if the comments were left at the end of the piece, the author would need to scour the essay to find the right part to alter. Moreover, three factors were found to reduce the likelihood of revision: mitigating praise (praise given alongside a criticism), offering a solution, and high-prose issues (those relating to evidence, transitions, and counterarguments). All of this is interesting because it breaks down feedback, and identifies the elements of it which may be attractive and those which are not. The study suggests that students require some sort of praise in order to implement suggested changes, but the praise must not be ‘mitigating’ – perhaps meaning that students perceive mitigating praise as non-meaningful. All of this is worth considering when including peer feedback as a part of a lesson plan. Perhaps, particularly with young children, they need to be shown how to give feedback in an effective and meaningful way. The pedagogical way to do this would by through providing a success criteria. The criteria may outline a tick list of what the marker should do, in order to </w:t>
      </w:r>
      <w:r w:rsidRPr="001012E5">
        <w:rPr>
          <w:rFonts w:cstheme="minorHAnsi"/>
        </w:rPr>
        <w:lastRenderedPageBreak/>
        <w:t>meet all of the requirements. In primary school children a format such as ‘2 stars and a wish’ may be appropriate. The strategy guides the marker to read/view the work, and consider two positive points (stars) about the piece. Then they give an area for improvement (a wish). Through utilising this method, teachers can ensure that pupils understand what is required of them as a marker of their peers’ work.</w:t>
      </w:r>
    </w:p>
    <w:p w14:paraId="45D46ADE" w14:textId="77777777" w:rsidR="001012E5" w:rsidRPr="001012E5" w:rsidRDefault="001012E5" w:rsidP="001012E5">
      <w:pPr>
        <w:rPr>
          <w:rFonts w:cstheme="minorHAnsi"/>
        </w:rPr>
      </w:pPr>
    </w:p>
    <w:p w14:paraId="01149BD9" w14:textId="77777777" w:rsidR="001012E5" w:rsidRPr="001012E5" w:rsidRDefault="001012E5" w:rsidP="001012E5">
      <w:pPr>
        <w:rPr>
          <w:rFonts w:cstheme="minorHAnsi"/>
        </w:rPr>
      </w:pPr>
      <w:r w:rsidRPr="001012E5">
        <w:rPr>
          <w:rFonts w:cstheme="minorHAnsi"/>
        </w:rPr>
        <w:t xml:space="preserve">Another form of feedback is self-assessment. This is a process which can be designed in varying ways, but always involves the learner marking their own work. This can be done through the use of strategies such as smiley faces in the foundation phase, to 2 stars and a wish in Key Stage 2, to more written cohesive assessment in secondary school settings. As previously discussed, Curriculum 2022 has a significant focus on encouraging independence in learners, in fact the Curriculum for Wales Guidance (Hwb, 2020) mentions the word ‘independent’ thirty nine times, and ‘independence’ twelve times. The curriculum encourages the development of self-assessment skills, highlighting the strategy as an important part of teaching and learning. </w:t>
      </w:r>
    </w:p>
    <w:p w14:paraId="0EAB751B" w14:textId="77777777" w:rsidR="001012E5" w:rsidRPr="001012E5" w:rsidRDefault="001012E5" w:rsidP="001012E5">
      <w:pPr>
        <w:rPr>
          <w:rFonts w:cstheme="minorHAnsi"/>
        </w:rPr>
      </w:pPr>
      <w:r w:rsidRPr="001012E5">
        <w:rPr>
          <w:rFonts w:cstheme="minorHAnsi"/>
        </w:rPr>
        <w:t xml:space="preserve">A study by Vasileiadou and Karadimitriou (2021) investigated whether a self-assessment rubric had a significant impact on performance in primary school children. In the experiment, pupil knowledge was tested once, and again two months later. In between the tests, pupils were required to use the self-assessment rubric to evaluate their understanding of the lesson they were in at that time – either language, history, or writing. The results showed that performance was higher in the second test, following the self-assessment intervention. This suggests that self-assessment may promote a deeper, and more thorough knowledge base, in turn leading to improved academic performance. This participants of this study were all attendees of the same primary school, which of course reduces population validity. However, there were a total of four different classes involved, with a total of seventy participants. This is an impressive number of participants for a study conducted in one school. Perhaps a larger scale version of this study, conducted across different countries (this one took place in Greece), would provide an even deeper insight into the role of self-assessment in academic performance. </w:t>
      </w:r>
    </w:p>
    <w:p w14:paraId="62B832CC" w14:textId="77777777" w:rsidR="001012E5" w:rsidRPr="001012E5" w:rsidRDefault="001012E5" w:rsidP="001012E5">
      <w:pPr>
        <w:rPr>
          <w:rFonts w:cstheme="minorHAnsi"/>
        </w:rPr>
      </w:pPr>
      <w:r w:rsidRPr="001012E5">
        <w:rPr>
          <w:rFonts w:cstheme="minorHAnsi"/>
        </w:rPr>
        <w:t xml:space="preserve">Self-assessment, as well as peer-assessment, is recognised as a beneficial assessment for learning (AFL) tool. Assessment for learning (also referred to as formative assessment) is a practice in which teachers gage the understanding of pupils, in order to inform future teaching </w:t>
      </w:r>
      <w:r w:rsidRPr="001012E5">
        <w:rPr>
          <w:rFonts w:cstheme="minorHAnsi"/>
        </w:rPr>
        <w:lastRenderedPageBreak/>
        <w:t xml:space="preserve">and learning. Examples include quick fire questions, hot seats, lollipop sticks, and as aforementioned, self and peer assessment. Using self-assessment as an AFL technique in addition to a feedback strategy enables the learner to gain a quality understanding of what is expected of them, in order to further their learning (Gashi-Shatri &amp; Nabeli, 2018). </w:t>
      </w:r>
    </w:p>
    <w:p w14:paraId="4F81A4F9" w14:textId="77777777" w:rsidR="001012E5" w:rsidRPr="001012E5" w:rsidRDefault="001012E5" w:rsidP="001012E5">
      <w:pPr>
        <w:rPr>
          <w:rFonts w:cstheme="minorHAnsi"/>
        </w:rPr>
      </w:pPr>
    </w:p>
    <w:p w14:paraId="3BA2B2FC" w14:textId="77777777" w:rsidR="001012E5" w:rsidRPr="00BD545A" w:rsidRDefault="001012E5" w:rsidP="001012E5">
      <w:pPr>
        <w:rPr>
          <w:rFonts w:ascii="Arial" w:hAnsi="Arial" w:cs="Arial"/>
        </w:rPr>
      </w:pPr>
      <w:r w:rsidRPr="001012E5">
        <w:rPr>
          <w:rFonts w:cstheme="minorHAnsi"/>
        </w:rPr>
        <w:t>A model proposed by Rolheiser and Ross (2013) claims that there are four stages of teaching students how to self-assess. The first is to include pupils in defining the criteria for assessment. Rolheiser and Ross imply that involving the students in this process will make them feel more committed to their learning. The second stage of the model is teaching the pupils how to apply the criteria. This is essentially scaffolding, in that the teacher should provide examples of how to use the criteria they have designed when assessing their work. The penultimate stage of the model is for the teacher to provide feedback on the self-assessment. This will help to refine the pupils’ understanding of how to self-assess in the future. Finally, the teacher should help the pupils to choose their goals for their work. This will support the pupils in understanding the actions they may take in order to meet the set goals and develop learning. Rolheiser and Ross’ model is important because it goes beyond stating that self-assessment is beneficial; it also gives guidance on how to implement it in a way that is meaningful. Considering and implementing the model is likely to lead to a deeper understanding amongst pupils of the importance of evaluating their own work, rather than doing it blindly without understanding what is expected of them or why they are being asked to do it</w:t>
      </w:r>
      <w:r w:rsidRPr="00BD545A">
        <w:rPr>
          <w:rFonts w:ascii="Arial" w:hAnsi="Arial" w:cs="Arial"/>
        </w:rPr>
        <w:t xml:space="preserve">. </w:t>
      </w:r>
    </w:p>
    <w:p w14:paraId="2ADC3069" w14:textId="77777777" w:rsidR="00CC5969" w:rsidRDefault="00CC5969" w:rsidP="00CC5969"/>
    <w:p w14:paraId="6AF2B289" w14:textId="373C9991" w:rsidR="00811007" w:rsidRDefault="00811007" w:rsidP="00811007">
      <w:pPr>
        <w:pStyle w:val="Heading2"/>
      </w:pPr>
      <w:r>
        <w:t>Conclusion</w:t>
      </w:r>
    </w:p>
    <w:p w14:paraId="142CA6D4" w14:textId="4DC683D9" w:rsidR="001012E5" w:rsidRPr="001012E5" w:rsidRDefault="001012E5" w:rsidP="001012E5">
      <w:pPr>
        <w:rPr>
          <w:rFonts w:cstheme="minorHAnsi"/>
        </w:rPr>
      </w:pPr>
      <w:r w:rsidRPr="001012E5">
        <w:rPr>
          <w:rFonts w:cstheme="minorHAnsi"/>
        </w:rPr>
        <w:t>My critical reflection of the role of feedback in teaching has given me a much deeper understanding of its importance. I feel as though I began with a solid understanding of why a teacher should give feedback, and the ways in which it can be provided. However, I now feel armed with the tools to incorporate a variety of feedback strategies into my planning and lesson delivery. This in turn will enable me to maximize teaching and learning opportunities by utilising my pedagogical understanding and implementing it correctly. Based on the research done as part of my critical reflection, I feel confident that including corrective feedback, as well as peer and self-assessment in my teaching will be a worthwhile venture.</w:t>
      </w:r>
    </w:p>
    <w:p w14:paraId="72FAA5E9" w14:textId="5703F478" w:rsidR="00811007" w:rsidRPr="00FB2270" w:rsidRDefault="00811007" w:rsidP="00FB2270"/>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7C9A2EE5" w14:textId="77777777" w:rsidR="00AE1963" w:rsidRPr="00CE3087" w:rsidRDefault="00AE1963" w:rsidP="00AE1963">
      <w:pPr>
        <w:pStyle w:val="ListParagraph"/>
        <w:numPr>
          <w:ilvl w:val="0"/>
          <w:numId w:val="37"/>
        </w:numPr>
        <w:spacing w:after="160" w:line="259" w:lineRule="auto"/>
        <w:rPr>
          <w:rFonts w:cstheme="minorHAnsi"/>
          <w:szCs w:val="24"/>
        </w:rPr>
      </w:pPr>
      <w:r w:rsidRPr="00CE3087">
        <w:rPr>
          <w:rFonts w:cstheme="minorHAnsi"/>
          <w:color w:val="222222"/>
          <w:szCs w:val="24"/>
          <w:shd w:val="clear" w:color="auto" w:fill="FFFFFF"/>
        </w:rPr>
        <w:t>Abtahi, Y., 2017. The “more knowledgeable other”: A necessity in the zone of proximal development. </w:t>
      </w:r>
      <w:r w:rsidRPr="00CE3087">
        <w:rPr>
          <w:rFonts w:cstheme="minorHAnsi"/>
          <w:i/>
          <w:iCs/>
          <w:color w:val="222222"/>
          <w:szCs w:val="24"/>
          <w:shd w:val="clear" w:color="auto" w:fill="FFFFFF"/>
        </w:rPr>
        <w:t>For the Learning of Mathematics</w:t>
      </w:r>
      <w:r w:rsidRPr="00CE3087">
        <w:rPr>
          <w:rFonts w:cstheme="minorHAnsi"/>
          <w:color w:val="222222"/>
          <w:szCs w:val="24"/>
          <w:shd w:val="clear" w:color="auto" w:fill="FFFFFF"/>
        </w:rPr>
        <w:t>, </w:t>
      </w:r>
      <w:r w:rsidRPr="00CE3087">
        <w:rPr>
          <w:rFonts w:cstheme="minorHAnsi"/>
          <w:i/>
          <w:iCs/>
          <w:color w:val="222222"/>
          <w:szCs w:val="24"/>
          <w:shd w:val="clear" w:color="auto" w:fill="FFFFFF"/>
        </w:rPr>
        <w:t>37</w:t>
      </w:r>
      <w:r w:rsidRPr="00CE3087">
        <w:rPr>
          <w:rFonts w:cstheme="minorHAnsi"/>
          <w:color w:val="222222"/>
          <w:szCs w:val="24"/>
          <w:shd w:val="clear" w:color="auto" w:fill="FFFFFF"/>
        </w:rPr>
        <w:t>(1), pp.35-39.</w:t>
      </w:r>
      <w:r>
        <w:rPr>
          <w:rFonts w:cstheme="minorHAnsi"/>
          <w:color w:val="222222"/>
          <w:szCs w:val="24"/>
          <w:shd w:val="clear" w:color="auto" w:fill="FFFFFF"/>
        </w:rPr>
        <w:t xml:space="preserve"> Available at: </w:t>
      </w:r>
      <w:hyperlink r:id="rId10" w:history="1">
        <w:r w:rsidRPr="00BD7B72">
          <w:rPr>
            <w:rStyle w:val="Hyperlink"/>
            <w:rFonts w:cstheme="minorHAnsi"/>
            <w:szCs w:val="24"/>
            <w:shd w:val="clear" w:color="auto" w:fill="FFFFFF"/>
          </w:rPr>
          <w:t>https://www.researchgate.net/profile/Yasmine-Abtahi/publication/318780971_The_%27More_Knowledgeable_Other%27_A_Necessity_in_the_Zone_of_Proximal_Development/links/5c08668b299bf139c741be60/The-More-Knowledgeable-Other-A-Necessity-in-the-Zone-of-Proximal-Development.pdf</w:t>
        </w:r>
      </w:hyperlink>
      <w:r>
        <w:rPr>
          <w:rFonts w:cstheme="minorHAnsi"/>
          <w:color w:val="222222"/>
          <w:szCs w:val="24"/>
          <w:shd w:val="clear" w:color="auto" w:fill="FFFFFF"/>
        </w:rPr>
        <w:t>. (Accessed 6</w:t>
      </w:r>
      <w:r w:rsidRPr="00CE3087">
        <w:rPr>
          <w:rFonts w:cstheme="minorHAnsi"/>
          <w:color w:val="222222"/>
          <w:szCs w:val="24"/>
          <w:shd w:val="clear" w:color="auto" w:fill="FFFFFF"/>
          <w:vertAlign w:val="superscript"/>
        </w:rPr>
        <w:t>th</w:t>
      </w:r>
      <w:r>
        <w:rPr>
          <w:rFonts w:cstheme="minorHAnsi"/>
          <w:color w:val="222222"/>
          <w:szCs w:val="24"/>
          <w:shd w:val="clear" w:color="auto" w:fill="FFFFFF"/>
        </w:rPr>
        <w:t xml:space="preserve"> March 2021).</w:t>
      </w:r>
    </w:p>
    <w:p w14:paraId="4205FDF4" w14:textId="77777777" w:rsidR="00AE1963" w:rsidRPr="00177CD4" w:rsidRDefault="00AE1963" w:rsidP="00AE1963">
      <w:pPr>
        <w:pStyle w:val="ListParagraph"/>
        <w:numPr>
          <w:ilvl w:val="0"/>
          <w:numId w:val="37"/>
        </w:numPr>
        <w:spacing w:after="160" w:line="259" w:lineRule="auto"/>
        <w:rPr>
          <w:rFonts w:cstheme="minorHAnsi"/>
          <w:szCs w:val="24"/>
        </w:rPr>
      </w:pPr>
      <w:r w:rsidRPr="00177CD4">
        <w:rPr>
          <w:rFonts w:cstheme="minorHAnsi"/>
          <w:szCs w:val="24"/>
          <w:shd w:val="clear" w:color="auto" w:fill="FFFFFF"/>
        </w:rPr>
        <w:t>Banister C., (2020) Exploring peer feedback processes and peer feedback meta-dialogues with learners of academic and business English. </w:t>
      </w:r>
      <w:r w:rsidRPr="00177CD4">
        <w:rPr>
          <w:rFonts w:cstheme="minorHAnsi"/>
          <w:i/>
          <w:iCs/>
          <w:szCs w:val="24"/>
          <w:shd w:val="clear" w:color="auto" w:fill="FFFFFF"/>
        </w:rPr>
        <w:t>Language Teaching Research</w:t>
      </w:r>
      <w:r w:rsidRPr="00177CD4">
        <w:rPr>
          <w:rFonts w:cstheme="minorHAnsi"/>
          <w:szCs w:val="24"/>
          <w:shd w:val="clear" w:color="auto" w:fill="FFFFFF"/>
        </w:rPr>
        <w:t xml:space="preserve">. Available at: </w:t>
      </w:r>
      <w:hyperlink r:id="rId11" w:history="1">
        <w:r w:rsidRPr="00177CD4">
          <w:rPr>
            <w:rStyle w:val="Hyperlink"/>
            <w:rFonts w:cstheme="minorHAnsi"/>
            <w:color w:val="auto"/>
            <w:szCs w:val="24"/>
            <w:shd w:val="clear" w:color="auto" w:fill="FFFFFF"/>
          </w:rPr>
          <w:t>https://journals.sagepub.com/doi/full/10.1177/1362168820952222</w:t>
        </w:r>
      </w:hyperlink>
      <w:r w:rsidRPr="00177CD4">
        <w:rPr>
          <w:rFonts w:cstheme="minorHAnsi"/>
          <w:szCs w:val="24"/>
          <w:shd w:val="clear" w:color="auto" w:fill="FFFFFF"/>
        </w:rPr>
        <w:t>. (Accessed 6</w:t>
      </w:r>
      <w:r w:rsidRPr="00177CD4">
        <w:rPr>
          <w:rFonts w:cstheme="minorHAnsi"/>
          <w:szCs w:val="24"/>
          <w:shd w:val="clear" w:color="auto" w:fill="FFFFFF"/>
          <w:vertAlign w:val="superscript"/>
        </w:rPr>
        <w:t>th</w:t>
      </w:r>
      <w:r w:rsidRPr="00177CD4">
        <w:rPr>
          <w:rFonts w:cstheme="minorHAnsi"/>
          <w:szCs w:val="24"/>
          <w:shd w:val="clear" w:color="auto" w:fill="FFFFFF"/>
        </w:rPr>
        <w:t xml:space="preserve"> March 2021).</w:t>
      </w:r>
    </w:p>
    <w:p w14:paraId="7AEC4FBB" w14:textId="77777777" w:rsidR="00AE1963" w:rsidRPr="00CE3087" w:rsidRDefault="00AE1963" w:rsidP="00AE1963">
      <w:pPr>
        <w:pStyle w:val="ListParagraph"/>
        <w:rPr>
          <w:rFonts w:cstheme="minorHAnsi"/>
          <w:szCs w:val="24"/>
        </w:rPr>
      </w:pPr>
      <w:r w:rsidRPr="00CE3087">
        <w:rPr>
          <w:rStyle w:val="Hyperlink"/>
          <w:rFonts w:cstheme="minorHAnsi"/>
          <w:color w:val="auto"/>
          <w:szCs w:val="24"/>
        </w:rPr>
        <w:t xml:space="preserve">Coe, R., Raugh, C.J., Kime, S., and Singleton, D., 2020. The Great Teaching Toolkit Evidence Review. </w:t>
      </w:r>
      <w:r w:rsidRPr="00CE3087">
        <w:rPr>
          <w:rStyle w:val="Hyperlink"/>
          <w:rFonts w:cstheme="minorHAnsi"/>
          <w:i/>
          <w:color w:val="auto"/>
          <w:szCs w:val="24"/>
        </w:rPr>
        <w:t xml:space="preserve">Evidence Based Education. </w:t>
      </w:r>
      <w:r w:rsidRPr="00CE3087">
        <w:rPr>
          <w:rStyle w:val="Hyperlink"/>
          <w:rFonts w:cstheme="minorHAnsi"/>
          <w:color w:val="auto"/>
          <w:szCs w:val="24"/>
        </w:rPr>
        <w:t>Available at:</w:t>
      </w:r>
      <w:r w:rsidRPr="00CE3087">
        <w:rPr>
          <w:rFonts w:cstheme="minorHAnsi"/>
          <w:szCs w:val="24"/>
        </w:rPr>
        <w:t xml:space="preserve"> </w:t>
      </w:r>
      <w:hyperlink r:id="rId12" w:history="1">
        <w:r w:rsidRPr="00CE3087">
          <w:rPr>
            <w:rStyle w:val="Hyperlink"/>
            <w:rFonts w:cstheme="minorHAnsi"/>
            <w:szCs w:val="24"/>
          </w:rPr>
          <w:t>https://www.cambridgeinternational.org/support-and-training-for-schools/teaching-cambridge-at-your-school/great-teaching-toolkit/</w:t>
        </w:r>
      </w:hyperlink>
      <w:r w:rsidRPr="00CE3087">
        <w:rPr>
          <w:rStyle w:val="Hyperlink"/>
          <w:rFonts w:cstheme="minorHAnsi"/>
          <w:color w:val="auto"/>
          <w:szCs w:val="24"/>
        </w:rPr>
        <w:t>. (Accessed 6</w:t>
      </w:r>
      <w:r w:rsidRPr="00CE3087">
        <w:rPr>
          <w:rStyle w:val="Hyperlink"/>
          <w:rFonts w:cstheme="minorHAnsi"/>
          <w:color w:val="auto"/>
          <w:szCs w:val="24"/>
          <w:vertAlign w:val="superscript"/>
        </w:rPr>
        <w:t>th</w:t>
      </w:r>
      <w:r w:rsidRPr="00CE3087">
        <w:rPr>
          <w:rStyle w:val="Hyperlink"/>
          <w:rFonts w:cstheme="minorHAnsi"/>
          <w:color w:val="auto"/>
          <w:szCs w:val="24"/>
        </w:rPr>
        <w:t xml:space="preserve"> December 2020).</w:t>
      </w:r>
    </w:p>
    <w:p w14:paraId="56BBADD2" w14:textId="77777777" w:rsidR="00AE1963" w:rsidRPr="00CE3087" w:rsidRDefault="00AE1963" w:rsidP="00AE1963">
      <w:pPr>
        <w:pStyle w:val="ListParagraph"/>
        <w:numPr>
          <w:ilvl w:val="0"/>
          <w:numId w:val="37"/>
        </w:numPr>
        <w:spacing w:after="160" w:line="259" w:lineRule="auto"/>
        <w:rPr>
          <w:rFonts w:cstheme="minorHAnsi"/>
          <w:szCs w:val="24"/>
        </w:rPr>
      </w:pPr>
      <w:r w:rsidRPr="00CE3087">
        <w:rPr>
          <w:rStyle w:val="Hyperlink"/>
          <w:rFonts w:cstheme="minorHAnsi"/>
          <w:color w:val="auto"/>
          <w:szCs w:val="24"/>
          <w:u w:val="none"/>
        </w:rPr>
        <w:t xml:space="preserve">Donaldson, (2015). </w:t>
      </w:r>
      <w:r w:rsidRPr="00CE3087">
        <w:rPr>
          <w:rStyle w:val="Hyperlink"/>
          <w:rFonts w:cstheme="minorHAnsi"/>
          <w:i/>
          <w:color w:val="auto"/>
          <w:szCs w:val="24"/>
          <w:u w:val="none"/>
        </w:rPr>
        <w:t>Successful Futures</w:t>
      </w:r>
      <w:r w:rsidRPr="00CE3087">
        <w:rPr>
          <w:rStyle w:val="Hyperlink"/>
          <w:rFonts w:cstheme="minorHAnsi"/>
          <w:color w:val="auto"/>
          <w:szCs w:val="24"/>
          <w:u w:val="none"/>
        </w:rPr>
        <w:t xml:space="preserve">. Available at: </w:t>
      </w:r>
      <w:hyperlink r:id="rId13" w:history="1">
        <w:r w:rsidRPr="00CE3087">
          <w:rPr>
            <w:rStyle w:val="Hyperlink"/>
            <w:rFonts w:cstheme="minorHAnsi"/>
            <w:color w:val="auto"/>
            <w:szCs w:val="24"/>
            <w:u w:val="none"/>
          </w:rPr>
          <w:t>https://gov.wales/sites/</w:t>
        </w:r>
        <w:r w:rsidRPr="00CE3087">
          <w:rPr>
            <w:rStyle w:val="Hyperlink"/>
            <w:rFonts w:cstheme="minorHAnsi"/>
            <w:color w:val="auto"/>
            <w:szCs w:val="24"/>
            <w:u w:val="none"/>
          </w:rPr>
          <w:t>d</w:t>
        </w:r>
        <w:r w:rsidRPr="00CE3087">
          <w:rPr>
            <w:rStyle w:val="Hyperlink"/>
            <w:rFonts w:cstheme="minorHAnsi"/>
            <w:color w:val="auto"/>
            <w:szCs w:val="24"/>
            <w:u w:val="none"/>
          </w:rPr>
          <w:t>efault/files/publications/2018-03/successful-futures.pdf</w:t>
        </w:r>
      </w:hyperlink>
      <w:r w:rsidRPr="00CE3087">
        <w:rPr>
          <w:rStyle w:val="Hyperlink"/>
          <w:rFonts w:cstheme="minorHAnsi"/>
          <w:color w:val="auto"/>
          <w:szCs w:val="24"/>
          <w:u w:val="none"/>
        </w:rPr>
        <w:t>. (Accessed 6</w:t>
      </w:r>
      <w:r w:rsidRPr="00CE3087">
        <w:rPr>
          <w:rStyle w:val="Hyperlink"/>
          <w:rFonts w:cstheme="minorHAnsi"/>
          <w:color w:val="auto"/>
          <w:szCs w:val="24"/>
          <w:u w:val="none"/>
          <w:vertAlign w:val="superscript"/>
        </w:rPr>
        <w:t>th</w:t>
      </w:r>
      <w:r w:rsidRPr="00CE3087">
        <w:rPr>
          <w:rStyle w:val="Hyperlink"/>
          <w:rFonts w:cstheme="minorHAnsi"/>
          <w:color w:val="auto"/>
          <w:szCs w:val="24"/>
          <w:u w:val="none"/>
        </w:rPr>
        <w:t xml:space="preserve"> March 2021)</w:t>
      </w:r>
    </w:p>
    <w:p w14:paraId="790838E9" w14:textId="77777777" w:rsidR="00AE1963" w:rsidRPr="00CE3087" w:rsidRDefault="00AE1963" w:rsidP="00AE1963">
      <w:pPr>
        <w:pStyle w:val="ListParagraph"/>
        <w:numPr>
          <w:ilvl w:val="0"/>
          <w:numId w:val="37"/>
        </w:numPr>
        <w:spacing w:after="160" w:line="259" w:lineRule="auto"/>
        <w:rPr>
          <w:rFonts w:cstheme="minorHAnsi"/>
          <w:szCs w:val="24"/>
        </w:rPr>
      </w:pPr>
      <w:r w:rsidRPr="00CE3087">
        <w:rPr>
          <w:rFonts w:cstheme="minorHAnsi"/>
          <w:color w:val="222222"/>
          <w:szCs w:val="24"/>
          <w:shd w:val="clear" w:color="auto" w:fill="FFFFFF"/>
        </w:rPr>
        <w:t>Gashi-Shatri, Z.F. and Zabeli, N., 2018. Perceptions of students and teachers about the forms and student self-assessment activities in the classroom during the formative assessment. </w:t>
      </w:r>
      <w:r w:rsidRPr="00CE3087">
        <w:rPr>
          <w:rFonts w:cstheme="minorHAnsi"/>
          <w:i/>
          <w:iCs/>
          <w:color w:val="222222"/>
          <w:szCs w:val="24"/>
          <w:shd w:val="clear" w:color="auto" w:fill="FFFFFF"/>
        </w:rPr>
        <w:t>Journal of social studies education research</w:t>
      </w:r>
      <w:r w:rsidRPr="00CE3087">
        <w:rPr>
          <w:rFonts w:cstheme="minorHAnsi"/>
          <w:color w:val="222222"/>
          <w:szCs w:val="24"/>
          <w:shd w:val="clear" w:color="auto" w:fill="FFFFFF"/>
        </w:rPr>
        <w:t>, </w:t>
      </w:r>
      <w:r w:rsidRPr="00CE3087">
        <w:rPr>
          <w:rFonts w:cstheme="minorHAnsi"/>
          <w:i/>
          <w:iCs/>
          <w:color w:val="222222"/>
          <w:szCs w:val="24"/>
          <w:shd w:val="clear" w:color="auto" w:fill="FFFFFF"/>
        </w:rPr>
        <w:t>9</w:t>
      </w:r>
      <w:r w:rsidRPr="00CE3087">
        <w:rPr>
          <w:rFonts w:cstheme="minorHAnsi"/>
          <w:color w:val="222222"/>
          <w:szCs w:val="24"/>
          <w:shd w:val="clear" w:color="auto" w:fill="FFFFFF"/>
        </w:rPr>
        <w:t>(2), pp.28-46.</w:t>
      </w:r>
      <w:r>
        <w:rPr>
          <w:rFonts w:cstheme="minorHAnsi"/>
          <w:color w:val="222222"/>
          <w:szCs w:val="24"/>
          <w:shd w:val="clear" w:color="auto" w:fill="FFFFFF"/>
        </w:rPr>
        <w:t xml:space="preserve"> Available at: </w:t>
      </w:r>
      <w:hyperlink r:id="rId14" w:history="1">
        <w:r w:rsidRPr="00BD7B72">
          <w:rPr>
            <w:rStyle w:val="Hyperlink"/>
            <w:rFonts w:cstheme="minorHAnsi"/>
            <w:szCs w:val="24"/>
            <w:shd w:val="clear" w:color="auto" w:fill="FFFFFF"/>
          </w:rPr>
          <w:t>https://dergipark.org.tr/en/pub/jsser/issue/37944/438280</w:t>
        </w:r>
      </w:hyperlink>
      <w:r>
        <w:rPr>
          <w:rFonts w:cstheme="minorHAnsi"/>
          <w:color w:val="222222"/>
          <w:szCs w:val="24"/>
          <w:shd w:val="clear" w:color="auto" w:fill="FFFFFF"/>
        </w:rPr>
        <w:t>. (Accessed 6</w:t>
      </w:r>
      <w:r w:rsidRPr="00CE3087">
        <w:rPr>
          <w:rFonts w:cstheme="minorHAnsi"/>
          <w:color w:val="222222"/>
          <w:szCs w:val="24"/>
          <w:shd w:val="clear" w:color="auto" w:fill="FFFFFF"/>
          <w:vertAlign w:val="superscript"/>
        </w:rPr>
        <w:t>th</w:t>
      </w:r>
      <w:r>
        <w:rPr>
          <w:rFonts w:cstheme="minorHAnsi"/>
          <w:color w:val="222222"/>
          <w:szCs w:val="24"/>
          <w:shd w:val="clear" w:color="auto" w:fill="FFFFFF"/>
        </w:rPr>
        <w:t xml:space="preserve"> March 2021).</w:t>
      </w:r>
    </w:p>
    <w:p w14:paraId="4B7C4ADD" w14:textId="77777777" w:rsidR="00AE1963" w:rsidRPr="00CE3087" w:rsidRDefault="00AE1963" w:rsidP="00AE1963">
      <w:pPr>
        <w:pStyle w:val="ListParagraph"/>
        <w:numPr>
          <w:ilvl w:val="0"/>
          <w:numId w:val="37"/>
        </w:numPr>
        <w:spacing w:after="160" w:line="259" w:lineRule="auto"/>
        <w:rPr>
          <w:rFonts w:cstheme="minorHAnsi"/>
          <w:szCs w:val="24"/>
        </w:rPr>
      </w:pPr>
      <w:r w:rsidRPr="00CE3087">
        <w:rPr>
          <w:rFonts w:cstheme="minorHAnsi"/>
          <w:color w:val="222222"/>
          <w:szCs w:val="24"/>
          <w:shd w:val="clear" w:color="auto" w:fill="FFFFFF"/>
        </w:rPr>
        <w:t>Hashemifardnia, A., Namaziandost, E. and Sepehri, M., (2019). The effectiveness of giving grade, corrective feedback, and corrective feedback-plus-giving grade on grammatical accuracy. </w:t>
      </w:r>
      <w:r w:rsidRPr="00CE3087">
        <w:rPr>
          <w:rFonts w:cstheme="minorHAnsi"/>
          <w:i/>
          <w:iCs/>
          <w:color w:val="222222"/>
          <w:szCs w:val="24"/>
          <w:shd w:val="clear" w:color="auto" w:fill="FFFFFF"/>
        </w:rPr>
        <w:t>International Journal of Research Studies in Language Learning</w:t>
      </w:r>
      <w:r w:rsidRPr="00CE3087">
        <w:rPr>
          <w:rFonts w:cstheme="minorHAnsi"/>
          <w:color w:val="222222"/>
          <w:szCs w:val="24"/>
          <w:shd w:val="clear" w:color="auto" w:fill="FFFFFF"/>
        </w:rPr>
        <w:t>, </w:t>
      </w:r>
      <w:r w:rsidRPr="00CE3087">
        <w:rPr>
          <w:rFonts w:cstheme="minorHAnsi"/>
          <w:i/>
          <w:iCs/>
          <w:color w:val="222222"/>
          <w:szCs w:val="24"/>
          <w:shd w:val="clear" w:color="auto" w:fill="FFFFFF"/>
        </w:rPr>
        <w:t>8</w:t>
      </w:r>
      <w:r w:rsidRPr="00CE3087">
        <w:rPr>
          <w:rFonts w:cstheme="minorHAnsi"/>
          <w:color w:val="222222"/>
          <w:szCs w:val="24"/>
          <w:shd w:val="clear" w:color="auto" w:fill="FFFFFF"/>
        </w:rPr>
        <w:t>(1), pp.15-27.</w:t>
      </w:r>
      <w:r>
        <w:rPr>
          <w:rFonts w:cstheme="minorHAnsi"/>
          <w:color w:val="222222"/>
          <w:szCs w:val="24"/>
          <w:shd w:val="clear" w:color="auto" w:fill="FFFFFF"/>
        </w:rPr>
        <w:t xml:space="preserve"> Available at: </w:t>
      </w:r>
      <w:hyperlink r:id="rId15" w:history="1">
        <w:r w:rsidRPr="00BD7B72">
          <w:rPr>
            <w:rStyle w:val="Hyperlink"/>
            <w:rFonts w:cstheme="minorHAnsi"/>
            <w:szCs w:val="24"/>
            <w:shd w:val="clear" w:color="auto" w:fill="FFFFFF"/>
          </w:rPr>
          <w:t>https://www.researchgate.net/profile/Ehsan-Namaziandost/publication/330497214_The_effectiveness_of_giving_grade_corrective_feedback_and_corrective_feedback-plus-giving_grade_on_grammatical_accuracy/links/5c42bb23299bf12be3d2b473/The-effectiveness-of-giving-grade-corrective-feedback-and-corrective-feedback-plus-giving-grade-on-grammatical-accuracy.pdf</w:t>
        </w:r>
      </w:hyperlink>
      <w:r>
        <w:rPr>
          <w:rFonts w:cstheme="minorHAnsi"/>
          <w:color w:val="222222"/>
          <w:szCs w:val="24"/>
          <w:shd w:val="clear" w:color="auto" w:fill="FFFFFF"/>
        </w:rPr>
        <w:t>. (Accessed 5</w:t>
      </w:r>
      <w:r w:rsidRPr="00CE3087">
        <w:rPr>
          <w:rFonts w:cstheme="minorHAnsi"/>
          <w:color w:val="222222"/>
          <w:szCs w:val="24"/>
          <w:shd w:val="clear" w:color="auto" w:fill="FFFFFF"/>
          <w:vertAlign w:val="superscript"/>
        </w:rPr>
        <w:t>th</w:t>
      </w:r>
      <w:r>
        <w:rPr>
          <w:rFonts w:cstheme="minorHAnsi"/>
          <w:color w:val="222222"/>
          <w:szCs w:val="24"/>
          <w:shd w:val="clear" w:color="auto" w:fill="FFFFFF"/>
        </w:rPr>
        <w:t xml:space="preserve"> March 2021).</w:t>
      </w:r>
    </w:p>
    <w:p w14:paraId="7A50E2D0" w14:textId="77777777" w:rsidR="00AE1963" w:rsidRPr="00CE3087" w:rsidRDefault="00AE1963" w:rsidP="00AE1963">
      <w:pPr>
        <w:pStyle w:val="ListParagraph"/>
        <w:numPr>
          <w:ilvl w:val="0"/>
          <w:numId w:val="37"/>
        </w:numPr>
        <w:spacing w:after="160" w:line="259" w:lineRule="auto"/>
        <w:rPr>
          <w:rFonts w:cstheme="minorHAnsi"/>
          <w:szCs w:val="24"/>
        </w:rPr>
      </w:pPr>
      <w:r w:rsidRPr="00CE3087">
        <w:rPr>
          <w:rFonts w:cstheme="minorHAnsi"/>
          <w:color w:val="000000"/>
          <w:spacing w:val="-5"/>
          <w:szCs w:val="24"/>
          <w:shd w:val="clear" w:color="auto" w:fill="FFFFFF"/>
        </w:rPr>
        <w:t>Kang, E., &amp; Han, Z. (2015). The Efficacy of Written Corrective Feedback in Improving L2 Written Accuracy: A Meta-Analysis. </w:t>
      </w:r>
      <w:r w:rsidRPr="00CE3087">
        <w:rPr>
          <w:rFonts w:cstheme="minorHAnsi"/>
          <w:i/>
          <w:iCs/>
          <w:color w:val="000000"/>
          <w:spacing w:val="-5"/>
          <w:szCs w:val="24"/>
          <w:shd w:val="clear" w:color="auto" w:fill="FFFFFF"/>
        </w:rPr>
        <w:t>The Modern Language Journal,</w:t>
      </w:r>
      <w:r w:rsidRPr="00CE3087">
        <w:rPr>
          <w:rFonts w:cstheme="minorHAnsi"/>
          <w:color w:val="000000"/>
          <w:spacing w:val="-5"/>
          <w:szCs w:val="24"/>
          <w:shd w:val="clear" w:color="auto" w:fill="FFFFFF"/>
        </w:rPr>
        <w:t> </w:t>
      </w:r>
      <w:r w:rsidRPr="00CE3087">
        <w:rPr>
          <w:rFonts w:cstheme="minorHAnsi"/>
          <w:i/>
          <w:iCs/>
          <w:color w:val="000000"/>
          <w:spacing w:val="-5"/>
          <w:szCs w:val="24"/>
          <w:shd w:val="clear" w:color="auto" w:fill="FFFFFF"/>
        </w:rPr>
        <w:t>99</w:t>
      </w:r>
      <w:r w:rsidRPr="00CE3087">
        <w:rPr>
          <w:rFonts w:cstheme="minorHAnsi"/>
          <w:color w:val="000000"/>
          <w:spacing w:val="-5"/>
          <w:szCs w:val="24"/>
          <w:shd w:val="clear" w:color="auto" w:fill="FFFFFF"/>
        </w:rPr>
        <w:t xml:space="preserve">(1), 1-18. Available at: </w:t>
      </w:r>
      <w:hyperlink r:id="rId16" w:history="1">
        <w:r w:rsidRPr="00CE3087">
          <w:rPr>
            <w:rStyle w:val="Hyperlink"/>
            <w:rFonts w:cstheme="minorHAnsi"/>
            <w:spacing w:val="-5"/>
            <w:szCs w:val="24"/>
            <w:shd w:val="clear" w:color="auto" w:fill="FFFFFF"/>
          </w:rPr>
          <w:t>http://www.jstor.org/stable/43651875</w:t>
        </w:r>
      </w:hyperlink>
      <w:r w:rsidRPr="00CE3087">
        <w:rPr>
          <w:rStyle w:val="Hyperlink"/>
          <w:rFonts w:cstheme="minorHAnsi"/>
          <w:spacing w:val="-5"/>
          <w:szCs w:val="24"/>
          <w:shd w:val="clear" w:color="auto" w:fill="FFFFFF"/>
        </w:rPr>
        <w:t xml:space="preserve">. </w:t>
      </w:r>
      <w:r w:rsidRPr="00CE3087">
        <w:rPr>
          <w:rStyle w:val="Hyperlink"/>
          <w:rFonts w:cstheme="minorHAnsi"/>
          <w:color w:val="auto"/>
          <w:spacing w:val="-5"/>
          <w:szCs w:val="24"/>
          <w:u w:val="none"/>
          <w:shd w:val="clear" w:color="auto" w:fill="FFFFFF"/>
        </w:rPr>
        <w:t>(Accessed 5</w:t>
      </w:r>
      <w:r w:rsidRPr="00CE3087">
        <w:rPr>
          <w:rStyle w:val="Hyperlink"/>
          <w:rFonts w:cstheme="minorHAnsi"/>
          <w:color w:val="auto"/>
          <w:spacing w:val="-5"/>
          <w:szCs w:val="24"/>
          <w:u w:val="none"/>
          <w:shd w:val="clear" w:color="auto" w:fill="FFFFFF"/>
          <w:vertAlign w:val="superscript"/>
        </w:rPr>
        <w:t>th</w:t>
      </w:r>
      <w:r w:rsidRPr="00CE3087">
        <w:rPr>
          <w:rStyle w:val="Hyperlink"/>
          <w:rFonts w:cstheme="minorHAnsi"/>
          <w:color w:val="auto"/>
          <w:spacing w:val="-5"/>
          <w:szCs w:val="24"/>
          <w:u w:val="none"/>
          <w:shd w:val="clear" w:color="auto" w:fill="FFFFFF"/>
        </w:rPr>
        <w:t xml:space="preserve"> March 2021).</w:t>
      </w:r>
    </w:p>
    <w:p w14:paraId="0C1A404C" w14:textId="77777777" w:rsidR="00AE1963" w:rsidRPr="00177CD4" w:rsidRDefault="00AE1963" w:rsidP="00AE1963">
      <w:pPr>
        <w:pStyle w:val="ListParagraph"/>
        <w:numPr>
          <w:ilvl w:val="0"/>
          <w:numId w:val="37"/>
        </w:numPr>
        <w:spacing w:after="160" w:line="259" w:lineRule="auto"/>
        <w:rPr>
          <w:rFonts w:cstheme="minorHAnsi"/>
          <w:szCs w:val="24"/>
        </w:rPr>
      </w:pPr>
      <w:r w:rsidRPr="00177CD4">
        <w:rPr>
          <w:rFonts w:cstheme="minorHAnsi"/>
          <w:szCs w:val="24"/>
          <w:shd w:val="clear" w:color="auto" w:fill="FFFFFF"/>
        </w:rPr>
        <w:t>Latifi, S., Noroozi, O., and Talaee, E., (2021). Peer feedback or peer feedforward? Enhancing students’ argumentative peer learning processes and outcomes. </w:t>
      </w:r>
      <w:r w:rsidRPr="00177CD4">
        <w:rPr>
          <w:rFonts w:cstheme="minorHAnsi"/>
          <w:i/>
          <w:iCs/>
          <w:szCs w:val="24"/>
          <w:shd w:val="clear" w:color="auto" w:fill="FFFFFF"/>
        </w:rPr>
        <w:t>British journal of educational technology</w:t>
      </w:r>
      <w:r w:rsidRPr="00177CD4">
        <w:rPr>
          <w:rFonts w:cstheme="minorHAnsi"/>
          <w:szCs w:val="24"/>
          <w:shd w:val="clear" w:color="auto" w:fill="FFFFFF"/>
        </w:rPr>
        <w:t>, 52(2), pp.768–784. Available at:</w:t>
      </w:r>
      <w:r w:rsidRPr="00177CD4">
        <w:t xml:space="preserve"> </w:t>
      </w:r>
      <w:hyperlink r:id="rId17" w:history="1">
        <w:r w:rsidRPr="00177CD4">
          <w:rPr>
            <w:rStyle w:val="Hyperlink"/>
            <w:rFonts w:cstheme="minorHAnsi"/>
            <w:color w:val="auto"/>
            <w:szCs w:val="24"/>
            <w:shd w:val="clear" w:color="auto" w:fill="FFFFFF"/>
          </w:rPr>
          <w:t>https://bera-</w:t>
        </w:r>
        <w:r w:rsidRPr="00177CD4">
          <w:rPr>
            <w:rStyle w:val="Hyperlink"/>
            <w:rFonts w:cstheme="minorHAnsi"/>
            <w:color w:val="auto"/>
            <w:szCs w:val="24"/>
            <w:shd w:val="clear" w:color="auto" w:fill="FFFFFF"/>
          </w:rPr>
          <w:lastRenderedPageBreak/>
          <w:t>journals.onlinelibrary.wiley.com/doi/abs/10.1111/bjet.13054</w:t>
        </w:r>
      </w:hyperlink>
      <w:r w:rsidRPr="00177CD4">
        <w:rPr>
          <w:rFonts w:cstheme="minorHAnsi"/>
          <w:szCs w:val="24"/>
          <w:shd w:val="clear" w:color="auto" w:fill="FFFFFF"/>
        </w:rPr>
        <w:t>. (Accessed 5</w:t>
      </w:r>
      <w:r w:rsidRPr="00177CD4">
        <w:rPr>
          <w:rFonts w:cstheme="minorHAnsi"/>
          <w:szCs w:val="24"/>
          <w:shd w:val="clear" w:color="auto" w:fill="FFFFFF"/>
          <w:vertAlign w:val="superscript"/>
        </w:rPr>
        <w:t>th</w:t>
      </w:r>
      <w:r w:rsidRPr="00177CD4">
        <w:rPr>
          <w:rFonts w:cstheme="minorHAnsi"/>
          <w:szCs w:val="24"/>
          <w:shd w:val="clear" w:color="auto" w:fill="FFFFFF"/>
        </w:rPr>
        <w:t xml:space="preserve"> March 2021).</w:t>
      </w:r>
    </w:p>
    <w:p w14:paraId="66216B77" w14:textId="77777777" w:rsidR="00AE1963" w:rsidRPr="00177CD4" w:rsidRDefault="00AE1963" w:rsidP="00AE1963">
      <w:pPr>
        <w:pStyle w:val="ListParagraph"/>
        <w:numPr>
          <w:ilvl w:val="0"/>
          <w:numId w:val="37"/>
        </w:numPr>
        <w:spacing w:after="160" w:line="259" w:lineRule="auto"/>
        <w:rPr>
          <w:rFonts w:cstheme="minorHAnsi"/>
          <w:szCs w:val="24"/>
        </w:rPr>
      </w:pPr>
      <w:r w:rsidRPr="00177CD4">
        <w:rPr>
          <w:rFonts w:cstheme="minorHAnsi"/>
          <w:szCs w:val="24"/>
          <w:shd w:val="clear" w:color="auto" w:fill="FFFFFF"/>
        </w:rPr>
        <w:t>Patchan, M.,, Schunn, C., and Correnti, R., (2016). The Nature of Feedback: How Peer Feedback Features Affect Students' Implementation Rate and Quality of Revisions. </w:t>
      </w:r>
      <w:r w:rsidRPr="00177CD4">
        <w:rPr>
          <w:rFonts w:cstheme="minorHAnsi"/>
          <w:i/>
          <w:iCs/>
          <w:szCs w:val="24"/>
          <w:shd w:val="clear" w:color="auto" w:fill="FFFFFF"/>
        </w:rPr>
        <w:t>Journal of Educational Psychology</w:t>
      </w:r>
      <w:r w:rsidRPr="00177CD4">
        <w:rPr>
          <w:rFonts w:cstheme="minorHAnsi"/>
          <w:szCs w:val="24"/>
          <w:shd w:val="clear" w:color="auto" w:fill="FFFFFF"/>
        </w:rPr>
        <w:t>, 108(8), pp.1098–1120.</w:t>
      </w:r>
      <w:r>
        <w:rPr>
          <w:rFonts w:cstheme="minorHAnsi"/>
          <w:szCs w:val="24"/>
          <w:shd w:val="clear" w:color="auto" w:fill="FFFFFF"/>
        </w:rPr>
        <w:t xml:space="preserve"> Available at: </w:t>
      </w:r>
      <w:hyperlink r:id="rId18" w:history="1">
        <w:r w:rsidRPr="00BD7B72">
          <w:rPr>
            <w:rStyle w:val="Hyperlink"/>
            <w:rFonts w:cstheme="minorHAnsi"/>
            <w:szCs w:val="24"/>
            <w:shd w:val="clear" w:color="auto" w:fill="FFFFFF"/>
          </w:rPr>
          <w:t>https://psycnet.apa.org/doiLanding?doi=10.1037%2Fedu0000103</w:t>
        </w:r>
      </w:hyperlink>
      <w:r>
        <w:rPr>
          <w:rFonts w:cstheme="minorHAnsi"/>
          <w:szCs w:val="24"/>
          <w:shd w:val="clear" w:color="auto" w:fill="FFFFFF"/>
        </w:rPr>
        <w:t>. (Accessed 5</w:t>
      </w:r>
      <w:r w:rsidRPr="00177CD4">
        <w:rPr>
          <w:rFonts w:cstheme="minorHAnsi"/>
          <w:szCs w:val="24"/>
          <w:shd w:val="clear" w:color="auto" w:fill="FFFFFF"/>
          <w:vertAlign w:val="superscript"/>
        </w:rPr>
        <w:t>th</w:t>
      </w:r>
      <w:r>
        <w:rPr>
          <w:rFonts w:cstheme="minorHAnsi"/>
          <w:szCs w:val="24"/>
          <w:shd w:val="clear" w:color="auto" w:fill="FFFFFF"/>
        </w:rPr>
        <w:t xml:space="preserve"> March 2021).</w:t>
      </w:r>
    </w:p>
    <w:p w14:paraId="2B24957D" w14:textId="77777777" w:rsidR="00AE1963" w:rsidRPr="00CE3087" w:rsidRDefault="00AE1963" w:rsidP="00AE1963">
      <w:pPr>
        <w:pStyle w:val="ListParagraph"/>
        <w:numPr>
          <w:ilvl w:val="0"/>
          <w:numId w:val="37"/>
        </w:numPr>
        <w:spacing w:after="160" w:line="259" w:lineRule="auto"/>
        <w:rPr>
          <w:rFonts w:cstheme="minorHAnsi"/>
          <w:szCs w:val="24"/>
        </w:rPr>
      </w:pPr>
      <w:r w:rsidRPr="00CE3087">
        <w:rPr>
          <w:rFonts w:cstheme="minorHAnsi"/>
          <w:szCs w:val="24"/>
        </w:rPr>
        <w:t xml:space="preserve">Rolheiser and Ross (2013). Student Self-Evaluation : What Research Says And What Practice Shows. Available at: </w:t>
      </w:r>
      <w:hyperlink r:id="rId19" w:history="1">
        <w:r w:rsidRPr="00CE3087">
          <w:rPr>
            <w:rStyle w:val="Hyperlink"/>
            <w:rFonts w:cstheme="minorHAnsi"/>
            <w:szCs w:val="24"/>
          </w:rPr>
          <w:t>http://eloewen.pbworks.com/w/file/fetch/118309278/Student%20Self%20Evaluation%20What%20Research%20Says%20and%20What%20Practice%20Shows.pdf</w:t>
        </w:r>
      </w:hyperlink>
      <w:r w:rsidRPr="00CE3087">
        <w:rPr>
          <w:rFonts w:cstheme="minorHAnsi"/>
          <w:szCs w:val="24"/>
        </w:rPr>
        <w:t>. (Accessed: 6</w:t>
      </w:r>
      <w:r w:rsidRPr="00CE3087">
        <w:rPr>
          <w:rFonts w:cstheme="minorHAnsi"/>
          <w:szCs w:val="24"/>
          <w:vertAlign w:val="superscript"/>
        </w:rPr>
        <w:t>th</w:t>
      </w:r>
      <w:r w:rsidRPr="00CE3087">
        <w:rPr>
          <w:rFonts w:cstheme="minorHAnsi"/>
          <w:szCs w:val="24"/>
        </w:rPr>
        <w:t xml:space="preserve"> March 2021).</w:t>
      </w:r>
    </w:p>
    <w:p w14:paraId="3587AD69" w14:textId="77777777" w:rsidR="00AE1963" w:rsidRPr="00177CD4" w:rsidRDefault="00AE1963" w:rsidP="00AE1963">
      <w:pPr>
        <w:pStyle w:val="ListParagraph"/>
        <w:numPr>
          <w:ilvl w:val="0"/>
          <w:numId w:val="37"/>
        </w:numPr>
        <w:spacing w:after="160" w:line="259" w:lineRule="auto"/>
        <w:rPr>
          <w:rFonts w:cstheme="minorHAnsi"/>
          <w:szCs w:val="24"/>
        </w:rPr>
      </w:pPr>
      <w:r w:rsidRPr="00177CD4">
        <w:rPr>
          <w:rFonts w:cstheme="minorHAnsi"/>
          <w:szCs w:val="24"/>
          <w:shd w:val="clear" w:color="auto" w:fill="FFFFFF"/>
        </w:rPr>
        <w:t>R</w:t>
      </w:r>
      <w:r>
        <w:rPr>
          <w:rFonts w:cstheme="minorHAnsi"/>
          <w:szCs w:val="24"/>
          <w:shd w:val="clear" w:color="auto" w:fill="FFFFFF"/>
        </w:rPr>
        <w:t xml:space="preserve">otsaert, T., et al., </w:t>
      </w:r>
      <w:r w:rsidRPr="00177CD4">
        <w:rPr>
          <w:rFonts w:cstheme="minorHAnsi"/>
          <w:szCs w:val="24"/>
          <w:shd w:val="clear" w:color="auto" w:fill="FFFFFF"/>
        </w:rPr>
        <w:t>(2018). “Now you know what you’re doing right and wrong!” Peer feedback quality in synchronous peer assessment in secondary education. </w:t>
      </w:r>
      <w:r w:rsidRPr="00177CD4">
        <w:rPr>
          <w:rFonts w:cstheme="minorHAnsi"/>
          <w:i/>
          <w:iCs/>
          <w:szCs w:val="24"/>
          <w:shd w:val="clear" w:color="auto" w:fill="FFFFFF"/>
        </w:rPr>
        <w:t>European journal of psychology of education</w:t>
      </w:r>
      <w:r w:rsidRPr="00177CD4">
        <w:rPr>
          <w:rFonts w:cstheme="minorHAnsi"/>
          <w:szCs w:val="24"/>
          <w:shd w:val="clear" w:color="auto" w:fill="FFFFFF"/>
        </w:rPr>
        <w:t xml:space="preserve">, 33(2), pp.255–275. Available at: </w:t>
      </w:r>
      <w:hyperlink r:id="rId20" w:history="1">
        <w:r w:rsidRPr="00177CD4">
          <w:rPr>
            <w:rStyle w:val="Hyperlink"/>
            <w:rFonts w:cstheme="minorHAnsi"/>
            <w:color w:val="auto"/>
            <w:szCs w:val="24"/>
            <w:shd w:val="clear" w:color="auto" w:fill="FFFFFF"/>
          </w:rPr>
          <w:t>https://link.springer.com/article/10.1007/s10212-017-0329-x</w:t>
        </w:r>
      </w:hyperlink>
      <w:r w:rsidRPr="00177CD4">
        <w:rPr>
          <w:rFonts w:cstheme="minorHAnsi"/>
          <w:szCs w:val="24"/>
          <w:shd w:val="clear" w:color="auto" w:fill="FFFFFF"/>
        </w:rPr>
        <w:t>. (Accessed 5</w:t>
      </w:r>
      <w:r w:rsidRPr="00177CD4">
        <w:rPr>
          <w:rFonts w:cstheme="minorHAnsi"/>
          <w:szCs w:val="24"/>
          <w:shd w:val="clear" w:color="auto" w:fill="FFFFFF"/>
          <w:vertAlign w:val="superscript"/>
        </w:rPr>
        <w:t>th</w:t>
      </w:r>
      <w:r w:rsidRPr="00177CD4">
        <w:rPr>
          <w:rFonts w:cstheme="minorHAnsi"/>
          <w:szCs w:val="24"/>
          <w:shd w:val="clear" w:color="auto" w:fill="FFFFFF"/>
        </w:rPr>
        <w:t xml:space="preserve"> March 2021).</w:t>
      </w:r>
    </w:p>
    <w:p w14:paraId="3114562F" w14:textId="77777777" w:rsidR="00AE1963" w:rsidRPr="00CE3087" w:rsidRDefault="00AE1963" w:rsidP="00AE1963">
      <w:pPr>
        <w:pStyle w:val="ListParagraph"/>
        <w:numPr>
          <w:ilvl w:val="0"/>
          <w:numId w:val="37"/>
        </w:numPr>
        <w:spacing w:after="160" w:line="259" w:lineRule="auto"/>
        <w:rPr>
          <w:rFonts w:cstheme="minorHAnsi"/>
          <w:szCs w:val="24"/>
        </w:rPr>
      </w:pPr>
      <w:r w:rsidRPr="00CE3087">
        <w:rPr>
          <w:rFonts w:cstheme="minorHAnsi"/>
          <w:color w:val="000000"/>
          <w:spacing w:val="-5"/>
          <w:szCs w:val="24"/>
          <w:shd w:val="clear" w:color="auto" w:fill="FFFFFF"/>
        </w:rPr>
        <w:t>Sadler, D. (1989). Formative assessment and the design of instructional systems. </w:t>
      </w:r>
      <w:r w:rsidRPr="00CE3087">
        <w:rPr>
          <w:rFonts w:cstheme="minorHAnsi"/>
          <w:i/>
          <w:iCs/>
          <w:color w:val="000000"/>
          <w:spacing w:val="-5"/>
          <w:szCs w:val="24"/>
          <w:shd w:val="clear" w:color="auto" w:fill="FFFFFF"/>
        </w:rPr>
        <w:t>Instructional Science,</w:t>
      </w:r>
      <w:r w:rsidRPr="00CE3087">
        <w:rPr>
          <w:rFonts w:cstheme="minorHAnsi"/>
          <w:color w:val="000000"/>
          <w:spacing w:val="-5"/>
          <w:szCs w:val="24"/>
          <w:shd w:val="clear" w:color="auto" w:fill="FFFFFF"/>
        </w:rPr>
        <w:t> </w:t>
      </w:r>
      <w:r w:rsidRPr="00CE3087">
        <w:rPr>
          <w:rFonts w:cstheme="minorHAnsi"/>
          <w:i/>
          <w:iCs/>
          <w:color w:val="000000"/>
          <w:spacing w:val="-5"/>
          <w:szCs w:val="24"/>
          <w:shd w:val="clear" w:color="auto" w:fill="FFFFFF"/>
        </w:rPr>
        <w:t>18</w:t>
      </w:r>
      <w:r w:rsidRPr="00CE3087">
        <w:rPr>
          <w:rFonts w:cstheme="minorHAnsi"/>
          <w:color w:val="000000"/>
          <w:spacing w:val="-5"/>
          <w:szCs w:val="24"/>
          <w:shd w:val="clear" w:color="auto" w:fill="FFFFFF"/>
        </w:rPr>
        <w:t xml:space="preserve">(2), 119-144. Available at: </w:t>
      </w:r>
      <w:hyperlink r:id="rId21" w:history="1">
        <w:r w:rsidRPr="00CE3087">
          <w:rPr>
            <w:rStyle w:val="Hyperlink"/>
            <w:rFonts w:cstheme="minorHAnsi"/>
            <w:spacing w:val="-5"/>
            <w:szCs w:val="24"/>
            <w:shd w:val="clear" w:color="auto" w:fill="FFFFFF"/>
          </w:rPr>
          <w:t>http://www.jstor.org/stable/23369143</w:t>
        </w:r>
      </w:hyperlink>
      <w:r w:rsidRPr="00CE3087">
        <w:rPr>
          <w:rStyle w:val="Hyperlink"/>
          <w:rFonts w:cstheme="minorHAnsi"/>
          <w:spacing w:val="-5"/>
          <w:szCs w:val="24"/>
          <w:shd w:val="clear" w:color="auto" w:fill="FFFFFF"/>
        </w:rPr>
        <w:t xml:space="preserve">. </w:t>
      </w:r>
      <w:r w:rsidRPr="00CE3087">
        <w:rPr>
          <w:rStyle w:val="Hyperlink"/>
          <w:rFonts w:cstheme="minorHAnsi"/>
          <w:color w:val="auto"/>
          <w:spacing w:val="-5"/>
          <w:szCs w:val="24"/>
          <w:u w:val="none"/>
          <w:shd w:val="clear" w:color="auto" w:fill="FFFFFF"/>
        </w:rPr>
        <w:t>(Accessed 4</w:t>
      </w:r>
      <w:r w:rsidRPr="00CE3087">
        <w:rPr>
          <w:rStyle w:val="Hyperlink"/>
          <w:rFonts w:cstheme="minorHAnsi"/>
          <w:color w:val="auto"/>
          <w:spacing w:val="-5"/>
          <w:szCs w:val="24"/>
          <w:u w:val="none"/>
          <w:shd w:val="clear" w:color="auto" w:fill="FFFFFF"/>
          <w:vertAlign w:val="superscript"/>
        </w:rPr>
        <w:t>th</w:t>
      </w:r>
      <w:r w:rsidRPr="00CE3087">
        <w:rPr>
          <w:rStyle w:val="Hyperlink"/>
          <w:rFonts w:cstheme="minorHAnsi"/>
          <w:color w:val="auto"/>
          <w:spacing w:val="-5"/>
          <w:szCs w:val="24"/>
          <w:u w:val="none"/>
          <w:shd w:val="clear" w:color="auto" w:fill="FFFFFF"/>
        </w:rPr>
        <w:t xml:space="preserve"> March 2021)</w:t>
      </w:r>
      <w:r w:rsidRPr="00CE3087">
        <w:rPr>
          <w:rStyle w:val="Hyperlink"/>
          <w:rFonts w:cstheme="minorHAnsi"/>
          <w:color w:val="auto"/>
          <w:spacing w:val="-5"/>
          <w:szCs w:val="24"/>
          <w:shd w:val="clear" w:color="auto" w:fill="FFFFFF"/>
        </w:rPr>
        <w:t>.</w:t>
      </w:r>
    </w:p>
    <w:p w14:paraId="743B1606" w14:textId="77777777" w:rsidR="00AE1963" w:rsidRPr="00177CD4" w:rsidRDefault="00AE1963" w:rsidP="00AE1963">
      <w:pPr>
        <w:pStyle w:val="ListParagraph"/>
        <w:numPr>
          <w:ilvl w:val="0"/>
          <w:numId w:val="37"/>
        </w:numPr>
        <w:spacing w:after="160" w:line="259" w:lineRule="auto"/>
        <w:rPr>
          <w:rFonts w:cstheme="minorHAnsi"/>
          <w:szCs w:val="24"/>
        </w:rPr>
      </w:pPr>
      <w:r w:rsidRPr="00177CD4">
        <w:rPr>
          <w:rFonts w:cstheme="minorHAnsi"/>
          <w:szCs w:val="24"/>
          <w:shd w:val="clear" w:color="auto" w:fill="FFFFFF"/>
        </w:rPr>
        <w:t>Suzuki, W., Nassaji, H., &amp; Sato, K, (2019). The effects of feedback explicitness and type of target structure on accuracy in revision and new pieces of writing. </w:t>
      </w:r>
      <w:r w:rsidRPr="00177CD4">
        <w:rPr>
          <w:rFonts w:cstheme="minorHAnsi"/>
          <w:i/>
          <w:iCs/>
          <w:szCs w:val="24"/>
          <w:shd w:val="clear" w:color="auto" w:fill="FFFFFF"/>
        </w:rPr>
        <w:t>System (Linköping)</w:t>
      </w:r>
      <w:r w:rsidRPr="00177CD4">
        <w:rPr>
          <w:rFonts w:cstheme="minorHAnsi"/>
          <w:szCs w:val="24"/>
          <w:shd w:val="clear" w:color="auto" w:fill="FFFFFF"/>
        </w:rPr>
        <w:t xml:space="preserve">, 81, pp.135–145. Available at: </w:t>
      </w:r>
      <w:hyperlink r:id="rId22" w:history="1">
        <w:r w:rsidRPr="00177CD4">
          <w:rPr>
            <w:rStyle w:val="Hyperlink"/>
            <w:rFonts w:cstheme="minorHAnsi"/>
            <w:color w:val="auto"/>
            <w:szCs w:val="24"/>
            <w:shd w:val="clear" w:color="auto" w:fill="FFFFFF"/>
          </w:rPr>
          <w:t>https://www.sciencedirect.com/sc</w:t>
        </w:r>
        <w:r w:rsidRPr="00177CD4">
          <w:rPr>
            <w:rStyle w:val="Hyperlink"/>
            <w:rFonts w:cstheme="minorHAnsi"/>
            <w:color w:val="auto"/>
            <w:szCs w:val="24"/>
            <w:shd w:val="clear" w:color="auto" w:fill="FFFFFF"/>
          </w:rPr>
          <w:t>i</w:t>
        </w:r>
        <w:r w:rsidRPr="00177CD4">
          <w:rPr>
            <w:rStyle w:val="Hyperlink"/>
            <w:rFonts w:cstheme="minorHAnsi"/>
            <w:color w:val="auto"/>
            <w:szCs w:val="24"/>
            <w:shd w:val="clear" w:color="auto" w:fill="FFFFFF"/>
          </w:rPr>
          <w:t>ence/article/pii/S0346251X1830191X</w:t>
        </w:r>
      </w:hyperlink>
      <w:r w:rsidRPr="00177CD4">
        <w:rPr>
          <w:rFonts w:cstheme="minorHAnsi"/>
          <w:szCs w:val="24"/>
          <w:shd w:val="clear" w:color="auto" w:fill="FFFFFF"/>
        </w:rPr>
        <w:t>. (Accessed 4</w:t>
      </w:r>
      <w:r w:rsidRPr="00177CD4">
        <w:rPr>
          <w:rFonts w:cstheme="minorHAnsi"/>
          <w:szCs w:val="24"/>
          <w:shd w:val="clear" w:color="auto" w:fill="FFFFFF"/>
          <w:vertAlign w:val="superscript"/>
        </w:rPr>
        <w:t>th</w:t>
      </w:r>
      <w:r w:rsidRPr="00177CD4">
        <w:rPr>
          <w:rFonts w:cstheme="minorHAnsi"/>
          <w:szCs w:val="24"/>
          <w:shd w:val="clear" w:color="auto" w:fill="FFFFFF"/>
        </w:rPr>
        <w:t xml:space="preserve"> March 2021).</w:t>
      </w:r>
    </w:p>
    <w:p w14:paraId="19C8D2ED" w14:textId="77777777" w:rsidR="00AE1963" w:rsidRPr="00177CD4" w:rsidRDefault="00AE1963" w:rsidP="00AE1963">
      <w:pPr>
        <w:pStyle w:val="ListParagraph"/>
        <w:numPr>
          <w:ilvl w:val="0"/>
          <w:numId w:val="37"/>
        </w:numPr>
        <w:spacing w:after="160" w:line="259" w:lineRule="auto"/>
        <w:rPr>
          <w:rFonts w:cstheme="minorHAnsi"/>
          <w:szCs w:val="24"/>
        </w:rPr>
      </w:pPr>
      <w:r w:rsidRPr="00177CD4">
        <w:rPr>
          <w:rFonts w:cstheme="minorHAnsi"/>
          <w:szCs w:val="24"/>
          <w:shd w:val="clear" w:color="auto" w:fill="FFFFFF"/>
        </w:rPr>
        <w:t>Vasileiadou, D., and Karadimitriou, K, (2021). Examining the impact of self-assessment with the use of rubrics on primary school students’ performance. </w:t>
      </w:r>
      <w:r w:rsidRPr="00177CD4">
        <w:rPr>
          <w:rFonts w:cstheme="minorHAnsi"/>
          <w:i/>
          <w:iCs/>
          <w:szCs w:val="24"/>
          <w:shd w:val="clear" w:color="auto" w:fill="FFFFFF"/>
        </w:rPr>
        <w:t>International Journal of Educational Research Open</w:t>
      </w:r>
      <w:r w:rsidRPr="00177CD4">
        <w:rPr>
          <w:rFonts w:cstheme="minorHAnsi"/>
          <w:szCs w:val="24"/>
          <w:shd w:val="clear" w:color="auto" w:fill="FFFFFF"/>
        </w:rPr>
        <w:t xml:space="preserve">, 2-2. Available at: </w:t>
      </w:r>
      <w:hyperlink r:id="rId23" w:history="1">
        <w:r w:rsidRPr="00177CD4">
          <w:rPr>
            <w:rStyle w:val="Hyperlink"/>
            <w:rFonts w:cstheme="minorHAnsi"/>
            <w:color w:val="auto"/>
            <w:szCs w:val="24"/>
            <w:shd w:val="clear" w:color="auto" w:fill="FFFFFF"/>
          </w:rPr>
          <w:t>https://www.sciencedirect.com/science/article/pii/S2666374021000017</w:t>
        </w:r>
      </w:hyperlink>
      <w:r w:rsidRPr="00177CD4">
        <w:rPr>
          <w:rFonts w:cstheme="minorHAnsi"/>
          <w:szCs w:val="24"/>
          <w:shd w:val="clear" w:color="auto" w:fill="FFFFFF"/>
        </w:rPr>
        <w:t>. (Accessed 5</w:t>
      </w:r>
      <w:r w:rsidRPr="00177CD4">
        <w:rPr>
          <w:rFonts w:cstheme="minorHAnsi"/>
          <w:szCs w:val="24"/>
          <w:shd w:val="clear" w:color="auto" w:fill="FFFFFF"/>
          <w:vertAlign w:val="superscript"/>
        </w:rPr>
        <w:t>th</w:t>
      </w:r>
      <w:r w:rsidRPr="00177CD4">
        <w:rPr>
          <w:rFonts w:cstheme="minorHAnsi"/>
          <w:szCs w:val="24"/>
          <w:shd w:val="clear" w:color="auto" w:fill="FFFFFF"/>
        </w:rPr>
        <w:t xml:space="preserve"> March 2021).</w:t>
      </w:r>
    </w:p>
    <w:p w14:paraId="4850938E" w14:textId="77777777" w:rsidR="00AE1963" w:rsidRPr="00CE3087" w:rsidRDefault="00AE1963" w:rsidP="00AE1963">
      <w:pPr>
        <w:pStyle w:val="ListParagraph"/>
        <w:numPr>
          <w:ilvl w:val="0"/>
          <w:numId w:val="37"/>
        </w:numPr>
        <w:spacing w:after="160" w:line="259" w:lineRule="auto"/>
        <w:rPr>
          <w:rFonts w:cstheme="minorHAnsi"/>
          <w:szCs w:val="24"/>
        </w:rPr>
      </w:pPr>
      <w:r w:rsidRPr="00CE3087">
        <w:rPr>
          <w:rFonts w:cstheme="minorHAnsi"/>
          <w:szCs w:val="24"/>
        </w:rPr>
        <w:t xml:space="preserve">Welsh Government, (2020). </w:t>
      </w:r>
      <w:r w:rsidRPr="00CE3087">
        <w:rPr>
          <w:rFonts w:cstheme="minorHAnsi"/>
          <w:i/>
          <w:szCs w:val="24"/>
        </w:rPr>
        <w:t>Curriculum for Wales Guidance</w:t>
      </w:r>
      <w:r w:rsidRPr="00CE3087">
        <w:rPr>
          <w:rFonts w:cstheme="minorHAnsi"/>
          <w:szCs w:val="24"/>
        </w:rPr>
        <w:t xml:space="preserve">. Available at: </w:t>
      </w:r>
      <w:hyperlink r:id="rId24" w:history="1">
        <w:r w:rsidRPr="00CE3087">
          <w:rPr>
            <w:rStyle w:val="Hyperlink"/>
            <w:rFonts w:cstheme="minorHAnsi"/>
            <w:szCs w:val="24"/>
          </w:rPr>
          <w:t>https://hwb.gov.wales/api/storage/afca43eb-5c50-4846-9c2d-0d56fbffba09/curriculum-for-wales-guidance-120320.pdf</w:t>
        </w:r>
      </w:hyperlink>
      <w:r w:rsidRPr="00CE3087">
        <w:rPr>
          <w:rFonts w:cstheme="minorHAnsi"/>
          <w:szCs w:val="24"/>
        </w:rPr>
        <w:t>. (Accessed 6</w:t>
      </w:r>
      <w:r w:rsidRPr="00CE3087">
        <w:rPr>
          <w:rFonts w:cstheme="minorHAnsi"/>
          <w:szCs w:val="24"/>
          <w:vertAlign w:val="superscript"/>
        </w:rPr>
        <w:t>th</w:t>
      </w:r>
      <w:r w:rsidRPr="00CE3087">
        <w:rPr>
          <w:rFonts w:cstheme="minorHAnsi"/>
          <w:szCs w:val="24"/>
        </w:rPr>
        <w:t xml:space="preserve"> March 2021).</w:t>
      </w:r>
    </w:p>
    <w:p w14:paraId="56399709" w14:textId="77777777" w:rsidR="00AE1963" w:rsidRPr="00CE3087" w:rsidRDefault="00AE1963" w:rsidP="00AE1963">
      <w:pPr>
        <w:pStyle w:val="ListParagraph"/>
        <w:numPr>
          <w:ilvl w:val="0"/>
          <w:numId w:val="37"/>
        </w:numPr>
        <w:spacing w:after="160" w:line="259" w:lineRule="auto"/>
        <w:rPr>
          <w:rStyle w:val="Hyperlink"/>
          <w:rFonts w:cstheme="minorHAnsi"/>
          <w:color w:val="auto"/>
          <w:szCs w:val="24"/>
          <w:u w:val="none"/>
        </w:rPr>
      </w:pPr>
      <w:r w:rsidRPr="00CE3087">
        <w:rPr>
          <w:rStyle w:val="Hyperlink"/>
          <w:rFonts w:cstheme="minorHAnsi"/>
          <w:color w:val="auto"/>
          <w:szCs w:val="24"/>
          <w:u w:val="none"/>
        </w:rPr>
        <w:t>We</w:t>
      </w:r>
      <w:r w:rsidRPr="00CE3087">
        <w:rPr>
          <w:rStyle w:val="Hyperlink"/>
          <w:rFonts w:cstheme="minorHAnsi"/>
          <w:color w:val="auto"/>
          <w:szCs w:val="24"/>
        </w:rPr>
        <w:t>l</w:t>
      </w:r>
      <w:r w:rsidRPr="00CE3087">
        <w:rPr>
          <w:rStyle w:val="Hyperlink"/>
          <w:rFonts w:cstheme="minorHAnsi"/>
          <w:color w:val="auto"/>
          <w:szCs w:val="24"/>
          <w:u w:val="none"/>
        </w:rPr>
        <w:t>sh Government, (2020).</w:t>
      </w:r>
      <w:r w:rsidRPr="00CE3087">
        <w:rPr>
          <w:rStyle w:val="Hyperlink"/>
          <w:rFonts w:cstheme="minorHAnsi"/>
          <w:i/>
          <w:color w:val="auto"/>
          <w:szCs w:val="24"/>
          <w:u w:val="none"/>
        </w:rPr>
        <w:t xml:space="preserve"> Developing a Vision for Curriculum Design. Available at:</w:t>
      </w:r>
      <w:r w:rsidRPr="00CE3087">
        <w:rPr>
          <w:rStyle w:val="Hyperlink"/>
          <w:rFonts w:cstheme="minorHAnsi"/>
          <w:color w:val="auto"/>
          <w:szCs w:val="24"/>
        </w:rPr>
        <w:t xml:space="preserve"> </w:t>
      </w:r>
      <w:hyperlink r:id="rId25" w:anchor="curriculum-design-and-the-four-purposes" w:history="1">
        <w:r w:rsidRPr="00CE3087">
          <w:rPr>
            <w:rStyle w:val="Hyperlink"/>
            <w:rFonts w:cstheme="minorHAnsi"/>
            <w:szCs w:val="24"/>
          </w:rPr>
          <w:t>https://hwb.gov.wales/curriculum-for-wales/designing-your-curriculum/developing-a-vision-for-curriculum-design/#curriculum-design-and-the-four-purposes</w:t>
        </w:r>
      </w:hyperlink>
      <w:r w:rsidRPr="00CE3087">
        <w:rPr>
          <w:rStyle w:val="Hyperlink"/>
          <w:rFonts w:cstheme="minorHAnsi"/>
          <w:szCs w:val="24"/>
        </w:rPr>
        <w:t>.</w:t>
      </w:r>
      <w:r w:rsidRPr="00CE3087">
        <w:rPr>
          <w:rStyle w:val="Hyperlink"/>
          <w:rFonts w:cstheme="minorHAnsi"/>
          <w:color w:val="auto"/>
          <w:szCs w:val="24"/>
          <w:u w:val="none"/>
        </w:rPr>
        <w:t xml:space="preserve"> </w:t>
      </w:r>
      <w:r w:rsidRPr="00AE1963">
        <w:rPr>
          <w:rStyle w:val="Hyperlink"/>
          <w:rFonts w:cstheme="minorHAnsi"/>
          <w:color w:val="auto"/>
          <w:szCs w:val="24"/>
          <w:u w:val="none"/>
        </w:rPr>
        <w:t>(Accessed 6</w:t>
      </w:r>
      <w:r w:rsidRPr="00AE1963">
        <w:rPr>
          <w:rStyle w:val="Hyperlink"/>
          <w:rFonts w:cstheme="minorHAnsi"/>
          <w:color w:val="auto"/>
          <w:szCs w:val="24"/>
          <w:u w:val="none"/>
          <w:vertAlign w:val="superscript"/>
        </w:rPr>
        <w:t>th</w:t>
      </w:r>
      <w:r w:rsidRPr="00AE1963">
        <w:rPr>
          <w:rStyle w:val="Hyperlink"/>
          <w:rFonts w:cstheme="minorHAnsi"/>
          <w:color w:val="auto"/>
          <w:szCs w:val="24"/>
          <w:u w:val="none"/>
        </w:rPr>
        <w:t xml:space="preserve"> March 2021).</w:t>
      </w:r>
      <w:bookmarkStart w:id="0" w:name="_GoBack"/>
      <w:bookmarkEnd w:id="0"/>
    </w:p>
    <w:p w14:paraId="0BE4F2FD" w14:textId="77777777" w:rsidR="00A9204E" w:rsidRDefault="00A9204E" w:rsidP="00811007"/>
    <w:sectPr w:rsidR="00A9204E" w:rsidSect="00446402">
      <w:headerReference w:type="default" r:id="rId26"/>
      <w:footerReference w:type="default" r:id="rId27"/>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B6458" w14:textId="77777777" w:rsidR="00BE1CF1" w:rsidRDefault="00BE1CF1" w:rsidP="00446402">
      <w:pPr>
        <w:spacing w:line="240" w:lineRule="auto"/>
      </w:pPr>
      <w:r>
        <w:separator/>
      </w:r>
    </w:p>
  </w:endnote>
  <w:endnote w:type="continuationSeparator" w:id="0">
    <w:p w14:paraId="528A6C24" w14:textId="77777777" w:rsidR="00BE1CF1" w:rsidRDefault="00BE1CF1" w:rsidP="00446402">
      <w:pPr>
        <w:spacing w:line="240" w:lineRule="auto"/>
      </w:pPr>
      <w:r>
        <w:continuationSeparator/>
      </w:r>
    </w:p>
  </w:endnote>
  <w:endnote w:type="continuationNotice" w:id="1">
    <w:p w14:paraId="3A8C19C0" w14:textId="77777777" w:rsidR="00BE1CF1" w:rsidRDefault="00BE1C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AE1963">
          <w:rPr>
            <w:noProof/>
          </w:rPr>
          <w:t>3</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50769" w14:textId="77777777" w:rsidR="00BE1CF1" w:rsidRDefault="00BE1CF1" w:rsidP="00446402">
      <w:pPr>
        <w:spacing w:line="240" w:lineRule="auto"/>
      </w:pPr>
      <w:r>
        <w:separator/>
      </w:r>
    </w:p>
  </w:footnote>
  <w:footnote w:type="continuationSeparator" w:id="0">
    <w:p w14:paraId="12E81664" w14:textId="77777777" w:rsidR="00BE1CF1" w:rsidRDefault="00BE1CF1" w:rsidP="00446402">
      <w:pPr>
        <w:spacing w:line="240" w:lineRule="auto"/>
      </w:pPr>
      <w:r>
        <w:continuationSeparator/>
      </w:r>
    </w:p>
  </w:footnote>
  <w:footnote w:type="continuationNotice" w:id="1">
    <w:p w14:paraId="2AE2270D" w14:textId="77777777" w:rsidR="00BE1CF1" w:rsidRDefault="00BE1CF1">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347082"/>
    <w:multiLevelType w:val="multilevel"/>
    <w:tmpl w:val="0C5E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D5D31E3"/>
    <w:multiLevelType w:val="multilevel"/>
    <w:tmpl w:val="37C04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1530C7"/>
    <w:multiLevelType w:val="multilevel"/>
    <w:tmpl w:val="0BDAE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C60847"/>
    <w:multiLevelType w:val="multilevel"/>
    <w:tmpl w:val="53A69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DB0733"/>
    <w:multiLevelType w:val="multilevel"/>
    <w:tmpl w:val="A06CB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4C6A4276"/>
    <w:multiLevelType w:val="multilevel"/>
    <w:tmpl w:val="C4A6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487496"/>
    <w:multiLevelType w:val="multilevel"/>
    <w:tmpl w:val="E906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8824EB"/>
    <w:multiLevelType w:val="hybridMultilevel"/>
    <w:tmpl w:val="4B4E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237CBC"/>
    <w:multiLevelType w:val="multilevel"/>
    <w:tmpl w:val="009C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205B87"/>
    <w:multiLevelType w:val="hybridMultilevel"/>
    <w:tmpl w:val="1BDC4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008588B"/>
    <w:multiLevelType w:val="multilevel"/>
    <w:tmpl w:val="2F94B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C7D7B"/>
    <w:multiLevelType w:val="multilevel"/>
    <w:tmpl w:val="579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386F12"/>
    <w:multiLevelType w:val="multilevel"/>
    <w:tmpl w:val="C5CA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3D1A48"/>
    <w:multiLevelType w:val="multilevel"/>
    <w:tmpl w:val="C6FEA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8"/>
  </w:num>
  <w:num w:numId="2">
    <w:abstractNumId w:val="13"/>
  </w:num>
  <w:num w:numId="3">
    <w:abstractNumId w:val="11"/>
  </w:num>
  <w:num w:numId="4">
    <w:abstractNumId w:val="33"/>
  </w:num>
  <w:num w:numId="5">
    <w:abstractNumId w:val="14"/>
  </w:num>
  <w:num w:numId="6">
    <w:abstractNumId w:val="21"/>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19"/>
  </w:num>
  <w:num w:numId="20">
    <w:abstractNumId w:val="30"/>
  </w:num>
  <w:num w:numId="21">
    <w:abstractNumId w:val="22"/>
  </w:num>
  <w:num w:numId="22">
    <w:abstractNumId w:val="12"/>
  </w:num>
  <w:num w:numId="23">
    <w:abstractNumId w:val="36"/>
  </w:num>
  <w:num w:numId="24">
    <w:abstractNumId w:val="17"/>
  </w:num>
  <w:num w:numId="25">
    <w:abstractNumId w:val="31"/>
  </w:num>
  <w:num w:numId="26">
    <w:abstractNumId w:val="16"/>
  </w:num>
  <w:num w:numId="27">
    <w:abstractNumId w:val="34"/>
  </w:num>
  <w:num w:numId="28">
    <w:abstractNumId w:val="20"/>
  </w:num>
  <w:num w:numId="29">
    <w:abstractNumId w:val="35"/>
  </w:num>
  <w:num w:numId="30">
    <w:abstractNumId w:val="29"/>
  </w:num>
  <w:num w:numId="31">
    <w:abstractNumId w:val="27"/>
  </w:num>
  <w:num w:numId="32">
    <w:abstractNumId w:val="32"/>
  </w:num>
  <w:num w:numId="33">
    <w:abstractNumId w:val="15"/>
  </w:num>
  <w:num w:numId="34">
    <w:abstractNumId w:val="10"/>
  </w:num>
  <w:num w:numId="35">
    <w:abstractNumId w:val="24"/>
  </w:num>
  <w:num w:numId="36">
    <w:abstractNumId w:val="25"/>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4609"/>
    <w:rsid w:val="00016A2D"/>
    <w:rsid w:val="00034B6F"/>
    <w:rsid w:val="00052612"/>
    <w:rsid w:val="00062768"/>
    <w:rsid w:val="00073696"/>
    <w:rsid w:val="000B389F"/>
    <w:rsid w:val="000B50CC"/>
    <w:rsid w:val="000B6C51"/>
    <w:rsid w:val="000D213D"/>
    <w:rsid w:val="000D4BAD"/>
    <w:rsid w:val="000E5D60"/>
    <w:rsid w:val="000F2DD8"/>
    <w:rsid w:val="001012E5"/>
    <w:rsid w:val="00103F5C"/>
    <w:rsid w:val="00124CA6"/>
    <w:rsid w:val="001305F9"/>
    <w:rsid w:val="001411B0"/>
    <w:rsid w:val="0014197B"/>
    <w:rsid w:val="00162539"/>
    <w:rsid w:val="001929E5"/>
    <w:rsid w:val="001939AE"/>
    <w:rsid w:val="001B27DA"/>
    <w:rsid w:val="001B54E5"/>
    <w:rsid w:val="001C299E"/>
    <w:rsid w:val="001C2B04"/>
    <w:rsid w:val="001C2C9B"/>
    <w:rsid w:val="001C4119"/>
    <w:rsid w:val="001E7B6F"/>
    <w:rsid w:val="001F2A9B"/>
    <w:rsid w:val="001F3049"/>
    <w:rsid w:val="00211693"/>
    <w:rsid w:val="002143EB"/>
    <w:rsid w:val="00217A85"/>
    <w:rsid w:val="00222C78"/>
    <w:rsid w:val="00237B57"/>
    <w:rsid w:val="00241E14"/>
    <w:rsid w:val="00242AE5"/>
    <w:rsid w:val="00244FD3"/>
    <w:rsid w:val="002473E3"/>
    <w:rsid w:val="00292706"/>
    <w:rsid w:val="002952B4"/>
    <w:rsid w:val="002A49CE"/>
    <w:rsid w:val="002B4018"/>
    <w:rsid w:val="002D3811"/>
    <w:rsid w:val="002E626B"/>
    <w:rsid w:val="002F4854"/>
    <w:rsid w:val="002F5491"/>
    <w:rsid w:val="003042C5"/>
    <w:rsid w:val="00314E7F"/>
    <w:rsid w:val="00320FA2"/>
    <w:rsid w:val="003268E8"/>
    <w:rsid w:val="00336A88"/>
    <w:rsid w:val="00351895"/>
    <w:rsid w:val="003529C9"/>
    <w:rsid w:val="00362393"/>
    <w:rsid w:val="00364971"/>
    <w:rsid w:val="003710E8"/>
    <w:rsid w:val="00373964"/>
    <w:rsid w:val="00374B80"/>
    <w:rsid w:val="00374CDA"/>
    <w:rsid w:val="00393F31"/>
    <w:rsid w:val="003A356D"/>
    <w:rsid w:val="003B41BD"/>
    <w:rsid w:val="003C2E97"/>
    <w:rsid w:val="003D093A"/>
    <w:rsid w:val="003D17E0"/>
    <w:rsid w:val="003D369B"/>
    <w:rsid w:val="003F005A"/>
    <w:rsid w:val="003F1057"/>
    <w:rsid w:val="0042458A"/>
    <w:rsid w:val="00433611"/>
    <w:rsid w:val="004459D0"/>
    <w:rsid w:val="00446402"/>
    <w:rsid w:val="00446B14"/>
    <w:rsid w:val="00446C5F"/>
    <w:rsid w:val="004645FA"/>
    <w:rsid w:val="0047355E"/>
    <w:rsid w:val="0049106B"/>
    <w:rsid w:val="004B6D47"/>
    <w:rsid w:val="004C0498"/>
    <w:rsid w:val="004D003F"/>
    <w:rsid w:val="004E7785"/>
    <w:rsid w:val="0050000B"/>
    <w:rsid w:val="00505886"/>
    <w:rsid w:val="005127D7"/>
    <w:rsid w:val="00514992"/>
    <w:rsid w:val="005171FD"/>
    <w:rsid w:val="00534848"/>
    <w:rsid w:val="00552BF1"/>
    <w:rsid w:val="00566446"/>
    <w:rsid w:val="0057097E"/>
    <w:rsid w:val="005801FA"/>
    <w:rsid w:val="00581CF3"/>
    <w:rsid w:val="00583339"/>
    <w:rsid w:val="0059686F"/>
    <w:rsid w:val="00597468"/>
    <w:rsid w:val="005A57BE"/>
    <w:rsid w:val="005A6C1A"/>
    <w:rsid w:val="005B0DCC"/>
    <w:rsid w:val="005C36ED"/>
    <w:rsid w:val="005C660F"/>
    <w:rsid w:val="005F614A"/>
    <w:rsid w:val="00601957"/>
    <w:rsid w:val="00626AD3"/>
    <w:rsid w:val="00633001"/>
    <w:rsid w:val="00643AF3"/>
    <w:rsid w:val="00645252"/>
    <w:rsid w:val="00667EB2"/>
    <w:rsid w:val="0068351A"/>
    <w:rsid w:val="00687CD2"/>
    <w:rsid w:val="006C2910"/>
    <w:rsid w:val="006D3D74"/>
    <w:rsid w:val="007615E5"/>
    <w:rsid w:val="00774A9B"/>
    <w:rsid w:val="0078557A"/>
    <w:rsid w:val="007B32B1"/>
    <w:rsid w:val="007C32AA"/>
    <w:rsid w:val="007D263C"/>
    <w:rsid w:val="00811007"/>
    <w:rsid w:val="008236C9"/>
    <w:rsid w:val="0083066A"/>
    <w:rsid w:val="0083569A"/>
    <w:rsid w:val="008356C7"/>
    <w:rsid w:val="00840603"/>
    <w:rsid w:val="00846548"/>
    <w:rsid w:val="008632A8"/>
    <w:rsid w:val="00865656"/>
    <w:rsid w:val="00875E6A"/>
    <w:rsid w:val="00880895"/>
    <w:rsid w:val="00884CAA"/>
    <w:rsid w:val="008A6017"/>
    <w:rsid w:val="008E7BC3"/>
    <w:rsid w:val="008F713A"/>
    <w:rsid w:val="00901652"/>
    <w:rsid w:val="00927DC7"/>
    <w:rsid w:val="00932BF8"/>
    <w:rsid w:val="009449BE"/>
    <w:rsid w:val="00957ADC"/>
    <w:rsid w:val="00972162"/>
    <w:rsid w:val="009903CE"/>
    <w:rsid w:val="009B3825"/>
    <w:rsid w:val="009D2CD3"/>
    <w:rsid w:val="009D323C"/>
    <w:rsid w:val="009D5399"/>
    <w:rsid w:val="009E100E"/>
    <w:rsid w:val="009F1049"/>
    <w:rsid w:val="00A05A9D"/>
    <w:rsid w:val="00A07E7F"/>
    <w:rsid w:val="00A10EAD"/>
    <w:rsid w:val="00A22C56"/>
    <w:rsid w:val="00A23192"/>
    <w:rsid w:val="00A412F1"/>
    <w:rsid w:val="00A41C53"/>
    <w:rsid w:val="00A42317"/>
    <w:rsid w:val="00A47FD7"/>
    <w:rsid w:val="00A51F96"/>
    <w:rsid w:val="00A60CD4"/>
    <w:rsid w:val="00A77338"/>
    <w:rsid w:val="00A8699C"/>
    <w:rsid w:val="00A9204E"/>
    <w:rsid w:val="00A95C95"/>
    <w:rsid w:val="00AA5D81"/>
    <w:rsid w:val="00AC19FF"/>
    <w:rsid w:val="00AE1963"/>
    <w:rsid w:val="00AF1E68"/>
    <w:rsid w:val="00B112D1"/>
    <w:rsid w:val="00B1305E"/>
    <w:rsid w:val="00B357D8"/>
    <w:rsid w:val="00B44623"/>
    <w:rsid w:val="00B51F01"/>
    <w:rsid w:val="00B5297D"/>
    <w:rsid w:val="00B668DF"/>
    <w:rsid w:val="00B70105"/>
    <w:rsid w:val="00B7010A"/>
    <w:rsid w:val="00B76136"/>
    <w:rsid w:val="00B9167E"/>
    <w:rsid w:val="00BB487E"/>
    <w:rsid w:val="00BE1CF1"/>
    <w:rsid w:val="00BE4330"/>
    <w:rsid w:val="00BF6EA2"/>
    <w:rsid w:val="00BF7BA6"/>
    <w:rsid w:val="00C14875"/>
    <w:rsid w:val="00C16847"/>
    <w:rsid w:val="00C33A95"/>
    <w:rsid w:val="00C34FA3"/>
    <w:rsid w:val="00C42F69"/>
    <w:rsid w:val="00C50527"/>
    <w:rsid w:val="00C60096"/>
    <w:rsid w:val="00C66CE6"/>
    <w:rsid w:val="00C81073"/>
    <w:rsid w:val="00C82DA5"/>
    <w:rsid w:val="00C961EE"/>
    <w:rsid w:val="00CA10E6"/>
    <w:rsid w:val="00CC0CA8"/>
    <w:rsid w:val="00CC5969"/>
    <w:rsid w:val="00CD1E5D"/>
    <w:rsid w:val="00CD53DB"/>
    <w:rsid w:val="00CD5D9F"/>
    <w:rsid w:val="00CD6A23"/>
    <w:rsid w:val="00D45B6B"/>
    <w:rsid w:val="00D545AA"/>
    <w:rsid w:val="00D733CC"/>
    <w:rsid w:val="00D73CF4"/>
    <w:rsid w:val="00D748C2"/>
    <w:rsid w:val="00D800F3"/>
    <w:rsid w:val="00D803B2"/>
    <w:rsid w:val="00DC3E26"/>
    <w:rsid w:val="00DD2369"/>
    <w:rsid w:val="00DD684F"/>
    <w:rsid w:val="00DD766B"/>
    <w:rsid w:val="00DE5494"/>
    <w:rsid w:val="00E02C5E"/>
    <w:rsid w:val="00E26350"/>
    <w:rsid w:val="00E605A3"/>
    <w:rsid w:val="00E60C19"/>
    <w:rsid w:val="00E6399C"/>
    <w:rsid w:val="00E845BE"/>
    <w:rsid w:val="00E95D4E"/>
    <w:rsid w:val="00ED476F"/>
    <w:rsid w:val="00ED772D"/>
    <w:rsid w:val="00EE37F6"/>
    <w:rsid w:val="00EE7FF0"/>
    <w:rsid w:val="00F105EB"/>
    <w:rsid w:val="00F12AF2"/>
    <w:rsid w:val="00F307A2"/>
    <w:rsid w:val="00F5076F"/>
    <w:rsid w:val="00F51C20"/>
    <w:rsid w:val="00F6678C"/>
    <w:rsid w:val="00F673CE"/>
    <w:rsid w:val="00F72EDA"/>
    <w:rsid w:val="00F73165"/>
    <w:rsid w:val="00F755F8"/>
    <w:rsid w:val="00F778CF"/>
    <w:rsid w:val="00F86747"/>
    <w:rsid w:val="00FA2847"/>
    <w:rsid w:val="00FA356C"/>
    <w:rsid w:val="00FB2270"/>
    <w:rsid w:val="00FB3AF0"/>
    <w:rsid w:val="00FB40D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customStyle="1"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774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546611">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468400830">
      <w:bodyDiv w:val="1"/>
      <w:marLeft w:val="0"/>
      <w:marRight w:val="0"/>
      <w:marTop w:val="0"/>
      <w:marBottom w:val="0"/>
      <w:divBdr>
        <w:top w:val="none" w:sz="0" w:space="0" w:color="auto"/>
        <w:left w:val="none" w:sz="0" w:space="0" w:color="auto"/>
        <w:bottom w:val="none" w:sz="0" w:space="0" w:color="auto"/>
        <w:right w:val="none" w:sz="0" w:space="0" w:color="auto"/>
      </w:divBdr>
    </w:div>
    <w:div w:id="644045284">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278371679">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psycnet.apa.org/doiLanding?doi=10.1037%2Fedu0000103"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jstor.org/stable/23369143" TargetMode="External"/><Relationship Id="rId7" Type="http://schemas.openxmlformats.org/officeDocument/2006/relationships/webSettings" Target="webSettings.xml"/><Relationship Id="rId12" Type="http://schemas.openxmlformats.org/officeDocument/2006/relationships/hyperlink" Target="https://www.cambridgeinternational.org/support-and-training-for-schools/teaching-cambridge-at-your-school/great-teaching-toolkit/" TargetMode="External"/><Relationship Id="rId17" Type="http://schemas.openxmlformats.org/officeDocument/2006/relationships/hyperlink" Target="https://bera-journals.onlinelibrary.wiley.com/doi/abs/10.1111/bjet.13054" TargetMode="External"/><Relationship Id="rId25" Type="http://schemas.openxmlformats.org/officeDocument/2006/relationships/hyperlink" Target="https://hwb.gov.wales/curriculum-for-wales/designing-your-curriculum/developing-a-vision-for-curriculum-design/" TargetMode="External"/><Relationship Id="rId2" Type="http://schemas.openxmlformats.org/officeDocument/2006/relationships/customXml" Target="../customXml/item2.xml"/><Relationship Id="rId16" Type="http://schemas.openxmlformats.org/officeDocument/2006/relationships/hyperlink" Target="http://www.jstor.org/stable/43651875" TargetMode="External"/><Relationship Id="rId20" Type="http://schemas.openxmlformats.org/officeDocument/2006/relationships/hyperlink" Target="https://link.springer.com/article/10.1007/s10212-017-0329-x"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full/10.1177/1362168820952222" TargetMode="External"/><Relationship Id="rId24" Type="http://schemas.openxmlformats.org/officeDocument/2006/relationships/hyperlink" Target="https://hwb.gov.wales/api/storage/afca43eb-5c50-4846-9c2d-0d56fbffba09/curriculum-for-wales-guidance-120320.pdf" TargetMode="External"/><Relationship Id="rId5" Type="http://schemas.openxmlformats.org/officeDocument/2006/relationships/styles" Target="styles.xml"/><Relationship Id="rId15" Type="http://schemas.openxmlformats.org/officeDocument/2006/relationships/hyperlink" Target="https://www.researchgate.net/profile/Ehsan-Namaziandost/publication/330497214_The_effectiveness_of_giving_grade_corrective_feedback_and_corrective_feedback-plus-giving_grade_on_grammatical_accuracy/links/5c42bb23299bf12be3d2b473/The-effectiveness-of-giving-grade-corrective-feedback-and-corrective-feedback-plus-giving-grade-on-grammatical-accuracy.pdf" TargetMode="External"/><Relationship Id="rId23" Type="http://schemas.openxmlformats.org/officeDocument/2006/relationships/hyperlink" Target="https://www.sciencedirect.com/science/article/pii/S2666374021000017" TargetMode="External"/><Relationship Id="rId28" Type="http://schemas.openxmlformats.org/officeDocument/2006/relationships/fontTable" Target="fontTable.xml"/><Relationship Id="rId10" Type="http://schemas.openxmlformats.org/officeDocument/2006/relationships/hyperlink" Target="https://www.researchgate.net/profile/Yasmine-Abtahi/publication/318780971_The_%27More_Knowledgeable_Other%27_A_Necessity_in_the_Zone_of_Proximal_Development/links/5c08668b299bf139c741be60/The-More-Knowledgeable-Other-A-Necessity-in-the-Zone-of-Proximal-Development.pdf" TargetMode="External"/><Relationship Id="rId19" Type="http://schemas.openxmlformats.org/officeDocument/2006/relationships/hyperlink" Target="http://eloewen.pbworks.com/w/file/fetch/118309278/Student%20Self%20Evaluation%20What%20Research%20Says%20and%20What%20Practice%20Show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ergipark.org.tr/en/pub/jsser/issue/37944/438280" TargetMode="External"/><Relationship Id="rId22" Type="http://schemas.openxmlformats.org/officeDocument/2006/relationships/hyperlink" Target="https://www.sciencedirect.com/science/article/pii/S0346251X1830191X" TargetMode="External"/><Relationship Id="rId27" Type="http://schemas.openxmlformats.org/officeDocument/2006/relationships/footer" Target="foot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AA2502"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EBAF1A77925B4774BB7C5DAEDCEA8EE0"/>
        <w:category>
          <w:name w:val="General"/>
          <w:gallery w:val="placeholder"/>
        </w:category>
        <w:types>
          <w:type w:val="bbPlcHdr"/>
        </w:types>
        <w:behaviors>
          <w:behavior w:val="content"/>
        </w:behaviors>
        <w:guid w:val="{6A30A2A5-3BD4-4A2D-8BB5-E4FF47BDF0CC}"/>
      </w:docPartPr>
      <w:docPartBody>
        <w:p w:rsidR="00885C9F" w:rsidRDefault="00AA2502" w:rsidP="00AA2502">
          <w:pPr>
            <w:pStyle w:val="EBAF1A77925B4774BB7C5DAEDCEA8EE011"/>
          </w:pPr>
          <w:r w:rsidRPr="00204508">
            <w:rPr>
              <w:rStyle w:val="PlaceholderText"/>
            </w:rPr>
            <w:t>Click or tap here to enter text.</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AA2502"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AA2502"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AA2502" w:rsidP="00025C02">
          <w:pPr>
            <w:pStyle w:val="CAEFB6B4BABD4B41B369FA241AF1319E"/>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1A658F"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1A658F" w:rsidRDefault="00AA2502" w:rsidP="002452EB">
          <w:pPr>
            <w:pStyle w:val="8B3336EA41E04D4291E3F1932019CA5A"/>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E24933"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E24933" w:rsidRDefault="00AA2502" w:rsidP="00AA2502">
          <w:pPr>
            <w:pStyle w:val="13067FAF730F4C9FB9473087EAD2E76C"/>
          </w:pPr>
          <w:r w:rsidRPr="00204508">
            <w:rPr>
              <w:rStyle w:val="PlaceholderText"/>
            </w:rPr>
            <w:t>Choose an item.</w:t>
          </w:r>
        </w:p>
      </w:docPartBody>
    </w:docPart>
    <w:docPart>
      <w:docPartPr>
        <w:name w:val="E9ED6B02E7D649BEB9425DD3FCF38FF2"/>
        <w:category>
          <w:name w:val="General"/>
          <w:gallery w:val="placeholder"/>
        </w:category>
        <w:types>
          <w:type w:val="bbPlcHdr"/>
        </w:types>
        <w:behaviors>
          <w:behavior w:val="content"/>
        </w:behaviors>
        <w:guid w:val="{DBC2152F-028F-4D40-9A4E-A6C8DB891A1A}"/>
      </w:docPartPr>
      <w:docPartBody>
        <w:p w:rsidR="00CB3420" w:rsidRDefault="00E24933" w:rsidP="00E24933">
          <w:pPr>
            <w:pStyle w:val="E9ED6B02E7D649BEB9425DD3FCF38FF2"/>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6ED"/>
    <w:rsid w:val="00025C02"/>
    <w:rsid w:val="0009002B"/>
    <w:rsid w:val="00147DC3"/>
    <w:rsid w:val="00160C0F"/>
    <w:rsid w:val="001A658F"/>
    <w:rsid w:val="002452EB"/>
    <w:rsid w:val="002E6584"/>
    <w:rsid w:val="005C36ED"/>
    <w:rsid w:val="005C4596"/>
    <w:rsid w:val="006F4C24"/>
    <w:rsid w:val="00885C9F"/>
    <w:rsid w:val="008C473D"/>
    <w:rsid w:val="008D2B68"/>
    <w:rsid w:val="00AA2502"/>
    <w:rsid w:val="00B12BC0"/>
    <w:rsid w:val="00B74D74"/>
    <w:rsid w:val="00C433D1"/>
    <w:rsid w:val="00CB3420"/>
    <w:rsid w:val="00D1789E"/>
    <w:rsid w:val="00DA7432"/>
    <w:rsid w:val="00E24933"/>
    <w:rsid w:val="00EA5073"/>
    <w:rsid w:val="00EF7B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2502"/>
    <w:rPr>
      <w:color w:val="3B3838" w:themeColor="background2" w:themeShade="40"/>
    </w:rPr>
  </w:style>
  <w:style w:type="paragraph" w:customStyle="1" w:styleId="A0344876465342F1ADBF1AA36C2FFF7C">
    <w:name w:val="A0344876465342F1ADBF1AA36C2FFF7C"/>
    <w:rsid w:val="005C36ED"/>
    <w:pPr>
      <w:spacing w:after="0" w:line="360" w:lineRule="auto"/>
    </w:pPr>
    <w:rPr>
      <w:rFonts w:eastAsiaTheme="minorHAnsi"/>
      <w:sz w:val="24"/>
      <w:lang w:val="en-US" w:eastAsia="en-US"/>
    </w:rPr>
  </w:style>
  <w:style w:type="paragraph" w:customStyle="1" w:styleId="A0344876465342F1ADBF1AA36C2FFF7C1">
    <w:name w:val="A0344876465342F1ADBF1AA36C2FFF7C1"/>
    <w:rsid w:val="005C36ED"/>
    <w:pPr>
      <w:spacing w:after="0" w:line="360" w:lineRule="auto"/>
    </w:pPr>
    <w:rPr>
      <w:rFonts w:eastAsiaTheme="minorHAnsi"/>
      <w:sz w:val="24"/>
      <w:lang w:val="en-US" w:eastAsia="en-US"/>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
    <w:name w:val="D67B35D7EFF049DF9C685DEDDC17E979"/>
    <w:rsid w:val="005C36ED"/>
  </w:style>
  <w:style w:type="paragraph" w:customStyle="1" w:styleId="9F9EAD98CBA941E9A877D5CF818DBC9E">
    <w:name w:val="9F9EAD98CBA941E9A877D5CF818DBC9E"/>
    <w:rsid w:val="005C36ED"/>
  </w:style>
  <w:style w:type="paragraph" w:customStyle="1" w:styleId="B74A0B0EFDB44C30B0CEA92CD6A8470D">
    <w:name w:val="B74A0B0EFDB44C30B0CEA92CD6A8470D"/>
    <w:rsid w:val="005C36ED"/>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FB7CA648E02D4ACCB9D198F767F3201F">
    <w:name w:val="FB7CA648E02D4ACCB9D198F767F3201F"/>
    <w:rsid w:val="005C36ED"/>
  </w:style>
  <w:style w:type="paragraph" w:customStyle="1" w:styleId="A29F71041C7848DA9A69F3DB9A2CFA4A">
    <w:name w:val="A29F71041C7848DA9A69F3DB9A2CFA4A"/>
    <w:rsid w:val="005C36ED"/>
  </w:style>
  <w:style w:type="paragraph" w:customStyle="1" w:styleId="0BD435398F2B4B4280EF152F7050D9A9">
    <w:name w:val="0BD435398F2B4B4280EF152F7050D9A9"/>
    <w:rsid w:val="005C36ED"/>
  </w:style>
  <w:style w:type="paragraph" w:customStyle="1" w:styleId="6B8B64902D0B449596E59F4F4C0A7541">
    <w:name w:val="6B8B64902D0B449596E59F4F4C0A7541"/>
    <w:rsid w:val="005C36ED"/>
  </w:style>
  <w:style w:type="paragraph" w:customStyle="1" w:styleId="75AB9923AD4845ACA9AEC8A39B47F796">
    <w:name w:val="75AB9923AD4845ACA9AEC8A39B47F796"/>
    <w:rsid w:val="005C36ED"/>
  </w:style>
  <w:style w:type="paragraph" w:customStyle="1" w:styleId="147F87CEB08C467AA00CCF3ECD9FE8D5">
    <w:name w:val="147F87CEB08C467AA00CCF3ECD9FE8D5"/>
    <w:rsid w:val="005C36ED"/>
  </w:style>
  <w:style w:type="paragraph" w:customStyle="1" w:styleId="61D62163DDB444A386343A5E08752B20">
    <w:name w:val="61D62163DDB444A386343A5E08752B20"/>
    <w:rsid w:val="00EA5073"/>
  </w:style>
  <w:style w:type="paragraph" w:customStyle="1" w:styleId="0F777C078B49411D8480F73C81F809DD">
    <w:name w:val="0F777C078B49411D8480F73C81F809DD"/>
    <w:rsid w:val="00EA5073"/>
  </w:style>
  <w:style w:type="paragraph" w:customStyle="1" w:styleId="92B0F9A6749C400BA0B07F648632A851">
    <w:name w:val="92B0F9A6749C400BA0B07F648632A851"/>
    <w:rsid w:val="00EA5073"/>
  </w:style>
  <w:style w:type="paragraph" w:customStyle="1" w:styleId="B30444CE2AE1477FBB086EB605071F80">
    <w:name w:val="B30444CE2AE1477FBB086EB605071F80"/>
    <w:rsid w:val="00EA5073"/>
  </w:style>
  <w:style w:type="paragraph" w:customStyle="1" w:styleId="52E9DB3D555B42C899119215532976B6">
    <w:name w:val="52E9DB3D555B42C899119215532976B6"/>
    <w:rsid w:val="00EA5073"/>
  </w:style>
  <w:style w:type="paragraph" w:customStyle="1" w:styleId="F467585D3BF24B419149CE02C933AA7B">
    <w:name w:val="F467585D3BF24B419149CE02C933AA7B"/>
    <w:rsid w:val="00EA5073"/>
  </w:style>
  <w:style w:type="paragraph" w:customStyle="1" w:styleId="D67B35D7EFF049DF9C685DEDDC17E9791">
    <w:name w:val="D67B35D7EFF049DF9C685DEDDC17E9791"/>
    <w:rsid w:val="00EA5073"/>
    <w:pPr>
      <w:spacing w:after="0" w:line="360" w:lineRule="auto"/>
    </w:pPr>
    <w:rPr>
      <w:rFonts w:eastAsiaTheme="minorHAnsi"/>
      <w:sz w:val="24"/>
      <w:lang w:val="en-US" w:eastAsia="en-US"/>
    </w:rPr>
  </w:style>
  <w:style w:type="paragraph" w:customStyle="1" w:styleId="9F9EAD98CBA941E9A877D5CF818DBC9E1">
    <w:name w:val="9F9EAD98CBA941E9A877D5CF818DBC9E1"/>
    <w:rsid w:val="00EA5073"/>
    <w:pPr>
      <w:spacing w:after="0" w:line="360" w:lineRule="auto"/>
    </w:pPr>
    <w:rPr>
      <w:rFonts w:eastAsiaTheme="minorHAnsi"/>
      <w:sz w:val="24"/>
      <w:lang w:val="en-US" w:eastAsia="en-US"/>
    </w:rPr>
  </w:style>
  <w:style w:type="paragraph" w:customStyle="1" w:styleId="B74A0B0EFDB44C30B0CEA92CD6A8470D1">
    <w:name w:val="B74A0B0EFDB44C30B0CEA92CD6A8470D1"/>
    <w:rsid w:val="00EA5073"/>
    <w:pPr>
      <w:spacing w:after="0" w:line="360" w:lineRule="auto"/>
    </w:pPr>
    <w:rPr>
      <w:rFonts w:eastAsiaTheme="minorHAnsi"/>
      <w:sz w:val="24"/>
      <w:lang w:val="en-US" w:eastAsia="en-US"/>
    </w:rPr>
  </w:style>
  <w:style w:type="paragraph" w:customStyle="1" w:styleId="A87D648A328542B1A63B6416542DFBFD">
    <w:name w:val="A87D648A328542B1A63B6416542DFBFD"/>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3A0048A26DDF4510A043025F58F080D4">
    <w:name w:val="3A0048A26DDF4510A043025F58F080D4"/>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92B0F9A6749C400BA0B07F648632A8511">
    <w:name w:val="92B0F9A6749C400BA0B07F648632A8511"/>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B30444CE2AE1477FBB086EB605071F801">
    <w:name w:val="B30444CE2AE1477FBB086EB605071F801"/>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52E9DB3D555B42C899119215532976B61">
    <w:name w:val="52E9DB3D555B42C899119215532976B61"/>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F467585D3BF24B419149CE02C933AA7B1">
    <w:name w:val="F467585D3BF24B419149CE02C933AA7B1"/>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D67B35D7EFF049DF9C685DEDDC17E9792">
    <w:name w:val="D67B35D7EFF049DF9C685DEDDC17E9792"/>
    <w:rsid w:val="00EA5073"/>
    <w:pPr>
      <w:spacing w:after="0" w:line="360" w:lineRule="auto"/>
    </w:pPr>
    <w:rPr>
      <w:rFonts w:eastAsiaTheme="minorHAnsi"/>
      <w:sz w:val="24"/>
      <w:lang w:val="en-US" w:eastAsia="en-US"/>
    </w:rPr>
  </w:style>
  <w:style w:type="paragraph" w:customStyle="1" w:styleId="9F9EAD98CBA941E9A877D5CF818DBC9E2">
    <w:name w:val="9F9EAD98CBA941E9A877D5CF818DBC9E2"/>
    <w:rsid w:val="00EA5073"/>
    <w:pPr>
      <w:spacing w:after="0" w:line="360" w:lineRule="auto"/>
    </w:pPr>
    <w:rPr>
      <w:rFonts w:eastAsiaTheme="minorHAnsi"/>
      <w:sz w:val="24"/>
      <w:lang w:val="en-US" w:eastAsia="en-US"/>
    </w:rPr>
  </w:style>
  <w:style w:type="paragraph" w:customStyle="1" w:styleId="B74A0B0EFDB44C30B0CEA92CD6A8470D2">
    <w:name w:val="B74A0B0EFDB44C30B0CEA92CD6A8470D2"/>
    <w:rsid w:val="00EA5073"/>
    <w:pPr>
      <w:spacing w:after="0" w:line="360" w:lineRule="auto"/>
    </w:pPr>
    <w:rPr>
      <w:rFonts w:eastAsiaTheme="minorHAnsi"/>
      <w:sz w:val="24"/>
      <w:lang w:val="en-US" w:eastAsia="en-US"/>
    </w:rPr>
  </w:style>
  <w:style w:type="paragraph" w:customStyle="1" w:styleId="A87D648A328542B1A63B6416542DFBFD1">
    <w:name w:val="A87D648A328542B1A63B6416542DFBFD1"/>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3A0048A26DDF4510A043025F58F080D41">
    <w:name w:val="3A0048A26DDF4510A043025F58F080D41"/>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92B0F9A6749C400BA0B07F648632A8512">
    <w:name w:val="92B0F9A6749C400BA0B07F648632A8512"/>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B30444CE2AE1477FBB086EB605071F802">
    <w:name w:val="B30444CE2AE1477FBB086EB605071F802"/>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52E9DB3D555B42C899119215532976B62">
    <w:name w:val="52E9DB3D555B42C899119215532976B62"/>
    <w:rsid w:val="00EA5073"/>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F467585D3BF24B419149CE02C933AA7B2">
    <w:name w:val="F467585D3BF24B419149CE02C933AA7B2"/>
    <w:rsid w:val="00EA5073"/>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5ECC7C91CD2417FB4B0F9AA886AF500">
    <w:name w:val="25ECC7C91CD2417FB4B0F9AA886AF500"/>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
    <w:name w:val="DAD7045D038F4BEEA1D528D4AE0C527F"/>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F9EAD98CBA941E9A877D5CF818DBC9E3">
    <w:name w:val="9F9EAD98CBA941E9A877D5CF818DBC9E3"/>
    <w:rsid w:val="00025C02"/>
    <w:pPr>
      <w:spacing w:after="0" w:line="360" w:lineRule="auto"/>
    </w:pPr>
    <w:rPr>
      <w:rFonts w:eastAsiaTheme="minorHAnsi"/>
      <w:sz w:val="24"/>
      <w:lang w:val="en-US" w:eastAsia="en-US"/>
    </w:rPr>
  </w:style>
  <w:style w:type="paragraph" w:customStyle="1" w:styleId="B74A0B0EFDB44C30B0CEA92CD6A8470D3">
    <w:name w:val="B74A0B0EFDB44C30B0CEA92CD6A8470D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3A0048A26DDF4510A043025F58F080D42">
    <w:name w:val="3A0048A26DDF4510A043025F58F080D42"/>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B30444CE2AE1477FBB086EB605071F803">
    <w:name w:val="B30444CE2AE1477FBB086EB605071F80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customStyle="1" w:styleId="F467585D3BF24B419149CE02C933AA7B3">
    <w:name w:val="F467585D3BF24B419149CE02C933AA7B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
    <w:name w:val="EBAF1A77925B4774BB7C5DAEDCEA8EE0"/>
    <w:rsid w:val="00025C02"/>
    <w:pPr>
      <w:spacing w:after="0" w:line="360" w:lineRule="auto"/>
    </w:pPr>
    <w:rPr>
      <w:rFonts w:eastAsiaTheme="minorHAnsi"/>
      <w:sz w:val="24"/>
      <w:lang w:val="en-US" w:eastAsia="en-US"/>
    </w:rPr>
  </w:style>
  <w:style w:type="paragraph" w:customStyle="1" w:styleId="89D42E65DED045E596A1E1F7B43B6C62">
    <w:name w:val="89D42E65DED045E596A1E1F7B43B6C62"/>
    <w:rsid w:val="00025C02"/>
    <w:pPr>
      <w:spacing w:after="0" w:line="360" w:lineRule="auto"/>
    </w:pPr>
    <w:rPr>
      <w:rFonts w:eastAsiaTheme="minorHAnsi"/>
      <w:sz w:val="24"/>
      <w:lang w:val="en-US" w:eastAsia="en-US"/>
    </w:rPr>
  </w:style>
  <w:style w:type="paragraph" w:customStyle="1" w:styleId="CFEC66FB03BB44F5BA5C8843AB2F3B76">
    <w:name w:val="CFEC66FB03BB44F5BA5C8843AB2F3B76"/>
    <w:rsid w:val="00025C02"/>
    <w:pPr>
      <w:spacing w:after="0" w:line="360" w:lineRule="auto"/>
    </w:pPr>
    <w:rPr>
      <w:rFonts w:eastAsiaTheme="minorHAnsi"/>
      <w:sz w:val="24"/>
      <w:lang w:val="en-US" w:eastAsia="en-US"/>
    </w:rPr>
  </w:style>
  <w:style w:type="paragraph" w:customStyle="1" w:styleId="B56C5E2D120A4448B24C231F3DACFAEA">
    <w:name w:val="B56C5E2D120A4448B24C231F3DACFAEA"/>
    <w:rsid w:val="00025C02"/>
    <w:pPr>
      <w:spacing w:after="0" w:line="360" w:lineRule="auto"/>
    </w:pPr>
    <w:rPr>
      <w:rFonts w:eastAsiaTheme="minorHAnsi"/>
      <w:sz w:val="24"/>
      <w:lang w:val="en-US" w:eastAsia="en-US"/>
    </w:rPr>
  </w:style>
  <w:style w:type="paragraph" w:customStyle="1" w:styleId="2C33CBE2243A4349B3DE99F4CD977716">
    <w:name w:val="2C33CBE2243A4349B3DE99F4CD977716"/>
    <w:rsid w:val="00025C02"/>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8DD7407F3FB2422CBBD2EDF249D3857E">
    <w:name w:val="8DD7407F3FB2422CBBD2EDF249D3857E"/>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25ECC7C91CD2417FB4B0F9AA886AF5001">
    <w:name w:val="25ECC7C91CD2417FB4B0F9AA886AF5001"/>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1">
    <w:name w:val="DAD7045D038F4BEEA1D528D4AE0C527F1"/>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9F9EAD98CBA941E9A877D5CF818DBC9E4">
    <w:name w:val="9F9EAD98CBA941E9A877D5CF818DBC9E4"/>
    <w:rsid w:val="00025C02"/>
    <w:pPr>
      <w:spacing w:after="0" w:line="360" w:lineRule="auto"/>
    </w:pPr>
    <w:rPr>
      <w:rFonts w:eastAsiaTheme="minorHAnsi"/>
      <w:sz w:val="24"/>
      <w:lang w:val="en-US" w:eastAsia="en-US"/>
    </w:rPr>
  </w:style>
  <w:style w:type="paragraph" w:customStyle="1" w:styleId="B74A0B0EFDB44C30B0CEA92CD6A8470D4">
    <w:name w:val="B74A0B0EFDB44C30B0CEA92CD6A8470D4"/>
    <w:rsid w:val="00025C02"/>
    <w:pPr>
      <w:spacing w:after="0" w:line="360" w:lineRule="auto"/>
    </w:pPr>
    <w:rPr>
      <w:rFonts w:eastAsiaTheme="minorHAnsi"/>
      <w:sz w:val="24"/>
      <w:lang w:val="en-US" w:eastAsia="en-US"/>
    </w:rPr>
  </w:style>
  <w:style w:type="paragraph" w:customStyle="1" w:styleId="3A0048A26DDF4510A043025F58F080D43">
    <w:name w:val="3A0048A26DDF4510A043025F58F080D4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1">
    <w:name w:val="2C33CBE2243A4349B3DE99F4CD9777161"/>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1">
    <w:name w:val="8DD7407F3FB2422CBBD2EDF249D3857E1"/>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1">
    <w:name w:val="EBAF1A77925B4774BB7C5DAEDCEA8EE01"/>
    <w:rsid w:val="00025C02"/>
    <w:pPr>
      <w:spacing w:after="0" w:line="360" w:lineRule="auto"/>
    </w:pPr>
    <w:rPr>
      <w:rFonts w:eastAsiaTheme="minorHAnsi"/>
      <w:sz w:val="24"/>
      <w:lang w:val="en-US" w:eastAsia="en-US"/>
    </w:rPr>
  </w:style>
  <w:style w:type="paragraph" w:customStyle="1" w:styleId="89D42E65DED045E596A1E1F7B43B6C621">
    <w:name w:val="89D42E65DED045E596A1E1F7B43B6C621"/>
    <w:rsid w:val="00025C02"/>
    <w:pPr>
      <w:spacing w:after="0" w:line="360" w:lineRule="auto"/>
    </w:pPr>
    <w:rPr>
      <w:rFonts w:eastAsiaTheme="minorHAnsi"/>
      <w:sz w:val="24"/>
      <w:lang w:val="en-US" w:eastAsia="en-US"/>
    </w:rPr>
  </w:style>
  <w:style w:type="paragraph" w:customStyle="1" w:styleId="CFEC66FB03BB44F5BA5C8843AB2F3B761">
    <w:name w:val="CFEC66FB03BB44F5BA5C8843AB2F3B761"/>
    <w:rsid w:val="00025C02"/>
    <w:pPr>
      <w:spacing w:after="0" w:line="360" w:lineRule="auto"/>
    </w:pPr>
    <w:rPr>
      <w:rFonts w:eastAsiaTheme="minorHAnsi"/>
      <w:sz w:val="24"/>
      <w:lang w:val="en-US" w:eastAsia="en-US"/>
    </w:rPr>
  </w:style>
  <w:style w:type="paragraph" w:customStyle="1" w:styleId="B56C5E2D120A4448B24C231F3DACFAEA1">
    <w:name w:val="B56C5E2D120A4448B24C231F3DACFAEA1"/>
    <w:rsid w:val="00025C02"/>
    <w:pPr>
      <w:spacing w:after="0" w:line="360" w:lineRule="auto"/>
    </w:pPr>
    <w:rPr>
      <w:rFonts w:eastAsiaTheme="minorHAnsi"/>
      <w:sz w:val="24"/>
      <w:lang w:val="en-US" w:eastAsia="en-US"/>
    </w:rPr>
  </w:style>
  <w:style w:type="paragraph" w:customStyle="1" w:styleId="F77FAD97E4624EF78A9087E51BA81AB1">
    <w:name w:val="F77FAD97E4624EF78A9087E51BA81AB1"/>
    <w:rsid w:val="00025C02"/>
  </w:style>
  <w:style w:type="paragraph" w:customStyle="1" w:styleId="A102796DC3C74BD793C82483924049F0">
    <w:name w:val="A102796DC3C74BD793C82483924049F0"/>
    <w:rsid w:val="00025C02"/>
  </w:style>
  <w:style w:type="paragraph" w:customStyle="1" w:styleId="25ECC7C91CD2417FB4B0F9AA886AF5002">
    <w:name w:val="25ECC7C91CD2417FB4B0F9AA886AF5002"/>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2">
    <w:name w:val="DAD7045D038F4BEEA1D528D4AE0C527F2"/>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9F9EAD98CBA941E9A877D5CF818DBC9E5">
    <w:name w:val="9F9EAD98CBA941E9A877D5CF818DBC9E5"/>
    <w:rsid w:val="00025C02"/>
    <w:pPr>
      <w:spacing w:after="0" w:line="360" w:lineRule="auto"/>
    </w:pPr>
    <w:rPr>
      <w:rFonts w:eastAsiaTheme="minorHAnsi"/>
      <w:sz w:val="24"/>
      <w:lang w:val="en-US" w:eastAsia="en-US"/>
    </w:rPr>
  </w:style>
  <w:style w:type="paragraph" w:customStyle="1" w:styleId="B74A0B0EFDB44C30B0CEA92CD6A8470D5">
    <w:name w:val="B74A0B0EFDB44C30B0CEA92CD6A8470D5"/>
    <w:rsid w:val="00025C02"/>
    <w:pPr>
      <w:spacing w:after="0" w:line="360" w:lineRule="auto"/>
    </w:pPr>
    <w:rPr>
      <w:rFonts w:eastAsiaTheme="minorHAnsi"/>
      <w:sz w:val="24"/>
      <w:lang w:val="en-US" w:eastAsia="en-US"/>
    </w:rPr>
  </w:style>
  <w:style w:type="paragraph" w:customStyle="1" w:styleId="3A0048A26DDF4510A043025F58F080D44">
    <w:name w:val="3A0048A26DDF4510A043025F58F080D44"/>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2">
    <w:name w:val="2C33CBE2243A4349B3DE99F4CD9777162"/>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2">
    <w:name w:val="8DD7407F3FB2422CBBD2EDF249D3857E2"/>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2">
    <w:name w:val="EBAF1A77925B4774BB7C5DAEDCEA8EE02"/>
    <w:rsid w:val="00025C02"/>
    <w:pPr>
      <w:spacing w:after="0" w:line="360" w:lineRule="auto"/>
    </w:pPr>
    <w:rPr>
      <w:rFonts w:eastAsiaTheme="minorHAnsi"/>
      <w:sz w:val="24"/>
      <w:lang w:val="en-US" w:eastAsia="en-US"/>
    </w:rPr>
  </w:style>
  <w:style w:type="paragraph" w:customStyle="1" w:styleId="89D42E65DED045E596A1E1F7B43B6C622">
    <w:name w:val="89D42E65DED045E596A1E1F7B43B6C622"/>
    <w:rsid w:val="00025C02"/>
    <w:pPr>
      <w:spacing w:after="0" w:line="360" w:lineRule="auto"/>
    </w:pPr>
    <w:rPr>
      <w:rFonts w:eastAsiaTheme="minorHAnsi"/>
      <w:sz w:val="24"/>
      <w:lang w:val="en-US" w:eastAsia="en-US"/>
    </w:rPr>
  </w:style>
  <w:style w:type="paragraph" w:customStyle="1" w:styleId="CFEC66FB03BB44F5BA5C8843AB2F3B762">
    <w:name w:val="CFEC66FB03BB44F5BA5C8843AB2F3B762"/>
    <w:rsid w:val="00025C02"/>
    <w:pPr>
      <w:spacing w:after="0" w:line="360" w:lineRule="auto"/>
    </w:pPr>
    <w:rPr>
      <w:rFonts w:eastAsiaTheme="minorHAnsi"/>
      <w:sz w:val="24"/>
      <w:lang w:val="en-US" w:eastAsia="en-US"/>
    </w:rPr>
  </w:style>
  <w:style w:type="paragraph" w:customStyle="1" w:styleId="B56C5E2D120A4448B24C231F3DACFAEA2">
    <w:name w:val="B56C5E2D120A4448B24C231F3DACFAEA2"/>
    <w:rsid w:val="00025C02"/>
    <w:pPr>
      <w:spacing w:after="0" w:line="360" w:lineRule="auto"/>
    </w:pPr>
    <w:rPr>
      <w:rFonts w:eastAsiaTheme="minorHAnsi"/>
      <w:sz w:val="24"/>
      <w:lang w:val="en-US" w:eastAsia="en-US"/>
    </w:rPr>
  </w:style>
  <w:style w:type="paragraph" w:customStyle="1" w:styleId="A2DE4C3F705B401CA0ED1A2E55B0B317">
    <w:name w:val="A2DE4C3F705B401CA0ED1A2E55B0B317"/>
    <w:rsid w:val="00025C02"/>
  </w:style>
  <w:style w:type="paragraph" w:customStyle="1" w:styleId="25ECC7C91CD2417FB4B0F9AA886AF5003">
    <w:name w:val="25ECC7C91CD2417FB4B0F9AA886AF5003"/>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3">
    <w:name w:val="DAD7045D038F4BEEA1D528D4AE0C527F3"/>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25ECC7C91CD2417FB4B0F9AA886AF5004">
    <w:name w:val="25ECC7C91CD2417FB4B0F9AA886AF5004"/>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4">
    <w:name w:val="DAD7045D038F4BEEA1D528D4AE0C527F4"/>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679A1BC8B77242F59F8DCF290ABC7E7A">
    <w:name w:val="679A1BC8B77242F59F8DCF290ABC7E7A"/>
    <w:rsid w:val="00025C02"/>
    <w:pPr>
      <w:spacing w:after="0" w:line="360" w:lineRule="auto"/>
    </w:pPr>
    <w:rPr>
      <w:rFonts w:eastAsiaTheme="minorHAnsi"/>
      <w:sz w:val="24"/>
      <w:lang w:val="en-US" w:eastAsia="en-US"/>
    </w:rPr>
  </w:style>
  <w:style w:type="paragraph" w:customStyle="1" w:styleId="9F9EAD98CBA941E9A877D5CF818DBC9E6">
    <w:name w:val="9F9EAD98CBA941E9A877D5CF818DBC9E6"/>
    <w:rsid w:val="00025C02"/>
    <w:pPr>
      <w:spacing w:after="0" w:line="360" w:lineRule="auto"/>
    </w:pPr>
    <w:rPr>
      <w:rFonts w:eastAsiaTheme="minorHAnsi"/>
      <w:sz w:val="24"/>
      <w:lang w:val="en-US" w:eastAsia="en-US"/>
    </w:rPr>
  </w:style>
  <w:style w:type="paragraph" w:customStyle="1" w:styleId="B74A0B0EFDB44C30B0CEA92CD6A8470D6">
    <w:name w:val="B74A0B0EFDB44C30B0CEA92CD6A8470D6"/>
    <w:rsid w:val="00025C02"/>
    <w:pPr>
      <w:spacing w:after="0" w:line="360" w:lineRule="auto"/>
    </w:pPr>
    <w:rPr>
      <w:rFonts w:eastAsiaTheme="minorHAnsi"/>
      <w:sz w:val="24"/>
      <w:lang w:val="en-US" w:eastAsia="en-US"/>
    </w:rPr>
  </w:style>
  <w:style w:type="paragraph" w:customStyle="1" w:styleId="3A0048A26DDF4510A043025F58F080D45">
    <w:name w:val="3A0048A26DDF4510A043025F58F080D45"/>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3">
    <w:name w:val="2C33CBE2243A4349B3DE99F4CD977716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3">
    <w:name w:val="8DD7407F3FB2422CBBD2EDF249D3857E3"/>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3">
    <w:name w:val="EBAF1A77925B4774BB7C5DAEDCEA8EE03"/>
    <w:rsid w:val="00025C02"/>
    <w:pPr>
      <w:spacing w:after="0" w:line="360" w:lineRule="auto"/>
    </w:pPr>
    <w:rPr>
      <w:rFonts w:eastAsiaTheme="minorHAnsi"/>
      <w:sz w:val="24"/>
      <w:lang w:val="en-US" w:eastAsia="en-US"/>
    </w:rPr>
  </w:style>
  <w:style w:type="paragraph" w:customStyle="1" w:styleId="89D42E65DED045E596A1E1F7B43B6C623">
    <w:name w:val="89D42E65DED045E596A1E1F7B43B6C623"/>
    <w:rsid w:val="00025C02"/>
    <w:pPr>
      <w:spacing w:after="0" w:line="360" w:lineRule="auto"/>
    </w:pPr>
    <w:rPr>
      <w:rFonts w:eastAsiaTheme="minorHAnsi"/>
      <w:sz w:val="24"/>
      <w:lang w:val="en-US" w:eastAsia="en-US"/>
    </w:rPr>
  </w:style>
  <w:style w:type="paragraph" w:customStyle="1" w:styleId="CFEC66FB03BB44F5BA5C8843AB2F3B763">
    <w:name w:val="CFEC66FB03BB44F5BA5C8843AB2F3B763"/>
    <w:rsid w:val="00025C02"/>
    <w:pPr>
      <w:spacing w:after="0" w:line="360" w:lineRule="auto"/>
    </w:pPr>
    <w:rPr>
      <w:rFonts w:eastAsiaTheme="minorHAnsi"/>
      <w:sz w:val="24"/>
      <w:lang w:val="en-US" w:eastAsia="en-US"/>
    </w:rPr>
  </w:style>
  <w:style w:type="paragraph" w:customStyle="1" w:styleId="B56C5E2D120A4448B24C231F3DACFAEA3">
    <w:name w:val="B56C5E2D120A4448B24C231F3DACFAEA3"/>
    <w:rsid w:val="00025C02"/>
    <w:pPr>
      <w:spacing w:after="0" w:line="360" w:lineRule="auto"/>
    </w:pPr>
    <w:rPr>
      <w:rFonts w:eastAsiaTheme="minorHAnsi"/>
      <w:sz w:val="24"/>
      <w:lang w:val="en-US" w:eastAsia="en-US"/>
    </w:rPr>
  </w:style>
  <w:style w:type="paragraph" w:customStyle="1" w:styleId="1A6C4801088D43EDBE9B1A9B1654DDB8">
    <w:name w:val="1A6C4801088D43EDBE9B1A9B1654DDB8"/>
    <w:rsid w:val="00025C02"/>
  </w:style>
  <w:style w:type="paragraph" w:customStyle="1" w:styleId="C44C59315E4A4142B5E4F57C5382D0A3">
    <w:name w:val="C44C59315E4A4142B5E4F57C5382D0A3"/>
    <w:rsid w:val="00025C02"/>
  </w:style>
  <w:style w:type="paragraph" w:customStyle="1" w:styleId="25ECC7C91CD2417FB4B0F9AA886AF5005">
    <w:name w:val="25ECC7C91CD2417FB4B0F9AA886AF5005"/>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5">
    <w:name w:val="DAD7045D038F4BEEA1D528D4AE0C527F5"/>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C44C59315E4A4142B5E4F57C5382D0A31">
    <w:name w:val="C44C59315E4A4142B5E4F57C5382D0A31"/>
    <w:rsid w:val="00025C02"/>
    <w:pPr>
      <w:spacing w:after="0" w:line="360" w:lineRule="auto"/>
    </w:pPr>
    <w:rPr>
      <w:rFonts w:eastAsiaTheme="minorHAnsi"/>
      <w:sz w:val="24"/>
      <w:lang w:val="en-US" w:eastAsia="en-US"/>
    </w:rPr>
  </w:style>
  <w:style w:type="paragraph" w:customStyle="1" w:styleId="9F9EAD98CBA941E9A877D5CF818DBC9E7">
    <w:name w:val="9F9EAD98CBA941E9A877D5CF818DBC9E7"/>
    <w:rsid w:val="00025C02"/>
    <w:pPr>
      <w:spacing w:after="0" w:line="360" w:lineRule="auto"/>
    </w:pPr>
    <w:rPr>
      <w:rFonts w:eastAsiaTheme="minorHAnsi"/>
      <w:sz w:val="24"/>
      <w:lang w:val="en-US" w:eastAsia="en-US"/>
    </w:rPr>
  </w:style>
  <w:style w:type="paragraph" w:customStyle="1" w:styleId="B74A0B0EFDB44C30B0CEA92CD6A8470D7">
    <w:name w:val="B74A0B0EFDB44C30B0CEA92CD6A8470D7"/>
    <w:rsid w:val="00025C02"/>
    <w:pPr>
      <w:spacing w:after="0" w:line="360" w:lineRule="auto"/>
    </w:pPr>
    <w:rPr>
      <w:rFonts w:eastAsiaTheme="minorHAnsi"/>
      <w:sz w:val="24"/>
      <w:lang w:val="en-US" w:eastAsia="en-US"/>
    </w:rPr>
  </w:style>
  <w:style w:type="paragraph" w:customStyle="1" w:styleId="3A0048A26DDF4510A043025F58F080D46">
    <w:name w:val="3A0048A26DDF4510A043025F58F080D46"/>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4">
    <w:name w:val="2C33CBE2243A4349B3DE99F4CD9777164"/>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4">
    <w:name w:val="8DD7407F3FB2422CBBD2EDF249D3857E4"/>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4">
    <w:name w:val="EBAF1A77925B4774BB7C5DAEDCEA8EE04"/>
    <w:rsid w:val="00025C02"/>
    <w:pPr>
      <w:spacing w:after="0" w:line="360" w:lineRule="auto"/>
    </w:pPr>
    <w:rPr>
      <w:rFonts w:eastAsiaTheme="minorHAnsi"/>
      <w:sz w:val="24"/>
      <w:lang w:val="en-US" w:eastAsia="en-US"/>
    </w:rPr>
  </w:style>
  <w:style w:type="paragraph" w:customStyle="1" w:styleId="89D42E65DED045E596A1E1F7B43B6C624">
    <w:name w:val="89D42E65DED045E596A1E1F7B43B6C624"/>
    <w:rsid w:val="00025C02"/>
    <w:pPr>
      <w:spacing w:after="0" w:line="360" w:lineRule="auto"/>
    </w:pPr>
    <w:rPr>
      <w:rFonts w:eastAsiaTheme="minorHAnsi"/>
      <w:sz w:val="24"/>
      <w:lang w:val="en-US" w:eastAsia="en-US"/>
    </w:rPr>
  </w:style>
  <w:style w:type="paragraph" w:customStyle="1" w:styleId="CFEC66FB03BB44F5BA5C8843AB2F3B764">
    <w:name w:val="CFEC66FB03BB44F5BA5C8843AB2F3B764"/>
    <w:rsid w:val="00025C02"/>
    <w:pPr>
      <w:spacing w:after="0" w:line="360" w:lineRule="auto"/>
    </w:pPr>
    <w:rPr>
      <w:rFonts w:eastAsiaTheme="minorHAnsi"/>
      <w:sz w:val="24"/>
      <w:lang w:val="en-US" w:eastAsia="en-US"/>
    </w:rPr>
  </w:style>
  <w:style w:type="paragraph" w:customStyle="1" w:styleId="B56C5E2D120A4448B24C231F3DACFAEA4">
    <w:name w:val="B56C5E2D120A4448B24C231F3DACFAEA4"/>
    <w:rsid w:val="00025C02"/>
    <w:pPr>
      <w:spacing w:after="0" w:line="360" w:lineRule="auto"/>
    </w:pPr>
    <w:rPr>
      <w:rFonts w:eastAsiaTheme="minorHAnsi"/>
      <w:sz w:val="24"/>
      <w:lang w:val="en-US" w:eastAsia="en-US"/>
    </w:rPr>
  </w:style>
  <w:style w:type="paragraph" w:customStyle="1" w:styleId="25ECC7C91CD2417FB4B0F9AA886AF5006">
    <w:name w:val="25ECC7C91CD2417FB4B0F9AA886AF5006"/>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6">
    <w:name w:val="DAD7045D038F4BEEA1D528D4AE0C527F6"/>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C44C59315E4A4142B5E4F57C5382D0A32">
    <w:name w:val="C44C59315E4A4142B5E4F57C5382D0A32"/>
    <w:rsid w:val="00025C02"/>
    <w:pPr>
      <w:spacing w:after="0" w:line="360" w:lineRule="auto"/>
    </w:pPr>
    <w:rPr>
      <w:rFonts w:eastAsiaTheme="minorHAnsi"/>
      <w:sz w:val="24"/>
      <w:lang w:val="en-US" w:eastAsia="en-US"/>
    </w:rPr>
  </w:style>
  <w:style w:type="paragraph" w:customStyle="1" w:styleId="34D3DA6C4ABB4308B2D53554824F836F">
    <w:name w:val="34D3DA6C4ABB4308B2D53554824F836F"/>
    <w:rsid w:val="00025C02"/>
    <w:pPr>
      <w:spacing w:after="0" w:line="360" w:lineRule="auto"/>
    </w:pPr>
    <w:rPr>
      <w:rFonts w:eastAsiaTheme="minorHAnsi"/>
      <w:sz w:val="24"/>
      <w:lang w:val="en-US" w:eastAsia="en-US"/>
    </w:rPr>
  </w:style>
  <w:style w:type="paragraph" w:customStyle="1" w:styleId="3CD1CBC222EC4EA9B57032D377C07CF1">
    <w:name w:val="3CD1CBC222EC4EA9B57032D377C07CF1"/>
    <w:rsid w:val="00025C02"/>
    <w:pPr>
      <w:spacing w:after="0" w:line="360" w:lineRule="auto"/>
    </w:pPr>
    <w:rPr>
      <w:rFonts w:eastAsiaTheme="minorHAnsi"/>
      <w:sz w:val="24"/>
      <w:lang w:val="en-US" w:eastAsia="en-US"/>
    </w:rPr>
  </w:style>
  <w:style w:type="paragraph" w:customStyle="1" w:styleId="49708DB6E2D147298F8259756474F030">
    <w:name w:val="49708DB6E2D147298F8259756474F030"/>
    <w:rsid w:val="00025C02"/>
    <w:pPr>
      <w:spacing w:after="0" w:line="360" w:lineRule="auto"/>
    </w:pPr>
    <w:rPr>
      <w:rFonts w:eastAsiaTheme="minorHAnsi"/>
      <w:sz w:val="24"/>
      <w:lang w:val="en-US" w:eastAsia="en-US"/>
    </w:rPr>
  </w:style>
  <w:style w:type="paragraph" w:customStyle="1" w:styleId="F8880C3E325F4CF1A6D3327FFCF4CE67">
    <w:name w:val="F8880C3E325F4CF1A6D3327FFCF4CE67"/>
    <w:rsid w:val="00025C02"/>
    <w:pPr>
      <w:spacing w:after="0" w:line="360" w:lineRule="auto"/>
    </w:pPr>
    <w:rPr>
      <w:rFonts w:eastAsiaTheme="minorHAnsi"/>
      <w:sz w:val="24"/>
      <w:lang w:val="en-US" w:eastAsia="en-US"/>
    </w:rPr>
  </w:style>
  <w:style w:type="paragraph" w:customStyle="1" w:styleId="DEDD33C7FA974B3C8C9F8D74B8CEB63E">
    <w:name w:val="DEDD33C7FA974B3C8C9F8D74B8CEB63E"/>
    <w:rsid w:val="00025C02"/>
    <w:pPr>
      <w:spacing w:after="0" w:line="360" w:lineRule="auto"/>
    </w:pPr>
    <w:rPr>
      <w:rFonts w:eastAsiaTheme="minorHAnsi"/>
      <w:sz w:val="24"/>
      <w:lang w:val="en-US" w:eastAsia="en-US"/>
    </w:rPr>
  </w:style>
  <w:style w:type="paragraph" w:customStyle="1" w:styleId="9F9EAD98CBA941E9A877D5CF818DBC9E8">
    <w:name w:val="9F9EAD98CBA941E9A877D5CF818DBC9E8"/>
    <w:rsid w:val="00025C02"/>
    <w:pPr>
      <w:spacing w:after="0" w:line="360" w:lineRule="auto"/>
    </w:pPr>
    <w:rPr>
      <w:rFonts w:eastAsiaTheme="minorHAnsi"/>
      <w:sz w:val="24"/>
      <w:lang w:val="en-US" w:eastAsia="en-US"/>
    </w:rPr>
  </w:style>
  <w:style w:type="paragraph" w:customStyle="1" w:styleId="B74A0B0EFDB44C30B0CEA92CD6A8470D8">
    <w:name w:val="B74A0B0EFDB44C30B0CEA92CD6A8470D8"/>
    <w:rsid w:val="00025C02"/>
    <w:pPr>
      <w:spacing w:after="0" w:line="360" w:lineRule="auto"/>
    </w:pPr>
    <w:rPr>
      <w:rFonts w:eastAsiaTheme="minorHAnsi"/>
      <w:sz w:val="24"/>
      <w:lang w:val="en-US" w:eastAsia="en-US"/>
    </w:rPr>
  </w:style>
  <w:style w:type="paragraph" w:customStyle="1" w:styleId="3A0048A26DDF4510A043025F58F080D47">
    <w:name w:val="3A0048A26DDF4510A043025F58F080D47"/>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5">
    <w:name w:val="2C33CBE2243A4349B3DE99F4CD9777165"/>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5">
    <w:name w:val="8DD7407F3FB2422CBBD2EDF249D3857E5"/>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5">
    <w:name w:val="EBAF1A77925B4774BB7C5DAEDCEA8EE05"/>
    <w:rsid w:val="00025C02"/>
    <w:pPr>
      <w:spacing w:after="0" w:line="360" w:lineRule="auto"/>
    </w:pPr>
    <w:rPr>
      <w:rFonts w:eastAsiaTheme="minorHAnsi"/>
      <w:sz w:val="24"/>
      <w:lang w:val="en-US" w:eastAsia="en-US"/>
    </w:rPr>
  </w:style>
  <w:style w:type="paragraph" w:customStyle="1" w:styleId="89D42E65DED045E596A1E1F7B43B6C625">
    <w:name w:val="89D42E65DED045E596A1E1F7B43B6C625"/>
    <w:rsid w:val="00025C02"/>
    <w:pPr>
      <w:spacing w:after="0" w:line="360" w:lineRule="auto"/>
    </w:pPr>
    <w:rPr>
      <w:rFonts w:eastAsiaTheme="minorHAnsi"/>
      <w:sz w:val="24"/>
      <w:lang w:val="en-US" w:eastAsia="en-US"/>
    </w:rPr>
  </w:style>
  <w:style w:type="paragraph" w:customStyle="1" w:styleId="CFEC66FB03BB44F5BA5C8843AB2F3B765">
    <w:name w:val="CFEC66FB03BB44F5BA5C8843AB2F3B765"/>
    <w:rsid w:val="00025C02"/>
    <w:pPr>
      <w:spacing w:after="0" w:line="360" w:lineRule="auto"/>
    </w:pPr>
    <w:rPr>
      <w:rFonts w:eastAsiaTheme="minorHAnsi"/>
      <w:sz w:val="24"/>
      <w:lang w:val="en-US" w:eastAsia="en-US"/>
    </w:rPr>
  </w:style>
  <w:style w:type="paragraph" w:customStyle="1" w:styleId="B56C5E2D120A4448B24C231F3DACFAEA5">
    <w:name w:val="B56C5E2D120A4448B24C231F3DACFAEA5"/>
    <w:rsid w:val="00025C02"/>
    <w:pPr>
      <w:spacing w:after="0" w:line="360" w:lineRule="auto"/>
    </w:pPr>
    <w:rPr>
      <w:rFonts w:eastAsiaTheme="minorHAnsi"/>
      <w:sz w:val="24"/>
      <w:lang w:val="en-US" w:eastAsia="en-US"/>
    </w:rPr>
  </w:style>
  <w:style w:type="paragraph" w:customStyle="1" w:styleId="25ECC7C91CD2417FB4B0F9AA886AF5007">
    <w:name w:val="25ECC7C91CD2417FB4B0F9AA886AF5007"/>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7">
    <w:name w:val="DAD7045D038F4BEEA1D528D4AE0C527F7"/>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C44C59315E4A4142B5E4F57C5382D0A33">
    <w:name w:val="C44C59315E4A4142B5E4F57C5382D0A33"/>
    <w:rsid w:val="00025C02"/>
    <w:pPr>
      <w:spacing w:after="0" w:line="360" w:lineRule="auto"/>
    </w:pPr>
    <w:rPr>
      <w:rFonts w:eastAsiaTheme="minorHAnsi"/>
      <w:sz w:val="24"/>
      <w:lang w:val="en-US" w:eastAsia="en-US"/>
    </w:rPr>
  </w:style>
  <w:style w:type="paragraph" w:customStyle="1" w:styleId="34D3DA6C4ABB4308B2D53554824F836F1">
    <w:name w:val="34D3DA6C4ABB4308B2D53554824F836F1"/>
    <w:rsid w:val="00025C02"/>
    <w:pPr>
      <w:spacing w:after="0" w:line="360" w:lineRule="auto"/>
    </w:pPr>
    <w:rPr>
      <w:rFonts w:eastAsiaTheme="minorHAnsi"/>
      <w:sz w:val="24"/>
      <w:lang w:val="en-US" w:eastAsia="en-US"/>
    </w:rPr>
  </w:style>
  <w:style w:type="paragraph" w:customStyle="1" w:styleId="3CD1CBC222EC4EA9B57032D377C07CF11">
    <w:name w:val="3CD1CBC222EC4EA9B57032D377C07CF11"/>
    <w:rsid w:val="00025C02"/>
    <w:pPr>
      <w:spacing w:after="0" w:line="360" w:lineRule="auto"/>
    </w:pPr>
    <w:rPr>
      <w:rFonts w:eastAsiaTheme="minorHAnsi"/>
      <w:sz w:val="24"/>
      <w:lang w:val="en-US" w:eastAsia="en-US"/>
    </w:rPr>
  </w:style>
  <w:style w:type="paragraph" w:customStyle="1" w:styleId="49708DB6E2D147298F8259756474F0301">
    <w:name w:val="49708DB6E2D147298F8259756474F0301"/>
    <w:rsid w:val="00025C02"/>
    <w:pPr>
      <w:spacing w:after="0" w:line="360" w:lineRule="auto"/>
    </w:pPr>
    <w:rPr>
      <w:rFonts w:eastAsiaTheme="minorHAnsi"/>
      <w:sz w:val="24"/>
      <w:lang w:val="en-US" w:eastAsia="en-US"/>
    </w:rPr>
  </w:style>
  <w:style w:type="paragraph" w:customStyle="1" w:styleId="F8880C3E325F4CF1A6D3327FFCF4CE671">
    <w:name w:val="F8880C3E325F4CF1A6D3327FFCF4CE671"/>
    <w:rsid w:val="00025C02"/>
    <w:pPr>
      <w:spacing w:after="0" w:line="360" w:lineRule="auto"/>
    </w:pPr>
    <w:rPr>
      <w:rFonts w:eastAsiaTheme="minorHAnsi"/>
      <w:sz w:val="24"/>
      <w:lang w:val="en-US" w:eastAsia="en-US"/>
    </w:rPr>
  </w:style>
  <w:style w:type="paragraph" w:customStyle="1" w:styleId="DEDD33C7FA974B3C8C9F8D74B8CEB63E1">
    <w:name w:val="DEDD33C7FA974B3C8C9F8D74B8CEB63E1"/>
    <w:rsid w:val="00025C02"/>
    <w:pPr>
      <w:spacing w:after="0" w:line="360" w:lineRule="auto"/>
    </w:pPr>
    <w:rPr>
      <w:rFonts w:eastAsiaTheme="minorHAnsi"/>
      <w:sz w:val="24"/>
      <w:lang w:val="en-US" w:eastAsia="en-US"/>
    </w:rPr>
  </w:style>
  <w:style w:type="paragraph" w:customStyle="1" w:styleId="9F9EAD98CBA941E9A877D5CF818DBC9E9">
    <w:name w:val="9F9EAD98CBA941E9A877D5CF818DBC9E9"/>
    <w:rsid w:val="00025C02"/>
    <w:pPr>
      <w:spacing w:after="0" w:line="360" w:lineRule="auto"/>
    </w:pPr>
    <w:rPr>
      <w:rFonts w:eastAsiaTheme="minorHAnsi"/>
      <w:sz w:val="24"/>
      <w:lang w:val="en-US" w:eastAsia="en-US"/>
    </w:rPr>
  </w:style>
  <w:style w:type="paragraph" w:customStyle="1" w:styleId="B74A0B0EFDB44C30B0CEA92CD6A8470D9">
    <w:name w:val="B74A0B0EFDB44C30B0CEA92CD6A8470D9"/>
    <w:rsid w:val="00025C02"/>
    <w:pPr>
      <w:spacing w:after="0" w:line="360" w:lineRule="auto"/>
    </w:pPr>
    <w:rPr>
      <w:rFonts w:eastAsiaTheme="minorHAnsi"/>
      <w:sz w:val="24"/>
      <w:lang w:val="en-US" w:eastAsia="en-US"/>
    </w:rPr>
  </w:style>
  <w:style w:type="paragraph" w:customStyle="1" w:styleId="3A0048A26DDF4510A043025F58F080D48">
    <w:name w:val="3A0048A26DDF4510A043025F58F080D48"/>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6">
    <w:name w:val="2C33CBE2243A4349B3DE99F4CD9777166"/>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6">
    <w:name w:val="8DD7407F3FB2422CBBD2EDF249D3857E6"/>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6">
    <w:name w:val="EBAF1A77925B4774BB7C5DAEDCEA8EE06"/>
    <w:rsid w:val="00025C02"/>
    <w:pPr>
      <w:spacing w:after="0" w:line="360" w:lineRule="auto"/>
    </w:pPr>
    <w:rPr>
      <w:rFonts w:eastAsiaTheme="minorHAnsi"/>
      <w:sz w:val="24"/>
      <w:lang w:val="en-US" w:eastAsia="en-US"/>
    </w:rPr>
  </w:style>
  <w:style w:type="paragraph" w:customStyle="1" w:styleId="89D42E65DED045E596A1E1F7B43B6C626">
    <w:name w:val="89D42E65DED045E596A1E1F7B43B6C626"/>
    <w:rsid w:val="00025C02"/>
    <w:pPr>
      <w:spacing w:after="0" w:line="360" w:lineRule="auto"/>
    </w:pPr>
    <w:rPr>
      <w:rFonts w:eastAsiaTheme="minorHAnsi"/>
      <w:sz w:val="24"/>
      <w:lang w:val="en-US" w:eastAsia="en-US"/>
    </w:rPr>
  </w:style>
  <w:style w:type="paragraph" w:customStyle="1" w:styleId="CFEC66FB03BB44F5BA5C8843AB2F3B766">
    <w:name w:val="CFEC66FB03BB44F5BA5C8843AB2F3B766"/>
    <w:rsid w:val="00025C02"/>
    <w:pPr>
      <w:spacing w:after="0" w:line="360" w:lineRule="auto"/>
    </w:pPr>
    <w:rPr>
      <w:rFonts w:eastAsiaTheme="minorHAnsi"/>
      <w:sz w:val="24"/>
      <w:lang w:val="en-US" w:eastAsia="en-US"/>
    </w:rPr>
  </w:style>
  <w:style w:type="paragraph" w:customStyle="1" w:styleId="B56C5E2D120A4448B24C231F3DACFAEA6">
    <w:name w:val="B56C5E2D120A4448B24C231F3DACFAEA6"/>
    <w:rsid w:val="00025C02"/>
    <w:pPr>
      <w:spacing w:after="0" w:line="360" w:lineRule="auto"/>
    </w:pPr>
    <w:rPr>
      <w:rFonts w:eastAsiaTheme="minorHAnsi"/>
      <w:sz w:val="24"/>
      <w:lang w:val="en-US" w:eastAsia="en-US"/>
    </w:rPr>
  </w:style>
  <w:style w:type="paragraph" w:customStyle="1" w:styleId="25ECC7C91CD2417FB4B0F9AA886AF5008">
    <w:name w:val="25ECC7C91CD2417FB4B0F9AA886AF5008"/>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8">
    <w:name w:val="DAD7045D038F4BEEA1D528D4AE0C527F8"/>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C44C59315E4A4142B5E4F57C5382D0A34">
    <w:name w:val="C44C59315E4A4142B5E4F57C5382D0A34"/>
    <w:rsid w:val="00025C02"/>
    <w:pPr>
      <w:spacing w:after="0" w:line="360" w:lineRule="auto"/>
    </w:pPr>
    <w:rPr>
      <w:rFonts w:eastAsiaTheme="minorHAnsi"/>
      <w:sz w:val="24"/>
      <w:lang w:val="en-US" w:eastAsia="en-US"/>
    </w:rPr>
  </w:style>
  <w:style w:type="paragraph" w:customStyle="1" w:styleId="34D3DA6C4ABB4308B2D53554824F836F2">
    <w:name w:val="34D3DA6C4ABB4308B2D53554824F836F2"/>
    <w:rsid w:val="00025C02"/>
    <w:pPr>
      <w:spacing w:after="0" w:line="360" w:lineRule="auto"/>
    </w:pPr>
    <w:rPr>
      <w:rFonts w:eastAsiaTheme="minorHAnsi"/>
      <w:sz w:val="24"/>
      <w:lang w:val="en-US" w:eastAsia="en-US"/>
    </w:rPr>
  </w:style>
  <w:style w:type="paragraph" w:customStyle="1" w:styleId="3CD1CBC222EC4EA9B57032D377C07CF12">
    <w:name w:val="3CD1CBC222EC4EA9B57032D377C07CF12"/>
    <w:rsid w:val="00025C02"/>
    <w:pPr>
      <w:spacing w:after="0" w:line="360" w:lineRule="auto"/>
    </w:pPr>
    <w:rPr>
      <w:rFonts w:eastAsiaTheme="minorHAnsi"/>
      <w:sz w:val="24"/>
      <w:lang w:val="en-US" w:eastAsia="en-US"/>
    </w:rPr>
  </w:style>
  <w:style w:type="paragraph" w:customStyle="1" w:styleId="49708DB6E2D147298F8259756474F0302">
    <w:name w:val="49708DB6E2D147298F8259756474F0302"/>
    <w:rsid w:val="00025C02"/>
    <w:pPr>
      <w:spacing w:after="0" w:line="360" w:lineRule="auto"/>
    </w:pPr>
    <w:rPr>
      <w:rFonts w:eastAsiaTheme="minorHAnsi"/>
      <w:sz w:val="24"/>
      <w:lang w:val="en-US" w:eastAsia="en-US"/>
    </w:rPr>
  </w:style>
  <w:style w:type="paragraph" w:customStyle="1" w:styleId="F8880C3E325F4CF1A6D3327FFCF4CE672">
    <w:name w:val="F8880C3E325F4CF1A6D3327FFCF4CE672"/>
    <w:rsid w:val="00025C02"/>
    <w:pPr>
      <w:spacing w:after="0" w:line="360" w:lineRule="auto"/>
    </w:pPr>
    <w:rPr>
      <w:rFonts w:eastAsiaTheme="minorHAnsi"/>
      <w:sz w:val="24"/>
      <w:lang w:val="en-US" w:eastAsia="en-US"/>
    </w:rPr>
  </w:style>
  <w:style w:type="paragraph" w:customStyle="1" w:styleId="DEDD33C7FA974B3C8C9F8D74B8CEB63E2">
    <w:name w:val="DEDD33C7FA974B3C8C9F8D74B8CEB63E2"/>
    <w:rsid w:val="00025C02"/>
    <w:pPr>
      <w:spacing w:after="0" w:line="360" w:lineRule="auto"/>
    </w:pPr>
    <w:rPr>
      <w:rFonts w:eastAsiaTheme="minorHAnsi"/>
      <w:sz w:val="24"/>
      <w:lang w:val="en-US" w:eastAsia="en-US"/>
    </w:rPr>
  </w:style>
  <w:style w:type="paragraph" w:customStyle="1" w:styleId="9F9EAD98CBA941E9A877D5CF818DBC9E10">
    <w:name w:val="9F9EAD98CBA941E9A877D5CF818DBC9E10"/>
    <w:rsid w:val="00025C02"/>
    <w:pPr>
      <w:spacing w:after="0" w:line="360" w:lineRule="auto"/>
    </w:pPr>
    <w:rPr>
      <w:rFonts w:eastAsiaTheme="minorHAnsi"/>
      <w:sz w:val="24"/>
      <w:lang w:val="en-US" w:eastAsia="en-US"/>
    </w:rPr>
  </w:style>
  <w:style w:type="paragraph" w:customStyle="1" w:styleId="B74A0B0EFDB44C30B0CEA92CD6A8470D10">
    <w:name w:val="B74A0B0EFDB44C30B0CEA92CD6A8470D10"/>
    <w:rsid w:val="00025C02"/>
    <w:pPr>
      <w:spacing w:after="0" w:line="360" w:lineRule="auto"/>
    </w:pPr>
    <w:rPr>
      <w:rFonts w:eastAsiaTheme="minorHAnsi"/>
      <w:sz w:val="24"/>
      <w:lang w:val="en-US" w:eastAsia="en-US"/>
    </w:rPr>
  </w:style>
  <w:style w:type="paragraph" w:customStyle="1" w:styleId="3A0048A26DDF4510A043025F58F080D49">
    <w:name w:val="3A0048A26DDF4510A043025F58F080D49"/>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2C33CBE2243A4349B3DE99F4CD9777167">
    <w:name w:val="2C33CBE2243A4349B3DE99F4CD9777167"/>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8DD7407F3FB2422CBBD2EDF249D3857E7">
    <w:name w:val="8DD7407F3FB2422CBBD2EDF249D3857E7"/>
    <w:rsid w:val="00025C02"/>
    <w:pPr>
      <w:keepNext/>
      <w:keepLines/>
      <w:spacing w:before="40" w:after="0" w:line="360" w:lineRule="auto"/>
      <w:outlineLvl w:val="2"/>
    </w:pPr>
    <w:rPr>
      <w:rFonts w:asciiTheme="majorHAnsi" w:eastAsiaTheme="majorEastAsia" w:hAnsiTheme="majorHAnsi" w:cstheme="majorBidi"/>
      <w:color w:val="1F4D78" w:themeColor="accent1" w:themeShade="7F"/>
      <w:sz w:val="24"/>
      <w:szCs w:val="24"/>
      <w:lang w:val="en-US" w:eastAsia="en-US"/>
    </w:rPr>
  </w:style>
  <w:style w:type="paragraph" w:customStyle="1" w:styleId="EBAF1A77925B4774BB7C5DAEDCEA8EE07">
    <w:name w:val="EBAF1A77925B4774BB7C5DAEDCEA8EE07"/>
    <w:rsid w:val="00025C02"/>
    <w:pPr>
      <w:spacing w:after="0" w:line="360" w:lineRule="auto"/>
    </w:pPr>
    <w:rPr>
      <w:rFonts w:eastAsiaTheme="minorHAnsi"/>
      <w:sz w:val="24"/>
      <w:lang w:val="en-US" w:eastAsia="en-US"/>
    </w:rPr>
  </w:style>
  <w:style w:type="paragraph" w:customStyle="1" w:styleId="89D42E65DED045E596A1E1F7B43B6C627">
    <w:name w:val="89D42E65DED045E596A1E1F7B43B6C627"/>
    <w:rsid w:val="00025C02"/>
    <w:pPr>
      <w:spacing w:after="0" w:line="360" w:lineRule="auto"/>
    </w:pPr>
    <w:rPr>
      <w:rFonts w:eastAsiaTheme="minorHAnsi"/>
      <w:sz w:val="24"/>
      <w:lang w:val="en-US" w:eastAsia="en-US"/>
    </w:rPr>
  </w:style>
  <w:style w:type="paragraph" w:customStyle="1" w:styleId="CFEC66FB03BB44F5BA5C8843AB2F3B767">
    <w:name w:val="CFEC66FB03BB44F5BA5C8843AB2F3B767"/>
    <w:rsid w:val="00025C02"/>
    <w:pPr>
      <w:spacing w:after="0" w:line="360" w:lineRule="auto"/>
    </w:pPr>
    <w:rPr>
      <w:rFonts w:eastAsiaTheme="minorHAnsi"/>
      <w:sz w:val="24"/>
      <w:lang w:val="en-US" w:eastAsia="en-US"/>
    </w:rPr>
  </w:style>
  <w:style w:type="paragraph" w:customStyle="1" w:styleId="B56C5E2D120A4448B24C231F3DACFAEA7">
    <w:name w:val="B56C5E2D120A4448B24C231F3DACFAEA7"/>
    <w:rsid w:val="00025C02"/>
    <w:pPr>
      <w:spacing w:after="0" w:line="360" w:lineRule="auto"/>
    </w:pPr>
    <w:rPr>
      <w:rFonts w:eastAsiaTheme="minorHAnsi"/>
      <w:sz w:val="24"/>
      <w:lang w:val="en-US" w:eastAsia="en-US"/>
    </w:rPr>
  </w:style>
  <w:style w:type="paragraph" w:customStyle="1" w:styleId="25ECC7C91CD2417FB4B0F9AA886AF5009">
    <w:name w:val="25ECC7C91CD2417FB4B0F9AA886AF5009"/>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9">
    <w:name w:val="DAD7045D038F4BEEA1D528D4AE0C527F9"/>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6047A188F7CA41249DD46FAEEEB3A36C">
    <w:name w:val="6047A188F7CA41249DD46FAEEEB3A36C"/>
    <w:rsid w:val="00025C02"/>
    <w:pPr>
      <w:spacing w:after="0" w:line="360" w:lineRule="auto"/>
    </w:pPr>
    <w:rPr>
      <w:rFonts w:eastAsiaTheme="minorHAnsi"/>
      <w:sz w:val="24"/>
      <w:lang w:val="en-US" w:eastAsia="en-US"/>
    </w:rPr>
  </w:style>
  <w:style w:type="paragraph" w:customStyle="1" w:styleId="34D3DA6C4ABB4308B2D53554824F836F3">
    <w:name w:val="34D3DA6C4ABB4308B2D53554824F836F3"/>
    <w:rsid w:val="00025C02"/>
    <w:pPr>
      <w:spacing w:after="0" w:line="360" w:lineRule="auto"/>
    </w:pPr>
    <w:rPr>
      <w:rFonts w:eastAsiaTheme="minorHAnsi"/>
      <w:sz w:val="24"/>
      <w:lang w:val="en-US" w:eastAsia="en-US"/>
    </w:rPr>
  </w:style>
  <w:style w:type="paragraph" w:customStyle="1" w:styleId="3CD1CBC222EC4EA9B57032D377C07CF13">
    <w:name w:val="3CD1CBC222EC4EA9B57032D377C07CF13"/>
    <w:rsid w:val="00025C02"/>
    <w:pPr>
      <w:spacing w:after="0" w:line="360" w:lineRule="auto"/>
    </w:pPr>
    <w:rPr>
      <w:rFonts w:eastAsiaTheme="minorHAnsi"/>
      <w:sz w:val="24"/>
      <w:lang w:val="en-US" w:eastAsia="en-US"/>
    </w:rPr>
  </w:style>
  <w:style w:type="paragraph" w:customStyle="1" w:styleId="49708DB6E2D147298F8259756474F0303">
    <w:name w:val="49708DB6E2D147298F8259756474F0303"/>
    <w:rsid w:val="00025C02"/>
    <w:pPr>
      <w:spacing w:after="0" w:line="360" w:lineRule="auto"/>
    </w:pPr>
    <w:rPr>
      <w:rFonts w:eastAsiaTheme="minorHAnsi"/>
      <w:sz w:val="24"/>
      <w:lang w:val="en-US" w:eastAsia="en-US"/>
    </w:rPr>
  </w:style>
  <w:style w:type="paragraph" w:customStyle="1" w:styleId="F8880C3E325F4CF1A6D3327FFCF4CE673">
    <w:name w:val="F8880C3E325F4CF1A6D3327FFCF4CE673"/>
    <w:rsid w:val="00025C02"/>
    <w:pPr>
      <w:spacing w:after="0" w:line="360" w:lineRule="auto"/>
    </w:pPr>
    <w:rPr>
      <w:rFonts w:eastAsiaTheme="minorHAnsi"/>
      <w:sz w:val="24"/>
      <w:lang w:val="en-US" w:eastAsia="en-US"/>
    </w:rPr>
  </w:style>
  <w:style w:type="paragraph" w:customStyle="1" w:styleId="DEDD33C7FA974B3C8C9F8D74B8CEB63E3">
    <w:name w:val="DEDD33C7FA974B3C8C9F8D74B8CEB63E3"/>
    <w:rsid w:val="00025C02"/>
    <w:pPr>
      <w:spacing w:after="0" w:line="360" w:lineRule="auto"/>
    </w:pPr>
    <w:rPr>
      <w:rFonts w:eastAsiaTheme="minorHAnsi"/>
      <w:sz w:val="24"/>
      <w:lang w:val="en-US" w:eastAsia="en-US"/>
    </w:rPr>
  </w:style>
  <w:style w:type="paragraph" w:customStyle="1" w:styleId="9F9EAD98CBA941E9A877D5CF818DBC9E11">
    <w:name w:val="9F9EAD98CBA941E9A877D5CF818DBC9E11"/>
    <w:rsid w:val="00025C02"/>
    <w:pPr>
      <w:spacing w:after="0" w:line="360" w:lineRule="auto"/>
    </w:pPr>
    <w:rPr>
      <w:rFonts w:eastAsiaTheme="minorHAnsi"/>
      <w:sz w:val="24"/>
      <w:lang w:val="en-US" w:eastAsia="en-US"/>
    </w:rPr>
  </w:style>
  <w:style w:type="paragraph" w:customStyle="1" w:styleId="B74A0B0EFDB44C30B0CEA92CD6A8470D11">
    <w:name w:val="B74A0B0EFDB44C30B0CEA92CD6A8470D11"/>
    <w:rsid w:val="00025C02"/>
    <w:pPr>
      <w:spacing w:after="0" w:line="360" w:lineRule="auto"/>
    </w:pPr>
    <w:rPr>
      <w:rFonts w:eastAsiaTheme="minorHAnsi"/>
      <w:sz w:val="24"/>
      <w:lang w:val="en-US" w:eastAsia="en-US"/>
    </w:rPr>
  </w:style>
  <w:style w:type="paragraph" w:customStyle="1" w:styleId="3A0048A26DDF4510A043025F58F080D410">
    <w:name w:val="3A0048A26DDF4510A043025F58F080D410"/>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2C33CBE2243A4349B3DE99F4CD9777168">
    <w:name w:val="2C33CBE2243A4349B3DE99F4CD9777168"/>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8DD7407F3FB2422CBBD2EDF249D3857E8">
    <w:name w:val="8DD7407F3FB2422CBBD2EDF249D3857E8"/>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EBAF1A77925B4774BB7C5DAEDCEA8EE08">
    <w:name w:val="EBAF1A77925B4774BB7C5DAEDCEA8EE08"/>
    <w:rsid w:val="00025C02"/>
    <w:pPr>
      <w:spacing w:after="0" w:line="360" w:lineRule="auto"/>
    </w:pPr>
    <w:rPr>
      <w:rFonts w:eastAsiaTheme="minorHAnsi"/>
      <w:sz w:val="24"/>
      <w:lang w:val="en-US" w:eastAsia="en-US"/>
    </w:rPr>
  </w:style>
  <w:style w:type="paragraph" w:customStyle="1" w:styleId="89D42E65DED045E596A1E1F7B43B6C628">
    <w:name w:val="89D42E65DED045E596A1E1F7B43B6C628"/>
    <w:rsid w:val="00025C02"/>
    <w:pPr>
      <w:spacing w:after="0" w:line="360" w:lineRule="auto"/>
    </w:pPr>
    <w:rPr>
      <w:rFonts w:eastAsiaTheme="minorHAnsi"/>
      <w:sz w:val="24"/>
      <w:lang w:val="en-US" w:eastAsia="en-US"/>
    </w:rPr>
  </w:style>
  <w:style w:type="paragraph" w:customStyle="1" w:styleId="CFEC66FB03BB44F5BA5C8843AB2F3B768">
    <w:name w:val="CFEC66FB03BB44F5BA5C8843AB2F3B768"/>
    <w:rsid w:val="00025C02"/>
    <w:pPr>
      <w:spacing w:after="0" w:line="360" w:lineRule="auto"/>
    </w:pPr>
    <w:rPr>
      <w:rFonts w:eastAsiaTheme="minorHAnsi"/>
      <w:sz w:val="24"/>
      <w:lang w:val="en-US" w:eastAsia="en-US"/>
    </w:rPr>
  </w:style>
  <w:style w:type="paragraph" w:customStyle="1" w:styleId="B56C5E2D120A4448B24C231F3DACFAEA8">
    <w:name w:val="B56C5E2D120A4448B24C231F3DACFAEA8"/>
    <w:rsid w:val="00025C02"/>
    <w:pPr>
      <w:spacing w:after="0" w:line="360" w:lineRule="auto"/>
    </w:pPr>
    <w:rPr>
      <w:rFonts w:eastAsiaTheme="minorHAnsi"/>
      <w:sz w:val="24"/>
      <w:lang w:val="en-US" w:eastAsia="en-US"/>
    </w:rPr>
  </w:style>
  <w:style w:type="paragraph" w:customStyle="1" w:styleId="25ECC7C91CD2417FB4B0F9AA886AF50010">
    <w:name w:val="25ECC7C91CD2417FB4B0F9AA886AF50010"/>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6047A188F7CA41249DD46FAEEEB3A36C1">
    <w:name w:val="6047A188F7CA41249DD46FAEEEB3A36C1"/>
    <w:rsid w:val="00025C02"/>
    <w:pPr>
      <w:spacing w:after="0" w:line="360" w:lineRule="auto"/>
    </w:pPr>
    <w:rPr>
      <w:rFonts w:eastAsiaTheme="minorHAnsi"/>
      <w:sz w:val="24"/>
      <w:lang w:val="en-US" w:eastAsia="en-US"/>
    </w:rPr>
  </w:style>
  <w:style w:type="paragraph" w:customStyle="1" w:styleId="34D3DA6C4ABB4308B2D53554824F836F4">
    <w:name w:val="34D3DA6C4ABB4308B2D53554824F836F4"/>
    <w:rsid w:val="00025C02"/>
    <w:pPr>
      <w:spacing w:after="0" w:line="360" w:lineRule="auto"/>
    </w:pPr>
    <w:rPr>
      <w:rFonts w:eastAsiaTheme="minorHAnsi"/>
      <w:sz w:val="24"/>
      <w:lang w:val="en-US" w:eastAsia="en-US"/>
    </w:rPr>
  </w:style>
  <w:style w:type="paragraph" w:customStyle="1" w:styleId="3CD1CBC222EC4EA9B57032D377C07CF14">
    <w:name w:val="3CD1CBC222EC4EA9B57032D377C07CF14"/>
    <w:rsid w:val="00025C02"/>
    <w:pPr>
      <w:spacing w:after="0" w:line="360" w:lineRule="auto"/>
    </w:pPr>
    <w:rPr>
      <w:rFonts w:eastAsiaTheme="minorHAnsi"/>
      <w:sz w:val="24"/>
      <w:lang w:val="en-US" w:eastAsia="en-US"/>
    </w:rPr>
  </w:style>
  <w:style w:type="paragraph" w:customStyle="1" w:styleId="49708DB6E2D147298F8259756474F0304">
    <w:name w:val="49708DB6E2D147298F8259756474F0304"/>
    <w:rsid w:val="00025C02"/>
    <w:pPr>
      <w:spacing w:after="0" w:line="360" w:lineRule="auto"/>
    </w:pPr>
    <w:rPr>
      <w:rFonts w:eastAsiaTheme="minorHAnsi"/>
      <w:sz w:val="24"/>
      <w:lang w:val="en-US" w:eastAsia="en-US"/>
    </w:rPr>
  </w:style>
  <w:style w:type="paragraph" w:customStyle="1" w:styleId="F8880C3E325F4CF1A6D3327FFCF4CE674">
    <w:name w:val="F8880C3E325F4CF1A6D3327FFCF4CE674"/>
    <w:rsid w:val="00025C02"/>
    <w:pPr>
      <w:spacing w:after="0" w:line="360" w:lineRule="auto"/>
    </w:pPr>
    <w:rPr>
      <w:rFonts w:eastAsiaTheme="minorHAnsi"/>
      <w:sz w:val="24"/>
      <w:lang w:val="en-US" w:eastAsia="en-US"/>
    </w:rPr>
  </w:style>
  <w:style w:type="paragraph" w:customStyle="1" w:styleId="DEDD33C7FA974B3C8C9F8D74B8CEB63E4">
    <w:name w:val="DEDD33C7FA974B3C8C9F8D74B8CEB63E4"/>
    <w:rsid w:val="00025C02"/>
    <w:pPr>
      <w:spacing w:after="0" w:line="360" w:lineRule="auto"/>
    </w:pPr>
    <w:rPr>
      <w:rFonts w:eastAsiaTheme="minorHAnsi"/>
      <w:sz w:val="24"/>
      <w:lang w:val="en-US" w:eastAsia="en-US"/>
    </w:rPr>
  </w:style>
  <w:style w:type="paragraph" w:customStyle="1" w:styleId="9F9EAD98CBA941E9A877D5CF818DBC9E12">
    <w:name w:val="9F9EAD98CBA941E9A877D5CF818DBC9E12"/>
    <w:rsid w:val="00025C02"/>
    <w:pPr>
      <w:spacing w:after="0" w:line="360" w:lineRule="auto"/>
    </w:pPr>
    <w:rPr>
      <w:rFonts w:eastAsiaTheme="minorHAnsi"/>
      <w:sz w:val="24"/>
      <w:lang w:val="en-US" w:eastAsia="en-US"/>
    </w:rPr>
  </w:style>
  <w:style w:type="paragraph" w:customStyle="1" w:styleId="B74A0B0EFDB44C30B0CEA92CD6A8470D12">
    <w:name w:val="B74A0B0EFDB44C30B0CEA92CD6A8470D12"/>
    <w:rsid w:val="00025C02"/>
    <w:pPr>
      <w:spacing w:after="0" w:line="360" w:lineRule="auto"/>
    </w:pPr>
    <w:rPr>
      <w:rFonts w:eastAsiaTheme="minorHAnsi"/>
      <w:sz w:val="24"/>
      <w:lang w:val="en-US" w:eastAsia="en-US"/>
    </w:rPr>
  </w:style>
  <w:style w:type="paragraph" w:customStyle="1" w:styleId="3A0048A26DDF4510A043025F58F080D411">
    <w:name w:val="3A0048A26DDF4510A043025F58F080D411"/>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2C33CBE2243A4349B3DE99F4CD9777169">
    <w:name w:val="2C33CBE2243A4349B3DE99F4CD9777169"/>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8DD7407F3FB2422CBBD2EDF249D3857E9">
    <w:name w:val="8DD7407F3FB2422CBBD2EDF249D3857E9"/>
    <w:rsid w:val="00025C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EBAF1A77925B4774BB7C5DAEDCEA8EE09">
    <w:name w:val="EBAF1A77925B4774BB7C5DAEDCEA8EE09"/>
    <w:rsid w:val="00025C02"/>
    <w:pPr>
      <w:spacing w:after="0" w:line="360" w:lineRule="auto"/>
    </w:pPr>
    <w:rPr>
      <w:rFonts w:eastAsiaTheme="minorHAnsi"/>
      <w:sz w:val="24"/>
      <w:lang w:val="en-US" w:eastAsia="en-US"/>
    </w:rPr>
  </w:style>
  <w:style w:type="paragraph" w:customStyle="1" w:styleId="89D42E65DED045E596A1E1F7B43B6C629">
    <w:name w:val="89D42E65DED045E596A1E1F7B43B6C629"/>
    <w:rsid w:val="00025C02"/>
    <w:pPr>
      <w:spacing w:after="0" w:line="360" w:lineRule="auto"/>
    </w:pPr>
    <w:rPr>
      <w:rFonts w:eastAsiaTheme="minorHAnsi"/>
      <w:sz w:val="24"/>
      <w:lang w:val="en-US" w:eastAsia="en-US"/>
    </w:rPr>
  </w:style>
  <w:style w:type="paragraph" w:customStyle="1" w:styleId="CFEC66FB03BB44F5BA5C8843AB2F3B769">
    <w:name w:val="CFEC66FB03BB44F5BA5C8843AB2F3B769"/>
    <w:rsid w:val="00025C02"/>
    <w:pPr>
      <w:spacing w:after="0" w:line="360" w:lineRule="auto"/>
    </w:pPr>
    <w:rPr>
      <w:rFonts w:eastAsiaTheme="minorHAnsi"/>
      <w:sz w:val="24"/>
      <w:lang w:val="en-US" w:eastAsia="en-US"/>
    </w:rPr>
  </w:style>
  <w:style w:type="paragraph" w:customStyle="1" w:styleId="B56C5E2D120A4448B24C231F3DACFAEA9">
    <w:name w:val="B56C5E2D120A4448B24C231F3DACFAEA9"/>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25ECC7C91CD2417FB4B0F9AA886AF50011">
    <w:name w:val="25ECC7C91CD2417FB4B0F9AA886AF50011"/>
    <w:rsid w:val="00885C9F"/>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11">
    <w:name w:val="DAD7045D038F4BEEA1D528D4AE0C527F11"/>
    <w:rsid w:val="00885C9F"/>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 w:type="paragraph" w:customStyle="1" w:styleId="25ECC7C91CD2417FB4B0F9AA886AF50012">
    <w:name w:val="25ECC7C91CD2417FB4B0F9AA886AF50012"/>
    <w:rsid w:val="00AA25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DAD7045D038F4BEEA1D528D4AE0C527F12">
    <w:name w:val="DAD7045D038F4BEEA1D528D4AE0C527F12"/>
    <w:rsid w:val="00AA2502"/>
    <w:pPr>
      <w:keepNext/>
      <w:keepLines/>
      <w:spacing w:before="240" w:after="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4D3DA6C4ABB4308B2D53554824F836F6">
    <w:name w:val="34D3DA6C4ABB4308B2D53554824F836F6"/>
    <w:rsid w:val="00AA2502"/>
    <w:pPr>
      <w:spacing w:after="0" w:line="360" w:lineRule="auto"/>
    </w:pPr>
    <w:rPr>
      <w:rFonts w:eastAsiaTheme="minorHAnsi"/>
      <w:sz w:val="24"/>
      <w:lang w:val="en-US" w:eastAsia="en-US"/>
    </w:rPr>
  </w:style>
  <w:style w:type="paragraph" w:customStyle="1" w:styleId="3CD1CBC222EC4EA9B57032D377C07CF16">
    <w:name w:val="3CD1CBC222EC4EA9B57032D377C07CF16"/>
    <w:rsid w:val="00AA2502"/>
    <w:pPr>
      <w:spacing w:after="0" w:line="360" w:lineRule="auto"/>
    </w:pPr>
    <w:rPr>
      <w:rFonts w:eastAsiaTheme="minorHAnsi"/>
      <w:sz w:val="24"/>
      <w:lang w:val="en-US" w:eastAsia="en-US"/>
    </w:rPr>
  </w:style>
  <w:style w:type="paragraph" w:customStyle="1" w:styleId="49708DB6E2D147298F8259756474F0306">
    <w:name w:val="49708DB6E2D147298F8259756474F0306"/>
    <w:rsid w:val="00AA2502"/>
    <w:pPr>
      <w:spacing w:after="0" w:line="360" w:lineRule="auto"/>
    </w:pPr>
    <w:rPr>
      <w:rFonts w:eastAsiaTheme="minorHAnsi"/>
      <w:sz w:val="24"/>
      <w:lang w:val="en-US" w:eastAsia="en-US"/>
    </w:rPr>
  </w:style>
  <w:style w:type="paragraph" w:customStyle="1" w:styleId="F8880C3E325F4CF1A6D3327FFCF4CE676">
    <w:name w:val="F8880C3E325F4CF1A6D3327FFCF4CE676"/>
    <w:rsid w:val="00AA2502"/>
    <w:pPr>
      <w:spacing w:after="0" w:line="360" w:lineRule="auto"/>
    </w:pPr>
    <w:rPr>
      <w:rFonts w:eastAsiaTheme="minorHAnsi"/>
      <w:sz w:val="24"/>
      <w:lang w:val="en-US" w:eastAsia="en-US"/>
    </w:rPr>
  </w:style>
  <w:style w:type="paragraph" w:customStyle="1" w:styleId="DEDD33C7FA974B3C8C9F8D74B8CEB63E6">
    <w:name w:val="DEDD33C7FA974B3C8C9F8D74B8CEB63E6"/>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2C33CBE2243A4349B3DE99F4CD97771611">
    <w:name w:val="2C33CBE2243A4349B3DE99F4CD97771611"/>
    <w:rsid w:val="00AA25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8DD7407F3FB2422CBBD2EDF249D3857E11">
    <w:name w:val="8DD7407F3FB2422CBBD2EDF249D3857E11"/>
    <w:rsid w:val="00AA2502"/>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lang w:eastAsia="en-US"/>
    </w:rPr>
  </w:style>
  <w:style w:type="paragraph" w:customStyle="1" w:styleId="EBAF1A77925B4774BB7C5DAEDCEA8EE011">
    <w:name w:val="EBAF1A77925B4774BB7C5DAEDCEA8EE011"/>
    <w:rsid w:val="00AA2502"/>
    <w:pPr>
      <w:spacing w:after="0" w:line="360" w:lineRule="auto"/>
    </w:pPr>
    <w:rPr>
      <w:rFonts w:eastAsiaTheme="minorHAnsi"/>
      <w:sz w:val="24"/>
      <w:lang w:val="en-US" w:eastAsia="en-US"/>
    </w:rPr>
  </w:style>
  <w:style w:type="paragraph" w:customStyle="1" w:styleId="89D42E65DED045E596A1E1F7B43B6C6211">
    <w:name w:val="89D42E65DED045E596A1E1F7B43B6C6211"/>
    <w:rsid w:val="00AA2502"/>
    <w:pPr>
      <w:spacing w:after="0" w:line="360" w:lineRule="auto"/>
    </w:pPr>
    <w:rPr>
      <w:rFonts w:eastAsiaTheme="minorHAnsi"/>
      <w:sz w:val="24"/>
      <w:lang w:val="en-US" w:eastAsia="en-US"/>
    </w:rPr>
  </w:style>
  <w:style w:type="paragraph" w:customStyle="1" w:styleId="CFEC66FB03BB44F5BA5C8843AB2F3B7611">
    <w:name w:val="CFEC66FB03BB44F5BA5C8843AB2F3B7611"/>
    <w:rsid w:val="00AA2502"/>
    <w:pPr>
      <w:spacing w:after="0" w:line="360" w:lineRule="auto"/>
    </w:pPr>
    <w:rPr>
      <w:rFonts w:eastAsiaTheme="minorHAnsi"/>
      <w:sz w:val="24"/>
      <w:lang w:val="en-US" w:eastAsia="en-US"/>
    </w:rPr>
  </w:style>
  <w:style w:type="paragraph" w:customStyle="1" w:styleId="B56C5E2D120A4448B24C231F3DACFAEA11">
    <w:name w:val="B56C5E2D120A4448B24C231F3DACFAEA11"/>
    <w:rsid w:val="00AA2502"/>
    <w:pPr>
      <w:spacing w:after="0" w:line="360" w:lineRule="auto"/>
    </w:pPr>
    <w:rPr>
      <w:rFonts w:eastAsiaTheme="minorHAnsi"/>
      <w:sz w:val="24"/>
      <w:lang w:val="en-US"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 w:type="paragraph" w:customStyle="1" w:styleId="E9ED6B02E7D649BEB9425DD3FCF38FF2">
    <w:name w:val="E9ED6B02E7D649BEB9425DD3FCF38FF2"/>
    <w:rsid w:val="00E24933"/>
    <w:rPr>
      <w:lang w:eastAsia="en-GB"/>
    </w:rPr>
  </w:style>
  <w:style w:type="paragraph" w:customStyle="1" w:styleId="7A19E01C1CBD4044921DE63324DA800B">
    <w:name w:val="7A19E01C1CBD4044921DE63324DA800B"/>
    <w:rsid w:val="00CB3420"/>
    <w:rPr>
      <w:lang w:eastAsia="en-GB"/>
    </w:rPr>
  </w:style>
  <w:style w:type="paragraph" w:customStyle="1" w:styleId="8BFF3BEDC8354CB7970B7FA43728B0A1">
    <w:name w:val="8BFF3BEDC8354CB7970B7FA43728B0A1"/>
    <w:rsid w:val="00CB3420"/>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877</TotalTime>
  <Pages>23</Pages>
  <Words>6871</Words>
  <Characters>39170</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45950</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Elise Devon Blackwell</cp:lastModifiedBy>
  <cp:revision>178</cp:revision>
  <dcterms:created xsi:type="dcterms:W3CDTF">2020-10-21T12:52:00Z</dcterms:created>
  <dcterms:modified xsi:type="dcterms:W3CDTF">2021-03-07T13:11:00Z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