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17B2" w:rsidRPr="00410F15" w:rsidRDefault="004920D7">
      <w:pPr>
        <w:rPr>
          <w:rFonts w:cstheme="minorHAnsi"/>
          <w:b/>
          <w:sz w:val="28"/>
        </w:rPr>
      </w:pPr>
      <w:bookmarkStart w:id="0" w:name="_GoBack"/>
      <w:bookmarkEnd w:id="0"/>
      <w:r w:rsidRPr="00410F15">
        <w:rPr>
          <w:rFonts w:cstheme="minorHAnsi"/>
          <w:b/>
          <w:sz w:val="28"/>
        </w:rPr>
        <w:t xml:space="preserve">Demosthenes and the </w:t>
      </w:r>
      <w:proofErr w:type="spellStart"/>
      <w:r w:rsidRPr="00410F15">
        <w:rPr>
          <w:rFonts w:cstheme="minorHAnsi"/>
          <w:b/>
          <w:sz w:val="28"/>
        </w:rPr>
        <w:t>Olynthiacs</w:t>
      </w:r>
      <w:proofErr w:type="spellEnd"/>
    </w:p>
    <w:p w:rsidR="00475671" w:rsidRPr="00410F15" w:rsidRDefault="00475671" w:rsidP="00475671">
      <w:pPr>
        <w:pStyle w:val="NormalWeb"/>
        <w:spacing w:before="0" w:beforeAutospacing="0" w:after="0" w:afterAutospacing="0"/>
        <w:rPr>
          <w:rFonts w:asciiTheme="minorHAnsi" w:hAnsiTheme="minorHAnsi" w:cstheme="minorHAnsi"/>
          <w:sz w:val="22"/>
          <w:szCs w:val="22"/>
        </w:rPr>
      </w:pPr>
      <w:r w:rsidRPr="00410F15">
        <w:rPr>
          <w:rFonts w:asciiTheme="minorHAnsi" w:hAnsiTheme="minorHAnsi" w:cstheme="minorHAnsi"/>
          <w:sz w:val="22"/>
          <w:szCs w:val="22"/>
        </w:rPr>
        <w:t>During the mid-fourth Century BCE Phillip the second of Macedon consolidated his power in Thessaly and the Chalcidice throughout roughly 350-340 (</w:t>
      </w:r>
      <w:proofErr w:type="spellStart"/>
      <w:r w:rsidRPr="00410F15">
        <w:rPr>
          <w:rFonts w:asciiTheme="minorHAnsi" w:hAnsiTheme="minorHAnsi" w:cstheme="minorHAnsi"/>
          <w:sz w:val="22"/>
          <w:szCs w:val="22"/>
        </w:rPr>
        <w:t>Diodorus</w:t>
      </w:r>
      <w:proofErr w:type="spellEnd"/>
      <w:r w:rsidRPr="00410F15">
        <w:rPr>
          <w:rFonts w:asciiTheme="minorHAnsi" w:hAnsiTheme="minorHAnsi" w:cstheme="minorHAnsi"/>
          <w:sz w:val="22"/>
          <w:szCs w:val="22"/>
        </w:rPr>
        <w:t>) this development caused a stir in the Athenian assembly a notable advocate of action against Philip’s growth in power was Demosthenes’ Philippics</w:t>
      </w:r>
      <w:r w:rsidRPr="00410F15">
        <w:rPr>
          <w:rStyle w:val="FootnoteReference"/>
          <w:rFonts w:asciiTheme="minorHAnsi" w:hAnsiTheme="minorHAnsi" w:cstheme="minorHAnsi"/>
          <w:sz w:val="22"/>
          <w:szCs w:val="22"/>
        </w:rPr>
        <w:footnoteReference w:id="1"/>
      </w:r>
      <w:r w:rsidRPr="00410F15">
        <w:rPr>
          <w:rFonts w:asciiTheme="minorHAnsi" w:hAnsiTheme="minorHAnsi" w:cstheme="minorHAnsi"/>
          <w:sz w:val="22"/>
          <w:szCs w:val="22"/>
        </w:rPr>
        <w:t xml:space="preserve"> and </w:t>
      </w:r>
      <w:proofErr w:type="spellStart"/>
      <w:r w:rsidRPr="00410F15">
        <w:rPr>
          <w:rFonts w:asciiTheme="minorHAnsi" w:hAnsiTheme="minorHAnsi" w:cstheme="minorHAnsi"/>
          <w:sz w:val="22"/>
          <w:szCs w:val="22"/>
        </w:rPr>
        <w:t>Olynthiacs</w:t>
      </w:r>
      <w:proofErr w:type="spellEnd"/>
      <w:r w:rsidRPr="00410F15">
        <w:rPr>
          <w:rStyle w:val="FootnoteReference"/>
          <w:rFonts w:asciiTheme="minorHAnsi" w:hAnsiTheme="minorHAnsi" w:cstheme="minorHAnsi"/>
          <w:sz w:val="22"/>
          <w:szCs w:val="22"/>
        </w:rPr>
        <w:footnoteReference w:id="2"/>
      </w:r>
      <w:r w:rsidRPr="00410F15">
        <w:rPr>
          <w:rFonts w:asciiTheme="minorHAnsi" w:hAnsiTheme="minorHAnsi" w:cstheme="minorHAnsi"/>
          <w:sz w:val="22"/>
          <w:szCs w:val="22"/>
        </w:rPr>
        <w:t xml:space="preserve">. The focus here will be on the first and second </w:t>
      </w:r>
      <w:proofErr w:type="spellStart"/>
      <w:r w:rsidRPr="00410F15">
        <w:rPr>
          <w:rFonts w:asciiTheme="minorHAnsi" w:hAnsiTheme="minorHAnsi" w:cstheme="minorHAnsi"/>
          <w:sz w:val="22"/>
          <w:szCs w:val="22"/>
        </w:rPr>
        <w:t>Olynthiacs</w:t>
      </w:r>
      <w:proofErr w:type="spellEnd"/>
      <w:r w:rsidRPr="00410F15">
        <w:rPr>
          <w:rFonts w:asciiTheme="minorHAnsi" w:hAnsiTheme="minorHAnsi" w:cstheme="minorHAnsi"/>
          <w:sz w:val="22"/>
          <w:szCs w:val="22"/>
        </w:rPr>
        <w:t>, written in 349 BCE.</w:t>
      </w:r>
    </w:p>
    <w:p w:rsidR="00950AD0" w:rsidRPr="00410F15" w:rsidRDefault="00475671" w:rsidP="00950AD0">
      <w:pPr>
        <w:pStyle w:val="NormalWeb"/>
        <w:spacing w:after="0"/>
        <w:rPr>
          <w:rFonts w:asciiTheme="minorHAnsi" w:hAnsiTheme="minorHAnsi" w:cstheme="minorHAnsi"/>
          <w:sz w:val="22"/>
          <w:szCs w:val="22"/>
        </w:rPr>
      </w:pPr>
      <w:r w:rsidRPr="00410F15">
        <w:rPr>
          <w:rFonts w:asciiTheme="minorHAnsi" w:hAnsiTheme="minorHAnsi" w:cstheme="minorHAnsi"/>
          <w:sz w:val="22"/>
          <w:szCs w:val="22"/>
        </w:rPr>
        <w:t xml:space="preserve">In the first </w:t>
      </w:r>
      <w:proofErr w:type="spellStart"/>
      <w:r w:rsidRPr="00410F15">
        <w:rPr>
          <w:rFonts w:asciiTheme="minorHAnsi" w:hAnsiTheme="minorHAnsi" w:cstheme="minorHAnsi"/>
          <w:sz w:val="22"/>
          <w:szCs w:val="22"/>
        </w:rPr>
        <w:t>Olynthiac</w:t>
      </w:r>
      <w:proofErr w:type="spellEnd"/>
      <w:r w:rsidRPr="00410F15">
        <w:rPr>
          <w:rFonts w:asciiTheme="minorHAnsi" w:hAnsiTheme="minorHAnsi" w:cstheme="minorHAnsi"/>
          <w:sz w:val="22"/>
          <w:szCs w:val="22"/>
        </w:rPr>
        <w:t xml:space="preserve"> Demosthenes opens with declaring the matter as one of finance, a theme that will recur amongst the first </w:t>
      </w:r>
      <w:proofErr w:type="spellStart"/>
      <w:r w:rsidRPr="00410F15">
        <w:rPr>
          <w:rFonts w:asciiTheme="minorHAnsi" w:hAnsiTheme="minorHAnsi" w:cstheme="minorHAnsi"/>
          <w:sz w:val="22"/>
          <w:szCs w:val="22"/>
        </w:rPr>
        <w:t>Olynthiac</w:t>
      </w:r>
      <w:proofErr w:type="spellEnd"/>
      <w:r w:rsidRPr="00410F15">
        <w:rPr>
          <w:rFonts w:asciiTheme="minorHAnsi" w:hAnsiTheme="minorHAnsi" w:cstheme="minorHAnsi"/>
          <w:sz w:val="22"/>
          <w:szCs w:val="22"/>
        </w:rPr>
        <w:t>, such as his expression on the scal</w:t>
      </w:r>
      <w:r w:rsidR="00C61C1E" w:rsidRPr="00410F15">
        <w:rPr>
          <w:rFonts w:asciiTheme="minorHAnsi" w:hAnsiTheme="minorHAnsi" w:cstheme="minorHAnsi"/>
          <w:sz w:val="22"/>
          <w:szCs w:val="22"/>
        </w:rPr>
        <w:t>e of the expedition proposed.</w:t>
      </w:r>
      <w:r w:rsidRPr="00410F15">
        <w:rPr>
          <w:rFonts w:asciiTheme="minorHAnsi" w:hAnsiTheme="minorHAnsi" w:cstheme="minorHAnsi"/>
          <w:sz w:val="22"/>
          <w:szCs w:val="22"/>
        </w:rPr>
        <w:t xml:space="preserve"> "</w:t>
      </w:r>
      <w:r w:rsidR="00C61C1E" w:rsidRPr="00410F15">
        <w:rPr>
          <w:rFonts w:asciiTheme="minorHAnsi" w:hAnsiTheme="minorHAnsi" w:cstheme="minorHAnsi"/>
          <w:sz w:val="22"/>
          <w:szCs w:val="22"/>
        </w:rPr>
        <w:t>With regards to</w:t>
      </w:r>
      <w:r w:rsidRPr="00410F15">
        <w:rPr>
          <w:rFonts w:asciiTheme="minorHAnsi" w:hAnsiTheme="minorHAnsi" w:cstheme="minorHAnsi"/>
          <w:sz w:val="22"/>
          <w:szCs w:val="22"/>
        </w:rPr>
        <w:t xml:space="preserve"> the supply of money, you have money, men of Athens; you </w:t>
      </w:r>
      <w:r w:rsidR="00313E31" w:rsidRPr="00410F15">
        <w:rPr>
          <w:rFonts w:asciiTheme="minorHAnsi" w:hAnsiTheme="minorHAnsi" w:cstheme="minorHAnsi"/>
          <w:sz w:val="22"/>
          <w:szCs w:val="22"/>
        </w:rPr>
        <w:t>have more than any other nation</w:t>
      </w:r>
      <w:r w:rsidRPr="00410F15">
        <w:rPr>
          <w:rFonts w:asciiTheme="minorHAnsi" w:hAnsiTheme="minorHAnsi" w:cstheme="minorHAnsi"/>
          <w:sz w:val="22"/>
          <w:szCs w:val="22"/>
        </w:rPr>
        <w:t>"</w:t>
      </w:r>
      <w:r w:rsidR="00C61C1E" w:rsidRPr="00410F15">
        <w:rPr>
          <w:rStyle w:val="FootnoteReference"/>
          <w:rFonts w:asciiTheme="minorHAnsi" w:hAnsiTheme="minorHAnsi" w:cstheme="minorHAnsi"/>
          <w:sz w:val="22"/>
          <w:szCs w:val="22"/>
        </w:rPr>
        <w:footnoteReference w:id="3"/>
      </w:r>
      <w:r w:rsidRPr="00410F15">
        <w:rPr>
          <w:rFonts w:asciiTheme="minorHAnsi" w:hAnsiTheme="minorHAnsi" w:cstheme="minorHAnsi"/>
          <w:sz w:val="22"/>
          <w:szCs w:val="22"/>
        </w:rPr>
        <w:t xml:space="preserve"> Sing explores the use of money in the texts examined, and he presents this as Demosthenes offsetting Philips use of finance. Where Philip uses his influence to bribe states into inaction, Athens should spend on its military force to oppose Philip. </w:t>
      </w:r>
      <w:sdt>
        <w:sdtPr>
          <w:rPr>
            <w:rFonts w:asciiTheme="minorHAnsi" w:hAnsiTheme="minorHAnsi" w:cstheme="minorHAnsi"/>
            <w:sz w:val="22"/>
            <w:szCs w:val="22"/>
          </w:rPr>
          <w:id w:val="-1242179734"/>
          <w:citation/>
        </w:sdtPr>
        <w:sdtEndPr/>
        <w:sdtContent>
          <w:r w:rsidR="00C61C1E" w:rsidRPr="00410F15">
            <w:rPr>
              <w:rFonts w:asciiTheme="minorHAnsi" w:hAnsiTheme="minorHAnsi" w:cstheme="minorHAnsi"/>
              <w:sz w:val="22"/>
              <w:szCs w:val="22"/>
            </w:rPr>
            <w:fldChar w:fldCharType="begin"/>
          </w:r>
          <w:r w:rsidR="00950AD0" w:rsidRPr="00410F15">
            <w:rPr>
              <w:rFonts w:asciiTheme="minorHAnsi" w:hAnsiTheme="minorHAnsi" w:cstheme="minorHAnsi"/>
              <w:sz w:val="22"/>
              <w:szCs w:val="22"/>
            </w:rPr>
            <w:instrText xml:space="preserve">CITATION Sin \l 2057 </w:instrText>
          </w:r>
          <w:r w:rsidR="00C61C1E" w:rsidRPr="00410F15">
            <w:rPr>
              <w:rFonts w:asciiTheme="minorHAnsi" w:hAnsiTheme="minorHAnsi" w:cstheme="minorHAnsi"/>
              <w:sz w:val="22"/>
              <w:szCs w:val="22"/>
            </w:rPr>
            <w:fldChar w:fldCharType="separate"/>
          </w:r>
          <w:r w:rsidR="00950AD0" w:rsidRPr="00410F15">
            <w:rPr>
              <w:rFonts w:asciiTheme="minorHAnsi" w:hAnsiTheme="minorHAnsi" w:cstheme="minorHAnsi"/>
              <w:noProof/>
              <w:sz w:val="22"/>
              <w:szCs w:val="22"/>
            </w:rPr>
            <w:t>(Sing)</w:t>
          </w:r>
          <w:r w:rsidR="00C61C1E" w:rsidRPr="00410F15">
            <w:rPr>
              <w:rFonts w:asciiTheme="minorHAnsi" w:hAnsiTheme="minorHAnsi" w:cstheme="minorHAnsi"/>
              <w:sz w:val="22"/>
              <w:szCs w:val="22"/>
            </w:rPr>
            <w:fldChar w:fldCharType="end"/>
          </w:r>
        </w:sdtContent>
      </w:sdt>
      <w:r w:rsidR="00950AD0" w:rsidRPr="00410F15">
        <w:rPr>
          <w:rFonts w:asciiTheme="minorHAnsi" w:hAnsiTheme="minorHAnsi" w:cstheme="minorHAnsi"/>
          <w:sz w:val="22"/>
          <w:szCs w:val="22"/>
        </w:rPr>
        <w:t xml:space="preserve"> From this and the arguments presented by Sing and </w:t>
      </w:r>
      <w:proofErr w:type="spellStart"/>
      <w:r w:rsidR="00950AD0" w:rsidRPr="00410F15">
        <w:rPr>
          <w:rFonts w:asciiTheme="minorHAnsi" w:hAnsiTheme="minorHAnsi" w:cstheme="minorHAnsi"/>
          <w:sz w:val="22"/>
          <w:szCs w:val="22"/>
        </w:rPr>
        <w:t>Dmitriev</w:t>
      </w:r>
      <w:proofErr w:type="spellEnd"/>
      <w:r w:rsidR="00950AD0" w:rsidRPr="00410F15">
        <w:rPr>
          <w:rFonts w:asciiTheme="minorHAnsi" w:hAnsiTheme="minorHAnsi" w:cstheme="minorHAnsi"/>
          <w:sz w:val="22"/>
          <w:szCs w:val="22"/>
        </w:rPr>
        <w:t xml:space="preserve">, </w:t>
      </w:r>
      <w:sdt>
        <w:sdtPr>
          <w:rPr>
            <w:rFonts w:asciiTheme="minorHAnsi" w:hAnsiTheme="minorHAnsi" w:cstheme="minorHAnsi"/>
            <w:sz w:val="22"/>
            <w:szCs w:val="22"/>
          </w:rPr>
          <w:id w:val="-876996317"/>
          <w:citation/>
        </w:sdtPr>
        <w:sdtEndPr/>
        <w:sdtContent>
          <w:r w:rsidR="00950AD0" w:rsidRPr="00410F15">
            <w:rPr>
              <w:rFonts w:asciiTheme="minorHAnsi" w:hAnsiTheme="minorHAnsi" w:cstheme="minorHAnsi"/>
              <w:sz w:val="22"/>
              <w:szCs w:val="22"/>
            </w:rPr>
            <w:fldChar w:fldCharType="begin"/>
          </w:r>
          <w:r w:rsidR="00950AD0" w:rsidRPr="00410F15">
            <w:rPr>
              <w:rFonts w:asciiTheme="minorHAnsi" w:hAnsiTheme="minorHAnsi" w:cstheme="minorHAnsi"/>
              <w:sz w:val="22"/>
              <w:szCs w:val="22"/>
            </w:rPr>
            <w:instrText xml:space="preserve">CITATION Dmi17 \p 2 \l 2057 </w:instrText>
          </w:r>
          <w:r w:rsidR="00950AD0" w:rsidRPr="00410F15">
            <w:rPr>
              <w:rFonts w:asciiTheme="minorHAnsi" w:hAnsiTheme="minorHAnsi" w:cstheme="minorHAnsi"/>
              <w:sz w:val="22"/>
              <w:szCs w:val="22"/>
            </w:rPr>
            <w:fldChar w:fldCharType="separate"/>
          </w:r>
          <w:r w:rsidR="00950AD0" w:rsidRPr="00410F15">
            <w:rPr>
              <w:rFonts w:asciiTheme="minorHAnsi" w:hAnsiTheme="minorHAnsi" w:cstheme="minorHAnsi"/>
              <w:noProof/>
              <w:sz w:val="22"/>
              <w:szCs w:val="22"/>
            </w:rPr>
            <w:t>(Dmitriev, 2017, p. 2)</w:t>
          </w:r>
          <w:r w:rsidR="00950AD0" w:rsidRPr="00410F15">
            <w:rPr>
              <w:rFonts w:asciiTheme="minorHAnsi" w:hAnsiTheme="minorHAnsi" w:cstheme="minorHAnsi"/>
              <w:sz w:val="22"/>
              <w:szCs w:val="22"/>
            </w:rPr>
            <w:fldChar w:fldCharType="end"/>
          </w:r>
        </w:sdtContent>
      </w:sdt>
      <w:r w:rsidR="00950AD0" w:rsidRPr="00410F15">
        <w:rPr>
          <w:rFonts w:asciiTheme="minorHAnsi" w:hAnsiTheme="minorHAnsi" w:cstheme="minorHAnsi"/>
          <w:sz w:val="22"/>
          <w:szCs w:val="22"/>
        </w:rPr>
        <w:t xml:space="preserve"> Demosthenes is shown to propose using the </w:t>
      </w:r>
      <w:proofErr w:type="spellStart"/>
      <w:r w:rsidR="00950AD0" w:rsidRPr="00410F15">
        <w:rPr>
          <w:rFonts w:asciiTheme="minorHAnsi" w:hAnsiTheme="minorHAnsi" w:cstheme="minorHAnsi"/>
          <w:sz w:val="22"/>
          <w:szCs w:val="22"/>
        </w:rPr>
        <w:t>Theoric</w:t>
      </w:r>
      <w:proofErr w:type="spellEnd"/>
      <w:r w:rsidR="00950AD0" w:rsidRPr="00410F15">
        <w:rPr>
          <w:rFonts w:asciiTheme="minorHAnsi" w:hAnsiTheme="minorHAnsi" w:cstheme="minorHAnsi"/>
          <w:sz w:val="22"/>
          <w:szCs w:val="22"/>
        </w:rPr>
        <w:t xml:space="preserve"> funds to assist in funding the expeditions instead of for public entertainment.</w:t>
      </w:r>
    </w:p>
    <w:p w:rsidR="00D353A1" w:rsidRPr="00410F15" w:rsidRDefault="00410F15">
      <w:pPr>
        <w:rPr>
          <w:rFonts w:cstheme="minorHAnsi"/>
        </w:rPr>
      </w:pPr>
      <w:r w:rsidRPr="00410F15">
        <w:rPr>
          <w:rFonts w:eastAsia="Times New Roman" w:cstheme="minorHAnsi"/>
          <w:lang w:eastAsia="en-GB"/>
        </w:rPr>
        <w:t xml:space="preserve">The second </w:t>
      </w:r>
      <w:proofErr w:type="spellStart"/>
      <w:r w:rsidRPr="00410F15">
        <w:rPr>
          <w:rFonts w:eastAsia="Times New Roman" w:cstheme="minorHAnsi"/>
          <w:lang w:eastAsia="en-GB"/>
        </w:rPr>
        <w:t>Olynthiac</w:t>
      </w:r>
      <w:proofErr w:type="spellEnd"/>
      <w:r w:rsidRPr="00410F15">
        <w:rPr>
          <w:rFonts w:eastAsia="Times New Roman" w:cstheme="minorHAnsi"/>
          <w:lang w:eastAsia="en-GB"/>
        </w:rPr>
        <w:t xml:space="preserve"> looks to concurrently represent Philip as underhanded while it additionally presents Athenian envoys, if not the assembly by extension, as without substance due to lack of action behind the words. In addition to this Demosthenes reiterates a point he made in the first </w:t>
      </w:r>
      <w:proofErr w:type="spellStart"/>
      <w:r w:rsidRPr="00410F15">
        <w:rPr>
          <w:rFonts w:eastAsia="Times New Roman" w:cstheme="minorHAnsi"/>
          <w:lang w:eastAsia="en-GB"/>
        </w:rPr>
        <w:t>Olynthiac</w:t>
      </w:r>
      <w:proofErr w:type="spellEnd"/>
      <w:r w:rsidRPr="00410F15">
        <w:rPr>
          <w:rFonts w:eastAsia="Times New Roman" w:cstheme="minorHAnsi"/>
          <w:lang w:eastAsia="en-GB"/>
        </w:rPr>
        <w:t xml:space="preserve">, which is that each citizen should grant monetary support "in accordance to his means" regarding this to be the foremost way that Athens can win against Philip in a conflict. </w:t>
      </w:r>
      <w:proofErr w:type="spellStart"/>
      <w:r w:rsidRPr="00410F15">
        <w:rPr>
          <w:rFonts w:eastAsia="Times New Roman" w:cstheme="minorHAnsi"/>
          <w:lang w:eastAsia="en-GB"/>
        </w:rPr>
        <w:t>Tuplin</w:t>
      </w:r>
      <w:proofErr w:type="spellEnd"/>
      <w:r w:rsidRPr="00410F15">
        <w:rPr>
          <w:rFonts w:eastAsia="Times New Roman" w:cstheme="minorHAnsi"/>
          <w:lang w:eastAsia="en-GB"/>
        </w:rPr>
        <w:t xml:space="preserve"> associates the second </w:t>
      </w:r>
      <w:proofErr w:type="spellStart"/>
      <w:r w:rsidRPr="00410F15">
        <w:rPr>
          <w:rFonts w:eastAsia="Times New Roman" w:cstheme="minorHAnsi"/>
          <w:lang w:eastAsia="en-GB"/>
        </w:rPr>
        <w:t>Olynthiac</w:t>
      </w:r>
      <w:proofErr w:type="spellEnd"/>
      <w:r w:rsidRPr="00410F15">
        <w:rPr>
          <w:rFonts w:eastAsia="Times New Roman" w:cstheme="minorHAnsi"/>
          <w:lang w:eastAsia="en-GB"/>
        </w:rPr>
        <w:t xml:space="preserve"> with specific unidentified politicians in Athens rather than Philip directly and highlights the existence of different factions amongst the Athenians.</w:t>
      </w:r>
      <w:r w:rsidRPr="00410F15">
        <w:rPr>
          <w:rStyle w:val="FootnoteReference"/>
          <w:rFonts w:eastAsia="Times New Roman" w:cstheme="minorHAnsi"/>
          <w:lang w:eastAsia="en-GB"/>
        </w:rPr>
        <w:footnoteReference w:id="4"/>
      </w:r>
      <w:r w:rsidRPr="00410F15">
        <w:rPr>
          <w:rFonts w:eastAsia="Times New Roman" w:cstheme="minorHAnsi"/>
          <w:lang w:eastAsia="en-GB"/>
        </w:rPr>
        <w:t xml:space="preserve"> </w:t>
      </w:r>
      <w:proofErr w:type="spellStart"/>
      <w:r w:rsidRPr="00410F15">
        <w:rPr>
          <w:rFonts w:eastAsia="Times New Roman" w:cstheme="minorHAnsi"/>
          <w:lang w:eastAsia="en-GB"/>
        </w:rPr>
        <w:t>Tuplin</w:t>
      </w:r>
      <w:proofErr w:type="spellEnd"/>
      <w:r w:rsidRPr="00410F15">
        <w:rPr>
          <w:rFonts w:eastAsia="Times New Roman" w:cstheme="minorHAnsi"/>
          <w:lang w:eastAsia="en-GB"/>
        </w:rPr>
        <w:t xml:space="preserve"> also identifies that Demosthenes is targeting Philips supporters when talking of shame, stating this would highlight their fault. This supports the opinion that the assembly was divided into factions, as is stated later in the article. </w:t>
      </w:r>
      <w:proofErr w:type="spellStart"/>
      <w:r w:rsidRPr="00410F15">
        <w:rPr>
          <w:rFonts w:eastAsia="Times New Roman" w:cstheme="minorHAnsi"/>
          <w:lang w:eastAsia="en-GB"/>
        </w:rPr>
        <w:t>Tuplin</w:t>
      </w:r>
      <w:proofErr w:type="spellEnd"/>
      <w:r w:rsidRPr="00410F15">
        <w:rPr>
          <w:rFonts w:eastAsia="Times New Roman" w:cstheme="minorHAnsi"/>
          <w:lang w:eastAsia="en-GB"/>
        </w:rPr>
        <w:t xml:space="preserve"> also draws attention to solutions Demosthenes puts forward, which all include the Athenian people working collectively to accomplish each step of the wartime processes to pursue their conflict with Philip.</w:t>
      </w:r>
      <w:sdt>
        <w:sdtPr>
          <w:rPr>
            <w:rFonts w:eastAsia="Times New Roman" w:cstheme="minorHAnsi"/>
            <w:lang w:eastAsia="en-GB"/>
          </w:rPr>
          <w:id w:val="1979252656"/>
          <w:citation/>
        </w:sdtPr>
        <w:sdtEndPr/>
        <w:sdtContent>
          <w:r w:rsidRPr="00410F15">
            <w:rPr>
              <w:rFonts w:eastAsia="Times New Roman" w:cstheme="minorHAnsi"/>
              <w:lang w:eastAsia="en-GB"/>
            </w:rPr>
            <w:fldChar w:fldCharType="begin"/>
          </w:r>
          <w:r w:rsidRPr="00410F15">
            <w:rPr>
              <w:rFonts w:eastAsia="Times New Roman" w:cstheme="minorHAnsi"/>
              <w:lang w:eastAsia="en-GB"/>
            </w:rPr>
            <w:instrText xml:space="preserve">CITATION Tup88 \l 2057 </w:instrText>
          </w:r>
          <w:r w:rsidRPr="00410F15">
            <w:rPr>
              <w:rFonts w:eastAsia="Times New Roman" w:cstheme="minorHAnsi"/>
              <w:lang w:eastAsia="en-GB"/>
            </w:rPr>
            <w:fldChar w:fldCharType="separate"/>
          </w:r>
          <w:r w:rsidRPr="00410F15">
            <w:rPr>
              <w:rFonts w:eastAsia="Times New Roman" w:cstheme="minorHAnsi"/>
              <w:noProof/>
              <w:lang w:eastAsia="en-GB"/>
            </w:rPr>
            <w:t xml:space="preserve"> (Tuplin, 1998)</w:t>
          </w:r>
          <w:r w:rsidRPr="00410F15">
            <w:rPr>
              <w:rFonts w:eastAsia="Times New Roman" w:cstheme="minorHAnsi"/>
              <w:lang w:eastAsia="en-GB"/>
            </w:rPr>
            <w:fldChar w:fldCharType="end"/>
          </w:r>
        </w:sdtContent>
      </w:sdt>
      <w:r w:rsidRPr="00410F15">
        <w:rPr>
          <w:rFonts w:eastAsia="Times New Roman" w:cstheme="minorHAnsi"/>
          <w:lang w:eastAsia="en-GB"/>
        </w:rPr>
        <w:t xml:space="preserve"> This disunity seems to keep the Athenians from pursuing any meaningful campaigns against Philip as well as prevent them from securing aid in their conflict.</w:t>
      </w:r>
    </w:p>
    <w:p w:rsidR="003429B1" w:rsidRPr="00410F15" w:rsidRDefault="003429B1">
      <w:pPr>
        <w:rPr>
          <w:rFonts w:cstheme="minorHAnsi"/>
        </w:rPr>
      </w:pPr>
      <w:r w:rsidRPr="00410F15">
        <w:rPr>
          <w:rFonts w:cstheme="minorHAnsi"/>
        </w:rPr>
        <w:t>Bibliography</w:t>
      </w:r>
    </w:p>
    <w:p w:rsidR="003429B1" w:rsidRPr="00410F15" w:rsidRDefault="003429B1">
      <w:pPr>
        <w:rPr>
          <w:rFonts w:cstheme="minorHAnsi"/>
        </w:rPr>
      </w:pPr>
      <w:r w:rsidRPr="00410F15">
        <w:rPr>
          <w:rStyle w:val="bibliographicauthorname"/>
          <w:rFonts w:cstheme="minorHAnsi"/>
          <w:shd w:val="clear" w:color="auto" w:fill="FFFFFF"/>
        </w:rPr>
        <w:t>Demosthenes</w:t>
      </w:r>
      <w:r w:rsidRPr="00410F15">
        <w:rPr>
          <w:rFonts w:cstheme="minorHAnsi"/>
          <w:shd w:val="clear" w:color="auto" w:fill="FFFFFF"/>
        </w:rPr>
        <w:t>. </w:t>
      </w:r>
      <w:r w:rsidRPr="00410F15">
        <w:rPr>
          <w:rFonts w:cstheme="minorHAnsi"/>
          <w:i/>
          <w:iCs/>
          <w:shd w:val="clear" w:color="auto" w:fill="FFFFFF"/>
        </w:rPr>
        <w:t>Orations, Volume I: Orations 1</w:t>
      </w:r>
      <w:r w:rsidR="00D200AF" w:rsidRPr="00410F15">
        <w:rPr>
          <w:rFonts w:cstheme="minorHAnsi"/>
          <w:i/>
          <w:iCs/>
          <w:shd w:val="clear" w:color="auto" w:fill="FFFFFF"/>
        </w:rPr>
        <w:t>-2</w:t>
      </w:r>
      <w:r w:rsidRPr="00410F15">
        <w:rPr>
          <w:rFonts w:cstheme="minorHAnsi"/>
          <w:i/>
          <w:iCs/>
          <w:shd w:val="clear" w:color="auto" w:fill="FFFFFF"/>
        </w:rPr>
        <w:t xml:space="preserve">: </w:t>
      </w:r>
      <w:proofErr w:type="spellStart"/>
      <w:r w:rsidRPr="00410F15">
        <w:rPr>
          <w:rFonts w:cstheme="minorHAnsi"/>
          <w:i/>
          <w:iCs/>
          <w:shd w:val="clear" w:color="auto" w:fill="FFFFFF"/>
        </w:rPr>
        <w:t>Olynthiacs</w:t>
      </w:r>
      <w:proofErr w:type="spellEnd"/>
      <w:r w:rsidRPr="00410F15">
        <w:rPr>
          <w:rFonts w:cstheme="minorHAnsi"/>
          <w:i/>
          <w:iCs/>
          <w:shd w:val="clear" w:color="auto" w:fill="FFFFFF"/>
        </w:rPr>
        <w:t xml:space="preserve"> 1</w:t>
      </w:r>
      <w:r w:rsidR="00D200AF" w:rsidRPr="00410F15">
        <w:rPr>
          <w:rFonts w:cstheme="minorHAnsi"/>
          <w:i/>
          <w:iCs/>
          <w:shd w:val="clear" w:color="auto" w:fill="FFFFFF"/>
        </w:rPr>
        <w:t>-2</w:t>
      </w:r>
      <w:r w:rsidRPr="00410F15">
        <w:rPr>
          <w:rFonts w:cstheme="minorHAnsi"/>
          <w:i/>
          <w:iCs/>
          <w:shd w:val="clear" w:color="auto" w:fill="FFFFFF"/>
        </w:rPr>
        <w:t xml:space="preserve"> </w:t>
      </w:r>
      <w:r w:rsidRPr="00410F15">
        <w:rPr>
          <w:rStyle w:val="translators"/>
          <w:rFonts w:cstheme="minorHAnsi"/>
          <w:shd w:val="clear" w:color="auto" w:fill="FFFFFF"/>
        </w:rPr>
        <w:t>Translated by </w:t>
      </w:r>
      <w:r w:rsidRPr="00410F15">
        <w:rPr>
          <w:rStyle w:val="contributorname"/>
          <w:rFonts w:cstheme="minorHAnsi"/>
          <w:shd w:val="clear" w:color="auto" w:fill="FFFFFF"/>
        </w:rPr>
        <w:t>J. H. Vince</w:t>
      </w:r>
      <w:r w:rsidRPr="00410F15">
        <w:rPr>
          <w:rStyle w:val="translators"/>
          <w:rFonts w:cstheme="minorHAnsi"/>
          <w:shd w:val="clear" w:color="auto" w:fill="FFFFFF"/>
        </w:rPr>
        <w:t>. </w:t>
      </w:r>
      <w:r w:rsidRPr="00410F15">
        <w:rPr>
          <w:rFonts w:cstheme="minorHAnsi"/>
          <w:shd w:val="clear" w:color="auto" w:fill="FFFFFF"/>
        </w:rPr>
        <w:t>Loeb Classical Library 238. Cambridge, MA: Harvard University Press, 1930</w:t>
      </w:r>
    </w:p>
    <w:p w:rsidR="003429B1" w:rsidRPr="00410F15" w:rsidRDefault="00D200AF">
      <w:pPr>
        <w:rPr>
          <w:rFonts w:cstheme="minorHAnsi"/>
        </w:rPr>
      </w:pPr>
      <w:r w:rsidRPr="00410F15">
        <w:rPr>
          <w:rFonts w:cstheme="minorHAnsi"/>
        </w:rPr>
        <w:t xml:space="preserve">Robert </w:t>
      </w:r>
      <w:r w:rsidR="00412B88" w:rsidRPr="00410F15">
        <w:rPr>
          <w:rFonts w:cstheme="minorHAnsi"/>
        </w:rPr>
        <w:t>Sing (</w:t>
      </w:r>
      <w:r w:rsidRPr="00410F15">
        <w:rPr>
          <w:rFonts w:cstheme="minorHAnsi"/>
        </w:rPr>
        <w:t>2015</w:t>
      </w:r>
      <w:r w:rsidR="00412B88" w:rsidRPr="00410F15">
        <w:rPr>
          <w:rFonts w:cstheme="minorHAnsi"/>
        </w:rPr>
        <w:t>) classical</w:t>
      </w:r>
      <w:r w:rsidRPr="00410F15">
        <w:rPr>
          <w:rFonts w:cstheme="minorHAnsi"/>
          <w:i/>
        </w:rPr>
        <w:t xml:space="preserve"> </w:t>
      </w:r>
      <w:r w:rsidR="00412B88" w:rsidRPr="00410F15">
        <w:rPr>
          <w:rFonts w:cstheme="minorHAnsi"/>
          <w:i/>
        </w:rPr>
        <w:t>studies</w:t>
      </w:r>
      <w:r w:rsidR="00412B88" w:rsidRPr="00410F15">
        <w:rPr>
          <w:rFonts w:cstheme="minorHAnsi"/>
        </w:rPr>
        <w:t xml:space="preserve"> [</w:t>
      </w:r>
      <w:r w:rsidRPr="00410F15">
        <w:rPr>
          <w:rFonts w:cstheme="minorHAnsi"/>
        </w:rPr>
        <w:t>Panel] Available at: https://classicalstudies.org/annual-meeting/146/abstract/demosthenes-and-financial-power-philip-ii (Accessed: 29</w:t>
      </w:r>
      <w:r w:rsidRPr="00410F15">
        <w:rPr>
          <w:rFonts w:cstheme="minorHAnsi"/>
          <w:vertAlign w:val="superscript"/>
        </w:rPr>
        <w:t>th</w:t>
      </w:r>
      <w:r w:rsidRPr="00410F15">
        <w:rPr>
          <w:rFonts w:cstheme="minorHAnsi"/>
        </w:rPr>
        <w:t>/01/2020)</w:t>
      </w:r>
    </w:p>
    <w:p w:rsidR="00D200AF" w:rsidRDefault="00412B88" w:rsidP="00412B88">
      <w:pPr>
        <w:rPr>
          <w:rFonts w:cstheme="minorHAnsi"/>
        </w:rPr>
      </w:pPr>
      <w:proofErr w:type="spellStart"/>
      <w:r w:rsidRPr="00410F15">
        <w:rPr>
          <w:rFonts w:cstheme="minorHAnsi"/>
        </w:rPr>
        <w:t>Sviatoslav</w:t>
      </w:r>
      <w:proofErr w:type="spellEnd"/>
      <w:r w:rsidRPr="00410F15">
        <w:rPr>
          <w:rFonts w:cstheme="minorHAnsi"/>
        </w:rPr>
        <w:t xml:space="preserve"> </w:t>
      </w:r>
      <w:proofErr w:type="spellStart"/>
      <w:r w:rsidRPr="00410F15">
        <w:rPr>
          <w:rFonts w:cstheme="minorHAnsi"/>
        </w:rPr>
        <w:t>Dmitriev</w:t>
      </w:r>
      <w:proofErr w:type="spellEnd"/>
      <w:r w:rsidR="00D200AF" w:rsidRPr="00410F15">
        <w:rPr>
          <w:rFonts w:cstheme="minorHAnsi"/>
        </w:rPr>
        <w:t xml:space="preserve"> </w:t>
      </w:r>
      <w:r w:rsidRPr="00410F15">
        <w:rPr>
          <w:rFonts w:cstheme="minorHAnsi"/>
        </w:rPr>
        <w:t>(2017)</w:t>
      </w:r>
      <w:r w:rsidR="00D200AF" w:rsidRPr="00410F15">
        <w:rPr>
          <w:rFonts w:cstheme="minorHAnsi"/>
        </w:rPr>
        <w:t xml:space="preserve"> </w:t>
      </w:r>
      <w:r w:rsidRPr="00410F15">
        <w:rPr>
          <w:rFonts w:cstheme="minorHAnsi"/>
          <w:i/>
        </w:rPr>
        <w:t>Academia</w:t>
      </w:r>
      <w:r w:rsidR="00D200AF" w:rsidRPr="00410F15">
        <w:rPr>
          <w:rFonts w:cstheme="minorHAnsi"/>
        </w:rPr>
        <w:t xml:space="preserve"> [</w:t>
      </w:r>
      <w:r w:rsidRPr="00410F15">
        <w:rPr>
          <w:rFonts w:cstheme="minorHAnsi"/>
        </w:rPr>
        <w:t>PDF]</w:t>
      </w:r>
      <w:r w:rsidR="00D200AF" w:rsidRPr="00410F15">
        <w:rPr>
          <w:rFonts w:cstheme="minorHAnsi"/>
        </w:rPr>
        <w:t xml:space="preserve"> Available at: </w:t>
      </w:r>
      <w:r w:rsidRPr="00410F15">
        <w:rPr>
          <w:rFonts w:cstheme="minorHAnsi"/>
        </w:rPr>
        <w:t>https://www.academia.edu/36112544/Apollodorus_and_the_Theoric_Fun</w:t>
      </w:r>
      <w:r w:rsidR="00D200AF" w:rsidRPr="00410F15">
        <w:rPr>
          <w:rFonts w:cstheme="minorHAnsi"/>
        </w:rPr>
        <w:t xml:space="preserve"> (Accessed: </w:t>
      </w:r>
      <w:r w:rsidRPr="00410F15">
        <w:rPr>
          <w:rFonts w:cstheme="minorHAnsi"/>
        </w:rPr>
        <w:t>29</w:t>
      </w:r>
      <w:r w:rsidRPr="00410F15">
        <w:rPr>
          <w:rFonts w:cstheme="minorHAnsi"/>
          <w:vertAlign w:val="superscript"/>
        </w:rPr>
        <w:t>th</w:t>
      </w:r>
      <w:r w:rsidRPr="00410F15">
        <w:rPr>
          <w:rFonts w:cstheme="minorHAnsi"/>
        </w:rPr>
        <w:t>/01/2020)</w:t>
      </w:r>
    </w:p>
    <w:p w:rsidR="00410F15" w:rsidRPr="00410F15" w:rsidRDefault="00410F15" w:rsidP="00412B88">
      <w:pPr>
        <w:rPr>
          <w:rFonts w:cstheme="minorHAnsi"/>
          <w:shd w:val="clear" w:color="auto" w:fill="FFFFFF"/>
        </w:rPr>
      </w:pPr>
      <w:r w:rsidRPr="00410F15">
        <w:rPr>
          <w:rFonts w:cstheme="minorHAnsi"/>
        </w:rPr>
        <w:t xml:space="preserve">Christopher </w:t>
      </w:r>
      <w:proofErr w:type="spellStart"/>
      <w:r w:rsidRPr="00410F15">
        <w:rPr>
          <w:rFonts w:cstheme="minorHAnsi"/>
        </w:rPr>
        <w:t>Tuplin</w:t>
      </w:r>
      <w:proofErr w:type="spellEnd"/>
      <w:r w:rsidRPr="00410F15">
        <w:rPr>
          <w:rFonts w:cstheme="minorHAnsi"/>
        </w:rPr>
        <w:t xml:space="preserve"> (1998) ‘</w:t>
      </w:r>
      <w:proofErr w:type="spellStart"/>
      <w:r w:rsidRPr="00410F15">
        <w:rPr>
          <w:rFonts w:cstheme="minorHAnsi"/>
          <w:iCs/>
          <w:shd w:val="clear" w:color="auto" w:fill="FFFFFF"/>
        </w:rPr>
        <w:t>Historia</w:t>
      </w:r>
      <w:proofErr w:type="spellEnd"/>
      <w:r w:rsidRPr="00410F15">
        <w:rPr>
          <w:rFonts w:cstheme="minorHAnsi"/>
          <w:iCs/>
          <w:shd w:val="clear" w:color="auto" w:fill="FFFFFF"/>
        </w:rPr>
        <w:t xml:space="preserve">: </w:t>
      </w:r>
      <w:proofErr w:type="spellStart"/>
      <w:r w:rsidRPr="00410F15">
        <w:rPr>
          <w:rFonts w:cstheme="minorHAnsi"/>
          <w:iCs/>
          <w:shd w:val="clear" w:color="auto" w:fill="FFFFFF"/>
        </w:rPr>
        <w:t>Zeitschrift</w:t>
      </w:r>
      <w:proofErr w:type="spellEnd"/>
      <w:r w:rsidRPr="00410F15">
        <w:rPr>
          <w:rFonts w:cstheme="minorHAnsi"/>
          <w:iCs/>
          <w:shd w:val="clear" w:color="auto" w:fill="FFFFFF"/>
        </w:rPr>
        <w:t xml:space="preserve"> </w:t>
      </w:r>
      <w:proofErr w:type="spellStart"/>
      <w:r w:rsidRPr="00410F15">
        <w:rPr>
          <w:rFonts w:cstheme="minorHAnsi"/>
          <w:iCs/>
          <w:shd w:val="clear" w:color="auto" w:fill="FFFFFF"/>
        </w:rPr>
        <w:t>für</w:t>
      </w:r>
      <w:proofErr w:type="spellEnd"/>
      <w:r w:rsidRPr="00410F15">
        <w:rPr>
          <w:rFonts w:cstheme="minorHAnsi"/>
          <w:iCs/>
          <w:shd w:val="clear" w:color="auto" w:fill="FFFFFF"/>
        </w:rPr>
        <w:t xml:space="preserve"> </w:t>
      </w:r>
      <w:proofErr w:type="spellStart"/>
      <w:r w:rsidRPr="00410F15">
        <w:rPr>
          <w:rFonts w:cstheme="minorHAnsi"/>
          <w:iCs/>
          <w:shd w:val="clear" w:color="auto" w:fill="FFFFFF"/>
        </w:rPr>
        <w:t>Alte</w:t>
      </w:r>
      <w:proofErr w:type="spellEnd"/>
      <w:r w:rsidRPr="00410F15">
        <w:rPr>
          <w:rFonts w:cstheme="minorHAnsi"/>
          <w:iCs/>
          <w:shd w:val="clear" w:color="auto" w:fill="FFFFFF"/>
        </w:rPr>
        <w:t xml:space="preserve"> Geschichte</w:t>
      </w:r>
      <w:r w:rsidRPr="00410F15">
        <w:rPr>
          <w:rFonts w:cstheme="minorHAnsi"/>
        </w:rPr>
        <w:t xml:space="preserve">’ </w:t>
      </w:r>
      <w:r w:rsidRPr="00410F15">
        <w:rPr>
          <w:rFonts w:cstheme="minorHAnsi"/>
          <w:i/>
        </w:rPr>
        <w:t>Demosthenes’ “</w:t>
      </w:r>
      <w:proofErr w:type="spellStart"/>
      <w:r w:rsidRPr="00410F15">
        <w:rPr>
          <w:rFonts w:cstheme="minorHAnsi"/>
          <w:i/>
        </w:rPr>
        <w:t>Olynthiacs</w:t>
      </w:r>
      <w:proofErr w:type="spellEnd"/>
      <w:r w:rsidRPr="00410F15">
        <w:rPr>
          <w:rFonts w:cstheme="minorHAnsi"/>
          <w:i/>
        </w:rPr>
        <w:t xml:space="preserve">” and the Character of the </w:t>
      </w:r>
      <w:proofErr w:type="spellStart"/>
      <w:r w:rsidRPr="00410F15">
        <w:rPr>
          <w:rFonts w:cstheme="minorHAnsi"/>
          <w:i/>
        </w:rPr>
        <w:t>Demegoric</w:t>
      </w:r>
      <w:proofErr w:type="spellEnd"/>
      <w:r w:rsidRPr="00410F15">
        <w:rPr>
          <w:rFonts w:cstheme="minorHAnsi"/>
          <w:i/>
        </w:rPr>
        <w:t xml:space="preserve"> Corpus</w:t>
      </w:r>
      <w:r w:rsidRPr="00410F15">
        <w:rPr>
          <w:rFonts w:cstheme="minorHAnsi"/>
        </w:rPr>
        <w:t xml:space="preserve"> Volume 47 P.276-312</w:t>
      </w:r>
    </w:p>
    <w:sectPr w:rsidR="00410F15" w:rsidRPr="00410F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0DEE" w:rsidRDefault="00690DEE" w:rsidP="00903683">
      <w:pPr>
        <w:spacing w:after="0" w:line="240" w:lineRule="auto"/>
      </w:pPr>
      <w:r>
        <w:separator/>
      </w:r>
    </w:p>
  </w:endnote>
  <w:endnote w:type="continuationSeparator" w:id="0">
    <w:p w:rsidR="00690DEE" w:rsidRDefault="00690DEE" w:rsidP="009036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0DEE" w:rsidRDefault="00690DEE" w:rsidP="00903683">
      <w:pPr>
        <w:spacing w:after="0" w:line="240" w:lineRule="auto"/>
      </w:pPr>
      <w:r>
        <w:separator/>
      </w:r>
    </w:p>
  </w:footnote>
  <w:footnote w:type="continuationSeparator" w:id="0">
    <w:p w:rsidR="00690DEE" w:rsidRDefault="00690DEE" w:rsidP="00903683">
      <w:pPr>
        <w:spacing w:after="0" w:line="240" w:lineRule="auto"/>
      </w:pPr>
      <w:r>
        <w:continuationSeparator/>
      </w:r>
    </w:p>
  </w:footnote>
  <w:footnote w:id="1">
    <w:p w:rsidR="00475671" w:rsidRPr="00475671" w:rsidRDefault="00475671">
      <w:pPr>
        <w:pStyle w:val="FootnoteText"/>
        <w:rPr>
          <w:i/>
        </w:rPr>
      </w:pPr>
      <w:r>
        <w:rPr>
          <w:rStyle w:val="FootnoteReference"/>
        </w:rPr>
        <w:footnoteRef/>
      </w:r>
      <w:r>
        <w:t xml:space="preserve"> Dem.</w:t>
      </w:r>
      <w:r>
        <w:rPr>
          <w:i/>
        </w:rPr>
        <w:t xml:space="preserve"> Or. 4,6,9</w:t>
      </w:r>
      <w:r w:rsidR="00D200AF">
        <w:rPr>
          <w:i/>
        </w:rPr>
        <w:t>,10</w:t>
      </w:r>
    </w:p>
  </w:footnote>
  <w:footnote w:id="2">
    <w:p w:rsidR="00475671" w:rsidRPr="00475671" w:rsidRDefault="00475671">
      <w:pPr>
        <w:pStyle w:val="FootnoteText"/>
        <w:rPr>
          <w:i/>
        </w:rPr>
      </w:pPr>
      <w:r>
        <w:rPr>
          <w:rStyle w:val="FootnoteReference"/>
        </w:rPr>
        <w:footnoteRef/>
      </w:r>
      <w:r>
        <w:t xml:space="preserve"> Dem. </w:t>
      </w:r>
      <w:r>
        <w:rPr>
          <w:i/>
        </w:rPr>
        <w:t>Or. 1,2,3</w:t>
      </w:r>
    </w:p>
  </w:footnote>
  <w:footnote w:id="3">
    <w:p w:rsidR="00C61C1E" w:rsidRPr="00C61C1E" w:rsidRDefault="00C61C1E">
      <w:pPr>
        <w:pStyle w:val="FootnoteText"/>
        <w:rPr>
          <w:i/>
        </w:rPr>
      </w:pPr>
      <w:r>
        <w:rPr>
          <w:rStyle w:val="FootnoteReference"/>
        </w:rPr>
        <w:footnoteRef/>
      </w:r>
      <w:r>
        <w:t xml:space="preserve"> Dem. </w:t>
      </w:r>
      <w:r>
        <w:rPr>
          <w:i/>
        </w:rPr>
        <w:t xml:space="preserve">Or. 1;18 </w:t>
      </w:r>
    </w:p>
  </w:footnote>
  <w:footnote w:id="4">
    <w:p w:rsidR="00410F15" w:rsidRPr="00410F15" w:rsidRDefault="00410F15">
      <w:pPr>
        <w:pStyle w:val="FootnoteText"/>
        <w:rPr>
          <w:i/>
        </w:rPr>
      </w:pPr>
      <w:r>
        <w:rPr>
          <w:rStyle w:val="FootnoteReference"/>
        </w:rPr>
        <w:footnoteRef/>
      </w:r>
      <w:r>
        <w:t xml:space="preserve"> Dem.</w:t>
      </w:r>
      <w:r>
        <w:rPr>
          <w:i/>
        </w:rPr>
        <w:t xml:space="preserve"> Or. 2;3,4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5CCC"/>
    <w:rsid w:val="00062A0F"/>
    <w:rsid w:val="00313E31"/>
    <w:rsid w:val="003429B1"/>
    <w:rsid w:val="00410F15"/>
    <w:rsid w:val="00412B88"/>
    <w:rsid w:val="00475671"/>
    <w:rsid w:val="004920D7"/>
    <w:rsid w:val="0065329F"/>
    <w:rsid w:val="00690DEE"/>
    <w:rsid w:val="00795CCC"/>
    <w:rsid w:val="00807222"/>
    <w:rsid w:val="008636F1"/>
    <w:rsid w:val="00870EEC"/>
    <w:rsid w:val="00903683"/>
    <w:rsid w:val="00950AD0"/>
    <w:rsid w:val="00992868"/>
    <w:rsid w:val="00A30712"/>
    <w:rsid w:val="00BA17B2"/>
    <w:rsid w:val="00C61C1E"/>
    <w:rsid w:val="00D01B72"/>
    <w:rsid w:val="00D200AF"/>
    <w:rsid w:val="00D353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2A171F1-AC82-44DF-AC2D-422F07127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talic">
    <w:name w:val="italic"/>
    <w:basedOn w:val="DefaultParagraphFont"/>
    <w:rsid w:val="00903683"/>
  </w:style>
  <w:style w:type="paragraph" w:styleId="FootnoteText">
    <w:name w:val="footnote text"/>
    <w:basedOn w:val="Normal"/>
    <w:link w:val="FootnoteTextChar"/>
    <w:uiPriority w:val="99"/>
    <w:semiHidden/>
    <w:unhideWhenUsed/>
    <w:rsid w:val="0090368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03683"/>
    <w:rPr>
      <w:sz w:val="20"/>
      <w:szCs w:val="20"/>
    </w:rPr>
  </w:style>
  <w:style w:type="character" w:styleId="FootnoteReference">
    <w:name w:val="footnote reference"/>
    <w:basedOn w:val="DefaultParagraphFont"/>
    <w:uiPriority w:val="99"/>
    <w:semiHidden/>
    <w:unhideWhenUsed/>
    <w:rsid w:val="00903683"/>
    <w:rPr>
      <w:vertAlign w:val="superscript"/>
    </w:rPr>
  </w:style>
  <w:style w:type="character" w:customStyle="1" w:styleId="bibliographicauthorname">
    <w:name w:val="bibliographicauthorname"/>
    <w:basedOn w:val="DefaultParagraphFont"/>
    <w:rsid w:val="003429B1"/>
  </w:style>
  <w:style w:type="character" w:customStyle="1" w:styleId="translators">
    <w:name w:val="translators"/>
    <w:basedOn w:val="DefaultParagraphFont"/>
    <w:rsid w:val="003429B1"/>
  </w:style>
  <w:style w:type="character" w:customStyle="1" w:styleId="contributorname">
    <w:name w:val="contributorname"/>
    <w:basedOn w:val="DefaultParagraphFont"/>
    <w:rsid w:val="003429B1"/>
  </w:style>
  <w:style w:type="paragraph" w:styleId="NormalWeb">
    <w:name w:val="Normal (Web)"/>
    <w:basedOn w:val="Normal"/>
    <w:uiPriority w:val="99"/>
    <w:semiHidden/>
    <w:unhideWhenUsed/>
    <w:rsid w:val="0047567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475671"/>
    <w:rPr>
      <w:color w:val="0000FF"/>
      <w:u w:val="single"/>
    </w:rPr>
  </w:style>
  <w:style w:type="paragraph" w:styleId="Header">
    <w:name w:val="header"/>
    <w:basedOn w:val="Normal"/>
    <w:link w:val="HeaderChar"/>
    <w:uiPriority w:val="99"/>
    <w:unhideWhenUsed/>
    <w:rsid w:val="004756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5671"/>
  </w:style>
  <w:style w:type="paragraph" w:styleId="Footer">
    <w:name w:val="footer"/>
    <w:basedOn w:val="Normal"/>
    <w:link w:val="FooterChar"/>
    <w:uiPriority w:val="99"/>
    <w:unhideWhenUsed/>
    <w:rsid w:val="004756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56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611472">
      <w:bodyDiv w:val="1"/>
      <w:marLeft w:val="0"/>
      <w:marRight w:val="0"/>
      <w:marTop w:val="0"/>
      <w:marBottom w:val="0"/>
      <w:divBdr>
        <w:top w:val="none" w:sz="0" w:space="0" w:color="auto"/>
        <w:left w:val="none" w:sz="0" w:space="0" w:color="auto"/>
        <w:bottom w:val="none" w:sz="0" w:space="0" w:color="auto"/>
        <w:right w:val="none" w:sz="0" w:space="0" w:color="auto"/>
      </w:divBdr>
    </w:div>
    <w:div w:id="167139040">
      <w:bodyDiv w:val="1"/>
      <w:marLeft w:val="0"/>
      <w:marRight w:val="0"/>
      <w:marTop w:val="0"/>
      <w:marBottom w:val="0"/>
      <w:divBdr>
        <w:top w:val="none" w:sz="0" w:space="0" w:color="auto"/>
        <w:left w:val="none" w:sz="0" w:space="0" w:color="auto"/>
        <w:bottom w:val="none" w:sz="0" w:space="0" w:color="auto"/>
        <w:right w:val="none" w:sz="0" w:space="0" w:color="auto"/>
      </w:divBdr>
    </w:div>
    <w:div w:id="179515214">
      <w:bodyDiv w:val="1"/>
      <w:marLeft w:val="0"/>
      <w:marRight w:val="0"/>
      <w:marTop w:val="0"/>
      <w:marBottom w:val="0"/>
      <w:divBdr>
        <w:top w:val="none" w:sz="0" w:space="0" w:color="auto"/>
        <w:left w:val="none" w:sz="0" w:space="0" w:color="auto"/>
        <w:bottom w:val="none" w:sz="0" w:space="0" w:color="auto"/>
        <w:right w:val="none" w:sz="0" w:space="0" w:color="auto"/>
      </w:divBdr>
    </w:div>
    <w:div w:id="459346112">
      <w:bodyDiv w:val="1"/>
      <w:marLeft w:val="0"/>
      <w:marRight w:val="0"/>
      <w:marTop w:val="0"/>
      <w:marBottom w:val="0"/>
      <w:divBdr>
        <w:top w:val="none" w:sz="0" w:space="0" w:color="auto"/>
        <w:left w:val="none" w:sz="0" w:space="0" w:color="auto"/>
        <w:bottom w:val="none" w:sz="0" w:space="0" w:color="auto"/>
        <w:right w:val="none" w:sz="0" w:space="0" w:color="auto"/>
      </w:divBdr>
    </w:div>
    <w:div w:id="706686397">
      <w:bodyDiv w:val="1"/>
      <w:marLeft w:val="0"/>
      <w:marRight w:val="0"/>
      <w:marTop w:val="0"/>
      <w:marBottom w:val="0"/>
      <w:divBdr>
        <w:top w:val="none" w:sz="0" w:space="0" w:color="auto"/>
        <w:left w:val="none" w:sz="0" w:space="0" w:color="auto"/>
        <w:bottom w:val="none" w:sz="0" w:space="0" w:color="auto"/>
        <w:right w:val="none" w:sz="0" w:space="0" w:color="auto"/>
      </w:divBdr>
    </w:div>
    <w:div w:id="750079283">
      <w:bodyDiv w:val="1"/>
      <w:marLeft w:val="0"/>
      <w:marRight w:val="0"/>
      <w:marTop w:val="0"/>
      <w:marBottom w:val="0"/>
      <w:divBdr>
        <w:top w:val="none" w:sz="0" w:space="0" w:color="auto"/>
        <w:left w:val="none" w:sz="0" w:space="0" w:color="auto"/>
        <w:bottom w:val="none" w:sz="0" w:space="0" w:color="auto"/>
        <w:right w:val="none" w:sz="0" w:space="0" w:color="auto"/>
      </w:divBdr>
    </w:div>
    <w:div w:id="859467933">
      <w:bodyDiv w:val="1"/>
      <w:marLeft w:val="0"/>
      <w:marRight w:val="0"/>
      <w:marTop w:val="0"/>
      <w:marBottom w:val="0"/>
      <w:divBdr>
        <w:top w:val="none" w:sz="0" w:space="0" w:color="auto"/>
        <w:left w:val="none" w:sz="0" w:space="0" w:color="auto"/>
        <w:bottom w:val="none" w:sz="0" w:space="0" w:color="auto"/>
        <w:right w:val="none" w:sz="0" w:space="0" w:color="auto"/>
      </w:divBdr>
    </w:div>
    <w:div w:id="993726059">
      <w:bodyDiv w:val="1"/>
      <w:marLeft w:val="0"/>
      <w:marRight w:val="0"/>
      <w:marTop w:val="0"/>
      <w:marBottom w:val="0"/>
      <w:divBdr>
        <w:top w:val="none" w:sz="0" w:space="0" w:color="auto"/>
        <w:left w:val="none" w:sz="0" w:space="0" w:color="auto"/>
        <w:bottom w:val="none" w:sz="0" w:space="0" w:color="auto"/>
        <w:right w:val="none" w:sz="0" w:space="0" w:color="auto"/>
      </w:divBdr>
    </w:div>
    <w:div w:id="1330594279">
      <w:bodyDiv w:val="1"/>
      <w:marLeft w:val="0"/>
      <w:marRight w:val="0"/>
      <w:marTop w:val="0"/>
      <w:marBottom w:val="0"/>
      <w:divBdr>
        <w:top w:val="none" w:sz="0" w:space="0" w:color="auto"/>
        <w:left w:val="none" w:sz="0" w:space="0" w:color="auto"/>
        <w:bottom w:val="none" w:sz="0" w:space="0" w:color="auto"/>
        <w:right w:val="none" w:sz="0" w:space="0" w:color="auto"/>
      </w:divBdr>
    </w:div>
    <w:div w:id="1338534332">
      <w:bodyDiv w:val="1"/>
      <w:marLeft w:val="0"/>
      <w:marRight w:val="0"/>
      <w:marTop w:val="0"/>
      <w:marBottom w:val="0"/>
      <w:divBdr>
        <w:top w:val="none" w:sz="0" w:space="0" w:color="auto"/>
        <w:left w:val="none" w:sz="0" w:space="0" w:color="auto"/>
        <w:bottom w:val="none" w:sz="0" w:space="0" w:color="auto"/>
        <w:right w:val="none" w:sz="0" w:space="0" w:color="auto"/>
      </w:divBdr>
    </w:div>
    <w:div w:id="1352151141">
      <w:bodyDiv w:val="1"/>
      <w:marLeft w:val="0"/>
      <w:marRight w:val="0"/>
      <w:marTop w:val="0"/>
      <w:marBottom w:val="0"/>
      <w:divBdr>
        <w:top w:val="none" w:sz="0" w:space="0" w:color="auto"/>
        <w:left w:val="none" w:sz="0" w:space="0" w:color="auto"/>
        <w:bottom w:val="none" w:sz="0" w:space="0" w:color="auto"/>
        <w:right w:val="none" w:sz="0" w:space="0" w:color="auto"/>
      </w:divBdr>
      <w:divsChild>
        <w:div w:id="1638679171">
          <w:marLeft w:val="0"/>
          <w:marRight w:val="0"/>
          <w:marTop w:val="0"/>
          <w:marBottom w:val="0"/>
          <w:divBdr>
            <w:top w:val="none" w:sz="0" w:space="0" w:color="auto"/>
            <w:left w:val="none" w:sz="0" w:space="0" w:color="auto"/>
            <w:bottom w:val="none" w:sz="0" w:space="0" w:color="auto"/>
            <w:right w:val="none" w:sz="0" w:space="0" w:color="auto"/>
          </w:divBdr>
        </w:div>
        <w:div w:id="611400560">
          <w:marLeft w:val="0"/>
          <w:marRight w:val="0"/>
          <w:marTop w:val="0"/>
          <w:marBottom w:val="0"/>
          <w:divBdr>
            <w:top w:val="none" w:sz="0" w:space="0" w:color="auto"/>
            <w:left w:val="none" w:sz="0" w:space="0" w:color="auto"/>
            <w:bottom w:val="none" w:sz="0" w:space="0" w:color="auto"/>
            <w:right w:val="none" w:sz="0" w:space="0" w:color="auto"/>
          </w:divBdr>
        </w:div>
        <w:div w:id="1439712351">
          <w:marLeft w:val="0"/>
          <w:marRight w:val="0"/>
          <w:marTop w:val="0"/>
          <w:marBottom w:val="0"/>
          <w:divBdr>
            <w:top w:val="none" w:sz="0" w:space="0" w:color="auto"/>
            <w:left w:val="none" w:sz="0" w:space="0" w:color="auto"/>
            <w:bottom w:val="none" w:sz="0" w:space="0" w:color="auto"/>
            <w:right w:val="none" w:sz="0" w:space="0" w:color="auto"/>
          </w:divBdr>
        </w:div>
        <w:div w:id="249125336">
          <w:marLeft w:val="0"/>
          <w:marRight w:val="0"/>
          <w:marTop w:val="0"/>
          <w:marBottom w:val="0"/>
          <w:divBdr>
            <w:top w:val="none" w:sz="0" w:space="0" w:color="auto"/>
            <w:left w:val="none" w:sz="0" w:space="0" w:color="auto"/>
            <w:bottom w:val="none" w:sz="0" w:space="0" w:color="auto"/>
            <w:right w:val="none" w:sz="0" w:space="0" w:color="auto"/>
          </w:divBdr>
        </w:div>
        <w:div w:id="1515420001">
          <w:marLeft w:val="0"/>
          <w:marRight w:val="0"/>
          <w:marTop w:val="0"/>
          <w:marBottom w:val="0"/>
          <w:divBdr>
            <w:top w:val="none" w:sz="0" w:space="0" w:color="auto"/>
            <w:left w:val="none" w:sz="0" w:space="0" w:color="auto"/>
            <w:bottom w:val="none" w:sz="0" w:space="0" w:color="auto"/>
            <w:right w:val="none" w:sz="0" w:space="0" w:color="auto"/>
          </w:divBdr>
        </w:div>
        <w:div w:id="792820647">
          <w:marLeft w:val="0"/>
          <w:marRight w:val="0"/>
          <w:marTop w:val="0"/>
          <w:marBottom w:val="0"/>
          <w:divBdr>
            <w:top w:val="none" w:sz="0" w:space="0" w:color="auto"/>
            <w:left w:val="none" w:sz="0" w:space="0" w:color="auto"/>
            <w:bottom w:val="none" w:sz="0" w:space="0" w:color="auto"/>
            <w:right w:val="none" w:sz="0" w:space="0" w:color="auto"/>
          </w:divBdr>
        </w:div>
      </w:divsChild>
    </w:div>
    <w:div w:id="1652244874">
      <w:bodyDiv w:val="1"/>
      <w:marLeft w:val="0"/>
      <w:marRight w:val="0"/>
      <w:marTop w:val="0"/>
      <w:marBottom w:val="0"/>
      <w:divBdr>
        <w:top w:val="none" w:sz="0" w:space="0" w:color="auto"/>
        <w:left w:val="none" w:sz="0" w:space="0" w:color="auto"/>
        <w:bottom w:val="none" w:sz="0" w:space="0" w:color="auto"/>
        <w:right w:val="none" w:sz="0" w:space="0" w:color="auto"/>
      </w:divBdr>
    </w:div>
    <w:div w:id="1735153050">
      <w:bodyDiv w:val="1"/>
      <w:marLeft w:val="0"/>
      <w:marRight w:val="0"/>
      <w:marTop w:val="0"/>
      <w:marBottom w:val="0"/>
      <w:divBdr>
        <w:top w:val="none" w:sz="0" w:space="0" w:color="auto"/>
        <w:left w:val="none" w:sz="0" w:space="0" w:color="auto"/>
        <w:bottom w:val="none" w:sz="0" w:space="0" w:color="auto"/>
        <w:right w:val="none" w:sz="0" w:space="0" w:color="auto"/>
      </w:divBdr>
    </w:div>
    <w:div w:id="1987314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Dem</b:Tag>
    <b:SourceType>Misc</b:SourceType>
    <b:Guid>{2839BE55-1FF8-41FB-905F-2BB776B8CAF7}</b:Guid>
    <b:Title>First Olynthiac</b:Title>
    <b:Author>
      <b:Author>
        <b:NameList>
          <b:Person>
            <b:Last>Demosthenes</b:Last>
          </b:Person>
        </b:NameList>
      </b:Author>
    </b:Author>
    <b:RefOrder>4</b:RefOrder>
  </b:Source>
  <b:Source>
    <b:Tag>Dio</b:Tag>
    <b:SourceType>Book</b:SourceType>
    <b:Guid>{9FD99225-8B2F-43E8-9F7D-B819B507C8A9}</b:Guid>
    <b:Author>
      <b:Author>
        <b:NameList>
          <b:Person>
            <b:Last>Diodorus</b:Last>
          </b:Person>
        </b:NameList>
      </b:Author>
    </b:Author>
    <b:Title>Library of History</b:Title>
    <b:PublicationTitle>Translated by Charles L. Sherman</b:PublicationTitle>
    <b:Publisher>Translated by Charles L. Sherman. Loeb Classical Library 389. Cambridge, MA: Harvard University Press, 1952.</b:Publisher>
    <b:RefOrder>5</b:RefOrder>
  </b:Source>
  <b:Source>
    <b:Tag>Sin</b:Tag>
    <b:SourceType>Misc</b:SourceType>
    <b:Guid>{0857459D-CCD1-447D-8F5C-AEFCCEB197E2}</b:Guid>
    <b:Author>
      <b:Author>
        <b:NameList>
          <b:Person>
            <b:Last>Sing</b:Last>
            <b:First>Robert</b:First>
          </b:Person>
        </b:NameList>
      </b:Author>
    </b:Author>
    <b:Title>Demosthenes and hte financial Power of Philip II</b:Title>
    <b:Publisher>Society for Classical Studies</b:Publisher>
    <b:PublicationTitle>The FIgure of the Tyrant</b:PublicationTitle>
    <b:RefOrder>1</b:RefOrder>
  </b:Source>
  <b:Source>
    <b:Tag>Dmi17</b:Tag>
    <b:SourceType>DocumentFromInternetSite</b:SourceType>
    <b:Guid>{2D39BA7B-ECB8-4C2B-9374-41411266CEF5}</b:Guid>
    <b:Author>
      <b:Author>
        <b:NameList>
          <b:Person>
            <b:Last>Dmitriev</b:Last>
            <b:First>Sviatoslav</b:First>
          </b:Person>
        </b:NameList>
      </b:Author>
    </b:Author>
    <b:Title>Apollodorus and the Theoric Fund</b:Title>
    <b:Year>2017</b:Year>
    <b:InternetSiteTitle>Academia</b:InternetSiteTitle>
    <b:URL>https://www.academia.edu/36112544/Apollodorus_and_the_Theoric_Fund</b:URL>
    <b:RefOrder>2</b:RefOrder>
  </b:Source>
  <b:Source>
    <b:Tag>Tup88</b:Tag>
    <b:SourceType>JournalArticle</b:SourceType>
    <b:Guid>{F578A56E-ABE7-402E-AAB0-1B29BD4F6233}</b:Guid>
    <b:Author>
      <b:Author>
        <b:NameList>
          <b:Person>
            <b:Last>Tuplin</b:Last>
            <b:First>Christopher</b:First>
          </b:Person>
        </b:NameList>
      </b:Author>
    </b:Author>
    <b:Title>Demosthenes' "Olynthiacs" and the Character of the Demegoric Corpus</b:Title>
    <b:Year>1998</b:Year>
    <b:JournalName>Historia</b:JournalName>
    <b:Pages>276-321</b:Pages>
    <b:RefOrder>3</b:RefOrder>
  </b:Source>
</b:Sources>
</file>

<file path=customXml/itemProps1.xml><?xml version="1.0" encoding="utf-8"?>
<ds:datastoreItem xmlns:ds="http://schemas.openxmlformats.org/officeDocument/2006/customXml" ds:itemID="{A11F47EB-E029-460E-9FDA-10A0F35014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1039</TotalTime>
  <Pages>1</Pages>
  <Words>485</Words>
  <Characters>2768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Fielding</dc:creator>
  <cp:keywords/>
  <dc:description/>
  <cp:lastModifiedBy>Callum Fielding</cp:lastModifiedBy>
  <cp:revision>4</cp:revision>
  <dcterms:created xsi:type="dcterms:W3CDTF">2020-01-27T03:30:00Z</dcterms:created>
  <dcterms:modified xsi:type="dcterms:W3CDTF">2020-01-30T19:16:00Z</dcterms:modified>
</cp:coreProperties>
</file>