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99"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99"/>
      </w:tblGrid>
      <w:tr w:rsidR="00F927A1" w:rsidRPr="005D3F07" w14:paraId="68CAA39D" w14:textId="77777777" w:rsidTr="00663F81">
        <w:tc>
          <w:tcPr>
            <w:tcW w:w="10799" w:type="dxa"/>
            <w:shd w:val="clear" w:color="auto" w:fill="auto"/>
          </w:tcPr>
          <w:p w14:paraId="02F8EE88" w14:textId="4EB25FE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63F81">
              <w:rPr>
                <w:rFonts w:ascii="Times New Roman" w:hAnsi="Times New Roman" w:cs="Times New Roman"/>
                <w:b/>
                <w:color w:val="auto"/>
                <w:sz w:val="48"/>
              </w:rPr>
              <w:t>Lisa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0F7502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63F81">
              <w:rPr>
                <w:rFonts w:ascii="Times New Roman" w:hAnsi="Times New Roman" w:cs="Times New Roman"/>
                <w:b/>
                <w:color w:val="auto"/>
                <w:sz w:val="48"/>
              </w:rPr>
              <w:t>l.lewis10@npt.gov.uk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41450B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63F81">
              <w:rPr>
                <w:rFonts w:ascii="Times New Roman" w:hAnsi="Times New Roman" w:cs="Times New Roman"/>
                <w:b/>
                <w:color w:val="auto"/>
                <w:sz w:val="48"/>
              </w:rPr>
              <w:t>2116251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359C89A2"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A5BE863" w14:textId="77777777" w:rsidR="00663F81" w:rsidRDefault="00663F81" w:rsidP="00663F81">
            <w:pPr>
              <w:spacing w:line="360" w:lineRule="auto"/>
              <w:jc w:val="both"/>
              <w:rPr>
                <w:rFonts w:asciiTheme="minorHAnsi" w:hAnsiTheme="minorHAnsi" w:cstheme="minorHAnsi"/>
                <w:color w:val="auto"/>
                <w:sz w:val="22"/>
                <w:szCs w:val="22"/>
              </w:rPr>
            </w:pPr>
          </w:p>
          <w:p w14:paraId="351F8631" w14:textId="14E46DFB" w:rsidR="00663F81" w:rsidRPr="00663F81" w:rsidRDefault="00663F81" w:rsidP="00663F81">
            <w:pPr>
              <w:spacing w:line="360" w:lineRule="auto"/>
              <w:jc w:val="both"/>
              <w:rPr>
                <w:rFonts w:asciiTheme="minorHAnsi" w:hAnsiTheme="minorHAnsi" w:cstheme="minorHAnsi"/>
                <w:color w:val="auto"/>
                <w:sz w:val="24"/>
                <w:szCs w:val="24"/>
              </w:rPr>
            </w:pPr>
            <w:r w:rsidRPr="00663F81">
              <w:rPr>
                <w:rFonts w:asciiTheme="minorHAnsi" w:hAnsiTheme="minorHAnsi" w:cstheme="minorHAnsi"/>
                <w:color w:val="auto"/>
                <w:sz w:val="24"/>
                <w:szCs w:val="24"/>
              </w:rPr>
              <w:t xml:space="preserve">For the purpose of this reflective account of a case study, which involved safeguarding and working in complex situations. There are many models of reflection these include, Gibbs (1998) Schon (1991) and Kolb (1984). However or the purpose of this reflective case study, I will be using Driscoll’s Model of Reflection, What, So What, Now What (2004) </w:t>
            </w:r>
            <w:sdt>
              <w:sdtPr>
                <w:rPr>
                  <w:rFonts w:asciiTheme="minorHAnsi" w:hAnsiTheme="minorHAnsi" w:cstheme="minorHAnsi"/>
                  <w:color w:val="auto"/>
                  <w:sz w:val="24"/>
                  <w:szCs w:val="24"/>
                </w:rPr>
                <w:id w:val="-1316183212"/>
                <w:citation/>
              </w:sdtPr>
              <w:sdtEndPr/>
              <w:sdtContent>
                <w:r w:rsidRPr="00663F81">
                  <w:rPr>
                    <w:rFonts w:asciiTheme="minorHAnsi" w:hAnsiTheme="minorHAnsi" w:cstheme="minorHAnsi"/>
                    <w:color w:val="auto"/>
                    <w:sz w:val="24"/>
                    <w:szCs w:val="24"/>
                  </w:rPr>
                  <w:fldChar w:fldCharType="begin"/>
                </w:r>
                <w:r w:rsidRPr="00663F81">
                  <w:rPr>
                    <w:rFonts w:asciiTheme="minorHAnsi" w:hAnsiTheme="minorHAnsi" w:cstheme="minorHAnsi"/>
                    <w:color w:val="auto"/>
                    <w:sz w:val="24"/>
                    <w:szCs w:val="24"/>
                  </w:rPr>
                  <w:instrText xml:space="preserve"> CITATION lib19 \l 2057 </w:instrText>
                </w:r>
                <w:r w:rsidRPr="00663F81">
                  <w:rPr>
                    <w:rFonts w:asciiTheme="minorHAnsi" w:hAnsiTheme="minorHAnsi" w:cstheme="minorHAnsi"/>
                    <w:color w:val="auto"/>
                    <w:sz w:val="24"/>
                    <w:szCs w:val="24"/>
                  </w:rPr>
                  <w:fldChar w:fldCharType="separate"/>
                </w:r>
                <w:r w:rsidRPr="00663F81">
                  <w:rPr>
                    <w:rFonts w:asciiTheme="minorHAnsi" w:hAnsiTheme="minorHAnsi" w:cstheme="minorHAnsi"/>
                    <w:noProof/>
                    <w:color w:val="auto"/>
                    <w:sz w:val="24"/>
                    <w:szCs w:val="24"/>
                  </w:rPr>
                  <w:t xml:space="preserve"> (libguides.cam.ac.uk, 2019)</w:t>
                </w:r>
                <w:r w:rsidRPr="00663F81">
                  <w:rPr>
                    <w:rFonts w:asciiTheme="minorHAnsi" w:hAnsiTheme="minorHAnsi" w:cstheme="minorHAnsi"/>
                    <w:color w:val="auto"/>
                    <w:sz w:val="24"/>
                    <w:szCs w:val="24"/>
                  </w:rPr>
                  <w:fldChar w:fldCharType="end"/>
                </w:r>
              </w:sdtContent>
            </w:sdt>
            <w:r w:rsidRPr="00663F81">
              <w:rPr>
                <w:rFonts w:asciiTheme="minorHAnsi" w:hAnsiTheme="minorHAnsi" w:cstheme="minorHAnsi"/>
                <w:color w:val="auto"/>
                <w:sz w:val="24"/>
                <w:szCs w:val="24"/>
              </w:rPr>
              <w:t>.</w:t>
            </w:r>
          </w:p>
          <w:p w14:paraId="156BC8CA" w14:textId="77777777" w:rsidR="00663F81" w:rsidRPr="00663F81" w:rsidRDefault="00663F81" w:rsidP="00663F81">
            <w:pPr>
              <w:spacing w:line="360" w:lineRule="auto"/>
              <w:jc w:val="both"/>
              <w:rPr>
                <w:rFonts w:asciiTheme="minorHAnsi" w:hAnsiTheme="minorHAnsi" w:cstheme="minorHAnsi"/>
                <w:color w:val="auto"/>
                <w:sz w:val="24"/>
                <w:szCs w:val="24"/>
              </w:rPr>
            </w:pPr>
            <w:r w:rsidRPr="00663F81">
              <w:rPr>
                <w:rFonts w:asciiTheme="minorHAnsi" w:hAnsiTheme="minorHAnsi" w:cstheme="minorHAnsi"/>
                <w:color w:val="auto"/>
                <w:sz w:val="24"/>
                <w:szCs w:val="24"/>
              </w:rPr>
              <w:t xml:space="preserve">The American Philosopher John Dewey stated; </w:t>
            </w:r>
          </w:p>
          <w:p w14:paraId="6302AFB1" w14:textId="77777777" w:rsidR="00663F81" w:rsidRPr="00663F81" w:rsidRDefault="00663F81" w:rsidP="00663F81">
            <w:pPr>
              <w:spacing w:line="360" w:lineRule="auto"/>
              <w:jc w:val="both"/>
              <w:rPr>
                <w:rFonts w:asciiTheme="minorHAnsi" w:hAnsiTheme="minorHAnsi" w:cstheme="minorHAnsi"/>
                <w:color w:val="auto"/>
                <w:sz w:val="24"/>
                <w:szCs w:val="24"/>
              </w:rPr>
            </w:pPr>
          </w:p>
          <w:p w14:paraId="791B0FFC" w14:textId="77777777" w:rsidR="00663F81" w:rsidRPr="00663F81" w:rsidRDefault="00663F81" w:rsidP="00663F81">
            <w:pPr>
              <w:spacing w:line="360" w:lineRule="auto"/>
              <w:jc w:val="both"/>
              <w:rPr>
                <w:rFonts w:asciiTheme="minorHAnsi" w:hAnsiTheme="minorHAnsi" w:cstheme="minorHAnsi"/>
                <w:color w:val="auto"/>
                <w:sz w:val="24"/>
                <w:szCs w:val="24"/>
              </w:rPr>
            </w:pPr>
            <w:r w:rsidRPr="00663F81">
              <w:rPr>
                <w:rFonts w:asciiTheme="minorHAnsi" w:hAnsiTheme="minorHAnsi" w:cstheme="minorHAnsi"/>
                <w:color w:val="auto"/>
                <w:sz w:val="24"/>
                <w:szCs w:val="24"/>
              </w:rPr>
              <w:t xml:space="preserve">“We do not learn from experience…we learn from reflecting on experience” </w:t>
            </w:r>
          </w:p>
          <w:p w14:paraId="1E412BF6" w14:textId="77777777" w:rsidR="00663F81" w:rsidRPr="00663F81" w:rsidRDefault="002C6EDD" w:rsidP="00663F81">
            <w:pPr>
              <w:spacing w:line="360" w:lineRule="auto"/>
              <w:jc w:val="both"/>
              <w:rPr>
                <w:rFonts w:asciiTheme="minorHAnsi" w:hAnsiTheme="minorHAnsi" w:cstheme="minorHAnsi"/>
                <w:color w:val="auto"/>
                <w:sz w:val="24"/>
                <w:szCs w:val="24"/>
              </w:rPr>
            </w:pPr>
            <w:sdt>
              <w:sdtPr>
                <w:rPr>
                  <w:rFonts w:asciiTheme="minorHAnsi" w:hAnsiTheme="minorHAnsi" w:cstheme="minorHAnsi"/>
                  <w:color w:val="auto"/>
                  <w:sz w:val="24"/>
                  <w:szCs w:val="24"/>
                </w:rPr>
                <w:id w:val="763650442"/>
                <w:citation/>
              </w:sdtPr>
              <w:sdtEndPr/>
              <w:sdtContent>
                <w:r w:rsidR="00663F81" w:rsidRPr="00663F81">
                  <w:rPr>
                    <w:rFonts w:asciiTheme="minorHAnsi" w:hAnsiTheme="minorHAnsi" w:cstheme="minorHAnsi"/>
                    <w:color w:val="auto"/>
                    <w:sz w:val="24"/>
                    <w:szCs w:val="24"/>
                  </w:rPr>
                  <w:fldChar w:fldCharType="begin"/>
                </w:r>
                <w:r w:rsidR="00663F81" w:rsidRPr="00663F81">
                  <w:rPr>
                    <w:rFonts w:asciiTheme="minorHAnsi" w:hAnsiTheme="minorHAnsi" w:cstheme="minorHAnsi"/>
                    <w:color w:val="auto"/>
                    <w:sz w:val="24"/>
                    <w:szCs w:val="24"/>
                  </w:rPr>
                  <w:instrText xml:space="preserve"> CITATION Goo23 \l 2057 </w:instrText>
                </w:r>
                <w:r w:rsidR="00663F81" w:rsidRPr="00663F81">
                  <w:rPr>
                    <w:rFonts w:asciiTheme="minorHAnsi" w:hAnsiTheme="minorHAnsi" w:cstheme="minorHAnsi"/>
                    <w:color w:val="auto"/>
                    <w:sz w:val="24"/>
                    <w:szCs w:val="24"/>
                  </w:rPr>
                  <w:fldChar w:fldCharType="separate"/>
                </w:r>
                <w:r w:rsidR="00663F81" w:rsidRPr="00663F81">
                  <w:rPr>
                    <w:rFonts w:asciiTheme="minorHAnsi" w:hAnsiTheme="minorHAnsi" w:cstheme="minorHAnsi"/>
                    <w:noProof/>
                    <w:color w:val="auto"/>
                    <w:sz w:val="24"/>
                    <w:szCs w:val="24"/>
                  </w:rPr>
                  <w:t>(Goodreads.com, 2023)</w:t>
                </w:r>
                <w:r w:rsidR="00663F81" w:rsidRPr="00663F81">
                  <w:rPr>
                    <w:rFonts w:asciiTheme="minorHAnsi" w:hAnsiTheme="minorHAnsi" w:cstheme="minorHAnsi"/>
                    <w:color w:val="auto"/>
                    <w:sz w:val="24"/>
                    <w:szCs w:val="24"/>
                  </w:rPr>
                  <w:fldChar w:fldCharType="end"/>
                </w:r>
              </w:sdtContent>
            </w:sdt>
            <w:r w:rsidR="00663F81" w:rsidRPr="00663F81">
              <w:rPr>
                <w:rFonts w:asciiTheme="minorHAnsi" w:hAnsiTheme="minorHAnsi" w:cstheme="minorHAnsi"/>
                <w:color w:val="auto"/>
                <w:sz w:val="24"/>
                <w:szCs w:val="24"/>
              </w:rPr>
              <w:t>.</w:t>
            </w:r>
          </w:p>
          <w:p w14:paraId="4540481F" w14:textId="77777777" w:rsidR="00663F81" w:rsidRPr="00663F81" w:rsidRDefault="00663F81" w:rsidP="00663F81">
            <w:pPr>
              <w:spacing w:line="360" w:lineRule="auto"/>
              <w:jc w:val="both"/>
              <w:rPr>
                <w:rFonts w:asciiTheme="minorHAnsi" w:hAnsiTheme="minorHAnsi" w:cstheme="minorHAnsi"/>
                <w:color w:val="auto"/>
                <w:sz w:val="24"/>
                <w:szCs w:val="24"/>
              </w:rPr>
            </w:pPr>
          </w:p>
          <w:p w14:paraId="4E1B993D" w14:textId="77777777" w:rsidR="00663F81" w:rsidRPr="00663F81" w:rsidRDefault="00663F81" w:rsidP="00663F81">
            <w:pPr>
              <w:spacing w:line="360" w:lineRule="auto"/>
              <w:jc w:val="both"/>
              <w:rPr>
                <w:rFonts w:asciiTheme="minorHAnsi" w:hAnsiTheme="minorHAnsi" w:cstheme="minorHAnsi"/>
                <w:color w:val="auto"/>
                <w:sz w:val="24"/>
                <w:szCs w:val="24"/>
              </w:rPr>
            </w:pPr>
            <w:r w:rsidRPr="00663F81">
              <w:rPr>
                <w:rFonts w:asciiTheme="minorHAnsi" w:hAnsiTheme="minorHAnsi" w:cstheme="minorHAnsi"/>
                <w:color w:val="auto"/>
                <w:sz w:val="24"/>
                <w:szCs w:val="24"/>
              </w:rPr>
              <w:t xml:space="preserve">I will also reflect on the use of Social Work Theories that informed my practice. The International Federation of Social Workers </w:t>
            </w:r>
            <w:sdt>
              <w:sdtPr>
                <w:rPr>
                  <w:rFonts w:asciiTheme="minorHAnsi" w:hAnsiTheme="minorHAnsi" w:cstheme="minorHAnsi"/>
                  <w:color w:val="auto"/>
                  <w:sz w:val="24"/>
                  <w:szCs w:val="24"/>
                </w:rPr>
                <w:id w:val="-1772628148"/>
                <w:citation/>
              </w:sdtPr>
              <w:sdtEndPr/>
              <w:sdtContent>
                <w:r w:rsidRPr="00663F81">
                  <w:rPr>
                    <w:rFonts w:asciiTheme="minorHAnsi" w:hAnsiTheme="minorHAnsi" w:cstheme="minorHAnsi"/>
                    <w:color w:val="auto"/>
                    <w:sz w:val="24"/>
                    <w:szCs w:val="24"/>
                  </w:rPr>
                  <w:fldChar w:fldCharType="begin"/>
                </w:r>
                <w:r w:rsidRPr="00663F81">
                  <w:rPr>
                    <w:rFonts w:asciiTheme="minorHAnsi" w:hAnsiTheme="minorHAnsi" w:cstheme="minorHAnsi"/>
                    <w:color w:val="auto"/>
                    <w:sz w:val="24"/>
                    <w:szCs w:val="24"/>
                  </w:rPr>
                  <w:instrText xml:space="preserve"> CITATION Int23 \l 2057 </w:instrText>
                </w:r>
                <w:r w:rsidRPr="00663F81">
                  <w:rPr>
                    <w:rFonts w:asciiTheme="minorHAnsi" w:hAnsiTheme="minorHAnsi" w:cstheme="minorHAnsi"/>
                    <w:color w:val="auto"/>
                    <w:sz w:val="24"/>
                    <w:szCs w:val="24"/>
                  </w:rPr>
                  <w:fldChar w:fldCharType="separate"/>
                </w:r>
                <w:r w:rsidRPr="00663F81">
                  <w:rPr>
                    <w:rFonts w:asciiTheme="minorHAnsi" w:hAnsiTheme="minorHAnsi" w:cstheme="minorHAnsi"/>
                    <w:noProof/>
                    <w:color w:val="auto"/>
                    <w:sz w:val="24"/>
                    <w:szCs w:val="24"/>
                  </w:rPr>
                  <w:t>(International Ferderation of Social Workers, 2023)</w:t>
                </w:r>
                <w:r w:rsidRPr="00663F81">
                  <w:rPr>
                    <w:rFonts w:asciiTheme="minorHAnsi" w:hAnsiTheme="minorHAnsi" w:cstheme="minorHAnsi"/>
                    <w:color w:val="auto"/>
                    <w:sz w:val="24"/>
                    <w:szCs w:val="24"/>
                  </w:rPr>
                  <w:fldChar w:fldCharType="end"/>
                </w:r>
              </w:sdtContent>
            </w:sdt>
            <w:r w:rsidRPr="00663F81">
              <w:rPr>
                <w:rFonts w:asciiTheme="minorHAnsi" w:hAnsiTheme="minorHAnsi" w:cstheme="minorHAnsi"/>
                <w:color w:val="auto"/>
                <w:sz w:val="24"/>
                <w:szCs w:val="24"/>
              </w:rPr>
              <w:t>.</w:t>
            </w:r>
          </w:p>
          <w:p w14:paraId="13D29A0C" w14:textId="77777777" w:rsidR="00663F81" w:rsidRPr="00663F81" w:rsidRDefault="00663F81" w:rsidP="00663F81">
            <w:pPr>
              <w:spacing w:line="360" w:lineRule="auto"/>
              <w:jc w:val="center"/>
              <w:rPr>
                <w:rFonts w:asciiTheme="minorHAnsi" w:hAnsiTheme="minorHAnsi" w:cstheme="minorHAnsi"/>
                <w:color w:val="auto"/>
                <w:sz w:val="24"/>
                <w:szCs w:val="24"/>
              </w:rPr>
            </w:pPr>
            <w:r w:rsidRPr="00663F81">
              <w:rPr>
                <w:rFonts w:asciiTheme="minorHAnsi" w:hAnsiTheme="minorHAnsi" w:cstheme="minorHAnsi"/>
                <w:color w:val="auto"/>
                <w:sz w:val="24"/>
                <w:szCs w:val="24"/>
              </w:rPr>
              <w:t xml:space="preserve">“Principals of social justice, human rights, collective responsibility and respect for diversities are central to social work. Underpinned by theories of social work, social sciences, humanities and </w:t>
            </w:r>
            <w:r w:rsidRPr="00663F81">
              <w:rPr>
                <w:rFonts w:asciiTheme="minorHAnsi" w:hAnsiTheme="minorHAnsi" w:cstheme="minorHAnsi"/>
                <w:color w:val="auto"/>
                <w:sz w:val="24"/>
                <w:szCs w:val="24"/>
              </w:rPr>
              <w:lastRenderedPageBreak/>
              <w:t>indigenous knowledge, social work engages people and structures to address life challenges and enhance wellbeing”</w:t>
            </w:r>
          </w:p>
          <w:p w14:paraId="116C6C85" w14:textId="77777777" w:rsidR="00663F81" w:rsidRPr="00663F81" w:rsidRDefault="00663F81" w:rsidP="00663F81">
            <w:pPr>
              <w:spacing w:line="360" w:lineRule="auto"/>
              <w:jc w:val="both"/>
              <w:rPr>
                <w:rFonts w:asciiTheme="minorHAnsi" w:hAnsiTheme="minorHAnsi" w:cstheme="minorHAnsi"/>
                <w:color w:val="auto"/>
                <w:sz w:val="24"/>
                <w:szCs w:val="24"/>
              </w:rPr>
            </w:pPr>
          </w:p>
          <w:p w14:paraId="078BD99A" w14:textId="77777777" w:rsidR="00663F81" w:rsidRPr="00663F81" w:rsidRDefault="00663F81" w:rsidP="00663F81">
            <w:pPr>
              <w:spacing w:line="360" w:lineRule="auto"/>
              <w:jc w:val="both"/>
              <w:rPr>
                <w:rFonts w:asciiTheme="minorHAnsi" w:hAnsiTheme="minorHAnsi" w:cstheme="minorHAnsi"/>
                <w:color w:val="auto"/>
                <w:sz w:val="24"/>
                <w:szCs w:val="24"/>
              </w:rPr>
            </w:pPr>
            <w:r w:rsidRPr="00663F81">
              <w:rPr>
                <w:rFonts w:asciiTheme="minorHAnsi" w:hAnsiTheme="minorHAnsi" w:cstheme="minorHAnsi"/>
                <w:color w:val="auto"/>
                <w:sz w:val="24"/>
                <w:szCs w:val="24"/>
              </w:rPr>
              <w:t>I will reflect on the use of law, Social Workers practicing In Wales will work under laws and procedures that are specific to Wales. The Social Services Wellbeing Wales Act (2014) SSWBWA</w:t>
            </w:r>
            <w:sdt>
              <w:sdtPr>
                <w:rPr>
                  <w:rFonts w:asciiTheme="minorHAnsi" w:hAnsiTheme="minorHAnsi" w:cstheme="minorHAnsi"/>
                  <w:color w:val="auto"/>
                  <w:sz w:val="24"/>
                  <w:szCs w:val="24"/>
                </w:rPr>
                <w:id w:val="-196938621"/>
                <w:citation/>
              </w:sdtPr>
              <w:sdtEndPr/>
              <w:sdtContent>
                <w:r w:rsidRPr="00663F81">
                  <w:rPr>
                    <w:rFonts w:asciiTheme="minorHAnsi" w:hAnsiTheme="minorHAnsi" w:cstheme="minorHAnsi"/>
                    <w:color w:val="auto"/>
                    <w:sz w:val="24"/>
                    <w:szCs w:val="24"/>
                  </w:rPr>
                  <w:fldChar w:fldCharType="begin"/>
                </w:r>
                <w:r w:rsidRPr="00663F81">
                  <w:rPr>
                    <w:rFonts w:asciiTheme="minorHAnsi" w:hAnsiTheme="minorHAnsi" w:cstheme="minorHAnsi"/>
                    <w:color w:val="auto"/>
                    <w:sz w:val="24"/>
                    <w:szCs w:val="24"/>
                  </w:rPr>
                  <w:instrText xml:space="preserve"> CITATION leg144 \l 2057 </w:instrText>
                </w:r>
                <w:r w:rsidRPr="00663F81">
                  <w:rPr>
                    <w:rFonts w:asciiTheme="minorHAnsi" w:hAnsiTheme="minorHAnsi" w:cstheme="minorHAnsi"/>
                    <w:color w:val="auto"/>
                    <w:sz w:val="24"/>
                    <w:szCs w:val="24"/>
                  </w:rPr>
                  <w:fldChar w:fldCharType="separate"/>
                </w:r>
                <w:r w:rsidRPr="00663F81">
                  <w:rPr>
                    <w:rFonts w:asciiTheme="minorHAnsi" w:hAnsiTheme="minorHAnsi" w:cstheme="minorHAnsi"/>
                    <w:noProof/>
                    <w:color w:val="auto"/>
                    <w:sz w:val="24"/>
                    <w:szCs w:val="24"/>
                  </w:rPr>
                  <w:t xml:space="preserve"> (legislation.Gov.Uk, 2014)</w:t>
                </w:r>
                <w:r w:rsidRPr="00663F81">
                  <w:rPr>
                    <w:rFonts w:asciiTheme="minorHAnsi" w:hAnsiTheme="minorHAnsi" w:cstheme="minorHAnsi"/>
                    <w:color w:val="auto"/>
                    <w:sz w:val="24"/>
                    <w:szCs w:val="24"/>
                  </w:rPr>
                  <w:fldChar w:fldCharType="end"/>
                </w:r>
              </w:sdtContent>
            </w:sdt>
            <w:r w:rsidRPr="00663F81">
              <w:rPr>
                <w:rFonts w:asciiTheme="minorHAnsi" w:hAnsiTheme="minorHAnsi" w:cstheme="minorHAnsi"/>
                <w:color w:val="auto"/>
                <w:sz w:val="24"/>
                <w:szCs w:val="24"/>
              </w:rPr>
              <w:t>. The Wales Safeguarding Procedures (2019)</w:t>
            </w:r>
            <w:sdt>
              <w:sdtPr>
                <w:rPr>
                  <w:rFonts w:asciiTheme="minorHAnsi" w:hAnsiTheme="minorHAnsi" w:cstheme="minorHAnsi"/>
                  <w:color w:val="auto"/>
                  <w:sz w:val="24"/>
                  <w:szCs w:val="24"/>
                </w:rPr>
                <w:id w:val="1829476882"/>
                <w:citation/>
              </w:sdtPr>
              <w:sdtEndPr/>
              <w:sdtContent>
                <w:r w:rsidRPr="00663F81">
                  <w:rPr>
                    <w:rFonts w:asciiTheme="minorHAnsi" w:hAnsiTheme="minorHAnsi" w:cstheme="minorHAnsi"/>
                    <w:color w:val="auto"/>
                    <w:sz w:val="24"/>
                    <w:szCs w:val="24"/>
                  </w:rPr>
                  <w:fldChar w:fldCharType="begin"/>
                </w:r>
                <w:r w:rsidRPr="00663F81">
                  <w:rPr>
                    <w:rFonts w:asciiTheme="minorHAnsi" w:hAnsiTheme="minorHAnsi" w:cstheme="minorHAnsi"/>
                    <w:color w:val="auto"/>
                    <w:sz w:val="24"/>
                    <w:szCs w:val="24"/>
                  </w:rPr>
                  <w:instrText xml:space="preserve"> CITATION Saf19 \l 2057 </w:instrText>
                </w:r>
                <w:r w:rsidRPr="00663F81">
                  <w:rPr>
                    <w:rFonts w:asciiTheme="minorHAnsi" w:hAnsiTheme="minorHAnsi" w:cstheme="minorHAnsi"/>
                    <w:color w:val="auto"/>
                    <w:sz w:val="24"/>
                    <w:szCs w:val="24"/>
                  </w:rPr>
                  <w:fldChar w:fldCharType="separate"/>
                </w:r>
                <w:r w:rsidRPr="00663F81">
                  <w:rPr>
                    <w:rFonts w:asciiTheme="minorHAnsi" w:hAnsiTheme="minorHAnsi" w:cstheme="minorHAnsi"/>
                    <w:noProof/>
                    <w:color w:val="auto"/>
                    <w:sz w:val="24"/>
                    <w:szCs w:val="24"/>
                  </w:rPr>
                  <w:t xml:space="preserve"> (Safeguarding.Wales, 2019)</w:t>
                </w:r>
                <w:r w:rsidRPr="00663F81">
                  <w:rPr>
                    <w:rFonts w:asciiTheme="minorHAnsi" w:hAnsiTheme="minorHAnsi" w:cstheme="minorHAnsi"/>
                    <w:color w:val="auto"/>
                    <w:sz w:val="24"/>
                    <w:szCs w:val="24"/>
                  </w:rPr>
                  <w:fldChar w:fldCharType="end"/>
                </w:r>
              </w:sdtContent>
            </w:sdt>
            <w:r w:rsidRPr="00663F81">
              <w:rPr>
                <w:rFonts w:asciiTheme="minorHAnsi" w:hAnsiTheme="minorHAnsi" w:cstheme="minorHAnsi"/>
                <w:color w:val="auto"/>
                <w:sz w:val="24"/>
                <w:szCs w:val="24"/>
              </w:rPr>
              <w:t>. In addition, Violence against Women, Domestic Abuse and Sexual Violence (VAWDASV)</w:t>
            </w:r>
            <w:sdt>
              <w:sdtPr>
                <w:rPr>
                  <w:rFonts w:asciiTheme="minorHAnsi" w:hAnsiTheme="minorHAnsi" w:cstheme="minorHAnsi"/>
                  <w:color w:val="auto"/>
                  <w:sz w:val="24"/>
                  <w:szCs w:val="24"/>
                </w:rPr>
                <w:id w:val="-1356804440"/>
                <w:citation/>
              </w:sdtPr>
              <w:sdtEndPr/>
              <w:sdtContent>
                <w:r w:rsidRPr="00663F81">
                  <w:rPr>
                    <w:rFonts w:asciiTheme="minorHAnsi" w:hAnsiTheme="minorHAnsi" w:cstheme="minorHAnsi"/>
                    <w:color w:val="auto"/>
                    <w:sz w:val="24"/>
                    <w:szCs w:val="24"/>
                  </w:rPr>
                  <w:fldChar w:fldCharType="begin"/>
                </w:r>
                <w:r w:rsidRPr="00663F81">
                  <w:rPr>
                    <w:rFonts w:asciiTheme="minorHAnsi" w:hAnsiTheme="minorHAnsi" w:cstheme="minorHAnsi"/>
                    <w:color w:val="auto"/>
                    <w:sz w:val="24"/>
                    <w:szCs w:val="24"/>
                  </w:rPr>
                  <w:instrText xml:space="preserve"> CITATION Wel19 \l 2057 </w:instrText>
                </w:r>
                <w:r w:rsidRPr="00663F81">
                  <w:rPr>
                    <w:rFonts w:asciiTheme="minorHAnsi" w:hAnsiTheme="minorHAnsi" w:cstheme="minorHAnsi"/>
                    <w:color w:val="auto"/>
                    <w:sz w:val="24"/>
                    <w:szCs w:val="24"/>
                  </w:rPr>
                  <w:fldChar w:fldCharType="separate"/>
                </w:r>
                <w:r w:rsidRPr="00663F81">
                  <w:rPr>
                    <w:rFonts w:asciiTheme="minorHAnsi" w:hAnsiTheme="minorHAnsi" w:cstheme="minorHAnsi"/>
                    <w:noProof/>
                    <w:color w:val="auto"/>
                    <w:sz w:val="24"/>
                    <w:szCs w:val="24"/>
                  </w:rPr>
                  <w:t xml:space="preserve"> (Welsh Government, 2019)</w:t>
                </w:r>
                <w:r w:rsidRPr="00663F81">
                  <w:rPr>
                    <w:rFonts w:asciiTheme="minorHAnsi" w:hAnsiTheme="minorHAnsi" w:cstheme="minorHAnsi"/>
                    <w:color w:val="auto"/>
                    <w:sz w:val="24"/>
                    <w:szCs w:val="24"/>
                  </w:rPr>
                  <w:fldChar w:fldCharType="end"/>
                </w:r>
              </w:sdtContent>
            </w:sdt>
            <w:r w:rsidRPr="00663F81">
              <w:rPr>
                <w:rFonts w:asciiTheme="minorHAnsi" w:hAnsiTheme="minorHAnsi" w:cstheme="minorHAnsi"/>
                <w:color w:val="auto"/>
                <w:sz w:val="24"/>
                <w:szCs w:val="24"/>
              </w:rPr>
              <w:t xml:space="preserve">, alongside working within laws that are used within the UK and worldwide. </w:t>
            </w:r>
          </w:p>
          <w:p w14:paraId="1B278DAA" w14:textId="77777777" w:rsidR="00663F81" w:rsidRPr="00663F81" w:rsidRDefault="00663F81" w:rsidP="00663F81">
            <w:pPr>
              <w:spacing w:line="360" w:lineRule="auto"/>
              <w:jc w:val="both"/>
              <w:rPr>
                <w:rFonts w:asciiTheme="minorHAnsi" w:hAnsiTheme="minorHAnsi" w:cstheme="minorHAnsi"/>
                <w:color w:val="auto"/>
                <w:sz w:val="24"/>
                <w:szCs w:val="24"/>
              </w:rPr>
            </w:pPr>
          </w:p>
          <w:p w14:paraId="57726662" w14:textId="77777777" w:rsidR="00663F81" w:rsidRPr="00663F81" w:rsidRDefault="00663F81" w:rsidP="00663F81">
            <w:pPr>
              <w:spacing w:line="360" w:lineRule="auto"/>
              <w:jc w:val="both"/>
              <w:rPr>
                <w:rFonts w:asciiTheme="minorHAnsi" w:hAnsiTheme="minorHAnsi" w:cstheme="minorHAnsi"/>
                <w:b/>
                <w:color w:val="auto"/>
                <w:sz w:val="24"/>
                <w:szCs w:val="24"/>
              </w:rPr>
            </w:pPr>
            <w:r w:rsidRPr="00663F81">
              <w:rPr>
                <w:rFonts w:asciiTheme="minorHAnsi" w:hAnsiTheme="minorHAnsi" w:cstheme="minorHAnsi"/>
                <w:color w:val="auto"/>
                <w:sz w:val="24"/>
                <w:szCs w:val="24"/>
              </w:rPr>
              <w:t>These include The Human Rights Act (1998) HRA, The Equality Act (2010) EQ, Mental Capacity Act (2005) MCA, Mental Health Act (1983) MHA and the Deprivation of Liberty Safeguards DOLS that are to be replaced by the Liberty Protection Safeguards LPS that are part of the MCA (2005). Outside of the UK, the United Nations principals for Older Persons (1991) OCHCHR ensured that The Commissioner for Older Persons Wales is legally obliged to have regard to the 18 principals of the OHCHR</w:t>
            </w:r>
            <w:sdt>
              <w:sdtPr>
                <w:rPr>
                  <w:rFonts w:asciiTheme="minorHAnsi" w:hAnsiTheme="minorHAnsi" w:cstheme="minorHAnsi"/>
                  <w:color w:val="auto"/>
                  <w:sz w:val="24"/>
                  <w:szCs w:val="24"/>
                </w:rPr>
                <w:id w:val="-1696456581"/>
                <w:citation/>
              </w:sdtPr>
              <w:sdtEndPr/>
              <w:sdtContent>
                <w:r w:rsidRPr="00663F81">
                  <w:rPr>
                    <w:rFonts w:asciiTheme="minorHAnsi" w:hAnsiTheme="minorHAnsi" w:cstheme="minorHAnsi"/>
                    <w:color w:val="auto"/>
                    <w:sz w:val="24"/>
                    <w:szCs w:val="24"/>
                  </w:rPr>
                  <w:fldChar w:fldCharType="begin"/>
                </w:r>
                <w:r w:rsidRPr="00663F81">
                  <w:rPr>
                    <w:rFonts w:asciiTheme="minorHAnsi" w:hAnsiTheme="minorHAnsi" w:cstheme="minorHAnsi"/>
                    <w:color w:val="auto"/>
                    <w:sz w:val="24"/>
                    <w:szCs w:val="24"/>
                  </w:rPr>
                  <w:instrText xml:space="preserve"> CITATION Uni19 \l 2057 </w:instrText>
                </w:r>
                <w:r w:rsidRPr="00663F81">
                  <w:rPr>
                    <w:rFonts w:asciiTheme="minorHAnsi" w:hAnsiTheme="minorHAnsi" w:cstheme="minorHAnsi"/>
                    <w:color w:val="auto"/>
                    <w:sz w:val="24"/>
                    <w:szCs w:val="24"/>
                  </w:rPr>
                  <w:fldChar w:fldCharType="separate"/>
                </w:r>
                <w:r w:rsidRPr="00663F81">
                  <w:rPr>
                    <w:rFonts w:asciiTheme="minorHAnsi" w:hAnsiTheme="minorHAnsi" w:cstheme="minorHAnsi"/>
                    <w:noProof/>
                    <w:color w:val="auto"/>
                    <w:sz w:val="24"/>
                    <w:szCs w:val="24"/>
                  </w:rPr>
                  <w:t xml:space="preserve"> (United Nations Human Rights office of the high commissioner, 2019)</w:t>
                </w:r>
                <w:r w:rsidRPr="00663F81">
                  <w:rPr>
                    <w:rFonts w:asciiTheme="minorHAnsi" w:hAnsiTheme="minorHAnsi" w:cstheme="minorHAnsi"/>
                    <w:color w:val="auto"/>
                    <w:sz w:val="24"/>
                    <w:szCs w:val="24"/>
                  </w:rPr>
                  <w:fldChar w:fldCharType="end"/>
                </w:r>
              </w:sdtContent>
            </w:sdt>
            <w:r w:rsidRPr="00663F81">
              <w:rPr>
                <w:rFonts w:asciiTheme="minorHAnsi" w:hAnsiTheme="minorHAnsi" w:cstheme="minorHAnsi"/>
                <w:color w:val="auto"/>
                <w:sz w:val="24"/>
                <w:szCs w:val="24"/>
              </w:rPr>
              <w:t>.</w:t>
            </w:r>
          </w:p>
          <w:p w14:paraId="5ACE9D35" w14:textId="77777777" w:rsidR="00663F81" w:rsidRPr="00663F81" w:rsidRDefault="00663F81" w:rsidP="00663F81">
            <w:pPr>
              <w:spacing w:line="360" w:lineRule="auto"/>
              <w:jc w:val="both"/>
              <w:rPr>
                <w:rFonts w:asciiTheme="minorHAnsi" w:hAnsiTheme="minorHAnsi" w:cstheme="minorHAnsi"/>
                <w:sz w:val="24"/>
                <w:szCs w:val="24"/>
                <w:u w:val="single"/>
              </w:rPr>
            </w:pPr>
          </w:p>
          <w:p w14:paraId="4371F1C4" w14:textId="77777777" w:rsidR="00663F81" w:rsidRPr="00663F81" w:rsidRDefault="00663F81" w:rsidP="00663F81">
            <w:pPr>
              <w:spacing w:line="360" w:lineRule="auto"/>
              <w:jc w:val="both"/>
              <w:rPr>
                <w:rFonts w:asciiTheme="minorHAnsi" w:hAnsiTheme="minorHAnsi" w:cstheme="minorHAnsi"/>
                <w:sz w:val="24"/>
                <w:szCs w:val="24"/>
                <w:u w:val="single"/>
              </w:rPr>
            </w:pPr>
          </w:p>
          <w:p w14:paraId="0554BB2E" w14:textId="57AA500D"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rPr>
            </w:pPr>
            <w:r w:rsidRPr="00663F81">
              <w:rPr>
                <w:rStyle w:val="legds"/>
                <w:rFonts w:asciiTheme="minorHAnsi" w:hAnsiTheme="minorHAnsi" w:cstheme="minorHAnsi"/>
                <w:color w:val="000000"/>
              </w:rPr>
              <w:t>For the purpose of confidentiality of the individual and their family including the protection of any identifying details. I will work in line with</w:t>
            </w:r>
            <w:r w:rsidRPr="00663F81">
              <w:rPr>
                <w:rFonts w:asciiTheme="minorHAnsi" w:hAnsiTheme="minorHAnsi" w:cstheme="minorHAnsi"/>
              </w:rPr>
              <w:t xml:space="preserve"> the principals of the General Data Protection Regulation (GDPR) and the Data Protection Act ( 2018) (3.2,3.3a) </w:t>
            </w:r>
            <w:sdt>
              <w:sdtPr>
                <w:rPr>
                  <w:rFonts w:asciiTheme="minorHAnsi" w:hAnsiTheme="minorHAnsi" w:cstheme="minorHAnsi"/>
                </w:rPr>
                <w:id w:val="-1006908032"/>
                <w:citation/>
              </w:sdtPr>
              <w:sdtEndPr/>
              <w:sdtContent>
                <w:r w:rsidRPr="00663F81">
                  <w:rPr>
                    <w:rFonts w:asciiTheme="minorHAnsi" w:hAnsiTheme="minorHAnsi" w:cstheme="minorHAnsi"/>
                  </w:rPr>
                  <w:fldChar w:fldCharType="begin"/>
                </w:r>
                <w:r w:rsidRPr="00663F81">
                  <w:rPr>
                    <w:rFonts w:asciiTheme="minorHAnsi" w:hAnsiTheme="minorHAnsi" w:cstheme="minorHAnsi"/>
                  </w:rPr>
                  <w:instrText xml:space="preserve"> CITATION Gov18 \l 2057 </w:instrText>
                </w:r>
                <w:r w:rsidRPr="00663F81">
                  <w:rPr>
                    <w:rFonts w:asciiTheme="minorHAnsi" w:hAnsiTheme="minorHAnsi" w:cstheme="minorHAnsi"/>
                  </w:rPr>
                  <w:fldChar w:fldCharType="separate"/>
                </w:r>
                <w:r w:rsidRPr="00663F81">
                  <w:rPr>
                    <w:rFonts w:asciiTheme="minorHAnsi" w:hAnsiTheme="minorHAnsi" w:cstheme="minorHAnsi"/>
                    <w:noProof/>
                  </w:rPr>
                  <w:t>(Gov.uk, 2018)</w:t>
                </w:r>
                <w:r w:rsidRPr="00663F81">
                  <w:rPr>
                    <w:rFonts w:asciiTheme="minorHAnsi" w:hAnsiTheme="minorHAnsi" w:cstheme="minorHAnsi"/>
                  </w:rPr>
                  <w:fldChar w:fldCharType="end"/>
                </w:r>
              </w:sdtContent>
            </w:sdt>
            <w:r w:rsidRPr="00663F81">
              <w:rPr>
                <w:rFonts w:asciiTheme="minorHAnsi" w:hAnsiTheme="minorHAnsi" w:cstheme="minorHAnsi"/>
              </w:rPr>
              <w:t>.The Code of Professional Practice(2017) CoPP (S.4.4)  and the National Occupational Standards(2011) (Nos 7). I will refer to the Individual I was assessing as Person 1 and the Family Member as Person 2 (NOS 1, 3) (CoPP 2.4, 6.2)</w:t>
            </w:r>
            <w:sdt>
              <w:sdtPr>
                <w:rPr>
                  <w:rFonts w:asciiTheme="minorHAnsi" w:hAnsiTheme="minorHAnsi" w:cstheme="minorHAnsi"/>
                </w:rPr>
                <w:id w:val="1790396293"/>
                <w:citation/>
              </w:sdtPr>
              <w:sdtEndPr/>
              <w:sdtContent>
                <w:r w:rsidRPr="00663F81">
                  <w:rPr>
                    <w:rFonts w:asciiTheme="minorHAnsi" w:hAnsiTheme="minorHAnsi" w:cstheme="minorHAnsi"/>
                  </w:rPr>
                  <w:fldChar w:fldCharType="begin"/>
                </w:r>
                <w:r w:rsidRPr="00663F81">
                  <w:rPr>
                    <w:rFonts w:asciiTheme="minorHAnsi" w:hAnsiTheme="minorHAnsi" w:cstheme="minorHAnsi"/>
                  </w:rPr>
                  <w:instrText xml:space="preserve"> CITATION Soc172 \l 2057 </w:instrText>
                </w:r>
                <w:r w:rsidRPr="00663F81">
                  <w:rPr>
                    <w:rFonts w:asciiTheme="minorHAnsi" w:hAnsiTheme="minorHAnsi" w:cstheme="minorHAnsi"/>
                  </w:rPr>
                  <w:fldChar w:fldCharType="separate"/>
                </w:r>
                <w:r w:rsidRPr="00663F81">
                  <w:rPr>
                    <w:rFonts w:asciiTheme="minorHAnsi" w:hAnsiTheme="minorHAnsi" w:cstheme="minorHAnsi"/>
                    <w:noProof/>
                  </w:rPr>
                  <w:t xml:space="preserve"> (Social Care Wales, 2017)</w:t>
                </w:r>
                <w:r w:rsidRPr="00663F81">
                  <w:rPr>
                    <w:rFonts w:asciiTheme="minorHAnsi" w:hAnsiTheme="minorHAnsi" w:cstheme="minorHAnsi"/>
                  </w:rPr>
                  <w:fldChar w:fldCharType="end"/>
                </w:r>
              </w:sdtContent>
            </w:sdt>
            <w:r w:rsidRPr="00663F81">
              <w:rPr>
                <w:rFonts w:asciiTheme="minorHAnsi" w:hAnsiTheme="minorHAnsi" w:cstheme="minorHAnsi"/>
              </w:rPr>
              <w:t>.</w:t>
            </w:r>
          </w:p>
          <w:p w14:paraId="1E9D986C" w14:textId="77777777" w:rsidR="00663F81" w:rsidRPr="00663F81" w:rsidRDefault="00663F81" w:rsidP="00663F81">
            <w:pPr>
              <w:spacing w:line="360" w:lineRule="auto"/>
              <w:jc w:val="both"/>
              <w:rPr>
                <w:rFonts w:asciiTheme="minorHAnsi" w:hAnsiTheme="minorHAnsi" w:cstheme="minorHAnsi"/>
                <w:sz w:val="24"/>
                <w:szCs w:val="24"/>
                <w:u w:val="single"/>
              </w:rPr>
            </w:pPr>
          </w:p>
          <w:p w14:paraId="1EED305E" w14:textId="77777777" w:rsidR="00663F81" w:rsidRPr="00663F81" w:rsidRDefault="00663F81" w:rsidP="00663F81">
            <w:pPr>
              <w:spacing w:line="360" w:lineRule="auto"/>
              <w:jc w:val="both"/>
              <w:rPr>
                <w:rFonts w:asciiTheme="minorHAnsi" w:hAnsiTheme="minorHAnsi" w:cstheme="minorHAnsi"/>
                <w:sz w:val="24"/>
                <w:szCs w:val="24"/>
                <w:u w:val="single"/>
              </w:rPr>
            </w:pPr>
            <w:r w:rsidRPr="00663F81">
              <w:rPr>
                <w:rFonts w:asciiTheme="minorHAnsi" w:hAnsiTheme="minorHAnsi" w:cstheme="minorHAnsi"/>
                <w:sz w:val="24"/>
                <w:szCs w:val="24"/>
                <w:u w:val="single"/>
              </w:rPr>
              <w:t>What</w:t>
            </w:r>
          </w:p>
          <w:p w14:paraId="0C65446B" w14:textId="4FBE64C8" w:rsidR="00663F81" w:rsidRPr="00663F81" w:rsidRDefault="00663F81" w:rsidP="00663F81">
            <w:pPr>
              <w:spacing w:line="360" w:lineRule="auto"/>
              <w:jc w:val="both"/>
              <w:rPr>
                <w:rFonts w:asciiTheme="minorHAnsi" w:hAnsiTheme="minorHAnsi" w:cstheme="minorHAnsi"/>
                <w:sz w:val="24"/>
                <w:szCs w:val="24"/>
              </w:rPr>
            </w:pPr>
            <w:r w:rsidRPr="00663F81">
              <w:rPr>
                <w:rFonts w:asciiTheme="minorHAnsi" w:hAnsiTheme="minorHAnsi" w:cstheme="minorHAnsi"/>
                <w:sz w:val="24"/>
                <w:szCs w:val="24"/>
              </w:rPr>
              <w:t xml:space="preserve">The case I will reflect on was allocated to myself to undertake a visit under SSWBWA (2014) s126 </w:t>
            </w:r>
            <w:r w:rsidRPr="00663F81">
              <w:rPr>
                <w:rStyle w:val="legds"/>
                <w:rFonts w:asciiTheme="minorHAnsi" w:hAnsiTheme="minorHAnsi" w:cstheme="minorHAnsi"/>
                <w:sz w:val="24"/>
                <w:szCs w:val="24"/>
              </w:rPr>
              <w:t xml:space="preserve">which </w:t>
            </w:r>
            <w:r w:rsidRPr="00663F81">
              <w:rPr>
                <w:rFonts w:asciiTheme="minorHAnsi" w:hAnsiTheme="minorHAnsi" w:cstheme="minorHAnsi"/>
                <w:sz w:val="24"/>
                <w:szCs w:val="24"/>
              </w:rPr>
              <w:t>states- that ‘if a relevant partner of a local authority has reasonable cause to suspect that an adult is at risk they have a duty to report’. I liaised with the safeguarding co-ordinator who determined that a visit was required to Person 1. Safeguarding have a duty to undertake enquires within a twenty-</w:t>
            </w:r>
            <w:r w:rsidRPr="00663F81">
              <w:rPr>
                <w:rFonts w:asciiTheme="minorHAnsi" w:hAnsiTheme="minorHAnsi" w:cstheme="minorHAnsi"/>
                <w:sz w:val="24"/>
                <w:szCs w:val="24"/>
              </w:rPr>
              <w:lastRenderedPageBreak/>
              <w:t>four hour period, I as the practitioner I have seven days (NOS 12, 13) (CoPP 4.1, 4.2, 4.3)</w:t>
            </w:r>
            <w:sdt>
              <w:sdtPr>
                <w:rPr>
                  <w:rFonts w:asciiTheme="minorHAnsi" w:hAnsiTheme="minorHAnsi" w:cstheme="minorHAnsi"/>
                  <w:sz w:val="24"/>
                  <w:szCs w:val="24"/>
                </w:rPr>
                <w:id w:val="465086908"/>
                <w:citation/>
              </w:sdtPr>
              <w:sdtEndPr/>
              <w:sdtContent>
                <w:r w:rsidRPr="00663F81">
                  <w:rPr>
                    <w:rFonts w:asciiTheme="minorHAnsi" w:hAnsiTheme="minorHAnsi" w:cstheme="minorHAnsi"/>
                    <w:sz w:val="24"/>
                    <w:szCs w:val="24"/>
                  </w:rPr>
                  <w:fldChar w:fldCharType="begin"/>
                </w:r>
                <w:r w:rsidRPr="00663F81">
                  <w:rPr>
                    <w:rFonts w:asciiTheme="minorHAnsi" w:hAnsiTheme="minorHAnsi" w:cstheme="minorHAnsi"/>
                    <w:sz w:val="24"/>
                    <w:szCs w:val="24"/>
                  </w:rPr>
                  <w:instrText xml:space="preserve"> CITATION leg144 \l 2057 </w:instrText>
                </w:r>
                <w:r w:rsidRPr="00663F81">
                  <w:rPr>
                    <w:rFonts w:asciiTheme="minorHAnsi" w:hAnsiTheme="minorHAnsi" w:cstheme="minorHAnsi"/>
                    <w:sz w:val="24"/>
                    <w:szCs w:val="24"/>
                  </w:rPr>
                  <w:fldChar w:fldCharType="separate"/>
                </w:r>
                <w:r w:rsidRPr="00663F81">
                  <w:rPr>
                    <w:rFonts w:asciiTheme="minorHAnsi" w:hAnsiTheme="minorHAnsi" w:cstheme="minorHAnsi"/>
                    <w:noProof/>
                    <w:sz w:val="24"/>
                    <w:szCs w:val="24"/>
                  </w:rPr>
                  <w:t xml:space="preserve"> (legislation.Gov.Uk, 2014)</w:t>
                </w:r>
                <w:r w:rsidRPr="00663F81">
                  <w:rPr>
                    <w:rFonts w:asciiTheme="minorHAnsi" w:hAnsiTheme="minorHAnsi" w:cstheme="minorHAnsi"/>
                    <w:sz w:val="24"/>
                    <w:szCs w:val="24"/>
                  </w:rPr>
                  <w:fldChar w:fldCharType="end"/>
                </w:r>
              </w:sdtContent>
            </w:sdt>
            <w:r w:rsidRPr="00663F81">
              <w:rPr>
                <w:rFonts w:asciiTheme="minorHAnsi" w:hAnsiTheme="minorHAnsi" w:cstheme="minorHAnsi"/>
                <w:sz w:val="24"/>
                <w:szCs w:val="24"/>
              </w:rPr>
              <w:t>.</w:t>
            </w:r>
          </w:p>
          <w:p w14:paraId="23FE6E2D" w14:textId="77777777" w:rsidR="00663F81" w:rsidRPr="00663F81" w:rsidRDefault="00663F81" w:rsidP="00663F81">
            <w:pPr>
              <w:spacing w:line="360" w:lineRule="auto"/>
              <w:jc w:val="both"/>
              <w:rPr>
                <w:rFonts w:asciiTheme="minorHAnsi" w:hAnsiTheme="minorHAnsi" w:cstheme="minorHAnsi"/>
                <w:sz w:val="24"/>
                <w:szCs w:val="24"/>
              </w:rPr>
            </w:pPr>
          </w:p>
          <w:p w14:paraId="72D57BC0" w14:textId="0B595C00" w:rsidR="00663F81" w:rsidRPr="00663F81" w:rsidRDefault="00663F81" w:rsidP="00663F81">
            <w:pPr>
              <w:spacing w:line="360" w:lineRule="auto"/>
              <w:jc w:val="both"/>
              <w:rPr>
                <w:rFonts w:asciiTheme="minorHAnsi" w:hAnsiTheme="minorHAnsi" w:cstheme="minorHAnsi"/>
                <w:sz w:val="24"/>
                <w:szCs w:val="24"/>
              </w:rPr>
            </w:pPr>
            <w:r w:rsidRPr="00663F81">
              <w:rPr>
                <w:rFonts w:asciiTheme="minorHAnsi" w:hAnsiTheme="minorHAnsi" w:cstheme="minorHAnsi"/>
                <w:sz w:val="24"/>
                <w:szCs w:val="24"/>
              </w:rPr>
              <w:t xml:space="preserve">Wales have six regional Safeguarding Boards. The National Safeguarding Board was implemented under the SSWBWA (2014), they have three primary duties. 1: To provide and support and advice to safeguarding boards in Wales to ensure they are effective. 2: To Report on how adequate and effective the arrangements to safeguard children and adults are in Wales 3: Under (s.132 (2)) the board will make recommendations how the arrangements could be improved (NOS 3, 8) (CoPP 3.6) </w:t>
            </w:r>
            <w:sdt>
              <w:sdtPr>
                <w:rPr>
                  <w:rFonts w:asciiTheme="minorHAnsi" w:hAnsiTheme="minorHAnsi" w:cstheme="minorHAnsi"/>
                  <w:sz w:val="24"/>
                  <w:szCs w:val="24"/>
                </w:rPr>
                <w:id w:val="1456291305"/>
                <w:citation/>
              </w:sdtPr>
              <w:sdtEndPr/>
              <w:sdtContent>
                <w:r w:rsidRPr="00663F81">
                  <w:rPr>
                    <w:rFonts w:asciiTheme="minorHAnsi" w:hAnsiTheme="minorHAnsi" w:cstheme="minorHAnsi"/>
                    <w:sz w:val="24"/>
                    <w:szCs w:val="24"/>
                  </w:rPr>
                  <w:fldChar w:fldCharType="begin"/>
                </w:r>
                <w:r w:rsidRPr="00663F81">
                  <w:rPr>
                    <w:rFonts w:asciiTheme="minorHAnsi" w:hAnsiTheme="minorHAnsi" w:cstheme="minorHAnsi"/>
                    <w:sz w:val="24"/>
                    <w:szCs w:val="24"/>
                  </w:rPr>
                  <w:instrText xml:space="preserve"> CITATION Saf23 \l 2057 </w:instrText>
                </w:r>
                <w:r w:rsidRPr="00663F81">
                  <w:rPr>
                    <w:rFonts w:asciiTheme="minorHAnsi" w:hAnsiTheme="minorHAnsi" w:cstheme="minorHAnsi"/>
                    <w:sz w:val="24"/>
                    <w:szCs w:val="24"/>
                  </w:rPr>
                  <w:fldChar w:fldCharType="separate"/>
                </w:r>
                <w:r w:rsidRPr="00663F81">
                  <w:rPr>
                    <w:rFonts w:asciiTheme="minorHAnsi" w:hAnsiTheme="minorHAnsi" w:cstheme="minorHAnsi"/>
                    <w:noProof/>
                    <w:sz w:val="24"/>
                    <w:szCs w:val="24"/>
                  </w:rPr>
                  <w:t>(Safeguardingboard.Wales, 2023)</w:t>
                </w:r>
                <w:r w:rsidRPr="00663F81">
                  <w:rPr>
                    <w:rFonts w:asciiTheme="minorHAnsi" w:hAnsiTheme="minorHAnsi" w:cstheme="minorHAnsi"/>
                    <w:sz w:val="24"/>
                    <w:szCs w:val="24"/>
                  </w:rPr>
                  <w:fldChar w:fldCharType="end"/>
                </w:r>
              </w:sdtContent>
            </w:sdt>
            <w:r w:rsidRPr="00663F81">
              <w:rPr>
                <w:rFonts w:asciiTheme="minorHAnsi" w:hAnsiTheme="minorHAnsi" w:cstheme="minorHAnsi"/>
                <w:sz w:val="24"/>
                <w:szCs w:val="24"/>
              </w:rPr>
              <w:t>.</w:t>
            </w:r>
          </w:p>
          <w:p w14:paraId="02F978ED" w14:textId="77777777" w:rsidR="00663F81" w:rsidRPr="00663F81" w:rsidRDefault="00663F81" w:rsidP="00663F81">
            <w:pPr>
              <w:spacing w:line="360" w:lineRule="auto"/>
              <w:jc w:val="both"/>
              <w:rPr>
                <w:rFonts w:asciiTheme="minorHAnsi" w:hAnsiTheme="minorHAnsi" w:cstheme="minorHAnsi"/>
                <w:sz w:val="24"/>
                <w:szCs w:val="24"/>
              </w:rPr>
            </w:pPr>
          </w:p>
          <w:p w14:paraId="37A0DF76" w14:textId="77777777" w:rsidR="00663F81" w:rsidRPr="00663F81" w:rsidRDefault="00663F81" w:rsidP="00663F81">
            <w:pPr>
              <w:spacing w:line="360" w:lineRule="auto"/>
              <w:jc w:val="both"/>
              <w:rPr>
                <w:rFonts w:asciiTheme="minorHAnsi" w:hAnsiTheme="minorHAnsi" w:cstheme="minorHAnsi"/>
                <w:sz w:val="24"/>
                <w:szCs w:val="24"/>
              </w:rPr>
            </w:pPr>
            <w:r w:rsidRPr="00663F81">
              <w:rPr>
                <w:rFonts w:asciiTheme="minorHAnsi" w:hAnsiTheme="minorHAnsi" w:cstheme="minorHAnsi"/>
                <w:sz w:val="24"/>
                <w:szCs w:val="24"/>
              </w:rPr>
              <w:t>As part of my information gathering for my visit, I worked collaboratively with the care agency to enable me to check the allegations that they had recorded on the Adult at Risk form and submitted to the local authority were correctly recorded. This was to ensure that the information I would be speaking to Person 1 and Person 2 was factual as recorded by the care agency (NOS 7) (CoPP 3.6, 6.2).</w:t>
            </w:r>
          </w:p>
          <w:p w14:paraId="31A970A9" w14:textId="77777777" w:rsidR="00663F81" w:rsidRPr="00663F81" w:rsidRDefault="00663F81" w:rsidP="00663F81">
            <w:pPr>
              <w:spacing w:line="360" w:lineRule="auto"/>
              <w:jc w:val="both"/>
              <w:rPr>
                <w:rFonts w:asciiTheme="minorHAnsi" w:hAnsiTheme="minorHAnsi" w:cstheme="minorHAnsi"/>
                <w:sz w:val="24"/>
                <w:szCs w:val="24"/>
              </w:rPr>
            </w:pPr>
          </w:p>
          <w:p w14:paraId="4C53D61D" w14:textId="77777777" w:rsidR="00663F81" w:rsidRPr="00663F81" w:rsidRDefault="00663F81" w:rsidP="00663F81">
            <w:pPr>
              <w:spacing w:line="360" w:lineRule="auto"/>
              <w:jc w:val="both"/>
              <w:rPr>
                <w:rFonts w:asciiTheme="minorHAnsi" w:hAnsiTheme="minorHAnsi" w:cstheme="minorHAnsi"/>
                <w:sz w:val="24"/>
                <w:szCs w:val="24"/>
              </w:rPr>
            </w:pPr>
            <w:r w:rsidRPr="00663F81">
              <w:rPr>
                <w:rFonts w:asciiTheme="minorHAnsi" w:hAnsiTheme="minorHAnsi" w:cstheme="minorHAnsi"/>
                <w:sz w:val="24"/>
                <w:szCs w:val="24"/>
              </w:rPr>
              <w:t>The care agency was raising safeguarding concerns in regards to Person 1 who was receiving a Package of care; Person 1 was refusing care staff to undertake personal care, which was leading to Person 1’s skin breaking down which could then lead to infection in most extreme cases sepsis. Furthermore, person 1’s family member Person 2, who was being alleged to be abusive to the care staff attending the property and under the influence of alcohol, which resulted in them falling into care staff and falling into Person 1’s walking aid knocking it over. The care agency informed me, that they had raised these concerns with both person 1 and person 2 .However they had not been resolved (NOS 6, 14,15) (CoPP 4.1)</w:t>
            </w:r>
            <w:sdt>
              <w:sdtPr>
                <w:rPr>
                  <w:rFonts w:asciiTheme="minorHAnsi" w:hAnsiTheme="minorHAnsi" w:cstheme="minorHAnsi"/>
                  <w:sz w:val="24"/>
                  <w:szCs w:val="24"/>
                </w:rPr>
                <w:id w:val="-1537653333"/>
                <w:citation/>
              </w:sdtPr>
              <w:sdtEndPr/>
              <w:sdtContent>
                <w:r w:rsidRPr="00663F81">
                  <w:rPr>
                    <w:rFonts w:asciiTheme="minorHAnsi" w:hAnsiTheme="minorHAnsi" w:cstheme="minorHAnsi"/>
                    <w:sz w:val="24"/>
                    <w:szCs w:val="24"/>
                  </w:rPr>
                  <w:fldChar w:fldCharType="begin"/>
                </w:r>
                <w:r w:rsidRPr="00663F81">
                  <w:rPr>
                    <w:rFonts w:asciiTheme="minorHAnsi" w:hAnsiTheme="minorHAnsi" w:cstheme="minorHAnsi"/>
                    <w:sz w:val="24"/>
                    <w:szCs w:val="24"/>
                  </w:rPr>
                  <w:instrText xml:space="preserve"> CITATION Soc172 \l 2057 </w:instrText>
                </w:r>
                <w:r w:rsidRPr="00663F81">
                  <w:rPr>
                    <w:rFonts w:asciiTheme="minorHAnsi" w:hAnsiTheme="minorHAnsi" w:cstheme="minorHAnsi"/>
                    <w:sz w:val="24"/>
                    <w:szCs w:val="24"/>
                  </w:rPr>
                  <w:fldChar w:fldCharType="separate"/>
                </w:r>
                <w:r w:rsidRPr="00663F81">
                  <w:rPr>
                    <w:rFonts w:asciiTheme="minorHAnsi" w:hAnsiTheme="minorHAnsi" w:cstheme="minorHAnsi"/>
                    <w:noProof/>
                    <w:sz w:val="24"/>
                    <w:szCs w:val="24"/>
                  </w:rPr>
                  <w:t xml:space="preserve"> (Social Care Wales, 2017)</w:t>
                </w:r>
                <w:r w:rsidRPr="00663F81">
                  <w:rPr>
                    <w:rFonts w:asciiTheme="minorHAnsi" w:hAnsiTheme="minorHAnsi" w:cstheme="minorHAnsi"/>
                    <w:sz w:val="24"/>
                    <w:szCs w:val="24"/>
                  </w:rPr>
                  <w:fldChar w:fldCharType="end"/>
                </w:r>
              </w:sdtContent>
            </w:sdt>
            <w:r w:rsidRPr="00663F81">
              <w:rPr>
                <w:rFonts w:asciiTheme="minorHAnsi" w:hAnsiTheme="minorHAnsi" w:cstheme="minorHAnsi"/>
                <w:sz w:val="24"/>
                <w:szCs w:val="24"/>
              </w:rPr>
              <w:t>.</w:t>
            </w:r>
          </w:p>
          <w:p w14:paraId="474A04C1" w14:textId="77777777" w:rsidR="00663F81" w:rsidRPr="00663F81" w:rsidRDefault="00663F81" w:rsidP="00663F81">
            <w:pPr>
              <w:spacing w:line="360" w:lineRule="auto"/>
              <w:jc w:val="both"/>
              <w:rPr>
                <w:rFonts w:asciiTheme="minorHAnsi" w:hAnsiTheme="minorHAnsi" w:cstheme="minorHAnsi"/>
                <w:sz w:val="24"/>
                <w:szCs w:val="24"/>
              </w:rPr>
            </w:pPr>
          </w:p>
          <w:p w14:paraId="7DA5415E" w14:textId="77777777" w:rsidR="00663F81" w:rsidRPr="00663F81" w:rsidRDefault="00663F81" w:rsidP="00663F81">
            <w:pPr>
              <w:spacing w:line="360" w:lineRule="auto"/>
              <w:jc w:val="both"/>
              <w:rPr>
                <w:rFonts w:asciiTheme="minorHAnsi" w:hAnsiTheme="minorHAnsi" w:cstheme="minorHAnsi"/>
                <w:sz w:val="24"/>
                <w:szCs w:val="24"/>
              </w:rPr>
            </w:pPr>
            <w:r w:rsidRPr="00663F81">
              <w:rPr>
                <w:rFonts w:asciiTheme="minorHAnsi" w:hAnsiTheme="minorHAnsi" w:cstheme="minorHAnsi"/>
                <w:sz w:val="24"/>
                <w:szCs w:val="24"/>
              </w:rPr>
              <w:t xml:space="preserve">The Health and Safety at Work Act (1974) places a legal duty on an employer to ensure their staff are protected from work based violence. The Health and safety executives’ definition of work –related violence is: </w:t>
            </w:r>
          </w:p>
          <w:p w14:paraId="47C9AA82" w14:textId="77777777" w:rsidR="00663F81" w:rsidRPr="00663F81" w:rsidRDefault="00663F81" w:rsidP="00663F81">
            <w:pPr>
              <w:spacing w:line="360" w:lineRule="auto"/>
              <w:jc w:val="both"/>
              <w:rPr>
                <w:rFonts w:asciiTheme="minorHAnsi" w:hAnsiTheme="minorHAnsi" w:cstheme="minorHAnsi"/>
                <w:sz w:val="24"/>
                <w:szCs w:val="24"/>
              </w:rPr>
            </w:pPr>
            <w:r w:rsidRPr="00663F81">
              <w:rPr>
                <w:rFonts w:asciiTheme="minorHAnsi" w:hAnsiTheme="minorHAnsi" w:cstheme="minorHAnsi"/>
                <w:sz w:val="24"/>
                <w:szCs w:val="24"/>
              </w:rPr>
              <w:t xml:space="preserve">‘Any incident in which a person is abused, threatened or assaulted in circumstances relating to their work’ </w:t>
            </w:r>
            <w:sdt>
              <w:sdtPr>
                <w:rPr>
                  <w:rFonts w:asciiTheme="minorHAnsi" w:hAnsiTheme="minorHAnsi" w:cstheme="minorHAnsi"/>
                  <w:sz w:val="24"/>
                  <w:szCs w:val="24"/>
                </w:rPr>
                <w:id w:val="-1476143505"/>
                <w:citation/>
              </w:sdtPr>
              <w:sdtEndPr/>
              <w:sdtContent>
                <w:r w:rsidRPr="00663F81">
                  <w:rPr>
                    <w:rFonts w:asciiTheme="minorHAnsi" w:hAnsiTheme="minorHAnsi" w:cstheme="minorHAnsi"/>
                    <w:sz w:val="24"/>
                    <w:szCs w:val="24"/>
                  </w:rPr>
                  <w:fldChar w:fldCharType="begin"/>
                </w:r>
                <w:r w:rsidRPr="00663F81">
                  <w:rPr>
                    <w:rFonts w:asciiTheme="minorHAnsi" w:hAnsiTheme="minorHAnsi" w:cstheme="minorHAnsi"/>
                    <w:sz w:val="24"/>
                    <w:szCs w:val="24"/>
                  </w:rPr>
                  <w:instrText xml:space="preserve"> CITATION Hea23 \l 2057 </w:instrText>
                </w:r>
                <w:r w:rsidRPr="00663F81">
                  <w:rPr>
                    <w:rFonts w:asciiTheme="minorHAnsi" w:hAnsiTheme="minorHAnsi" w:cstheme="minorHAnsi"/>
                    <w:sz w:val="24"/>
                    <w:szCs w:val="24"/>
                  </w:rPr>
                  <w:fldChar w:fldCharType="separate"/>
                </w:r>
                <w:r w:rsidRPr="00663F81">
                  <w:rPr>
                    <w:rFonts w:asciiTheme="minorHAnsi" w:hAnsiTheme="minorHAnsi" w:cstheme="minorHAnsi"/>
                    <w:noProof/>
                    <w:sz w:val="24"/>
                    <w:szCs w:val="24"/>
                  </w:rPr>
                  <w:t>(Health and Safety Executive, 2023)</w:t>
                </w:r>
                <w:r w:rsidRPr="00663F81">
                  <w:rPr>
                    <w:rFonts w:asciiTheme="minorHAnsi" w:hAnsiTheme="minorHAnsi" w:cstheme="minorHAnsi"/>
                    <w:sz w:val="24"/>
                    <w:szCs w:val="24"/>
                  </w:rPr>
                  <w:fldChar w:fldCharType="end"/>
                </w:r>
              </w:sdtContent>
            </w:sdt>
            <w:r w:rsidRPr="00663F81">
              <w:rPr>
                <w:rFonts w:asciiTheme="minorHAnsi" w:hAnsiTheme="minorHAnsi" w:cstheme="minorHAnsi"/>
                <w:sz w:val="24"/>
                <w:szCs w:val="24"/>
              </w:rPr>
              <w:t>.</w:t>
            </w:r>
          </w:p>
          <w:p w14:paraId="1E9F24B4" w14:textId="77777777" w:rsidR="00663F81" w:rsidRPr="00663F81" w:rsidRDefault="00663F81" w:rsidP="00663F81">
            <w:pPr>
              <w:spacing w:line="360" w:lineRule="auto"/>
              <w:jc w:val="both"/>
              <w:rPr>
                <w:rFonts w:asciiTheme="minorHAnsi" w:hAnsiTheme="minorHAnsi" w:cstheme="minorHAnsi"/>
                <w:sz w:val="24"/>
                <w:szCs w:val="24"/>
              </w:rPr>
            </w:pPr>
          </w:p>
          <w:p w14:paraId="5A4FE14F" w14:textId="245EFC21" w:rsidR="00663F81" w:rsidRPr="00663F81" w:rsidRDefault="00663F81" w:rsidP="00663F81">
            <w:pPr>
              <w:spacing w:line="360" w:lineRule="auto"/>
              <w:jc w:val="both"/>
              <w:rPr>
                <w:rFonts w:asciiTheme="minorHAnsi" w:hAnsiTheme="minorHAnsi" w:cstheme="minorHAnsi"/>
                <w:sz w:val="24"/>
                <w:szCs w:val="24"/>
              </w:rPr>
            </w:pPr>
            <w:r w:rsidRPr="00663F81">
              <w:rPr>
                <w:rFonts w:asciiTheme="minorHAnsi" w:hAnsiTheme="minorHAnsi" w:cstheme="minorHAnsi"/>
                <w:sz w:val="24"/>
                <w:szCs w:val="24"/>
              </w:rPr>
              <w:t>The care agency were advising they would withdraw care if these concerns were not resolved.  I reflected that due to person 1 living in a rural part of Wales, there might be difficulty in sourcing a new care agency if the care agency would hand in notice. Stats Wales 2018/2019 reported that 125,415 people in Wales over the age of 65 were in receipt of services from Local Authorities in Wales</w:t>
            </w:r>
            <w:sdt>
              <w:sdtPr>
                <w:rPr>
                  <w:rFonts w:asciiTheme="minorHAnsi" w:hAnsiTheme="minorHAnsi" w:cstheme="minorHAnsi"/>
                  <w:sz w:val="24"/>
                  <w:szCs w:val="24"/>
                </w:rPr>
                <w:id w:val="-1805851708"/>
                <w:citation/>
              </w:sdtPr>
              <w:sdtEndPr/>
              <w:sdtContent>
                <w:r w:rsidRPr="00663F81">
                  <w:rPr>
                    <w:rFonts w:asciiTheme="minorHAnsi" w:hAnsiTheme="minorHAnsi" w:cstheme="minorHAnsi"/>
                    <w:sz w:val="24"/>
                    <w:szCs w:val="24"/>
                  </w:rPr>
                  <w:fldChar w:fldCharType="begin"/>
                </w:r>
                <w:r w:rsidRPr="00663F81">
                  <w:rPr>
                    <w:rFonts w:asciiTheme="minorHAnsi" w:hAnsiTheme="minorHAnsi" w:cstheme="minorHAnsi"/>
                    <w:sz w:val="24"/>
                    <w:szCs w:val="24"/>
                  </w:rPr>
                  <w:instrText xml:space="preserve"> CITATION Wel191 \l 2057 </w:instrText>
                </w:r>
                <w:r w:rsidRPr="00663F81">
                  <w:rPr>
                    <w:rFonts w:asciiTheme="minorHAnsi" w:hAnsiTheme="minorHAnsi" w:cstheme="minorHAnsi"/>
                    <w:sz w:val="24"/>
                    <w:szCs w:val="24"/>
                  </w:rPr>
                  <w:fldChar w:fldCharType="separate"/>
                </w:r>
                <w:r w:rsidRPr="00663F81">
                  <w:rPr>
                    <w:rFonts w:asciiTheme="minorHAnsi" w:hAnsiTheme="minorHAnsi" w:cstheme="minorHAnsi"/>
                    <w:noProof/>
                    <w:sz w:val="24"/>
                    <w:szCs w:val="24"/>
                  </w:rPr>
                  <w:t xml:space="preserve"> (Welsh Government, 2019)</w:t>
                </w:r>
                <w:r w:rsidRPr="00663F81">
                  <w:rPr>
                    <w:rFonts w:asciiTheme="minorHAnsi" w:hAnsiTheme="minorHAnsi" w:cstheme="minorHAnsi"/>
                    <w:sz w:val="24"/>
                    <w:szCs w:val="24"/>
                  </w:rPr>
                  <w:fldChar w:fldCharType="end"/>
                </w:r>
              </w:sdtContent>
            </w:sdt>
            <w:r w:rsidRPr="00663F81">
              <w:rPr>
                <w:rFonts w:asciiTheme="minorHAnsi" w:hAnsiTheme="minorHAnsi" w:cstheme="minorHAnsi"/>
                <w:sz w:val="24"/>
                <w:szCs w:val="24"/>
              </w:rPr>
              <w:t>. In a 2022 report titled Social care workforce crisis in Wales, it was reported there was a hundred and twenty four percent increase in the vacancy rate for social care workers between 2019 and 2021</w:t>
            </w:r>
            <w:sdt>
              <w:sdtPr>
                <w:rPr>
                  <w:rFonts w:asciiTheme="minorHAnsi" w:hAnsiTheme="minorHAnsi" w:cstheme="minorHAnsi"/>
                  <w:sz w:val="24"/>
                  <w:szCs w:val="24"/>
                </w:rPr>
                <w:id w:val="-1174403054"/>
                <w:citation/>
              </w:sdtPr>
              <w:sdtEndPr/>
              <w:sdtContent>
                <w:r w:rsidRPr="00663F81">
                  <w:rPr>
                    <w:rFonts w:asciiTheme="minorHAnsi" w:hAnsiTheme="minorHAnsi" w:cstheme="minorHAnsi"/>
                    <w:sz w:val="24"/>
                    <w:szCs w:val="24"/>
                  </w:rPr>
                  <w:fldChar w:fldCharType="begin"/>
                </w:r>
                <w:r w:rsidRPr="00663F81">
                  <w:rPr>
                    <w:rFonts w:asciiTheme="minorHAnsi" w:hAnsiTheme="minorHAnsi" w:cstheme="minorHAnsi"/>
                    <w:sz w:val="24"/>
                    <w:szCs w:val="24"/>
                  </w:rPr>
                  <w:instrText xml:space="preserve"> CITATION Wal22 \l 2057 </w:instrText>
                </w:r>
                <w:r w:rsidRPr="00663F81">
                  <w:rPr>
                    <w:rFonts w:asciiTheme="minorHAnsi" w:hAnsiTheme="minorHAnsi" w:cstheme="minorHAnsi"/>
                    <w:sz w:val="24"/>
                    <w:szCs w:val="24"/>
                  </w:rPr>
                  <w:fldChar w:fldCharType="separate"/>
                </w:r>
                <w:r w:rsidRPr="00663F81">
                  <w:rPr>
                    <w:rFonts w:asciiTheme="minorHAnsi" w:hAnsiTheme="minorHAnsi" w:cstheme="minorHAnsi"/>
                    <w:noProof/>
                    <w:sz w:val="24"/>
                    <w:szCs w:val="24"/>
                  </w:rPr>
                  <w:t xml:space="preserve"> (Wales Centre for Public Policy, 2022)</w:t>
                </w:r>
                <w:r w:rsidRPr="00663F81">
                  <w:rPr>
                    <w:rFonts w:asciiTheme="minorHAnsi" w:hAnsiTheme="minorHAnsi" w:cstheme="minorHAnsi"/>
                    <w:sz w:val="24"/>
                    <w:szCs w:val="24"/>
                  </w:rPr>
                  <w:fldChar w:fldCharType="end"/>
                </w:r>
              </w:sdtContent>
            </w:sdt>
            <w:r w:rsidRPr="00663F81">
              <w:rPr>
                <w:rFonts w:asciiTheme="minorHAnsi" w:hAnsiTheme="minorHAnsi" w:cstheme="minorHAnsi"/>
                <w:sz w:val="24"/>
                <w:szCs w:val="24"/>
              </w:rPr>
              <w:t>.Therefore, there is a crisis in being able to provide packages of care within Wales (NOS 14) (CoPP 3.9).</w:t>
            </w:r>
          </w:p>
          <w:p w14:paraId="45837E52" w14:textId="77777777" w:rsidR="00663F81" w:rsidRPr="00663F81" w:rsidRDefault="00663F81" w:rsidP="00663F81">
            <w:pPr>
              <w:spacing w:line="360" w:lineRule="auto"/>
              <w:jc w:val="both"/>
              <w:rPr>
                <w:rFonts w:asciiTheme="minorHAnsi" w:hAnsiTheme="minorHAnsi" w:cstheme="minorHAnsi"/>
                <w:sz w:val="24"/>
                <w:szCs w:val="24"/>
              </w:rPr>
            </w:pPr>
          </w:p>
          <w:p w14:paraId="6091FBD6"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u w:val="single"/>
              </w:rPr>
            </w:pPr>
            <w:r w:rsidRPr="00663F81">
              <w:rPr>
                <w:rFonts w:asciiTheme="minorHAnsi" w:hAnsiTheme="minorHAnsi" w:cstheme="minorHAnsi"/>
                <w:u w:val="single"/>
              </w:rPr>
              <w:t>SO WHAT</w:t>
            </w:r>
          </w:p>
          <w:p w14:paraId="5B7717BC"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rPr>
              <w:t>On my visit, I made the ‘Active Offer’ asking Person 1 and Person 2 if they would like the visit to be conversed in Welsh. This in line with the Welsh Language Measure (2011). In the Welsh Language, Wales: Census 2021 it was</w:t>
            </w:r>
            <w:r w:rsidRPr="00663F81">
              <w:rPr>
                <w:rFonts w:asciiTheme="minorHAnsi" w:hAnsiTheme="minorHAnsi" w:cstheme="minorHAnsi"/>
                <w:color w:val="323132"/>
                <w:shd w:val="clear" w:color="auto" w:fill="FFFFFF"/>
              </w:rPr>
              <w:t xml:space="preserve"> </w:t>
            </w:r>
            <w:r w:rsidRPr="00663F81">
              <w:rPr>
                <w:rFonts w:asciiTheme="minorHAnsi" w:hAnsiTheme="minorHAnsi" w:cstheme="minorHAnsi"/>
                <w:shd w:val="clear" w:color="auto" w:fill="FFFFFF"/>
              </w:rPr>
              <w:t xml:space="preserve">reported, “An estimated 538,000 usual residents in Wales aged three years and over (17.8%) reported being able to speak Welsh” </w:t>
            </w:r>
            <w:sdt>
              <w:sdtPr>
                <w:rPr>
                  <w:rFonts w:asciiTheme="minorHAnsi" w:hAnsiTheme="minorHAnsi" w:cstheme="minorHAnsi"/>
                  <w:shd w:val="clear" w:color="auto" w:fill="FFFFFF"/>
                </w:rPr>
                <w:id w:val="-2112271617"/>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Wel22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(Welsh Government, 2022)</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 (NOS 9) (CoPP 1.1, 1.2, 1.3, 1.4).</w:t>
            </w:r>
          </w:p>
          <w:p w14:paraId="02D65CB8"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74AFB504" w14:textId="5D41D602"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t>This was declined even though both Person 1 and Person 2 first language was Welsh. I could not help feeling this could have been due to the fact I had asked the question in English, therefore both Person 1 and 2 were then aware I did not speak Welsh. I reflected in action</w:t>
            </w:r>
            <w:sdt>
              <w:sdtPr>
                <w:rPr>
                  <w:rFonts w:asciiTheme="minorHAnsi" w:hAnsiTheme="minorHAnsi" w:cstheme="minorHAnsi"/>
                  <w:shd w:val="clear" w:color="auto" w:fill="FFFFFF"/>
                </w:rPr>
                <w:id w:val="-1749646692"/>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Sch91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 xml:space="preserve"> (Schon, 1991)</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 xml:space="preserve"> how speaking in a second language could have an impact on both Person 1 and 2 emotional reaction to the concerns being made by the care agency. According to Barjta &amp; Dylman (2018, p 1284-1290) research titled ‘when your heart is in your mouth: the effect of second language use on negative emotions (2018). It was evidenced that when experiencing questions that would cause distress in the individuals first language, the emotional reaction was increased in comparison to receiving these questions in their second language causing a decreased emotional reaction. It would therefore imply that receiving distressful information in a second, language would result in diminished emotive response, (NOS 10) (CoPP 1.5).</w:t>
            </w:r>
          </w:p>
          <w:p w14:paraId="13C040CF"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lastRenderedPageBreak/>
              <w:t>Person 1 had been assessed under the SSWWBA (2014) part 3 (s19) has being in need of care and support</w:t>
            </w:r>
            <w:sdt>
              <w:sdtPr>
                <w:rPr>
                  <w:rFonts w:asciiTheme="minorHAnsi" w:hAnsiTheme="minorHAnsi" w:cstheme="minorHAnsi"/>
                  <w:shd w:val="clear" w:color="auto" w:fill="FFFFFF"/>
                </w:rPr>
                <w:id w:val="-363906179"/>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leg144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 xml:space="preserve"> (legislation.Gov.Uk, 2014)</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 xml:space="preserve">. Person 1 had been in receipt of a package of care for three care calls a day to provide with support with transfers from their armchair to the bathroom to undertake personal care. Person 1 was also receiving support with food preparation. Person 1 had various medical conditions that limited them to be able to mobilise independently with the use of aids. The National Council of Ageing (2021) states that eighty percent of adults over the age of sixty-five have at least one chronic condition while sixty-eight percent having two or more </w:t>
            </w:r>
            <w:sdt>
              <w:sdtPr>
                <w:rPr>
                  <w:rFonts w:asciiTheme="minorHAnsi" w:hAnsiTheme="minorHAnsi" w:cstheme="minorHAnsi"/>
                  <w:shd w:val="clear" w:color="auto" w:fill="FFFFFF"/>
                </w:rPr>
                <w:id w:val="-1639871181"/>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Nat21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(National Council on Ageing, 2021)</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,(NOS 14) (CoPP 1.1,3.1).</w:t>
            </w:r>
          </w:p>
          <w:p w14:paraId="51831466"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2CB266AC" w14:textId="777BF33D"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t>I started to explain the reason for my visit to Person 1 whom at this time was the sole person at the property. I asked Person 1 about the care and support they was receiving from the care agency. Person 1 said “they were very happy with the carers they are all lovely”. I then spoke about the concerns the care agency had about person 1 skin integrity, if there was any barriers that was stopping person 1 have the care they needed. Person 1 said they felt tired some days and could not transfer to wash. Person 1 said,” On occasions I’m too tired but these are very rare”. This was confirmed in the recordings made by care staff at the home (NOS 3, 9) (CoPP 2.1, 2.2)</w:t>
            </w:r>
            <w:sdt>
              <w:sdtPr>
                <w:rPr>
                  <w:rFonts w:asciiTheme="minorHAnsi" w:hAnsiTheme="minorHAnsi" w:cstheme="minorHAnsi"/>
                  <w:shd w:val="clear" w:color="auto" w:fill="FFFFFF"/>
                </w:rPr>
                <w:id w:val="-467898398"/>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leg144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 xml:space="preserve"> (legislation.Gov.Uk, 2014)</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w:t>
            </w:r>
          </w:p>
          <w:p w14:paraId="53199140"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16E62A01" w14:textId="24BB458F"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t>When I explained the allegations of the care agency about person, 2 shouting at care staff and being verbally aggressive to the care staff. Person 1 said, “Person 2 helps the care staff to transfer me. Person 2 is only in the room when the care staff ask Person 2 to help”. Person 1 then told me about an instance when the care staff had asked Person 1 to hold on to handrails in the bathroom to stand. Person 1 has severe arthritis in their hands so found this very painful. Person 1 said, “I started shouting for Person 2 as the care staff would not listen to me and I was in Pain. Person 1 then said” Person 2 entered and asked care staff to leave as they had upset Person 1” Person 1 told me that they would not know what they would do without the support of Person 2 stating ”they are my world” (NOS 5,13) (CoPP 3.1).</w:t>
            </w:r>
          </w:p>
          <w:p w14:paraId="16E63578"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189DEC8D"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lastRenderedPageBreak/>
              <w:t>The National Outcomes Framework in line with Part 2 (S, 8) of the SSWBWA (2014) that measures the wellbeing of individuals who are in receipt of care and support. The Local Authority Outcomes Training ensures that the individual’s outcomes are enshrined in their assessment. I reflected how Person 1 outcome of how important the relationship with Person 2 was in regards to both their physical and emotional wellbeing (NOS 19) (CoPP 1.1, 1.2, 1.3)</w:t>
            </w:r>
            <w:sdt>
              <w:sdtPr>
                <w:rPr>
                  <w:rFonts w:asciiTheme="minorHAnsi" w:hAnsiTheme="minorHAnsi" w:cstheme="minorHAnsi"/>
                  <w:shd w:val="clear" w:color="auto" w:fill="FFFFFF"/>
                </w:rPr>
                <w:id w:val="-197936546"/>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leg144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 xml:space="preserve"> (legislation.Gov.Uk, 2014)</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w:t>
            </w:r>
          </w:p>
          <w:p w14:paraId="7D889A49"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t>I then asked Person 1 about the allegation of Person 2 being under the influence of alcohol and falling into person 1 and care staff. Person 1 said, “Yes person 2 does have a drink; but this is their home they are allowed to.  The HRA (1998) Article (8) protects a person’s right to a private and family life</w:t>
            </w:r>
            <w:sdt>
              <w:sdtPr>
                <w:rPr>
                  <w:rFonts w:asciiTheme="minorHAnsi" w:hAnsiTheme="minorHAnsi" w:cstheme="minorHAnsi"/>
                  <w:shd w:val="clear" w:color="auto" w:fill="FFFFFF"/>
                </w:rPr>
                <w:id w:val="-1146436509"/>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leg98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 xml:space="preserve"> (legislation.Gov.UK, 1998)</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 Again, Person 1 said that Person 2 was not in the room when Person 1 has their care delivered by care staff. Person 1 said, “Person 2 has never fallen into me and would only ever help me”. Informal caregivers can suffer what is termed as Caregiver stress. Research has suggested there is a correlation between caregiver strain and substance use. Tan et al J Clin Nurs (2012) (NOS 12) (CoPP 3.1, 3.3).</w:t>
            </w:r>
          </w:p>
          <w:p w14:paraId="7C93E424"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50A44292"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t xml:space="preserve">The SWWBWA (2014) P3 (s24) states the local authority has a duty to assess the needs of a carer for support. The SWWBWA (2014) defines a carer as someone who provides unpaid care to an adult or disabled child </w:t>
            </w:r>
            <w:sdt>
              <w:sdtPr>
                <w:rPr>
                  <w:rFonts w:asciiTheme="minorHAnsi" w:hAnsiTheme="minorHAnsi" w:cstheme="minorHAnsi"/>
                  <w:shd w:val="clear" w:color="auto" w:fill="FFFFFF"/>
                </w:rPr>
                <w:id w:val="1963683673"/>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leg144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(legislation.Gov.Uk, 2014)</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 The Welsh Government state; there are more than 370,000 unpaid carers providing care worth around £8.1 billion to the Welsh economy each year</w:t>
            </w:r>
            <w:sdt>
              <w:sdtPr>
                <w:rPr>
                  <w:rFonts w:asciiTheme="minorHAnsi" w:hAnsiTheme="minorHAnsi" w:cstheme="minorHAnsi"/>
                  <w:shd w:val="clear" w:color="auto" w:fill="FFFFFF"/>
                </w:rPr>
                <w:id w:val="1170685695"/>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Wel201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 xml:space="preserve"> (Welsh Government, 2020)</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w:t>
            </w:r>
          </w:p>
          <w:p w14:paraId="489AC0DE"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t xml:space="preserve">Systems Theory would make the claim no person is an island. Bronfenbrenner’s Ecological Model (1979) explained this further by explaining within an individual’s life there are five levels of system. These are Micros I.E family or community settings- Meso- I.E how family link with others-Exo I.E how other systems have an impact on the family, I.E their community or work- Macro I.E cultural and societal ,finally Chrono- I.EM the impact of these systems has individual ages. It can therefore be the assumption that if one or more levels conflict with each other within a person’s system, then this change the equilibrium for that individual </w:t>
            </w:r>
            <w:sdt>
              <w:sdtPr>
                <w:rPr>
                  <w:rFonts w:asciiTheme="minorHAnsi" w:hAnsiTheme="minorHAnsi" w:cstheme="minorHAnsi"/>
                  <w:shd w:val="clear" w:color="auto" w:fill="FFFFFF"/>
                </w:rPr>
                <w:id w:val="-219370995"/>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sim20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(simply psychology, 2020)</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,(NOS 5) (CoPP 1.5).</w:t>
            </w:r>
          </w:p>
          <w:p w14:paraId="73E5D8B7"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t xml:space="preserve">Person 2 then arrived at the property; I introduced myself and the reason for my visit. I explained that it was my duty to speak with both Person 1 and Person 2 about the information we had received from </w:t>
            </w:r>
            <w:r w:rsidRPr="00663F81">
              <w:rPr>
                <w:rFonts w:asciiTheme="minorHAnsi" w:hAnsiTheme="minorHAnsi" w:cstheme="minorHAnsi"/>
                <w:shd w:val="clear" w:color="auto" w:fill="FFFFFF"/>
              </w:rPr>
              <w:lastRenderedPageBreak/>
              <w:t xml:space="preserve">the care agency. Person 2 strongly denied the allegations from the care agency, relaying the same information that person 1 had previously told to myself. Person 2 became visibly agitated, raising their voice, I reflected on the power imbalance at this moment.  I was a Social Worker an agent of the state, who represented the local Authority. The Local Authority who in turn commissioned the care agency who was providing care to person 1. The British Association of Social Workers (2012) (BASW) code of ethics (2.3, 4) States: Social Workers should be aware of the impact their presence can have on people who use Social Work Services and their relationship with others </w:t>
            </w:r>
            <w:sdt>
              <w:sdtPr>
                <w:rPr>
                  <w:rFonts w:asciiTheme="minorHAnsi" w:hAnsiTheme="minorHAnsi" w:cstheme="minorHAnsi"/>
                  <w:shd w:val="clear" w:color="auto" w:fill="FFFFFF"/>
                </w:rPr>
                <w:id w:val="698665294"/>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Bri12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(British Association of Social Workers, 2012)</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,(NOS 3,5) (CoPP  3.4).</w:t>
            </w:r>
          </w:p>
          <w:p w14:paraId="53B7DD0A"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4FA7AC83"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t>Person 2 then said, “I want to make a complaint about the care staff for shouting and slamming the front door when leaving” I asked person 2 if they wished to submit their complaint in writing or email. Person 2 said they wished to submit it by writing, I then explained I would ask for a complaints form to be posted to the home address. I noticed a change in Person 2’s demeanour after this, I reflected on the fact I offered the complaints procedure, may have resulted in person 2 feeling, I was not in any way protecting the care agency (NOS 10) (CoPP 3.2, 3.5).</w:t>
            </w:r>
          </w:p>
          <w:p w14:paraId="6E91FC4C"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7188E039" w14:textId="255F6914"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t xml:space="preserve">At this point, a care worker arrived to complete a care call with person 1. I introduced myself as a Social Worker, at which point person 2 said ”This girl is accusing me of being drunk and verbally aggressive to you and the other carers” Person 1 then told person 2 not to speak about me in that way and said my name to the carer. The carer then said ”person 2 was never present when carers were delivering care to Person 1 and also said that care staff had called person 2 from upstairs to support with transferring person 1 on occasions as they were not allowed to lift. I again explained that I was there to work with both person 1, 2, and the care agency to find a resolution. Cited in Dalrymple and Boylan (2013) Advocacy has been described as “being at the heart of Social Work” </w:t>
            </w:r>
            <w:sdt>
              <w:sdtPr>
                <w:rPr>
                  <w:rFonts w:asciiTheme="minorHAnsi" w:hAnsiTheme="minorHAnsi" w:cstheme="minorHAnsi"/>
                  <w:shd w:val="clear" w:color="auto" w:fill="FFFFFF"/>
                </w:rPr>
                <w:id w:val="-1294367575"/>
                <w:citation/>
              </w:sdtPr>
              <w:sdtEndPr/>
              <w:sdtContent>
                <w:r w:rsidRPr="00663F81">
                  <w:rPr>
                    <w:rFonts w:asciiTheme="minorHAnsi" w:hAnsiTheme="minorHAnsi" w:cstheme="minorHAnsi"/>
                    <w:shd w:val="clear" w:color="auto" w:fill="FFFFFF"/>
                  </w:rPr>
                  <w:fldChar w:fldCharType="begin"/>
                </w:r>
                <w:r w:rsidRPr="00663F81">
                  <w:rPr>
                    <w:rFonts w:asciiTheme="minorHAnsi" w:hAnsiTheme="minorHAnsi" w:cstheme="minorHAnsi"/>
                    <w:shd w:val="clear" w:color="auto" w:fill="FFFFFF"/>
                  </w:rPr>
                  <w:instrText xml:space="preserve"> CITATION JBo13 \l 2057 </w:instrText>
                </w:r>
                <w:r w:rsidRPr="00663F81">
                  <w:rPr>
                    <w:rFonts w:asciiTheme="minorHAnsi" w:hAnsiTheme="minorHAnsi" w:cstheme="minorHAnsi"/>
                    <w:shd w:val="clear" w:color="auto" w:fill="FFFFFF"/>
                  </w:rPr>
                  <w:fldChar w:fldCharType="separate"/>
                </w:r>
                <w:r w:rsidRPr="00663F81">
                  <w:rPr>
                    <w:rFonts w:asciiTheme="minorHAnsi" w:hAnsiTheme="minorHAnsi" w:cstheme="minorHAnsi"/>
                    <w:noProof/>
                    <w:shd w:val="clear" w:color="auto" w:fill="FFFFFF"/>
                  </w:rPr>
                  <w:t>(J,Boylan J,Dalrymple, 2013)</w:t>
                </w:r>
                <w:r w:rsidRPr="00663F81">
                  <w:rPr>
                    <w:rFonts w:asciiTheme="minorHAnsi" w:hAnsiTheme="minorHAnsi" w:cstheme="minorHAnsi"/>
                    <w:shd w:val="clear" w:color="auto" w:fill="FFFFFF"/>
                  </w:rPr>
                  <w:fldChar w:fldCharType="end"/>
                </w:r>
              </w:sdtContent>
            </w:sdt>
            <w:r w:rsidRPr="00663F81">
              <w:rPr>
                <w:rFonts w:asciiTheme="minorHAnsi" w:hAnsiTheme="minorHAnsi" w:cstheme="minorHAnsi"/>
                <w:shd w:val="clear" w:color="auto" w:fill="FFFFFF"/>
              </w:rPr>
              <w:t>, (NOS 6) (CoPP 2.1).</w:t>
            </w:r>
          </w:p>
          <w:p w14:paraId="2B0EEB36"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76623DDF"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bCs/>
                <w:kern w:val="36"/>
              </w:rPr>
            </w:pPr>
            <w:r w:rsidRPr="00663F81">
              <w:rPr>
                <w:rFonts w:asciiTheme="minorHAnsi" w:hAnsiTheme="minorHAnsi" w:cstheme="minorHAnsi"/>
                <w:shd w:val="clear" w:color="auto" w:fill="FFFFFF"/>
              </w:rPr>
              <w:lastRenderedPageBreak/>
              <w:t xml:space="preserve">I discussed with Person 1 about a contingency plan if the care agency was to serve twenty-eight day notice. Extended care is a provision provided, when an individual’s care and support needs are unable to be met in the community. The extended care placement is within either a residential home or nursing home dependent on the individuals care and support needs. Research in 2021 by Senedd Cymru Welsh parliament titled </w:t>
            </w:r>
            <w:r w:rsidRPr="00663F81">
              <w:rPr>
                <w:rFonts w:asciiTheme="minorHAnsi" w:hAnsiTheme="minorHAnsi" w:cstheme="minorHAnsi"/>
                <w:bCs/>
                <w:kern w:val="36"/>
              </w:rPr>
              <w:t xml:space="preserve">Social care: a system at breaking point?  Found care homes had struggled to maintain staffing levels due to the pressures of Covid and the need for staff to isolate. It got to the stage where some care homes would need to move residents into hospitals as a result on low staffing levels </w:t>
            </w:r>
            <w:sdt>
              <w:sdtPr>
                <w:rPr>
                  <w:rFonts w:asciiTheme="minorHAnsi" w:hAnsiTheme="minorHAnsi" w:cstheme="minorHAnsi"/>
                  <w:bCs/>
                  <w:kern w:val="36"/>
                </w:rPr>
                <w:id w:val="-228468126"/>
                <w:citation/>
              </w:sdtPr>
              <w:sdtEndPr/>
              <w:sdtContent>
                <w:r w:rsidRPr="00663F81">
                  <w:rPr>
                    <w:rFonts w:asciiTheme="minorHAnsi" w:hAnsiTheme="minorHAnsi" w:cstheme="minorHAnsi"/>
                    <w:bCs/>
                    <w:kern w:val="36"/>
                  </w:rPr>
                  <w:fldChar w:fldCharType="begin"/>
                </w:r>
                <w:r w:rsidRPr="00663F81">
                  <w:rPr>
                    <w:rFonts w:asciiTheme="minorHAnsi" w:hAnsiTheme="minorHAnsi" w:cstheme="minorHAnsi"/>
                    <w:bCs/>
                    <w:kern w:val="36"/>
                  </w:rPr>
                  <w:instrText xml:space="preserve"> CITATION Sen21 \l 2057 </w:instrText>
                </w:r>
                <w:r w:rsidRPr="00663F81">
                  <w:rPr>
                    <w:rFonts w:asciiTheme="minorHAnsi" w:hAnsiTheme="minorHAnsi" w:cstheme="minorHAnsi"/>
                    <w:bCs/>
                    <w:kern w:val="36"/>
                  </w:rPr>
                  <w:fldChar w:fldCharType="separate"/>
                </w:r>
                <w:r w:rsidRPr="00663F81">
                  <w:rPr>
                    <w:rFonts w:asciiTheme="minorHAnsi" w:hAnsiTheme="minorHAnsi" w:cstheme="minorHAnsi"/>
                    <w:noProof/>
                    <w:kern w:val="36"/>
                  </w:rPr>
                  <w:t>(Senedd Cymru, 2021)</w:t>
                </w:r>
                <w:r w:rsidRPr="00663F81">
                  <w:rPr>
                    <w:rFonts w:asciiTheme="minorHAnsi" w:hAnsiTheme="minorHAnsi" w:cstheme="minorHAnsi"/>
                    <w:bCs/>
                    <w:kern w:val="36"/>
                  </w:rPr>
                  <w:fldChar w:fldCharType="end"/>
                </w:r>
              </w:sdtContent>
            </w:sdt>
            <w:r w:rsidRPr="00663F81">
              <w:rPr>
                <w:rFonts w:asciiTheme="minorHAnsi" w:hAnsiTheme="minorHAnsi" w:cstheme="minorHAnsi"/>
                <w:bCs/>
                <w:kern w:val="36"/>
              </w:rPr>
              <w:t>,(NOS 14) (CoPP 2.1, 3.1, 3.3).</w:t>
            </w:r>
          </w:p>
          <w:p w14:paraId="31EC8A40"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5A808500" w14:textId="77777777" w:rsidR="00663F81" w:rsidRPr="00663F81" w:rsidRDefault="00663F81" w:rsidP="00663F81">
            <w:pPr>
              <w:pStyle w:val="Heading4"/>
              <w:shd w:val="clear" w:color="auto" w:fill="FFFFFF"/>
              <w:spacing w:before="0" w:after="120" w:line="360" w:lineRule="auto"/>
              <w:jc w:val="both"/>
              <w:rPr>
                <w:rFonts w:asciiTheme="minorHAnsi" w:hAnsiTheme="minorHAnsi" w:cstheme="minorHAnsi"/>
                <w:sz w:val="24"/>
                <w:szCs w:val="24"/>
              </w:rPr>
            </w:pPr>
            <w:r w:rsidRPr="00663F81">
              <w:rPr>
                <w:rFonts w:asciiTheme="minorHAnsi" w:hAnsiTheme="minorHAnsi" w:cstheme="minorHAnsi"/>
                <w:i w:val="0"/>
                <w:color w:val="auto"/>
                <w:sz w:val="24"/>
                <w:szCs w:val="24"/>
                <w:shd w:val="clear" w:color="auto" w:fill="FFFFFF"/>
              </w:rPr>
              <w:t>Person 2 asked how much this would cost, an extended care placement is charged at the non-residential rate the individual would pay for care in the community through a package of care. In Wales, this is charged at a maximum of £100.00 a week if the individual has savings or investments over £24,000</w:t>
            </w:r>
            <w:r w:rsidRPr="00663F81">
              <w:rPr>
                <w:rFonts w:asciiTheme="minorHAnsi" w:hAnsiTheme="minorHAnsi" w:cstheme="minorHAnsi"/>
                <w:sz w:val="24"/>
                <w:szCs w:val="24"/>
                <w:shd w:val="clear" w:color="auto" w:fill="FFFFFF"/>
              </w:rPr>
              <w:t>.</w:t>
            </w:r>
            <w:r w:rsidRPr="00663F81">
              <w:rPr>
                <w:rFonts w:asciiTheme="minorHAnsi" w:hAnsiTheme="minorHAnsi" w:cstheme="minorHAnsi"/>
                <w:i w:val="0"/>
                <w:color w:val="auto"/>
                <w:sz w:val="24"/>
                <w:szCs w:val="24"/>
                <w:shd w:val="clear" w:color="auto" w:fill="FFFFFF"/>
              </w:rPr>
              <w:t xml:space="preserve"> Under section 59(1) of the SSWBWA (2014) </w:t>
            </w:r>
            <w:r w:rsidRPr="00663F81">
              <w:rPr>
                <w:rFonts w:asciiTheme="minorHAnsi" w:eastAsia="Times New Roman" w:hAnsiTheme="minorHAnsi" w:cstheme="minorHAnsi"/>
                <w:bCs/>
                <w:i w:val="0"/>
                <w:iCs w:val="0"/>
                <w:color w:val="000000"/>
                <w:sz w:val="24"/>
                <w:szCs w:val="24"/>
              </w:rPr>
              <w:t>Power to impose charges:</w:t>
            </w:r>
          </w:p>
          <w:p w14:paraId="0F7B4358" w14:textId="13F8C815"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eastAsiaTheme="majorEastAsia" w:hAnsiTheme="minorHAnsi" w:cstheme="minorHAnsi"/>
                <w:sz w:val="24"/>
                <w:szCs w:val="24"/>
              </w:rPr>
            </w:pPr>
            <w:r w:rsidRPr="00663F81">
              <w:rPr>
                <w:rFonts w:asciiTheme="minorHAnsi" w:eastAsiaTheme="majorEastAsia" w:hAnsiTheme="minorHAnsi" w:cstheme="minorHAnsi"/>
                <w:sz w:val="24"/>
                <w:szCs w:val="24"/>
              </w:rPr>
              <w:t xml:space="preserve">A local authority may require a person to pay a charge to the authority for providing or arranging the provision of care and support or (in the case of a carer) support under sections 35 to 45 to meet a person's needs. Furthermore, under part 63 (2) places a duty on the local authority </w:t>
            </w:r>
            <w:r w:rsidRPr="00663F81">
              <w:rPr>
                <w:rFonts w:asciiTheme="minorHAnsi" w:hAnsiTheme="minorHAnsi" w:cstheme="minorHAnsi"/>
                <w:bCs/>
                <w:sz w:val="24"/>
                <w:szCs w:val="24"/>
              </w:rPr>
              <w:t>Duty to carry out a financial assessment stating:</w:t>
            </w:r>
            <w:r w:rsidRPr="00663F81">
              <w:rPr>
                <w:rFonts w:asciiTheme="minorHAnsi" w:eastAsiaTheme="majorEastAsia" w:hAnsiTheme="minorHAnsi" w:cstheme="minorHAnsi"/>
                <w:sz w:val="24"/>
                <w:szCs w:val="24"/>
              </w:rPr>
              <w:t xml:space="preserve">  </w:t>
            </w:r>
            <w:r w:rsidRPr="00663F81">
              <w:rPr>
                <w:rFonts w:asciiTheme="minorHAnsi" w:hAnsiTheme="minorHAnsi" w:cstheme="minorHAnsi"/>
                <w:sz w:val="24"/>
                <w:szCs w:val="24"/>
              </w:rPr>
              <w:t xml:space="preserve">The local authority must assess the level of the person's financial resources, in order to determine whether it would be reasonably practicable, for the person to pay the standard charge (but this is subject to section 65) </w:t>
            </w:r>
            <w:sdt>
              <w:sdtPr>
                <w:rPr>
                  <w:rFonts w:asciiTheme="minorHAnsi" w:hAnsiTheme="minorHAnsi" w:cstheme="minorHAnsi"/>
                  <w:sz w:val="24"/>
                  <w:szCs w:val="24"/>
                </w:rPr>
                <w:id w:val="1493528762"/>
                <w:citation/>
              </w:sdtPr>
              <w:sdtEndPr/>
              <w:sdtContent>
                <w:r w:rsidRPr="00663F81">
                  <w:rPr>
                    <w:rFonts w:asciiTheme="minorHAnsi" w:hAnsiTheme="minorHAnsi" w:cstheme="minorHAnsi"/>
                    <w:sz w:val="24"/>
                    <w:szCs w:val="24"/>
                  </w:rPr>
                  <w:fldChar w:fldCharType="begin"/>
                </w:r>
                <w:r w:rsidRPr="00663F81">
                  <w:rPr>
                    <w:rFonts w:asciiTheme="minorHAnsi" w:hAnsiTheme="minorHAnsi" w:cstheme="minorHAnsi"/>
                    <w:sz w:val="24"/>
                    <w:szCs w:val="24"/>
                  </w:rPr>
                  <w:instrText xml:space="preserve"> CITATION leg144 \l 2057 </w:instrText>
                </w:r>
                <w:r w:rsidRPr="00663F81">
                  <w:rPr>
                    <w:rFonts w:asciiTheme="minorHAnsi" w:hAnsiTheme="minorHAnsi" w:cstheme="minorHAnsi"/>
                    <w:sz w:val="24"/>
                    <w:szCs w:val="24"/>
                  </w:rPr>
                  <w:fldChar w:fldCharType="separate"/>
                </w:r>
                <w:r w:rsidRPr="00663F81">
                  <w:rPr>
                    <w:rFonts w:asciiTheme="minorHAnsi" w:hAnsiTheme="minorHAnsi" w:cstheme="minorHAnsi"/>
                    <w:noProof/>
                    <w:sz w:val="24"/>
                    <w:szCs w:val="24"/>
                  </w:rPr>
                  <w:t>(legislation.Gov.Uk, 2014)</w:t>
                </w:r>
                <w:r w:rsidRPr="00663F81">
                  <w:rPr>
                    <w:rFonts w:asciiTheme="minorHAnsi" w:hAnsiTheme="minorHAnsi" w:cstheme="minorHAnsi"/>
                    <w:sz w:val="24"/>
                    <w:szCs w:val="24"/>
                  </w:rPr>
                  <w:fldChar w:fldCharType="end"/>
                </w:r>
              </w:sdtContent>
            </w:sdt>
            <w:r w:rsidRPr="00663F81">
              <w:rPr>
                <w:rFonts w:asciiTheme="minorHAnsi" w:hAnsiTheme="minorHAnsi" w:cstheme="minorHAnsi"/>
                <w:sz w:val="24"/>
                <w:szCs w:val="24"/>
              </w:rPr>
              <w:t>, (NOS 10, 18) (CoPP 3.1).</w:t>
            </w:r>
          </w:p>
          <w:p w14:paraId="06D3417E"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sz w:val="24"/>
                <w:szCs w:val="24"/>
                <w:shd w:val="clear" w:color="auto" w:fill="FFFFFF"/>
              </w:rPr>
            </w:pPr>
          </w:p>
          <w:p w14:paraId="71842CED" w14:textId="472FFE9D"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sz w:val="24"/>
                <w:szCs w:val="24"/>
                <w:shd w:val="clear" w:color="auto" w:fill="FFFFFF"/>
              </w:rPr>
            </w:pPr>
            <w:r w:rsidRPr="00663F81">
              <w:rPr>
                <w:rFonts w:asciiTheme="minorHAnsi" w:hAnsiTheme="minorHAnsi" w:cstheme="minorHAnsi"/>
                <w:sz w:val="24"/>
                <w:szCs w:val="24"/>
                <w:shd w:val="clear" w:color="auto" w:fill="FFFFFF"/>
              </w:rPr>
              <w:t>Person 1 said they did not want to go into extended care Person 1 said ”I want to die in my chair, if that means without care and just person 2 to support me that is my wish”. Person 1 had the mental capacity to make this decision.  Under the principals of the MCA (2005) capacity is always assumed unless it is proved otherwise. The MCA (2005) sets out a two-stage test of capacity, stage 1 states: Does the person have an impairment of the mind or brain, whether because of an illness, or external factors such as alcohol or drug use. If this does not apply then the person would not move to stage 2 and undergo a Mental Capacity Assessment. I r</w:t>
            </w:r>
            <w:r>
              <w:rPr>
                <w:rFonts w:asciiTheme="minorHAnsi" w:hAnsiTheme="minorHAnsi" w:cstheme="minorHAnsi"/>
                <w:sz w:val="24"/>
                <w:szCs w:val="24"/>
                <w:shd w:val="clear" w:color="auto" w:fill="FFFFFF"/>
              </w:rPr>
              <w:t xml:space="preserve">eflected on Person 1 decision </w:t>
            </w:r>
            <w:r w:rsidRPr="00663F81">
              <w:rPr>
                <w:rFonts w:asciiTheme="minorHAnsi" w:hAnsiTheme="minorHAnsi" w:cstheme="minorHAnsi"/>
                <w:sz w:val="24"/>
                <w:szCs w:val="24"/>
                <w:shd w:val="clear" w:color="auto" w:fill="FFFFFF"/>
              </w:rPr>
              <w:t xml:space="preserve">not </w:t>
            </w:r>
            <w:r>
              <w:rPr>
                <w:rFonts w:asciiTheme="minorHAnsi" w:hAnsiTheme="minorHAnsi" w:cstheme="minorHAnsi"/>
                <w:sz w:val="24"/>
                <w:szCs w:val="24"/>
                <w:shd w:val="clear" w:color="auto" w:fill="FFFFFF"/>
              </w:rPr>
              <w:t xml:space="preserve">to </w:t>
            </w:r>
            <w:r w:rsidRPr="00663F81">
              <w:rPr>
                <w:rFonts w:asciiTheme="minorHAnsi" w:hAnsiTheme="minorHAnsi" w:cstheme="minorHAnsi"/>
                <w:sz w:val="24"/>
                <w:szCs w:val="24"/>
                <w:shd w:val="clear" w:color="auto" w:fill="FFFFFF"/>
              </w:rPr>
              <w:t xml:space="preserve">accept an </w:t>
            </w:r>
            <w:r w:rsidRPr="00663F81">
              <w:rPr>
                <w:rFonts w:asciiTheme="minorHAnsi" w:hAnsiTheme="minorHAnsi" w:cstheme="minorHAnsi"/>
                <w:sz w:val="24"/>
                <w:szCs w:val="24"/>
                <w:shd w:val="clear" w:color="auto" w:fill="FFFFFF"/>
              </w:rPr>
              <w:lastRenderedPageBreak/>
              <w:t xml:space="preserve">extended care placement and the implications of this for their care and support needs. The MCA (2005) principal’s state: Do not treat a person as lacking capacity to make a decision just because they make an unwise decision </w:t>
            </w:r>
            <w:sdt>
              <w:sdtPr>
                <w:rPr>
                  <w:rFonts w:asciiTheme="minorHAnsi" w:hAnsiTheme="minorHAnsi" w:cstheme="minorHAnsi"/>
                  <w:sz w:val="24"/>
                  <w:szCs w:val="24"/>
                  <w:shd w:val="clear" w:color="auto" w:fill="FFFFFF"/>
                </w:rPr>
                <w:id w:val="-1672481612"/>
                <w:citation/>
              </w:sdtPr>
              <w:sdtEndPr/>
              <w:sdtContent>
                <w:r w:rsidRPr="00663F81">
                  <w:rPr>
                    <w:rFonts w:asciiTheme="minorHAnsi" w:hAnsiTheme="minorHAnsi" w:cstheme="minorHAnsi"/>
                    <w:sz w:val="24"/>
                    <w:szCs w:val="24"/>
                    <w:shd w:val="clear" w:color="auto" w:fill="FFFFFF"/>
                  </w:rPr>
                  <w:fldChar w:fldCharType="begin"/>
                </w:r>
                <w:r w:rsidRPr="00663F81">
                  <w:rPr>
                    <w:rFonts w:asciiTheme="minorHAnsi" w:hAnsiTheme="minorHAnsi" w:cstheme="minorHAnsi"/>
                    <w:sz w:val="24"/>
                    <w:szCs w:val="24"/>
                    <w:shd w:val="clear" w:color="auto" w:fill="FFFFFF"/>
                  </w:rPr>
                  <w:instrText xml:space="preserve"> CITATION leg052 \l 2057 </w:instrText>
                </w:r>
                <w:r w:rsidRPr="00663F81">
                  <w:rPr>
                    <w:rFonts w:asciiTheme="minorHAnsi" w:hAnsiTheme="minorHAnsi" w:cstheme="minorHAnsi"/>
                    <w:sz w:val="24"/>
                    <w:szCs w:val="24"/>
                    <w:shd w:val="clear" w:color="auto" w:fill="FFFFFF"/>
                  </w:rPr>
                  <w:fldChar w:fldCharType="separate"/>
                </w:r>
                <w:r w:rsidRPr="00663F81">
                  <w:rPr>
                    <w:rFonts w:asciiTheme="minorHAnsi" w:hAnsiTheme="minorHAnsi" w:cstheme="minorHAnsi"/>
                    <w:noProof/>
                    <w:sz w:val="24"/>
                    <w:szCs w:val="24"/>
                    <w:shd w:val="clear" w:color="auto" w:fill="FFFFFF"/>
                  </w:rPr>
                  <w:t>(legislation.gov.uk, 2005)</w:t>
                </w:r>
                <w:r w:rsidRPr="00663F81">
                  <w:rPr>
                    <w:rFonts w:asciiTheme="minorHAnsi" w:hAnsiTheme="minorHAnsi" w:cstheme="minorHAnsi"/>
                    <w:sz w:val="24"/>
                    <w:szCs w:val="24"/>
                    <w:shd w:val="clear" w:color="auto" w:fill="FFFFFF"/>
                  </w:rPr>
                  <w:fldChar w:fldCharType="end"/>
                </w:r>
              </w:sdtContent>
            </w:sdt>
            <w:r w:rsidRPr="00663F81">
              <w:rPr>
                <w:rFonts w:asciiTheme="minorHAnsi" w:hAnsiTheme="minorHAnsi" w:cstheme="minorHAnsi"/>
                <w:sz w:val="24"/>
                <w:szCs w:val="24"/>
                <w:shd w:val="clear" w:color="auto" w:fill="FFFFFF"/>
              </w:rPr>
              <w:t>, (NOS 5, 14, 15, 17, 18) (CoPP 1.1, 1.3, 3.1, 3.3).</w:t>
            </w:r>
          </w:p>
          <w:p w14:paraId="76BC7C1A"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sz w:val="24"/>
                <w:szCs w:val="24"/>
                <w:shd w:val="clear" w:color="auto" w:fill="FFFFFF"/>
              </w:rPr>
            </w:pPr>
          </w:p>
          <w:p w14:paraId="37F1E2F6" w14:textId="25B2E4B0"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r w:rsidRPr="00663F81">
              <w:rPr>
                <w:rFonts w:asciiTheme="minorHAnsi" w:hAnsiTheme="minorHAnsi" w:cstheme="minorHAnsi"/>
                <w:sz w:val="24"/>
                <w:szCs w:val="24"/>
                <w:shd w:val="clear" w:color="auto" w:fill="FFFFFF"/>
              </w:rPr>
              <w:t xml:space="preserve">I asked person 2 if this was the outcome and the care agency did give notice, how would person 2 feel about providing this care and support to person 1. Person 2 then said, “It is what I am here for, I want person 1 to be at home with me, I don’t want them going anywhere they don’t want to be”. </w:t>
            </w:r>
            <w:r w:rsidRPr="00663F81">
              <w:rPr>
                <w:rFonts w:asciiTheme="minorHAnsi" w:hAnsiTheme="minorHAnsi" w:cstheme="minorHAnsi"/>
                <w:color w:val="auto"/>
                <w:sz w:val="24"/>
                <w:szCs w:val="24"/>
                <w:shd w:val="clear" w:color="auto" w:fill="FFFFFF"/>
              </w:rPr>
              <w:t>Crisis Intervention Theory enables the Social Worker to identify how individuals interact and adapt to their situations in their lives when in acute crisis (France, 2015). I reflected how both person 1 and person 2 appeared to focus on the same outcome, wanting to find a solution together to ensure this outcome could be met.  Empowerment Theory Zimmerman (1995) stated rather than “seeking to rescue or control people who are in vulnerable or risky situations,” </w:t>
            </w:r>
            <w:r w:rsidRPr="00663F81">
              <w:rPr>
                <w:rStyle w:val="Emphasis"/>
                <w:rFonts w:asciiTheme="minorHAnsi" w:hAnsiTheme="minorHAnsi" w:cstheme="minorHAnsi"/>
                <w:color w:val="auto"/>
                <w:sz w:val="24"/>
                <w:szCs w:val="24"/>
                <w:shd w:val="clear" w:color="auto" w:fill="FFFFFF"/>
              </w:rPr>
              <w:t>empowerment</w:t>
            </w:r>
            <w:r w:rsidRPr="00663F81">
              <w:rPr>
                <w:rFonts w:asciiTheme="minorHAnsi" w:hAnsiTheme="minorHAnsi" w:cstheme="minorHAnsi"/>
                <w:color w:val="auto"/>
                <w:sz w:val="24"/>
                <w:szCs w:val="24"/>
                <w:shd w:val="clear" w:color="auto" w:fill="FFFFFF"/>
              </w:rPr>
              <w:t xml:space="preserve"> attempts to encourage “individuals, families, or groups to take power for themselves” </w:t>
            </w:r>
            <w:sdt>
              <w:sdtPr>
                <w:rPr>
                  <w:rFonts w:asciiTheme="minorHAnsi" w:hAnsiTheme="minorHAnsi" w:cstheme="minorHAnsi"/>
                  <w:color w:val="auto"/>
                  <w:sz w:val="24"/>
                  <w:szCs w:val="24"/>
                  <w:shd w:val="clear" w:color="auto" w:fill="FFFFFF"/>
                </w:rPr>
                <w:id w:val="-16779981"/>
                <w:citation/>
              </w:sdtPr>
              <w:sdtEndPr/>
              <w:sdtContent>
                <w:r w:rsidRPr="00663F81">
                  <w:rPr>
                    <w:rFonts w:asciiTheme="minorHAnsi" w:hAnsiTheme="minorHAnsi" w:cstheme="minorHAnsi"/>
                    <w:color w:val="auto"/>
                    <w:sz w:val="24"/>
                    <w:szCs w:val="24"/>
                    <w:shd w:val="clear" w:color="auto" w:fill="FFFFFF"/>
                  </w:rPr>
                  <w:fldChar w:fldCharType="begin"/>
                </w:r>
                <w:r w:rsidRPr="00663F81">
                  <w:rPr>
                    <w:rFonts w:asciiTheme="minorHAnsi" w:hAnsiTheme="minorHAnsi" w:cstheme="minorHAnsi"/>
                    <w:color w:val="auto"/>
                    <w:sz w:val="24"/>
                    <w:szCs w:val="24"/>
                    <w:shd w:val="clear" w:color="auto" w:fill="FFFFFF"/>
                  </w:rPr>
                  <w:instrText xml:space="preserve"> CITATION Mar20 \l 2057 </w:instrText>
                </w:r>
                <w:r w:rsidRPr="00663F81">
                  <w:rPr>
                    <w:rFonts w:asciiTheme="minorHAnsi" w:hAnsiTheme="minorHAnsi" w:cstheme="minorHAnsi"/>
                    <w:color w:val="auto"/>
                    <w:sz w:val="24"/>
                    <w:szCs w:val="24"/>
                    <w:shd w:val="clear" w:color="auto" w:fill="FFFFFF"/>
                  </w:rPr>
                  <w:fldChar w:fldCharType="separate"/>
                </w:r>
                <w:r w:rsidRPr="00663F81">
                  <w:rPr>
                    <w:rFonts w:asciiTheme="minorHAnsi" w:hAnsiTheme="minorHAnsi" w:cstheme="minorHAnsi"/>
                    <w:noProof/>
                    <w:color w:val="auto"/>
                    <w:sz w:val="24"/>
                    <w:szCs w:val="24"/>
                    <w:shd w:val="clear" w:color="auto" w:fill="FFFFFF"/>
                  </w:rPr>
                  <w:t>(Zimmerman, 2020)</w:t>
                </w:r>
                <w:r w:rsidRPr="00663F81">
                  <w:rPr>
                    <w:rFonts w:asciiTheme="minorHAnsi" w:hAnsiTheme="minorHAnsi" w:cstheme="minorHAnsi"/>
                    <w:color w:val="auto"/>
                    <w:sz w:val="24"/>
                    <w:szCs w:val="24"/>
                    <w:shd w:val="clear" w:color="auto" w:fill="FFFFFF"/>
                  </w:rPr>
                  <w:fldChar w:fldCharType="end"/>
                </w:r>
              </w:sdtContent>
            </w:sdt>
            <w:r w:rsidRPr="00663F81">
              <w:rPr>
                <w:rFonts w:asciiTheme="minorHAnsi" w:hAnsiTheme="minorHAnsi" w:cstheme="minorHAnsi"/>
                <w:color w:val="auto"/>
                <w:sz w:val="24"/>
                <w:szCs w:val="24"/>
                <w:shd w:val="clear" w:color="auto" w:fill="FFFFFF"/>
              </w:rPr>
              <w:t>, (NOS 10, 18) (CoPP 4.1).</w:t>
            </w:r>
          </w:p>
          <w:p w14:paraId="559CD866"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p>
          <w:p w14:paraId="7D26A382"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r w:rsidRPr="00663F81">
              <w:rPr>
                <w:rFonts w:asciiTheme="minorHAnsi" w:hAnsiTheme="minorHAnsi" w:cstheme="minorHAnsi"/>
                <w:color w:val="auto"/>
                <w:sz w:val="24"/>
                <w:szCs w:val="24"/>
                <w:shd w:val="clear" w:color="auto" w:fill="FFFFFF"/>
              </w:rPr>
              <w:t>At this point, I explained I would speak with the care agency again, I would relay the outcome of the conversation back to person 1 and 2. Working collaboratively with the care agency would hopefully result in a positive outcome for person 1. I also explained that I would speak to the Local Authority Brokerage team who are responsible of working with care agencies that the Local Authority commission. A verbal agreement between myself and both Person 1 and 2, I would keep in regular contact on a weekly basis while we were awaiting the outcome of what the care agency would decide. I also ensured that Person 1 and 2 had my contact details, the duty telephone number and the out of hour’s team telephone number. Before I left I asked if there were any questions that person, 1 and 2 would like to ask. Both person 1 and 2 said they did not (NOS 6, 10, 11, 18) (CoPP 6.6, 6.7, 6.8).</w:t>
            </w:r>
          </w:p>
          <w:p w14:paraId="4E5BA5FD"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u w:val="single"/>
                <w:shd w:val="clear" w:color="auto" w:fill="FFFFFF"/>
              </w:rPr>
            </w:pPr>
          </w:p>
          <w:p w14:paraId="2CFBCD2D"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u w:val="single"/>
                <w:shd w:val="clear" w:color="auto" w:fill="FFFFFF"/>
              </w:rPr>
            </w:pPr>
            <w:r w:rsidRPr="00663F81">
              <w:rPr>
                <w:rFonts w:asciiTheme="minorHAnsi" w:hAnsiTheme="minorHAnsi" w:cstheme="minorHAnsi"/>
                <w:color w:val="auto"/>
                <w:sz w:val="24"/>
                <w:szCs w:val="24"/>
                <w:u w:val="single"/>
                <w:shd w:val="clear" w:color="auto" w:fill="FFFFFF"/>
              </w:rPr>
              <w:t>NOW WHAT</w:t>
            </w:r>
          </w:p>
          <w:p w14:paraId="52FB1143"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r w:rsidRPr="00663F81">
              <w:rPr>
                <w:rFonts w:asciiTheme="minorHAnsi" w:hAnsiTheme="minorHAnsi" w:cstheme="minorHAnsi"/>
                <w:color w:val="auto"/>
                <w:sz w:val="24"/>
                <w:szCs w:val="24"/>
                <w:shd w:val="clear" w:color="auto" w:fill="FFFFFF"/>
              </w:rPr>
              <w:lastRenderedPageBreak/>
              <w:t xml:space="preserve">I returned to my office and discussed my visit with the safeguarding co-ordinator. I was asked for my professional judgement on the information I had received during my enquiries. In my professional judgement, I believed that there had been a breakdown in the relationship between Person1 and 2 and the care agency. Person 1 had capacity and was able to make the decision not to go into an extended care placement if needed. I believed to the best of my knowledge that the relationship between person 1 and person 2 was of a supportive nature </w:t>
            </w:r>
            <w:sdt>
              <w:sdtPr>
                <w:rPr>
                  <w:rFonts w:asciiTheme="minorHAnsi" w:hAnsiTheme="minorHAnsi" w:cstheme="minorHAnsi"/>
                  <w:color w:val="auto"/>
                  <w:sz w:val="24"/>
                  <w:szCs w:val="24"/>
                  <w:shd w:val="clear" w:color="auto" w:fill="FFFFFF"/>
                </w:rPr>
                <w:id w:val="-433675492"/>
                <w:citation/>
              </w:sdtPr>
              <w:sdtEndPr/>
              <w:sdtContent>
                <w:r w:rsidRPr="00663F81">
                  <w:rPr>
                    <w:rFonts w:asciiTheme="minorHAnsi" w:hAnsiTheme="minorHAnsi" w:cstheme="minorHAnsi"/>
                    <w:color w:val="auto"/>
                    <w:sz w:val="24"/>
                    <w:szCs w:val="24"/>
                    <w:shd w:val="clear" w:color="auto" w:fill="FFFFFF"/>
                  </w:rPr>
                  <w:fldChar w:fldCharType="begin"/>
                </w:r>
                <w:r w:rsidRPr="00663F81">
                  <w:rPr>
                    <w:rFonts w:asciiTheme="minorHAnsi" w:hAnsiTheme="minorHAnsi" w:cstheme="minorHAnsi"/>
                    <w:color w:val="auto"/>
                    <w:sz w:val="24"/>
                    <w:szCs w:val="24"/>
                    <w:shd w:val="clear" w:color="auto" w:fill="FFFFFF"/>
                  </w:rPr>
                  <w:instrText xml:space="preserve"> CITATION Soc172 \l 2057 </w:instrText>
                </w:r>
                <w:r w:rsidRPr="00663F81">
                  <w:rPr>
                    <w:rFonts w:asciiTheme="minorHAnsi" w:hAnsiTheme="minorHAnsi" w:cstheme="minorHAnsi"/>
                    <w:color w:val="auto"/>
                    <w:sz w:val="24"/>
                    <w:szCs w:val="24"/>
                    <w:shd w:val="clear" w:color="auto" w:fill="FFFFFF"/>
                  </w:rPr>
                  <w:fldChar w:fldCharType="separate"/>
                </w:r>
                <w:r w:rsidRPr="00663F81">
                  <w:rPr>
                    <w:rFonts w:asciiTheme="minorHAnsi" w:hAnsiTheme="minorHAnsi" w:cstheme="minorHAnsi"/>
                    <w:noProof/>
                    <w:color w:val="auto"/>
                    <w:sz w:val="24"/>
                    <w:szCs w:val="24"/>
                    <w:shd w:val="clear" w:color="auto" w:fill="FFFFFF"/>
                  </w:rPr>
                  <w:t>(Social Care Wales, 2017)</w:t>
                </w:r>
                <w:r w:rsidRPr="00663F81">
                  <w:rPr>
                    <w:rFonts w:asciiTheme="minorHAnsi" w:hAnsiTheme="minorHAnsi" w:cstheme="minorHAnsi"/>
                    <w:color w:val="auto"/>
                    <w:sz w:val="24"/>
                    <w:szCs w:val="24"/>
                    <w:shd w:val="clear" w:color="auto" w:fill="FFFFFF"/>
                  </w:rPr>
                  <w:fldChar w:fldCharType="end"/>
                </w:r>
              </w:sdtContent>
            </w:sdt>
            <w:r w:rsidRPr="00663F81">
              <w:rPr>
                <w:rFonts w:asciiTheme="minorHAnsi" w:hAnsiTheme="minorHAnsi" w:cstheme="minorHAnsi"/>
                <w:color w:val="auto"/>
                <w:sz w:val="24"/>
                <w:szCs w:val="24"/>
                <w:shd w:val="clear" w:color="auto" w:fill="FFFFFF"/>
              </w:rPr>
              <w:t>,(NOS 3, 4, 19) (CoPP 3.6, 4.4).</w:t>
            </w:r>
          </w:p>
          <w:p w14:paraId="04D20FFC"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p>
          <w:p w14:paraId="09BBE575"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r w:rsidRPr="00663F81">
              <w:rPr>
                <w:rFonts w:asciiTheme="minorHAnsi" w:hAnsiTheme="minorHAnsi" w:cstheme="minorHAnsi"/>
                <w:color w:val="auto"/>
                <w:sz w:val="24"/>
                <w:szCs w:val="24"/>
                <w:shd w:val="clear" w:color="auto" w:fill="FFFFFF"/>
              </w:rPr>
              <w:t xml:space="preserve">That person 2 was able to support person 1 with their care and support as an informal carer in the short term if required. I did not witness person 2 to be under the influence of alcohol on my visit and at no time felt threatened. It was the decision reached by both the safeguarding co-ordinator and myself that this would be closed under s126 of the SSWBWA (2014) and would be placed under the category of care management by myself as the Social Worker. I then telephoned the care agency, however the care agency did not agree with the version of events as told to myself by both person 1 and 2 and the carer who was employed by the care agency. At this point, the carer agency said they would be moving forward with giving 28 days’ notice to cease the care provided to person 1 </w:t>
            </w:r>
            <w:sdt>
              <w:sdtPr>
                <w:rPr>
                  <w:rFonts w:asciiTheme="minorHAnsi" w:hAnsiTheme="minorHAnsi" w:cstheme="minorHAnsi"/>
                  <w:color w:val="auto"/>
                  <w:sz w:val="24"/>
                  <w:szCs w:val="24"/>
                  <w:shd w:val="clear" w:color="auto" w:fill="FFFFFF"/>
                </w:rPr>
                <w:id w:val="-833602118"/>
                <w:citation/>
              </w:sdtPr>
              <w:sdtEndPr/>
              <w:sdtContent>
                <w:r w:rsidRPr="00663F81">
                  <w:rPr>
                    <w:rFonts w:asciiTheme="minorHAnsi" w:hAnsiTheme="minorHAnsi" w:cstheme="minorHAnsi"/>
                    <w:color w:val="auto"/>
                    <w:sz w:val="24"/>
                    <w:szCs w:val="24"/>
                    <w:shd w:val="clear" w:color="auto" w:fill="FFFFFF"/>
                  </w:rPr>
                  <w:fldChar w:fldCharType="begin"/>
                </w:r>
                <w:r w:rsidRPr="00663F81">
                  <w:rPr>
                    <w:rFonts w:asciiTheme="minorHAnsi" w:hAnsiTheme="minorHAnsi" w:cstheme="minorHAnsi"/>
                    <w:color w:val="auto"/>
                    <w:sz w:val="24"/>
                    <w:szCs w:val="24"/>
                    <w:shd w:val="clear" w:color="auto" w:fill="FFFFFF"/>
                  </w:rPr>
                  <w:instrText xml:space="preserve"> CITATION leg144 \l 2057 </w:instrText>
                </w:r>
                <w:r w:rsidRPr="00663F81">
                  <w:rPr>
                    <w:rFonts w:asciiTheme="minorHAnsi" w:hAnsiTheme="minorHAnsi" w:cstheme="minorHAnsi"/>
                    <w:color w:val="auto"/>
                    <w:sz w:val="24"/>
                    <w:szCs w:val="24"/>
                    <w:shd w:val="clear" w:color="auto" w:fill="FFFFFF"/>
                  </w:rPr>
                  <w:fldChar w:fldCharType="separate"/>
                </w:r>
                <w:r w:rsidRPr="00663F81">
                  <w:rPr>
                    <w:rFonts w:asciiTheme="minorHAnsi" w:hAnsiTheme="minorHAnsi" w:cstheme="minorHAnsi"/>
                    <w:noProof/>
                    <w:color w:val="auto"/>
                    <w:sz w:val="24"/>
                    <w:szCs w:val="24"/>
                    <w:shd w:val="clear" w:color="auto" w:fill="FFFFFF"/>
                  </w:rPr>
                  <w:t>(legislation.Gov.Uk, 2014)</w:t>
                </w:r>
                <w:r w:rsidRPr="00663F81">
                  <w:rPr>
                    <w:rFonts w:asciiTheme="minorHAnsi" w:hAnsiTheme="minorHAnsi" w:cstheme="minorHAnsi"/>
                    <w:color w:val="auto"/>
                    <w:sz w:val="24"/>
                    <w:szCs w:val="24"/>
                    <w:shd w:val="clear" w:color="auto" w:fill="FFFFFF"/>
                  </w:rPr>
                  <w:fldChar w:fldCharType="end"/>
                </w:r>
              </w:sdtContent>
            </w:sdt>
            <w:r w:rsidRPr="00663F81">
              <w:rPr>
                <w:rFonts w:asciiTheme="minorHAnsi" w:hAnsiTheme="minorHAnsi" w:cstheme="minorHAnsi"/>
                <w:color w:val="auto"/>
                <w:sz w:val="24"/>
                <w:szCs w:val="24"/>
                <w:shd w:val="clear" w:color="auto" w:fill="FFFFFF"/>
              </w:rPr>
              <w:t>,(NOS 15,19) (CoPP 6.7).</w:t>
            </w:r>
          </w:p>
          <w:p w14:paraId="085E61BE"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p>
          <w:p w14:paraId="27D87E42"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r w:rsidRPr="00663F81">
              <w:rPr>
                <w:rFonts w:asciiTheme="minorHAnsi" w:hAnsiTheme="minorHAnsi" w:cstheme="minorHAnsi"/>
                <w:color w:val="auto"/>
                <w:sz w:val="24"/>
                <w:szCs w:val="24"/>
                <w:shd w:val="clear" w:color="auto" w:fill="FFFFFF"/>
              </w:rPr>
              <w:t xml:space="preserve">To inform my analysis, I worked in line with the Positive Risk Taking framework (2013) that is implemented within Social Work practice within my local authority. Within the SSWBWA (2014), MCA (2005) HRA (1998) and EQ (2010) positive risk taking is supported. Due to the complexities of Person 1’s care and support needs, which included health. Under part 9 (s, 162) of the SSWBWA 2014, I worked collaboratively with my fellow professional’s. This included Occupational Therapists and District Nurses to discuss the level of risk and what would minimise this risk. Using the Local Authority operating system, I made a referral to the Occupational Therapist to assess if there was any aids that would enable Person 2 to support Person 1 with when standing and transferring to the commode to complete personal care. I also made a referral to the District Nurses to make regular checks on Person </w:t>
            </w:r>
            <w:r w:rsidRPr="00663F81">
              <w:rPr>
                <w:rFonts w:asciiTheme="minorHAnsi" w:hAnsiTheme="minorHAnsi" w:cstheme="minorHAnsi"/>
                <w:color w:val="auto"/>
                <w:sz w:val="24"/>
                <w:szCs w:val="24"/>
                <w:shd w:val="clear" w:color="auto" w:fill="FFFFFF"/>
              </w:rPr>
              <w:lastRenderedPageBreak/>
              <w:t xml:space="preserve">1 skin integrity and pressure areas </w:t>
            </w:r>
            <w:sdt>
              <w:sdtPr>
                <w:rPr>
                  <w:rFonts w:asciiTheme="minorHAnsi" w:hAnsiTheme="minorHAnsi" w:cstheme="minorHAnsi"/>
                  <w:color w:val="auto"/>
                  <w:sz w:val="24"/>
                  <w:szCs w:val="24"/>
                  <w:shd w:val="clear" w:color="auto" w:fill="FFFFFF"/>
                </w:rPr>
                <w:id w:val="-803918842"/>
                <w:citation/>
              </w:sdtPr>
              <w:sdtEndPr/>
              <w:sdtContent>
                <w:r w:rsidRPr="00663F81">
                  <w:rPr>
                    <w:rFonts w:asciiTheme="minorHAnsi" w:hAnsiTheme="minorHAnsi" w:cstheme="minorHAnsi"/>
                    <w:color w:val="auto"/>
                    <w:sz w:val="24"/>
                    <w:szCs w:val="24"/>
                    <w:shd w:val="clear" w:color="auto" w:fill="FFFFFF"/>
                  </w:rPr>
                  <w:fldChar w:fldCharType="begin"/>
                </w:r>
                <w:r w:rsidRPr="00663F81">
                  <w:rPr>
                    <w:rFonts w:asciiTheme="minorHAnsi" w:hAnsiTheme="minorHAnsi" w:cstheme="minorHAnsi"/>
                    <w:color w:val="auto"/>
                    <w:sz w:val="24"/>
                    <w:szCs w:val="24"/>
                    <w:shd w:val="clear" w:color="auto" w:fill="FFFFFF"/>
                  </w:rPr>
                  <w:instrText xml:space="preserve"> CITATION leg144 \l 2057 </w:instrText>
                </w:r>
                <w:r w:rsidRPr="00663F81">
                  <w:rPr>
                    <w:rFonts w:asciiTheme="minorHAnsi" w:hAnsiTheme="minorHAnsi" w:cstheme="minorHAnsi"/>
                    <w:color w:val="auto"/>
                    <w:sz w:val="24"/>
                    <w:szCs w:val="24"/>
                    <w:shd w:val="clear" w:color="auto" w:fill="FFFFFF"/>
                  </w:rPr>
                  <w:fldChar w:fldCharType="separate"/>
                </w:r>
                <w:r w:rsidRPr="00663F81">
                  <w:rPr>
                    <w:rFonts w:asciiTheme="minorHAnsi" w:hAnsiTheme="minorHAnsi" w:cstheme="minorHAnsi"/>
                    <w:noProof/>
                    <w:color w:val="auto"/>
                    <w:sz w:val="24"/>
                    <w:szCs w:val="24"/>
                    <w:shd w:val="clear" w:color="auto" w:fill="FFFFFF"/>
                  </w:rPr>
                  <w:t>(legislation.Gov.Uk, 2014)</w:t>
                </w:r>
                <w:r w:rsidRPr="00663F81">
                  <w:rPr>
                    <w:rFonts w:asciiTheme="minorHAnsi" w:hAnsiTheme="minorHAnsi" w:cstheme="minorHAnsi"/>
                    <w:color w:val="auto"/>
                    <w:sz w:val="24"/>
                    <w:szCs w:val="24"/>
                    <w:shd w:val="clear" w:color="auto" w:fill="FFFFFF"/>
                  </w:rPr>
                  <w:fldChar w:fldCharType="end"/>
                </w:r>
              </w:sdtContent>
            </w:sdt>
            <w:r w:rsidRPr="00663F81">
              <w:rPr>
                <w:rFonts w:asciiTheme="minorHAnsi" w:hAnsiTheme="minorHAnsi" w:cstheme="minorHAnsi"/>
                <w:color w:val="auto"/>
                <w:sz w:val="24"/>
                <w:szCs w:val="24"/>
                <w:shd w:val="clear" w:color="auto" w:fill="FFFFFF"/>
              </w:rPr>
              <w:t>, (NOS 1,6,14,17,18) (CoPP 4.3,4.4 6.1,6.7,6.8,6.9).</w:t>
            </w:r>
          </w:p>
          <w:p w14:paraId="37706159"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p>
          <w:p w14:paraId="6D537616"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r w:rsidRPr="00663F81">
              <w:rPr>
                <w:rFonts w:asciiTheme="minorHAnsi" w:hAnsiTheme="minorHAnsi" w:cstheme="minorHAnsi"/>
                <w:color w:val="auto"/>
                <w:sz w:val="24"/>
                <w:szCs w:val="24"/>
                <w:shd w:val="clear" w:color="auto" w:fill="FFFFFF"/>
              </w:rPr>
              <w:t>Morgan (2013) suggest that practitioners are more likely to be risk adverse within their own practice; this could be in contrast to there being a shared view of risk. This included involving others such as other professionals, family and the individual themselves.  Furthermore Finlayson 2015 would argues “Risk assessment and Risk enablement is ambiguous and ill-suited to the realm of social care work, where most decisions are complex and fluid, not scientific and static. The whole concept of risk assessment “grants the authority to the professional and creates a duty to intervene”. Its purpose to evidence professional competence and protect against liability, rather than improving the lives of individuals and enabling them to manage their own lives</w:t>
            </w:r>
            <w:sdt>
              <w:sdtPr>
                <w:rPr>
                  <w:rFonts w:asciiTheme="minorHAnsi" w:hAnsiTheme="minorHAnsi" w:cstheme="minorHAnsi"/>
                  <w:color w:val="auto"/>
                  <w:sz w:val="24"/>
                  <w:szCs w:val="24"/>
                  <w:shd w:val="clear" w:color="auto" w:fill="FFFFFF"/>
                </w:rPr>
                <w:id w:val="242147077"/>
                <w:citation/>
              </w:sdtPr>
              <w:sdtEndPr/>
              <w:sdtContent>
                <w:r w:rsidRPr="00663F81">
                  <w:rPr>
                    <w:rFonts w:asciiTheme="minorHAnsi" w:hAnsiTheme="minorHAnsi" w:cstheme="minorHAnsi"/>
                    <w:color w:val="auto"/>
                    <w:sz w:val="24"/>
                    <w:szCs w:val="24"/>
                    <w:shd w:val="clear" w:color="auto" w:fill="FFFFFF"/>
                  </w:rPr>
                  <w:fldChar w:fldCharType="begin"/>
                </w:r>
                <w:r w:rsidRPr="00663F81">
                  <w:rPr>
                    <w:rFonts w:asciiTheme="minorHAnsi" w:hAnsiTheme="minorHAnsi" w:cstheme="minorHAnsi"/>
                    <w:color w:val="auto"/>
                    <w:sz w:val="24"/>
                    <w:szCs w:val="24"/>
                    <w:shd w:val="clear" w:color="auto" w:fill="FFFFFF"/>
                  </w:rPr>
                  <w:instrText xml:space="preserve"> CITATION Mor13 \l 2057 </w:instrText>
                </w:r>
                <w:r w:rsidRPr="00663F81">
                  <w:rPr>
                    <w:rFonts w:asciiTheme="minorHAnsi" w:hAnsiTheme="minorHAnsi" w:cstheme="minorHAnsi"/>
                    <w:color w:val="auto"/>
                    <w:sz w:val="24"/>
                    <w:szCs w:val="24"/>
                    <w:shd w:val="clear" w:color="auto" w:fill="FFFFFF"/>
                  </w:rPr>
                  <w:fldChar w:fldCharType="separate"/>
                </w:r>
                <w:r w:rsidRPr="00663F81">
                  <w:rPr>
                    <w:rFonts w:asciiTheme="minorHAnsi" w:hAnsiTheme="minorHAnsi" w:cstheme="minorHAnsi"/>
                    <w:noProof/>
                    <w:color w:val="auto"/>
                    <w:sz w:val="24"/>
                    <w:szCs w:val="24"/>
                    <w:shd w:val="clear" w:color="auto" w:fill="FFFFFF"/>
                  </w:rPr>
                  <w:t xml:space="preserve"> (Morgan, 2013)</w:t>
                </w:r>
                <w:r w:rsidRPr="00663F81">
                  <w:rPr>
                    <w:rFonts w:asciiTheme="minorHAnsi" w:hAnsiTheme="minorHAnsi" w:cstheme="minorHAnsi"/>
                    <w:color w:val="auto"/>
                    <w:sz w:val="24"/>
                    <w:szCs w:val="24"/>
                    <w:shd w:val="clear" w:color="auto" w:fill="FFFFFF"/>
                  </w:rPr>
                  <w:fldChar w:fldCharType="end"/>
                </w:r>
              </w:sdtContent>
            </w:sdt>
            <w:r w:rsidRPr="00663F81">
              <w:rPr>
                <w:rFonts w:asciiTheme="minorHAnsi" w:hAnsiTheme="minorHAnsi" w:cstheme="minorHAnsi"/>
                <w:color w:val="auto"/>
                <w:sz w:val="24"/>
                <w:szCs w:val="24"/>
                <w:shd w:val="clear" w:color="auto" w:fill="FFFFFF"/>
              </w:rPr>
              <w:t>, (NOS 12, 15) (CoPP 4.1, 4.2, 6.1).</w:t>
            </w:r>
          </w:p>
          <w:p w14:paraId="35E61344"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p>
          <w:p w14:paraId="567DF97C" w14:textId="32829D00"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r w:rsidRPr="00663F81">
              <w:rPr>
                <w:rFonts w:asciiTheme="minorHAnsi" w:hAnsiTheme="minorHAnsi" w:cstheme="minorHAnsi"/>
                <w:color w:val="auto"/>
                <w:sz w:val="24"/>
                <w:szCs w:val="24"/>
                <w:shd w:val="clear" w:color="auto" w:fill="FFFFFF"/>
              </w:rPr>
              <w:t>I emailed the Local Authority Brokerage team to discuss the urgency as the care agency are serving 28 days’ notice to cease care. It was agreed that Brokerage would speak with the Local Authority in- House Care Team to establish capacity to offer care calls. Ten days after the care agency ceased their package of care with person 1, a new care agency was found. Person 1 accepted to have the package of care with the new care agency, there was no further issues reported, by either person 1, person 2 or the care agency. Person 1 was able to have both their wish and outcome, met by remaining in their own home until they sadly passed away five months later (NOS 6,14,18,19) (CoPP 1.1,1.3, 6.7,6.8).</w:t>
            </w:r>
          </w:p>
          <w:p w14:paraId="39D8E576"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p>
          <w:p w14:paraId="50E7AA6C"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r w:rsidRPr="00663F81">
              <w:rPr>
                <w:rFonts w:asciiTheme="minorHAnsi" w:hAnsiTheme="minorHAnsi" w:cstheme="minorHAnsi"/>
                <w:color w:val="auto"/>
                <w:sz w:val="24"/>
                <w:szCs w:val="24"/>
                <w:shd w:val="clear" w:color="auto" w:fill="FFFFFF"/>
              </w:rPr>
              <w:t>To conclude</w:t>
            </w:r>
          </w:p>
          <w:p w14:paraId="6281C0CE"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r w:rsidRPr="00663F81">
              <w:rPr>
                <w:rFonts w:asciiTheme="minorHAnsi" w:hAnsiTheme="minorHAnsi" w:cstheme="minorHAnsi"/>
                <w:color w:val="auto"/>
                <w:sz w:val="24"/>
                <w:szCs w:val="24"/>
                <w:shd w:val="clear" w:color="auto" w:fill="FFFFFF"/>
              </w:rPr>
              <w:t xml:space="preserve">I reflected how conflicted I felt when carrying out my duties under s126 of the SSWBWA (2014). I reflected on how my practice could have been deemed to be oppressive by both person 1 and person 2.This was due to the concerns and allegations made by the care agency, did person 1 and person 2  feel that that they had no choice but to defend themselves. Did Person 1 and Person 2 feel, they were the only ones being asked to justify the concerns and allegations made against themselves, by the </w:t>
            </w:r>
            <w:r w:rsidRPr="00663F81">
              <w:rPr>
                <w:rFonts w:asciiTheme="minorHAnsi" w:hAnsiTheme="minorHAnsi" w:cstheme="minorHAnsi"/>
                <w:color w:val="auto"/>
                <w:sz w:val="24"/>
                <w:szCs w:val="24"/>
                <w:shd w:val="clear" w:color="auto" w:fill="FFFFFF"/>
              </w:rPr>
              <w:lastRenderedPageBreak/>
              <w:t>care agency? Did Person 1 and Person 2 believe the decision to cease care was going to take place, no matter their response</w:t>
            </w:r>
            <w:sdt>
              <w:sdtPr>
                <w:rPr>
                  <w:rFonts w:asciiTheme="minorHAnsi" w:hAnsiTheme="minorHAnsi" w:cstheme="minorHAnsi"/>
                  <w:color w:val="auto"/>
                  <w:sz w:val="24"/>
                  <w:szCs w:val="24"/>
                  <w:shd w:val="clear" w:color="auto" w:fill="FFFFFF"/>
                </w:rPr>
                <w:id w:val="-1349328525"/>
                <w:citation/>
              </w:sdtPr>
              <w:sdtEndPr/>
              <w:sdtContent>
                <w:r w:rsidRPr="00663F81">
                  <w:rPr>
                    <w:rFonts w:asciiTheme="minorHAnsi" w:hAnsiTheme="minorHAnsi" w:cstheme="minorHAnsi"/>
                    <w:color w:val="auto"/>
                    <w:sz w:val="24"/>
                    <w:szCs w:val="24"/>
                    <w:shd w:val="clear" w:color="auto" w:fill="FFFFFF"/>
                  </w:rPr>
                  <w:fldChar w:fldCharType="begin"/>
                </w:r>
                <w:r w:rsidRPr="00663F81">
                  <w:rPr>
                    <w:rFonts w:asciiTheme="minorHAnsi" w:hAnsiTheme="minorHAnsi" w:cstheme="minorHAnsi"/>
                    <w:color w:val="auto"/>
                    <w:sz w:val="24"/>
                    <w:szCs w:val="24"/>
                    <w:shd w:val="clear" w:color="auto" w:fill="FFFFFF"/>
                  </w:rPr>
                  <w:instrText xml:space="preserve"> CITATION leg144 \l 2057 </w:instrText>
                </w:r>
                <w:r w:rsidRPr="00663F81">
                  <w:rPr>
                    <w:rFonts w:asciiTheme="minorHAnsi" w:hAnsiTheme="minorHAnsi" w:cstheme="minorHAnsi"/>
                    <w:color w:val="auto"/>
                    <w:sz w:val="24"/>
                    <w:szCs w:val="24"/>
                    <w:shd w:val="clear" w:color="auto" w:fill="FFFFFF"/>
                  </w:rPr>
                  <w:fldChar w:fldCharType="separate"/>
                </w:r>
                <w:r w:rsidRPr="00663F81">
                  <w:rPr>
                    <w:rFonts w:asciiTheme="minorHAnsi" w:hAnsiTheme="minorHAnsi" w:cstheme="minorHAnsi"/>
                    <w:noProof/>
                    <w:color w:val="auto"/>
                    <w:sz w:val="24"/>
                    <w:szCs w:val="24"/>
                    <w:shd w:val="clear" w:color="auto" w:fill="FFFFFF"/>
                  </w:rPr>
                  <w:t xml:space="preserve"> (legislation.Gov.Uk, 2014)</w:t>
                </w:r>
                <w:r w:rsidRPr="00663F81">
                  <w:rPr>
                    <w:rFonts w:asciiTheme="minorHAnsi" w:hAnsiTheme="minorHAnsi" w:cstheme="minorHAnsi"/>
                    <w:color w:val="auto"/>
                    <w:sz w:val="24"/>
                    <w:szCs w:val="24"/>
                    <w:shd w:val="clear" w:color="auto" w:fill="FFFFFF"/>
                  </w:rPr>
                  <w:fldChar w:fldCharType="end"/>
                </w:r>
              </w:sdtContent>
            </w:sdt>
            <w:r w:rsidRPr="00663F81">
              <w:rPr>
                <w:rFonts w:asciiTheme="minorHAnsi" w:hAnsiTheme="minorHAnsi" w:cstheme="minorHAnsi"/>
                <w:color w:val="auto"/>
                <w:sz w:val="24"/>
                <w:szCs w:val="24"/>
                <w:shd w:val="clear" w:color="auto" w:fill="FFFFFF"/>
              </w:rPr>
              <w:t>, (NOS 5) (CoPP 3.4).</w:t>
            </w:r>
          </w:p>
          <w:p w14:paraId="26CE9B4B"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p>
          <w:p w14:paraId="5F285AC5"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r w:rsidRPr="00663F81">
              <w:rPr>
                <w:rFonts w:asciiTheme="minorHAnsi" w:hAnsiTheme="minorHAnsi" w:cstheme="minorHAnsi"/>
                <w:color w:val="auto"/>
                <w:sz w:val="24"/>
                <w:szCs w:val="24"/>
                <w:shd w:val="clear" w:color="auto" w:fill="FFFFFF"/>
              </w:rPr>
              <w:t>Conflict Theory recognises that power relationships exist everywhere. Five methods for managing conflict, Accommodation Lose/win, Compromise everyone gains, Avoidance lose/lose Competition power win/loss Collaboration win/win</w:t>
            </w:r>
            <w:sdt>
              <w:sdtPr>
                <w:rPr>
                  <w:rFonts w:asciiTheme="minorHAnsi" w:hAnsiTheme="minorHAnsi" w:cstheme="minorHAnsi"/>
                  <w:color w:val="auto"/>
                  <w:sz w:val="24"/>
                  <w:szCs w:val="24"/>
                  <w:shd w:val="clear" w:color="auto" w:fill="FFFFFF"/>
                </w:rPr>
                <w:id w:val="1765104856"/>
                <w:citation/>
              </w:sdtPr>
              <w:sdtEndPr/>
              <w:sdtContent>
                <w:r w:rsidRPr="00663F81">
                  <w:rPr>
                    <w:rFonts w:asciiTheme="minorHAnsi" w:hAnsiTheme="minorHAnsi" w:cstheme="minorHAnsi"/>
                    <w:color w:val="auto"/>
                    <w:sz w:val="24"/>
                    <w:szCs w:val="24"/>
                    <w:shd w:val="clear" w:color="auto" w:fill="FFFFFF"/>
                  </w:rPr>
                  <w:fldChar w:fldCharType="begin"/>
                </w:r>
                <w:r w:rsidRPr="00663F81">
                  <w:rPr>
                    <w:rFonts w:asciiTheme="minorHAnsi" w:hAnsiTheme="minorHAnsi" w:cstheme="minorHAnsi"/>
                    <w:color w:val="auto"/>
                    <w:sz w:val="24"/>
                    <w:szCs w:val="24"/>
                    <w:shd w:val="clear" w:color="auto" w:fill="FFFFFF"/>
                  </w:rPr>
                  <w:instrText xml:space="preserve"> CITATION Sou23 \l 2057 </w:instrText>
                </w:r>
                <w:r w:rsidRPr="00663F81">
                  <w:rPr>
                    <w:rFonts w:asciiTheme="minorHAnsi" w:hAnsiTheme="minorHAnsi" w:cstheme="minorHAnsi"/>
                    <w:color w:val="auto"/>
                    <w:sz w:val="24"/>
                    <w:szCs w:val="24"/>
                    <w:shd w:val="clear" w:color="auto" w:fill="FFFFFF"/>
                  </w:rPr>
                  <w:fldChar w:fldCharType="separate"/>
                </w:r>
                <w:r w:rsidRPr="00663F81">
                  <w:rPr>
                    <w:rFonts w:asciiTheme="minorHAnsi" w:hAnsiTheme="minorHAnsi" w:cstheme="minorHAnsi"/>
                    <w:noProof/>
                    <w:color w:val="auto"/>
                    <w:sz w:val="24"/>
                    <w:szCs w:val="24"/>
                    <w:shd w:val="clear" w:color="auto" w:fill="FFFFFF"/>
                  </w:rPr>
                  <w:t xml:space="preserve"> (Southampton University, 2023)</w:t>
                </w:r>
                <w:r w:rsidRPr="00663F81">
                  <w:rPr>
                    <w:rFonts w:asciiTheme="minorHAnsi" w:hAnsiTheme="minorHAnsi" w:cstheme="minorHAnsi"/>
                    <w:color w:val="auto"/>
                    <w:sz w:val="24"/>
                    <w:szCs w:val="24"/>
                    <w:shd w:val="clear" w:color="auto" w:fill="FFFFFF"/>
                  </w:rPr>
                  <w:fldChar w:fldCharType="end"/>
                </w:r>
              </w:sdtContent>
            </w:sdt>
            <w:r w:rsidRPr="00663F81">
              <w:rPr>
                <w:rFonts w:asciiTheme="minorHAnsi" w:hAnsiTheme="minorHAnsi" w:cstheme="minorHAnsi"/>
                <w:color w:val="auto"/>
                <w:sz w:val="24"/>
                <w:szCs w:val="24"/>
                <w:shd w:val="clear" w:color="auto" w:fill="FFFFFF"/>
              </w:rPr>
              <w:t>. I reflected on how Person 1 and 2 may have felt that competition was the standing of the care agency. They were in the position of power and the resources. I reflected that moving forward in my practice I would work with both service users and other professionals and resources to reach the collaboration stage when both parties work together to find the solution to the conflict.</w:t>
            </w:r>
          </w:p>
          <w:p w14:paraId="2A2F1F32"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p>
          <w:p w14:paraId="6CCC7CA8"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r w:rsidRPr="00663F81">
              <w:rPr>
                <w:rFonts w:asciiTheme="minorHAnsi" w:hAnsiTheme="minorHAnsi" w:cstheme="minorHAnsi"/>
                <w:color w:val="auto"/>
                <w:sz w:val="24"/>
                <w:szCs w:val="24"/>
                <w:shd w:val="clear" w:color="auto" w:fill="FFFFFF"/>
              </w:rPr>
              <w:t xml:space="preserve">I reflected how I wanted to ensure that I was anti-oppressive in my practice, by recognising that the structures surrounding person 1 and 2.The crisis in social care which left two choices, one of which would have meant Person 1 would not have their outcomes met. I reflected on my own personal values, I found it difficult not to challenge the care agency more than I did. Person 1, 2 and the carer all narrated the same facts without ever being in the same room or conversing prior to my visit </w:t>
            </w:r>
            <w:sdt>
              <w:sdtPr>
                <w:rPr>
                  <w:rFonts w:asciiTheme="minorHAnsi" w:hAnsiTheme="minorHAnsi" w:cstheme="minorHAnsi"/>
                  <w:color w:val="auto"/>
                  <w:sz w:val="24"/>
                  <w:szCs w:val="24"/>
                  <w:shd w:val="clear" w:color="auto" w:fill="FFFFFF"/>
                </w:rPr>
                <w:id w:val="-470288314"/>
                <w:citation/>
              </w:sdtPr>
              <w:sdtEndPr/>
              <w:sdtContent>
                <w:r w:rsidRPr="00663F81">
                  <w:rPr>
                    <w:rFonts w:asciiTheme="minorHAnsi" w:hAnsiTheme="minorHAnsi" w:cstheme="minorHAnsi"/>
                    <w:color w:val="auto"/>
                    <w:sz w:val="24"/>
                    <w:szCs w:val="24"/>
                    <w:shd w:val="clear" w:color="auto" w:fill="FFFFFF"/>
                  </w:rPr>
                  <w:fldChar w:fldCharType="begin"/>
                </w:r>
                <w:r w:rsidRPr="00663F81">
                  <w:rPr>
                    <w:rFonts w:asciiTheme="minorHAnsi" w:hAnsiTheme="minorHAnsi" w:cstheme="minorHAnsi"/>
                    <w:color w:val="auto"/>
                    <w:sz w:val="24"/>
                    <w:szCs w:val="24"/>
                    <w:shd w:val="clear" w:color="auto" w:fill="FFFFFF"/>
                  </w:rPr>
                  <w:instrText xml:space="preserve"> CITATION Niz08 \l 2057 </w:instrText>
                </w:r>
                <w:r w:rsidRPr="00663F81">
                  <w:rPr>
                    <w:rFonts w:asciiTheme="minorHAnsi" w:hAnsiTheme="minorHAnsi" w:cstheme="minorHAnsi"/>
                    <w:color w:val="auto"/>
                    <w:sz w:val="24"/>
                    <w:szCs w:val="24"/>
                    <w:shd w:val="clear" w:color="auto" w:fill="FFFFFF"/>
                  </w:rPr>
                  <w:fldChar w:fldCharType="separate"/>
                </w:r>
                <w:r w:rsidRPr="00663F81">
                  <w:rPr>
                    <w:rFonts w:asciiTheme="minorHAnsi" w:hAnsiTheme="minorHAnsi" w:cstheme="minorHAnsi"/>
                    <w:noProof/>
                    <w:color w:val="auto"/>
                    <w:sz w:val="24"/>
                    <w:szCs w:val="24"/>
                    <w:shd w:val="clear" w:color="auto" w:fill="FFFFFF"/>
                  </w:rPr>
                  <w:t>(Nizra, 2008)</w:t>
                </w:r>
                <w:r w:rsidRPr="00663F81">
                  <w:rPr>
                    <w:rFonts w:asciiTheme="minorHAnsi" w:hAnsiTheme="minorHAnsi" w:cstheme="minorHAnsi"/>
                    <w:color w:val="auto"/>
                    <w:sz w:val="24"/>
                    <w:szCs w:val="24"/>
                    <w:shd w:val="clear" w:color="auto" w:fill="FFFFFF"/>
                  </w:rPr>
                  <w:fldChar w:fldCharType="end"/>
                </w:r>
              </w:sdtContent>
            </w:sdt>
            <w:r w:rsidRPr="00663F81">
              <w:rPr>
                <w:rFonts w:asciiTheme="minorHAnsi" w:hAnsiTheme="minorHAnsi" w:cstheme="minorHAnsi"/>
                <w:color w:val="auto"/>
                <w:sz w:val="24"/>
                <w:szCs w:val="24"/>
                <w:shd w:val="clear" w:color="auto" w:fill="FFFFFF"/>
              </w:rPr>
              <w:t>, (NOS 5, 19) (CoPP 1.5).</w:t>
            </w:r>
          </w:p>
          <w:p w14:paraId="7BD71B69"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color w:val="auto"/>
                <w:sz w:val="24"/>
                <w:szCs w:val="24"/>
                <w:shd w:val="clear" w:color="auto" w:fill="FFFFFF"/>
              </w:rPr>
            </w:pPr>
          </w:p>
          <w:p w14:paraId="06437805" w14:textId="77777777" w:rsidR="00663F81" w:rsidRPr="00663F81" w:rsidRDefault="00663F81" w:rsidP="00663F81">
            <w:pPr>
              <w:shd w:val="clear" w:color="auto" w:fill="FFFFFF"/>
              <w:overflowPunct/>
              <w:autoSpaceDE/>
              <w:autoSpaceDN/>
              <w:adjustRightInd/>
              <w:spacing w:after="120" w:line="360" w:lineRule="auto"/>
              <w:jc w:val="both"/>
              <w:textAlignment w:val="auto"/>
              <w:rPr>
                <w:rFonts w:asciiTheme="minorHAnsi" w:hAnsiTheme="minorHAnsi" w:cstheme="minorHAnsi"/>
                <w:sz w:val="24"/>
                <w:szCs w:val="24"/>
                <w:shd w:val="clear" w:color="auto" w:fill="FFFFFF"/>
              </w:rPr>
            </w:pPr>
            <w:r w:rsidRPr="00663F81">
              <w:rPr>
                <w:rFonts w:asciiTheme="minorHAnsi" w:hAnsiTheme="minorHAnsi" w:cstheme="minorHAnsi"/>
                <w:color w:val="auto"/>
                <w:sz w:val="24"/>
                <w:szCs w:val="24"/>
                <w:shd w:val="clear" w:color="auto" w:fill="FFFFFF"/>
              </w:rPr>
              <w:t>I reflected going forward in my Social Work practice, I will face complex situations working with the individuals I support. I will work with analysing risk under the safeguarding arena, however practising within the laws, policies and procedures that protect and advocate for the well-being and rights for the individuals I will support will ensure their voice is heard. Working in collaboration with fellow professionals in line with the NOS (2011) and Copp (2017) and the SWBWA (2014). Continuing to be responsible for my own learning, which will ensure that maintain and improve my knowledge and skills in my practice</w:t>
            </w:r>
            <w:sdt>
              <w:sdtPr>
                <w:rPr>
                  <w:rFonts w:asciiTheme="minorHAnsi" w:hAnsiTheme="minorHAnsi" w:cstheme="minorHAnsi"/>
                  <w:color w:val="auto"/>
                  <w:sz w:val="24"/>
                  <w:szCs w:val="24"/>
                  <w:shd w:val="clear" w:color="auto" w:fill="FFFFFF"/>
                </w:rPr>
                <w:id w:val="1251085643"/>
                <w:citation/>
              </w:sdtPr>
              <w:sdtEndPr/>
              <w:sdtContent>
                <w:r w:rsidRPr="00663F81">
                  <w:rPr>
                    <w:rFonts w:asciiTheme="minorHAnsi" w:hAnsiTheme="minorHAnsi" w:cstheme="minorHAnsi"/>
                    <w:color w:val="auto"/>
                    <w:sz w:val="24"/>
                    <w:szCs w:val="24"/>
                    <w:shd w:val="clear" w:color="auto" w:fill="FFFFFF"/>
                  </w:rPr>
                  <w:fldChar w:fldCharType="begin"/>
                </w:r>
                <w:r w:rsidRPr="00663F81">
                  <w:rPr>
                    <w:rFonts w:asciiTheme="minorHAnsi" w:hAnsiTheme="minorHAnsi" w:cstheme="minorHAnsi"/>
                    <w:color w:val="auto"/>
                    <w:sz w:val="24"/>
                    <w:szCs w:val="24"/>
                    <w:shd w:val="clear" w:color="auto" w:fill="FFFFFF"/>
                  </w:rPr>
                  <w:instrText xml:space="preserve"> CITATION Soc172 \l 2057 </w:instrText>
                </w:r>
                <w:r w:rsidRPr="00663F81">
                  <w:rPr>
                    <w:rFonts w:asciiTheme="minorHAnsi" w:hAnsiTheme="minorHAnsi" w:cstheme="minorHAnsi"/>
                    <w:color w:val="auto"/>
                    <w:sz w:val="24"/>
                    <w:szCs w:val="24"/>
                    <w:shd w:val="clear" w:color="auto" w:fill="FFFFFF"/>
                  </w:rPr>
                  <w:fldChar w:fldCharType="separate"/>
                </w:r>
                <w:r w:rsidRPr="00663F81">
                  <w:rPr>
                    <w:rFonts w:asciiTheme="minorHAnsi" w:hAnsiTheme="minorHAnsi" w:cstheme="minorHAnsi"/>
                    <w:noProof/>
                    <w:color w:val="auto"/>
                    <w:sz w:val="24"/>
                    <w:szCs w:val="24"/>
                    <w:shd w:val="clear" w:color="auto" w:fill="FFFFFF"/>
                  </w:rPr>
                  <w:t xml:space="preserve"> (Social Care Wales, 2017)</w:t>
                </w:r>
                <w:r w:rsidRPr="00663F81">
                  <w:rPr>
                    <w:rFonts w:asciiTheme="minorHAnsi" w:hAnsiTheme="minorHAnsi" w:cstheme="minorHAnsi"/>
                    <w:color w:val="auto"/>
                    <w:sz w:val="24"/>
                    <w:szCs w:val="24"/>
                    <w:shd w:val="clear" w:color="auto" w:fill="FFFFFF"/>
                  </w:rPr>
                  <w:fldChar w:fldCharType="end"/>
                </w:r>
              </w:sdtContent>
            </w:sdt>
            <w:r w:rsidRPr="00663F81">
              <w:rPr>
                <w:rFonts w:asciiTheme="minorHAnsi" w:hAnsiTheme="minorHAnsi" w:cstheme="minorHAnsi"/>
                <w:color w:val="auto"/>
                <w:sz w:val="24"/>
                <w:szCs w:val="24"/>
                <w:shd w:val="clear" w:color="auto" w:fill="FFFFFF"/>
              </w:rPr>
              <w:t>.</w:t>
            </w:r>
          </w:p>
          <w:p w14:paraId="65600871"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3030D2D5" w14:textId="77777777" w:rsidR="00663F81" w:rsidRP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5C1511EA" w14:textId="6E1D87CA" w:rsidR="00663F81" w:rsidRDefault="00663F81"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sidRPr="00663F81">
              <w:rPr>
                <w:rFonts w:asciiTheme="minorHAnsi" w:hAnsiTheme="minorHAnsi" w:cstheme="minorHAnsi"/>
                <w:shd w:val="clear" w:color="auto" w:fill="FFFFFF"/>
              </w:rPr>
              <w:t xml:space="preserve">  Words 4312</w:t>
            </w:r>
          </w:p>
          <w:p w14:paraId="7DEF4258" w14:textId="4726EABF" w:rsidR="00806AAF" w:rsidRDefault="00806AAF"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p>
          <w:p w14:paraId="3B088903" w14:textId="37ADA581" w:rsidR="00806AAF" w:rsidRDefault="00806AAF"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Pr>
                <w:rFonts w:asciiTheme="minorHAnsi" w:hAnsiTheme="minorHAnsi" w:cstheme="minorHAnsi"/>
                <w:noProof/>
                <w:shd w:val="clear" w:color="auto" w:fill="FFFFFF"/>
              </w:rPr>
              <w:drawing>
                <wp:inline distT="0" distB="0" distL="0" distR="0" wp14:anchorId="09E61E6F" wp14:editId="25660891">
                  <wp:extent cx="1584960" cy="518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84960" cy="518160"/>
                          </a:xfrm>
                          <a:prstGeom prst="rect">
                            <a:avLst/>
                          </a:prstGeom>
                          <a:noFill/>
                        </pic:spPr>
                      </pic:pic>
                    </a:graphicData>
                  </a:graphic>
                </wp:inline>
              </w:drawing>
            </w:r>
          </w:p>
          <w:p w14:paraId="1BB32806" w14:textId="21D59F1A" w:rsidR="00806AAF" w:rsidRPr="00663F81" w:rsidRDefault="00806AAF" w:rsidP="00663F81">
            <w:pPr>
              <w:pStyle w:val="legclearfix"/>
              <w:shd w:val="clear" w:color="auto" w:fill="FFFFFF"/>
              <w:spacing w:before="0" w:beforeAutospacing="0" w:after="120" w:afterAutospacing="0" w:line="360" w:lineRule="auto"/>
              <w:jc w:val="both"/>
              <w:rPr>
                <w:rFonts w:asciiTheme="minorHAnsi" w:hAnsiTheme="minorHAnsi" w:cstheme="minorHAnsi"/>
                <w:shd w:val="clear" w:color="auto" w:fill="FFFFFF"/>
              </w:rPr>
            </w:pPr>
            <w:r>
              <w:rPr>
                <w:rFonts w:asciiTheme="minorHAnsi" w:hAnsiTheme="minorHAnsi" w:cstheme="minorHAnsi"/>
                <w:shd w:val="clear" w:color="auto" w:fill="FFFFFF"/>
              </w:rPr>
              <w:t>27.2.23</w:t>
            </w:r>
          </w:p>
          <w:p w14:paraId="5158E205" w14:textId="77777777" w:rsidR="00663F81" w:rsidRDefault="00663F81" w:rsidP="00FF7EBB">
            <w:pPr>
              <w:jc w:val="both"/>
              <w:rPr>
                <w:i/>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6A10C1" w14:textId="77777777" w:rsidR="002C6EDD" w:rsidRDefault="002C6EDD">
      <w:r>
        <w:separator/>
      </w:r>
    </w:p>
  </w:endnote>
  <w:endnote w:type="continuationSeparator" w:id="0">
    <w:p w14:paraId="44628977" w14:textId="77777777" w:rsidR="002C6EDD" w:rsidRDefault="002C6E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8C1E0F9" w:rsidR="00A5656A" w:rsidRDefault="00A5656A">
    <w:pPr>
      <w:pStyle w:val="Footer"/>
      <w:jc w:val="right"/>
    </w:pPr>
    <w:r>
      <w:fldChar w:fldCharType="begin"/>
    </w:r>
    <w:r>
      <w:instrText xml:space="preserve"> PAGE   \* MERGEFORMAT </w:instrText>
    </w:r>
    <w:r>
      <w:fldChar w:fldCharType="separate"/>
    </w:r>
    <w:r w:rsidR="00F709FE">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58EB4D" w14:textId="77777777" w:rsidR="002C6EDD" w:rsidRDefault="002C6EDD">
      <w:r>
        <w:separator/>
      </w:r>
    </w:p>
  </w:footnote>
  <w:footnote w:type="continuationSeparator" w:id="0">
    <w:p w14:paraId="55A764AF" w14:textId="77777777" w:rsidR="002C6EDD" w:rsidRDefault="002C6E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ED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3F81"/>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6AA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5EA0"/>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09FE"/>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4">
    <w:name w:val="heading 4"/>
    <w:basedOn w:val="Normal"/>
    <w:next w:val="Normal"/>
    <w:link w:val="Heading4Char"/>
    <w:uiPriority w:val="9"/>
    <w:unhideWhenUsed/>
    <w:qFormat/>
    <w:rsid w:val="00663F8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4Char">
    <w:name w:val="Heading 4 Char"/>
    <w:basedOn w:val="DefaultParagraphFont"/>
    <w:link w:val="Heading4"/>
    <w:uiPriority w:val="9"/>
    <w:rsid w:val="00663F81"/>
    <w:rPr>
      <w:rFonts w:asciiTheme="majorHAnsi" w:eastAsiaTheme="majorEastAsia" w:hAnsiTheme="majorHAnsi" w:cstheme="majorBidi"/>
      <w:i/>
      <w:iCs/>
      <w:color w:val="2F5496" w:themeColor="accent1" w:themeShade="BF"/>
    </w:rPr>
  </w:style>
  <w:style w:type="paragraph" w:customStyle="1" w:styleId="legclearfix">
    <w:name w:val="legclearfix"/>
    <w:basedOn w:val="Normal"/>
    <w:rsid w:val="00663F8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663F81"/>
  </w:style>
  <w:style w:type="character" w:styleId="Emphasis">
    <w:name w:val="Emphasis"/>
    <w:basedOn w:val="DefaultParagraphFont"/>
    <w:uiPriority w:val="20"/>
    <w:qFormat/>
    <w:rsid w:val="00663F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4F04C5F-96FA-42D2-B13A-8D5249AC2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4149</Words>
  <Characters>23653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Lewis</cp:lastModifiedBy>
  <cp:revision>2</cp:revision>
  <cp:lastPrinted>2020-02-11T19:20:00Z</cp:lastPrinted>
  <dcterms:created xsi:type="dcterms:W3CDTF">2023-02-27T09:35:00Z</dcterms:created>
  <dcterms:modified xsi:type="dcterms:W3CDTF">2023-02-27T09:35:00Z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