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15F701" w14:textId="5F7327CF" w:rsidR="005948D0" w:rsidRDefault="005948D0" w:rsidP="005948D0">
      <w:pPr>
        <w:pStyle w:val="NormalWeb"/>
        <w:jc w:val="center"/>
        <w:rPr>
          <w:sz w:val="32"/>
          <w:szCs w:val="32"/>
        </w:rPr>
      </w:pPr>
      <w:r>
        <w:rPr>
          <w:sz w:val="32"/>
          <w:szCs w:val="32"/>
        </w:rPr>
        <w:t xml:space="preserve">Nikola </w:t>
      </w:r>
      <w:proofErr w:type="spellStart"/>
      <w:r>
        <w:rPr>
          <w:sz w:val="32"/>
          <w:szCs w:val="32"/>
        </w:rPr>
        <w:t>Sugarova</w:t>
      </w:r>
      <w:proofErr w:type="spellEnd"/>
      <w:r>
        <w:rPr>
          <w:sz w:val="32"/>
          <w:szCs w:val="32"/>
        </w:rPr>
        <w:t xml:space="preserve"> </w:t>
      </w:r>
    </w:p>
    <w:p w14:paraId="6366F4F7" w14:textId="1F275879" w:rsidR="006508C3" w:rsidRDefault="00900C68" w:rsidP="006508C3">
      <w:pPr>
        <w:pStyle w:val="NormalWeb"/>
        <w:rPr>
          <w:sz w:val="32"/>
          <w:szCs w:val="32"/>
        </w:rPr>
      </w:pPr>
      <w:r>
        <w:rPr>
          <w:sz w:val="32"/>
          <w:szCs w:val="32"/>
        </w:rPr>
        <w:t xml:space="preserve">                  Student ID-221</w:t>
      </w:r>
      <w:r w:rsidR="003D2D4D">
        <w:rPr>
          <w:sz w:val="32"/>
          <w:szCs w:val="32"/>
        </w:rPr>
        <w:t>9936</w:t>
      </w:r>
    </w:p>
    <w:p w14:paraId="0F8807B9" w14:textId="35AC5476" w:rsidR="003D2D4D" w:rsidRDefault="003D2D4D" w:rsidP="006508C3">
      <w:pPr>
        <w:pStyle w:val="NormalWeb"/>
        <w:rPr>
          <w:sz w:val="32"/>
          <w:szCs w:val="32"/>
        </w:rPr>
      </w:pPr>
      <w:r>
        <w:rPr>
          <w:sz w:val="32"/>
          <w:szCs w:val="32"/>
        </w:rPr>
        <w:t xml:space="preserve">                           11/08/24      </w:t>
      </w:r>
    </w:p>
    <w:p w14:paraId="25FEFE8C" w14:textId="712F89C2" w:rsidR="005948D0" w:rsidRPr="005948D0" w:rsidRDefault="005948D0" w:rsidP="005948D0">
      <w:pPr>
        <w:pStyle w:val="NormalWeb"/>
        <w:jc w:val="center"/>
        <w:rPr>
          <w:sz w:val="32"/>
          <w:szCs w:val="32"/>
        </w:rPr>
      </w:pPr>
      <w:r>
        <w:rPr>
          <w:sz w:val="32"/>
          <w:szCs w:val="32"/>
        </w:rPr>
        <w:t xml:space="preserve"> People </w:t>
      </w:r>
      <w:r w:rsidR="00C4198B">
        <w:rPr>
          <w:sz w:val="32"/>
          <w:szCs w:val="32"/>
        </w:rPr>
        <w:t>A</w:t>
      </w:r>
      <w:r>
        <w:rPr>
          <w:sz w:val="32"/>
          <w:szCs w:val="32"/>
        </w:rPr>
        <w:t xml:space="preserve">cross </w:t>
      </w:r>
      <w:r w:rsidR="00C4198B">
        <w:rPr>
          <w:sz w:val="32"/>
          <w:szCs w:val="32"/>
        </w:rPr>
        <w:t>T</w:t>
      </w:r>
      <w:r>
        <w:rPr>
          <w:sz w:val="32"/>
          <w:szCs w:val="32"/>
        </w:rPr>
        <w:t>ime</w:t>
      </w:r>
    </w:p>
    <w:p w14:paraId="71DD3AD3" w14:textId="77777777" w:rsidR="005948D0" w:rsidRDefault="005948D0" w:rsidP="005948D0">
      <w:pPr>
        <w:pStyle w:val="NormalWeb"/>
        <w:jc w:val="center"/>
        <w:rPr>
          <w:sz w:val="52"/>
          <w:szCs w:val="52"/>
        </w:rPr>
      </w:pPr>
    </w:p>
    <w:p w14:paraId="15C9A7DE" w14:textId="77777777" w:rsidR="005948D0" w:rsidRDefault="005948D0" w:rsidP="005948D0">
      <w:pPr>
        <w:pStyle w:val="NormalWeb"/>
        <w:jc w:val="center"/>
        <w:rPr>
          <w:sz w:val="52"/>
          <w:szCs w:val="52"/>
        </w:rPr>
      </w:pPr>
    </w:p>
    <w:p w14:paraId="353AA19E" w14:textId="4F26925C" w:rsidR="005948D0" w:rsidRPr="005948D0" w:rsidRDefault="005948D0" w:rsidP="005948D0">
      <w:pPr>
        <w:pStyle w:val="NormalWeb"/>
        <w:jc w:val="center"/>
        <w:rPr>
          <w:sz w:val="52"/>
          <w:szCs w:val="52"/>
        </w:rPr>
      </w:pPr>
      <w:r w:rsidRPr="005948D0">
        <w:rPr>
          <w:sz w:val="52"/>
          <w:szCs w:val="52"/>
        </w:rPr>
        <w:t>Analytical Exercise: A Companion to the Global Early Middle Ages</w:t>
      </w:r>
    </w:p>
    <w:p w14:paraId="325071DD" w14:textId="77777777" w:rsidR="005948D0" w:rsidRDefault="005948D0" w:rsidP="005948D0">
      <w:pPr>
        <w:pStyle w:val="NormalWeb"/>
      </w:pPr>
    </w:p>
    <w:p w14:paraId="7FC8DE33" w14:textId="77777777" w:rsidR="005948D0" w:rsidRDefault="005948D0" w:rsidP="005948D0">
      <w:pPr>
        <w:pStyle w:val="NormalWeb"/>
      </w:pPr>
    </w:p>
    <w:p w14:paraId="2556FD6C" w14:textId="532CFBE8" w:rsidR="005948D0" w:rsidRDefault="005948D0" w:rsidP="005948D0">
      <w:pPr>
        <w:pStyle w:val="NormalWeb"/>
      </w:pPr>
      <w:r>
        <w:t>(</w:t>
      </w:r>
      <w:proofErr w:type="spellStart"/>
      <w:r>
        <w:t>i</w:t>
      </w:r>
      <w:proofErr w:type="spellEnd"/>
      <w:r>
        <w:t>) Provenance of the Work</w:t>
      </w:r>
    </w:p>
    <w:p w14:paraId="1544D59B" w14:textId="77777777" w:rsidR="005948D0" w:rsidRDefault="005948D0" w:rsidP="005948D0">
      <w:pPr>
        <w:pStyle w:val="NormalWeb"/>
      </w:pPr>
      <w:r>
        <w:t xml:space="preserve">Citation &amp; Writing Type A Companion to the Global Early Middle Ages written by an author who is published at </w:t>
      </w:r>
      <w:proofErr w:type="spellStart"/>
      <w:r>
        <w:t>BooksBIBLIO</w:t>
      </w:r>
      <w:proofErr w:type="spellEnd"/>
      <w:r>
        <w:t xml:space="preserve">; Amsterdam University Press (2020) The series is part of the scholarly Mapping... volumes which are written to offer comprehensive summaries for a range of historical periods and themes The principal readership is the historian and archaeologist in these fields, student </w:t>
      </w:r>
      <w:proofErr w:type="spellStart"/>
      <w:r>
        <w:t>readerhist</w:t>
      </w:r>
      <w:proofErr w:type="spellEnd"/>
      <w:r>
        <w:t xml:space="preserve"> </w:t>
      </w:r>
      <w:proofErr w:type="spellStart"/>
      <w:r>
        <w:t>moverment</w:t>
      </w:r>
      <w:proofErr w:type="spellEnd"/>
      <w:r>
        <w:t xml:space="preserve"> during early </w:t>
      </w:r>
      <w:proofErr w:type="spellStart"/>
      <w:r>
        <w:t>mediaval</w:t>
      </w:r>
      <w:proofErr w:type="spellEnd"/>
      <w:r>
        <w:t xml:space="preserve"> period.</w:t>
      </w:r>
    </w:p>
    <w:p w14:paraId="0CC345B9" w14:textId="77777777" w:rsidR="005948D0" w:rsidRDefault="005948D0" w:rsidP="005948D0">
      <w:pPr>
        <w:pStyle w:val="NormalWeb"/>
      </w:pPr>
      <w:r>
        <w:t>About the Author and Contributors This is a collection of essays by different authorities in the field. Individual chapters are written by a specialist who has done significant research on the specific topic. Every contribution is reviewed by the editor, an eminent medievalist. Together they bring a wealth of knowledge and ensure high academic rigor in the matters covered.</w:t>
      </w:r>
    </w:p>
    <w:p w14:paraId="3A567657" w14:textId="77777777" w:rsidR="005948D0" w:rsidRDefault="005948D0" w:rsidP="005948D0">
      <w:pPr>
        <w:pStyle w:val="NormalWeb"/>
      </w:pPr>
      <w:r>
        <w:t>Date and Historiography The book was first published in 2020, a moment which witnessed a developing scholarly concern with the global reinterpretation of Early Middle Ages. During this time, there were also major developments in archaeological techniques and an increased focus on interdisciplinary research. The historiographical context of the work in part reflects a broader understanding, emerged during recent decades that emphasizes on the unity and interconnection among different regions and cultures at an early medieval level transcending from older Eurocentric narratives.</w:t>
      </w:r>
    </w:p>
    <w:p w14:paraId="2206C0EC" w14:textId="77777777" w:rsidR="005948D0" w:rsidRDefault="005948D0" w:rsidP="005948D0">
      <w:pPr>
        <w:pStyle w:val="NormalWeb"/>
      </w:pPr>
      <w:r>
        <w:t>(ii) Subject Matter</w:t>
      </w:r>
    </w:p>
    <w:p w14:paraId="7823E4FD" w14:textId="77777777" w:rsidR="005948D0" w:rsidRDefault="005948D0" w:rsidP="005948D0">
      <w:pPr>
        <w:pStyle w:val="NormalWeb"/>
      </w:pPr>
      <w:r>
        <w:t>Pros The main strength of A Companion to the Global Early Middle Ages is its wide interdisciplinary scope. The book reaches into new histories of technology and agricultural change, as well as reforming the earlier concern with social, political and cultural developments in different regions. This vast range of subject matter gives a more complete view of the era.</w:t>
      </w:r>
    </w:p>
    <w:p w14:paraId="1414B426" w14:textId="77777777" w:rsidR="005948D0" w:rsidRDefault="005948D0" w:rsidP="005948D0">
      <w:pPr>
        <w:pStyle w:val="NormalWeb"/>
      </w:pPr>
      <w:r>
        <w:lastRenderedPageBreak/>
        <w:t>One of the other reasons for its continued distinctive is that it draws on some recent field work and new theoretical approaches. The authors apply new methodological approaches and current scientific results to offer innovative views on the Early Middle Ages. It allows us to get a great grasp on what people were doing in their environments and gives insight into how they used or interacted with one another at the time.</w:t>
      </w:r>
    </w:p>
    <w:p w14:paraId="794FE18E" w14:textId="77777777" w:rsidR="005948D0" w:rsidRDefault="005948D0" w:rsidP="005948D0">
      <w:pPr>
        <w:pStyle w:val="NormalWeb"/>
      </w:pPr>
      <w:r>
        <w:t>Weaknesses The broad nature of the text is also its potential weakness, in that it provides a wide overview but may lack depth in certain areas. Of course, the attention given to those topics is uneven among a work of this kind and some readers may wish there were more about specific ones. Also, as the book is a collaboration by its very nature different writing styles and approaches can mean that the narrative may not appear to be coherent or consistent.</w:t>
      </w:r>
    </w:p>
    <w:p w14:paraId="088CF6EE" w14:textId="77777777" w:rsidR="005948D0" w:rsidRDefault="005948D0" w:rsidP="005948D0">
      <w:pPr>
        <w:pStyle w:val="NormalWeb"/>
      </w:pPr>
      <w:r>
        <w:t>(iii) Content Analysis</w:t>
      </w:r>
    </w:p>
    <w:p w14:paraId="22E9C322" w14:textId="77777777" w:rsidR="005948D0" w:rsidRDefault="005948D0" w:rsidP="005948D0">
      <w:pPr>
        <w:pStyle w:val="NormalWeb"/>
      </w:pPr>
      <w:r>
        <w:t>The book is divided into a series of thematic sections, each describing various aspects in the Early Medieval world with standalone chapters over different issues. These include adapting to new environmental problems, technological and agricultural innovations, the development of social and political structures or cultural exchanges.</w:t>
      </w:r>
    </w:p>
    <w:p w14:paraId="7CEFAB71" w14:textId="77777777" w:rsidR="005948D0" w:rsidRDefault="005948D0" w:rsidP="005948D0">
      <w:pPr>
        <w:pStyle w:val="NormalWeb"/>
      </w:pPr>
      <w:r>
        <w:t>The primary thing remembered is that the Early Middle Ages were certainly a time of innovation and evolution, but it was more than just that. These reasons for agricultural productivity are clearly identified by the contributors in technological innovations (the heavy plough, water mills) that they argue were specific to certain regions-a key element of cities. It also illustrates how other societal systems, like the feudal system used in managing resources and ensuring control.</w:t>
      </w:r>
    </w:p>
    <w:p w14:paraId="119101D1" w14:textId="77777777" w:rsidR="005948D0" w:rsidRDefault="005948D0" w:rsidP="005948D0">
      <w:pPr>
        <w:pStyle w:val="NormalWeb"/>
      </w:pPr>
      <w:r>
        <w:t>One singular argument is the interlinked nature among regions. Delves into an array of evidence of trade networks, cultural exchanges and political interactions linking various parts the world from Europe to Asia - all shared over thousands if not millions of years. By offering this global perspective the book challenges traditional Isolated views of medieval societies, demonstrating that they were not static.</w:t>
      </w:r>
    </w:p>
    <w:p w14:paraId="02FF7AD5" w14:textId="77777777" w:rsidR="005948D0" w:rsidRDefault="005948D0" w:rsidP="005948D0">
      <w:pPr>
        <w:pStyle w:val="NormalWeb"/>
      </w:pPr>
      <w:r>
        <w:t>Step-by-Step Analysis</w:t>
      </w:r>
    </w:p>
    <w:p w14:paraId="1E17F0EF" w14:textId="77777777" w:rsidR="005948D0" w:rsidRDefault="005948D0" w:rsidP="005948D0">
      <w:pPr>
        <w:pStyle w:val="NormalWeb"/>
      </w:pPr>
      <w:r>
        <w:t>Chapters 1-15Introduction: An opening chapter briefly introducing the concepts and themes of subsequent chapters. It sets out the principal directions and purposes, insisting that Early Middle Ages history needs to be global in scope.</w:t>
      </w:r>
    </w:p>
    <w:p w14:paraId="1782B31B" w14:textId="77777777" w:rsidR="005948D0" w:rsidRDefault="005948D0" w:rsidP="005948D0">
      <w:pPr>
        <w:pStyle w:val="NormalWeb"/>
      </w:pPr>
      <w:r>
        <w:t xml:space="preserve">Science and Agriculture: Early sections explore scientific advancements within the scope of </w:t>
      </w:r>
      <w:proofErr w:type="spellStart"/>
      <w:r>
        <w:t>agricultureubit</w:t>
      </w:r>
      <w:proofErr w:type="spellEnd"/>
      <w:r>
        <w:t>, urbanization. It goes into great depth the invention of the heavy plough and water mill, which together are credited with driving increased agricultural production so quickly that they made population growth possible.</w:t>
      </w:r>
    </w:p>
    <w:p w14:paraId="0C1DD8B8" w14:textId="77777777" w:rsidR="005948D0" w:rsidRDefault="005948D0" w:rsidP="005948D0">
      <w:pPr>
        <w:pStyle w:val="NormalWeb"/>
      </w:pPr>
      <w:r>
        <w:t>Social and Political Organization: In this section, we will take a look at the social and political structures in medieval societies. This includes the migration period, feudalism and Islamization of Europe along with history Al-</w:t>
      </w:r>
      <w:proofErr w:type="spellStart"/>
      <w:r>
        <w:t>Andulus</w:t>
      </w:r>
      <w:proofErr w:type="spellEnd"/>
      <w:r>
        <w:t xml:space="preserve"> &amp; Poland as well as medieval church power. Throughout these chapters, the focus is on how social and political hierarchies both responded to conditions in which they were embedded.</w:t>
      </w:r>
    </w:p>
    <w:p w14:paraId="700FD060" w14:textId="77777777" w:rsidR="005948D0" w:rsidRDefault="005948D0" w:rsidP="005948D0">
      <w:pPr>
        <w:pStyle w:val="NormalWeb"/>
      </w:pPr>
      <w:r>
        <w:lastRenderedPageBreak/>
        <w:t>So what they did next is talk about how this prompts exchange of economics and then culture providing with examples, the connecting trade networks to various regions in Germany. This is an illustration of how the Early Middle Ages were universal and people moved both goods, ideas, across thousands of miles in each era.</w:t>
      </w:r>
    </w:p>
    <w:p w14:paraId="29B9E24C" w14:textId="77777777" w:rsidR="005948D0" w:rsidRDefault="005948D0" w:rsidP="005948D0">
      <w:pPr>
        <w:pStyle w:val="NormalWeb"/>
      </w:pPr>
      <w:r>
        <w:t>Chapter 5 Challenges and Resilience: At last, the final chapters of Dr Barker course brings up all those Issues that affect medieval societies including famines diseases conflicts. The authors show how communities changed in response to these adversities with more medical information, better farming, and social reform.</w:t>
      </w:r>
    </w:p>
    <w:p w14:paraId="5B2B34FB" w14:textId="77777777" w:rsidR="005948D0" w:rsidRDefault="005948D0" w:rsidP="005948D0">
      <w:pPr>
        <w:pStyle w:val="NormalWeb"/>
      </w:pPr>
      <w:r>
        <w:t>(iv) Academic Worth</w:t>
      </w:r>
    </w:p>
    <w:p w14:paraId="239C63F1" w14:textId="77777777" w:rsidR="005948D0" w:rsidRDefault="005948D0" w:rsidP="005948D0">
      <w:pPr>
        <w:pStyle w:val="NormalWeb"/>
      </w:pPr>
      <w:r>
        <w:t>Comparative Analysis A Companion to the Global Early Middle Ages is distinctive for being global and interdisciplinary in a way that sets it apart from other works on the period. Traditional studies tended to concentrate on specific regions or aspects, but this book attempts a more holistic approach by combining the traditional methods with perspectives from history, archaeology and environmental science. So destined is it for the scholar seeking a fuller appreciation of its period.</w:t>
      </w:r>
    </w:p>
    <w:p w14:paraId="41B2D776" w14:textId="77777777" w:rsidR="005948D0" w:rsidRDefault="005948D0" w:rsidP="005948D0">
      <w:pPr>
        <w:pStyle w:val="NormalWeb"/>
      </w:pPr>
      <w:r>
        <w:t xml:space="preserve">Research The inclusion of new research makes this a key book for any student or scholar looking at how to live well. It should be taken to serve as a text for foundational courses on medieval history, giving students a sweep of the period. Finally, the comprehensive bibliography and references in each chapter suggest </w:t>
      </w:r>
      <w:proofErr w:type="spellStart"/>
      <w:r>
        <w:t>nextsteps</w:t>
      </w:r>
      <w:proofErr w:type="spellEnd"/>
      <w:r>
        <w:t xml:space="preserve"> for additional research.</w:t>
      </w:r>
    </w:p>
    <w:p w14:paraId="0500AB94" w14:textId="77777777" w:rsidR="005948D0" w:rsidRDefault="005948D0" w:rsidP="005948D0">
      <w:pPr>
        <w:pStyle w:val="NormalWeb"/>
      </w:pPr>
      <w:r>
        <w:t>Conclusion</w:t>
      </w:r>
    </w:p>
    <w:p w14:paraId="05C2FADA" w14:textId="77777777" w:rsidR="005948D0" w:rsidRDefault="005948D0" w:rsidP="005948D0">
      <w:pPr>
        <w:pStyle w:val="NormalWeb"/>
      </w:pPr>
      <w:r>
        <w:t>In all, A Companion to the Global Early Middle Ages is a major accomplishment that makes significant contributions to the field of medieval studies. The coverage, the multidisciplinary approach and new research underpin it. Though researchers will find the book lack depth for specialized enquiries, its global canvas combined with a thematic approach does offer much needed scaffolding to make sense of Early Middle Ages complexities. An invaluable tool for students and scholars alike, its insights into the means by which people through time adapted to different environmental conditions and relationships with each other appear sharper than in many cases actually data can prove.</w:t>
      </w:r>
    </w:p>
    <w:p w14:paraId="241E2582" w14:textId="77777777" w:rsidR="005948D0" w:rsidRDefault="005948D0" w:rsidP="005948D0">
      <w:pPr>
        <w:pStyle w:val="NormalWeb"/>
      </w:pPr>
      <w:r>
        <w:t>Bibliography</w:t>
      </w:r>
    </w:p>
    <w:p w14:paraId="3391BB6D" w14:textId="5EE01C11" w:rsidR="005948D0" w:rsidRDefault="005948D0" w:rsidP="005948D0">
      <w:pPr>
        <w:pStyle w:val="NormalWeb"/>
      </w:pPr>
      <w:r>
        <w:t>‘The Global Middle Ages Series; A Companion to the Global Early Middle Ages (2020) Amsterdam University Press.</w:t>
      </w:r>
    </w:p>
    <w:p w14:paraId="1EBA659F" w14:textId="77777777" w:rsidR="00045FAB" w:rsidRDefault="00045FAB"/>
    <w:sectPr w:rsidR="00045F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03341" w14:textId="77777777" w:rsidR="00C4253E" w:rsidRDefault="00C4253E" w:rsidP="008A0E90">
      <w:pPr>
        <w:spacing w:after="0" w:line="240" w:lineRule="auto"/>
      </w:pPr>
      <w:r>
        <w:separator/>
      </w:r>
    </w:p>
  </w:endnote>
  <w:endnote w:type="continuationSeparator" w:id="0">
    <w:p w14:paraId="32C41DD7" w14:textId="77777777" w:rsidR="00C4253E" w:rsidRDefault="00C4253E" w:rsidP="008A0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A8502" w14:textId="77777777" w:rsidR="00C4253E" w:rsidRDefault="00C4253E" w:rsidP="008A0E90">
      <w:pPr>
        <w:spacing w:after="0" w:line="240" w:lineRule="auto"/>
      </w:pPr>
      <w:r>
        <w:separator/>
      </w:r>
    </w:p>
  </w:footnote>
  <w:footnote w:type="continuationSeparator" w:id="0">
    <w:p w14:paraId="1753800A" w14:textId="77777777" w:rsidR="00C4253E" w:rsidRDefault="00C4253E" w:rsidP="008A0E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8D0"/>
    <w:rsid w:val="00045FAB"/>
    <w:rsid w:val="00155220"/>
    <w:rsid w:val="00155D07"/>
    <w:rsid w:val="003D2D4D"/>
    <w:rsid w:val="005948D0"/>
    <w:rsid w:val="006508C3"/>
    <w:rsid w:val="008A0E90"/>
    <w:rsid w:val="00900C68"/>
    <w:rsid w:val="00A878EF"/>
    <w:rsid w:val="00C4198B"/>
    <w:rsid w:val="00C42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2B5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8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48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8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8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8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8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8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8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8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8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48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8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8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8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8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8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8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8D0"/>
    <w:rPr>
      <w:rFonts w:eastAsiaTheme="majorEastAsia" w:cstheme="majorBidi"/>
      <w:color w:val="272727" w:themeColor="text1" w:themeTint="D8"/>
    </w:rPr>
  </w:style>
  <w:style w:type="paragraph" w:styleId="Title">
    <w:name w:val="Title"/>
    <w:basedOn w:val="Normal"/>
    <w:next w:val="Normal"/>
    <w:link w:val="TitleChar"/>
    <w:uiPriority w:val="10"/>
    <w:qFormat/>
    <w:rsid w:val="005948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8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8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8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8D0"/>
    <w:pPr>
      <w:spacing w:before="160"/>
      <w:jc w:val="center"/>
    </w:pPr>
    <w:rPr>
      <w:i/>
      <w:iCs/>
      <w:color w:val="404040" w:themeColor="text1" w:themeTint="BF"/>
    </w:rPr>
  </w:style>
  <w:style w:type="character" w:customStyle="1" w:styleId="QuoteChar">
    <w:name w:val="Quote Char"/>
    <w:basedOn w:val="DefaultParagraphFont"/>
    <w:link w:val="Quote"/>
    <w:uiPriority w:val="29"/>
    <w:rsid w:val="005948D0"/>
    <w:rPr>
      <w:i/>
      <w:iCs/>
      <w:color w:val="404040" w:themeColor="text1" w:themeTint="BF"/>
    </w:rPr>
  </w:style>
  <w:style w:type="paragraph" w:styleId="ListParagraph">
    <w:name w:val="List Paragraph"/>
    <w:basedOn w:val="Normal"/>
    <w:uiPriority w:val="34"/>
    <w:qFormat/>
    <w:rsid w:val="005948D0"/>
    <w:pPr>
      <w:ind w:left="720"/>
      <w:contextualSpacing/>
    </w:pPr>
  </w:style>
  <w:style w:type="character" w:styleId="IntenseEmphasis">
    <w:name w:val="Intense Emphasis"/>
    <w:basedOn w:val="DefaultParagraphFont"/>
    <w:uiPriority w:val="21"/>
    <w:qFormat/>
    <w:rsid w:val="005948D0"/>
    <w:rPr>
      <w:i/>
      <w:iCs/>
      <w:color w:val="0F4761" w:themeColor="accent1" w:themeShade="BF"/>
    </w:rPr>
  </w:style>
  <w:style w:type="paragraph" w:styleId="IntenseQuote">
    <w:name w:val="Intense Quote"/>
    <w:basedOn w:val="Normal"/>
    <w:next w:val="Normal"/>
    <w:link w:val="IntenseQuoteChar"/>
    <w:uiPriority w:val="30"/>
    <w:qFormat/>
    <w:rsid w:val="005948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8D0"/>
    <w:rPr>
      <w:i/>
      <w:iCs/>
      <w:color w:val="0F4761" w:themeColor="accent1" w:themeShade="BF"/>
    </w:rPr>
  </w:style>
  <w:style w:type="character" w:styleId="IntenseReference">
    <w:name w:val="Intense Reference"/>
    <w:basedOn w:val="DefaultParagraphFont"/>
    <w:uiPriority w:val="32"/>
    <w:qFormat/>
    <w:rsid w:val="005948D0"/>
    <w:rPr>
      <w:b/>
      <w:bCs/>
      <w:smallCaps/>
      <w:color w:val="0F4761" w:themeColor="accent1" w:themeShade="BF"/>
      <w:spacing w:val="5"/>
    </w:rPr>
  </w:style>
  <w:style w:type="paragraph" w:styleId="NormalWeb">
    <w:name w:val="Normal (Web)"/>
    <w:basedOn w:val="Normal"/>
    <w:uiPriority w:val="99"/>
    <w:semiHidden/>
    <w:unhideWhenUsed/>
    <w:rsid w:val="005948D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A0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E90"/>
  </w:style>
  <w:style w:type="paragraph" w:styleId="Footer">
    <w:name w:val="footer"/>
    <w:basedOn w:val="Normal"/>
    <w:link w:val="FooterChar"/>
    <w:uiPriority w:val="99"/>
    <w:unhideWhenUsed/>
    <w:rsid w:val="008A0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89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1114</Words>
  <Characters>6355</Characters>
  <Application>Microsoft Office Word</Application>
  <DocSecurity>0</DocSecurity>
  <Lines>52</Lines>
  <Paragraphs>14</Paragraphs>
  <ScaleCrop>false</ScaleCrop>
  <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2024-07-28T20:27:00Z</dcterms:created>
  <dcterms:modified xsi:type="dcterms:W3CDTF">2024-07-28T20:27:00Z</dcterms:modified>
</cp:coreProperties>
</file>