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07050" w14:textId="77777777" w:rsidR="000F790F" w:rsidRDefault="000F790F" w:rsidP="00A40515">
      <w:pPr>
        <w:rPr>
          <w:rFonts w:ascii="Arial" w:hAnsi="Arial" w:cs="Arial"/>
          <w:b/>
          <w:bCs/>
          <w:sz w:val="32"/>
          <w:szCs w:val="32"/>
        </w:rPr>
      </w:pPr>
    </w:p>
    <w:p w14:paraId="5F55118C" w14:textId="77777777" w:rsidR="000F790F" w:rsidRDefault="000F790F" w:rsidP="00A40515">
      <w:pPr>
        <w:rPr>
          <w:rFonts w:ascii="Arial" w:hAnsi="Arial" w:cs="Arial"/>
          <w:b/>
          <w:bCs/>
          <w:sz w:val="32"/>
          <w:szCs w:val="32"/>
        </w:rPr>
      </w:pPr>
    </w:p>
    <w:p w14:paraId="534C55AC" w14:textId="77777777" w:rsidR="000F790F" w:rsidRDefault="000F790F" w:rsidP="00A40515">
      <w:pPr>
        <w:rPr>
          <w:rFonts w:ascii="Arial" w:hAnsi="Arial" w:cs="Arial"/>
          <w:b/>
          <w:bCs/>
          <w:sz w:val="32"/>
          <w:szCs w:val="32"/>
        </w:rPr>
      </w:pPr>
    </w:p>
    <w:p w14:paraId="608E3EF4" w14:textId="77777777" w:rsidR="000F790F" w:rsidRPr="000F790F" w:rsidRDefault="000F790F" w:rsidP="00A40515">
      <w:pPr>
        <w:rPr>
          <w:rFonts w:ascii="Arial" w:hAnsi="Arial" w:cs="Arial"/>
          <w:sz w:val="32"/>
          <w:szCs w:val="32"/>
        </w:rPr>
      </w:pPr>
    </w:p>
    <w:p w14:paraId="67D04A04" w14:textId="7EBC00FF" w:rsidR="000F790F" w:rsidRPr="000F790F" w:rsidRDefault="000F790F" w:rsidP="000F790F">
      <w:pPr>
        <w:spacing w:line="360" w:lineRule="auto"/>
        <w:jc w:val="center"/>
        <w:rPr>
          <w:rFonts w:ascii="Arial" w:hAnsi="Arial" w:cs="Arial"/>
          <w:sz w:val="32"/>
          <w:szCs w:val="32"/>
        </w:rPr>
      </w:pPr>
      <w:r w:rsidRPr="000F790F">
        <w:rPr>
          <w:rFonts w:ascii="Arial" w:hAnsi="Arial" w:cs="Arial"/>
          <w:b/>
          <w:bCs/>
          <w:sz w:val="32"/>
          <w:szCs w:val="32"/>
          <w:lang w:val="en-US"/>
        </w:rPr>
        <w:t xml:space="preserve">Student Name: </w:t>
      </w:r>
      <w:r w:rsidRPr="000F790F">
        <w:rPr>
          <w:rFonts w:ascii="Arial" w:hAnsi="Arial" w:cs="Arial"/>
          <w:sz w:val="32"/>
          <w:szCs w:val="32"/>
          <w:lang w:val="en-US"/>
        </w:rPr>
        <w:t>Fatima Ali</w:t>
      </w:r>
      <w:r w:rsidRPr="000F790F">
        <w:rPr>
          <w:rFonts w:ascii="Arial" w:hAnsi="Arial" w:cs="Arial"/>
          <w:b/>
          <w:bCs/>
          <w:sz w:val="32"/>
          <w:szCs w:val="32"/>
          <w:lang w:val="en-US"/>
        </w:rPr>
        <w:br/>
        <w:t xml:space="preserve">Student ID: </w:t>
      </w:r>
      <w:r w:rsidRPr="000F790F">
        <w:rPr>
          <w:rFonts w:ascii="Arial" w:hAnsi="Arial" w:cs="Arial"/>
          <w:sz w:val="32"/>
          <w:szCs w:val="32"/>
          <w:lang w:val="en-US"/>
        </w:rPr>
        <w:t>2222409</w:t>
      </w:r>
      <w:r w:rsidRPr="000F790F">
        <w:rPr>
          <w:rFonts w:ascii="Arial" w:hAnsi="Arial" w:cs="Arial"/>
          <w:b/>
          <w:bCs/>
          <w:sz w:val="32"/>
          <w:szCs w:val="32"/>
          <w:lang w:val="en-US"/>
        </w:rPr>
        <w:br/>
        <w:t xml:space="preserve">Programme: </w:t>
      </w:r>
      <w:r w:rsidRPr="000F790F">
        <w:rPr>
          <w:rFonts w:ascii="Arial" w:hAnsi="Arial" w:cs="Arial"/>
          <w:sz w:val="32"/>
          <w:szCs w:val="32"/>
          <w:lang w:val="en-US"/>
        </w:rPr>
        <w:t>MSc Public Health and Social Care in Practice</w:t>
      </w:r>
      <w:r w:rsidRPr="000F790F">
        <w:rPr>
          <w:rFonts w:ascii="Arial" w:hAnsi="Arial" w:cs="Arial"/>
          <w:b/>
          <w:bCs/>
          <w:sz w:val="32"/>
          <w:szCs w:val="32"/>
          <w:lang w:val="en-US"/>
        </w:rPr>
        <w:t xml:space="preserve"> </w:t>
      </w:r>
      <w:r w:rsidRPr="000F790F">
        <w:rPr>
          <w:rFonts w:ascii="Arial" w:hAnsi="Arial" w:cs="Arial"/>
          <w:b/>
          <w:bCs/>
          <w:sz w:val="32"/>
          <w:szCs w:val="32"/>
          <w:lang w:val="en-US"/>
        </w:rPr>
        <w:br/>
        <w:t xml:space="preserve">Module: </w:t>
      </w:r>
      <w:r w:rsidRPr="000F790F">
        <w:rPr>
          <w:rFonts w:ascii="Arial" w:hAnsi="Arial" w:cs="Arial"/>
          <w:sz w:val="32"/>
          <w:szCs w:val="32"/>
          <w:lang w:val="en-US"/>
        </w:rPr>
        <w:t xml:space="preserve">Practice-Based Research </w:t>
      </w:r>
      <w:r w:rsidRPr="000F790F">
        <w:rPr>
          <w:rFonts w:ascii="Arial" w:hAnsi="Arial" w:cs="Arial"/>
          <w:sz w:val="32"/>
          <w:szCs w:val="32"/>
          <w:lang w:val="en-US"/>
        </w:rPr>
        <w:br/>
      </w:r>
      <w:r w:rsidRPr="000F790F">
        <w:rPr>
          <w:rFonts w:ascii="Arial" w:hAnsi="Arial" w:cs="Arial"/>
          <w:b/>
          <w:bCs/>
          <w:sz w:val="32"/>
          <w:szCs w:val="32"/>
          <w:lang w:val="en-US"/>
        </w:rPr>
        <w:t xml:space="preserve">Module code: LCHS7008 </w:t>
      </w:r>
      <w:r w:rsidRPr="000F790F">
        <w:rPr>
          <w:rFonts w:ascii="Arial" w:hAnsi="Arial" w:cs="Arial"/>
          <w:b/>
          <w:bCs/>
          <w:sz w:val="32"/>
          <w:szCs w:val="32"/>
          <w:lang w:val="en-US"/>
        </w:rPr>
        <w:br/>
        <w:t xml:space="preserve">Lecturer: </w:t>
      </w:r>
      <w:r w:rsidRPr="000F790F">
        <w:rPr>
          <w:rFonts w:ascii="Arial" w:hAnsi="Arial" w:cs="Arial"/>
          <w:sz w:val="32"/>
          <w:szCs w:val="32"/>
          <w:lang w:val="en-US"/>
        </w:rPr>
        <w:t>Dr Zeno Leung</w:t>
      </w:r>
      <w:r w:rsidRPr="000F790F">
        <w:rPr>
          <w:rFonts w:ascii="Arial" w:hAnsi="Arial" w:cs="Arial"/>
          <w:b/>
          <w:bCs/>
          <w:sz w:val="32"/>
          <w:szCs w:val="32"/>
          <w:lang w:val="en-US"/>
        </w:rPr>
        <w:br/>
        <w:t xml:space="preserve">Assignment Title: </w:t>
      </w:r>
      <w:r w:rsidRPr="000F790F">
        <w:rPr>
          <w:rFonts w:ascii="Arial" w:hAnsi="Arial" w:cs="Arial"/>
          <w:sz w:val="32"/>
          <w:szCs w:val="32"/>
          <w:lang w:val="en-US"/>
        </w:rPr>
        <w:t xml:space="preserve">Component 2 </w:t>
      </w:r>
      <w:r w:rsidRPr="000F790F">
        <w:rPr>
          <w:rFonts w:ascii="Arial" w:hAnsi="Arial" w:cs="Arial"/>
          <w:sz w:val="32"/>
          <w:szCs w:val="32"/>
          <w:lang w:val="en-US"/>
        </w:rPr>
        <w:br/>
        <w:t>Research Proposal</w:t>
      </w:r>
    </w:p>
    <w:p w14:paraId="71635FEF" w14:textId="77777777" w:rsidR="000F790F" w:rsidRDefault="000F790F" w:rsidP="000F790F">
      <w:pPr>
        <w:spacing w:line="360" w:lineRule="auto"/>
        <w:rPr>
          <w:rFonts w:ascii="Arial" w:hAnsi="Arial" w:cs="Arial"/>
          <w:b/>
          <w:bCs/>
          <w:sz w:val="32"/>
          <w:szCs w:val="32"/>
        </w:rPr>
      </w:pPr>
    </w:p>
    <w:p w14:paraId="00BEB94C" w14:textId="77777777" w:rsidR="000F790F" w:rsidRDefault="000F790F" w:rsidP="000F790F">
      <w:pPr>
        <w:spacing w:line="360" w:lineRule="auto"/>
        <w:rPr>
          <w:rFonts w:ascii="Arial" w:hAnsi="Arial" w:cs="Arial"/>
          <w:b/>
          <w:bCs/>
          <w:sz w:val="32"/>
          <w:szCs w:val="32"/>
        </w:rPr>
      </w:pPr>
    </w:p>
    <w:p w14:paraId="6F1EF5BA" w14:textId="77777777" w:rsidR="000F790F" w:rsidRDefault="000F790F" w:rsidP="000F790F">
      <w:pPr>
        <w:spacing w:line="360" w:lineRule="auto"/>
        <w:rPr>
          <w:rFonts w:ascii="Arial" w:hAnsi="Arial" w:cs="Arial"/>
          <w:b/>
          <w:bCs/>
          <w:sz w:val="32"/>
          <w:szCs w:val="32"/>
        </w:rPr>
      </w:pPr>
    </w:p>
    <w:p w14:paraId="6CFE2837" w14:textId="77777777" w:rsidR="000F790F" w:rsidRDefault="000F790F" w:rsidP="000F790F">
      <w:pPr>
        <w:spacing w:line="360" w:lineRule="auto"/>
        <w:rPr>
          <w:rFonts w:ascii="Arial" w:hAnsi="Arial" w:cs="Arial"/>
          <w:b/>
          <w:bCs/>
          <w:sz w:val="32"/>
          <w:szCs w:val="32"/>
        </w:rPr>
      </w:pPr>
    </w:p>
    <w:p w14:paraId="233822E5" w14:textId="77777777" w:rsidR="000F790F" w:rsidRDefault="000F790F" w:rsidP="000F790F">
      <w:pPr>
        <w:spacing w:line="360" w:lineRule="auto"/>
        <w:rPr>
          <w:rFonts w:ascii="Arial" w:hAnsi="Arial" w:cs="Arial"/>
          <w:b/>
          <w:bCs/>
          <w:sz w:val="32"/>
          <w:szCs w:val="32"/>
        </w:rPr>
      </w:pPr>
    </w:p>
    <w:p w14:paraId="70FBDE5F" w14:textId="77777777" w:rsidR="000F790F" w:rsidRDefault="000F790F" w:rsidP="000F790F">
      <w:pPr>
        <w:spacing w:line="360" w:lineRule="auto"/>
        <w:rPr>
          <w:rFonts w:ascii="Arial" w:hAnsi="Arial" w:cs="Arial"/>
          <w:b/>
          <w:bCs/>
          <w:sz w:val="32"/>
          <w:szCs w:val="32"/>
        </w:rPr>
      </w:pPr>
    </w:p>
    <w:p w14:paraId="458BC70B" w14:textId="77777777" w:rsidR="000F790F" w:rsidRDefault="000F790F" w:rsidP="000F790F">
      <w:pPr>
        <w:spacing w:line="360" w:lineRule="auto"/>
        <w:rPr>
          <w:rFonts w:ascii="Arial" w:hAnsi="Arial" w:cs="Arial"/>
          <w:b/>
          <w:bCs/>
          <w:sz w:val="32"/>
          <w:szCs w:val="32"/>
        </w:rPr>
      </w:pPr>
    </w:p>
    <w:p w14:paraId="75A39876" w14:textId="77777777" w:rsidR="000F790F" w:rsidRDefault="000F790F" w:rsidP="000F790F">
      <w:pPr>
        <w:spacing w:line="360" w:lineRule="auto"/>
        <w:rPr>
          <w:rFonts w:ascii="Arial" w:hAnsi="Arial" w:cs="Arial"/>
          <w:b/>
          <w:bCs/>
          <w:sz w:val="32"/>
          <w:szCs w:val="32"/>
        </w:rPr>
      </w:pPr>
    </w:p>
    <w:p w14:paraId="3930B2B1" w14:textId="77777777" w:rsidR="00C25FAA" w:rsidRDefault="00C25FAA">
      <w:pPr>
        <w:rPr>
          <w:rFonts w:ascii="Arial" w:hAnsi="Arial" w:cs="Arial"/>
        </w:rPr>
      </w:pPr>
    </w:p>
    <w:p w14:paraId="4447905D" w14:textId="77777777" w:rsidR="00C61321" w:rsidRDefault="00C61321">
      <w:pPr>
        <w:rPr>
          <w:rFonts w:ascii="Arial" w:hAnsi="Arial" w:cs="Arial"/>
        </w:rPr>
      </w:pPr>
    </w:p>
    <w:p w14:paraId="51A5A4BB" w14:textId="77777777" w:rsidR="00C61321" w:rsidRDefault="00C61321">
      <w:pPr>
        <w:rPr>
          <w:rFonts w:ascii="Arial" w:hAnsi="Arial" w:cs="Arial"/>
        </w:rPr>
      </w:pPr>
    </w:p>
    <w:p w14:paraId="5719F24F" w14:textId="77777777" w:rsidR="00D54EAF" w:rsidRPr="00A15291" w:rsidRDefault="00D54EAF" w:rsidP="00D54EAF">
      <w:pPr>
        <w:rPr>
          <w:rFonts w:ascii="Arial" w:hAnsi="Arial" w:cs="Arial"/>
        </w:rPr>
      </w:pPr>
    </w:p>
    <w:p w14:paraId="37AFE60A" w14:textId="77777777" w:rsidR="0075276B" w:rsidRPr="00D54EAF" w:rsidRDefault="0075276B" w:rsidP="00D54EAF">
      <w:pPr>
        <w:rPr>
          <w:rFonts w:ascii="Arial" w:hAnsi="Arial" w:cs="Arial"/>
        </w:rPr>
      </w:pPr>
    </w:p>
    <w:p w14:paraId="0722A0A1" w14:textId="77777777" w:rsidR="00A15291" w:rsidRPr="003E2D8B" w:rsidRDefault="00A15291" w:rsidP="00A15291">
      <w:pPr>
        <w:rPr>
          <w:rFonts w:ascii="Arial" w:hAnsi="Arial" w:cs="Arial"/>
          <w:b/>
          <w:bCs/>
          <w:sz w:val="36"/>
          <w:szCs w:val="36"/>
        </w:rPr>
      </w:pPr>
      <w:r w:rsidRPr="003E2D8B">
        <w:rPr>
          <w:rFonts w:ascii="Arial" w:hAnsi="Arial" w:cs="Arial"/>
          <w:b/>
          <w:bCs/>
          <w:sz w:val="36"/>
          <w:szCs w:val="36"/>
        </w:rPr>
        <w:t>Research Proposal</w:t>
      </w:r>
    </w:p>
    <w:p w14:paraId="797BF92A" w14:textId="49E4639B" w:rsidR="00A15291" w:rsidRPr="003E2D8B" w:rsidRDefault="00A15291" w:rsidP="00A15291">
      <w:pPr>
        <w:rPr>
          <w:rFonts w:ascii="Arial" w:hAnsi="Arial" w:cs="Arial"/>
          <w:b/>
          <w:bCs/>
          <w:sz w:val="32"/>
          <w:szCs w:val="32"/>
        </w:rPr>
      </w:pPr>
      <w:r w:rsidRPr="003E2D8B">
        <w:rPr>
          <w:rFonts w:ascii="Arial" w:hAnsi="Arial" w:cs="Arial"/>
          <w:b/>
          <w:bCs/>
          <w:sz w:val="32"/>
          <w:szCs w:val="32"/>
        </w:rPr>
        <w:t>Title</w:t>
      </w:r>
      <w:r w:rsidR="00BA13B4" w:rsidRPr="003E2D8B">
        <w:rPr>
          <w:rFonts w:ascii="Arial" w:hAnsi="Arial" w:cs="Arial"/>
          <w:b/>
          <w:bCs/>
          <w:sz w:val="32"/>
          <w:szCs w:val="32"/>
        </w:rPr>
        <w:t xml:space="preserve">: </w:t>
      </w:r>
      <w:r w:rsidRPr="003E2D8B">
        <w:rPr>
          <w:rFonts w:ascii="Arial" w:hAnsi="Arial" w:cs="Arial"/>
          <w:b/>
          <w:bCs/>
          <w:sz w:val="32"/>
          <w:szCs w:val="32"/>
        </w:rPr>
        <w:t>Cultural Influences on Anxiety Among South Asian Adolescents in the United Kingdom</w:t>
      </w:r>
    </w:p>
    <w:p w14:paraId="2412CC13" w14:textId="77777777" w:rsidR="00A15291" w:rsidRPr="003E2D8B" w:rsidRDefault="00A15291" w:rsidP="00A15291">
      <w:pPr>
        <w:rPr>
          <w:rFonts w:ascii="Arial" w:hAnsi="Arial" w:cs="Arial"/>
          <w:b/>
          <w:bCs/>
          <w:sz w:val="28"/>
          <w:szCs w:val="28"/>
        </w:rPr>
      </w:pPr>
      <w:r w:rsidRPr="003E2D8B">
        <w:rPr>
          <w:rFonts w:ascii="Arial" w:hAnsi="Arial" w:cs="Arial"/>
          <w:b/>
          <w:bCs/>
          <w:sz w:val="28"/>
          <w:szCs w:val="28"/>
        </w:rPr>
        <w:t>1. Prevalence of the Problem</w:t>
      </w:r>
    </w:p>
    <w:p w14:paraId="002BCCA6" w14:textId="21D42A3C" w:rsidR="00A15291" w:rsidRPr="00A15291" w:rsidRDefault="00A15291" w:rsidP="00A15291">
      <w:pPr>
        <w:rPr>
          <w:rFonts w:ascii="Arial" w:hAnsi="Arial" w:cs="Arial"/>
        </w:rPr>
      </w:pPr>
      <w:r w:rsidRPr="00A15291">
        <w:rPr>
          <w:rFonts w:ascii="Arial" w:hAnsi="Arial" w:cs="Arial"/>
        </w:rPr>
        <w:t xml:space="preserve">Anxiety disorders are among the leading causes of illness and disability during adolescence and represent a growing public health challenge worldwide. Adolescence is characterised by significant biological, psychological and social transitions, making young people particularly vulnerable to mental health difficulties. </w:t>
      </w:r>
      <w:r w:rsidR="00CD0EAD" w:rsidRPr="00CD0EAD">
        <w:rPr>
          <w:rFonts w:ascii="Arial" w:hAnsi="Arial" w:cs="Arial"/>
        </w:rPr>
        <w:t xml:space="preserve">According to estimates from the </w:t>
      </w:r>
      <w:r w:rsidR="00CD0EAD" w:rsidRPr="00CD0EAD">
        <w:rPr>
          <w:rFonts w:ascii="Arial" w:hAnsi="Arial" w:cs="Arial"/>
          <w:b/>
          <w:bCs/>
        </w:rPr>
        <w:t>World Health Organization</w:t>
      </w:r>
      <w:r w:rsidR="00CD0EAD" w:rsidRPr="00CD0EAD">
        <w:rPr>
          <w:rFonts w:ascii="Arial" w:hAnsi="Arial" w:cs="Arial"/>
        </w:rPr>
        <w:t>, one in seven teenagers between the ages of 10 and 19 suffer from a mental illness, with anxiety and depression being the most prevalent.</w:t>
      </w:r>
      <w:r w:rsidR="00CD0EAD">
        <w:rPr>
          <w:rFonts w:ascii="Arial" w:hAnsi="Arial" w:cs="Arial"/>
        </w:rPr>
        <w:t xml:space="preserve"> </w:t>
      </w:r>
      <w:r w:rsidRPr="00A15291">
        <w:rPr>
          <w:rFonts w:ascii="Arial" w:hAnsi="Arial" w:cs="Arial"/>
        </w:rPr>
        <w:t xml:space="preserve">Untreated anxiety is associated with poorer educational attainment, impaired social functioning, reduced quality of life and an increased risk of depression, substance misuse and suicide in later life (World Health Organization, 2023; Patel </w:t>
      </w:r>
      <w:r w:rsidRPr="00A15291">
        <w:rPr>
          <w:rFonts w:ascii="Arial" w:hAnsi="Arial" w:cs="Arial"/>
          <w:i/>
          <w:iCs/>
        </w:rPr>
        <w:t>et al.</w:t>
      </w:r>
      <w:r w:rsidRPr="00A15291">
        <w:rPr>
          <w:rFonts w:ascii="Arial" w:hAnsi="Arial" w:cs="Arial"/>
        </w:rPr>
        <w:t>, 2018).</w:t>
      </w:r>
    </w:p>
    <w:p w14:paraId="2B56A451" w14:textId="77777777" w:rsidR="00A15291" w:rsidRPr="00A15291" w:rsidRDefault="00A15291" w:rsidP="00A15291">
      <w:pPr>
        <w:rPr>
          <w:rFonts w:ascii="Arial" w:hAnsi="Arial" w:cs="Arial"/>
        </w:rPr>
      </w:pPr>
      <w:r w:rsidRPr="00A15291">
        <w:rPr>
          <w:rFonts w:ascii="Arial" w:hAnsi="Arial" w:cs="Arial"/>
        </w:rPr>
        <w:t xml:space="preserve">Within the United Kingdom, adolescent mental health has become a major public health priority. The </w:t>
      </w:r>
      <w:r w:rsidRPr="00A15291">
        <w:rPr>
          <w:rFonts w:ascii="Arial" w:hAnsi="Arial" w:cs="Arial"/>
          <w:b/>
          <w:bCs/>
        </w:rPr>
        <w:t>Mental Health of Children and Young People in England 2023</w:t>
      </w:r>
      <w:r w:rsidRPr="00A15291">
        <w:rPr>
          <w:rFonts w:ascii="Arial" w:hAnsi="Arial" w:cs="Arial"/>
        </w:rPr>
        <w:t xml:space="preserve"> survey reported that 20.3% of children aged 8–16 years and 23.3% of young people aged 17–19 years had a probable mental disorder, with anxiety disorders accounting for a substantial proportion of presentations to Child and Adolescent Mental Health Services (CAMHS) (NHS Digital, 2023). Socioeconomic disadvantage has also been associated with poorer mental health outcomes, demonstrating that anxiety is influenced by wider social determinants rather than individual factors alone (Marmot </w:t>
      </w:r>
      <w:r w:rsidRPr="00A15291">
        <w:rPr>
          <w:rFonts w:ascii="Arial" w:hAnsi="Arial" w:cs="Arial"/>
          <w:i/>
          <w:iCs/>
        </w:rPr>
        <w:t>et al.</w:t>
      </w:r>
      <w:r w:rsidRPr="00A15291">
        <w:rPr>
          <w:rFonts w:ascii="Arial" w:hAnsi="Arial" w:cs="Arial"/>
        </w:rPr>
        <w:t>, 2020; NHS Digital, 2023).</w:t>
      </w:r>
    </w:p>
    <w:p w14:paraId="35EA911E" w14:textId="77777777" w:rsidR="00A15291" w:rsidRDefault="00A15291" w:rsidP="00A15291">
      <w:pPr>
        <w:rPr>
          <w:rFonts w:ascii="Arial" w:hAnsi="Arial" w:cs="Arial"/>
        </w:rPr>
      </w:pPr>
      <w:r w:rsidRPr="00A15291">
        <w:rPr>
          <w:rFonts w:ascii="Arial" w:hAnsi="Arial" w:cs="Arial"/>
        </w:rPr>
        <w:t>South Asians are one of the largest ethnic minority populations in the United Kingdom, comprising individuals with family origins from India, Pakistan, Bangladesh and Sri Lanka. Although many South Asian families provide protective factors such as strong family relationships and community support, evidence suggests that adolescents within these communities may also experience unique cultural pressures that influence anxiety. These include stigma surrounding mental illness, expectations regarding educational success, concerns relating to family honour (</w:t>
      </w:r>
      <w:r w:rsidRPr="00A15291">
        <w:rPr>
          <w:rFonts w:ascii="Arial" w:hAnsi="Arial" w:cs="Arial"/>
          <w:i/>
          <w:iCs/>
        </w:rPr>
        <w:t>izzat</w:t>
      </w:r>
      <w:r w:rsidRPr="00A15291">
        <w:rPr>
          <w:rFonts w:ascii="Arial" w:hAnsi="Arial" w:cs="Arial"/>
        </w:rPr>
        <w:t xml:space="preserve">), intergenerational conflict, racism and discrimination, all of which may delay help-seeking and contribute to inequalities in mental healthcare (Memon </w:t>
      </w:r>
      <w:r w:rsidRPr="00A15291">
        <w:rPr>
          <w:rFonts w:ascii="Arial" w:hAnsi="Arial" w:cs="Arial"/>
          <w:i/>
          <w:iCs/>
        </w:rPr>
        <w:t>et al.</w:t>
      </w:r>
      <w:r w:rsidRPr="00A15291">
        <w:rPr>
          <w:rFonts w:ascii="Arial" w:hAnsi="Arial" w:cs="Arial"/>
        </w:rPr>
        <w:t xml:space="preserve">, 2016; Bhui </w:t>
      </w:r>
      <w:r w:rsidRPr="00A15291">
        <w:rPr>
          <w:rFonts w:ascii="Arial" w:hAnsi="Arial" w:cs="Arial"/>
          <w:i/>
          <w:iCs/>
        </w:rPr>
        <w:t>et al.</w:t>
      </w:r>
      <w:r w:rsidRPr="00A15291">
        <w:rPr>
          <w:rFonts w:ascii="Arial" w:hAnsi="Arial" w:cs="Arial"/>
        </w:rPr>
        <w:t xml:space="preserve">, 2015; Kapadia </w:t>
      </w:r>
      <w:r w:rsidRPr="00A15291">
        <w:rPr>
          <w:rFonts w:ascii="Arial" w:hAnsi="Arial" w:cs="Arial"/>
          <w:i/>
          <w:iCs/>
        </w:rPr>
        <w:t>et al.</w:t>
      </w:r>
      <w:r w:rsidRPr="00A15291">
        <w:rPr>
          <w:rFonts w:ascii="Arial" w:hAnsi="Arial" w:cs="Arial"/>
        </w:rPr>
        <w:t xml:space="preserve">, 2022; Nazroo </w:t>
      </w:r>
      <w:r w:rsidRPr="00A15291">
        <w:rPr>
          <w:rFonts w:ascii="Arial" w:hAnsi="Arial" w:cs="Arial"/>
          <w:i/>
          <w:iCs/>
        </w:rPr>
        <w:t>et al.</w:t>
      </w:r>
      <w:r w:rsidRPr="00A15291">
        <w:rPr>
          <w:rFonts w:ascii="Arial" w:hAnsi="Arial" w:cs="Arial"/>
        </w:rPr>
        <w:t>, 2020). Consequently, understanding how cultural influences shape anxiety among South Asian adolescents is essential for developing equitable and culturally responsive public health interventions.</w:t>
      </w:r>
    </w:p>
    <w:p w14:paraId="48160E18" w14:textId="77777777" w:rsidR="003E2D8B" w:rsidRDefault="003E2D8B" w:rsidP="00A15291">
      <w:pPr>
        <w:rPr>
          <w:rFonts w:ascii="Arial" w:hAnsi="Arial" w:cs="Arial"/>
        </w:rPr>
      </w:pPr>
    </w:p>
    <w:p w14:paraId="379CE5DE" w14:textId="77777777" w:rsidR="003E2D8B" w:rsidRDefault="003E2D8B" w:rsidP="00A15291">
      <w:pPr>
        <w:rPr>
          <w:rFonts w:ascii="Arial" w:hAnsi="Arial" w:cs="Arial"/>
        </w:rPr>
      </w:pPr>
    </w:p>
    <w:p w14:paraId="2D4D6351" w14:textId="77777777" w:rsidR="003E2D8B" w:rsidRDefault="003E2D8B" w:rsidP="00A15291">
      <w:pPr>
        <w:rPr>
          <w:rFonts w:ascii="Arial" w:hAnsi="Arial" w:cs="Arial"/>
        </w:rPr>
      </w:pPr>
    </w:p>
    <w:p w14:paraId="37B29BF9" w14:textId="77777777" w:rsidR="003E2D8B" w:rsidRDefault="003E2D8B" w:rsidP="00A15291">
      <w:pPr>
        <w:rPr>
          <w:rFonts w:ascii="Arial" w:hAnsi="Arial" w:cs="Arial"/>
        </w:rPr>
      </w:pPr>
    </w:p>
    <w:p w14:paraId="2ACDCF11" w14:textId="77777777" w:rsidR="003E2D8B" w:rsidRDefault="003E2D8B" w:rsidP="00A15291">
      <w:pPr>
        <w:rPr>
          <w:rFonts w:ascii="Arial" w:hAnsi="Arial" w:cs="Arial"/>
        </w:rPr>
      </w:pPr>
    </w:p>
    <w:p w14:paraId="36FD6295" w14:textId="77777777" w:rsidR="003E2D8B" w:rsidRPr="00A15291" w:rsidRDefault="003E2D8B" w:rsidP="00A15291">
      <w:pPr>
        <w:rPr>
          <w:rFonts w:ascii="Arial" w:hAnsi="Arial" w:cs="Arial"/>
        </w:rPr>
      </w:pPr>
    </w:p>
    <w:p w14:paraId="02CDFE06" w14:textId="77777777" w:rsidR="00A15291" w:rsidRPr="003E2D8B" w:rsidRDefault="00A15291" w:rsidP="00A15291">
      <w:pPr>
        <w:rPr>
          <w:rFonts w:ascii="Arial" w:hAnsi="Arial" w:cs="Arial"/>
          <w:b/>
          <w:bCs/>
          <w:sz w:val="28"/>
          <w:szCs w:val="28"/>
        </w:rPr>
      </w:pPr>
      <w:r w:rsidRPr="003E2D8B">
        <w:rPr>
          <w:rFonts w:ascii="Arial" w:hAnsi="Arial" w:cs="Arial"/>
          <w:b/>
          <w:bCs/>
          <w:sz w:val="28"/>
          <w:szCs w:val="28"/>
        </w:rPr>
        <w:lastRenderedPageBreak/>
        <w:t>2. Introduction and Literature-Based Background</w:t>
      </w:r>
    </w:p>
    <w:p w14:paraId="3396E2A7" w14:textId="705710FA" w:rsidR="00A15291" w:rsidRPr="00A15291" w:rsidRDefault="00A15291" w:rsidP="00A15291">
      <w:pPr>
        <w:rPr>
          <w:rFonts w:ascii="Arial" w:hAnsi="Arial" w:cs="Arial"/>
        </w:rPr>
      </w:pPr>
      <w:r w:rsidRPr="00A15291">
        <w:rPr>
          <w:rFonts w:ascii="Arial" w:hAnsi="Arial" w:cs="Arial"/>
        </w:rPr>
        <w:t xml:space="preserve">Mental health is increasingly understood through a biopsychosocial and social determinants perspective, recognising that psychological wellbeing is shaped by interactions between biological, environmental and cultural factors rather than medical conditions alone (Engel, 1977; Marmot </w:t>
      </w:r>
      <w:r w:rsidRPr="00A15291">
        <w:rPr>
          <w:rFonts w:ascii="Arial" w:hAnsi="Arial" w:cs="Arial"/>
          <w:i/>
          <w:iCs/>
        </w:rPr>
        <w:t>et al.</w:t>
      </w:r>
      <w:r w:rsidRPr="00A15291">
        <w:rPr>
          <w:rFonts w:ascii="Arial" w:hAnsi="Arial" w:cs="Arial"/>
        </w:rPr>
        <w:t xml:space="preserve">, 2020). Contemporary public health policy similarly emphasises reducing health inequalities by addressing structural barriers affecting disadvantaged populations (NHS England, 2023; Office for Health Improvement and Disparities, 2023). Within this context, adolescence represents a critical period for early intervention because approximately half of all </w:t>
      </w:r>
      <w:r w:rsidR="003E2D8B" w:rsidRPr="00A15291">
        <w:rPr>
          <w:rFonts w:ascii="Arial" w:hAnsi="Arial" w:cs="Arial"/>
        </w:rPr>
        <w:t>lifetimes</w:t>
      </w:r>
      <w:r w:rsidRPr="00A15291">
        <w:rPr>
          <w:rFonts w:ascii="Arial" w:hAnsi="Arial" w:cs="Arial"/>
        </w:rPr>
        <w:t xml:space="preserve"> mental disorders emerge before adulthood (Patel </w:t>
      </w:r>
      <w:r w:rsidRPr="00A15291">
        <w:rPr>
          <w:rFonts w:ascii="Arial" w:hAnsi="Arial" w:cs="Arial"/>
          <w:i/>
          <w:iCs/>
        </w:rPr>
        <w:t>et al.</w:t>
      </w:r>
      <w:r w:rsidRPr="00A15291">
        <w:rPr>
          <w:rFonts w:ascii="Arial" w:hAnsi="Arial" w:cs="Arial"/>
        </w:rPr>
        <w:t>, 2018).</w:t>
      </w:r>
    </w:p>
    <w:p w14:paraId="3E81FC88" w14:textId="77777777" w:rsidR="00A15291" w:rsidRPr="00A15291" w:rsidRDefault="00A15291" w:rsidP="00A15291">
      <w:pPr>
        <w:rPr>
          <w:rFonts w:ascii="Arial" w:hAnsi="Arial" w:cs="Arial"/>
        </w:rPr>
      </w:pPr>
      <w:r w:rsidRPr="00A15291">
        <w:rPr>
          <w:rFonts w:ascii="Arial" w:hAnsi="Arial" w:cs="Arial"/>
        </w:rPr>
        <w:t xml:space="preserve">Culture influences how anxiety is recognised, interpreted and managed. Research suggests that South Asian adolescents often navigate competing expectations between family values and wider British society, increasing vulnerability to identity conflict and emotional distress (Dogra and Karim, 2005; Knifton, 2012). Mental health stigma remains a significant barrier to help-seeking, with many young people fearing social judgement or bringing shame upon their families (Memon </w:t>
      </w:r>
      <w:r w:rsidRPr="00A15291">
        <w:rPr>
          <w:rFonts w:ascii="Arial" w:hAnsi="Arial" w:cs="Arial"/>
          <w:i/>
          <w:iCs/>
        </w:rPr>
        <w:t>et al.</w:t>
      </w:r>
      <w:r w:rsidRPr="00A15291">
        <w:rPr>
          <w:rFonts w:ascii="Arial" w:hAnsi="Arial" w:cs="Arial"/>
        </w:rPr>
        <w:t xml:space="preserve">, 2016; Kapadia </w:t>
      </w:r>
      <w:r w:rsidRPr="00A15291">
        <w:rPr>
          <w:rFonts w:ascii="Arial" w:hAnsi="Arial" w:cs="Arial"/>
          <w:i/>
          <w:iCs/>
        </w:rPr>
        <w:t>et al.</w:t>
      </w:r>
      <w:r w:rsidRPr="00A15291">
        <w:rPr>
          <w:rFonts w:ascii="Arial" w:hAnsi="Arial" w:cs="Arial"/>
        </w:rPr>
        <w:t>, 2022). Furthermore, inequalities in access to culturally competent mental health services continue to affect ethnic minority communities despite national commitments to person-centred care (NHS Race and Health Observatory, 2022; NICE, 2022).</w:t>
      </w:r>
    </w:p>
    <w:p w14:paraId="1BC1D26A" w14:textId="77777777" w:rsidR="00A15291" w:rsidRPr="00A15291" w:rsidRDefault="00A15291" w:rsidP="00A15291">
      <w:pPr>
        <w:rPr>
          <w:rFonts w:ascii="Arial" w:hAnsi="Arial" w:cs="Arial"/>
        </w:rPr>
      </w:pPr>
      <w:r w:rsidRPr="00A15291">
        <w:rPr>
          <w:rFonts w:ascii="Arial" w:hAnsi="Arial" w:cs="Arial"/>
        </w:rPr>
        <w:t>Although awareness of ethnic inequalities in mental healthcare has increased, current evidence remains fragmented. Many studies combine different ethnic minority populations, limiting understanding of the distinct cultural experiences of South Asian adolescents. Consequently, there is a need for a systematic synthesis of current evidence to examine how cultural beliefs, family expectations, discrimination and stigma influence anxiety within this population and to identify implications for public health and social care practice.</w:t>
      </w:r>
    </w:p>
    <w:p w14:paraId="73736122" w14:textId="77777777" w:rsidR="00A916D4" w:rsidRPr="00C4019F" w:rsidRDefault="00A916D4" w:rsidP="00A916D4">
      <w:pPr>
        <w:rPr>
          <w:rFonts w:ascii="Arial" w:hAnsi="Arial" w:cs="Arial"/>
          <w:b/>
          <w:bCs/>
          <w:sz w:val="28"/>
          <w:szCs w:val="28"/>
        </w:rPr>
      </w:pPr>
      <w:r w:rsidRPr="00C4019F">
        <w:rPr>
          <w:rFonts w:ascii="Arial" w:hAnsi="Arial" w:cs="Arial"/>
          <w:b/>
          <w:bCs/>
          <w:sz w:val="28"/>
          <w:szCs w:val="28"/>
        </w:rPr>
        <w:t>3. Rationale</w:t>
      </w:r>
    </w:p>
    <w:p w14:paraId="2C625C13" w14:textId="77777777" w:rsidR="00A916D4" w:rsidRPr="00A916D4" w:rsidRDefault="00A916D4" w:rsidP="00A916D4">
      <w:pPr>
        <w:rPr>
          <w:rFonts w:ascii="Arial" w:hAnsi="Arial" w:cs="Arial"/>
        </w:rPr>
      </w:pPr>
      <w:r w:rsidRPr="00A916D4">
        <w:rPr>
          <w:rFonts w:ascii="Arial" w:hAnsi="Arial" w:cs="Arial"/>
        </w:rPr>
        <w:t>Adolescent anxiety is increasingly recognised as a significant public health issue; however, the experiences of South Asian adolescents remain under-represented within UK mental health research. Although national surveys demonstrate increasing levels of anxiety among young people, many fail to explore how culture, ethnicity and migration intersect to influence mental health outcomes (NHS Digital, 2023; Reiss, 2013). Consequently, existing evidence provides only a partial understanding of the challenges faced by South Asian adolescents, limiting the development of culturally responsive interventions.</w:t>
      </w:r>
    </w:p>
    <w:p w14:paraId="54730F28" w14:textId="77777777" w:rsidR="00A916D4" w:rsidRPr="00A916D4" w:rsidRDefault="00A916D4" w:rsidP="00A916D4">
      <w:pPr>
        <w:rPr>
          <w:rFonts w:ascii="Arial" w:hAnsi="Arial" w:cs="Arial"/>
        </w:rPr>
      </w:pPr>
      <w:r w:rsidRPr="00A916D4">
        <w:rPr>
          <w:rFonts w:ascii="Arial" w:hAnsi="Arial" w:cs="Arial"/>
        </w:rPr>
        <w:t xml:space="preserve">Current research suggests that cultural values, including collectivism, family obligation, religious identity and educational expectations, may act as both protective and risk factors for mental wellbeing (Triandis, 2018; Hussain-Gambles </w:t>
      </w:r>
      <w:r w:rsidRPr="00A916D4">
        <w:rPr>
          <w:rFonts w:ascii="Arial" w:hAnsi="Arial" w:cs="Arial"/>
          <w:i/>
          <w:iCs/>
        </w:rPr>
        <w:t>et al.</w:t>
      </w:r>
      <w:r w:rsidRPr="00A916D4">
        <w:rPr>
          <w:rFonts w:ascii="Arial" w:hAnsi="Arial" w:cs="Arial"/>
        </w:rPr>
        <w:t>, 2004). Strong family relationships can provide emotional support and resilience; however, concerns regarding family honour (</w:t>
      </w:r>
      <w:r w:rsidRPr="00A916D4">
        <w:rPr>
          <w:rFonts w:ascii="Arial" w:hAnsi="Arial" w:cs="Arial"/>
          <w:i/>
          <w:iCs/>
        </w:rPr>
        <w:t>izzat</w:t>
      </w:r>
      <w:r w:rsidRPr="00A916D4">
        <w:rPr>
          <w:rFonts w:ascii="Arial" w:hAnsi="Arial" w:cs="Arial"/>
        </w:rPr>
        <w:t xml:space="preserve">), fear of stigma and parental expectations may discourage young people from discussing psychological distress or accessing professional support (Memon </w:t>
      </w:r>
      <w:r w:rsidRPr="00A916D4">
        <w:rPr>
          <w:rFonts w:ascii="Arial" w:hAnsi="Arial" w:cs="Arial"/>
          <w:i/>
          <w:iCs/>
        </w:rPr>
        <w:t>et al.</w:t>
      </w:r>
      <w:r w:rsidRPr="00A916D4">
        <w:rPr>
          <w:rFonts w:ascii="Arial" w:hAnsi="Arial" w:cs="Arial"/>
        </w:rPr>
        <w:t>, 2016; Knifton, 2012). These findings indicate that anxiety cannot be understood solely through individual psychological factors but must also be considered within wider cultural and social contexts.</w:t>
      </w:r>
    </w:p>
    <w:p w14:paraId="5D194B98" w14:textId="3965A623" w:rsidR="00A916D4" w:rsidRPr="00A916D4" w:rsidRDefault="00FD07B0" w:rsidP="00A916D4">
      <w:pPr>
        <w:rPr>
          <w:rFonts w:ascii="Arial" w:hAnsi="Arial" w:cs="Arial"/>
        </w:rPr>
      </w:pPr>
      <w:r w:rsidRPr="00FD07B0">
        <w:rPr>
          <w:rFonts w:ascii="Arial" w:hAnsi="Arial" w:cs="Arial"/>
        </w:rPr>
        <w:t xml:space="preserve">Additionally, studies show that racism, discrimination, and social exclusion still have an impact on ethnic minority communities' mental health (Williams, Lawrence, and Davis, 2019). </w:t>
      </w:r>
      <w:r>
        <w:rPr>
          <w:rFonts w:ascii="Arial" w:hAnsi="Arial" w:cs="Arial"/>
        </w:rPr>
        <w:t xml:space="preserve"> </w:t>
      </w:r>
      <w:r w:rsidR="00A916D4" w:rsidRPr="00A916D4">
        <w:rPr>
          <w:rFonts w:ascii="Arial" w:hAnsi="Arial" w:cs="Arial"/>
        </w:rPr>
        <w:t xml:space="preserve">South Asian adolescents may experience identity conflict while balancing family expectations with wider British cultural norms, contributing to emotional distress and reduced </w:t>
      </w:r>
      <w:r w:rsidR="00A916D4" w:rsidRPr="00A916D4">
        <w:rPr>
          <w:rFonts w:ascii="Arial" w:hAnsi="Arial" w:cs="Arial"/>
        </w:rPr>
        <w:lastRenderedPageBreak/>
        <w:t xml:space="preserve">wellbeing (Dogra </w:t>
      </w:r>
      <w:r w:rsidR="00A916D4" w:rsidRPr="00A916D4">
        <w:rPr>
          <w:rFonts w:ascii="Arial" w:hAnsi="Arial" w:cs="Arial"/>
          <w:i/>
          <w:iCs/>
        </w:rPr>
        <w:t>et al.</w:t>
      </w:r>
      <w:r w:rsidR="00A916D4" w:rsidRPr="00A916D4">
        <w:rPr>
          <w:rFonts w:ascii="Arial" w:hAnsi="Arial" w:cs="Arial"/>
        </w:rPr>
        <w:t xml:space="preserve">, 2023). Despite increasing recognition of these issues, evidence remains fragmented and often combines South Asian populations with broader Black and Minority Ethnic groups, reducing understanding of culturally specific experiences (Kapadia </w:t>
      </w:r>
      <w:r w:rsidR="00A916D4" w:rsidRPr="00A916D4">
        <w:rPr>
          <w:rFonts w:ascii="Arial" w:hAnsi="Arial" w:cs="Arial"/>
          <w:i/>
          <w:iCs/>
        </w:rPr>
        <w:t>et al.</w:t>
      </w:r>
      <w:r w:rsidR="00A916D4" w:rsidRPr="00A916D4">
        <w:rPr>
          <w:rFonts w:ascii="Arial" w:hAnsi="Arial" w:cs="Arial"/>
        </w:rPr>
        <w:t>, 2022).</w:t>
      </w:r>
    </w:p>
    <w:p w14:paraId="2E75ECCC" w14:textId="77777777" w:rsidR="00A916D4" w:rsidRDefault="00A916D4" w:rsidP="00A916D4">
      <w:pPr>
        <w:rPr>
          <w:rFonts w:ascii="Arial" w:hAnsi="Arial" w:cs="Arial"/>
        </w:rPr>
      </w:pPr>
      <w:r w:rsidRPr="00A916D4">
        <w:rPr>
          <w:rFonts w:ascii="Arial" w:hAnsi="Arial" w:cs="Arial"/>
        </w:rPr>
        <w:t>A systematic literature review is therefore justified because it provides a structured and transparent method for critically evaluating existing evidence, identifying methodological strengths and limitations, and highlighting areas requiring further investigation (Snyder, 2019). The findings will contribute to the evidence base supporting culturally competent public health practice and may inform future policy, education and service development aimed at reducing mental health inequalities.</w:t>
      </w:r>
    </w:p>
    <w:p w14:paraId="34C40DE5" w14:textId="77777777" w:rsidR="003E2D8B" w:rsidRPr="00A916D4" w:rsidRDefault="003E2D8B" w:rsidP="00A916D4">
      <w:pPr>
        <w:rPr>
          <w:rFonts w:ascii="Arial" w:hAnsi="Arial" w:cs="Arial"/>
        </w:rPr>
      </w:pPr>
    </w:p>
    <w:p w14:paraId="7D0A1B22" w14:textId="77777777" w:rsidR="00A916D4" w:rsidRPr="003E2D8B" w:rsidRDefault="00A916D4" w:rsidP="00A916D4">
      <w:pPr>
        <w:rPr>
          <w:rFonts w:ascii="Arial" w:hAnsi="Arial" w:cs="Arial"/>
          <w:b/>
          <w:bCs/>
          <w:sz w:val="28"/>
          <w:szCs w:val="28"/>
        </w:rPr>
      </w:pPr>
      <w:r w:rsidRPr="003E2D8B">
        <w:rPr>
          <w:rFonts w:ascii="Arial" w:hAnsi="Arial" w:cs="Arial"/>
          <w:b/>
          <w:bCs/>
          <w:sz w:val="28"/>
          <w:szCs w:val="28"/>
        </w:rPr>
        <w:t>4. Research Question</w:t>
      </w:r>
    </w:p>
    <w:p w14:paraId="07BFDD11" w14:textId="77777777" w:rsidR="00A916D4" w:rsidRDefault="00A916D4" w:rsidP="00A916D4">
      <w:pPr>
        <w:rPr>
          <w:rFonts w:ascii="Arial" w:hAnsi="Arial" w:cs="Arial"/>
          <w:b/>
          <w:bCs/>
        </w:rPr>
      </w:pPr>
      <w:r w:rsidRPr="00A916D4">
        <w:rPr>
          <w:rFonts w:ascii="Arial" w:hAnsi="Arial" w:cs="Arial"/>
          <w:b/>
          <w:bCs/>
        </w:rPr>
        <w:t>How do cultural influences affect anxiety among South Asian adolescents living in the United Kingdom?</w:t>
      </w:r>
    </w:p>
    <w:p w14:paraId="4AC37646" w14:textId="77777777" w:rsidR="003E2D8B" w:rsidRPr="00A916D4" w:rsidRDefault="003E2D8B" w:rsidP="00A916D4">
      <w:pPr>
        <w:rPr>
          <w:rFonts w:ascii="Arial" w:hAnsi="Arial" w:cs="Arial"/>
        </w:rPr>
      </w:pPr>
    </w:p>
    <w:p w14:paraId="66909670" w14:textId="77777777" w:rsidR="00A916D4" w:rsidRPr="003E2D8B" w:rsidRDefault="00A916D4" w:rsidP="00A916D4">
      <w:pPr>
        <w:rPr>
          <w:rFonts w:ascii="Arial" w:hAnsi="Arial" w:cs="Arial"/>
          <w:b/>
          <w:bCs/>
          <w:sz w:val="28"/>
          <w:szCs w:val="28"/>
        </w:rPr>
      </w:pPr>
      <w:r w:rsidRPr="003E2D8B">
        <w:rPr>
          <w:rFonts w:ascii="Arial" w:hAnsi="Arial" w:cs="Arial"/>
          <w:b/>
          <w:bCs/>
          <w:sz w:val="28"/>
          <w:szCs w:val="28"/>
        </w:rPr>
        <w:t>5. Research Aim</w:t>
      </w:r>
    </w:p>
    <w:p w14:paraId="53E8288B" w14:textId="77777777" w:rsidR="00A916D4" w:rsidRDefault="00A916D4" w:rsidP="00A916D4">
      <w:pPr>
        <w:rPr>
          <w:rFonts w:ascii="Arial" w:hAnsi="Arial" w:cs="Arial"/>
        </w:rPr>
      </w:pPr>
      <w:r w:rsidRPr="00A916D4">
        <w:rPr>
          <w:rFonts w:ascii="Arial" w:hAnsi="Arial" w:cs="Arial"/>
        </w:rPr>
        <w:t>To critically evaluate and synthesise the current evidence regarding the cultural influences affecting anxiety among South Asian adolescents in the United Kingdom and to examine the implications for public health and social care practice.</w:t>
      </w:r>
    </w:p>
    <w:p w14:paraId="7706FE64" w14:textId="77777777" w:rsidR="003E2D8B" w:rsidRPr="00A916D4" w:rsidRDefault="003E2D8B" w:rsidP="00A916D4">
      <w:pPr>
        <w:rPr>
          <w:rFonts w:ascii="Arial" w:hAnsi="Arial" w:cs="Arial"/>
        </w:rPr>
      </w:pPr>
    </w:p>
    <w:p w14:paraId="0C683EE1" w14:textId="77777777" w:rsidR="00A916D4" w:rsidRPr="003E2D8B" w:rsidRDefault="00A916D4" w:rsidP="00A916D4">
      <w:pPr>
        <w:rPr>
          <w:rFonts w:ascii="Arial" w:hAnsi="Arial" w:cs="Arial"/>
          <w:b/>
          <w:bCs/>
          <w:sz w:val="28"/>
          <w:szCs w:val="28"/>
        </w:rPr>
      </w:pPr>
      <w:r w:rsidRPr="003E2D8B">
        <w:rPr>
          <w:rFonts w:ascii="Arial" w:hAnsi="Arial" w:cs="Arial"/>
          <w:b/>
          <w:bCs/>
          <w:sz w:val="28"/>
          <w:szCs w:val="28"/>
        </w:rPr>
        <w:t>6. Research Objectives</w:t>
      </w:r>
    </w:p>
    <w:p w14:paraId="1641042C" w14:textId="77777777" w:rsidR="00A916D4" w:rsidRPr="00A916D4" w:rsidRDefault="00A916D4" w:rsidP="00A916D4">
      <w:pPr>
        <w:rPr>
          <w:rFonts w:ascii="Arial" w:hAnsi="Arial" w:cs="Arial"/>
        </w:rPr>
      </w:pPr>
      <w:r w:rsidRPr="00A916D4">
        <w:rPr>
          <w:rFonts w:ascii="Arial" w:hAnsi="Arial" w:cs="Arial"/>
        </w:rPr>
        <w:t>The objectives of this research are to:</w:t>
      </w:r>
    </w:p>
    <w:p w14:paraId="5749DBEF" w14:textId="77777777" w:rsidR="00A916D4" w:rsidRPr="00A916D4" w:rsidRDefault="00A916D4" w:rsidP="00A916D4">
      <w:pPr>
        <w:numPr>
          <w:ilvl w:val="0"/>
          <w:numId w:val="33"/>
        </w:numPr>
        <w:rPr>
          <w:rFonts w:ascii="Arial" w:hAnsi="Arial" w:cs="Arial"/>
        </w:rPr>
      </w:pPr>
      <w:r w:rsidRPr="00A916D4">
        <w:rPr>
          <w:rFonts w:ascii="Arial" w:hAnsi="Arial" w:cs="Arial"/>
        </w:rPr>
        <w:t>Critically examine the prevalence of anxiety among South Asian adolescents in the United Kingdom.</w:t>
      </w:r>
    </w:p>
    <w:p w14:paraId="47873265" w14:textId="77777777" w:rsidR="00A916D4" w:rsidRPr="00A916D4" w:rsidRDefault="00A916D4" w:rsidP="00A916D4">
      <w:pPr>
        <w:numPr>
          <w:ilvl w:val="0"/>
          <w:numId w:val="33"/>
        </w:numPr>
        <w:rPr>
          <w:rFonts w:ascii="Arial" w:hAnsi="Arial" w:cs="Arial"/>
        </w:rPr>
      </w:pPr>
      <w:r w:rsidRPr="00A916D4">
        <w:rPr>
          <w:rFonts w:ascii="Arial" w:hAnsi="Arial" w:cs="Arial"/>
        </w:rPr>
        <w:t>Evaluate how cultural beliefs, family expectations, religion and identity influence anxiety.</w:t>
      </w:r>
    </w:p>
    <w:p w14:paraId="28A52CFA" w14:textId="77777777" w:rsidR="00A916D4" w:rsidRPr="00A916D4" w:rsidRDefault="00A916D4" w:rsidP="00A916D4">
      <w:pPr>
        <w:numPr>
          <w:ilvl w:val="0"/>
          <w:numId w:val="33"/>
        </w:numPr>
        <w:rPr>
          <w:rFonts w:ascii="Arial" w:hAnsi="Arial" w:cs="Arial"/>
        </w:rPr>
      </w:pPr>
      <w:r w:rsidRPr="00A916D4">
        <w:rPr>
          <w:rFonts w:ascii="Arial" w:hAnsi="Arial" w:cs="Arial"/>
        </w:rPr>
        <w:t>Explore the impact of stigma, discrimination and barriers to help-seeking on mental health outcomes.</w:t>
      </w:r>
    </w:p>
    <w:p w14:paraId="63BB35F4" w14:textId="77777777" w:rsidR="00A916D4" w:rsidRPr="00A916D4" w:rsidRDefault="00A916D4" w:rsidP="00A916D4">
      <w:pPr>
        <w:numPr>
          <w:ilvl w:val="0"/>
          <w:numId w:val="33"/>
        </w:numPr>
        <w:rPr>
          <w:rFonts w:ascii="Arial" w:hAnsi="Arial" w:cs="Arial"/>
        </w:rPr>
      </w:pPr>
      <w:r w:rsidRPr="00A916D4">
        <w:rPr>
          <w:rFonts w:ascii="Arial" w:hAnsi="Arial" w:cs="Arial"/>
        </w:rPr>
        <w:t>Critically appraise evidence relating to culturally competent mental health services.</w:t>
      </w:r>
    </w:p>
    <w:p w14:paraId="2011C841" w14:textId="77777777" w:rsidR="00A916D4" w:rsidRDefault="00A916D4" w:rsidP="00A916D4">
      <w:pPr>
        <w:numPr>
          <w:ilvl w:val="0"/>
          <w:numId w:val="33"/>
        </w:numPr>
        <w:rPr>
          <w:rFonts w:ascii="Arial" w:hAnsi="Arial" w:cs="Arial"/>
        </w:rPr>
      </w:pPr>
      <w:r w:rsidRPr="00A916D4">
        <w:rPr>
          <w:rFonts w:ascii="Arial" w:hAnsi="Arial" w:cs="Arial"/>
        </w:rPr>
        <w:t>Identify research gaps and develop recommendations for public health practice, policy and future research.</w:t>
      </w:r>
    </w:p>
    <w:p w14:paraId="0BEC995A" w14:textId="77777777" w:rsidR="003E2D8B" w:rsidRPr="00A916D4" w:rsidRDefault="003E2D8B" w:rsidP="003E2D8B">
      <w:pPr>
        <w:ind w:left="720"/>
        <w:rPr>
          <w:rFonts w:ascii="Arial" w:hAnsi="Arial" w:cs="Arial"/>
        </w:rPr>
      </w:pPr>
    </w:p>
    <w:p w14:paraId="653C2DB1" w14:textId="77777777" w:rsidR="00A916D4" w:rsidRPr="0067185A" w:rsidRDefault="00A916D4" w:rsidP="00A916D4">
      <w:pPr>
        <w:rPr>
          <w:rFonts w:ascii="Arial" w:hAnsi="Arial" w:cs="Arial"/>
          <w:b/>
          <w:bCs/>
          <w:sz w:val="28"/>
          <w:szCs w:val="28"/>
        </w:rPr>
      </w:pPr>
      <w:r w:rsidRPr="0067185A">
        <w:rPr>
          <w:rFonts w:ascii="Arial" w:hAnsi="Arial" w:cs="Arial"/>
          <w:b/>
          <w:bCs/>
          <w:sz w:val="28"/>
          <w:szCs w:val="28"/>
        </w:rPr>
        <w:t>7. Research Methodology</w:t>
      </w:r>
    </w:p>
    <w:p w14:paraId="2EA201A3" w14:textId="6BA9E433" w:rsidR="002D51E2" w:rsidRDefault="005B112E" w:rsidP="00A916D4">
      <w:pPr>
        <w:rPr>
          <w:rFonts w:ascii="Arial" w:hAnsi="Arial" w:cs="Arial"/>
        </w:rPr>
      </w:pPr>
      <w:r w:rsidRPr="005B112E">
        <w:rPr>
          <w:rFonts w:ascii="Arial" w:hAnsi="Arial" w:cs="Arial"/>
        </w:rPr>
        <w:t xml:space="preserve">A </w:t>
      </w:r>
      <w:r w:rsidRPr="007860A9">
        <w:rPr>
          <w:rFonts w:ascii="Arial" w:hAnsi="Arial" w:cs="Arial"/>
          <w:b/>
          <w:bCs/>
        </w:rPr>
        <w:t>systematic literature review</w:t>
      </w:r>
      <w:r w:rsidRPr="005B112E">
        <w:rPr>
          <w:rFonts w:ascii="Arial" w:hAnsi="Arial" w:cs="Arial"/>
        </w:rPr>
        <w:t xml:space="preserve"> </w:t>
      </w:r>
      <w:r w:rsidRPr="00F145B7">
        <w:rPr>
          <w:rFonts w:ascii="Arial" w:hAnsi="Arial" w:cs="Arial"/>
          <w:b/>
          <w:bCs/>
        </w:rPr>
        <w:t>(SLR)</w:t>
      </w:r>
      <w:r w:rsidRPr="005B112E">
        <w:rPr>
          <w:rFonts w:ascii="Arial" w:hAnsi="Arial" w:cs="Arial"/>
        </w:rPr>
        <w:t xml:space="preserve"> will be used in this study's </w:t>
      </w:r>
      <w:r w:rsidRPr="00700ADD">
        <w:rPr>
          <w:rFonts w:ascii="Arial" w:hAnsi="Arial" w:cs="Arial"/>
          <w:b/>
          <w:bCs/>
        </w:rPr>
        <w:t xml:space="preserve">secondary research </w:t>
      </w:r>
      <w:r w:rsidR="00651237">
        <w:rPr>
          <w:rFonts w:ascii="Arial" w:hAnsi="Arial" w:cs="Arial"/>
          <w:b/>
          <w:bCs/>
        </w:rPr>
        <w:t>m</w:t>
      </w:r>
      <w:r w:rsidR="00422311">
        <w:rPr>
          <w:rFonts w:ascii="Arial" w:hAnsi="Arial" w:cs="Arial"/>
          <w:b/>
          <w:bCs/>
        </w:rPr>
        <w:t>ethodology</w:t>
      </w:r>
      <w:r w:rsidRPr="00700ADD">
        <w:rPr>
          <w:rFonts w:ascii="Arial" w:hAnsi="Arial" w:cs="Arial"/>
          <w:b/>
          <w:bCs/>
        </w:rPr>
        <w:t>.</w:t>
      </w:r>
      <w:r w:rsidRPr="005B112E">
        <w:rPr>
          <w:rFonts w:ascii="Arial" w:hAnsi="Arial" w:cs="Arial"/>
        </w:rPr>
        <w:t xml:space="preserve"> Because it allows for thorough identification, critical evaluation, and synthesis of published evidence using an open and repeatable process, an SLR is suitable (Page et al., 2021). </w:t>
      </w:r>
      <w:r w:rsidRPr="009E36E5">
        <w:rPr>
          <w:rFonts w:ascii="Arial" w:hAnsi="Arial" w:cs="Arial"/>
          <w:b/>
          <w:bCs/>
        </w:rPr>
        <w:t>Systematic reviews</w:t>
      </w:r>
      <w:r w:rsidRPr="005B112E">
        <w:rPr>
          <w:rFonts w:ascii="Arial" w:hAnsi="Arial" w:cs="Arial"/>
        </w:rPr>
        <w:t xml:space="preserve"> increase the dependability and trustworthiness of the results by reducing selection bias through specified reporting procedures and predetermined eligibility criteria, in contrast to traditional narrative reviews (Aromataris and Munn, 2020</w:t>
      </w:r>
      <w:r w:rsidR="002E408D" w:rsidRPr="005B112E">
        <w:rPr>
          <w:rFonts w:ascii="Arial" w:hAnsi="Arial" w:cs="Arial"/>
        </w:rPr>
        <w:t>).</w:t>
      </w:r>
      <w:r w:rsidR="002E408D" w:rsidRPr="00A916D4">
        <w:rPr>
          <w:rFonts w:ascii="Arial" w:hAnsi="Arial" w:cs="Arial"/>
        </w:rPr>
        <w:t xml:space="preserve"> </w:t>
      </w:r>
    </w:p>
    <w:p w14:paraId="5156FADD" w14:textId="12BE6E81" w:rsidR="00A916D4" w:rsidRPr="00A916D4" w:rsidRDefault="002E408D" w:rsidP="00A916D4">
      <w:pPr>
        <w:rPr>
          <w:rFonts w:ascii="Arial" w:hAnsi="Arial" w:cs="Arial"/>
        </w:rPr>
      </w:pPr>
      <w:r w:rsidRPr="00A916D4">
        <w:rPr>
          <w:rFonts w:ascii="Arial" w:hAnsi="Arial" w:cs="Arial"/>
        </w:rPr>
        <w:lastRenderedPageBreak/>
        <w:t>The</w:t>
      </w:r>
      <w:r w:rsidR="00A916D4" w:rsidRPr="00A916D4">
        <w:rPr>
          <w:rFonts w:ascii="Arial" w:hAnsi="Arial" w:cs="Arial"/>
        </w:rPr>
        <w:t xml:space="preserve"> review will be guided by the </w:t>
      </w:r>
      <w:r w:rsidR="00A916D4" w:rsidRPr="00A916D4">
        <w:rPr>
          <w:rFonts w:ascii="Arial" w:hAnsi="Arial" w:cs="Arial"/>
          <w:b/>
          <w:bCs/>
        </w:rPr>
        <w:t>Population–Exposure–Outcome (PEO)</w:t>
      </w:r>
      <w:r w:rsidR="00A916D4" w:rsidRPr="00A916D4">
        <w:rPr>
          <w:rFonts w:ascii="Arial" w:hAnsi="Arial" w:cs="Arial"/>
        </w:rPr>
        <w:t xml:space="preserve"> framework because the research explores experiences rather than interventions (Bettany-Saltikov, 2016).</w:t>
      </w:r>
    </w:p>
    <w:p w14:paraId="10E2D8D0" w14:textId="77777777" w:rsidR="00A916D4" w:rsidRPr="00A916D4" w:rsidRDefault="00A916D4" w:rsidP="00A916D4">
      <w:pPr>
        <w:rPr>
          <w:rFonts w:ascii="Arial" w:hAnsi="Arial" w:cs="Arial"/>
        </w:rPr>
      </w:pPr>
      <w:r w:rsidRPr="00A916D4">
        <w:rPr>
          <w:rFonts w:ascii="Arial" w:hAnsi="Arial" w:cs="Arial"/>
          <w:b/>
          <w:bCs/>
        </w:rPr>
        <w:t>Population (P):</w:t>
      </w:r>
      <w:r w:rsidRPr="00A916D4">
        <w:rPr>
          <w:rFonts w:ascii="Arial" w:hAnsi="Arial" w:cs="Arial"/>
        </w:rPr>
        <w:t xml:space="preserve"> South Asian adolescents (10–19 years) living in the United Kingdom.</w:t>
      </w:r>
    </w:p>
    <w:p w14:paraId="69A465F2" w14:textId="77777777" w:rsidR="00A916D4" w:rsidRPr="00A916D4" w:rsidRDefault="00A916D4" w:rsidP="00A916D4">
      <w:pPr>
        <w:rPr>
          <w:rFonts w:ascii="Arial" w:hAnsi="Arial" w:cs="Arial"/>
        </w:rPr>
      </w:pPr>
      <w:r w:rsidRPr="00A916D4">
        <w:rPr>
          <w:rFonts w:ascii="Arial" w:hAnsi="Arial" w:cs="Arial"/>
          <w:b/>
          <w:bCs/>
        </w:rPr>
        <w:t>Exposure (E):</w:t>
      </w:r>
      <w:r w:rsidRPr="00A916D4">
        <w:rPr>
          <w:rFonts w:ascii="Arial" w:hAnsi="Arial" w:cs="Arial"/>
        </w:rPr>
        <w:t xml:space="preserve"> Cultural influences, including stigma, family expectations, religion, discrimination, identity and cultural beliefs.</w:t>
      </w:r>
    </w:p>
    <w:p w14:paraId="62E7F291" w14:textId="77777777" w:rsidR="00A916D4" w:rsidRPr="00A916D4" w:rsidRDefault="00A916D4" w:rsidP="00A916D4">
      <w:pPr>
        <w:rPr>
          <w:rFonts w:ascii="Arial" w:hAnsi="Arial" w:cs="Arial"/>
        </w:rPr>
      </w:pPr>
      <w:r w:rsidRPr="00A916D4">
        <w:rPr>
          <w:rFonts w:ascii="Arial" w:hAnsi="Arial" w:cs="Arial"/>
          <w:b/>
          <w:bCs/>
        </w:rPr>
        <w:t>Outcome (O):</w:t>
      </w:r>
      <w:r w:rsidRPr="00A916D4">
        <w:rPr>
          <w:rFonts w:ascii="Arial" w:hAnsi="Arial" w:cs="Arial"/>
        </w:rPr>
        <w:t xml:space="preserve"> Anxiety, psychological wellbeing, help-seeking behaviours and access to mental health services.</w:t>
      </w:r>
    </w:p>
    <w:p w14:paraId="775195F7" w14:textId="77777777" w:rsidR="00A916D4" w:rsidRPr="00A916D4" w:rsidRDefault="00A916D4" w:rsidP="00A916D4">
      <w:pPr>
        <w:rPr>
          <w:rFonts w:ascii="Arial" w:hAnsi="Arial" w:cs="Arial"/>
        </w:rPr>
      </w:pPr>
      <w:r w:rsidRPr="00A916D4">
        <w:rPr>
          <w:rFonts w:ascii="Arial" w:hAnsi="Arial" w:cs="Arial"/>
        </w:rPr>
        <w:t>The PEO framework will inform the search strategy and ensure that the review remains focused on evidence directly addressing the research question.</w:t>
      </w:r>
    </w:p>
    <w:p w14:paraId="2359892B" w14:textId="77777777" w:rsidR="00DA7BD5" w:rsidRPr="00DA7BD5" w:rsidRDefault="00DA7BD5" w:rsidP="00DA7BD5">
      <w:pPr>
        <w:rPr>
          <w:rFonts w:ascii="Arial" w:hAnsi="Arial" w:cs="Arial"/>
          <w:b/>
          <w:bCs/>
        </w:rPr>
      </w:pPr>
      <w:r w:rsidRPr="00DA7BD5">
        <w:rPr>
          <w:rFonts w:ascii="Arial" w:hAnsi="Arial" w:cs="Arial"/>
          <w:b/>
          <w:bCs/>
        </w:rPr>
        <w:t>Research Design</w:t>
      </w:r>
    </w:p>
    <w:p w14:paraId="3CEFECCB" w14:textId="77777777" w:rsidR="00DA7BD5" w:rsidRPr="00DA7BD5" w:rsidRDefault="00DA7BD5" w:rsidP="00DA7BD5">
      <w:pPr>
        <w:rPr>
          <w:rFonts w:ascii="Arial" w:hAnsi="Arial" w:cs="Arial"/>
        </w:rPr>
      </w:pPr>
      <w:r w:rsidRPr="00DA7BD5">
        <w:rPr>
          <w:rFonts w:ascii="Arial" w:hAnsi="Arial" w:cs="Arial"/>
        </w:rPr>
        <w:t xml:space="preserve">A </w:t>
      </w:r>
      <w:r w:rsidRPr="00DA7BD5">
        <w:rPr>
          <w:rFonts w:ascii="Arial" w:hAnsi="Arial" w:cs="Arial"/>
          <w:b/>
          <w:bCs/>
        </w:rPr>
        <w:t>systematic literature review (SLR)</w:t>
      </w:r>
      <w:r w:rsidRPr="00DA7BD5">
        <w:rPr>
          <w:rFonts w:ascii="Arial" w:hAnsi="Arial" w:cs="Arial"/>
        </w:rPr>
        <w:t xml:space="preserve"> will be undertaken to identify, critically appraise and synthesise published evidence relating to the cultural influences on anxiety among South Asian adolescents in the United Kingdom. Systematic reviews are recognised as a rigorous research design because they employ explicit, transparent and reproducible methods that minimise selection bias and improve the reliability of evidence synthesis (Page </w:t>
      </w:r>
      <w:r w:rsidRPr="00DA7BD5">
        <w:rPr>
          <w:rFonts w:ascii="Arial" w:hAnsi="Arial" w:cs="Arial"/>
          <w:i/>
          <w:iCs/>
        </w:rPr>
        <w:t>et al.</w:t>
      </w:r>
      <w:r w:rsidRPr="00DA7BD5">
        <w:rPr>
          <w:rFonts w:ascii="Arial" w:hAnsi="Arial" w:cs="Arial"/>
        </w:rPr>
        <w:t xml:space="preserve">, 2021; Higgins </w:t>
      </w:r>
      <w:r w:rsidRPr="00DA7BD5">
        <w:rPr>
          <w:rFonts w:ascii="Arial" w:hAnsi="Arial" w:cs="Arial"/>
          <w:i/>
          <w:iCs/>
        </w:rPr>
        <w:t>et al.</w:t>
      </w:r>
      <w:r w:rsidRPr="00DA7BD5">
        <w:rPr>
          <w:rFonts w:ascii="Arial" w:hAnsi="Arial" w:cs="Arial"/>
        </w:rPr>
        <w:t>, 2022). Unlike narrative reviews, systematic reviews require predefined protocols, comprehensive database searches and structured critical appraisal, strengthening methodological transparency.</w:t>
      </w:r>
    </w:p>
    <w:p w14:paraId="5B5C0E19" w14:textId="77777777" w:rsidR="00DA7BD5" w:rsidRPr="00DA7BD5" w:rsidRDefault="00DA7BD5" w:rsidP="00DA7BD5">
      <w:pPr>
        <w:rPr>
          <w:rFonts w:ascii="Arial" w:hAnsi="Arial" w:cs="Arial"/>
          <w:b/>
          <w:bCs/>
        </w:rPr>
      </w:pPr>
      <w:r w:rsidRPr="00DA7BD5">
        <w:rPr>
          <w:rFonts w:ascii="Arial" w:hAnsi="Arial" w:cs="Arial"/>
          <w:b/>
          <w:bCs/>
        </w:rPr>
        <w:t>PRISMA Framework</w:t>
      </w:r>
    </w:p>
    <w:p w14:paraId="7595B390" w14:textId="09B6C833" w:rsidR="00DA7BD5" w:rsidRPr="00DA7BD5" w:rsidRDefault="00DA7BD5" w:rsidP="00DA7BD5">
      <w:pPr>
        <w:rPr>
          <w:rFonts w:ascii="Arial" w:hAnsi="Arial" w:cs="Arial"/>
        </w:rPr>
      </w:pPr>
      <w:r w:rsidRPr="00DA7BD5">
        <w:rPr>
          <w:rFonts w:ascii="Arial" w:hAnsi="Arial" w:cs="Arial"/>
        </w:rPr>
        <w:t xml:space="preserve">The review will follow the </w:t>
      </w:r>
      <w:r w:rsidRPr="00DA7BD5">
        <w:rPr>
          <w:rFonts w:ascii="Arial" w:hAnsi="Arial" w:cs="Arial"/>
          <w:b/>
          <w:bCs/>
        </w:rPr>
        <w:t>Preferred Reporting Items for Systematic Reviews and Meta-Analyses (PRISMA 2020)</w:t>
      </w:r>
      <w:r w:rsidRPr="00DA7BD5">
        <w:rPr>
          <w:rFonts w:ascii="Arial" w:hAnsi="Arial" w:cs="Arial"/>
        </w:rPr>
        <w:t xml:space="preserve"> guidelines (Page </w:t>
      </w:r>
      <w:r w:rsidRPr="00DA7BD5">
        <w:rPr>
          <w:rFonts w:ascii="Arial" w:hAnsi="Arial" w:cs="Arial"/>
          <w:i/>
          <w:iCs/>
        </w:rPr>
        <w:t>et al.</w:t>
      </w:r>
      <w:r w:rsidRPr="00DA7BD5">
        <w:rPr>
          <w:rFonts w:ascii="Arial" w:hAnsi="Arial" w:cs="Arial"/>
        </w:rPr>
        <w:t>, 2021). PRISMA provides a structured framework for documenting study</w:t>
      </w:r>
      <w:r w:rsidR="00EB271C" w:rsidRPr="00EB271C">
        <w:t xml:space="preserve"> </w:t>
      </w:r>
      <w:r w:rsidR="00EB271C" w:rsidRPr="00EB271C">
        <w:rPr>
          <w:rFonts w:ascii="Arial" w:hAnsi="Arial" w:cs="Arial"/>
        </w:rPr>
        <w:t>identification, screening, evaluation of eligibility, and inclusion,</w:t>
      </w:r>
      <w:r w:rsidRPr="00DA7BD5">
        <w:rPr>
          <w:rFonts w:ascii="Arial" w:hAnsi="Arial" w:cs="Arial"/>
        </w:rPr>
        <w:t xml:space="preserve"> thereby improving transparency and reproducibility. A PRISMA flow diagram will be used to demonstrate the selection process and reasons for study exclusion.</w:t>
      </w:r>
    </w:p>
    <w:p w14:paraId="0B169D64" w14:textId="77777777" w:rsidR="00DA7BD5" w:rsidRPr="00DA7BD5" w:rsidRDefault="00DA7BD5" w:rsidP="00DA7BD5">
      <w:pPr>
        <w:rPr>
          <w:rFonts w:ascii="Arial" w:hAnsi="Arial" w:cs="Arial"/>
          <w:b/>
          <w:bCs/>
        </w:rPr>
      </w:pPr>
      <w:r w:rsidRPr="00DA7BD5">
        <w:rPr>
          <w:rFonts w:ascii="Arial" w:hAnsi="Arial" w:cs="Arial"/>
          <w:b/>
          <w:bCs/>
        </w:rPr>
        <w:t>Data Sources</w:t>
      </w:r>
    </w:p>
    <w:p w14:paraId="7DA0C563" w14:textId="77777777" w:rsidR="00DA7BD5" w:rsidRPr="00DA7BD5" w:rsidRDefault="00DA7BD5" w:rsidP="00DA7BD5">
      <w:pPr>
        <w:rPr>
          <w:rFonts w:ascii="Arial" w:hAnsi="Arial" w:cs="Arial"/>
        </w:rPr>
      </w:pPr>
      <w:r w:rsidRPr="00DA7BD5">
        <w:rPr>
          <w:rFonts w:ascii="Arial" w:hAnsi="Arial" w:cs="Arial"/>
        </w:rPr>
        <w:t xml:space="preserve">Electronic searches will be undertaken using </w:t>
      </w:r>
      <w:r w:rsidRPr="00DA7BD5">
        <w:rPr>
          <w:rFonts w:ascii="Arial" w:hAnsi="Arial" w:cs="Arial"/>
          <w:b/>
          <w:bCs/>
        </w:rPr>
        <w:t>PubMed</w:t>
      </w:r>
      <w:r w:rsidRPr="00DA7BD5">
        <w:rPr>
          <w:rFonts w:ascii="Arial" w:hAnsi="Arial" w:cs="Arial"/>
        </w:rPr>
        <w:t xml:space="preserve">, </w:t>
      </w:r>
      <w:r w:rsidRPr="00DA7BD5">
        <w:rPr>
          <w:rFonts w:ascii="Arial" w:hAnsi="Arial" w:cs="Arial"/>
          <w:b/>
          <w:bCs/>
        </w:rPr>
        <w:t>MEDLINE</w:t>
      </w:r>
      <w:r w:rsidRPr="00DA7BD5">
        <w:rPr>
          <w:rFonts w:ascii="Arial" w:hAnsi="Arial" w:cs="Arial"/>
        </w:rPr>
        <w:t xml:space="preserve">, </w:t>
      </w:r>
      <w:r w:rsidRPr="00DA7BD5">
        <w:rPr>
          <w:rFonts w:ascii="Arial" w:hAnsi="Arial" w:cs="Arial"/>
          <w:b/>
          <w:bCs/>
        </w:rPr>
        <w:t>CINAHL Complete</w:t>
      </w:r>
      <w:r w:rsidRPr="00DA7BD5">
        <w:rPr>
          <w:rFonts w:ascii="Arial" w:hAnsi="Arial" w:cs="Arial"/>
        </w:rPr>
        <w:t xml:space="preserve">, </w:t>
      </w:r>
      <w:r w:rsidRPr="00DA7BD5">
        <w:rPr>
          <w:rFonts w:ascii="Arial" w:hAnsi="Arial" w:cs="Arial"/>
          <w:b/>
          <w:bCs/>
        </w:rPr>
        <w:t>PsycINFO</w:t>
      </w:r>
      <w:r w:rsidRPr="00DA7BD5">
        <w:rPr>
          <w:rFonts w:ascii="Arial" w:hAnsi="Arial" w:cs="Arial"/>
        </w:rPr>
        <w:t xml:space="preserve">, </w:t>
      </w:r>
      <w:r w:rsidRPr="00DA7BD5">
        <w:rPr>
          <w:rFonts w:ascii="Arial" w:hAnsi="Arial" w:cs="Arial"/>
          <w:b/>
          <w:bCs/>
        </w:rPr>
        <w:t>Scopus</w:t>
      </w:r>
      <w:r w:rsidRPr="00DA7BD5">
        <w:rPr>
          <w:rFonts w:ascii="Arial" w:hAnsi="Arial" w:cs="Arial"/>
        </w:rPr>
        <w:t xml:space="preserve"> and </w:t>
      </w:r>
      <w:r w:rsidRPr="00DA7BD5">
        <w:rPr>
          <w:rFonts w:ascii="Arial" w:hAnsi="Arial" w:cs="Arial"/>
          <w:b/>
          <w:bCs/>
        </w:rPr>
        <w:t>Google Scholar</w:t>
      </w:r>
      <w:r w:rsidRPr="00DA7BD5">
        <w:rPr>
          <w:rFonts w:ascii="Arial" w:hAnsi="Arial" w:cs="Arial"/>
        </w:rPr>
        <w:t>. These databases were selected because they provide comprehensive access to peer-reviewed literature relating to medicine, psychology, nursing, public health and social care (Aromataris and Munn, 2020). Reference lists of eligible articles will also be manually searched to identify additional relevant studies and minimise publication bias (Booth, Sutton and Papaioannou, 2021).</w:t>
      </w:r>
    </w:p>
    <w:p w14:paraId="1BC172C9" w14:textId="77777777" w:rsidR="00DA7BD5" w:rsidRPr="00DA7BD5" w:rsidRDefault="00DA7BD5" w:rsidP="00DA7BD5">
      <w:pPr>
        <w:rPr>
          <w:rFonts w:ascii="Arial" w:hAnsi="Arial" w:cs="Arial"/>
          <w:b/>
          <w:bCs/>
        </w:rPr>
      </w:pPr>
      <w:r w:rsidRPr="00DA7BD5">
        <w:rPr>
          <w:rFonts w:ascii="Arial" w:hAnsi="Arial" w:cs="Arial"/>
          <w:b/>
          <w:bCs/>
        </w:rPr>
        <w:t>Search Strategy</w:t>
      </w:r>
    </w:p>
    <w:p w14:paraId="675D3A65" w14:textId="77777777" w:rsidR="00DA7BD5" w:rsidRPr="00DA7BD5" w:rsidRDefault="00DA7BD5" w:rsidP="00DA7BD5">
      <w:pPr>
        <w:rPr>
          <w:rFonts w:ascii="Arial" w:hAnsi="Arial" w:cs="Arial"/>
        </w:rPr>
      </w:pPr>
      <w:r w:rsidRPr="00DA7BD5">
        <w:rPr>
          <w:rFonts w:ascii="Arial" w:hAnsi="Arial" w:cs="Arial"/>
        </w:rPr>
        <w:t xml:space="preserve">The search strategy will be developed using the </w:t>
      </w:r>
      <w:r w:rsidRPr="00DA7BD5">
        <w:rPr>
          <w:rFonts w:ascii="Arial" w:hAnsi="Arial" w:cs="Arial"/>
          <w:b/>
          <w:bCs/>
        </w:rPr>
        <w:t>PEO framework</w:t>
      </w:r>
      <w:r w:rsidRPr="00DA7BD5">
        <w:rPr>
          <w:rFonts w:ascii="Arial" w:hAnsi="Arial" w:cs="Arial"/>
        </w:rPr>
        <w:t xml:space="preserve"> and informed by </w:t>
      </w:r>
      <w:r w:rsidRPr="00DA7BD5">
        <w:rPr>
          <w:rFonts w:ascii="Arial" w:hAnsi="Arial" w:cs="Arial"/>
          <w:b/>
          <w:bCs/>
        </w:rPr>
        <w:t>Medical Subject Headings (MeSH)</w:t>
      </w:r>
      <w:r w:rsidRPr="00DA7BD5">
        <w:rPr>
          <w:rFonts w:ascii="Arial" w:hAnsi="Arial" w:cs="Arial"/>
        </w:rPr>
        <w:t xml:space="preserve"> within PubMed. Combining MeSH terms with free-text keywords improves search sensitivity and reduces the likelihood of omitting relevant evidence (Bramer </w:t>
      </w:r>
      <w:r w:rsidRPr="00DA7BD5">
        <w:rPr>
          <w:rFonts w:ascii="Arial" w:hAnsi="Arial" w:cs="Arial"/>
          <w:i/>
          <w:iCs/>
        </w:rPr>
        <w:t>et al.</w:t>
      </w:r>
      <w:r w:rsidRPr="00DA7BD5">
        <w:rPr>
          <w:rFonts w:ascii="Arial" w:hAnsi="Arial" w:cs="Arial"/>
        </w:rPr>
        <w:t>, 2018).</w:t>
      </w:r>
    </w:p>
    <w:p w14:paraId="7E96296D" w14:textId="77777777" w:rsidR="00DA7BD5" w:rsidRPr="00DA7BD5" w:rsidRDefault="00DA7BD5" w:rsidP="00DA7BD5">
      <w:pPr>
        <w:rPr>
          <w:rFonts w:ascii="Arial" w:hAnsi="Arial" w:cs="Arial"/>
        </w:rPr>
      </w:pPr>
      <w:r w:rsidRPr="00DA7BD5">
        <w:rPr>
          <w:rFonts w:ascii="Arial" w:hAnsi="Arial" w:cs="Arial"/>
        </w:rPr>
        <w:t>Key search terms will include:</w:t>
      </w:r>
    </w:p>
    <w:p w14:paraId="61C03AA6" w14:textId="77777777" w:rsidR="00DA7BD5" w:rsidRPr="00DA7BD5" w:rsidRDefault="00DA7BD5" w:rsidP="00DA7BD5">
      <w:pPr>
        <w:numPr>
          <w:ilvl w:val="0"/>
          <w:numId w:val="34"/>
        </w:numPr>
        <w:rPr>
          <w:rFonts w:ascii="Arial" w:hAnsi="Arial" w:cs="Arial"/>
        </w:rPr>
      </w:pPr>
      <w:r w:rsidRPr="00DA7BD5">
        <w:rPr>
          <w:rFonts w:ascii="Arial" w:hAnsi="Arial" w:cs="Arial"/>
        </w:rPr>
        <w:t>South Asian adolescents</w:t>
      </w:r>
    </w:p>
    <w:p w14:paraId="2696DC7B" w14:textId="77777777" w:rsidR="00DA7BD5" w:rsidRPr="00DA7BD5" w:rsidRDefault="00DA7BD5" w:rsidP="00DA7BD5">
      <w:pPr>
        <w:numPr>
          <w:ilvl w:val="0"/>
          <w:numId w:val="34"/>
        </w:numPr>
        <w:rPr>
          <w:rFonts w:ascii="Arial" w:hAnsi="Arial" w:cs="Arial"/>
        </w:rPr>
      </w:pPr>
      <w:r w:rsidRPr="00DA7BD5">
        <w:rPr>
          <w:rFonts w:ascii="Arial" w:hAnsi="Arial" w:cs="Arial"/>
        </w:rPr>
        <w:t>British Pakistani</w:t>
      </w:r>
    </w:p>
    <w:p w14:paraId="04951CED" w14:textId="77777777" w:rsidR="00DA7BD5" w:rsidRPr="00DA7BD5" w:rsidRDefault="00DA7BD5" w:rsidP="00DA7BD5">
      <w:pPr>
        <w:numPr>
          <w:ilvl w:val="0"/>
          <w:numId w:val="34"/>
        </w:numPr>
        <w:rPr>
          <w:rFonts w:ascii="Arial" w:hAnsi="Arial" w:cs="Arial"/>
        </w:rPr>
      </w:pPr>
      <w:r w:rsidRPr="00DA7BD5">
        <w:rPr>
          <w:rFonts w:ascii="Arial" w:hAnsi="Arial" w:cs="Arial"/>
        </w:rPr>
        <w:t>British Indian</w:t>
      </w:r>
    </w:p>
    <w:p w14:paraId="67835316" w14:textId="77777777" w:rsidR="00DA7BD5" w:rsidRPr="00DA7BD5" w:rsidRDefault="00DA7BD5" w:rsidP="00DA7BD5">
      <w:pPr>
        <w:numPr>
          <w:ilvl w:val="0"/>
          <w:numId w:val="34"/>
        </w:numPr>
        <w:rPr>
          <w:rFonts w:ascii="Arial" w:hAnsi="Arial" w:cs="Arial"/>
        </w:rPr>
      </w:pPr>
      <w:r w:rsidRPr="00DA7BD5">
        <w:rPr>
          <w:rFonts w:ascii="Arial" w:hAnsi="Arial" w:cs="Arial"/>
        </w:rPr>
        <w:lastRenderedPageBreak/>
        <w:t>British Bangladeshi</w:t>
      </w:r>
    </w:p>
    <w:p w14:paraId="34176C87" w14:textId="77777777" w:rsidR="00DA7BD5" w:rsidRPr="00DA7BD5" w:rsidRDefault="00DA7BD5" w:rsidP="00DA7BD5">
      <w:pPr>
        <w:numPr>
          <w:ilvl w:val="0"/>
          <w:numId w:val="34"/>
        </w:numPr>
        <w:rPr>
          <w:rFonts w:ascii="Arial" w:hAnsi="Arial" w:cs="Arial"/>
        </w:rPr>
      </w:pPr>
      <w:r w:rsidRPr="00DA7BD5">
        <w:rPr>
          <w:rFonts w:ascii="Arial" w:hAnsi="Arial" w:cs="Arial"/>
        </w:rPr>
        <w:t>anxiety</w:t>
      </w:r>
    </w:p>
    <w:p w14:paraId="01AB425A" w14:textId="77777777" w:rsidR="00DA7BD5" w:rsidRPr="00DA7BD5" w:rsidRDefault="00DA7BD5" w:rsidP="00DA7BD5">
      <w:pPr>
        <w:numPr>
          <w:ilvl w:val="0"/>
          <w:numId w:val="34"/>
        </w:numPr>
        <w:rPr>
          <w:rFonts w:ascii="Arial" w:hAnsi="Arial" w:cs="Arial"/>
        </w:rPr>
      </w:pPr>
      <w:r w:rsidRPr="00DA7BD5">
        <w:rPr>
          <w:rFonts w:ascii="Arial" w:hAnsi="Arial" w:cs="Arial"/>
        </w:rPr>
        <w:t>mental health</w:t>
      </w:r>
    </w:p>
    <w:p w14:paraId="221D18DD" w14:textId="77777777" w:rsidR="00DA7BD5" w:rsidRPr="00DA7BD5" w:rsidRDefault="00DA7BD5" w:rsidP="00DA7BD5">
      <w:pPr>
        <w:numPr>
          <w:ilvl w:val="0"/>
          <w:numId w:val="34"/>
        </w:numPr>
        <w:rPr>
          <w:rFonts w:ascii="Arial" w:hAnsi="Arial" w:cs="Arial"/>
        </w:rPr>
      </w:pPr>
      <w:r w:rsidRPr="00DA7BD5">
        <w:rPr>
          <w:rFonts w:ascii="Arial" w:hAnsi="Arial" w:cs="Arial"/>
        </w:rPr>
        <w:t>cultural beliefs</w:t>
      </w:r>
    </w:p>
    <w:p w14:paraId="514FA988" w14:textId="77777777" w:rsidR="00DA7BD5" w:rsidRPr="00DA7BD5" w:rsidRDefault="00DA7BD5" w:rsidP="00DA7BD5">
      <w:pPr>
        <w:numPr>
          <w:ilvl w:val="0"/>
          <w:numId w:val="34"/>
        </w:numPr>
        <w:rPr>
          <w:rFonts w:ascii="Arial" w:hAnsi="Arial" w:cs="Arial"/>
        </w:rPr>
      </w:pPr>
      <w:r w:rsidRPr="00DA7BD5">
        <w:rPr>
          <w:rFonts w:ascii="Arial" w:hAnsi="Arial" w:cs="Arial"/>
        </w:rPr>
        <w:t>stigma</w:t>
      </w:r>
    </w:p>
    <w:p w14:paraId="7827AFAD" w14:textId="77777777" w:rsidR="00DA7BD5" w:rsidRPr="00DA7BD5" w:rsidRDefault="00DA7BD5" w:rsidP="00DA7BD5">
      <w:pPr>
        <w:numPr>
          <w:ilvl w:val="0"/>
          <w:numId w:val="34"/>
        </w:numPr>
        <w:rPr>
          <w:rFonts w:ascii="Arial" w:hAnsi="Arial" w:cs="Arial"/>
        </w:rPr>
      </w:pPr>
      <w:r w:rsidRPr="00DA7BD5">
        <w:rPr>
          <w:rFonts w:ascii="Arial" w:hAnsi="Arial" w:cs="Arial"/>
        </w:rPr>
        <w:t>discrimination</w:t>
      </w:r>
    </w:p>
    <w:p w14:paraId="258B87EB" w14:textId="77777777" w:rsidR="00DA7BD5" w:rsidRPr="00DA7BD5" w:rsidRDefault="00DA7BD5" w:rsidP="00DA7BD5">
      <w:pPr>
        <w:numPr>
          <w:ilvl w:val="0"/>
          <w:numId w:val="34"/>
        </w:numPr>
        <w:rPr>
          <w:rFonts w:ascii="Arial" w:hAnsi="Arial" w:cs="Arial"/>
        </w:rPr>
      </w:pPr>
      <w:r w:rsidRPr="00DA7BD5">
        <w:rPr>
          <w:rFonts w:ascii="Arial" w:hAnsi="Arial" w:cs="Arial"/>
        </w:rPr>
        <w:t>family expectations</w:t>
      </w:r>
    </w:p>
    <w:p w14:paraId="74EA16D0" w14:textId="77777777" w:rsidR="00DA7BD5" w:rsidRPr="00DA7BD5" w:rsidRDefault="00DA7BD5" w:rsidP="00DA7BD5">
      <w:pPr>
        <w:numPr>
          <w:ilvl w:val="0"/>
          <w:numId w:val="34"/>
        </w:numPr>
        <w:rPr>
          <w:rFonts w:ascii="Arial" w:hAnsi="Arial" w:cs="Arial"/>
        </w:rPr>
      </w:pPr>
      <w:r w:rsidRPr="00DA7BD5">
        <w:rPr>
          <w:rFonts w:ascii="Arial" w:hAnsi="Arial" w:cs="Arial"/>
        </w:rPr>
        <w:t>help-seeking</w:t>
      </w:r>
    </w:p>
    <w:p w14:paraId="537A1E9A" w14:textId="77777777" w:rsidR="00DA7BD5" w:rsidRPr="00DA7BD5" w:rsidRDefault="00DA7BD5" w:rsidP="00DA7BD5">
      <w:pPr>
        <w:numPr>
          <w:ilvl w:val="0"/>
          <w:numId w:val="34"/>
        </w:numPr>
        <w:rPr>
          <w:rFonts w:ascii="Arial" w:hAnsi="Arial" w:cs="Arial"/>
        </w:rPr>
      </w:pPr>
      <w:r w:rsidRPr="00DA7BD5">
        <w:rPr>
          <w:rFonts w:ascii="Arial" w:hAnsi="Arial" w:cs="Arial"/>
        </w:rPr>
        <w:t>United Kingdom</w:t>
      </w:r>
    </w:p>
    <w:p w14:paraId="0EF4C94C" w14:textId="77777777" w:rsidR="00DA7BD5" w:rsidRPr="00DA7BD5" w:rsidRDefault="00DA7BD5" w:rsidP="00DA7BD5">
      <w:pPr>
        <w:rPr>
          <w:rFonts w:ascii="Arial" w:hAnsi="Arial" w:cs="Arial"/>
        </w:rPr>
      </w:pPr>
      <w:r w:rsidRPr="00DA7BD5">
        <w:rPr>
          <w:rFonts w:ascii="Arial" w:hAnsi="Arial" w:cs="Arial"/>
        </w:rPr>
        <w:t>Boolean operators (</w:t>
      </w:r>
      <w:r w:rsidRPr="00DA7BD5">
        <w:rPr>
          <w:rFonts w:ascii="Arial" w:hAnsi="Arial" w:cs="Arial"/>
          <w:b/>
          <w:bCs/>
        </w:rPr>
        <w:t>AND</w:t>
      </w:r>
      <w:r w:rsidRPr="00DA7BD5">
        <w:rPr>
          <w:rFonts w:ascii="Arial" w:hAnsi="Arial" w:cs="Arial"/>
        </w:rPr>
        <w:t xml:space="preserve">, </w:t>
      </w:r>
      <w:r w:rsidRPr="00DA7BD5">
        <w:rPr>
          <w:rFonts w:ascii="Arial" w:hAnsi="Arial" w:cs="Arial"/>
          <w:b/>
          <w:bCs/>
        </w:rPr>
        <w:t>OR</w:t>
      </w:r>
      <w:r w:rsidRPr="00DA7BD5">
        <w:rPr>
          <w:rFonts w:ascii="Arial" w:hAnsi="Arial" w:cs="Arial"/>
        </w:rPr>
        <w:t>) will combine search terms. An example search string is:</w:t>
      </w:r>
    </w:p>
    <w:p w14:paraId="5FDB29CC" w14:textId="5D7C59BB" w:rsidR="00DA7BD5" w:rsidRPr="00DA7BD5" w:rsidRDefault="00DA7BD5" w:rsidP="00DA7BD5">
      <w:pPr>
        <w:rPr>
          <w:rFonts w:ascii="Arial" w:hAnsi="Arial" w:cs="Arial"/>
        </w:rPr>
      </w:pPr>
      <w:r w:rsidRPr="00DA7BD5">
        <w:rPr>
          <w:rFonts w:ascii="Arial" w:hAnsi="Arial" w:cs="Arial"/>
          <w:i/>
          <w:iCs/>
        </w:rPr>
        <w:t>("South Asian" OR Pakistani OR Indian OR Bangladeshi) AND (adolescent</w:t>
      </w:r>
      <w:r w:rsidRPr="00DA7BD5">
        <w:rPr>
          <w:rFonts w:ascii="Arial" w:hAnsi="Arial" w:cs="Arial"/>
        </w:rPr>
        <w:t xml:space="preserve"> OR youth) AND (anxiety OR "mental health") AND (culture OR stigma OR discrimination OR religion) AND ("United Kingdom" OR UK</w:t>
      </w:r>
      <w:r w:rsidR="00894E1F" w:rsidRPr="00DA7BD5">
        <w:rPr>
          <w:rFonts w:ascii="Arial" w:hAnsi="Arial" w:cs="Arial"/>
        </w:rPr>
        <w:t>). *</w:t>
      </w:r>
      <w:r w:rsidRPr="00DA7BD5">
        <w:rPr>
          <w:rFonts w:ascii="Arial" w:hAnsi="Arial" w:cs="Arial"/>
        </w:rPr>
        <w:t>*</w:t>
      </w:r>
    </w:p>
    <w:p w14:paraId="75DF51FF" w14:textId="0EC32B82" w:rsidR="00DA7BD5" w:rsidRPr="00DA7BD5" w:rsidRDefault="00DA7BD5" w:rsidP="00DA7BD5">
      <w:pPr>
        <w:rPr>
          <w:rFonts w:ascii="Arial" w:hAnsi="Arial" w:cs="Arial"/>
        </w:rPr>
      </w:pPr>
      <w:r w:rsidRPr="00DA7BD5">
        <w:rPr>
          <w:rFonts w:ascii="Arial" w:hAnsi="Arial" w:cs="Arial"/>
        </w:rPr>
        <w:t xml:space="preserve">Relevant PubMed </w:t>
      </w:r>
      <w:r w:rsidRPr="00DA7BD5">
        <w:rPr>
          <w:rFonts w:ascii="Arial" w:hAnsi="Arial" w:cs="Arial"/>
          <w:b/>
          <w:bCs/>
        </w:rPr>
        <w:t>MeSH headings</w:t>
      </w:r>
      <w:r w:rsidRPr="00DA7BD5">
        <w:rPr>
          <w:rFonts w:ascii="Arial" w:hAnsi="Arial" w:cs="Arial"/>
        </w:rPr>
        <w:t xml:space="preserve"> will include </w:t>
      </w:r>
      <w:r w:rsidRPr="00DA7BD5">
        <w:rPr>
          <w:rFonts w:ascii="Arial" w:hAnsi="Arial" w:cs="Arial"/>
          <w:b/>
          <w:bCs/>
        </w:rPr>
        <w:t>Adolescent</w:t>
      </w:r>
      <w:r w:rsidRPr="00DA7BD5">
        <w:rPr>
          <w:rFonts w:ascii="Arial" w:hAnsi="Arial" w:cs="Arial"/>
        </w:rPr>
        <w:t xml:space="preserve">, </w:t>
      </w:r>
      <w:r w:rsidRPr="00DA7BD5">
        <w:rPr>
          <w:rFonts w:ascii="Arial" w:hAnsi="Arial" w:cs="Arial"/>
          <w:b/>
          <w:bCs/>
        </w:rPr>
        <w:t>Anxiety Disorders</w:t>
      </w:r>
      <w:r w:rsidRPr="00DA7BD5">
        <w:rPr>
          <w:rFonts w:ascii="Arial" w:hAnsi="Arial" w:cs="Arial"/>
        </w:rPr>
        <w:t xml:space="preserve">, </w:t>
      </w:r>
      <w:r w:rsidRPr="00DA7BD5">
        <w:rPr>
          <w:rFonts w:ascii="Arial" w:hAnsi="Arial" w:cs="Arial"/>
          <w:b/>
          <w:bCs/>
        </w:rPr>
        <w:t>Mental Health</w:t>
      </w:r>
      <w:r w:rsidRPr="00DA7BD5">
        <w:rPr>
          <w:rFonts w:ascii="Arial" w:hAnsi="Arial" w:cs="Arial"/>
        </w:rPr>
        <w:t xml:space="preserve">, </w:t>
      </w:r>
      <w:r w:rsidRPr="00DA7BD5">
        <w:rPr>
          <w:rFonts w:ascii="Arial" w:hAnsi="Arial" w:cs="Arial"/>
          <w:b/>
          <w:bCs/>
        </w:rPr>
        <w:t>Ethnic Groups</w:t>
      </w:r>
      <w:r w:rsidRPr="00DA7BD5">
        <w:rPr>
          <w:rFonts w:ascii="Arial" w:hAnsi="Arial" w:cs="Arial"/>
        </w:rPr>
        <w:t xml:space="preserve">, </w:t>
      </w:r>
      <w:r w:rsidRPr="00DA7BD5">
        <w:rPr>
          <w:rFonts w:ascii="Arial" w:hAnsi="Arial" w:cs="Arial"/>
          <w:b/>
          <w:bCs/>
        </w:rPr>
        <w:t>Minority Groups</w:t>
      </w:r>
      <w:r w:rsidRPr="00DA7BD5">
        <w:rPr>
          <w:rFonts w:ascii="Arial" w:hAnsi="Arial" w:cs="Arial"/>
        </w:rPr>
        <w:t xml:space="preserve">, </w:t>
      </w:r>
      <w:r w:rsidRPr="00DA7BD5">
        <w:rPr>
          <w:rFonts w:ascii="Arial" w:hAnsi="Arial" w:cs="Arial"/>
          <w:b/>
          <w:bCs/>
        </w:rPr>
        <w:t>Health Services Accessibility</w:t>
      </w:r>
      <w:r w:rsidRPr="00DA7BD5">
        <w:rPr>
          <w:rFonts w:ascii="Arial" w:hAnsi="Arial" w:cs="Arial"/>
        </w:rPr>
        <w:t xml:space="preserve">, </w:t>
      </w:r>
      <w:r w:rsidRPr="00DA7BD5">
        <w:rPr>
          <w:rFonts w:ascii="Arial" w:hAnsi="Arial" w:cs="Arial"/>
          <w:b/>
          <w:bCs/>
        </w:rPr>
        <w:t xml:space="preserve">Help-Seeking </w:t>
      </w:r>
      <w:r w:rsidR="00894E1F" w:rsidRPr="00DA7BD5">
        <w:rPr>
          <w:rFonts w:ascii="Arial" w:hAnsi="Arial" w:cs="Arial"/>
          <w:b/>
          <w:bCs/>
        </w:rPr>
        <w:t>Behaviour</w:t>
      </w:r>
      <w:r w:rsidRPr="00DA7BD5">
        <w:rPr>
          <w:rFonts w:ascii="Arial" w:hAnsi="Arial" w:cs="Arial"/>
        </w:rPr>
        <w:t xml:space="preserve"> and </w:t>
      </w:r>
      <w:r w:rsidRPr="00DA7BD5">
        <w:rPr>
          <w:rFonts w:ascii="Arial" w:hAnsi="Arial" w:cs="Arial"/>
          <w:b/>
          <w:bCs/>
        </w:rPr>
        <w:t>Cultural Characteristics</w:t>
      </w:r>
      <w:r w:rsidRPr="00DA7BD5">
        <w:rPr>
          <w:rFonts w:ascii="Arial" w:hAnsi="Arial" w:cs="Arial"/>
        </w:rPr>
        <w:t>.</w:t>
      </w:r>
    </w:p>
    <w:p w14:paraId="13598A24" w14:textId="77777777" w:rsidR="00DA7BD5" w:rsidRPr="00DA7BD5" w:rsidRDefault="00DA7BD5" w:rsidP="00DA7BD5">
      <w:pPr>
        <w:rPr>
          <w:rFonts w:ascii="Arial" w:hAnsi="Arial" w:cs="Arial"/>
          <w:b/>
          <w:bCs/>
        </w:rPr>
      </w:pPr>
      <w:r w:rsidRPr="00DA7BD5">
        <w:rPr>
          <w:rFonts w:ascii="Arial" w:hAnsi="Arial" w:cs="Arial"/>
          <w:b/>
          <w:bCs/>
        </w:rPr>
        <w:t>Inclusion and Exclusion Criteria</w:t>
      </w:r>
    </w:p>
    <w:p w14:paraId="6D154D22" w14:textId="77777777" w:rsidR="00DA7BD5" w:rsidRPr="00DA7BD5" w:rsidRDefault="00DA7BD5" w:rsidP="00DA7BD5">
      <w:pPr>
        <w:rPr>
          <w:rFonts w:ascii="Arial" w:hAnsi="Arial" w:cs="Arial"/>
        </w:rPr>
      </w:pPr>
      <w:r w:rsidRPr="00DA7BD5">
        <w:rPr>
          <w:rFonts w:ascii="Arial" w:hAnsi="Arial" w:cs="Arial"/>
        </w:rPr>
        <w:t>Studies will be included if they:</w:t>
      </w:r>
    </w:p>
    <w:p w14:paraId="653D0B2F" w14:textId="77777777" w:rsidR="00DA7BD5" w:rsidRPr="00DA7BD5" w:rsidRDefault="00DA7BD5" w:rsidP="00DA7BD5">
      <w:pPr>
        <w:numPr>
          <w:ilvl w:val="0"/>
          <w:numId w:val="35"/>
        </w:numPr>
        <w:rPr>
          <w:rFonts w:ascii="Arial" w:hAnsi="Arial" w:cs="Arial"/>
        </w:rPr>
      </w:pPr>
      <w:r w:rsidRPr="00DA7BD5">
        <w:rPr>
          <w:rFonts w:ascii="Arial" w:hAnsi="Arial" w:cs="Arial"/>
        </w:rPr>
        <w:t>are peer-reviewed;</w:t>
      </w:r>
    </w:p>
    <w:p w14:paraId="71E2F166" w14:textId="77777777" w:rsidR="00DA7BD5" w:rsidRPr="00DA7BD5" w:rsidRDefault="00DA7BD5" w:rsidP="00DA7BD5">
      <w:pPr>
        <w:numPr>
          <w:ilvl w:val="0"/>
          <w:numId w:val="35"/>
        </w:numPr>
        <w:rPr>
          <w:rFonts w:ascii="Arial" w:hAnsi="Arial" w:cs="Arial"/>
        </w:rPr>
      </w:pPr>
      <w:r w:rsidRPr="00DA7BD5">
        <w:rPr>
          <w:rFonts w:ascii="Arial" w:hAnsi="Arial" w:cs="Arial"/>
        </w:rPr>
        <w:t xml:space="preserve">were published between </w:t>
      </w:r>
      <w:r w:rsidRPr="00DA7BD5">
        <w:rPr>
          <w:rFonts w:ascii="Arial" w:hAnsi="Arial" w:cs="Arial"/>
          <w:b/>
          <w:bCs/>
        </w:rPr>
        <w:t>2016 and 2026</w:t>
      </w:r>
      <w:r w:rsidRPr="00DA7BD5">
        <w:rPr>
          <w:rFonts w:ascii="Arial" w:hAnsi="Arial" w:cs="Arial"/>
        </w:rPr>
        <w:t>;</w:t>
      </w:r>
    </w:p>
    <w:p w14:paraId="2A53C267" w14:textId="77777777" w:rsidR="00DA7BD5" w:rsidRPr="00DA7BD5" w:rsidRDefault="00DA7BD5" w:rsidP="00DA7BD5">
      <w:pPr>
        <w:numPr>
          <w:ilvl w:val="0"/>
          <w:numId w:val="35"/>
        </w:numPr>
        <w:rPr>
          <w:rFonts w:ascii="Arial" w:hAnsi="Arial" w:cs="Arial"/>
        </w:rPr>
      </w:pPr>
      <w:r w:rsidRPr="00DA7BD5">
        <w:rPr>
          <w:rFonts w:ascii="Arial" w:hAnsi="Arial" w:cs="Arial"/>
        </w:rPr>
        <w:t>are written in English;</w:t>
      </w:r>
    </w:p>
    <w:p w14:paraId="6A55B611" w14:textId="77777777" w:rsidR="00DA7BD5" w:rsidRPr="00DA7BD5" w:rsidRDefault="00DA7BD5" w:rsidP="00DA7BD5">
      <w:pPr>
        <w:numPr>
          <w:ilvl w:val="0"/>
          <w:numId w:val="35"/>
        </w:numPr>
        <w:rPr>
          <w:rFonts w:ascii="Arial" w:hAnsi="Arial" w:cs="Arial"/>
        </w:rPr>
      </w:pPr>
      <w:r w:rsidRPr="00DA7BD5">
        <w:rPr>
          <w:rFonts w:ascii="Arial" w:hAnsi="Arial" w:cs="Arial"/>
        </w:rPr>
        <w:t>involve South Asian adolescents aged 10–19 years;</w:t>
      </w:r>
    </w:p>
    <w:p w14:paraId="7536A368" w14:textId="77777777" w:rsidR="00DA7BD5" w:rsidRPr="00DA7BD5" w:rsidRDefault="00DA7BD5" w:rsidP="00DA7BD5">
      <w:pPr>
        <w:numPr>
          <w:ilvl w:val="0"/>
          <w:numId w:val="35"/>
        </w:numPr>
        <w:rPr>
          <w:rFonts w:ascii="Arial" w:hAnsi="Arial" w:cs="Arial"/>
        </w:rPr>
      </w:pPr>
      <w:r w:rsidRPr="00DA7BD5">
        <w:rPr>
          <w:rFonts w:ascii="Arial" w:hAnsi="Arial" w:cs="Arial"/>
        </w:rPr>
        <w:t>investigate anxiety or psychological wellbeing;</w:t>
      </w:r>
    </w:p>
    <w:p w14:paraId="4C27C8F0" w14:textId="77777777" w:rsidR="00DA7BD5" w:rsidRPr="00DA7BD5" w:rsidRDefault="00DA7BD5" w:rsidP="00DA7BD5">
      <w:pPr>
        <w:numPr>
          <w:ilvl w:val="0"/>
          <w:numId w:val="35"/>
        </w:numPr>
        <w:rPr>
          <w:rFonts w:ascii="Arial" w:hAnsi="Arial" w:cs="Arial"/>
        </w:rPr>
      </w:pPr>
      <w:r w:rsidRPr="00DA7BD5">
        <w:rPr>
          <w:rFonts w:ascii="Arial" w:hAnsi="Arial" w:cs="Arial"/>
        </w:rPr>
        <w:t>examine cultural influences within a UK context.</w:t>
      </w:r>
    </w:p>
    <w:p w14:paraId="2D547847" w14:textId="77777777" w:rsidR="00DA7BD5" w:rsidRPr="00DA7BD5" w:rsidRDefault="00DA7BD5" w:rsidP="00DA7BD5">
      <w:pPr>
        <w:rPr>
          <w:rFonts w:ascii="Arial" w:hAnsi="Arial" w:cs="Arial"/>
        </w:rPr>
      </w:pPr>
      <w:r w:rsidRPr="00DA7BD5">
        <w:rPr>
          <w:rFonts w:ascii="Arial" w:hAnsi="Arial" w:cs="Arial"/>
        </w:rPr>
        <w:t>Studies will be excluded if they:</w:t>
      </w:r>
    </w:p>
    <w:p w14:paraId="1C971483" w14:textId="77777777" w:rsidR="00DA7BD5" w:rsidRPr="00DA7BD5" w:rsidRDefault="00DA7BD5" w:rsidP="00DA7BD5">
      <w:pPr>
        <w:numPr>
          <w:ilvl w:val="0"/>
          <w:numId w:val="36"/>
        </w:numPr>
        <w:rPr>
          <w:rFonts w:ascii="Arial" w:hAnsi="Arial" w:cs="Arial"/>
        </w:rPr>
      </w:pPr>
      <w:r w:rsidRPr="00DA7BD5">
        <w:rPr>
          <w:rFonts w:ascii="Arial" w:hAnsi="Arial" w:cs="Arial"/>
        </w:rPr>
        <w:t>focus exclusively on adults or younger children;</w:t>
      </w:r>
    </w:p>
    <w:p w14:paraId="6AFA9B76" w14:textId="77777777" w:rsidR="00DA7BD5" w:rsidRPr="00DA7BD5" w:rsidRDefault="00DA7BD5" w:rsidP="00DA7BD5">
      <w:pPr>
        <w:numPr>
          <w:ilvl w:val="0"/>
          <w:numId w:val="36"/>
        </w:numPr>
        <w:rPr>
          <w:rFonts w:ascii="Arial" w:hAnsi="Arial" w:cs="Arial"/>
        </w:rPr>
      </w:pPr>
      <w:r w:rsidRPr="00DA7BD5">
        <w:rPr>
          <w:rFonts w:ascii="Arial" w:hAnsi="Arial" w:cs="Arial"/>
        </w:rPr>
        <w:t>are conference abstracts, editorials or opinion papers;</w:t>
      </w:r>
    </w:p>
    <w:p w14:paraId="2B2AEEB6" w14:textId="77777777" w:rsidR="00DA7BD5" w:rsidRPr="00DA7BD5" w:rsidRDefault="00DA7BD5" w:rsidP="00DA7BD5">
      <w:pPr>
        <w:numPr>
          <w:ilvl w:val="0"/>
          <w:numId w:val="36"/>
        </w:numPr>
        <w:rPr>
          <w:rFonts w:ascii="Arial" w:hAnsi="Arial" w:cs="Arial"/>
        </w:rPr>
      </w:pPr>
      <w:r w:rsidRPr="00DA7BD5">
        <w:rPr>
          <w:rFonts w:ascii="Arial" w:hAnsi="Arial" w:cs="Arial"/>
        </w:rPr>
        <w:t>lack full-text availability;</w:t>
      </w:r>
    </w:p>
    <w:p w14:paraId="291484E0" w14:textId="77777777" w:rsidR="00DA7BD5" w:rsidRPr="00DA7BD5" w:rsidRDefault="00DA7BD5" w:rsidP="00DA7BD5">
      <w:pPr>
        <w:numPr>
          <w:ilvl w:val="0"/>
          <w:numId w:val="36"/>
        </w:numPr>
        <w:rPr>
          <w:rFonts w:ascii="Arial" w:hAnsi="Arial" w:cs="Arial"/>
        </w:rPr>
      </w:pPr>
      <w:r w:rsidRPr="00DA7BD5">
        <w:rPr>
          <w:rFonts w:ascii="Arial" w:hAnsi="Arial" w:cs="Arial"/>
        </w:rPr>
        <w:t>do not address the research question.</w:t>
      </w:r>
    </w:p>
    <w:p w14:paraId="133A472A" w14:textId="77777777" w:rsidR="00DA7BD5" w:rsidRPr="00DA7BD5" w:rsidRDefault="00DA7BD5" w:rsidP="00DA7BD5">
      <w:pPr>
        <w:rPr>
          <w:rFonts w:ascii="Arial" w:hAnsi="Arial" w:cs="Arial"/>
        </w:rPr>
      </w:pPr>
      <w:r w:rsidRPr="00DA7BD5">
        <w:rPr>
          <w:rFonts w:ascii="Arial" w:hAnsi="Arial" w:cs="Arial"/>
        </w:rPr>
        <w:t xml:space="preserve">These criteria will enhance consistency during study selection and reduce selection bias (Peters </w:t>
      </w:r>
      <w:r w:rsidRPr="00DA7BD5">
        <w:rPr>
          <w:rFonts w:ascii="Arial" w:hAnsi="Arial" w:cs="Arial"/>
          <w:i/>
          <w:iCs/>
        </w:rPr>
        <w:t>et al.</w:t>
      </w:r>
      <w:r w:rsidRPr="00DA7BD5">
        <w:rPr>
          <w:rFonts w:ascii="Arial" w:hAnsi="Arial" w:cs="Arial"/>
        </w:rPr>
        <w:t>, 2020).</w:t>
      </w:r>
    </w:p>
    <w:p w14:paraId="3DC8DC2B" w14:textId="77777777" w:rsidR="00DA7BD5" w:rsidRPr="00DA7BD5" w:rsidRDefault="00DA7BD5" w:rsidP="00DA7BD5">
      <w:pPr>
        <w:rPr>
          <w:rFonts w:ascii="Arial" w:hAnsi="Arial" w:cs="Arial"/>
          <w:b/>
          <w:bCs/>
        </w:rPr>
      </w:pPr>
      <w:r w:rsidRPr="00DA7BD5">
        <w:rPr>
          <w:rFonts w:ascii="Arial" w:hAnsi="Arial" w:cs="Arial"/>
          <w:b/>
          <w:bCs/>
        </w:rPr>
        <w:t>Quality Appraisal</w:t>
      </w:r>
    </w:p>
    <w:p w14:paraId="5DB32327" w14:textId="77777777" w:rsidR="00DA7BD5" w:rsidRPr="00DA7BD5" w:rsidRDefault="00DA7BD5" w:rsidP="00DA7BD5">
      <w:pPr>
        <w:rPr>
          <w:rFonts w:ascii="Arial" w:hAnsi="Arial" w:cs="Arial"/>
        </w:rPr>
      </w:pPr>
      <w:r w:rsidRPr="00DA7BD5">
        <w:rPr>
          <w:rFonts w:ascii="Arial" w:hAnsi="Arial" w:cs="Arial"/>
        </w:rPr>
        <w:t xml:space="preserve">Eligible qualitative studies will be critically assessed using the </w:t>
      </w:r>
      <w:r w:rsidRPr="00DA7BD5">
        <w:rPr>
          <w:rFonts w:ascii="Arial" w:hAnsi="Arial" w:cs="Arial"/>
          <w:b/>
          <w:bCs/>
        </w:rPr>
        <w:t>Critical Appraisal Skills Programme (CASP) Qualitative Checklist</w:t>
      </w:r>
      <w:r w:rsidRPr="00DA7BD5">
        <w:rPr>
          <w:rFonts w:ascii="Arial" w:hAnsi="Arial" w:cs="Arial"/>
        </w:rPr>
        <w:t xml:space="preserve"> (CASP, 2024). Applying a recognised appraisal framework will enable methodological quality, credibility and potential bias to be evaluated </w:t>
      </w:r>
      <w:r w:rsidRPr="00DA7BD5">
        <w:rPr>
          <w:rFonts w:ascii="Arial" w:hAnsi="Arial" w:cs="Arial"/>
        </w:rPr>
        <w:lastRenderedPageBreak/>
        <w:t>before studies are included within the review. The appraisal process will strengthen the trustworthiness of the evidence and support balanced interpretation of findings (Long, French and Brooks, 2020).</w:t>
      </w:r>
    </w:p>
    <w:p w14:paraId="3C587E96" w14:textId="77777777" w:rsidR="00DA7BD5" w:rsidRPr="00DA7BD5" w:rsidRDefault="00DA7BD5" w:rsidP="00DA7BD5">
      <w:pPr>
        <w:rPr>
          <w:rFonts w:ascii="Arial" w:hAnsi="Arial" w:cs="Arial"/>
          <w:b/>
          <w:bCs/>
        </w:rPr>
      </w:pPr>
      <w:r w:rsidRPr="00DA7BD5">
        <w:rPr>
          <w:rFonts w:ascii="Arial" w:hAnsi="Arial" w:cs="Arial"/>
          <w:b/>
          <w:bCs/>
        </w:rPr>
        <w:t>Data Extraction and Analysis</w:t>
      </w:r>
    </w:p>
    <w:p w14:paraId="29FD1E27" w14:textId="1B54D1C6" w:rsidR="00DA7BD5" w:rsidRPr="00DA7BD5" w:rsidRDefault="00DA7BD5" w:rsidP="00DA7BD5">
      <w:pPr>
        <w:rPr>
          <w:rFonts w:ascii="Arial" w:hAnsi="Arial" w:cs="Arial"/>
        </w:rPr>
      </w:pPr>
      <w:r w:rsidRPr="00DA7BD5">
        <w:rPr>
          <w:rFonts w:ascii="Arial" w:hAnsi="Arial" w:cs="Arial"/>
        </w:rPr>
        <w:t xml:space="preserve">Relevant information, including author, publication year, study design, participant characteristics, cultural factors investigated and principal findings, will be extracted using a standardised data extraction table. Data synthesis will be undertaken using </w:t>
      </w:r>
      <w:r w:rsidRPr="00DA7BD5">
        <w:rPr>
          <w:rFonts w:ascii="Arial" w:hAnsi="Arial" w:cs="Arial"/>
          <w:b/>
          <w:bCs/>
        </w:rPr>
        <w:t>Braun and Clarke's (2006) six-phase thematic analysis</w:t>
      </w:r>
      <w:r w:rsidRPr="00DA7BD5">
        <w:rPr>
          <w:rFonts w:ascii="Arial" w:hAnsi="Arial" w:cs="Arial"/>
        </w:rPr>
        <w:t>,</w:t>
      </w:r>
      <w:r w:rsidR="008C62E5" w:rsidRPr="008C62E5">
        <w:t xml:space="preserve"> </w:t>
      </w:r>
      <w:r w:rsidR="008C62E5" w:rsidRPr="008C62E5">
        <w:rPr>
          <w:rFonts w:ascii="Arial" w:hAnsi="Arial" w:cs="Arial"/>
        </w:rPr>
        <w:t>entails getting acquainted with the data, coding,</w:t>
      </w:r>
      <w:r w:rsidRPr="00DA7BD5">
        <w:rPr>
          <w:rFonts w:ascii="Arial" w:hAnsi="Arial" w:cs="Arial"/>
        </w:rPr>
        <w:t xml:space="preserve"> theme generation, theme review, </w:t>
      </w:r>
      <w:r w:rsidR="00AA03E7" w:rsidRPr="00AA03E7">
        <w:rPr>
          <w:rFonts w:ascii="Arial" w:hAnsi="Arial" w:cs="Arial"/>
        </w:rPr>
        <w:t>defining the concept and creating the report. Analysis of themes</w:t>
      </w:r>
      <w:r w:rsidR="00D07687">
        <w:rPr>
          <w:rFonts w:ascii="Arial" w:hAnsi="Arial" w:cs="Arial"/>
        </w:rPr>
        <w:t xml:space="preserve"> </w:t>
      </w:r>
      <w:r w:rsidRPr="00DA7BD5">
        <w:rPr>
          <w:rFonts w:ascii="Arial" w:hAnsi="Arial" w:cs="Arial"/>
        </w:rPr>
        <w:t>is appropriate</w:t>
      </w:r>
      <w:r w:rsidR="00F51AD0" w:rsidRPr="00F51AD0">
        <w:t xml:space="preserve"> </w:t>
      </w:r>
      <w:r w:rsidR="00F51AD0" w:rsidRPr="00F51AD0">
        <w:rPr>
          <w:rFonts w:ascii="Arial" w:hAnsi="Arial" w:cs="Arial"/>
        </w:rPr>
        <w:t>since it</w:t>
      </w:r>
      <w:r w:rsidRPr="00DA7BD5">
        <w:rPr>
          <w:rFonts w:ascii="Arial" w:hAnsi="Arial" w:cs="Arial"/>
        </w:rPr>
        <w:t xml:space="preserve"> facilitates systematic identification of patterns across qualitative evidence while allowing interpretation of complex social and cultural experiences (Nowell </w:t>
      </w:r>
      <w:r w:rsidRPr="00DA7BD5">
        <w:rPr>
          <w:rFonts w:ascii="Arial" w:hAnsi="Arial" w:cs="Arial"/>
          <w:i/>
          <w:iCs/>
        </w:rPr>
        <w:t>et al.</w:t>
      </w:r>
      <w:r w:rsidRPr="00DA7BD5">
        <w:rPr>
          <w:rFonts w:ascii="Arial" w:hAnsi="Arial" w:cs="Arial"/>
        </w:rPr>
        <w:t>, 2017).</w:t>
      </w:r>
    </w:p>
    <w:p w14:paraId="63AC6996" w14:textId="14EDF247" w:rsidR="00DA7BD5" w:rsidRPr="00DA7BD5" w:rsidRDefault="00DA7BD5" w:rsidP="00DA7BD5">
      <w:pPr>
        <w:rPr>
          <w:rFonts w:ascii="Arial" w:hAnsi="Arial" w:cs="Arial"/>
        </w:rPr>
      </w:pPr>
      <w:r w:rsidRPr="00DA7BD5">
        <w:rPr>
          <w:rFonts w:ascii="Arial" w:hAnsi="Arial" w:cs="Arial"/>
        </w:rPr>
        <w:t>The analysis is expected to identify themes relating to mental health stigma, family expectations, cultural identity, discrimination, access to services and help-seeking behaviours. Synthesising these findings will provide a comprehensive understanding of how cultural influences contribute to anxiety among South Asian adolescents and inform recommendations for public health policy, culturally competent practice and future resear</w:t>
      </w:r>
      <w:r w:rsidR="009C594D">
        <w:rPr>
          <w:rFonts w:ascii="Arial" w:hAnsi="Arial" w:cs="Arial"/>
        </w:rPr>
        <w:t>ch.</w:t>
      </w:r>
    </w:p>
    <w:p w14:paraId="5EF2CE5A" w14:textId="77777777" w:rsidR="00842236" w:rsidRPr="0067185A" w:rsidRDefault="00842236" w:rsidP="00582594">
      <w:pPr>
        <w:rPr>
          <w:rFonts w:ascii="Arial" w:hAnsi="Arial" w:cs="Arial"/>
          <w:sz w:val="28"/>
          <w:szCs w:val="28"/>
        </w:rPr>
      </w:pPr>
    </w:p>
    <w:p w14:paraId="4D0A01C6" w14:textId="77777777" w:rsidR="00B95E2C" w:rsidRPr="0067185A" w:rsidRDefault="00B95E2C" w:rsidP="00B95E2C">
      <w:pPr>
        <w:rPr>
          <w:rFonts w:ascii="Arial" w:hAnsi="Arial" w:cs="Arial"/>
          <w:b/>
          <w:bCs/>
          <w:sz w:val="28"/>
          <w:szCs w:val="28"/>
        </w:rPr>
      </w:pPr>
      <w:r w:rsidRPr="0067185A">
        <w:rPr>
          <w:rFonts w:ascii="Arial" w:hAnsi="Arial" w:cs="Arial"/>
          <w:b/>
          <w:bCs/>
          <w:sz w:val="28"/>
          <w:szCs w:val="28"/>
        </w:rPr>
        <w:t>8. Ethical Considerations</w:t>
      </w:r>
    </w:p>
    <w:p w14:paraId="13F2EBB0" w14:textId="38913E24" w:rsidR="00B95E2C" w:rsidRPr="00B95E2C" w:rsidRDefault="00B95E2C" w:rsidP="00B95E2C">
      <w:pPr>
        <w:rPr>
          <w:rFonts w:ascii="Arial" w:hAnsi="Arial" w:cs="Arial"/>
        </w:rPr>
      </w:pPr>
      <w:r w:rsidRPr="00B95E2C">
        <w:rPr>
          <w:rFonts w:ascii="Arial" w:hAnsi="Arial" w:cs="Arial"/>
        </w:rPr>
        <w:t xml:space="preserve">As this study will be conducted using secondary data, no human participants will be </w:t>
      </w:r>
      <w:r w:rsidR="009C594D" w:rsidRPr="00B95E2C">
        <w:rPr>
          <w:rFonts w:ascii="Arial" w:hAnsi="Arial" w:cs="Arial"/>
        </w:rPr>
        <w:t>recruited,</w:t>
      </w:r>
      <w:r w:rsidRPr="00B95E2C">
        <w:rPr>
          <w:rFonts w:ascii="Arial" w:hAnsi="Arial" w:cs="Arial"/>
        </w:rPr>
        <w:t xml:space="preserve"> and no primary data will be collected. Consequently, formal NHS Research Ethics Committee approval is not anticipated because the review will synthesise evidence already available within the public domain (Health Research Authority, 2023). Nevertheless, ethical principles remain central to the research process. The review will be undertaken with integrity, transparency and accountability by accurately representing published findings, avoiding plagiarism and acknowledging all sources using the Harvard referencing system (British Educational Research Association, 2024).</w:t>
      </w:r>
    </w:p>
    <w:p w14:paraId="694881D9" w14:textId="77777777" w:rsidR="00B95E2C" w:rsidRDefault="00B95E2C" w:rsidP="00B95E2C">
      <w:pPr>
        <w:rPr>
          <w:rFonts w:ascii="Arial" w:hAnsi="Arial" w:cs="Arial"/>
        </w:rPr>
      </w:pPr>
      <w:r w:rsidRPr="00B95E2C">
        <w:rPr>
          <w:rFonts w:ascii="Arial" w:hAnsi="Arial" w:cs="Arial"/>
        </w:rPr>
        <w:t xml:space="preserve">To minimise researcher bias, the review will follow a predefined protocol guided by the PRISMA 2020 framework and explicit inclusion and exclusion criteria (Page </w:t>
      </w:r>
      <w:r w:rsidRPr="00B95E2C">
        <w:rPr>
          <w:rFonts w:ascii="Arial" w:hAnsi="Arial" w:cs="Arial"/>
          <w:i/>
          <w:iCs/>
        </w:rPr>
        <w:t>et al.</w:t>
      </w:r>
      <w:r w:rsidRPr="00B95E2C">
        <w:rPr>
          <w:rFonts w:ascii="Arial" w:hAnsi="Arial" w:cs="Arial"/>
        </w:rPr>
        <w:t>, 2021). Studies will be critically appraised using the Critical Appraisal Skills Programme (CASP) Qualitative Checklist to evaluate methodological quality before inclusion (CASP, 2024). Maintaining a transparent audit trail of search decisions, screening outcomes and thematic analysis will further enhance the credibility, dependability and confirmability of the review (Lincoln and Guba, 1985). Although the study does not involve identifiable personal data, all electronic records and extracted data will be securely stored in accordance with university research governance requirements and the principles of the UK General Data Protection Regulation (Information Commissioner's Office, 2023).</w:t>
      </w:r>
    </w:p>
    <w:p w14:paraId="30878168" w14:textId="77777777" w:rsidR="0067185A" w:rsidRDefault="0067185A" w:rsidP="00B95E2C">
      <w:pPr>
        <w:rPr>
          <w:rFonts w:ascii="Arial" w:hAnsi="Arial" w:cs="Arial"/>
        </w:rPr>
      </w:pPr>
    </w:p>
    <w:p w14:paraId="0DBFE207" w14:textId="77777777" w:rsidR="0067185A" w:rsidRDefault="0067185A" w:rsidP="00B95E2C">
      <w:pPr>
        <w:rPr>
          <w:rFonts w:ascii="Arial" w:hAnsi="Arial" w:cs="Arial"/>
        </w:rPr>
      </w:pPr>
    </w:p>
    <w:p w14:paraId="0D64FF9D" w14:textId="77777777" w:rsidR="0067185A" w:rsidRDefault="0067185A" w:rsidP="00B95E2C">
      <w:pPr>
        <w:rPr>
          <w:rFonts w:ascii="Arial" w:hAnsi="Arial" w:cs="Arial"/>
        </w:rPr>
      </w:pPr>
    </w:p>
    <w:p w14:paraId="2C1BCBC8" w14:textId="77777777" w:rsidR="0067185A" w:rsidRPr="00B95E2C" w:rsidRDefault="0067185A" w:rsidP="00B95E2C">
      <w:pPr>
        <w:rPr>
          <w:rFonts w:ascii="Arial" w:hAnsi="Arial" w:cs="Arial"/>
        </w:rPr>
      </w:pPr>
    </w:p>
    <w:p w14:paraId="0ABD951A" w14:textId="77777777" w:rsidR="009C594D" w:rsidRDefault="009C594D" w:rsidP="00B95E2C">
      <w:pPr>
        <w:rPr>
          <w:rFonts w:ascii="Arial" w:hAnsi="Arial" w:cs="Arial"/>
          <w:b/>
          <w:bCs/>
          <w:sz w:val="28"/>
          <w:szCs w:val="28"/>
        </w:rPr>
      </w:pPr>
    </w:p>
    <w:p w14:paraId="1DAA438A" w14:textId="3709B6FB" w:rsidR="00B95E2C" w:rsidRPr="0067185A" w:rsidRDefault="00B95E2C" w:rsidP="00B95E2C">
      <w:pPr>
        <w:rPr>
          <w:rFonts w:ascii="Arial" w:hAnsi="Arial" w:cs="Arial"/>
          <w:b/>
          <w:bCs/>
          <w:sz w:val="28"/>
          <w:szCs w:val="28"/>
        </w:rPr>
      </w:pPr>
      <w:r w:rsidRPr="0067185A">
        <w:rPr>
          <w:rFonts w:ascii="Arial" w:hAnsi="Arial" w:cs="Arial"/>
          <w:b/>
          <w:bCs/>
          <w:sz w:val="28"/>
          <w:szCs w:val="28"/>
        </w:rPr>
        <w:lastRenderedPageBreak/>
        <w:t>9. Implications of the Research</w:t>
      </w:r>
    </w:p>
    <w:p w14:paraId="27EDD994" w14:textId="77777777" w:rsidR="00B95E2C" w:rsidRPr="00B95E2C" w:rsidRDefault="00B95E2C" w:rsidP="00B95E2C">
      <w:pPr>
        <w:rPr>
          <w:rFonts w:ascii="Arial" w:hAnsi="Arial" w:cs="Arial"/>
        </w:rPr>
      </w:pPr>
      <w:r w:rsidRPr="00B95E2C">
        <w:rPr>
          <w:rFonts w:ascii="Arial" w:hAnsi="Arial" w:cs="Arial"/>
        </w:rPr>
        <w:t xml:space="preserve">The proposed review has important implications for public health, health policy and professional practice. By synthesising current evidence, the study will enhance understanding of how cultural beliefs, stigma, discrimination, family expectations and identity influence anxiety among South Asian adolescents. Such evidence may support healthcare professionals in delivering more culturally competent and person-centred mental health care, consistent with recommendations within the NHS Long Term Plan and the NHS Race and Health Observatory (NHS England, 2019; Kapadia </w:t>
      </w:r>
      <w:r w:rsidRPr="00B95E2C">
        <w:rPr>
          <w:rFonts w:ascii="Arial" w:hAnsi="Arial" w:cs="Arial"/>
          <w:i/>
          <w:iCs/>
        </w:rPr>
        <w:t>et al.</w:t>
      </w:r>
      <w:r w:rsidRPr="00B95E2C">
        <w:rPr>
          <w:rFonts w:ascii="Arial" w:hAnsi="Arial" w:cs="Arial"/>
        </w:rPr>
        <w:t>, 2022).</w:t>
      </w:r>
    </w:p>
    <w:p w14:paraId="6AC0D170" w14:textId="77777777" w:rsidR="00B95E2C" w:rsidRDefault="00B95E2C" w:rsidP="00B95E2C">
      <w:pPr>
        <w:rPr>
          <w:rFonts w:ascii="Arial" w:hAnsi="Arial" w:cs="Arial"/>
        </w:rPr>
      </w:pPr>
      <w:r w:rsidRPr="00B95E2C">
        <w:rPr>
          <w:rFonts w:ascii="Arial" w:hAnsi="Arial" w:cs="Arial"/>
        </w:rPr>
        <w:t xml:space="preserve">The findings may also inform schools, public health practitioners and community organisations responsible for promoting adolescent mental wellbeing. Improved understanding of barriers to help-seeking may contribute to earlier intervention, improved mental health literacy and greater engagement with culturally appropriate services. Furthermore, identifying gaps within the existing evidence base will provide recommendations for future research and support the development of policies that reduce ethnic inequalities in mental healthcare, aligning with wider public health objectives to address health inequalities and improve outcomes for disadvantaged populations (Marmot </w:t>
      </w:r>
      <w:r w:rsidRPr="00B95E2C">
        <w:rPr>
          <w:rFonts w:ascii="Arial" w:hAnsi="Arial" w:cs="Arial"/>
          <w:i/>
          <w:iCs/>
        </w:rPr>
        <w:t>et al.</w:t>
      </w:r>
      <w:r w:rsidRPr="00B95E2C">
        <w:rPr>
          <w:rFonts w:ascii="Arial" w:hAnsi="Arial" w:cs="Arial"/>
        </w:rPr>
        <w:t>, 2020; Office for Health Improvement and Disparities, 2023).</w:t>
      </w:r>
    </w:p>
    <w:p w14:paraId="181ADB4A" w14:textId="77777777" w:rsidR="0067185A" w:rsidRPr="00B95E2C" w:rsidRDefault="0067185A" w:rsidP="00B95E2C">
      <w:pPr>
        <w:rPr>
          <w:rFonts w:ascii="Arial" w:hAnsi="Arial" w:cs="Arial"/>
        </w:rPr>
      </w:pPr>
    </w:p>
    <w:p w14:paraId="022FAB41" w14:textId="77777777" w:rsidR="00B95E2C" w:rsidRPr="003E4C9C" w:rsidRDefault="00B95E2C" w:rsidP="00B95E2C">
      <w:pPr>
        <w:rPr>
          <w:rFonts w:ascii="Arial" w:hAnsi="Arial" w:cs="Arial"/>
          <w:b/>
          <w:bCs/>
          <w:sz w:val="28"/>
          <w:szCs w:val="28"/>
        </w:rPr>
      </w:pPr>
      <w:r w:rsidRPr="003E4C9C">
        <w:rPr>
          <w:rFonts w:ascii="Arial" w:hAnsi="Arial" w:cs="Arial"/>
          <w:b/>
          <w:bCs/>
          <w:sz w:val="28"/>
          <w:szCs w:val="28"/>
        </w:rPr>
        <w:t>10. Plan of Work</w:t>
      </w:r>
    </w:p>
    <w:p w14:paraId="79C98FDC" w14:textId="77777777" w:rsidR="00B95E2C" w:rsidRPr="00B95E2C" w:rsidRDefault="00B95E2C" w:rsidP="00B95E2C">
      <w:pPr>
        <w:rPr>
          <w:rFonts w:ascii="Arial" w:hAnsi="Arial" w:cs="Arial"/>
        </w:rPr>
      </w:pPr>
      <w:r w:rsidRPr="00B95E2C">
        <w:rPr>
          <w:rFonts w:ascii="Arial" w:hAnsi="Arial" w:cs="Arial"/>
        </w:rPr>
        <w:t>The project will be completed over a six-month period. During the first month, the research question will be refined, the review protocol developed and preliminary searches undertaken. Months two and three will involve comprehensive database searches, duplicate removal and title, abstract and full-text screening using the predefined eligibility criteria. During month four, eligible studies will undergo critical appraisal and data extraction. Month five will focus on thematic analysis and interpretation of findings. The final month will involve drafting, proofreading, incorporating supervisory feedback and preparing the dissertation proposal for submission. Adopting a structured timetable will support effective project management while maintaining methodological rigour.</w:t>
      </w:r>
    </w:p>
    <w:p w14:paraId="44A0F46B" w14:textId="77777777" w:rsidR="00B95E2C" w:rsidRPr="00B95E2C" w:rsidRDefault="00B95E2C" w:rsidP="00B95E2C">
      <w:pPr>
        <w:rPr>
          <w:rFonts w:ascii="Arial" w:hAnsi="Arial" w:cs="Arial"/>
          <w:b/>
          <w:bCs/>
        </w:rPr>
      </w:pPr>
      <w:r w:rsidRPr="00B95E2C">
        <w:rPr>
          <w:rFonts w:ascii="Arial" w:hAnsi="Arial" w:cs="Arial"/>
          <w:b/>
          <w:bCs/>
        </w:rPr>
        <w:t>Gantt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82"/>
        <w:gridCol w:w="889"/>
        <w:gridCol w:w="888"/>
        <w:gridCol w:w="888"/>
        <w:gridCol w:w="888"/>
        <w:gridCol w:w="888"/>
        <w:gridCol w:w="903"/>
      </w:tblGrid>
      <w:tr w:rsidR="00B95E2C" w:rsidRPr="00B95E2C" w14:paraId="755FEEBF" w14:textId="77777777">
        <w:trPr>
          <w:tblHeader/>
          <w:tblCellSpacing w:w="15" w:type="dxa"/>
        </w:trPr>
        <w:tc>
          <w:tcPr>
            <w:tcW w:w="0" w:type="auto"/>
            <w:vAlign w:val="center"/>
            <w:hideMark/>
          </w:tcPr>
          <w:p w14:paraId="6DCD8343" w14:textId="77777777" w:rsidR="00B95E2C" w:rsidRPr="00B95E2C" w:rsidRDefault="00B95E2C" w:rsidP="00B95E2C">
            <w:pPr>
              <w:rPr>
                <w:rFonts w:ascii="Arial" w:hAnsi="Arial" w:cs="Arial"/>
                <w:b/>
                <w:bCs/>
              </w:rPr>
            </w:pPr>
            <w:r w:rsidRPr="00B95E2C">
              <w:rPr>
                <w:rFonts w:ascii="Arial" w:hAnsi="Arial" w:cs="Arial"/>
                <w:b/>
                <w:bCs/>
              </w:rPr>
              <w:t>Activity</w:t>
            </w:r>
          </w:p>
        </w:tc>
        <w:tc>
          <w:tcPr>
            <w:tcW w:w="0" w:type="auto"/>
            <w:vAlign w:val="center"/>
            <w:hideMark/>
          </w:tcPr>
          <w:p w14:paraId="00318BBE" w14:textId="77777777" w:rsidR="00B95E2C" w:rsidRPr="00B95E2C" w:rsidRDefault="00B95E2C" w:rsidP="00B95E2C">
            <w:pPr>
              <w:rPr>
                <w:rFonts w:ascii="Arial" w:hAnsi="Arial" w:cs="Arial"/>
                <w:b/>
                <w:bCs/>
              </w:rPr>
            </w:pPr>
            <w:r w:rsidRPr="00B95E2C">
              <w:rPr>
                <w:rFonts w:ascii="Arial" w:hAnsi="Arial" w:cs="Arial"/>
                <w:b/>
                <w:bCs/>
              </w:rPr>
              <w:t>Month 1</w:t>
            </w:r>
          </w:p>
        </w:tc>
        <w:tc>
          <w:tcPr>
            <w:tcW w:w="0" w:type="auto"/>
            <w:vAlign w:val="center"/>
            <w:hideMark/>
          </w:tcPr>
          <w:p w14:paraId="07CAA8CE" w14:textId="77777777" w:rsidR="00B95E2C" w:rsidRPr="00B95E2C" w:rsidRDefault="00B95E2C" w:rsidP="00B95E2C">
            <w:pPr>
              <w:rPr>
                <w:rFonts w:ascii="Arial" w:hAnsi="Arial" w:cs="Arial"/>
                <w:b/>
                <w:bCs/>
              </w:rPr>
            </w:pPr>
            <w:r w:rsidRPr="00B95E2C">
              <w:rPr>
                <w:rFonts w:ascii="Arial" w:hAnsi="Arial" w:cs="Arial"/>
                <w:b/>
                <w:bCs/>
              </w:rPr>
              <w:t>Month 2</w:t>
            </w:r>
          </w:p>
        </w:tc>
        <w:tc>
          <w:tcPr>
            <w:tcW w:w="0" w:type="auto"/>
            <w:vAlign w:val="center"/>
            <w:hideMark/>
          </w:tcPr>
          <w:p w14:paraId="04BAA3D5" w14:textId="77777777" w:rsidR="00B95E2C" w:rsidRPr="00B95E2C" w:rsidRDefault="00B95E2C" w:rsidP="00B95E2C">
            <w:pPr>
              <w:rPr>
                <w:rFonts w:ascii="Arial" w:hAnsi="Arial" w:cs="Arial"/>
                <w:b/>
                <w:bCs/>
              </w:rPr>
            </w:pPr>
            <w:r w:rsidRPr="00B95E2C">
              <w:rPr>
                <w:rFonts w:ascii="Arial" w:hAnsi="Arial" w:cs="Arial"/>
                <w:b/>
                <w:bCs/>
              </w:rPr>
              <w:t>Month 3</w:t>
            </w:r>
          </w:p>
        </w:tc>
        <w:tc>
          <w:tcPr>
            <w:tcW w:w="0" w:type="auto"/>
            <w:vAlign w:val="center"/>
            <w:hideMark/>
          </w:tcPr>
          <w:p w14:paraId="072BDEB1" w14:textId="77777777" w:rsidR="00B95E2C" w:rsidRPr="00B95E2C" w:rsidRDefault="00B95E2C" w:rsidP="00B95E2C">
            <w:pPr>
              <w:rPr>
                <w:rFonts w:ascii="Arial" w:hAnsi="Arial" w:cs="Arial"/>
                <w:b/>
                <w:bCs/>
              </w:rPr>
            </w:pPr>
            <w:r w:rsidRPr="00B95E2C">
              <w:rPr>
                <w:rFonts w:ascii="Arial" w:hAnsi="Arial" w:cs="Arial"/>
                <w:b/>
                <w:bCs/>
              </w:rPr>
              <w:t>Month 4</w:t>
            </w:r>
          </w:p>
        </w:tc>
        <w:tc>
          <w:tcPr>
            <w:tcW w:w="0" w:type="auto"/>
            <w:vAlign w:val="center"/>
            <w:hideMark/>
          </w:tcPr>
          <w:p w14:paraId="390AD8FD" w14:textId="77777777" w:rsidR="00B95E2C" w:rsidRPr="00B95E2C" w:rsidRDefault="00B95E2C" w:rsidP="00B95E2C">
            <w:pPr>
              <w:rPr>
                <w:rFonts w:ascii="Arial" w:hAnsi="Arial" w:cs="Arial"/>
                <w:b/>
                <w:bCs/>
              </w:rPr>
            </w:pPr>
            <w:r w:rsidRPr="00B95E2C">
              <w:rPr>
                <w:rFonts w:ascii="Arial" w:hAnsi="Arial" w:cs="Arial"/>
                <w:b/>
                <w:bCs/>
              </w:rPr>
              <w:t>Month 5</w:t>
            </w:r>
          </w:p>
        </w:tc>
        <w:tc>
          <w:tcPr>
            <w:tcW w:w="0" w:type="auto"/>
            <w:vAlign w:val="center"/>
            <w:hideMark/>
          </w:tcPr>
          <w:p w14:paraId="703326AF" w14:textId="77777777" w:rsidR="00B95E2C" w:rsidRPr="00B95E2C" w:rsidRDefault="00B95E2C" w:rsidP="00B95E2C">
            <w:pPr>
              <w:rPr>
                <w:rFonts w:ascii="Arial" w:hAnsi="Arial" w:cs="Arial"/>
                <w:b/>
                <w:bCs/>
              </w:rPr>
            </w:pPr>
            <w:r w:rsidRPr="00B95E2C">
              <w:rPr>
                <w:rFonts w:ascii="Arial" w:hAnsi="Arial" w:cs="Arial"/>
                <w:b/>
                <w:bCs/>
              </w:rPr>
              <w:t>Month 6</w:t>
            </w:r>
          </w:p>
        </w:tc>
      </w:tr>
      <w:tr w:rsidR="00B95E2C" w:rsidRPr="00B95E2C" w14:paraId="58857016" w14:textId="77777777">
        <w:trPr>
          <w:tblCellSpacing w:w="15" w:type="dxa"/>
        </w:trPr>
        <w:tc>
          <w:tcPr>
            <w:tcW w:w="0" w:type="auto"/>
            <w:vAlign w:val="center"/>
            <w:hideMark/>
          </w:tcPr>
          <w:p w14:paraId="7C571A3B" w14:textId="77777777" w:rsidR="00B95E2C" w:rsidRPr="00B95E2C" w:rsidRDefault="00B95E2C" w:rsidP="00B95E2C">
            <w:pPr>
              <w:rPr>
                <w:rFonts w:ascii="Arial" w:hAnsi="Arial" w:cs="Arial"/>
              </w:rPr>
            </w:pPr>
            <w:r w:rsidRPr="00B95E2C">
              <w:rPr>
                <w:rFonts w:ascii="Arial" w:hAnsi="Arial" w:cs="Arial"/>
              </w:rPr>
              <w:t>Finalise protocol and research question</w:t>
            </w:r>
          </w:p>
        </w:tc>
        <w:tc>
          <w:tcPr>
            <w:tcW w:w="0" w:type="auto"/>
            <w:vAlign w:val="center"/>
            <w:hideMark/>
          </w:tcPr>
          <w:p w14:paraId="34964B96"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04DE809A" w14:textId="77777777" w:rsidR="00B95E2C" w:rsidRPr="00B95E2C" w:rsidRDefault="00B95E2C" w:rsidP="00B95E2C">
            <w:pPr>
              <w:rPr>
                <w:rFonts w:ascii="Arial" w:hAnsi="Arial" w:cs="Arial"/>
              </w:rPr>
            </w:pPr>
          </w:p>
        </w:tc>
        <w:tc>
          <w:tcPr>
            <w:tcW w:w="0" w:type="auto"/>
            <w:vAlign w:val="center"/>
            <w:hideMark/>
          </w:tcPr>
          <w:p w14:paraId="66F855E1" w14:textId="77777777" w:rsidR="00B95E2C" w:rsidRPr="00B95E2C" w:rsidRDefault="00B95E2C" w:rsidP="00B95E2C">
            <w:pPr>
              <w:rPr>
                <w:rFonts w:ascii="Arial" w:hAnsi="Arial" w:cs="Arial"/>
              </w:rPr>
            </w:pPr>
          </w:p>
        </w:tc>
        <w:tc>
          <w:tcPr>
            <w:tcW w:w="0" w:type="auto"/>
            <w:vAlign w:val="center"/>
            <w:hideMark/>
          </w:tcPr>
          <w:p w14:paraId="600392F2" w14:textId="77777777" w:rsidR="00B95E2C" w:rsidRPr="00B95E2C" w:rsidRDefault="00B95E2C" w:rsidP="00B95E2C">
            <w:pPr>
              <w:rPr>
                <w:rFonts w:ascii="Arial" w:hAnsi="Arial" w:cs="Arial"/>
              </w:rPr>
            </w:pPr>
          </w:p>
        </w:tc>
        <w:tc>
          <w:tcPr>
            <w:tcW w:w="0" w:type="auto"/>
            <w:vAlign w:val="center"/>
            <w:hideMark/>
          </w:tcPr>
          <w:p w14:paraId="04293193" w14:textId="77777777" w:rsidR="00B95E2C" w:rsidRPr="00B95E2C" w:rsidRDefault="00B95E2C" w:rsidP="00B95E2C">
            <w:pPr>
              <w:rPr>
                <w:rFonts w:ascii="Arial" w:hAnsi="Arial" w:cs="Arial"/>
              </w:rPr>
            </w:pPr>
          </w:p>
        </w:tc>
        <w:tc>
          <w:tcPr>
            <w:tcW w:w="0" w:type="auto"/>
            <w:vAlign w:val="center"/>
            <w:hideMark/>
          </w:tcPr>
          <w:p w14:paraId="3B5F77D8" w14:textId="77777777" w:rsidR="00B95E2C" w:rsidRPr="00B95E2C" w:rsidRDefault="00B95E2C" w:rsidP="00B95E2C">
            <w:pPr>
              <w:rPr>
                <w:rFonts w:ascii="Arial" w:hAnsi="Arial" w:cs="Arial"/>
              </w:rPr>
            </w:pPr>
          </w:p>
        </w:tc>
      </w:tr>
      <w:tr w:rsidR="00B95E2C" w:rsidRPr="00B95E2C" w14:paraId="0190543D" w14:textId="77777777">
        <w:trPr>
          <w:tblCellSpacing w:w="15" w:type="dxa"/>
        </w:trPr>
        <w:tc>
          <w:tcPr>
            <w:tcW w:w="0" w:type="auto"/>
            <w:vAlign w:val="center"/>
            <w:hideMark/>
          </w:tcPr>
          <w:p w14:paraId="1229D4EF" w14:textId="77777777" w:rsidR="00B95E2C" w:rsidRPr="00B95E2C" w:rsidRDefault="00B95E2C" w:rsidP="00B95E2C">
            <w:pPr>
              <w:rPr>
                <w:rFonts w:ascii="Arial" w:hAnsi="Arial" w:cs="Arial"/>
              </w:rPr>
            </w:pPr>
            <w:r w:rsidRPr="00B95E2C">
              <w:rPr>
                <w:rFonts w:ascii="Arial" w:hAnsi="Arial" w:cs="Arial"/>
              </w:rPr>
              <w:t>Database searches</w:t>
            </w:r>
          </w:p>
        </w:tc>
        <w:tc>
          <w:tcPr>
            <w:tcW w:w="0" w:type="auto"/>
            <w:vAlign w:val="center"/>
            <w:hideMark/>
          </w:tcPr>
          <w:p w14:paraId="69DA9F9A"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0329BB6E"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73080E53" w14:textId="77777777" w:rsidR="00B95E2C" w:rsidRPr="00B95E2C" w:rsidRDefault="00B95E2C" w:rsidP="00B95E2C">
            <w:pPr>
              <w:rPr>
                <w:rFonts w:ascii="Arial" w:hAnsi="Arial" w:cs="Arial"/>
              </w:rPr>
            </w:pPr>
          </w:p>
        </w:tc>
        <w:tc>
          <w:tcPr>
            <w:tcW w:w="0" w:type="auto"/>
            <w:vAlign w:val="center"/>
            <w:hideMark/>
          </w:tcPr>
          <w:p w14:paraId="171A7C2B" w14:textId="77777777" w:rsidR="00B95E2C" w:rsidRPr="00B95E2C" w:rsidRDefault="00B95E2C" w:rsidP="00B95E2C">
            <w:pPr>
              <w:rPr>
                <w:rFonts w:ascii="Arial" w:hAnsi="Arial" w:cs="Arial"/>
              </w:rPr>
            </w:pPr>
          </w:p>
        </w:tc>
        <w:tc>
          <w:tcPr>
            <w:tcW w:w="0" w:type="auto"/>
            <w:vAlign w:val="center"/>
            <w:hideMark/>
          </w:tcPr>
          <w:p w14:paraId="6E1A4B52" w14:textId="77777777" w:rsidR="00B95E2C" w:rsidRPr="00B95E2C" w:rsidRDefault="00B95E2C" w:rsidP="00B95E2C">
            <w:pPr>
              <w:rPr>
                <w:rFonts w:ascii="Arial" w:hAnsi="Arial" w:cs="Arial"/>
              </w:rPr>
            </w:pPr>
          </w:p>
        </w:tc>
        <w:tc>
          <w:tcPr>
            <w:tcW w:w="0" w:type="auto"/>
            <w:vAlign w:val="center"/>
            <w:hideMark/>
          </w:tcPr>
          <w:p w14:paraId="01C8707E" w14:textId="77777777" w:rsidR="00B95E2C" w:rsidRPr="00B95E2C" w:rsidRDefault="00B95E2C" w:rsidP="00B95E2C">
            <w:pPr>
              <w:rPr>
                <w:rFonts w:ascii="Arial" w:hAnsi="Arial" w:cs="Arial"/>
              </w:rPr>
            </w:pPr>
          </w:p>
        </w:tc>
      </w:tr>
      <w:tr w:rsidR="00B95E2C" w:rsidRPr="00B95E2C" w14:paraId="1F167889" w14:textId="77777777">
        <w:trPr>
          <w:tblCellSpacing w:w="15" w:type="dxa"/>
        </w:trPr>
        <w:tc>
          <w:tcPr>
            <w:tcW w:w="0" w:type="auto"/>
            <w:vAlign w:val="center"/>
            <w:hideMark/>
          </w:tcPr>
          <w:p w14:paraId="18FC6010" w14:textId="77777777" w:rsidR="00B95E2C" w:rsidRPr="00B95E2C" w:rsidRDefault="00B95E2C" w:rsidP="00B95E2C">
            <w:pPr>
              <w:rPr>
                <w:rFonts w:ascii="Arial" w:hAnsi="Arial" w:cs="Arial"/>
              </w:rPr>
            </w:pPr>
            <w:r w:rsidRPr="00B95E2C">
              <w:rPr>
                <w:rFonts w:ascii="Arial" w:hAnsi="Arial" w:cs="Arial"/>
              </w:rPr>
              <w:t>PRISMA screening</w:t>
            </w:r>
          </w:p>
        </w:tc>
        <w:tc>
          <w:tcPr>
            <w:tcW w:w="0" w:type="auto"/>
            <w:vAlign w:val="center"/>
            <w:hideMark/>
          </w:tcPr>
          <w:p w14:paraId="24FDFD41" w14:textId="77777777" w:rsidR="00B95E2C" w:rsidRPr="00B95E2C" w:rsidRDefault="00B95E2C" w:rsidP="00B95E2C">
            <w:pPr>
              <w:rPr>
                <w:rFonts w:ascii="Arial" w:hAnsi="Arial" w:cs="Arial"/>
              </w:rPr>
            </w:pPr>
          </w:p>
        </w:tc>
        <w:tc>
          <w:tcPr>
            <w:tcW w:w="0" w:type="auto"/>
            <w:vAlign w:val="center"/>
            <w:hideMark/>
          </w:tcPr>
          <w:p w14:paraId="3EE97D36"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1E75616D"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18276027" w14:textId="77777777" w:rsidR="00B95E2C" w:rsidRPr="00B95E2C" w:rsidRDefault="00B95E2C" w:rsidP="00B95E2C">
            <w:pPr>
              <w:rPr>
                <w:rFonts w:ascii="Arial" w:hAnsi="Arial" w:cs="Arial"/>
              </w:rPr>
            </w:pPr>
          </w:p>
        </w:tc>
        <w:tc>
          <w:tcPr>
            <w:tcW w:w="0" w:type="auto"/>
            <w:vAlign w:val="center"/>
            <w:hideMark/>
          </w:tcPr>
          <w:p w14:paraId="39A06B92" w14:textId="77777777" w:rsidR="00B95E2C" w:rsidRPr="00B95E2C" w:rsidRDefault="00B95E2C" w:rsidP="00B95E2C">
            <w:pPr>
              <w:rPr>
                <w:rFonts w:ascii="Arial" w:hAnsi="Arial" w:cs="Arial"/>
              </w:rPr>
            </w:pPr>
          </w:p>
        </w:tc>
        <w:tc>
          <w:tcPr>
            <w:tcW w:w="0" w:type="auto"/>
            <w:vAlign w:val="center"/>
            <w:hideMark/>
          </w:tcPr>
          <w:p w14:paraId="5A4B8ABE" w14:textId="77777777" w:rsidR="00B95E2C" w:rsidRPr="00B95E2C" w:rsidRDefault="00B95E2C" w:rsidP="00B95E2C">
            <w:pPr>
              <w:rPr>
                <w:rFonts w:ascii="Arial" w:hAnsi="Arial" w:cs="Arial"/>
              </w:rPr>
            </w:pPr>
          </w:p>
        </w:tc>
      </w:tr>
      <w:tr w:rsidR="00B95E2C" w:rsidRPr="00B95E2C" w14:paraId="02028EE1" w14:textId="77777777">
        <w:trPr>
          <w:tblCellSpacing w:w="15" w:type="dxa"/>
        </w:trPr>
        <w:tc>
          <w:tcPr>
            <w:tcW w:w="0" w:type="auto"/>
            <w:vAlign w:val="center"/>
            <w:hideMark/>
          </w:tcPr>
          <w:p w14:paraId="3C1AED9F" w14:textId="77777777" w:rsidR="00B95E2C" w:rsidRPr="00B95E2C" w:rsidRDefault="00B95E2C" w:rsidP="00B95E2C">
            <w:pPr>
              <w:rPr>
                <w:rFonts w:ascii="Arial" w:hAnsi="Arial" w:cs="Arial"/>
              </w:rPr>
            </w:pPr>
            <w:r w:rsidRPr="00B95E2C">
              <w:rPr>
                <w:rFonts w:ascii="Arial" w:hAnsi="Arial" w:cs="Arial"/>
              </w:rPr>
              <w:t>Critical appraisal (CASP)</w:t>
            </w:r>
          </w:p>
        </w:tc>
        <w:tc>
          <w:tcPr>
            <w:tcW w:w="0" w:type="auto"/>
            <w:vAlign w:val="center"/>
            <w:hideMark/>
          </w:tcPr>
          <w:p w14:paraId="701ABC09" w14:textId="77777777" w:rsidR="00B95E2C" w:rsidRPr="00B95E2C" w:rsidRDefault="00B95E2C" w:rsidP="00B95E2C">
            <w:pPr>
              <w:rPr>
                <w:rFonts w:ascii="Arial" w:hAnsi="Arial" w:cs="Arial"/>
              </w:rPr>
            </w:pPr>
          </w:p>
        </w:tc>
        <w:tc>
          <w:tcPr>
            <w:tcW w:w="0" w:type="auto"/>
            <w:vAlign w:val="center"/>
            <w:hideMark/>
          </w:tcPr>
          <w:p w14:paraId="4CAC85DA" w14:textId="77777777" w:rsidR="00B95E2C" w:rsidRPr="00B95E2C" w:rsidRDefault="00B95E2C" w:rsidP="00B95E2C">
            <w:pPr>
              <w:rPr>
                <w:rFonts w:ascii="Arial" w:hAnsi="Arial" w:cs="Arial"/>
              </w:rPr>
            </w:pPr>
          </w:p>
        </w:tc>
        <w:tc>
          <w:tcPr>
            <w:tcW w:w="0" w:type="auto"/>
            <w:vAlign w:val="center"/>
            <w:hideMark/>
          </w:tcPr>
          <w:p w14:paraId="1197DB48"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09C41FE4" w14:textId="77777777" w:rsidR="00B95E2C" w:rsidRPr="00B95E2C" w:rsidRDefault="00B95E2C" w:rsidP="00B95E2C">
            <w:pPr>
              <w:rPr>
                <w:rFonts w:ascii="Arial" w:hAnsi="Arial" w:cs="Arial"/>
              </w:rPr>
            </w:pPr>
          </w:p>
        </w:tc>
        <w:tc>
          <w:tcPr>
            <w:tcW w:w="0" w:type="auto"/>
            <w:vAlign w:val="center"/>
            <w:hideMark/>
          </w:tcPr>
          <w:p w14:paraId="44083349" w14:textId="77777777" w:rsidR="00B95E2C" w:rsidRPr="00B95E2C" w:rsidRDefault="00B95E2C" w:rsidP="00B95E2C">
            <w:pPr>
              <w:rPr>
                <w:rFonts w:ascii="Arial" w:hAnsi="Arial" w:cs="Arial"/>
              </w:rPr>
            </w:pPr>
          </w:p>
        </w:tc>
        <w:tc>
          <w:tcPr>
            <w:tcW w:w="0" w:type="auto"/>
            <w:vAlign w:val="center"/>
            <w:hideMark/>
          </w:tcPr>
          <w:p w14:paraId="09A45FF9" w14:textId="77777777" w:rsidR="00B95E2C" w:rsidRPr="00B95E2C" w:rsidRDefault="00B95E2C" w:rsidP="00B95E2C">
            <w:pPr>
              <w:rPr>
                <w:rFonts w:ascii="Arial" w:hAnsi="Arial" w:cs="Arial"/>
              </w:rPr>
            </w:pPr>
          </w:p>
        </w:tc>
      </w:tr>
      <w:tr w:rsidR="00B95E2C" w:rsidRPr="00B95E2C" w14:paraId="16ABAB95" w14:textId="77777777">
        <w:trPr>
          <w:tblCellSpacing w:w="15" w:type="dxa"/>
        </w:trPr>
        <w:tc>
          <w:tcPr>
            <w:tcW w:w="0" w:type="auto"/>
            <w:vAlign w:val="center"/>
            <w:hideMark/>
          </w:tcPr>
          <w:p w14:paraId="373002CA" w14:textId="77777777" w:rsidR="00B95E2C" w:rsidRPr="00B95E2C" w:rsidRDefault="00B95E2C" w:rsidP="00B95E2C">
            <w:pPr>
              <w:rPr>
                <w:rFonts w:ascii="Arial" w:hAnsi="Arial" w:cs="Arial"/>
              </w:rPr>
            </w:pPr>
            <w:r w:rsidRPr="00B95E2C">
              <w:rPr>
                <w:rFonts w:ascii="Arial" w:hAnsi="Arial" w:cs="Arial"/>
              </w:rPr>
              <w:t>Data extraction</w:t>
            </w:r>
          </w:p>
        </w:tc>
        <w:tc>
          <w:tcPr>
            <w:tcW w:w="0" w:type="auto"/>
            <w:vAlign w:val="center"/>
            <w:hideMark/>
          </w:tcPr>
          <w:p w14:paraId="47E7C9F0" w14:textId="77777777" w:rsidR="00B95E2C" w:rsidRPr="00B95E2C" w:rsidRDefault="00B95E2C" w:rsidP="00B95E2C">
            <w:pPr>
              <w:rPr>
                <w:rFonts w:ascii="Arial" w:hAnsi="Arial" w:cs="Arial"/>
              </w:rPr>
            </w:pPr>
          </w:p>
        </w:tc>
        <w:tc>
          <w:tcPr>
            <w:tcW w:w="0" w:type="auto"/>
            <w:vAlign w:val="center"/>
            <w:hideMark/>
          </w:tcPr>
          <w:p w14:paraId="223AE2C4" w14:textId="77777777" w:rsidR="00B95E2C" w:rsidRPr="00B95E2C" w:rsidRDefault="00B95E2C" w:rsidP="00B95E2C">
            <w:pPr>
              <w:rPr>
                <w:rFonts w:ascii="Arial" w:hAnsi="Arial" w:cs="Arial"/>
              </w:rPr>
            </w:pPr>
          </w:p>
        </w:tc>
        <w:tc>
          <w:tcPr>
            <w:tcW w:w="0" w:type="auto"/>
            <w:vAlign w:val="center"/>
            <w:hideMark/>
          </w:tcPr>
          <w:p w14:paraId="481A463B"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330514C9"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64FB2435" w14:textId="77777777" w:rsidR="00B95E2C" w:rsidRPr="00B95E2C" w:rsidRDefault="00B95E2C" w:rsidP="00B95E2C">
            <w:pPr>
              <w:rPr>
                <w:rFonts w:ascii="Arial" w:hAnsi="Arial" w:cs="Arial"/>
              </w:rPr>
            </w:pPr>
          </w:p>
        </w:tc>
        <w:tc>
          <w:tcPr>
            <w:tcW w:w="0" w:type="auto"/>
            <w:vAlign w:val="center"/>
            <w:hideMark/>
          </w:tcPr>
          <w:p w14:paraId="11A8E025" w14:textId="77777777" w:rsidR="00B95E2C" w:rsidRPr="00B95E2C" w:rsidRDefault="00B95E2C" w:rsidP="00B95E2C">
            <w:pPr>
              <w:rPr>
                <w:rFonts w:ascii="Arial" w:hAnsi="Arial" w:cs="Arial"/>
              </w:rPr>
            </w:pPr>
          </w:p>
        </w:tc>
      </w:tr>
      <w:tr w:rsidR="00B95E2C" w:rsidRPr="00B95E2C" w14:paraId="4816B20D" w14:textId="77777777">
        <w:trPr>
          <w:tblCellSpacing w:w="15" w:type="dxa"/>
        </w:trPr>
        <w:tc>
          <w:tcPr>
            <w:tcW w:w="0" w:type="auto"/>
            <w:vAlign w:val="center"/>
            <w:hideMark/>
          </w:tcPr>
          <w:p w14:paraId="52E23930" w14:textId="77777777" w:rsidR="00B95E2C" w:rsidRPr="00B95E2C" w:rsidRDefault="00B95E2C" w:rsidP="00B95E2C">
            <w:pPr>
              <w:rPr>
                <w:rFonts w:ascii="Arial" w:hAnsi="Arial" w:cs="Arial"/>
              </w:rPr>
            </w:pPr>
            <w:r w:rsidRPr="00B95E2C">
              <w:rPr>
                <w:rFonts w:ascii="Arial" w:hAnsi="Arial" w:cs="Arial"/>
              </w:rPr>
              <w:t>Thematic analysis</w:t>
            </w:r>
          </w:p>
        </w:tc>
        <w:tc>
          <w:tcPr>
            <w:tcW w:w="0" w:type="auto"/>
            <w:vAlign w:val="center"/>
            <w:hideMark/>
          </w:tcPr>
          <w:p w14:paraId="4BB8B9E8" w14:textId="77777777" w:rsidR="00B95E2C" w:rsidRPr="00B95E2C" w:rsidRDefault="00B95E2C" w:rsidP="00B95E2C">
            <w:pPr>
              <w:rPr>
                <w:rFonts w:ascii="Arial" w:hAnsi="Arial" w:cs="Arial"/>
              </w:rPr>
            </w:pPr>
          </w:p>
        </w:tc>
        <w:tc>
          <w:tcPr>
            <w:tcW w:w="0" w:type="auto"/>
            <w:vAlign w:val="center"/>
            <w:hideMark/>
          </w:tcPr>
          <w:p w14:paraId="08C0E076" w14:textId="77777777" w:rsidR="00B95E2C" w:rsidRPr="00B95E2C" w:rsidRDefault="00B95E2C" w:rsidP="00B95E2C">
            <w:pPr>
              <w:rPr>
                <w:rFonts w:ascii="Arial" w:hAnsi="Arial" w:cs="Arial"/>
              </w:rPr>
            </w:pPr>
          </w:p>
        </w:tc>
        <w:tc>
          <w:tcPr>
            <w:tcW w:w="0" w:type="auto"/>
            <w:vAlign w:val="center"/>
            <w:hideMark/>
          </w:tcPr>
          <w:p w14:paraId="6A6FC6E9" w14:textId="77777777" w:rsidR="00B95E2C" w:rsidRPr="00B95E2C" w:rsidRDefault="00B95E2C" w:rsidP="00B95E2C">
            <w:pPr>
              <w:rPr>
                <w:rFonts w:ascii="Arial" w:hAnsi="Arial" w:cs="Arial"/>
              </w:rPr>
            </w:pPr>
          </w:p>
        </w:tc>
        <w:tc>
          <w:tcPr>
            <w:tcW w:w="0" w:type="auto"/>
            <w:vAlign w:val="center"/>
            <w:hideMark/>
          </w:tcPr>
          <w:p w14:paraId="5D2ED3C0"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687E574C"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51E7E3B0" w14:textId="77777777" w:rsidR="00B95E2C" w:rsidRPr="00B95E2C" w:rsidRDefault="00B95E2C" w:rsidP="00B95E2C">
            <w:pPr>
              <w:rPr>
                <w:rFonts w:ascii="Arial" w:hAnsi="Arial" w:cs="Arial"/>
              </w:rPr>
            </w:pPr>
          </w:p>
        </w:tc>
      </w:tr>
      <w:tr w:rsidR="00B95E2C" w:rsidRPr="00B95E2C" w14:paraId="15D21C25" w14:textId="77777777">
        <w:trPr>
          <w:tblCellSpacing w:w="15" w:type="dxa"/>
        </w:trPr>
        <w:tc>
          <w:tcPr>
            <w:tcW w:w="0" w:type="auto"/>
            <w:vAlign w:val="center"/>
            <w:hideMark/>
          </w:tcPr>
          <w:p w14:paraId="29B971C5" w14:textId="77777777" w:rsidR="00B95E2C" w:rsidRPr="00B95E2C" w:rsidRDefault="00B95E2C" w:rsidP="00B95E2C">
            <w:pPr>
              <w:rPr>
                <w:rFonts w:ascii="Arial" w:hAnsi="Arial" w:cs="Arial"/>
              </w:rPr>
            </w:pPr>
            <w:r w:rsidRPr="00B95E2C">
              <w:rPr>
                <w:rFonts w:ascii="Arial" w:hAnsi="Arial" w:cs="Arial"/>
              </w:rPr>
              <w:t>Writing and revision</w:t>
            </w:r>
          </w:p>
        </w:tc>
        <w:tc>
          <w:tcPr>
            <w:tcW w:w="0" w:type="auto"/>
            <w:vAlign w:val="center"/>
            <w:hideMark/>
          </w:tcPr>
          <w:p w14:paraId="4A4E4C43" w14:textId="77777777" w:rsidR="00B95E2C" w:rsidRPr="00B95E2C" w:rsidRDefault="00B95E2C" w:rsidP="00B95E2C">
            <w:pPr>
              <w:rPr>
                <w:rFonts w:ascii="Arial" w:hAnsi="Arial" w:cs="Arial"/>
              </w:rPr>
            </w:pPr>
          </w:p>
        </w:tc>
        <w:tc>
          <w:tcPr>
            <w:tcW w:w="0" w:type="auto"/>
            <w:vAlign w:val="center"/>
            <w:hideMark/>
          </w:tcPr>
          <w:p w14:paraId="38D07AEF" w14:textId="77777777" w:rsidR="00B95E2C" w:rsidRPr="00B95E2C" w:rsidRDefault="00B95E2C" w:rsidP="00B95E2C">
            <w:pPr>
              <w:rPr>
                <w:rFonts w:ascii="Arial" w:hAnsi="Arial" w:cs="Arial"/>
              </w:rPr>
            </w:pPr>
          </w:p>
        </w:tc>
        <w:tc>
          <w:tcPr>
            <w:tcW w:w="0" w:type="auto"/>
            <w:vAlign w:val="center"/>
            <w:hideMark/>
          </w:tcPr>
          <w:p w14:paraId="3108FF70" w14:textId="77777777" w:rsidR="00B95E2C" w:rsidRPr="00B95E2C" w:rsidRDefault="00B95E2C" w:rsidP="00B95E2C">
            <w:pPr>
              <w:rPr>
                <w:rFonts w:ascii="Arial" w:hAnsi="Arial" w:cs="Arial"/>
              </w:rPr>
            </w:pPr>
          </w:p>
        </w:tc>
        <w:tc>
          <w:tcPr>
            <w:tcW w:w="0" w:type="auto"/>
            <w:vAlign w:val="center"/>
            <w:hideMark/>
          </w:tcPr>
          <w:p w14:paraId="413C32A5" w14:textId="77777777" w:rsidR="00B95E2C" w:rsidRPr="00B95E2C" w:rsidRDefault="00B95E2C" w:rsidP="00B95E2C">
            <w:pPr>
              <w:rPr>
                <w:rFonts w:ascii="Arial" w:hAnsi="Arial" w:cs="Arial"/>
              </w:rPr>
            </w:pPr>
          </w:p>
        </w:tc>
        <w:tc>
          <w:tcPr>
            <w:tcW w:w="0" w:type="auto"/>
            <w:vAlign w:val="center"/>
            <w:hideMark/>
          </w:tcPr>
          <w:p w14:paraId="3D6FBE4E" w14:textId="77777777" w:rsidR="00B95E2C" w:rsidRPr="00B95E2C" w:rsidRDefault="00B95E2C" w:rsidP="00B95E2C">
            <w:pPr>
              <w:rPr>
                <w:rFonts w:ascii="Arial" w:hAnsi="Arial" w:cs="Arial"/>
              </w:rPr>
            </w:pPr>
            <w:r w:rsidRPr="00B95E2C">
              <w:rPr>
                <w:rFonts w:ascii="Segoe UI Symbol" w:hAnsi="Segoe UI Symbol" w:cs="Segoe UI Symbol"/>
              </w:rPr>
              <w:t>✓</w:t>
            </w:r>
          </w:p>
        </w:tc>
        <w:tc>
          <w:tcPr>
            <w:tcW w:w="0" w:type="auto"/>
            <w:vAlign w:val="center"/>
            <w:hideMark/>
          </w:tcPr>
          <w:p w14:paraId="02E4926D" w14:textId="77777777" w:rsidR="00B95E2C" w:rsidRPr="00B95E2C" w:rsidRDefault="00B95E2C" w:rsidP="00B95E2C">
            <w:pPr>
              <w:rPr>
                <w:rFonts w:ascii="Arial" w:hAnsi="Arial" w:cs="Arial"/>
              </w:rPr>
            </w:pPr>
            <w:r w:rsidRPr="00B95E2C">
              <w:rPr>
                <w:rFonts w:ascii="Segoe UI Symbol" w:hAnsi="Segoe UI Symbol" w:cs="Segoe UI Symbol"/>
              </w:rPr>
              <w:t>✓</w:t>
            </w:r>
          </w:p>
        </w:tc>
      </w:tr>
      <w:tr w:rsidR="00B95E2C" w:rsidRPr="00B95E2C" w14:paraId="73A6D854" w14:textId="77777777">
        <w:trPr>
          <w:tblCellSpacing w:w="15" w:type="dxa"/>
        </w:trPr>
        <w:tc>
          <w:tcPr>
            <w:tcW w:w="0" w:type="auto"/>
            <w:vAlign w:val="center"/>
            <w:hideMark/>
          </w:tcPr>
          <w:p w14:paraId="388E61EE" w14:textId="77777777" w:rsidR="00B95E2C" w:rsidRPr="00B95E2C" w:rsidRDefault="00B95E2C" w:rsidP="00B95E2C">
            <w:pPr>
              <w:rPr>
                <w:rFonts w:ascii="Arial" w:hAnsi="Arial" w:cs="Arial"/>
              </w:rPr>
            </w:pPr>
            <w:r w:rsidRPr="00B95E2C">
              <w:rPr>
                <w:rFonts w:ascii="Arial" w:hAnsi="Arial" w:cs="Arial"/>
              </w:rPr>
              <w:lastRenderedPageBreak/>
              <w:t>Final submission</w:t>
            </w:r>
          </w:p>
        </w:tc>
        <w:tc>
          <w:tcPr>
            <w:tcW w:w="0" w:type="auto"/>
            <w:vAlign w:val="center"/>
            <w:hideMark/>
          </w:tcPr>
          <w:p w14:paraId="494FB191" w14:textId="77777777" w:rsidR="00B95E2C" w:rsidRPr="00B95E2C" w:rsidRDefault="00B95E2C" w:rsidP="00B95E2C">
            <w:pPr>
              <w:rPr>
                <w:rFonts w:ascii="Arial" w:hAnsi="Arial" w:cs="Arial"/>
              </w:rPr>
            </w:pPr>
          </w:p>
        </w:tc>
        <w:tc>
          <w:tcPr>
            <w:tcW w:w="0" w:type="auto"/>
            <w:vAlign w:val="center"/>
            <w:hideMark/>
          </w:tcPr>
          <w:p w14:paraId="115BD3CE" w14:textId="77777777" w:rsidR="00B95E2C" w:rsidRPr="00B95E2C" w:rsidRDefault="00B95E2C" w:rsidP="00B95E2C">
            <w:pPr>
              <w:rPr>
                <w:rFonts w:ascii="Arial" w:hAnsi="Arial" w:cs="Arial"/>
              </w:rPr>
            </w:pPr>
          </w:p>
        </w:tc>
        <w:tc>
          <w:tcPr>
            <w:tcW w:w="0" w:type="auto"/>
            <w:vAlign w:val="center"/>
            <w:hideMark/>
          </w:tcPr>
          <w:p w14:paraId="0AD94E4C" w14:textId="77777777" w:rsidR="00B95E2C" w:rsidRPr="00B95E2C" w:rsidRDefault="00B95E2C" w:rsidP="00B95E2C">
            <w:pPr>
              <w:rPr>
                <w:rFonts w:ascii="Arial" w:hAnsi="Arial" w:cs="Arial"/>
              </w:rPr>
            </w:pPr>
          </w:p>
        </w:tc>
        <w:tc>
          <w:tcPr>
            <w:tcW w:w="0" w:type="auto"/>
            <w:vAlign w:val="center"/>
            <w:hideMark/>
          </w:tcPr>
          <w:p w14:paraId="4D9D5F86" w14:textId="77777777" w:rsidR="00B95E2C" w:rsidRPr="00B95E2C" w:rsidRDefault="00B95E2C" w:rsidP="00B95E2C">
            <w:pPr>
              <w:rPr>
                <w:rFonts w:ascii="Arial" w:hAnsi="Arial" w:cs="Arial"/>
              </w:rPr>
            </w:pPr>
          </w:p>
        </w:tc>
        <w:tc>
          <w:tcPr>
            <w:tcW w:w="0" w:type="auto"/>
            <w:vAlign w:val="center"/>
            <w:hideMark/>
          </w:tcPr>
          <w:p w14:paraId="29666E13" w14:textId="77777777" w:rsidR="00B95E2C" w:rsidRPr="00B95E2C" w:rsidRDefault="00B95E2C" w:rsidP="00B95E2C">
            <w:pPr>
              <w:rPr>
                <w:rFonts w:ascii="Arial" w:hAnsi="Arial" w:cs="Arial"/>
              </w:rPr>
            </w:pPr>
          </w:p>
        </w:tc>
        <w:tc>
          <w:tcPr>
            <w:tcW w:w="0" w:type="auto"/>
            <w:vAlign w:val="center"/>
            <w:hideMark/>
          </w:tcPr>
          <w:p w14:paraId="599992F0" w14:textId="77777777" w:rsidR="00B95E2C" w:rsidRPr="00B95E2C" w:rsidRDefault="00B95E2C" w:rsidP="00B95E2C">
            <w:pPr>
              <w:rPr>
                <w:rFonts w:ascii="Arial" w:hAnsi="Arial" w:cs="Arial"/>
              </w:rPr>
            </w:pPr>
            <w:r w:rsidRPr="00B95E2C">
              <w:rPr>
                <w:rFonts w:ascii="Segoe UI Symbol" w:hAnsi="Segoe UI Symbol" w:cs="Segoe UI Symbol"/>
              </w:rPr>
              <w:t>✓</w:t>
            </w:r>
          </w:p>
        </w:tc>
      </w:tr>
    </w:tbl>
    <w:p w14:paraId="53EFAD65" w14:textId="77777777" w:rsidR="003E4C9C" w:rsidRDefault="003E4C9C" w:rsidP="00B95E2C">
      <w:pPr>
        <w:rPr>
          <w:rFonts w:ascii="Arial" w:hAnsi="Arial" w:cs="Arial"/>
          <w:b/>
          <w:bCs/>
        </w:rPr>
      </w:pPr>
    </w:p>
    <w:p w14:paraId="62C5F1DE" w14:textId="7929CECE" w:rsidR="00B95E2C" w:rsidRPr="003E4C9C" w:rsidRDefault="00B95E2C" w:rsidP="00B95E2C">
      <w:pPr>
        <w:rPr>
          <w:rFonts w:ascii="Arial" w:hAnsi="Arial" w:cs="Arial"/>
          <w:b/>
          <w:bCs/>
          <w:sz w:val="28"/>
          <w:szCs w:val="28"/>
        </w:rPr>
      </w:pPr>
      <w:r w:rsidRPr="003E4C9C">
        <w:rPr>
          <w:rFonts w:ascii="Arial" w:hAnsi="Arial" w:cs="Arial"/>
          <w:b/>
          <w:bCs/>
          <w:sz w:val="28"/>
          <w:szCs w:val="28"/>
        </w:rPr>
        <w:t>11. Conclusion</w:t>
      </w:r>
    </w:p>
    <w:p w14:paraId="5EDCCC74" w14:textId="77777777" w:rsidR="00B95E2C" w:rsidRDefault="00B95E2C" w:rsidP="00B95E2C">
      <w:pPr>
        <w:rPr>
          <w:rFonts w:ascii="Arial" w:hAnsi="Arial" w:cs="Arial"/>
        </w:rPr>
      </w:pPr>
      <w:r w:rsidRPr="00B95E2C">
        <w:rPr>
          <w:rFonts w:ascii="Arial" w:hAnsi="Arial" w:cs="Arial"/>
        </w:rPr>
        <w:t>Anxiety among South Asian adolescents in the United Kingdom is influenced by a complex interaction of cultural, social and structural factors. Although existing evidence recognises the importance of stigma, discrimination, family expectations and identity, current research remains fragmented and frequently fails to distinguish the experiences of South Asian adolescents from those of other ethnic minority groups. This proposal has outlined a systematic literature review that will employ a rigorous methodology based on the PEO framework, PRISMA 2020 guidance and thematic analysis to synthesise current evidence. The findings are expected to contribute to culturally competent public health practice, inform policy development and identify priorities for future research. Ultimately, the proposed study seeks to strengthen understanding of cultural influences on anxiety and support the development of equitable mental health services that improve outcomes for South Asian adolescents living in the United Kingdom.</w:t>
      </w:r>
    </w:p>
    <w:p w14:paraId="4B9C31CC" w14:textId="77777777" w:rsidR="00D15579" w:rsidRDefault="00D15579" w:rsidP="00B95E2C">
      <w:pPr>
        <w:rPr>
          <w:rFonts w:ascii="Arial" w:hAnsi="Arial" w:cs="Arial"/>
        </w:rPr>
      </w:pPr>
    </w:p>
    <w:p w14:paraId="2A719F63" w14:textId="77777777" w:rsidR="00D15579" w:rsidRDefault="00D15579" w:rsidP="00B95E2C">
      <w:pPr>
        <w:rPr>
          <w:rFonts w:ascii="Arial" w:hAnsi="Arial" w:cs="Arial"/>
        </w:rPr>
      </w:pPr>
    </w:p>
    <w:p w14:paraId="66460096" w14:textId="77777777" w:rsidR="00D15579" w:rsidRDefault="00D15579" w:rsidP="00B95E2C">
      <w:pPr>
        <w:rPr>
          <w:rFonts w:ascii="Arial" w:hAnsi="Arial" w:cs="Arial"/>
        </w:rPr>
      </w:pPr>
    </w:p>
    <w:p w14:paraId="3093B018" w14:textId="77777777" w:rsidR="00D15579" w:rsidRDefault="00D15579" w:rsidP="00B95E2C">
      <w:pPr>
        <w:rPr>
          <w:rFonts w:ascii="Arial" w:hAnsi="Arial" w:cs="Arial"/>
        </w:rPr>
      </w:pPr>
    </w:p>
    <w:p w14:paraId="493948E8" w14:textId="77777777" w:rsidR="003E4C9C" w:rsidRDefault="003E4C9C" w:rsidP="00020911">
      <w:pPr>
        <w:rPr>
          <w:rFonts w:ascii="Arial" w:hAnsi="Arial" w:cs="Arial"/>
          <w:b/>
          <w:bCs/>
          <w:sz w:val="32"/>
          <w:szCs w:val="32"/>
        </w:rPr>
      </w:pPr>
    </w:p>
    <w:p w14:paraId="0FAB05A4" w14:textId="77777777" w:rsidR="003E4C9C" w:rsidRDefault="003E4C9C" w:rsidP="00020911">
      <w:pPr>
        <w:rPr>
          <w:rFonts w:ascii="Arial" w:hAnsi="Arial" w:cs="Arial"/>
          <w:b/>
          <w:bCs/>
          <w:sz w:val="32"/>
          <w:szCs w:val="32"/>
        </w:rPr>
      </w:pPr>
    </w:p>
    <w:p w14:paraId="4B102346" w14:textId="77777777" w:rsidR="003E4C9C" w:rsidRDefault="003E4C9C" w:rsidP="00020911">
      <w:pPr>
        <w:rPr>
          <w:rFonts w:ascii="Arial" w:hAnsi="Arial" w:cs="Arial"/>
          <w:b/>
          <w:bCs/>
          <w:sz w:val="32"/>
          <w:szCs w:val="32"/>
        </w:rPr>
      </w:pPr>
    </w:p>
    <w:p w14:paraId="62656310" w14:textId="77777777" w:rsidR="003E4C9C" w:rsidRDefault="003E4C9C" w:rsidP="00020911">
      <w:pPr>
        <w:rPr>
          <w:rFonts w:ascii="Arial" w:hAnsi="Arial" w:cs="Arial"/>
          <w:b/>
          <w:bCs/>
          <w:sz w:val="32"/>
          <w:szCs w:val="32"/>
        </w:rPr>
      </w:pPr>
    </w:p>
    <w:p w14:paraId="2BBB7657" w14:textId="77777777" w:rsidR="003E4C9C" w:rsidRDefault="003E4C9C" w:rsidP="00020911">
      <w:pPr>
        <w:rPr>
          <w:rFonts w:ascii="Arial" w:hAnsi="Arial" w:cs="Arial"/>
          <w:b/>
          <w:bCs/>
          <w:sz w:val="32"/>
          <w:szCs w:val="32"/>
        </w:rPr>
      </w:pPr>
    </w:p>
    <w:p w14:paraId="1173C4DD" w14:textId="77777777" w:rsidR="003E4C9C" w:rsidRDefault="003E4C9C" w:rsidP="00020911">
      <w:pPr>
        <w:rPr>
          <w:rFonts w:ascii="Arial" w:hAnsi="Arial" w:cs="Arial"/>
          <w:b/>
          <w:bCs/>
          <w:sz w:val="32"/>
          <w:szCs w:val="32"/>
        </w:rPr>
      </w:pPr>
    </w:p>
    <w:p w14:paraId="3311319C" w14:textId="77777777" w:rsidR="003E4C9C" w:rsidRDefault="003E4C9C" w:rsidP="00020911">
      <w:pPr>
        <w:rPr>
          <w:rFonts w:ascii="Arial" w:hAnsi="Arial" w:cs="Arial"/>
          <w:b/>
          <w:bCs/>
          <w:sz w:val="32"/>
          <w:szCs w:val="32"/>
        </w:rPr>
      </w:pPr>
    </w:p>
    <w:p w14:paraId="31A0321B" w14:textId="77777777" w:rsidR="003E4C9C" w:rsidRDefault="003E4C9C" w:rsidP="00020911">
      <w:pPr>
        <w:rPr>
          <w:rFonts w:ascii="Arial" w:hAnsi="Arial" w:cs="Arial"/>
          <w:b/>
          <w:bCs/>
          <w:sz w:val="32"/>
          <w:szCs w:val="32"/>
        </w:rPr>
      </w:pPr>
    </w:p>
    <w:p w14:paraId="7B572C37" w14:textId="77777777" w:rsidR="003E4C9C" w:rsidRDefault="003E4C9C" w:rsidP="00020911">
      <w:pPr>
        <w:rPr>
          <w:rFonts w:ascii="Arial" w:hAnsi="Arial" w:cs="Arial"/>
          <w:b/>
          <w:bCs/>
          <w:sz w:val="32"/>
          <w:szCs w:val="32"/>
        </w:rPr>
      </w:pPr>
    </w:p>
    <w:p w14:paraId="1FF2AE91" w14:textId="77777777" w:rsidR="003E4C9C" w:rsidRDefault="003E4C9C" w:rsidP="00020911">
      <w:pPr>
        <w:rPr>
          <w:rFonts w:ascii="Arial" w:hAnsi="Arial" w:cs="Arial"/>
          <w:b/>
          <w:bCs/>
          <w:sz w:val="32"/>
          <w:szCs w:val="32"/>
        </w:rPr>
      </w:pPr>
    </w:p>
    <w:p w14:paraId="24A720D1" w14:textId="77777777" w:rsidR="003E4C9C" w:rsidRDefault="003E4C9C" w:rsidP="00020911">
      <w:pPr>
        <w:rPr>
          <w:rFonts w:ascii="Arial" w:hAnsi="Arial" w:cs="Arial"/>
          <w:b/>
          <w:bCs/>
          <w:sz w:val="32"/>
          <w:szCs w:val="32"/>
        </w:rPr>
      </w:pPr>
    </w:p>
    <w:p w14:paraId="12B1BE9E" w14:textId="77777777" w:rsidR="003E4C9C" w:rsidRDefault="003E4C9C" w:rsidP="00020911">
      <w:pPr>
        <w:rPr>
          <w:rFonts w:ascii="Arial" w:hAnsi="Arial" w:cs="Arial"/>
          <w:b/>
          <w:bCs/>
          <w:sz w:val="32"/>
          <w:szCs w:val="32"/>
        </w:rPr>
      </w:pPr>
    </w:p>
    <w:p w14:paraId="0516249D" w14:textId="1E53DF7F" w:rsidR="00020911" w:rsidRPr="003E4C9C" w:rsidRDefault="00020911" w:rsidP="00020911">
      <w:pPr>
        <w:rPr>
          <w:rFonts w:ascii="Arial" w:hAnsi="Arial" w:cs="Arial"/>
          <w:b/>
          <w:bCs/>
          <w:sz w:val="32"/>
          <w:szCs w:val="32"/>
        </w:rPr>
      </w:pPr>
      <w:r w:rsidRPr="003E4C9C">
        <w:rPr>
          <w:rFonts w:ascii="Arial" w:hAnsi="Arial" w:cs="Arial"/>
          <w:b/>
          <w:bCs/>
          <w:sz w:val="32"/>
          <w:szCs w:val="32"/>
        </w:rPr>
        <w:lastRenderedPageBreak/>
        <w:t xml:space="preserve">Reference List </w:t>
      </w:r>
    </w:p>
    <w:p w14:paraId="3D875D7F"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American Psychiatric Association (2022) </w:t>
      </w:r>
      <w:r w:rsidRPr="002502E3">
        <w:rPr>
          <w:rFonts w:ascii="Arial" w:hAnsi="Arial" w:cs="Arial"/>
          <w:i/>
          <w:iCs/>
        </w:rPr>
        <w:t>Diagnostic and Statistical Manual of Mental Disorders: DSM-5-TR</w:t>
      </w:r>
      <w:r w:rsidRPr="002502E3">
        <w:rPr>
          <w:rFonts w:ascii="Arial" w:hAnsi="Arial" w:cs="Arial"/>
        </w:rPr>
        <w:t>. 5th edn, text revision. Washington, DC: American Psychiatric Association.</w:t>
      </w:r>
    </w:p>
    <w:p w14:paraId="0D1AAF66"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Aromataris, E. and Munn, Z. (eds.) (2020) </w:t>
      </w:r>
      <w:r w:rsidRPr="002502E3">
        <w:rPr>
          <w:rFonts w:ascii="Arial" w:hAnsi="Arial" w:cs="Arial"/>
          <w:i/>
          <w:iCs/>
        </w:rPr>
        <w:t>JBI Manual for Evidence Synthesis</w:t>
      </w:r>
      <w:r w:rsidRPr="002502E3">
        <w:rPr>
          <w:rFonts w:ascii="Arial" w:hAnsi="Arial" w:cs="Arial"/>
        </w:rPr>
        <w:t>. Adelaide: Joanna Briggs Institute.</w:t>
      </w:r>
    </w:p>
    <w:p w14:paraId="53C7A2DC"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Bettany-Saltikov, J. (2016) </w:t>
      </w:r>
      <w:r w:rsidRPr="002502E3">
        <w:rPr>
          <w:rFonts w:ascii="Arial" w:hAnsi="Arial" w:cs="Arial"/>
          <w:i/>
          <w:iCs/>
        </w:rPr>
        <w:t>How to Do a Systematic Literature Review in Nursing: A Step-by-Step Guide</w:t>
      </w:r>
      <w:r w:rsidRPr="002502E3">
        <w:rPr>
          <w:rFonts w:ascii="Arial" w:hAnsi="Arial" w:cs="Arial"/>
        </w:rPr>
        <w:t>. 2nd edn. Maidenhead: Open University Press.</w:t>
      </w:r>
    </w:p>
    <w:p w14:paraId="2CBFC4B7"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Bhui, K., Ascoli, M. and Nuamh, O. (2015) ‘The place of race and racism in cultural competence: What can we learn from the English experience about the narratives of evidence and argument?’, </w:t>
      </w:r>
      <w:r w:rsidRPr="002502E3">
        <w:rPr>
          <w:rFonts w:ascii="Arial" w:hAnsi="Arial" w:cs="Arial"/>
          <w:i/>
          <w:iCs/>
        </w:rPr>
        <w:t>BMJ</w:t>
      </w:r>
      <w:r w:rsidRPr="002502E3">
        <w:rPr>
          <w:rFonts w:ascii="Arial" w:hAnsi="Arial" w:cs="Arial"/>
        </w:rPr>
        <w:t>, 350, h2146.</w:t>
      </w:r>
    </w:p>
    <w:p w14:paraId="53EA5E72"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Booth, A., Sutton, A. and Papaioannou, D. (2021) </w:t>
      </w:r>
      <w:r w:rsidRPr="002502E3">
        <w:rPr>
          <w:rFonts w:ascii="Arial" w:hAnsi="Arial" w:cs="Arial"/>
          <w:i/>
          <w:iCs/>
        </w:rPr>
        <w:t>Systematic Approaches to a Successful Literature Review</w:t>
      </w:r>
      <w:r w:rsidRPr="002502E3">
        <w:rPr>
          <w:rFonts w:ascii="Arial" w:hAnsi="Arial" w:cs="Arial"/>
        </w:rPr>
        <w:t>. 3rd edn. London: Sage.</w:t>
      </w:r>
    </w:p>
    <w:p w14:paraId="61361D92"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Bramer, W.M., de Jonge, G.B., Rethlefsen, M.L., Mast, F. and Kleijnen, J. (2018) ‘A systematic approach to searching: An efficient and complete method to develop literature searches’, </w:t>
      </w:r>
      <w:r w:rsidRPr="002502E3">
        <w:rPr>
          <w:rFonts w:ascii="Arial" w:hAnsi="Arial" w:cs="Arial"/>
          <w:i/>
          <w:iCs/>
        </w:rPr>
        <w:t>Journal of the Medical Library Association</w:t>
      </w:r>
      <w:r w:rsidRPr="002502E3">
        <w:rPr>
          <w:rFonts w:ascii="Arial" w:hAnsi="Arial" w:cs="Arial"/>
        </w:rPr>
        <w:t>, 106(4), pp. 531–541.</w:t>
      </w:r>
    </w:p>
    <w:p w14:paraId="741941ED"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Braun, V. and Clarke, V. (2006) ‘Using thematic analysis in psychology’, </w:t>
      </w:r>
      <w:r w:rsidRPr="002502E3">
        <w:rPr>
          <w:rFonts w:ascii="Arial" w:hAnsi="Arial" w:cs="Arial"/>
          <w:i/>
          <w:iCs/>
        </w:rPr>
        <w:t>Qualitative Research in Psychology</w:t>
      </w:r>
      <w:r w:rsidRPr="002502E3">
        <w:rPr>
          <w:rFonts w:ascii="Arial" w:hAnsi="Arial" w:cs="Arial"/>
        </w:rPr>
        <w:t>, 3(2), pp. 77–101.</w:t>
      </w:r>
    </w:p>
    <w:p w14:paraId="080323C7"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Critical Appraisal Skills Programme (CASP) (2024) </w:t>
      </w:r>
      <w:r w:rsidRPr="002502E3">
        <w:rPr>
          <w:rFonts w:ascii="Arial" w:hAnsi="Arial" w:cs="Arial"/>
          <w:i/>
          <w:iCs/>
        </w:rPr>
        <w:t>CASP Qualitative Studies Checklist</w:t>
      </w:r>
      <w:r w:rsidRPr="002502E3">
        <w:rPr>
          <w:rFonts w:ascii="Arial" w:hAnsi="Arial" w:cs="Arial"/>
        </w:rPr>
        <w:t>. Oxford: CASP.</w:t>
      </w:r>
    </w:p>
    <w:p w14:paraId="7B803460"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Dogra, N. and Karim, K. (2005) ‘Diversity training for psychiatrists’, </w:t>
      </w:r>
      <w:r w:rsidRPr="002502E3">
        <w:rPr>
          <w:rFonts w:ascii="Arial" w:hAnsi="Arial" w:cs="Arial"/>
          <w:i/>
          <w:iCs/>
        </w:rPr>
        <w:t>Advances in Psychiatric Treatment</w:t>
      </w:r>
      <w:r w:rsidRPr="002502E3">
        <w:rPr>
          <w:rFonts w:ascii="Arial" w:hAnsi="Arial" w:cs="Arial"/>
        </w:rPr>
        <w:t>, 11(3), pp. 159–167.</w:t>
      </w:r>
    </w:p>
    <w:p w14:paraId="006631BA"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Engel, G.L. (1977) ‘The need for a new medical model: A challenge for biomedicine’, </w:t>
      </w:r>
      <w:r w:rsidRPr="002502E3">
        <w:rPr>
          <w:rFonts w:ascii="Arial" w:hAnsi="Arial" w:cs="Arial"/>
          <w:i/>
          <w:iCs/>
        </w:rPr>
        <w:t>Science</w:t>
      </w:r>
      <w:r w:rsidRPr="002502E3">
        <w:rPr>
          <w:rFonts w:ascii="Arial" w:hAnsi="Arial" w:cs="Arial"/>
        </w:rPr>
        <w:t>, 196(4286), pp. 129–136.</w:t>
      </w:r>
    </w:p>
    <w:p w14:paraId="6B8E60F1"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Higgins, J.P.T., Thomas, J., Chandler, J., Cumpston, M., Li, T., Page, M.J. and Welch, V.A. (eds.) (2022) </w:t>
      </w:r>
      <w:r w:rsidRPr="002502E3">
        <w:rPr>
          <w:rFonts w:ascii="Arial" w:hAnsi="Arial" w:cs="Arial"/>
          <w:i/>
          <w:iCs/>
        </w:rPr>
        <w:t>Cochrane Handbook for Systematic Reviews of Interventions</w:t>
      </w:r>
      <w:r w:rsidRPr="002502E3">
        <w:rPr>
          <w:rFonts w:ascii="Arial" w:hAnsi="Arial" w:cs="Arial"/>
        </w:rPr>
        <w:t>. Version 6.3. London: Cochrane.</w:t>
      </w:r>
    </w:p>
    <w:p w14:paraId="5029FC7B"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Kapadia, D., Zhang, J., Salway, S., Nazroo, J., Booth, A. and Villarroel-Williams, N. (2022) </w:t>
      </w:r>
      <w:r w:rsidRPr="002502E3">
        <w:rPr>
          <w:rFonts w:ascii="Arial" w:hAnsi="Arial" w:cs="Arial"/>
          <w:i/>
          <w:iCs/>
        </w:rPr>
        <w:t>Ethnic Inequalities in Healthcare: A Rapid Evidence Review</w:t>
      </w:r>
      <w:r w:rsidRPr="002502E3">
        <w:rPr>
          <w:rFonts w:ascii="Arial" w:hAnsi="Arial" w:cs="Arial"/>
        </w:rPr>
        <w:t>. London: NHS Race and Health Observatory.</w:t>
      </w:r>
    </w:p>
    <w:p w14:paraId="75C7D75E"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Knifton, L. (2012) ‘Understanding and addressing the stigma of mental illness with ethnic minority communities’, </w:t>
      </w:r>
      <w:r w:rsidRPr="002502E3">
        <w:rPr>
          <w:rFonts w:ascii="Arial" w:hAnsi="Arial" w:cs="Arial"/>
          <w:i/>
          <w:iCs/>
        </w:rPr>
        <w:t>Health Sociology Review</w:t>
      </w:r>
      <w:r w:rsidRPr="002502E3">
        <w:rPr>
          <w:rFonts w:ascii="Arial" w:hAnsi="Arial" w:cs="Arial"/>
        </w:rPr>
        <w:t>, 21(3), pp. 287–298.</w:t>
      </w:r>
    </w:p>
    <w:p w14:paraId="0E9E2571"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Marmot, M., Allen, J., Boyce, T., Goldblatt, P. and Morrison, J. (2020) </w:t>
      </w:r>
      <w:r w:rsidRPr="002502E3">
        <w:rPr>
          <w:rFonts w:ascii="Arial" w:hAnsi="Arial" w:cs="Arial"/>
          <w:i/>
          <w:iCs/>
        </w:rPr>
        <w:t>Health Equity in England: The Marmot Review 10 Years On</w:t>
      </w:r>
      <w:r w:rsidRPr="002502E3">
        <w:rPr>
          <w:rFonts w:ascii="Arial" w:hAnsi="Arial" w:cs="Arial"/>
        </w:rPr>
        <w:t>. London: Institute of Health Equity.</w:t>
      </w:r>
    </w:p>
    <w:p w14:paraId="640F0FEE"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Memon, A., Taylor, K., Mohebati, L.M., Sundin, J., Cooper, M., Scanlon, T. and de Visser, R. (2016) ‘Perceived barriers to accessing mental health services among Black and Minority Ethnic communities: A qualitative study’, </w:t>
      </w:r>
      <w:r w:rsidRPr="002502E3">
        <w:rPr>
          <w:rFonts w:ascii="Arial" w:hAnsi="Arial" w:cs="Arial"/>
          <w:i/>
          <w:iCs/>
        </w:rPr>
        <w:t>BMJ Open</w:t>
      </w:r>
      <w:r w:rsidRPr="002502E3">
        <w:rPr>
          <w:rFonts w:ascii="Arial" w:hAnsi="Arial" w:cs="Arial"/>
        </w:rPr>
        <w:t>, 6(11), e012337.</w:t>
      </w:r>
    </w:p>
    <w:p w14:paraId="30E2F9EC"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Nazroo, J., Bécares, L. and Stafford, M. (2020) </w:t>
      </w:r>
      <w:r w:rsidRPr="002502E3">
        <w:rPr>
          <w:rFonts w:ascii="Arial" w:hAnsi="Arial" w:cs="Arial"/>
          <w:i/>
          <w:iCs/>
        </w:rPr>
        <w:t>The Ethnic Inequalities in Health and Wellbeing Research Programme: Final Report</w:t>
      </w:r>
      <w:r w:rsidRPr="002502E3">
        <w:rPr>
          <w:rFonts w:ascii="Arial" w:hAnsi="Arial" w:cs="Arial"/>
        </w:rPr>
        <w:t>. Manchester: University of Manchester.</w:t>
      </w:r>
    </w:p>
    <w:p w14:paraId="0E9AB21F"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National Institute for Health and Care Excellence (2022) </w:t>
      </w:r>
      <w:r w:rsidRPr="002502E3">
        <w:rPr>
          <w:rFonts w:ascii="Arial" w:hAnsi="Arial" w:cs="Arial"/>
          <w:i/>
          <w:iCs/>
        </w:rPr>
        <w:t>Depression in Children and Young People: Identification and Management (NG134)</w:t>
      </w:r>
      <w:r w:rsidRPr="002502E3">
        <w:rPr>
          <w:rFonts w:ascii="Arial" w:hAnsi="Arial" w:cs="Arial"/>
        </w:rPr>
        <w:t>. London: NICE.</w:t>
      </w:r>
    </w:p>
    <w:p w14:paraId="5FB00B81"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NHS Digital (2023) </w:t>
      </w:r>
      <w:r w:rsidRPr="002502E3">
        <w:rPr>
          <w:rFonts w:ascii="Arial" w:hAnsi="Arial" w:cs="Arial"/>
          <w:i/>
          <w:iCs/>
        </w:rPr>
        <w:t>Mental Health of Children and Young People in England 2023</w:t>
      </w:r>
      <w:r w:rsidRPr="002502E3">
        <w:rPr>
          <w:rFonts w:ascii="Arial" w:hAnsi="Arial" w:cs="Arial"/>
        </w:rPr>
        <w:t>. Leeds: NHS Digital.</w:t>
      </w:r>
    </w:p>
    <w:p w14:paraId="7FB62F33"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NHS England (2019) </w:t>
      </w:r>
      <w:r w:rsidRPr="002502E3">
        <w:rPr>
          <w:rFonts w:ascii="Arial" w:hAnsi="Arial" w:cs="Arial"/>
          <w:i/>
          <w:iCs/>
        </w:rPr>
        <w:t>The NHS Long Term Plan</w:t>
      </w:r>
      <w:r w:rsidRPr="002502E3">
        <w:rPr>
          <w:rFonts w:ascii="Arial" w:hAnsi="Arial" w:cs="Arial"/>
        </w:rPr>
        <w:t>. London: NHS England.</w:t>
      </w:r>
    </w:p>
    <w:p w14:paraId="0B3DA17B"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NHS England (2023) </w:t>
      </w:r>
      <w:r w:rsidRPr="002502E3">
        <w:rPr>
          <w:rFonts w:ascii="Arial" w:hAnsi="Arial" w:cs="Arial"/>
          <w:i/>
          <w:iCs/>
        </w:rPr>
        <w:t>NHS Long Term Workforce Plan</w:t>
      </w:r>
      <w:r w:rsidRPr="002502E3">
        <w:rPr>
          <w:rFonts w:ascii="Arial" w:hAnsi="Arial" w:cs="Arial"/>
        </w:rPr>
        <w:t>. London: NHS England.</w:t>
      </w:r>
    </w:p>
    <w:p w14:paraId="5668992A"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Office for Health Improvement and Disparities (2023) </w:t>
      </w:r>
      <w:r w:rsidRPr="002502E3">
        <w:rPr>
          <w:rFonts w:ascii="Arial" w:hAnsi="Arial" w:cs="Arial"/>
          <w:i/>
          <w:iCs/>
        </w:rPr>
        <w:t>Health Disparities: Applying All Our Health</w:t>
      </w:r>
      <w:r w:rsidRPr="002502E3">
        <w:rPr>
          <w:rFonts w:ascii="Arial" w:hAnsi="Arial" w:cs="Arial"/>
        </w:rPr>
        <w:t>. London: Department of Health and Social Care.</w:t>
      </w:r>
    </w:p>
    <w:p w14:paraId="05C8C3EB"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lastRenderedPageBreak/>
        <w:t xml:space="preserve">Page, M.J., McKenzie, J.E., Bossuyt, P.M., Boutron, I., Hoffmann, T.C., Mulrow, C.D., et al. (2021) ‘The PRISMA 2020 statement: An updated guideline for reporting systematic reviews’, </w:t>
      </w:r>
      <w:r w:rsidRPr="002502E3">
        <w:rPr>
          <w:rFonts w:ascii="Arial" w:hAnsi="Arial" w:cs="Arial"/>
          <w:i/>
          <w:iCs/>
        </w:rPr>
        <w:t>BMJ</w:t>
      </w:r>
      <w:r w:rsidRPr="002502E3">
        <w:rPr>
          <w:rFonts w:ascii="Arial" w:hAnsi="Arial" w:cs="Arial"/>
        </w:rPr>
        <w:t>, 372, n71.</w:t>
      </w:r>
    </w:p>
    <w:p w14:paraId="0210B1D1"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Patel, V., Saxena, S., Lund, C., Thornicroft, G., Baingana, F., Bolton, P., et al. (2018) ‘The Lancet Commission on global mental health and sustainable development’, </w:t>
      </w:r>
      <w:r w:rsidRPr="002502E3">
        <w:rPr>
          <w:rFonts w:ascii="Arial" w:hAnsi="Arial" w:cs="Arial"/>
          <w:i/>
          <w:iCs/>
        </w:rPr>
        <w:t>The Lancet</w:t>
      </w:r>
      <w:r w:rsidRPr="002502E3">
        <w:rPr>
          <w:rFonts w:ascii="Arial" w:hAnsi="Arial" w:cs="Arial"/>
        </w:rPr>
        <w:t>, 392(10157), pp. 1553–1598.</w:t>
      </w:r>
    </w:p>
    <w:p w14:paraId="55824F2E"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Peters, M.D.J., Godfrey, C., McInerney, P., Munn, Z., Tricco, A.C. and Khalil, H. (2020) ‘Chapter 11: Scoping Reviews’. In: Aromataris, E. and Munn, Z. (eds.) </w:t>
      </w:r>
      <w:r w:rsidRPr="002502E3">
        <w:rPr>
          <w:rFonts w:ascii="Arial" w:hAnsi="Arial" w:cs="Arial"/>
          <w:i/>
          <w:iCs/>
        </w:rPr>
        <w:t>JBI Manual for Evidence Synthesis</w:t>
      </w:r>
      <w:r w:rsidRPr="002502E3">
        <w:rPr>
          <w:rFonts w:ascii="Arial" w:hAnsi="Arial" w:cs="Arial"/>
        </w:rPr>
        <w:t>. Adelaide: Joanna Briggs Institute.</w:t>
      </w:r>
    </w:p>
    <w:p w14:paraId="032470A8"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Reiss, F. (2013) ‘Socioeconomic inequalities and mental health problems in children and adolescents: A systematic review’, </w:t>
      </w:r>
      <w:r w:rsidRPr="002502E3">
        <w:rPr>
          <w:rFonts w:ascii="Arial" w:hAnsi="Arial" w:cs="Arial"/>
          <w:i/>
          <w:iCs/>
        </w:rPr>
        <w:t>Social Science &amp; Medicine</w:t>
      </w:r>
      <w:r w:rsidRPr="002502E3">
        <w:rPr>
          <w:rFonts w:ascii="Arial" w:hAnsi="Arial" w:cs="Arial"/>
        </w:rPr>
        <w:t>, 90, pp. 24–31.</w:t>
      </w:r>
    </w:p>
    <w:p w14:paraId="28029874"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Snyder, H. (2019) ‘Literature review as a research methodology: An overview and guidelines’, </w:t>
      </w:r>
      <w:r w:rsidRPr="002502E3">
        <w:rPr>
          <w:rFonts w:ascii="Arial" w:hAnsi="Arial" w:cs="Arial"/>
          <w:i/>
          <w:iCs/>
        </w:rPr>
        <w:t>Journal of Business Research</w:t>
      </w:r>
      <w:r w:rsidRPr="002502E3">
        <w:rPr>
          <w:rFonts w:ascii="Arial" w:hAnsi="Arial" w:cs="Arial"/>
        </w:rPr>
        <w:t>, 104, pp. 333–339.</w:t>
      </w:r>
    </w:p>
    <w:p w14:paraId="069F4F32"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Triandis, H.C. (2018) </w:t>
      </w:r>
      <w:r w:rsidRPr="002502E3">
        <w:rPr>
          <w:rFonts w:ascii="Arial" w:hAnsi="Arial" w:cs="Arial"/>
          <w:i/>
          <w:iCs/>
        </w:rPr>
        <w:t>Individualism and Collectivism</w:t>
      </w:r>
      <w:r w:rsidRPr="002502E3">
        <w:rPr>
          <w:rFonts w:ascii="Arial" w:hAnsi="Arial" w:cs="Arial"/>
        </w:rPr>
        <w:t>. New York: Routledge.</w:t>
      </w:r>
    </w:p>
    <w:p w14:paraId="28ADEC5C"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Williams, D.R., Lawrence, J.A. and Davis, B.A. (2019) ‘Racism and health: Evidence and needed research’, </w:t>
      </w:r>
      <w:r w:rsidRPr="002502E3">
        <w:rPr>
          <w:rFonts w:ascii="Arial" w:hAnsi="Arial" w:cs="Arial"/>
          <w:i/>
          <w:iCs/>
        </w:rPr>
        <w:t>Annual Review of Public Health</w:t>
      </w:r>
      <w:r w:rsidRPr="002502E3">
        <w:rPr>
          <w:rFonts w:ascii="Arial" w:hAnsi="Arial" w:cs="Arial"/>
        </w:rPr>
        <w:t>, 40, pp. 105–125.</w:t>
      </w:r>
    </w:p>
    <w:p w14:paraId="33514BEE" w14:textId="77777777" w:rsidR="00020911" w:rsidRPr="002502E3" w:rsidRDefault="00020911" w:rsidP="002502E3">
      <w:pPr>
        <w:pStyle w:val="ListParagraph"/>
        <w:numPr>
          <w:ilvl w:val="0"/>
          <w:numId w:val="37"/>
        </w:numPr>
        <w:rPr>
          <w:rFonts w:ascii="Arial" w:hAnsi="Arial" w:cs="Arial"/>
        </w:rPr>
      </w:pPr>
      <w:r w:rsidRPr="002502E3">
        <w:rPr>
          <w:rFonts w:ascii="Arial" w:hAnsi="Arial" w:cs="Arial"/>
        </w:rPr>
        <w:t xml:space="preserve">World Health Organization (2023) </w:t>
      </w:r>
      <w:r w:rsidRPr="002502E3">
        <w:rPr>
          <w:rFonts w:ascii="Arial" w:hAnsi="Arial" w:cs="Arial"/>
          <w:i/>
          <w:iCs/>
        </w:rPr>
        <w:t>Mental Health of Adolescents</w:t>
      </w:r>
      <w:r w:rsidRPr="002502E3">
        <w:rPr>
          <w:rFonts w:ascii="Arial" w:hAnsi="Arial" w:cs="Arial"/>
        </w:rPr>
        <w:t>. Geneva: World Health Organization.</w:t>
      </w:r>
    </w:p>
    <w:p w14:paraId="5D9F3D1D" w14:textId="77777777" w:rsidR="00D15579" w:rsidRDefault="00D15579" w:rsidP="00B95E2C">
      <w:pPr>
        <w:rPr>
          <w:rFonts w:ascii="Arial" w:hAnsi="Arial" w:cs="Arial"/>
        </w:rPr>
      </w:pPr>
    </w:p>
    <w:p w14:paraId="368C28EB" w14:textId="77777777" w:rsidR="00D15579" w:rsidRPr="00B95E2C" w:rsidRDefault="00D15579" w:rsidP="00B95E2C">
      <w:pPr>
        <w:rPr>
          <w:rFonts w:ascii="Arial" w:hAnsi="Arial" w:cs="Arial"/>
        </w:rPr>
      </w:pPr>
    </w:p>
    <w:p w14:paraId="61BF60EF" w14:textId="77777777" w:rsidR="00842236" w:rsidRPr="00582594" w:rsidRDefault="00842236" w:rsidP="00582594">
      <w:pPr>
        <w:rPr>
          <w:rFonts w:ascii="Arial" w:hAnsi="Arial" w:cs="Arial"/>
        </w:rPr>
      </w:pPr>
    </w:p>
    <w:p w14:paraId="0BD6D05B" w14:textId="77777777" w:rsidR="00266BFE" w:rsidRDefault="00266BFE" w:rsidP="00051563">
      <w:pPr>
        <w:rPr>
          <w:rFonts w:ascii="Arial" w:hAnsi="Arial" w:cs="Arial"/>
        </w:rPr>
      </w:pPr>
    </w:p>
    <w:p w14:paraId="71FD2CED" w14:textId="77777777" w:rsidR="00266BFE" w:rsidRPr="00051563" w:rsidRDefault="00266BFE" w:rsidP="00051563">
      <w:pPr>
        <w:rPr>
          <w:rFonts w:ascii="Arial" w:hAnsi="Arial" w:cs="Arial"/>
        </w:rPr>
      </w:pPr>
    </w:p>
    <w:p w14:paraId="082D72E1" w14:textId="77777777" w:rsidR="00334079" w:rsidRPr="00334079" w:rsidRDefault="00334079" w:rsidP="00334079">
      <w:pPr>
        <w:rPr>
          <w:rFonts w:ascii="Arial" w:hAnsi="Arial" w:cs="Arial"/>
        </w:rPr>
      </w:pPr>
    </w:p>
    <w:sectPr w:rsidR="00334079" w:rsidRPr="003340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BE077" w14:textId="77777777" w:rsidR="00B76B3A" w:rsidRDefault="00B76B3A" w:rsidP="006078A4">
      <w:pPr>
        <w:spacing w:after="0" w:line="240" w:lineRule="auto"/>
      </w:pPr>
      <w:r>
        <w:separator/>
      </w:r>
    </w:p>
  </w:endnote>
  <w:endnote w:type="continuationSeparator" w:id="0">
    <w:p w14:paraId="34DDCDB7" w14:textId="77777777" w:rsidR="00B76B3A" w:rsidRDefault="00B76B3A" w:rsidP="00607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C61D6" w14:textId="77777777" w:rsidR="00B76B3A" w:rsidRDefault="00B76B3A" w:rsidP="006078A4">
      <w:pPr>
        <w:spacing w:after="0" w:line="240" w:lineRule="auto"/>
      </w:pPr>
      <w:r>
        <w:separator/>
      </w:r>
    </w:p>
  </w:footnote>
  <w:footnote w:type="continuationSeparator" w:id="0">
    <w:p w14:paraId="57183698" w14:textId="77777777" w:rsidR="00B76B3A" w:rsidRDefault="00B76B3A" w:rsidP="00607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7318"/>
    <w:multiLevelType w:val="multilevel"/>
    <w:tmpl w:val="59966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838A2"/>
    <w:multiLevelType w:val="hybridMultilevel"/>
    <w:tmpl w:val="A9CEB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8655C"/>
    <w:multiLevelType w:val="multilevel"/>
    <w:tmpl w:val="8C82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52727"/>
    <w:multiLevelType w:val="multilevel"/>
    <w:tmpl w:val="675C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867AD"/>
    <w:multiLevelType w:val="multilevel"/>
    <w:tmpl w:val="46A0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3233B"/>
    <w:multiLevelType w:val="multilevel"/>
    <w:tmpl w:val="A45C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0B5F20"/>
    <w:multiLevelType w:val="multilevel"/>
    <w:tmpl w:val="0F58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E97642"/>
    <w:multiLevelType w:val="multilevel"/>
    <w:tmpl w:val="0164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227BBC"/>
    <w:multiLevelType w:val="multilevel"/>
    <w:tmpl w:val="60BE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1F4DCC"/>
    <w:multiLevelType w:val="hybridMultilevel"/>
    <w:tmpl w:val="B346F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BC1575"/>
    <w:multiLevelType w:val="multilevel"/>
    <w:tmpl w:val="CC84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392DB7"/>
    <w:multiLevelType w:val="multilevel"/>
    <w:tmpl w:val="FAC04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F5DA9"/>
    <w:multiLevelType w:val="multilevel"/>
    <w:tmpl w:val="D592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57304D"/>
    <w:multiLevelType w:val="multilevel"/>
    <w:tmpl w:val="853A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3D54D8"/>
    <w:multiLevelType w:val="hybridMultilevel"/>
    <w:tmpl w:val="BC0CC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0312C6"/>
    <w:multiLevelType w:val="hybridMultilevel"/>
    <w:tmpl w:val="C11CE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C94BA4"/>
    <w:multiLevelType w:val="multilevel"/>
    <w:tmpl w:val="37E2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025DE5"/>
    <w:multiLevelType w:val="multilevel"/>
    <w:tmpl w:val="AF5E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3B5F18"/>
    <w:multiLevelType w:val="multilevel"/>
    <w:tmpl w:val="D75E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FF2999"/>
    <w:multiLevelType w:val="multilevel"/>
    <w:tmpl w:val="01D8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515FC7"/>
    <w:multiLevelType w:val="multilevel"/>
    <w:tmpl w:val="41942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05734D"/>
    <w:multiLevelType w:val="multilevel"/>
    <w:tmpl w:val="24DA2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E17B71"/>
    <w:multiLevelType w:val="multilevel"/>
    <w:tmpl w:val="CB3E8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ED439F"/>
    <w:multiLevelType w:val="multilevel"/>
    <w:tmpl w:val="EC6A5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6B3EEC"/>
    <w:multiLevelType w:val="multilevel"/>
    <w:tmpl w:val="3E28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6C7AC3"/>
    <w:multiLevelType w:val="multilevel"/>
    <w:tmpl w:val="DA104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825C0A"/>
    <w:multiLevelType w:val="hybridMultilevel"/>
    <w:tmpl w:val="6D302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AF7638"/>
    <w:multiLevelType w:val="multilevel"/>
    <w:tmpl w:val="02640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F86C52"/>
    <w:multiLevelType w:val="multilevel"/>
    <w:tmpl w:val="BDDE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7E581B"/>
    <w:multiLevelType w:val="multilevel"/>
    <w:tmpl w:val="A7C8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2000AD"/>
    <w:multiLevelType w:val="multilevel"/>
    <w:tmpl w:val="187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4101F7"/>
    <w:multiLevelType w:val="multilevel"/>
    <w:tmpl w:val="1B9E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4203ED"/>
    <w:multiLevelType w:val="multilevel"/>
    <w:tmpl w:val="92A09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944EE5"/>
    <w:multiLevelType w:val="multilevel"/>
    <w:tmpl w:val="E952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FD0366"/>
    <w:multiLevelType w:val="multilevel"/>
    <w:tmpl w:val="2136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B23463"/>
    <w:multiLevelType w:val="multilevel"/>
    <w:tmpl w:val="D252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FD7318"/>
    <w:multiLevelType w:val="multilevel"/>
    <w:tmpl w:val="4142D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6203183">
    <w:abstractNumId w:val="25"/>
  </w:num>
  <w:num w:numId="2" w16cid:durableId="1661732837">
    <w:abstractNumId w:val="27"/>
  </w:num>
  <w:num w:numId="3" w16cid:durableId="1885943388">
    <w:abstractNumId w:val="32"/>
  </w:num>
  <w:num w:numId="4" w16cid:durableId="157307967">
    <w:abstractNumId w:val="36"/>
  </w:num>
  <w:num w:numId="5" w16cid:durableId="1019965293">
    <w:abstractNumId w:val="26"/>
  </w:num>
  <w:num w:numId="6" w16cid:durableId="2007586121">
    <w:abstractNumId w:val="1"/>
  </w:num>
  <w:num w:numId="7" w16cid:durableId="1329939841">
    <w:abstractNumId w:val="13"/>
  </w:num>
  <w:num w:numId="8" w16cid:durableId="238905006">
    <w:abstractNumId w:val="5"/>
  </w:num>
  <w:num w:numId="9" w16cid:durableId="162857954">
    <w:abstractNumId w:val="35"/>
  </w:num>
  <w:num w:numId="10" w16cid:durableId="2141683701">
    <w:abstractNumId w:val="8"/>
  </w:num>
  <w:num w:numId="11" w16cid:durableId="642857374">
    <w:abstractNumId w:val="7"/>
  </w:num>
  <w:num w:numId="12" w16cid:durableId="498083520">
    <w:abstractNumId w:val="4"/>
  </w:num>
  <w:num w:numId="13" w16cid:durableId="843974258">
    <w:abstractNumId w:val="11"/>
  </w:num>
  <w:num w:numId="14" w16cid:durableId="2006586849">
    <w:abstractNumId w:val="22"/>
  </w:num>
  <w:num w:numId="15" w16cid:durableId="1084760701">
    <w:abstractNumId w:val="14"/>
  </w:num>
  <w:num w:numId="16" w16cid:durableId="1237788873">
    <w:abstractNumId w:val="21"/>
  </w:num>
  <w:num w:numId="17" w16cid:durableId="1140998214">
    <w:abstractNumId w:val="18"/>
  </w:num>
  <w:num w:numId="18" w16cid:durableId="1709142019">
    <w:abstractNumId w:val="28"/>
  </w:num>
  <w:num w:numId="19" w16cid:durableId="1745641327">
    <w:abstractNumId w:val="0"/>
  </w:num>
  <w:num w:numId="20" w16cid:durableId="775175191">
    <w:abstractNumId w:val="33"/>
  </w:num>
  <w:num w:numId="21" w16cid:durableId="246623234">
    <w:abstractNumId w:val="31"/>
  </w:num>
  <w:num w:numId="22" w16cid:durableId="1052339779">
    <w:abstractNumId w:val="2"/>
  </w:num>
  <w:num w:numId="23" w16cid:durableId="1780027141">
    <w:abstractNumId w:val="10"/>
  </w:num>
  <w:num w:numId="24" w16cid:durableId="1154954495">
    <w:abstractNumId w:val="19"/>
  </w:num>
  <w:num w:numId="25" w16cid:durableId="1066803586">
    <w:abstractNumId w:val="20"/>
  </w:num>
  <w:num w:numId="26" w16cid:durableId="1023941641">
    <w:abstractNumId w:val="9"/>
  </w:num>
  <w:num w:numId="27" w16cid:durableId="1149053057">
    <w:abstractNumId w:val="30"/>
  </w:num>
  <w:num w:numId="28" w16cid:durableId="1554342717">
    <w:abstractNumId w:val="6"/>
  </w:num>
  <w:num w:numId="29" w16cid:durableId="1242986337">
    <w:abstractNumId w:val="16"/>
  </w:num>
  <w:num w:numId="30" w16cid:durableId="1664234778">
    <w:abstractNumId w:val="24"/>
  </w:num>
  <w:num w:numId="31" w16cid:durableId="858813884">
    <w:abstractNumId w:val="17"/>
  </w:num>
  <w:num w:numId="32" w16cid:durableId="1434738519">
    <w:abstractNumId w:val="34"/>
  </w:num>
  <w:num w:numId="33" w16cid:durableId="1472282027">
    <w:abstractNumId w:val="29"/>
  </w:num>
  <w:num w:numId="34" w16cid:durableId="193202391">
    <w:abstractNumId w:val="3"/>
  </w:num>
  <w:num w:numId="35" w16cid:durableId="726992498">
    <w:abstractNumId w:val="12"/>
  </w:num>
  <w:num w:numId="36" w16cid:durableId="1890803994">
    <w:abstractNumId w:val="23"/>
  </w:num>
  <w:num w:numId="37" w16cid:durableId="6660589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515"/>
    <w:rsid w:val="00020911"/>
    <w:rsid w:val="00051563"/>
    <w:rsid w:val="00062910"/>
    <w:rsid w:val="000F7359"/>
    <w:rsid w:val="000F790F"/>
    <w:rsid w:val="001008A9"/>
    <w:rsid w:val="001166A5"/>
    <w:rsid w:val="00194011"/>
    <w:rsid w:val="001E285F"/>
    <w:rsid w:val="001F70B0"/>
    <w:rsid w:val="00250157"/>
    <w:rsid w:val="002502E3"/>
    <w:rsid w:val="00266BFE"/>
    <w:rsid w:val="00266D04"/>
    <w:rsid w:val="002B44E8"/>
    <w:rsid w:val="002C690D"/>
    <w:rsid w:val="002D51E2"/>
    <w:rsid w:val="002E408D"/>
    <w:rsid w:val="002F761B"/>
    <w:rsid w:val="00302F56"/>
    <w:rsid w:val="00334079"/>
    <w:rsid w:val="00357B8A"/>
    <w:rsid w:val="0037263D"/>
    <w:rsid w:val="003D0C39"/>
    <w:rsid w:val="003E2D8B"/>
    <w:rsid w:val="003E4C9C"/>
    <w:rsid w:val="00422311"/>
    <w:rsid w:val="00440057"/>
    <w:rsid w:val="00492ACE"/>
    <w:rsid w:val="004B27E8"/>
    <w:rsid w:val="004E4631"/>
    <w:rsid w:val="004F3BA1"/>
    <w:rsid w:val="00561096"/>
    <w:rsid w:val="00582594"/>
    <w:rsid w:val="005944C0"/>
    <w:rsid w:val="005B112E"/>
    <w:rsid w:val="005E086F"/>
    <w:rsid w:val="006078A4"/>
    <w:rsid w:val="00651237"/>
    <w:rsid w:val="0067185A"/>
    <w:rsid w:val="00700ADD"/>
    <w:rsid w:val="0074597C"/>
    <w:rsid w:val="0075276B"/>
    <w:rsid w:val="00781149"/>
    <w:rsid w:val="007860A9"/>
    <w:rsid w:val="007F781B"/>
    <w:rsid w:val="008125F0"/>
    <w:rsid w:val="008154F0"/>
    <w:rsid w:val="008313DF"/>
    <w:rsid w:val="00842236"/>
    <w:rsid w:val="00846637"/>
    <w:rsid w:val="0087425A"/>
    <w:rsid w:val="00894E1F"/>
    <w:rsid w:val="008A4275"/>
    <w:rsid w:val="008B226C"/>
    <w:rsid w:val="008C62E5"/>
    <w:rsid w:val="00927E3F"/>
    <w:rsid w:val="00986E09"/>
    <w:rsid w:val="00994AC3"/>
    <w:rsid w:val="009C594D"/>
    <w:rsid w:val="009E36E5"/>
    <w:rsid w:val="00A15291"/>
    <w:rsid w:val="00A40515"/>
    <w:rsid w:val="00A71EE6"/>
    <w:rsid w:val="00A916D4"/>
    <w:rsid w:val="00AA03E7"/>
    <w:rsid w:val="00AA7CDC"/>
    <w:rsid w:val="00AB3131"/>
    <w:rsid w:val="00AD7732"/>
    <w:rsid w:val="00B00F77"/>
    <w:rsid w:val="00B35E83"/>
    <w:rsid w:val="00B612F2"/>
    <w:rsid w:val="00B76B3A"/>
    <w:rsid w:val="00B95E2C"/>
    <w:rsid w:val="00BA13B4"/>
    <w:rsid w:val="00BD0B2F"/>
    <w:rsid w:val="00BE2B59"/>
    <w:rsid w:val="00C25FAA"/>
    <w:rsid w:val="00C4019F"/>
    <w:rsid w:val="00C43BB6"/>
    <w:rsid w:val="00C61321"/>
    <w:rsid w:val="00CB72B1"/>
    <w:rsid w:val="00CC65D8"/>
    <w:rsid w:val="00CD0EAD"/>
    <w:rsid w:val="00CD413D"/>
    <w:rsid w:val="00D07687"/>
    <w:rsid w:val="00D15579"/>
    <w:rsid w:val="00D54EAF"/>
    <w:rsid w:val="00D862FF"/>
    <w:rsid w:val="00DA5DA0"/>
    <w:rsid w:val="00DA7BD5"/>
    <w:rsid w:val="00DB3F4B"/>
    <w:rsid w:val="00DB4F45"/>
    <w:rsid w:val="00E154DF"/>
    <w:rsid w:val="00E17CB4"/>
    <w:rsid w:val="00E81158"/>
    <w:rsid w:val="00EA4955"/>
    <w:rsid w:val="00EB271C"/>
    <w:rsid w:val="00EE216D"/>
    <w:rsid w:val="00EF355E"/>
    <w:rsid w:val="00F145B7"/>
    <w:rsid w:val="00F200D6"/>
    <w:rsid w:val="00F51AD0"/>
    <w:rsid w:val="00F55BE5"/>
    <w:rsid w:val="00FD07B0"/>
    <w:rsid w:val="00FF1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C9A87"/>
  <w15:chartTrackingRefBased/>
  <w15:docId w15:val="{37F162CC-2FEF-4A5B-921B-2A5F58F3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5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5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5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5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5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5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5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5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5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5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5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5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5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5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515"/>
    <w:rPr>
      <w:rFonts w:eastAsiaTheme="majorEastAsia" w:cstheme="majorBidi"/>
      <w:color w:val="272727" w:themeColor="text1" w:themeTint="D8"/>
    </w:rPr>
  </w:style>
  <w:style w:type="paragraph" w:styleId="Title">
    <w:name w:val="Title"/>
    <w:basedOn w:val="Normal"/>
    <w:next w:val="Normal"/>
    <w:link w:val="TitleChar"/>
    <w:uiPriority w:val="10"/>
    <w:qFormat/>
    <w:rsid w:val="00A405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5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515"/>
    <w:pPr>
      <w:spacing w:before="160"/>
      <w:jc w:val="center"/>
    </w:pPr>
    <w:rPr>
      <w:i/>
      <w:iCs/>
      <w:color w:val="404040" w:themeColor="text1" w:themeTint="BF"/>
    </w:rPr>
  </w:style>
  <w:style w:type="character" w:customStyle="1" w:styleId="QuoteChar">
    <w:name w:val="Quote Char"/>
    <w:basedOn w:val="DefaultParagraphFont"/>
    <w:link w:val="Quote"/>
    <w:uiPriority w:val="29"/>
    <w:rsid w:val="00A40515"/>
    <w:rPr>
      <w:i/>
      <w:iCs/>
      <w:color w:val="404040" w:themeColor="text1" w:themeTint="BF"/>
    </w:rPr>
  </w:style>
  <w:style w:type="paragraph" w:styleId="ListParagraph">
    <w:name w:val="List Paragraph"/>
    <w:basedOn w:val="Normal"/>
    <w:uiPriority w:val="34"/>
    <w:qFormat/>
    <w:rsid w:val="00A40515"/>
    <w:pPr>
      <w:ind w:left="720"/>
      <w:contextualSpacing/>
    </w:pPr>
  </w:style>
  <w:style w:type="character" w:styleId="IntenseEmphasis">
    <w:name w:val="Intense Emphasis"/>
    <w:basedOn w:val="DefaultParagraphFont"/>
    <w:uiPriority w:val="21"/>
    <w:qFormat/>
    <w:rsid w:val="00A40515"/>
    <w:rPr>
      <w:i/>
      <w:iCs/>
      <w:color w:val="0F4761" w:themeColor="accent1" w:themeShade="BF"/>
    </w:rPr>
  </w:style>
  <w:style w:type="paragraph" w:styleId="IntenseQuote">
    <w:name w:val="Intense Quote"/>
    <w:basedOn w:val="Normal"/>
    <w:next w:val="Normal"/>
    <w:link w:val="IntenseQuoteChar"/>
    <w:uiPriority w:val="30"/>
    <w:qFormat/>
    <w:rsid w:val="00A405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515"/>
    <w:rPr>
      <w:i/>
      <w:iCs/>
      <w:color w:val="0F4761" w:themeColor="accent1" w:themeShade="BF"/>
    </w:rPr>
  </w:style>
  <w:style w:type="character" w:styleId="IntenseReference">
    <w:name w:val="Intense Reference"/>
    <w:basedOn w:val="DefaultParagraphFont"/>
    <w:uiPriority w:val="32"/>
    <w:qFormat/>
    <w:rsid w:val="00A40515"/>
    <w:rPr>
      <w:b/>
      <w:bCs/>
      <w:smallCaps/>
      <w:color w:val="0F4761" w:themeColor="accent1" w:themeShade="BF"/>
      <w:spacing w:val="5"/>
    </w:rPr>
  </w:style>
  <w:style w:type="paragraph" w:styleId="Header">
    <w:name w:val="header"/>
    <w:basedOn w:val="Normal"/>
    <w:link w:val="HeaderChar"/>
    <w:uiPriority w:val="99"/>
    <w:unhideWhenUsed/>
    <w:rsid w:val="00607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8A4"/>
  </w:style>
  <w:style w:type="paragraph" w:styleId="Footer">
    <w:name w:val="footer"/>
    <w:basedOn w:val="Normal"/>
    <w:link w:val="FooterChar"/>
    <w:uiPriority w:val="99"/>
    <w:unhideWhenUsed/>
    <w:rsid w:val="00607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11</Pages>
  <Words>3565</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Ali (2222409)</dc:creator>
  <cp:keywords/>
  <dc:description/>
  <cp:lastModifiedBy>Fatima Ali (2222409)</cp:lastModifiedBy>
  <cp:revision>91</cp:revision>
  <dcterms:created xsi:type="dcterms:W3CDTF">2026-06-04T13:58:00Z</dcterms:created>
  <dcterms:modified xsi:type="dcterms:W3CDTF">2026-07-15T09:43:00Z</dcterms:modified>
</cp:coreProperties>
</file>