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keepNext w:val="0"/>
        <w:keepLines w:val="0"/>
        <w:widowControl w:val="0"/>
        <w:suppressLineNumbers w:val="0"/>
        <w:spacing w:before="0" w:beforeAutospacing="0" w:after="0" w:afterAutospacing="0"/>
        <w:ind w:left="0" w:right="0"/>
        <w:jc w:val="both"/>
        <w:rPr>
          <w:rFonts w:hint="default"/>
          <w:lang w:val="en-US"/>
        </w:rPr>
      </w:pPr>
      <w:r>
        <w:rPr>
          <w:rFonts w:hint="default" w:ascii="Times New Roman" w:hAnsi="Times New Roman" w:eastAsia="Times New Roman" w:cs="Times New Roman"/>
          <w:b/>
          <w:bCs/>
          <w:i/>
          <w:iCs/>
          <w:kern w:val="2"/>
          <w:sz w:val="56"/>
          <w:szCs w:val="56"/>
          <w:lang w:val="en-US" w:eastAsia="zh-CN" w:bidi="ar"/>
        </w:rPr>
        <w:t xml:space="preserve">Report On </w:t>
      </w:r>
      <w:r>
        <w:rPr>
          <w:rFonts w:hint="eastAsia" w:ascii="Times New Roman" w:hAnsi="Times New Roman" w:eastAsia="Times New Roman" w:cs="Times New Roman"/>
          <w:b/>
          <w:bCs/>
          <w:i/>
          <w:iCs/>
          <w:kern w:val="2"/>
          <w:sz w:val="56"/>
          <w:szCs w:val="56"/>
          <w:lang w:val="en-US" w:eastAsia="zh-CN" w:bidi="ar"/>
        </w:rPr>
        <w:t>Zhangzidao About Earning</w:t>
      </w:r>
      <w:r>
        <w:rPr>
          <w:rFonts w:hint="eastAsia" w:eastAsia="Times New Roman" w:cs="Times New Roman"/>
          <w:b/>
          <w:bCs/>
          <w:i/>
          <w:iCs/>
          <w:kern w:val="2"/>
          <w:sz w:val="56"/>
          <w:szCs w:val="56"/>
          <w:lang w:val="en-US" w:eastAsia="zh-CN" w:bidi="ar"/>
        </w:rPr>
        <w:t>s</w:t>
      </w:r>
      <w:bookmarkStart w:id="17" w:name="_GoBack"/>
      <w:bookmarkEnd w:id="17"/>
      <w:r>
        <w:rPr>
          <w:rFonts w:hint="eastAsia" w:ascii="Times New Roman" w:hAnsi="Times New Roman" w:eastAsia="Times New Roman" w:cs="Times New Roman"/>
          <w:b/>
          <w:bCs/>
          <w:i/>
          <w:iCs/>
          <w:kern w:val="2"/>
          <w:sz w:val="56"/>
          <w:szCs w:val="56"/>
          <w:lang w:val="en-US" w:eastAsia="zh-CN" w:bidi="ar"/>
        </w:rPr>
        <w:t xml:space="preserve"> Management and Ethical Issue</w:t>
      </w:r>
    </w:p>
    <w:p>
      <w:pPr>
        <w:keepNext w:val="0"/>
        <w:keepLines w:val="0"/>
        <w:widowControl w:val="0"/>
        <w:suppressLineNumbers w:val="0"/>
        <w:spacing w:before="0" w:beforeAutospacing="0" w:after="0" w:afterAutospacing="0"/>
        <w:ind w:left="-972" w:leftChars="-405" w:right="0"/>
        <w:jc w:val="center"/>
        <w:rPr>
          <w:lang w:val="en-US"/>
        </w:rPr>
      </w:pPr>
      <w:r>
        <w:rPr>
          <w:rFonts w:hint="default" w:ascii="Times New Roman" w:hAnsi="Times New Roman" w:eastAsia="Times New Roman" w:cs="Times New Roman"/>
          <w:kern w:val="2"/>
          <w:sz w:val="24"/>
          <w:szCs w:val="24"/>
          <w:lang w:val="en-US" w:eastAsia="zh-CN" w:bidi="ar"/>
        </w:rPr>
        <w:drawing>
          <wp:inline distT="0" distB="0" distL="114300" distR="114300">
            <wp:extent cx="5276850" cy="4184650"/>
            <wp:effectExtent l="0" t="0" r="6350" b="6350"/>
            <wp:docPr id="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2"/>
                    <pic:cNvPicPr>
                      <a:picLocks noChangeAspect="1"/>
                    </pic:cNvPicPr>
                  </pic:nvPicPr>
                  <pic:blipFill>
                    <a:blip r:embed="rId4"/>
                    <a:stretch>
                      <a:fillRect/>
                    </a:stretch>
                  </pic:blipFill>
                  <pic:spPr>
                    <a:xfrm>
                      <a:off x="0" y="0"/>
                      <a:ext cx="5276850" cy="4184650"/>
                    </a:xfrm>
                    <a:prstGeom prst="rect">
                      <a:avLst/>
                    </a:prstGeom>
                    <a:noFill/>
                    <a:ln>
                      <a:noFill/>
                    </a:ln>
                  </pic:spPr>
                </pic:pic>
              </a:graphicData>
            </a:graphic>
          </wp:inline>
        </w:drawing>
      </w:r>
    </w:p>
    <w:p>
      <w:pPr>
        <w:keepNext w:val="0"/>
        <w:keepLines w:val="0"/>
        <w:widowControl w:val="0"/>
        <w:suppressLineNumbers w:val="0"/>
        <w:spacing w:before="0" w:beforeAutospacing="0" w:after="0" w:afterAutospacing="0"/>
        <w:ind w:left="0" w:right="0"/>
        <w:jc w:val="both"/>
        <w:rPr>
          <w:lang w:val="en-US"/>
        </w:rPr>
      </w:pPr>
      <w:r>
        <w:rPr>
          <w:rFonts w:hint="default" w:ascii="Times New Roman" w:hAnsi="Times New Roman" w:eastAsia="Times New Roman" w:cs="Times New Roman"/>
          <w:kern w:val="2"/>
          <w:sz w:val="24"/>
          <w:szCs w:val="24"/>
          <w:lang w:val="en-US" w:eastAsia="zh-CN" w:bidi="ar"/>
        </w:rPr>
        <w:t xml:space="preserve"> </w:t>
      </w:r>
    </w:p>
    <w:p>
      <w:pPr>
        <w:keepNext w:val="0"/>
        <w:keepLines w:val="0"/>
        <w:widowControl w:val="0"/>
        <w:suppressLineNumbers w:val="0"/>
        <w:spacing w:before="0" w:beforeAutospacing="0" w:after="0" w:afterAutospacing="0"/>
        <w:ind w:left="0" w:right="0"/>
        <w:jc w:val="left"/>
        <w:rPr>
          <w:rFonts w:hint="default" w:ascii="Arial" w:hAnsi="Arial" w:cs="Arial"/>
          <w:b/>
          <w:bCs/>
          <w:sz w:val="32"/>
          <w:szCs w:val="32"/>
          <w:lang w:val="en-US"/>
        </w:rPr>
      </w:pPr>
      <w:r>
        <w:rPr>
          <w:rFonts w:hint="default" w:ascii="Arial" w:hAnsi="Arial" w:eastAsia="Times New Roman" w:cs="Arial"/>
          <w:b/>
          <w:bCs/>
          <w:kern w:val="2"/>
          <w:sz w:val="32"/>
          <w:szCs w:val="32"/>
          <w:lang w:val="en-US" w:eastAsia="zh-CN" w:bidi="ar"/>
        </w:rPr>
        <w:t>MODULE NAME</w:t>
      </w:r>
      <w:r>
        <w:rPr>
          <w:rFonts w:hint="eastAsia" w:ascii="宋体" w:hAnsi="宋体" w:eastAsia="Times New Roman" w:cs="宋体"/>
          <w:b/>
          <w:bCs/>
          <w:kern w:val="2"/>
          <w:sz w:val="32"/>
          <w:szCs w:val="32"/>
          <w:lang w:val="en-US" w:eastAsia="zh-CN" w:bidi="ar"/>
        </w:rPr>
        <w:t>：Corporate Governance</w:t>
      </w:r>
    </w:p>
    <w:p>
      <w:pPr>
        <w:keepNext w:val="0"/>
        <w:keepLines w:val="0"/>
        <w:widowControl w:val="0"/>
        <w:suppressLineNumbers w:val="0"/>
        <w:spacing w:before="0" w:beforeAutospacing="0" w:after="0" w:afterAutospacing="0"/>
        <w:ind w:left="0" w:right="0"/>
        <w:jc w:val="left"/>
        <w:rPr>
          <w:rFonts w:hint="default" w:ascii="Arial" w:hAnsi="Arial" w:cs="Arial"/>
          <w:b/>
          <w:bCs/>
          <w:sz w:val="32"/>
          <w:szCs w:val="32"/>
          <w:lang w:val="en-US"/>
        </w:rPr>
      </w:pPr>
      <w:r>
        <w:rPr>
          <w:rFonts w:hint="default" w:ascii="Arial" w:hAnsi="Arial" w:eastAsia="Times New Roman" w:cs="Arial"/>
          <w:b/>
          <w:bCs/>
          <w:kern w:val="2"/>
          <w:sz w:val="32"/>
          <w:szCs w:val="32"/>
          <w:lang w:val="en-US" w:eastAsia="zh-CN" w:bidi="ar"/>
        </w:rPr>
        <w:t xml:space="preserve">NAME: </w:t>
      </w:r>
      <w:r>
        <w:rPr>
          <w:rFonts w:hint="eastAsia" w:ascii="宋体" w:hAnsi="宋体" w:eastAsia="Times New Roman" w:cs="宋体"/>
          <w:b/>
          <w:bCs/>
          <w:kern w:val="2"/>
          <w:sz w:val="32"/>
          <w:szCs w:val="32"/>
          <w:lang w:val="en-US" w:eastAsia="zh-CN" w:bidi="ar"/>
        </w:rPr>
        <w:t>Liao Xinyu</w:t>
      </w:r>
    </w:p>
    <w:p>
      <w:pPr>
        <w:keepNext w:val="0"/>
        <w:keepLines w:val="0"/>
        <w:widowControl w:val="0"/>
        <w:suppressLineNumbers w:val="0"/>
        <w:spacing w:before="0" w:beforeAutospacing="0" w:after="0" w:afterAutospacing="0"/>
        <w:ind w:left="0" w:right="0"/>
        <w:jc w:val="left"/>
        <w:rPr>
          <w:rFonts w:hint="eastAsia" w:ascii="宋体" w:hAnsi="宋体" w:eastAsia="Times New Roman" w:cs="宋体"/>
          <w:b/>
          <w:bCs/>
          <w:sz w:val="32"/>
          <w:szCs w:val="32"/>
          <w:lang w:val="en-US"/>
        </w:rPr>
      </w:pPr>
      <w:r>
        <w:rPr>
          <w:rFonts w:hint="default" w:ascii="Arial" w:hAnsi="Arial" w:eastAsia="Times New Roman" w:cs="Arial"/>
          <w:b/>
          <w:bCs/>
          <w:kern w:val="2"/>
          <w:sz w:val="32"/>
          <w:szCs w:val="32"/>
          <w:lang w:val="en-US" w:eastAsia="zh-CN" w:bidi="ar"/>
        </w:rPr>
        <w:t>STUDENT NUMBER:</w:t>
      </w:r>
      <w:r>
        <w:rPr>
          <w:rFonts w:hint="eastAsia" w:ascii="宋体" w:hAnsi="宋体" w:eastAsia="Times New Roman" w:cs="宋体"/>
          <w:b/>
          <w:bCs/>
          <w:kern w:val="2"/>
          <w:sz w:val="32"/>
          <w:szCs w:val="32"/>
          <w:lang w:val="en-US" w:eastAsia="zh-CN" w:bidi="ar"/>
        </w:rPr>
        <w:t>2200519</w:t>
      </w:r>
    </w:p>
    <w:p>
      <w:pPr>
        <w:pStyle w:val="2"/>
        <w:bidi w:val="0"/>
        <w:jc w:val="center"/>
        <w:rPr>
          <w:rFonts w:hint="eastAsia"/>
          <w:lang w:val="en-US" w:eastAsia="zh-CN"/>
        </w:rPr>
      </w:pPr>
    </w:p>
    <w:p>
      <w:pPr>
        <w:rPr>
          <w:rFonts w:hint="eastAsia"/>
          <w:lang w:val="en-US" w:eastAsia="zh-CN"/>
        </w:rPr>
      </w:pPr>
      <w:r>
        <w:rPr>
          <w:rFonts w:hint="eastAsia"/>
          <w:lang w:val="en-US" w:eastAsia="zh-CN"/>
        </w:rPr>
        <w:br w:type="page"/>
      </w:r>
    </w:p>
    <w:p>
      <w:pPr>
        <w:pStyle w:val="2"/>
        <w:bidi w:val="0"/>
        <w:jc w:val="center"/>
        <w:rPr>
          <w:rFonts w:hint="default"/>
          <w:lang w:val="en-US" w:eastAsia="zh-CN"/>
        </w:rPr>
      </w:pPr>
      <w:r>
        <w:rPr>
          <w:rFonts w:hint="eastAsia"/>
          <w:lang w:val="en-US" w:eastAsia="zh-CN"/>
        </w:rPr>
        <w:t>Executive Summary</w:t>
      </w:r>
    </w:p>
    <w:p>
      <w:pPr>
        <w:bidi w:val="0"/>
      </w:pPr>
      <w:r>
        <w:rPr>
          <w:rFonts w:hint="default"/>
        </w:rPr>
        <w:t>Th</w:t>
      </w:r>
      <w:r>
        <w:rPr>
          <w:rFonts w:hint="eastAsia"/>
          <w:lang w:val="en-US" w:eastAsia="zh-CN"/>
        </w:rPr>
        <w:t>is report</w:t>
      </w:r>
      <w:r>
        <w:rPr>
          <w:rFonts w:hint="default"/>
        </w:rPr>
        <w:t xml:space="preserve"> presents an analysis of the financial fraud case involving Zhangzidao, a Chinese seafood company. The theoretical framework used to analyze the case is the Fraud Triangle Theory, which considers the pressure to fraud, the opportunity to fraud, and the excuses for fraud. </w:t>
      </w:r>
      <w:r>
        <w:rPr>
          <w:rFonts w:hint="eastAsia"/>
          <w:lang w:val="en-US" w:eastAsia="zh-CN"/>
        </w:rPr>
        <w:t>We</w:t>
      </w:r>
      <w:r>
        <w:rPr>
          <w:rFonts w:hint="default"/>
        </w:rPr>
        <w:t xml:space="preserve"> identifies the pressure of solvency and the pressure of profit as two key factors that led to the fraud.</w:t>
      </w:r>
    </w:p>
    <w:p>
      <w:pPr>
        <w:bidi w:val="0"/>
        <w:rPr>
          <w:rFonts w:hint="default"/>
        </w:rPr>
      </w:pPr>
      <w:r>
        <w:rPr>
          <w:rFonts w:hint="eastAsia"/>
          <w:lang w:val="en-US" w:eastAsia="zh-CN"/>
        </w:rPr>
        <w:t>We</w:t>
      </w:r>
      <w:r>
        <w:rPr>
          <w:rFonts w:hint="default"/>
        </w:rPr>
        <w:t xml:space="preserve"> also explores the role of earnings management and other incentives for Zhangzidao to commit fraud, including the motivation to avoid the risk of delisting and financing motive. Additionally, the document discusses the issue of ethical code and corporate governance, comparing the situation in Zhangzidao with the UK.</w:t>
      </w:r>
    </w:p>
    <w:p>
      <w:pPr>
        <w:bidi w:val="0"/>
        <w:rPr>
          <w:rFonts w:hint="default"/>
        </w:rPr>
      </w:pPr>
      <w:r>
        <w:rPr>
          <w:rFonts w:hint="default"/>
        </w:rPr>
        <w:t xml:space="preserve">Finally, </w:t>
      </w:r>
      <w:r>
        <w:rPr>
          <w:rFonts w:hint="eastAsia"/>
          <w:lang w:val="en-US" w:eastAsia="zh-CN"/>
        </w:rPr>
        <w:t>we</w:t>
      </w:r>
      <w:r>
        <w:rPr>
          <w:rFonts w:hint="default"/>
        </w:rPr>
        <w:t xml:space="preserve"> provides recommendations for preventing and detecting financial fraud.</w:t>
      </w:r>
    </w:p>
    <w:p>
      <w:pPr>
        <w:spacing w:before="0" w:beforeLines="0" w:after="0" w:afterLines="0" w:line="240" w:lineRule="auto"/>
        <w:ind w:left="0" w:leftChars="0" w:right="0" w:rightChars="0" w:firstLine="0" w:firstLineChars="0"/>
        <w:jc w:val="center"/>
        <w:rPr>
          <w:rFonts w:ascii="宋体" w:hAnsi="宋体" w:eastAsia="宋体" w:cs="Times New Roman"/>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imes New Roman"/>
          <w:kern w:val="2"/>
          <w:sz w:val="21"/>
          <w:szCs w:val="24"/>
          <w:lang w:val="en-US" w:eastAsia="zh-CN" w:bidi="ar-SA"/>
        </w:rPr>
      </w:pPr>
    </w:p>
    <w:p>
      <w:pPr>
        <w:spacing w:before="0" w:beforeLines="0" w:after="0" w:afterLines="0" w:line="240" w:lineRule="auto"/>
        <w:ind w:left="0" w:leftChars="0" w:right="0" w:rightChars="0" w:firstLine="0" w:firstLineChars="0"/>
        <w:jc w:val="center"/>
        <w:rPr>
          <w:rFonts w:ascii="宋体" w:hAnsi="宋体" w:eastAsia="宋体" w:cs="Times New Roman"/>
          <w:kern w:val="2"/>
          <w:sz w:val="21"/>
          <w:szCs w:val="24"/>
          <w:lang w:val="en-US" w:eastAsia="zh-CN" w:bidi="ar-SA"/>
        </w:rPr>
      </w:pPr>
    </w:p>
    <w:sdt>
      <w:sdtPr>
        <w:rPr>
          <w:rFonts w:ascii="宋体" w:hAnsi="宋体" w:eastAsia="宋体" w:cs="Times New Roman"/>
          <w:kern w:val="2"/>
          <w:sz w:val="21"/>
          <w:szCs w:val="24"/>
          <w:lang w:val="en-US" w:eastAsia="zh-CN" w:bidi="ar-SA"/>
        </w:rPr>
        <w:id w:val="147477293"/>
        <w15:color w:val="DBDBDB"/>
        <w:docPartObj>
          <w:docPartGallery w:val="Table of Contents"/>
          <w:docPartUnique/>
        </w:docPartObj>
      </w:sdtPr>
      <w:sdtEndPr>
        <w:rPr>
          <w:rFonts w:hint="default" w:ascii="Times New Roman" w:hAnsi="Times New Roman" w:eastAsia="times" w:cs="Times New Roman"/>
          <w:b w:val="0"/>
          <w:kern w:val="44"/>
          <w:sz w:val="28"/>
          <w:szCs w:val="24"/>
          <w:lang w:val="en-US" w:eastAsia="zh-CN" w:bidi="ar-SA"/>
        </w:rPr>
      </w:sdtEndPr>
      <w:sdtContent>
        <w:p>
          <w:pPr>
            <w:spacing w:before="0" w:beforeLines="0" w:after="0" w:afterLines="0" w:line="240" w:lineRule="auto"/>
            <w:ind w:left="0" w:leftChars="0" w:right="0" w:rightChars="0" w:firstLine="0" w:firstLineChars="0"/>
            <w:jc w:val="center"/>
            <w:rPr>
              <w:rStyle w:val="12"/>
              <w:rFonts w:hint="default"/>
              <w:lang w:val="en-US"/>
            </w:rPr>
          </w:pPr>
          <w:r>
            <w:rPr>
              <w:rStyle w:val="12"/>
              <w:rFonts w:hint="eastAsia"/>
              <w:lang w:val="en-US" w:eastAsia="zh-CN"/>
            </w:rPr>
            <w:t>Content Page</w:t>
          </w:r>
        </w:p>
        <w:p>
          <w:pPr>
            <w:pStyle w:val="6"/>
            <w:tabs>
              <w:tab w:val="right" w:leader="dot" w:pos="8306"/>
            </w:tabs>
          </w:pPr>
          <w:r>
            <w:rPr>
              <w:rFonts w:hint="default"/>
              <w:lang w:val="en-US" w:eastAsia="zh-CN"/>
            </w:rPr>
            <w:fldChar w:fldCharType="begin"/>
          </w:r>
          <w:r>
            <w:rPr>
              <w:rFonts w:hint="default"/>
              <w:lang w:val="en-US" w:eastAsia="zh-CN"/>
            </w:rPr>
            <w:instrText xml:space="preserve">TOC \o "1-3" \h \u </w:instrText>
          </w:r>
          <w:r>
            <w:rPr>
              <w:rFonts w:hint="default"/>
              <w:lang w:val="en-US" w:eastAsia="zh-CN"/>
            </w:rPr>
            <w:fldChar w:fldCharType="separate"/>
          </w:r>
          <w:r>
            <w:rPr>
              <w:rFonts w:hint="default"/>
              <w:lang w:val="en-US" w:eastAsia="zh-CN"/>
            </w:rPr>
            <w:fldChar w:fldCharType="begin"/>
          </w:r>
          <w:r>
            <w:rPr>
              <w:rFonts w:hint="default"/>
              <w:lang w:val="en-US" w:eastAsia="zh-CN"/>
            </w:rPr>
            <w:instrText xml:space="preserve"> HYPERLINK \l _Toc27116 </w:instrText>
          </w:r>
          <w:r>
            <w:rPr>
              <w:rFonts w:hint="default"/>
              <w:lang w:val="en-US" w:eastAsia="zh-CN"/>
            </w:rPr>
            <w:fldChar w:fldCharType="separate"/>
          </w:r>
          <w:r>
            <w:rPr>
              <w:rFonts w:hint="default"/>
              <w:lang w:val="en-US" w:eastAsia="zh-CN"/>
            </w:rPr>
            <w:t xml:space="preserve">1. </w:t>
          </w:r>
          <w:r>
            <w:rPr>
              <w:rFonts w:hint="eastAsia"/>
              <w:lang w:val="en-US" w:eastAsia="zh-CN"/>
            </w:rPr>
            <w:t>Inotroduction</w:t>
          </w:r>
          <w:r>
            <w:tab/>
          </w:r>
          <w:r>
            <w:fldChar w:fldCharType="begin"/>
          </w:r>
          <w:r>
            <w:instrText xml:space="preserve"> PAGEREF _Toc27116 \h </w:instrText>
          </w:r>
          <w:r>
            <w:fldChar w:fldCharType="separate"/>
          </w:r>
          <w:r>
            <w:t>1</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_Toc1795 </w:instrText>
          </w:r>
          <w:r>
            <w:rPr>
              <w:rFonts w:hint="default"/>
              <w:lang w:val="en-US" w:eastAsia="zh-CN"/>
            </w:rPr>
            <w:fldChar w:fldCharType="separate"/>
          </w:r>
          <w:r>
            <w:rPr>
              <w:rFonts w:hint="default"/>
              <w:lang w:val="en-US" w:eastAsia="zh-CN"/>
            </w:rPr>
            <w:t xml:space="preserve">2. </w:t>
          </w:r>
          <w:r>
            <w:t>Theoretical</w:t>
          </w:r>
          <w:r>
            <w:rPr>
              <w:rFonts w:hint="eastAsia"/>
              <w:lang w:val="en-US" w:eastAsia="zh-CN"/>
            </w:rPr>
            <w:t xml:space="preserve"> </w:t>
          </w:r>
          <w:r>
            <w:t xml:space="preserve"> framework</w:t>
          </w:r>
          <w:r>
            <w:tab/>
          </w:r>
          <w:r>
            <w:fldChar w:fldCharType="begin"/>
          </w:r>
          <w:r>
            <w:instrText xml:space="preserve"> PAGEREF _Toc1795 \h </w:instrText>
          </w:r>
          <w:r>
            <w:fldChar w:fldCharType="separate"/>
          </w:r>
          <w:r>
            <w:t>2</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_Toc629 </w:instrText>
          </w:r>
          <w:r>
            <w:rPr>
              <w:rFonts w:hint="default"/>
              <w:lang w:val="en-US" w:eastAsia="zh-CN"/>
            </w:rPr>
            <w:fldChar w:fldCharType="separate"/>
          </w:r>
          <w:r>
            <w:rPr>
              <w:rFonts w:hint="eastAsia"/>
              <w:lang w:val="en-US" w:eastAsia="zh-CN"/>
            </w:rPr>
            <w:t>3.T</w:t>
          </w:r>
          <w:r>
            <w:rPr>
              <w:rFonts w:hint="default"/>
              <w:lang w:val="en-US" w:eastAsia="zh-CN"/>
            </w:rPr>
            <w:t xml:space="preserve">he </w:t>
          </w:r>
          <w:r>
            <w:rPr>
              <w:rFonts w:hint="eastAsia"/>
              <w:lang w:val="en-US" w:eastAsia="zh-CN"/>
            </w:rPr>
            <w:t>F</w:t>
          </w:r>
          <w:r>
            <w:rPr>
              <w:rFonts w:hint="default"/>
              <w:lang w:val="en-US" w:eastAsia="zh-CN"/>
            </w:rPr>
            <w:t xml:space="preserve">raud </w:t>
          </w:r>
          <w:r>
            <w:rPr>
              <w:rFonts w:hint="eastAsia"/>
              <w:lang w:val="en-US" w:eastAsia="zh-CN"/>
            </w:rPr>
            <w:t>T</w:t>
          </w:r>
          <w:r>
            <w:rPr>
              <w:rFonts w:hint="default"/>
              <w:lang w:val="en-US" w:eastAsia="zh-CN"/>
            </w:rPr>
            <w:t xml:space="preserve">riangle </w:t>
          </w:r>
          <w:r>
            <w:rPr>
              <w:rFonts w:hint="eastAsia"/>
              <w:lang w:val="en-US" w:eastAsia="zh-CN"/>
            </w:rPr>
            <w:t>T</w:t>
          </w:r>
          <w:r>
            <w:rPr>
              <w:rFonts w:hint="default"/>
              <w:lang w:val="en-US" w:eastAsia="zh-CN"/>
            </w:rPr>
            <w:t>heory</w:t>
          </w:r>
          <w:r>
            <w:tab/>
          </w:r>
          <w:r>
            <w:fldChar w:fldCharType="begin"/>
          </w:r>
          <w:r>
            <w:instrText xml:space="preserve"> PAGEREF _Toc629 \h </w:instrText>
          </w:r>
          <w:r>
            <w:fldChar w:fldCharType="separate"/>
          </w:r>
          <w:r>
            <w:t>3</w:t>
          </w:r>
          <w:r>
            <w:fldChar w:fldCharType="end"/>
          </w:r>
          <w:r>
            <w:rPr>
              <w:rFonts w:hint="default"/>
              <w:lang w:val="en-US" w:eastAsia="zh-CN"/>
            </w:rPr>
            <w:fldChar w:fldCharType="end"/>
          </w:r>
        </w:p>
        <w:p>
          <w:pPr>
            <w:pStyle w:val="7"/>
            <w:tabs>
              <w:tab w:val="right" w:leader="dot" w:pos="8306"/>
            </w:tabs>
          </w:pPr>
          <w:r>
            <w:rPr>
              <w:rFonts w:hint="default"/>
              <w:lang w:val="en-US" w:eastAsia="zh-CN"/>
            </w:rPr>
            <w:fldChar w:fldCharType="begin"/>
          </w:r>
          <w:r>
            <w:rPr>
              <w:rFonts w:hint="default"/>
              <w:lang w:val="en-US" w:eastAsia="zh-CN"/>
            </w:rPr>
            <w:instrText xml:space="preserve"> HYPERLINK \l _Toc9962 </w:instrText>
          </w:r>
          <w:r>
            <w:rPr>
              <w:rFonts w:hint="default"/>
              <w:lang w:val="en-US" w:eastAsia="zh-CN"/>
            </w:rPr>
            <w:fldChar w:fldCharType="separate"/>
          </w:r>
          <w:r>
            <w:rPr>
              <w:rFonts w:hint="eastAsia"/>
              <w:lang w:val="en-US" w:eastAsia="zh-CN"/>
            </w:rPr>
            <w:t>3.1 The Pressure to Fraud</w:t>
          </w:r>
          <w:r>
            <w:tab/>
          </w:r>
          <w:r>
            <w:fldChar w:fldCharType="begin"/>
          </w:r>
          <w:r>
            <w:instrText xml:space="preserve"> PAGEREF _Toc9962 \h </w:instrText>
          </w:r>
          <w:r>
            <w:fldChar w:fldCharType="separate"/>
          </w:r>
          <w:r>
            <w:t>3</w:t>
          </w:r>
          <w:r>
            <w:fldChar w:fldCharType="end"/>
          </w:r>
          <w:r>
            <w:rPr>
              <w:rFonts w:hint="default"/>
              <w:lang w:val="en-US" w:eastAsia="zh-CN"/>
            </w:rPr>
            <w:fldChar w:fldCharType="end"/>
          </w:r>
        </w:p>
        <w:p>
          <w:pPr>
            <w:pStyle w:val="5"/>
            <w:tabs>
              <w:tab w:val="right" w:leader="dot" w:pos="8306"/>
            </w:tabs>
          </w:pPr>
          <w:r>
            <w:rPr>
              <w:rFonts w:hint="default"/>
              <w:lang w:val="en-US" w:eastAsia="zh-CN"/>
            </w:rPr>
            <w:fldChar w:fldCharType="begin"/>
          </w:r>
          <w:r>
            <w:rPr>
              <w:rFonts w:hint="default"/>
              <w:lang w:val="en-US" w:eastAsia="zh-CN"/>
            </w:rPr>
            <w:instrText xml:space="preserve"> HYPERLINK \l _Toc2140 </w:instrText>
          </w:r>
          <w:r>
            <w:rPr>
              <w:rFonts w:hint="default"/>
              <w:lang w:val="en-US" w:eastAsia="zh-CN"/>
            </w:rPr>
            <w:fldChar w:fldCharType="separate"/>
          </w:r>
          <w:r>
            <w:rPr>
              <w:rFonts w:hint="eastAsia"/>
              <w:lang w:val="en-US" w:eastAsia="zh-CN"/>
            </w:rPr>
            <w:t>3.1.1 Pressure of Solvency</w:t>
          </w:r>
          <w:r>
            <w:tab/>
          </w:r>
          <w:r>
            <w:fldChar w:fldCharType="begin"/>
          </w:r>
          <w:r>
            <w:instrText xml:space="preserve"> PAGEREF _Toc2140 \h </w:instrText>
          </w:r>
          <w:r>
            <w:fldChar w:fldCharType="separate"/>
          </w:r>
          <w:r>
            <w:t>3</w:t>
          </w:r>
          <w:r>
            <w:fldChar w:fldCharType="end"/>
          </w:r>
          <w:r>
            <w:rPr>
              <w:rFonts w:hint="default"/>
              <w:lang w:val="en-US" w:eastAsia="zh-CN"/>
            </w:rPr>
            <w:fldChar w:fldCharType="end"/>
          </w:r>
        </w:p>
        <w:p>
          <w:pPr>
            <w:pStyle w:val="5"/>
            <w:tabs>
              <w:tab w:val="right" w:leader="dot" w:pos="8306"/>
            </w:tabs>
          </w:pPr>
          <w:r>
            <w:rPr>
              <w:rFonts w:hint="default"/>
              <w:lang w:val="en-US" w:eastAsia="zh-CN"/>
            </w:rPr>
            <w:fldChar w:fldCharType="begin"/>
          </w:r>
          <w:r>
            <w:rPr>
              <w:rFonts w:hint="default"/>
              <w:lang w:val="en-US" w:eastAsia="zh-CN"/>
            </w:rPr>
            <w:instrText xml:space="preserve"> HYPERLINK \l _Toc32265 </w:instrText>
          </w:r>
          <w:r>
            <w:rPr>
              <w:rFonts w:hint="default"/>
              <w:lang w:val="en-US" w:eastAsia="zh-CN"/>
            </w:rPr>
            <w:fldChar w:fldCharType="separate"/>
          </w:r>
          <w:r>
            <w:rPr>
              <w:rFonts w:hint="eastAsia"/>
              <w:lang w:val="en-US" w:eastAsia="zh-CN"/>
            </w:rPr>
            <w:t>3.1.2 The Pressure of Profit</w:t>
          </w:r>
          <w:r>
            <w:tab/>
          </w:r>
          <w:r>
            <w:fldChar w:fldCharType="begin"/>
          </w:r>
          <w:r>
            <w:instrText xml:space="preserve"> PAGEREF _Toc32265 \h </w:instrText>
          </w:r>
          <w:r>
            <w:fldChar w:fldCharType="separate"/>
          </w:r>
          <w:r>
            <w:t>5</w:t>
          </w:r>
          <w:r>
            <w:fldChar w:fldCharType="end"/>
          </w:r>
          <w:r>
            <w:rPr>
              <w:rFonts w:hint="default"/>
              <w:lang w:val="en-US" w:eastAsia="zh-CN"/>
            </w:rPr>
            <w:fldChar w:fldCharType="end"/>
          </w:r>
        </w:p>
        <w:p>
          <w:pPr>
            <w:pStyle w:val="7"/>
            <w:tabs>
              <w:tab w:val="right" w:leader="dot" w:pos="8306"/>
            </w:tabs>
          </w:pPr>
          <w:r>
            <w:rPr>
              <w:rFonts w:hint="default"/>
              <w:lang w:val="en-US" w:eastAsia="zh-CN"/>
            </w:rPr>
            <w:fldChar w:fldCharType="begin"/>
          </w:r>
          <w:r>
            <w:rPr>
              <w:rFonts w:hint="default"/>
              <w:lang w:val="en-US" w:eastAsia="zh-CN"/>
            </w:rPr>
            <w:instrText xml:space="preserve"> HYPERLINK \l _Toc31654 </w:instrText>
          </w:r>
          <w:r>
            <w:rPr>
              <w:rFonts w:hint="default"/>
              <w:lang w:val="en-US" w:eastAsia="zh-CN"/>
            </w:rPr>
            <w:fldChar w:fldCharType="separate"/>
          </w:r>
          <w:r>
            <w:rPr>
              <w:rFonts w:hint="eastAsia"/>
              <w:lang w:val="en-US" w:eastAsia="zh-CN"/>
            </w:rPr>
            <w:t>3.2 The Opportunity to Fraud</w:t>
          </w:r>
          <w:r>
            <w:tab/>
          </w:r>
          <w:r>
            <w:fldChar w:fldCharType="begin"/>
          </w:r>
          <w:r>
            <w:instrText xml:space="preserve"> PAGEREF _Toc31654 \h </w:instrText>
          </w:r>
          <w:r>
            <w:fldChar w:fldCharType="separate"/>
          </w:r>
          <w:r>
            <w:t>6</w:t>
          </w:r>
          <w:r>
            <w:fldChar w:fldCharType="end"/>
          </w:r>
          <w:r>
            <w:rPr>
              <w:rFonts w:hint="default"/>
              <w:lang w:val="en-US" w:eastAsia="zh-CN"/>
            </w:rPr>
            <w:fldChar w:fldCharType="end"/>
          </w:r>
        </w:p>
        <w:p>
          <w:pPr>
            <w:pStyle w:val="7"/>
            <w:tabs>
              <w:tab w:val="right" w:leader="dot" w:pos="8306"/>
            </w:tabs>
          </w:pPr>
          <w:r>
            <w:rPr>
              <w:rFonts w:hint="default"/>
              <w:lang w:val="en-US" w:eastAsia="zh-CN"/>
            </w:rPr>
            <w:fldChar w:fldCharType="begin"/>
          </w:r>
          <w:r>
            <w:rPr>
              <w:rFonts w:hint="default"/>
              <w:lang w:val="en-US" w:eastAsia="zh-CN"/>
            </w:rPr>
            <w:instrText xml:space="preserve"> HYPERLINK \l _Toc8398 </w:instrText>
          </w:r>
          <w:r>
            <w:rPr>
              <w:rFonts w:hint="default"/>
              <w:lang w:val="en-US" w:eastAsia="zh-CN"/>
            </w:rPr>
            <w:fldChar w:fldCharType="separate"/>
          </w:r>
          <w:r>
            <w:rPr>
              <w:rFonts w:hint="eastAsia"/>
              <w:lang w:val="en-US" w:eastAsia="zh-CN"/>
            </w:rPr>
            <w:t>3.3Excuses for Fraud</w:t>
          </w:r>
          <w:r>
            <w:tab/>
          </w:r>
          <w:r>
            <w:fldChar w:fldCharType="begin"/>
          </w:r>
          <w:r>
            <w:instrText xml:space="preserve"> PAGEREF _Toc8398 \h </w:instrText>
          </w:r>
          <w:r>
            <w:fldChar w:fldCharType="separate"/>
          </w:r>
          <w:r>
            <w:t>6</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_Toc27018 </w:instrText>
          </w:r>
          <w:r>
            <w:rPr>
              <w:rFonts w:hint="default"/>
              <w:lang w:val="en-US" w:eastAsia="zh-CN"/>
            </w:rPr>
            <w:fldChar w:fldCharType="separate"/>
          </w:r>
          <w:r>
            <w:rPr>
              <w:rFonts w:hint="eastAsia"/>
              <w:lang w:val="en-US" w:eastAsia="zh-CN"/>
            </w:rPr>
            <w:t>4. Earnings Management and Other incentives to Fraud</w:t>
          </w:r>
          <w:r>
            <w:tab/>
          </w:r>
          <w:r>
            <w:fldChar w:fldCharType="begin"/>
          </w:r>
          <w:r>
            <w:instrText xml:space="preserve"> PAGEREF _Toc27018 \h </w:instrText>
          </w:r>
          <w:r>
            <w:fldChar w:fldCharType="separate"/>
          </w:r>
          <w:r>
            <w:t>7</w:t>
          </w:r>
          <w:r>
            <w:fldChar w:fldCharType="end"/>
          </w:r>
          <w:r>
            <w:rPr>
              <w:rFonts w:hint="default"/>
              <w:lang w:val="en-US" w:eastAsia="zh-CN"/>
            </w:rPr>
            <w:fldChar w:fldCharType="end"/>
          </w:r>
        </w:p>
        <w:p>
          <w:pPr>
            <w:pStyle w:val="7"/>
            <w:tabs>
              <w:tab w:val="right" w:leader="dot" w:pos="8306"/>
            </w:tabs>
          </w:pPr>
          <w:r>
            <w:rPr>
              <w:rFonts w:hint="default"/>
              <w:lang w:val="en-US" w:eastAsia="zh-CN"/>
            </w:rPr>
            <w:fldChar w:fldCharType="begin"/>
          </w:r>
          <w:r>
            <w:rPr>
              <w:rFonts w:hint="default"/>
              <w:lang w:val="en-US" w:eastAsia="zh-CN"/>
            </w:rPr>
            <w:instrText xml:space="preserve"> HYPERLINK \l _Toc28715 </w:instrText>
          </w:r>
          <w:r>
            <w:rPr>
              <w:rFonts w:hint="default"/>
              <w:lang w:val="en-US" w:eastAsia="zh-CN"/>
            </w:rPr>
            <w:fldChar w:fldCharType="separate"/>
          </w:r>
          <w:r>
            <w:rPr>
              <w:rFonts w:hint="eastAsia"/>
              <w:lang w:val="en-US" w:eastAsia="zh-CN"/>
            </w:rPr>
            <w:t>4.1 Earnings Management</w:t>
          </w:r>
          <w:r>
            <w:tab/>
          </w:r>
          <w:r>
            <w:fldChar w:fldCharType="begin"/>
          </w:r>
          <w:r>
            <w:instrText xml:space="preserve"> PAGEREF _Toc28715 \h </w:instrText>
          </w:r>
          <w:r>
            <w:fldChar w:fldCharType="separate"/>
          </w:r>
          <w:r>
            <w:t>7</w:t>
          </w:r>
          <w:r>
            <w:fldChar w:fldCharType="end"/>
          </w:r>
          <w:r>
            <w:rPr>
              <w:rFonts w:hint="default"/>
              <w:lang w:val="en-US" w:eastAsia="zh-CN"/>
            </w:rPr>
            <w:fldChar w:fldCharType="end"/>
          </w:r>
        </w:p>
        <w:p>
          <w:pPr>
            <w:pStyle w:val="7"/>
            <w:tabs>
              <w:tab w:val="right" w:leader="dot" w:pos="8306"/>
            </w:tabs>
          </w:pPr>
          <w:r>
            <w:rPr>
              <w:rFonts w:hint="default"/>
              <w:lang w:val="en-US" w:eastAsia="zh-CN"/>
            </w:rPr>
            <w:fldChar w:fldCharType="begin"/>
          </w:r>
          <w:r>
            <w:rPr>
              <w:rFonts w:hint="default"/>
              <w:lang w:val="en-US" w:eastAsia="zh-CN"/>
            </w:rPr>
            <w:instrText xml:space="preserve"> HYPERLINK \l _Toc23928 </w:instrText>
          </w:r>
          <w:r>
            <w:rPr>
              <w:rFonts w:hint="default"/>
              <w:lang w:val="en-US" w:eastAsia="zh-CN"/>
            </w:rPr>
            <w:fldChar w:fldCharType="separate"/>
          </w:r>
          <w:r>
            <w:rPr>
              <w:rFonts w:hint="eastAsia"/>
              <w:lang w:val="en-US" w:eastAsia="zh-CN"/>
            </w:rPr>
            <w:t>4.2Conclusion about Incentives of Fraud</w:t>
          </w:r>
          <w:r>
            <w:tab/>
          </w:r>
          <w:r>
            <w:fldChar w:fldCharType="begin"/>
          </w:r>
          <w:r>
            <w:instrText xml:space="preserve"> PAGEREF _Toc23928 \h </w:instrText>
          </w:r>
          <w:r>
            <w:fldChar w:fldCharType="separate"/>
          </w:r>
          <w:r>
            <w:t>8</w:t>
          </w:r>
          <w:r>
            <w:fldChar w:fldCharType="end"/>
          </w:r>
          <w:r>
            <w:rPr>
              <w:rFonts w:hint="default"/>
              <w:lang w:val="en-US" w:eastAsia="zh-CN"/>
            </w:rPr>
            <w:fldChar w:fldCharType="end"/>
          </w:r>
        </w:p>
        <w:p>
          <w:pPr>
            <w:pStyle w:val="5"/>
            <w:tabs>
              <w:tab w:val="right" w:leader="dot" w:pos="8306"/>
            </w:tabs>
          </w:pPr>
          <w:r>
            <w:rPr>
              <w:rFonts w:hint="default"/>
              <w:lang w:val="en-US" w:eastAsia="zh-CN"/>
            </w:rPr>
            <w:fldChar w:fldCharType="begin"/>
          </w:r>
          <w:r>
            <w:rPr>
              <w:rFonts w:hint="default"/>
              <w:lang w:val="en-US" w:eastAsia="zh-CN"/>
            </w:rPr>
            <w:instrText xml:space="preserve"> HYPERLINK \l _Toc26352 </w:instrText>
          </w:r>
          <w:r>
            <w:rPr>
              <w:rFonts w:hint="default"/>
              <w:lang w:val="en-US" w:eastAsia="zh-CN"/>
            </w:rPr>
            <w:fldChar w:fldCharType="separate"/>
          </w:r>
          <w:r>
            <w:rPr>
              <w:rFonts w:hint="eastAsia"/>
              <w:lang w:val="en-US" w:eastAsia="zh-CN"/>
            </w:rPr>
            <w:t>4.2.1. Motivation to avoid the risk of delisting</w:t>
          </w:r>
          <w:r>
            <w:tab/>
          </w:r>
          <w:r>
            <w:fldChar w:fldCharType="begin"/>
          </w:r>
          <w:r>
            <w:instrText xml:space="preserve"> PAGEREF _Toc26352 \h </w:instrText>
          </w:r>
          <w:r>
            <w:fldChar w:fldCharType="separate"/>
          </w:r>
          <w:r>
            <w:t>8</w:t>
          </w:r>
          <w:r>
            <w:fldChar w:fldCharType="end"/>
          </w:r>
          <w:r>
            <w:rPr>
              <w:rFonts w:hint="default"/>
              <w:lang w:val="en-US" w:eastAsia="zh-CN"/>
            </w:rPr>
            <w:fldChar w:fldCharType="end"/>
          </w:r>
        </w:p>
        <w:p>
          <w:pPr>
            <w:pStyle w:val="5"/>
            <w:tabs>
              <w:tab w:val="right" w:leader="dot" w:pos="8306"/>
            </w:tabs>
          </w:pPr>
          <w:r>
            <w:rPr>
              <w:rFonts w:hint="default"/>
              <w:lang w:val="en-US" w:eastAsia="zh-CN"/>
            </w:rPr>
            <w:fldChar w:fldCharType="begin"/>
          </w:r>
          <w:r>
            <w:rPr>
              <w:rFonts w:hint="default"/>
              <w:lang w:val="en-US" w:eastAsia="zh-CN"/>
            </w:rPr>
            <w:instrText xml:space="preserve"> HYPERLINK \l _Toc6044 </w:instrText>
          </w:r>
          <w:r>
            <w:rPr>
              <w:rFonts w:hint="default"/>
              <w:lang w:val="en-US" w:eastAsia="zh-CN"/>
            </w:rPr>
            <w:fldChar w:fldCharType="separate"/>
          </w:r>
          <w:r>
            <w:rPr>
              <w:rFonts w:hint="eastAsia"/>
              <w:lang w:val="en-US" w:eastAsia="zh-CN"/>
            </w:rPr>
            <w:t>4.2.2 Financing motive</w:t>
          </w:r>
          <w:r>
            <w:tab/>
          </w:r>
          <w:r>
            <w:fldChar w:fldCharType="begin"/>
          </w:r>
          <w:r>
            <w:instrText xml:space="preserve"> PAGEREF _Toc6044 \h </w:instrText>
          </w:r>
          <w:r>
            <w:fldChar w:fldCharType="separate"/>
          </w:r>
          <w:r>
            <w:t>8</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_Toc6859 </w:instrText>
          </w:r>
          <w:r>
            <w:rPr>
              <w:rFonts w:hint="default"/>
              <w:lang w:val="en-US" w:eastAsia="zh-CN"/>
            </w:rPr>
            <w:fldChar w:fldCharType="separate"/>
          </w:r>
          <w:r>
            <w:rPr>
              <w:rFonts w:hint="eastAsia"/>
              <w:lang w:val="en-US" w:eastAsia="zh-CN"/>
            </w:rPr>
            <w:t>5 .Issue of  Ethical code</w:t>
          </w:r>
          <w:r>
            <w:tab/>
          </w:r>
          <w:r>
            <w:fldChar w:fldCharType="begin"/>
          </w:r>
          <w:r>
            <w:instrText xml:space="preserve"> PAGEREF _Toc6859 \h </w:instrText>
          </w:r>
          <w:r>
            <w:fldChar w:fldCharType="separate"/>
          </w:r>
          <w:r>
            <w:t>9</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_Toc7253 </w:instrText>
          </w:r>
          <w:r>
            <w:rPr>
              <w:rFonts w:hint="default"/>
              <w:lang w:val="en-US" w:eastAsia="zh-CN"/>
            </w:rPr>
            <w:fldChar w:fldCharType="separate"/>
          </w:r>
          <w:r>
            <w:rPr>
              <w:rFonts w:hint="default"/>
              <w:lang w:val="en-US" w:eastAsia="zh-CN"/>
            </w:rPr>
            <w:t xml:space="preserve">6. </w:t>
          </w:r>
          <w:r>
            <w:rPr>
              <w:rFonts w:hint="eastAsia"/>
              <w:lang w:val="en-US" w:eastAsia="zh-CN"/>
            </w:rPr>
            <w:t>C</w:t>
          </w:r>
          <w:r>
            <w:rPr>
              <w:rFonts w:hint="default"/>
              <w:lang w:val="en-US" w:eastAsia="zh-CN"/>
            </w:rPr>
            <w:t>orporate governance</w:t>
          </w:r>
          <w:r>
            <w:rPr>
              <w:rFonts w:hint="eastAsia"/>
              <w:lang w:val="en-US" w:eastAsia="zh-CN"/>
            </w:rPr>
            <w:t xml:space="preserve"> and Earnings Management in UK</w:t>
          </w:r>
          <w:r>
            <w:tab/>
          </w:r>
          <w:r>
            <w:fldChar w:fldCharType="begin"/>
          </w:r>
          <w:r>
            <w:instrText xml:space="preserve"> PAGEREF _Toc7253 \h </w:instrText>
          </w:r>
          <w:r>
            <w:fldChar w:fldCharType="separate"/>
          </w:r>
          <w:r>
            <w:t>10</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_Toc22113 </w:instrText>
          </w:r>
          <w:r>
            <w:rPr>
              <w:rFonts w:hint="default"/>
              <w:lang w:val="en-US" w:eastAsia="zh-CN"/>
            </w:rPr>
            <w:fldChar w:fldCharType="separate"/>
          </w:r>
          <w:r>
            <w:rPr>
              <w:rFonts w:hint="eastAsia"/>
              <w:lang w:val="en-US" w:eastAsia="zh-CN"/>
            </w:rPr>
            <w:t>7. Recommendations</w:t>
          </w:r>
          <w:r>
            <w:tab/>
          </w:r>
          <w:r>
            <w:fldChar w:fldCharType="begin"/>
          </w:r>
          <w:r>
            <w:instrText xml:space="preserve"> PAGEREF _Toc22113 \h </w:instrText>
          </w:r>
          <w:r>
            <w:fldChar w:fldCharType="separate"/>
          </w:r>
          <w:r>
            <w:t>11</w:t>
          </w:r>
          <w:r>
            <w:fldChar w:fldCharType="end"/>
          </w:r>
          <w:r>
            <w:rPr>
              <w:rFonts w:hint="default"/>
              <w:lang w:val="en-US" w:eastAsia="zh-CN"/>
            </w:rPr>
            <w:fldChar w:fldCharType="end"/>
          </w:r>
        </w:p>
        <w:p>
          <w:pPr>
            <w:pStyle w:val="6"/>
            <w:tabs>
              <w:tab w:val="right" w:leader="dot" w:pos="8306"/>
            </w:tabs>
          </w:pPr>
          <w:r>
            <w:rPr>
              <w:rFonts w:hint="default"/>
              <w:lang w:val="en-US" w:eastAsia="zh-CN"/>
            </w:rPr>
            <w:fldChar w:fldCharType="begin"/>
          </w:r>
          <w:r>
            <w:rPr>
              <w:rFonts w:hint="default"/>
              <w:lang w:val="en-US" w:eastAsia="zh-CN"/>
            </w:rPr>
            <w:instrText xml:space="preserve"> HYPERLINK \l _Toc3183 </w:instrText>
          </w:r>
          <w:r>
            <w:rPr>
              <w:rFonts w:hint="default"/>
              <w:lang w:val="en-US" w:eastAsia="zh-CN"/>
            </w:rPr>
            <w:fldChar w:fldCharType="separate"/>
          </w:r>
          <w:r>
            <w:rPr>
              <w:rFonts w:hint="eastAsia"/>
              <w:lang w:val="en-US" w:eastAsia="zh-CN"/>
            </w:rPr>
            <w:t>Reference</w:t>
          </w:r>
          <w:r>
            <w:tab/>
          </w:r>
          <w:r>
            <w:fldChar w:fldCharType="begin"/>
          </w:r>
          <w:r>
            <w:instrText xml:space="preserve"> PAGEREF _Toc3183 \h </w:instrText>
          </w:r>
          <w:r>
            <w:fldChar w:fldCharType="separate"/>
          </w:r>
          <w:r>
            <w:t>11</w:t>
          </w:r>
          <w:r>
            <w:fldChar w:fldCharType="end"/>
          </w:r>
          <w:r>
            <w:rPr>
              <w:rFonts w:hint="default"/>
              <w:lang w:val="en-US" w:eastAsia="zh-CN"/>
            </w:rPr>
            <w:fldChar w:fldCharType="end"/>
          </w:r>
        </w:p>
        <w:p>
          <w:pPr>
            <w:pStyle w:val="2"/>
            <w:numPr>
              <w:ilvl w:val="0"/>
              <w:numId w:val="0"/>
            </w:numPr>
            <w:bidi w:val="0"/>
            <w:rPr>
              <w:rFonts w:hint="default"/>
              <w:lang w:val="en-US" w:eastAsia="zh-CN"/>
            </w:rPr>
          </w:pPr>
          <w:r>
            <w:rPr>
              <w:rFonts w:hint="default"/>
              <w:lang w:val="en-US" w:eastAsia="zh-CN"/>
            </w:rPr>
            <w:fldChar w:fldCharType="end"/>
          </w:r>
        </w:p>
        <w:p>
          <w:pPr>
            <w:rPr>
              <w:rFonts w:hint="default"/>
              <w:lang w:val="en-US" w:eastAsia="zh-CN"/>
            </w:rPr>
          </w:pPr>
          <w:r>
            <w:rPr>
              <w:rFonts w:hint="default"/>
              <w:lang w:val="en-US" w:eastAsia="zh-CN"/>
            </w:rPr>
            <w:br w:type="page"/>
          </w:r>
        </w:p>
      </w:sdtContent>
    </w:sdt>
    <w:p>
      <w:pPr>
        <w:pStyle w:val="2"/>
        <w:numPr>
          <w:ilvl w:val="0"/>
          <w:numId w:val="1"/>
        </w:numPr>
        <w:bidi w:val="0"/>
        <w:rPr>
          <w:rFonts w:hint="default"/>
          <w:lang w:val="en-US" w:eastAsia="zh-CN"/>
        </w:rPr>
      </w:pPr>
      <w:bookmarkStart w:id="0" w:name="_Toc27116"/>
      <w:r>
        <w:rPr>
          <w:rFonts w:hint="eastAsia"/>
          <w:lang w:val="en-US" w:eastAsia="zh-CN"/>
        </w:rPr>
        <w:t>Inotroduction</w:t>
      </w:r>
      <w:bookmarkEnd w:id="0"/>
    </w:p>
    <w:p>
      <w:pPr>
        <w:rPr>
          <w:rFonts w:hint="eastAsia" w:ascii="Arial" w:hAnsi="Arial" w:eastAsia="宋体" w:cs="Arial"/>
          <w:sz w:val="22"/>
          <w:szCs w:val="22"/>
          <w:lang w:val="en-US" w:eastAsia="zh-CN"/>
        </w:rPr>
      </w:pPr>
      <w:r>
        <w:rPr>
          <w:rFonts w:hint="eastAsia"/>
          <w:lang w:eastAsia="zh-CN"/>
        </w:rPr>
        <w:t>Zhangzidao</w:t>
      </w:r>
      <w:r>
        <w:t xml:space="preserve"> GROUP CO.,LTD</w:t>
      </w:r>
      <w:r>
        <w:rPr>
          <w:rFonts w:hint="eastAsia"/>
          <w:lang w:val="en-US" w:eastAsia="zh-CN"/>
        </w:rPr>
        <w:t xml:space="preserve"> </w:t>
      </w:r>
      <w:r>
        <w:rPr>
          <w:rFonts w:hint="eastAsia"/>
        </w:rPr>
        <w:t>was established in Changhai County, Liaoning Province</w:t>
      </w:r>
      <w:r>
        <w:rPr>
          <w:rFonts w:hint="eastAsia"/>
          <w:lang w:val="en-US" w:eastAsia="zh-CN"/>
        </w:rPr>
        <w:t xml:space="preserve">, China </w:t>
      </w:r>
      <w:r>
        <w:rPr>
          <w:rFonts w:hint="eastAsia"/>
        </w:rPr>
        <w:t xml:space="preserve">on September 21, 1992 with a registered capital of 76.32 million yuan. In 2001, </w:t>
      </w:r>
      <w:r>
        <w:rPr>
          <w:rFonts w:hint="eastAsia"/>
          <w:lang w:val="en-US" w:eastAsia="zh-CN"/>
        </w:rPr>
        <w:t>Zhangzidao</w:t>
      </w:r>
      <w:r>
        <w:rPr>
          <w:rFonts w:hint="eastAsia"/>
        </w:rPr>
        <w:t xml:space="preserve"> completed the shareholding reform. After the share reform, the company was successfully listed on the Shenzhen Stock Exchange on September 28, 2006 (stock code: 002069), and the number of shares of </w:t>
      </w:r>
      <w:r>
        <w:rPr>
          <w:rFonts w:hint="eastAsia"/>
          <w:lang w:val="en-US" w:eastAsia="zh-CN"/>
        </w:rPr>
        <w:t>Zhangzidao</w:t>
      </w:r>
      <w:r>
        <w:rPr>
          <w:rFonts w:hint="eastAsia"/>
        </w:rPr>
        <w:t xml:space="preserve"> was 28.3 million in the initial public offering, and the total share capital of the company was 113.1 million after the issue. The company's largest shareholder is Changhai County</w:t>
      </w:r>
      <w:r>
        <w:rPr>
          <w:rFonts w:hint="eastAsia"/>
          <w:lang w:val="en-US" w:eastAsia="zh-CN"/>
        </w:rPr>
        <w:t xml:space="preserve"> co</w:t>
      </w:r>
      <w:r>
        <w:t>.,</w:t>
      </w:r>
      <w:r>
        <w:rPr>
          <w:rFonts w:hint="eastAsia"/>
          <w:lang w:val="en-US" w:eastAsia="zh-CN"/>
        </w:rPr>
        <w:t>ltd</w:t>
      </w:r>
      <w:r>
        <w:rPr>
          <w:rFonts w:hint="eastAsia"/>
        </w:rPr>
        <w:t xml:space="preserve"> , holding 46.96% of the total number of shares of the company. On the first day of its listing, the stock of </w:t>
      </w:r>
      <w:r>
        <w:rPr>
          <w:rFonts w:hint="eastAsia"/>
          <w:lang w:val="en-US" w:eastAsia="zh-CN"/>
        </w:rPr>
        <w:t>Zhangzidao</w:t>
      </w:r>
      <w:r>
        <w:rPr>
          <w:rFonts w:hint="eastAsia"/>
        </w:rPr>
        <w:t xml:space="preserve"> became the second highest priced stock among 1341 listed companies in China with an opening price of RMB 60.89. On January 24, 2008, the share price of </w:t>
      </w:r>
      <w:r>
        <w:rPr>
          <w:rFonts w:hint="eastAsia"/>
          <w:lang w:val="en-US" w:eastAsia="zh-CN"/>
        </w:rPr>
        <w:t>Zhangzidao</w:t>
      </w:r>
      <w:r>
        <w:rPr>
          <w:rFonts w:hint="eastAsia"/>
        </w:rPr>
        <w:t xml:space="preserve"> Group, a leading enterprise in seafood farming, rose to a high of RMB 151.23 per share, becoming the first agricultural 100 yuan stock enterprise in China. Along with the rise in share price, the market value of </w:t>
      </w:r>
      <w:r>
        <w:rPr>
          <w:rFonts w:hint="eastAsia"/>
          <w:lang w:val="en-US" w:eastAsia="zh-CN"/>
        </w:rPr>
        <w:t>Zhangzidao</w:t>
      </w:r>
      <w:r>
        <w:rPr>
          <w:rFonts w:hint="eastAsia"/>
        </w:rPr>
        <w:t xml:space="preserve"> Group kept climbing, once reaching 20 billion yuan. In the five years from 2014 to 2019, </w:t>
      </w:r>
      <w:r>
        <w:rPr>
          <w:rFonts w:hint="eastAsia"/>
          <w:lang w:val="en-US" w:eastAsia="zh-CN"/>
        </w:rPr>
        <w:t>zhanzidao</w:t>
      </w:r>
      <w:r>
        <w:rPr>
          <w:rFonts w:hint="eastAsia"/>
        </w:rPr>
        <w:t xml:space="preserve"> as many as four times "scallop run" incident, November 15, 2019, </w:t>
      </w:r>
      <w:r>
        <w:rPr>
          <w:rFonts w:hint="eastAsia"/>
          <w:lang w:val="en-US" w:eastAsia="zh-CN"/>
        </w:rPr>
        <w:t>Zhangzidao</w:t>
      </w:r>
      <w:r>
        <w:rPr>
          <w:rFonts w:hint="eastAsia"/>
        </w:rPr>
        <w:t xml:space="preserve"> share price of only 2.3 yuan per share, the company's total market value of 2.268 billion yuan, the market value shrunk nearly 10 times.</w:t>
      </w:r>
      <w:r>
        <w:rPr>
          <w:rFonts w:hint="eastAsia" w:ascii="Arial" w:hAnsi="Arial" w:eastAsia="宋体" w:cs="Arial"/>
          <w:sz w:val="22"/>
          <w:szCs w:val="22"/>
          <w:lang w:val="en-US" w:eastAsia="zh-CN"/>
        </w:rPr>
        <w:t>(</w:t>
      </w:r>
      <w:r>
        <w:rPr>
          <w:rFonts w:hint="default" w:ascii="Times New Roman" w:hAnsi="Times New Roman" w:cs="Times New Roman"/>
          <w:lang w:val="en-US" w:eastAsia="zh-CN"/>
        </w:rPr>
        <w:t>Xia, 2022</w:t>
      </w:r>
      <w:r>
        <w:rPr>
          <w:rFonts w:hint="eastAsia" w:ascii="Arial" w:hAnsi="Arial" w:eastAsia="宋体" w:cs="Arial"/>
          <w:sz w:val="22"/>
          <w:szCs w:val="22"/>
          <w:lang w:val="en-US" w:eastAsia="zh-CN"/>
        </w:rPr>
        <w:t>)</w:t>
      </w:r>
    </w:p>
    <w:p>
      <w:pPr>
        <w:bidi w:val="0"/>
        <w:rPr>
          <w:rFonts w:hint="eastAsia"/>
        </w:rPr>
      </w:pPr>
    </w:p>
    <w:p>
      <w:pPr>
        <w:rPr>
          <w:rFonts w:hint="eastAsia"/>
        </w:rPr>
      </w:pPr>
    </w:p>
    <w:p>
      <w:pPr>
        <w:pStyle w:val="2"/>
        <w:numPr>
          <w:ilvl w:val="0"/>
          <w:numId w:val="1"/>
        </w:numPr>
        <w:bidi w:val="0"/>
        <w:rPr>
          <w:rFonts w:hint="default"/>
          <w:lang w:val="en-US" w:eastAsia="zh-CN"/>
        </w:rPr>
      </w:pPr>
      <w:bookmarkStart w:id="1" w:name="_Toc1795"/>
      <w:r>
        <w:t>Theoretical</w:t>
      </w:r>
      <w:r>
        <w:rPr>
          <w:rFonts w:hint="eastAsia"/>
          <w:lang w:val="en-US" w:eastAsia="zh-CN"/>
        </w:rPr>
        <w:t xml:space="preserve"> </w:t>
      </w:r>
      <w:r>
        <w:t xml:space="preserve"> framework</w:t>
      </w:r>
      <w:bookmarkEnd w:id="1"/>
    </w:p>
    <w:p>
      <w:pPr>
        <w:rPr>
          <w:rFonts w:hint="eastAsia" w:ascii="Arial" w:hAnsi="Arial" w:eastAsia="宋体" w:cs="Arial"/>
          <w:sz w:val="22"/>
          <w:szCs w:val="22"/>
          <w:lang w:val="en-US" w:eastAsia="zh-CN"/>
        </w:rPr>
      </w:pPr>
      <w:r>
        <w:rPr>
          <w:rFonts w:hint="default"/>
          <w:lang w:val="en-US" w:eastAsia="zh-CN"/>
        </w:rPr>
        <w:t>Financial fraud cases are often analyzed using the fraud triangle theory, which states that fraud is created by three elements: opportunity, pressure, and excuse. These three elements together lead to the creation of fraud, without one of them, and the presence of only one or two of them does not lead to fraud.Of these three aspects, pressure is a burden for the firm subject, mostly consisting of four categories: one is economic pressure, which includes the company's profit loss, stock market decrease, decline in operating performance, and so on.; one is work-related pressure, including excessive business expectations, excessive financial index requirements, unreasonable requirements of the leadership, etc.; One is the pressure brought on by its own addiction, which includes the appetite for risk displayed by the leadership and the subject company's desire for speedy success, among other things; the other pressures come afterwards. The objective condition that allows fraud to occur is opportunity. The opportunity exists in the organization's internal and external environments, and it may be a flaw in the system that allows fraud to exploit it, or it may just exist objectively and be used maliciously by the fraudster. In other words, the presence of opportunity creates objective conditions for the realization of fraud, making it easier for the subject of fraud to engage in fraudulent action. The psychological element of the fraud subject is used as an excuse. To assure the rationalization of fraudulent action, the fraud subject must seek for the ethical code that corresponds to its own fraudulent behavior, while the ethical code that does not correspond to the fraudulent behavior is disregarded and abandoned.The subject's excuse is an already processed and distorted ethical standard with the ultimate goal of rationalizing fraudulent behavior.</w:t>
      </w:r>
      <w:r>
        <w:rPr>
          <w:rFonts w:hint="eastAsia" w:ascii="Arial" w:hAnsi="Arial" w:eastAsia="宋体" w:cs="Arial"/>
          <w:sz w:val="22"/>
          <w:szCs w:val="22"/>
          <w:lang w:val="en-US" w:eastAsia="zh-CN"/>
        </w:rPr>
        <w:t>(</w:t>
      </w:r>
      <w:r>
        <w:rPr>
          <w:rFonts w:hint="default" w:ascii="Times New Roman" w:hAnsi="Times New Roman" w:cs="Times New Roman"/>
          <w:lang w:val="en-US" w:eastAsia="zh-CN"/>
        </w:rPr>
        <w:t>Wang., 2022</w:t>
      </w:r>
      <w:r>
        <w:rPr>
          <w:rFonts w:hint="eastAsia" w:ascii="Arial" w:hAnsi="Arial" w:eastAsia="宋体" w:cs="Arial"/>
          <w:sz w:val="22"/>
          <w:szCs w:val="22"/>
          <w:lang w:val="en-US" w:eastAsia="zh-CN"/>
        </w:rPr>
        <w:t>)</w:t>
      </w:r>
    </w:p>
    <w:p>
      <w:pPr>
        <w:numPr>
          <w:ilvl w:val="0"/>
          <w:numId w:val="0"/>
        </w:numPr>
        <w:rPr>
          <w:rFonts w:hint="default"/>
          <w:lang w:val="en-US" w:eastAsia="zh-CN"/>
        </w:rPr>
      </w:pPr>
    </w:p>
    <w:p>
      <w:pPr>
        <w:numPr>
          <w:ilvl w:val="0"/>
          <w:numId w:val="0"/>
        </w:numPr>
        <w:rPr>
          <w:rFonts w:hint="default"/>
          <w:lang w:val="en-US" w:eastAsia="zh-CN"/>
        </w:rPr>
      </w:pPr>
      <w:r>
        <w:rPr>
          <w:rFonts w:hint="default"/>
          <w:lang w:val="en-US" w:eastAsia="zh-CN"/>
        </w:rPr>
        <w:t xml:space="preserve">The fraud triangle theory is more streamlined in structure and can be more intuitive in analyzing the motives of fraud in listed companies, and these three factors also completely summarize the motives of all corporate frauds and are more comprehensive in content. </w:t>
      </w:r>
      <w:r>
        <w:rPr>
          <w:rFonts w:hint="eastAsia"/>
          <w:lang w:val="en-US" w:eastAsia="zh-CN"/>
        </w:rPr>
        <w:t>T</w:t>
      </w:r>
      <w:r>
        <w:rPr>
          <w:rFonts w:hint="default"/>
          <w:lang w:val="en-US" w:eastAsia="zh-CN"/>
        </w:rPr>
        <w:t>he fraud triangle theory has been continuously applied and verified, and has withstood the test of practice, which shows the scientific nature of its theory.</w:t>
      </w:r>
    </w:p>
    <w:p>
      <w:pPr>
        <w:rPr>
          <w:rFonts w:hint="eastAsia" w:ascii="Arial" w:hAnsi="Arial" w:eastAsia="宋体" w:cs="Arial"/>
          <w:sz w:val="22"/>
          <w:szCs w:val="22"/>
          <w:lang w:val="en-US" w:eastAsia="zh-CN"/>
        </w:rPr>
      </w:pPr>
      <w:r>
        <w:rPr>
          <w:rFonts w:hint="default"/>
          <w:lang w:val="en-US" w:eastAsia="zh-CN"/>
        </w:rPr>
        <w:t xml:space="preserve">The case of financial fraud of </w:t>
      </w:r>
      <w:r>
        <w:rPr>
          <w:rFonts w:hint="eastAsia"/>
          <w:lang w:val="en-US" w:eastAsia="zh-CN"/>
        </w:rPr>
        <w:t>Zhangzidao</w:t>
      </w:r>
      <w:r>
        <w:rPr>
          <w:rFonts w:hint="default"/>
          <w:lang w:val="en-US" w:eastAsia="zh-CN"/>
        </w:rPr>
        <w:t xml:space="preserve"> is very suitable for the study of fraud triangle theory - the company has the pressure to maintain its listing status, and at the same time its key management is psychologically inclined to speculate and exploit the loopholes of the system, and the relevant regulators have let down their vigilance, which can easily cause the occurrence of fraud, and the fraud triangle theory can be used</w:t>
      </w:r>
      <w:r>
        <w:rPr>
          <w:rFonts w:hint="eastAsia"/>
          <w:lang w:val="en-US" w:eastAsia="zh-CN"/>
        </w:rPr>
        <w:t>.</w:t>
      </w:r>
      <w:r>
        <w:rPr>
          <w:rFonts w:hint="eastAsia" w:ascii="Arial" w:hAnsi="Arial" w:eastAsia="宋体" w:cs="Arial"/>
          <w:sz w:val="22"/>
          <w:szCs w:val="22"/>
          <w:lang w:val="en-US" w:eastAsia="zh-CN"/>
        </w:rPr>
        <w:t>(</w:t>
      </w:r>
      <w:r>
        <w:rPr>
          <w:rFonts w:hint="default" w:ascii="Times New Roman" w:hAnsi="Times New Roman" w:cs="Times New Roman"/>
          <w:lang w:val="en-US" w:eastAsia="zh-CN"/>
        </w:rPr>
        <w:t>Zhou, 2022</w:t>
      </w:r>
      <w:r>
        <w:rPr>
          <w:rFonts w:hint="eastAsia" w:ascii="Arial" w:hAnsi="Arial" w:eastAsia="宋体" w:cs="Arial"/>
          <w:sz w:val="22"/>
          <w:szCs w:val="22"/>
          <w:lang w:val="en-US" w:eastAsia="zh-CN"/>
        </w:rPr>
        <w:t>)</w:t>
      </w:r>
    </w:p>
    <w:p>
      <w:pPr>
        <w:numPr>
          <w:ilvl w:val="0"/>
          <w:numId w:val="0"/>
        </w:numPr>
        <w:rPr>
          <w:rFonts w:hint="default"/>
          <w:lang w:val="en-US" w:eastAsia="zh-CN"/>
        </w:rPr>
      </w:pPr>
    </w:p>
    <w:p>
      <w:pPr>
        <w:pStyle w:val="2"/>
        <w:bidi w:val="0"/>
        <w:rPr>
          <w:rFonts w:hint="eastAsia"/>
          <w:lang w:val="en-US" w:eastAsia="zh-CN"/>
        </w:rPr>
      </w:pPr>
      <w:bookmarkStart w:id="2" w:name="_Toc629"/>
      <w:r>
        <w:rPr>
          <w:rFonts w:hint="eastAsia"/>
          <w:lang w:val="en-US" w:eastAsia="zh-CN"/>
        </w:rPr>
        <w:t>3.T</w:t>
      </w:r>
      <w:r>
        <w:rPr>
          <w:rFonts w:hint="default"/>
          <w:lang w:val="en-US" w:eastAsia="zh-CN"/>
        </w:rPr>
        <w:t xml:space="preserve">he </w:t>
      </w:r>
      <w:r>
        <w:rPr>
          <w:rFonts w:hint="eastAsia"/>
          <w:lang w:val="en-US" w:eastAsia="zh-CN"/>
        </w:rPr>
        <w:t>F</w:t>
      </w:r>
      <w:r>
        <w:rPr>
          <w:rFonts w:hint="default"/>
          <w:lang w:val="en-US" w:eastAsia="zh-CN"/>
        </w:rPr>
        <w:t xml:space="preserve">raud </w:t>
      </w:r>
      <w:r>
        <w:rPr>
          <w:rFonts w:hint="eastAsia"/>
          <w:lang w:val="en-US" w:eastAsia="zh-CN"/>
        </w:rPr>
        <w:t>T</w:t>
      </w:r>
      <w:r>
        <w:rPr>
          <w:rFonts w:hint="default"/>
          <w:lang w:val="en-US" w:eastAsia="zh-CN"/>
        </w:rPr>
        <w:t xml:space="preserve">riangle </w:t>
      </w:r>
      <w:r>
        <w:rPr>
          <w:rFonts w:hint="eastAsia"/>
          <w:lang w:val="en-US" w:eastAsia="zh-CN"/>
        </w:rPr>
        <w:t>T</w:t>
      </w:r>
      <w:r>
        <w:rPr>
          <w:rFonts w:hint="default"/>
          <w:lang w:val="en-US" w:eastAsia="zh-CN"/>
        </w:rPr>
        <w:t>heory</w:t>
      </w:r>
      <w:bookmarkEnd w:id="2"/>
    </w:p>
    <w:p>
      <w:pPr>
        <w:pStyle w:val="3"/>
        <w:bidi w:val="0"/>
        <w:rPr>
          <w:rFonts w:hint="default"/>
          <w:lang w:val="en-US" w:eastAsia="zh-CN"/>
        </w:rPr>
      </w:pPr>
      <w:bookmarkStart w:id="3" w:name="_Toc9962"/>
      <w:r>
        <w:rPr>
          <w:rFonts w:hint="eastAsia"/>
          <w:lang w:val="en-US" w:eastAsia="zh-CN"/>
        </w:rPr>
        <w:t>3.1 The Pressure to Fraud</w:t>
      </w:r>
      <w:bookmarkEnd w:id="3"/>
    </w:p>
    <w:p>
      <w:pPr>
        <w:pStyle w:val="4"/>
        <w:bidi w:val="0"/>
        <w:rPr>
          <w:rFonts w:hint="default"/>
          <w:lang w:val="en-US" w:eastAsia="zh-CN"/>
        </w:rPr>
      </w:pPr>
      <w:bookmarkStart w:id="4" w:name="_Toc2140"/>
      <w:r>
        <w:rPr>
          <w:rFonts w:hint="eastAsia"/>
          <w:lang w:val="en-US" w:eastAsia="zh-CN"/>
        </w:rPr>
        <w:t>3.1.1 Pressure of Solvency</w:t>
      </w:r>
      <w:bookmarkEnd w:id="4"/>
    </w:p>
    <w:p>
      <w:pPr>
        <w:rPr>
          <w:rFonts w:hint="eastAsia" w:ascii="Arial" w:hAnsi="Arial" w:eastAsia="宋体" w:cs="Arial"/>
          <w:sz w:val="22"/>
          <w:szCs w:val="22"/>
          <w:lang w:val="en-US" w:eastAsia="zh-CN"/>
        </w:rPr>
      </w:pPr>
      <w:r>
        <w:rPr>
          <w:rFonts w:hint="default"/>
          <w:lang w:val="en-US" w:eastAsia="zh-CN"/>
        </w:rPr>
        <w:t xml:space="preserve">Due to the unreasonable expansion, which led to the emergence of more and more debts in the process of </w:t>
      </w:r>
      <w:r>
        <w:rPr>
          <w:rFonts w:hint="eastAsia"/>
          <w:lang w:val="en-US" w:eastAsia="zh-CN"/>
        </w:rPr>
        <w:t>Zhangzidao</w:t>
      </w:r>
      <w:r>
        <w:rPr>
          <w:rFonts w:hint="default"/>
          <w:lang w:val="en-US" w:eastAsia="zh-CN"/>
        </w:rPr>
        <w:t>'s operation,The company's solvency, on the other hand, is relatively low and does not meet the criteria of debt repayment. The solvency of the company is classified into two categories: short-term solvency and long-term solvency. Concentrating solely on short-term solvency while ignoring long-term solvency, or focusing solely on long-term solvency while ignoring short-term solvency, all have a negative impact on the company's overall operation.In the analysis of the company's short-term solvency level, two indicators are mainly based on the company's quick ratio and current ratio.</w:t>
      </w:r>
      <w:r>
        <w:rPr>
          <w:rFonts w:hint="eastAsia" w:ascii="Arial" w:hAnsi="Arial" w:eastAsia="宋体" w:cs="Arial"/>
          <w:sz w:val="22"/>
          <w:szCs w:val="22"/>
          <w:lang w:val="en-US" w:eastAsia="zh-CN"/>
        </w:rPr>
        <w:t>(</w:t>
      </w:r>
      <w:r>
        <w:rPr>
          <w:rFonts w:hint="default" w:ascii="Times New Roman" w:hAnsi="Times New Roman" w:cs="Times New Roman"/>
          <w:lang w:val="en-US" w:eastAsia="zh-CN"/>
        </w:rPr>
        <w:t>Shi, 2022.</w:t>
      </w:r>
      <w:r>
        <w:rPr>
          <w:rFonts w:hint="eastAsia" w:ascii="Arial" w:hAnsi="Arial" w:eastAsia="宋体" w:cs="Arial"/>
          <w:sz w:val="22"/>
          <w:szCs w:val="22"/>
          <w:lang w:val="en-US" w:eastAsia="zh-CN"/>
        </w:rPr>
        <w:t>)</w:t>
      </w:r>
    </w:p>
    <w:p>
      <w:pPr>
        <w:rPr>
          <w:rFonts w:hint="default"/>
          <w:lang w:val="en-US" w:eastAsia="zh-CN"/>
        </w:rPr>
      </w:pPr>
    </w:p>
    <w:p>
      <w:pPr>
        <w:rPr>
          <w:rFonts w:hint="default"/>
          <w:lang w:val="en-US" w:eastAsia="zh-CN"/>
        </w:rPr>
      </w:pPr>
      <w:r>
        <w:rPr>
          <w:rFonts w:hint="default"/>
          <w:lang w:val="en-US" w:eastAsia="zh-CN"/>
        </w:rPr>
        <w:t xml:space="preserve">By collecting and organizing the financial data of </w:t>
      </w:r>
      <w:r>
        <w:rPr>
          <w:rFonts w:hint="eastAsia"/>
          <w:lang w:val="en-US" w:eastAsia="zh-CN"/>
        </w:rPr>
        <w:t>Zhangzidao</w:t>
      </w:r>
      <w:r>
        <w:rPr>
          <w:rFonts w:hint="default"/>
          <w:lang w:val="en-US" w:eastAsia="zh-CN"/>
        </w:rPr>
        <w:t xml:space="preserve"> from 2015 to 2019, the main current asset accounts were summarized and organized into a table that</w:t>
      </w:r>
      <w:r>
        <w:rPr>
          <w:rFonts w:hint="eastAsia"/>
          <w:lang w:val="en-US" w:eastAsia="zh-CN"/>
        </w:rPr>
        <w:t>:</w:t>
      </w:r>
    </w:p>
    <w:p>
      <w:pPr>
        <w:rPr>
          <w:rFonts w:hint="default"/>
          <w:lang w:val="en-US" w:eastAsia="zh-CN"/>
        </w:rPr>
      </w:pPr>
    </w:p>
    <w:tbl>
      <w:tblPr>
        <w:tblStyle w:val="9"/>
        <w:tblW w:w="8478" w:type="dxa"/>
        <w:tblInd w:w="98"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3398"/>
        <w:gridCol w:w="1110"/>
        <w:gridCol w:w="940"/>
        <w:gridCol w:w="980"/>
        <w:gridCol w:w="1010"/>
        <w:gridCol w:w="1040"/>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0" w:hRule="atLeast"/>
        </w:trPr>
        <w:tc>
          <w:tcPr>
            <w:tcW w:w="3398" w:type="dxa"/>
            <w:tcBorders>
              <w:top w:val="nil"/>
              <w:left w:val="nil"/>
              <w:bottom w:val="nil"/>
              <w:right w:val="nil"/>
            </w:tcBorders>
            <w:noWrap/>
            <w:vAlign w:val="center"/>
          </w:tcPr>
          <w:p>
            <w:pPr>
              <w:keepNext w:val="0"/>
              <w:keepLines w:val="0"/>
              <w:suppressLineNumbers w:val="0"/>
              <w:spacing w:before="0" w:beforeAutospacing="0" w:after="0" w:afterAutospacing="0"/>
              <w:ind w:left="0" w:right="0"/>
              <w:rPr>
                <w:rFonts w:hint="eastAsia" w:ascii="宋体" w:hAnsi="宋体" w:eastAsia="宋体" w:cs="宋体"/>
                <w:i w:val="0"/>
                <w:iCs w:val="0"/>
                <w:color w:val="000000"/>
                <w:sz w:val="24"/>
                <w:szCs w:val="24"/>
                <w:u w:val="none"/>
              </w:rPr>
            </w:pPr>
          </w:p>
        </w:tc>
        <w:tc>
          <w:tcPr>
            <w:tcW w:w="111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2015</w:t>
            </w:r>
          </w:p>
        </w:tc>
        <w:tc>
          <w:tcPr>
            <w:tcW w:w="94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2016</w:t>
            </w:r>
          </w:p>
        </w:tc>
        <w:tc>
          <w:tcPr>
            <w:tcW w:w="98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2017</w:t>
            </w:r>
          </w:p>
        </w:tc>
        <w:tc>
          <w:tcPr>
            <w:tcW w:w="101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2018</w:t>
            </w:r>
          </w:p>
        </w:tc>
        <w:tc>
          <w:tcPr>
            <w:tcW w:w="104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2019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620" w:hRule="atLeast"/>
        </w:trPr>
        <w:tc>
          <w:tcPr>
            <w:tcW w:w="3398"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br w:type="textWrapping"/>
            </w:r>
            <w:r>
              <w:rPr>
                <w:rFonts w:hint="default" w:ascii="Times New Roman" w:hAnsi="Times New Roman" w:eastAsia="宋体" w:cs="Times New Roman"/>
                <w:i w:val="0"/>
                <w:iCs w:val="0"/>
                <w:color w:val="000000"/>
                <w:kern w:val="0"/>
                <w:sz w:val="24"/>
                <w:szCs w:val="24"/>
                <w:u w:val="none"/>
                <w:lang w:val="en-US" w:eastAsia="zh-CN" w:bidi="ar"/>
              </w:rPr>
              <w:t>Cash</w:t>
            </w:r>
          </w:p>
        </w:tc>
        <w:tc>
          <w:tcPr>
            <w:tcW w:w="111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br w:type="textWrapping"/>
            </w:r>
            <w:r>
              <w:rPr>
                <w:rFonts w:hint="default" w:ascii="Times New Roman" w:hAnsi="Times New Roman" w:eastAsia="宋体" w:cs="Times New Roman"/>
                <w:i w:val="0"/>
                <w:iCs w:val="0"/>
                <w:color w:val="000000"/>
                <w:kern w:val="0"/>
                <w:sz w:val="24"/>
                <w:szCs w:val="24"/>
                <w:u w:val="none"/>
                <w:lang w:val="en-US" w:eastAsia="zh-CN" w:bidi="ar"/>
              </w:rPr>
              <w:t>57,953</w:t>
            </w:r>
          </w:p>
        </w:tc>
        <w:tc>
          <w:tcPr>
            <w:tcW w:w="94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br w:type="textWrapping"/>
            </w:r>
            <w:r>
              <w:rPr>
                <w:rFonts w:hint="default" w:ascii="Times New Roman" w:hAnsi="Times New Roman" w:eastAsia="宋体" w:cs="Times New Roman"/>
                <w:i w:val="0"/>
                <w:iCs w:val="0"/>
                <w:color w:val="000000"/>
                <w:kern w:val="0"/>
                <w:sz w:val="24"/>
                <w:szCs w:val="24"/>
                <w:u w:val="none"/>
                <w:lang w:val="en-US" w:eastAsia="zh-CN" w:bidi="ar"/>
              </w:rPr>
              <w:t>58,145</w:t>
            </w:r>
          </w:p>
        </w:tc>
        <w:tc>
          <w:tcPr>
            <w:tcW w:w="98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br w:type="textWrapping"/>
            </w:r>
            <w:r>
              <w:rPr>
                <w:rFonts w:hint="default" w:ascii="Times New Roman" w:hAnsi="Times New Roman" w:eastAsia="宋体" w:cs="Times New Roman"/>
                <w:i w:val="0"/>
                <w:iCs w:val="0"/>
                <w:color w:val="000000"/>
                <w:kern w:val="0"/>
                <w:sz w:val="24"/>
                <w:szCs w:val="24"/>
                <w:u w:val="none"/>
                <w:lang w:val="en-US" w:eastAsia="zh-CN" w:bidi="ar"/>
              </w:rPr>
              <w:t>49,411</w:t>
            </w:r>
          </w:p>
        </w:tc>
        <w:tc>
          <w:tcPr>
            <w:tcW w:w="101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br w:type="textWrapping"/>
            </w:r>
            <w:r>
              <w:rPr>
                <w:rFonts w:hint="default" w:ascii="Times New Roman" w:hAnsi="Times New Roman" w:eastAsia="宋体" w:cs="Times New Roman"/>
                <w:i w:val="0"/>
                <w:iCs w:val="0"/>
                <w:color w:val="000000"/>
                <w:kern w:val="0"/>
                <w:sz w:val="24"/>
                <w:szCs w:val="24"/>
                <w:u w:val="none"/>
                <w:lang w:val="en-US" w:eastAsia="zh-CN" w:bidi="ar"/>
              </w:rPr>
              <w:t>38,230</w:t>
            </w:r>
          </w:p>
        </w:tc>
        <w:tc>
          <w:tcPr>
            <w:tcW w:w="104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br w:type="textWrapping"/>
            </w:r>
            <w:r>
              <w:rPr>
                <w:rFonts w:hint="default" w:ascii="Times New Roman" w:hAnsi="Times New Roman" w:eastAsia="宋体" w:cs="Times New Roman"/>
                <w:i w:val="0"/>
                <w:iCs w:val="0"/>
                <w:color w:val="000000"/>
                <w:kern w:val="0"/>
                <w:sz w:val="24"/>
                <w:szCs w:val="24"/>
                <w:u w:val="none"/>
                <w:lang w:val="en-US" w:eastAsia="zh-CN" w:bidi="ar"/>
              </w:rPr>
              <w:t>48,983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0" w:hRule="atLeast"/>
        </w:trPr>
        <w:tc>
          <w:tcPr>
            <w:tcW w:w="3398" w:type="dxa"/>
            <w:tcBorders>
              <w:top w:val="nil"/>
              <w:left w:val="nil"/>
              <w:bottom w:val="nil"/>
              <w:right w:val="nil"/>
            </w:tcBorders>
            <w:noWrap/>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Rate of change in cash</w:t>
            </w:r>
          </w:p>
        </w:tc>
        <w:tc>
          <w:tcPr>
            <w:tcW w:w="111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-0.0274</w:t>
            </w:r>
          </w:p>
        </w:tc>
        <w:tc>
          <w:tcPr>
            <w:tcW w:w="94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0.0033</w:t>
            </w:r>
          </w:p>
        </w:tc>
        <w:tc>
          <w:tcPr>
            <w:tcW w:w="98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-0.1502</w:t>
            </w:r>
          </w:p>
        </w:tc>
        <w:tc>
          <w:tcPr>
            <w:tcW w:w="101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-0.2263</w:t>
            </w:r>
          </w:p>
        </w:tc>
        <w:tc>
          <w:tcPr>
            <w:tcW w:w="104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0.2813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0" w:hRule="atLeast"/>
        </w:trPr>
        <w:tc>
          <w:tcPr>
            <w:tcW w:w="3398" w:type="dxa"/>
            <w:tcBorders>
              <w:top w:val="nil"/>
              <w:left w:val="nil"/>
              <w:bottom w:val="nil"/>
              <w:right w:val="nil"/>
            </w:tcBorders>
            <w:noWrap/>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Cash/Current Assets</w:t>
            </w:r>
          </w:p>
        </w:tc>
        <w:tc>
          <w:tcPr>
            <w:tcW w:w="111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0.2211</w:t>
            </w:r>
          </w:p>
        </w:tc>
        <w:tc>
          <w:tcPr>
            <w:tcW w:w="94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0.2018</w:t>
            </w:r>
          </w:p>
        </w:tc>
        <w:tc>
          <w:tcPr>
            <w:tcW w:w="98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0.2112</w:t>
            </w:r>
          </w:p>
        </w:tc>
        <w:tc>
          <w:tcPr>
            <w:tcW w:w="101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0.1831</w:t>
            </w:r>
          </w:p>
        </w:tc>
        <w:tc>
          <w:tcPr>
            <w:tcW w:w="104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0.2938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0" w:hRule="atLeast"/>
        </w:trPr>
        <w:tc>
          <w:tcPr>
            <w:tcW w:w="3398" w:type="dxa"/>
            <w:tcBorders>
              <w:top w:val="nil"/>
              <w:left w:val="nil"/>
              <w:bottom w:val="nil"/>
              <w:right w:val="nil"/>
            </w:tcBorders>
            <w:noWrap/>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total current assets</w:t>
            </w:r>
          </w:p>
        </w:tc>
        <w:tc>
          <w:tcPr>
            <w:tcW w:w="111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262112</w:t>
            </w:r>
          </w:p>
        </w:tc>
        <w:tc>
          <w:tcPr>
            <w:tcW w:w="94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288163</w:t>
            </w:r>
          </w:p>
        </w:tc>
        <w:tc>
          <w:tcPr>
            <w:tcW w:w="98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233995</w:t>
            </w:r>
          </w:p>
        </w:tc>
        <w:tc>
          <w:tcPr>
            <w:tcW w:w="101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208743</w:t>
            </w:r>
          </w:p>
        </w:tc>
        <w:tc>
          <w:tcPr>
            <w:tcW w:w="104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166702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10" w:hRule="atLeast"/>
        </w:trPr>
        <w:tc>
          <w:tcPr>
            <w:tcW w:w="3398" w:type="dxa"/>
            <w:tcBorders>
              <w:top w:val="nil"/>
              <w:left w:val="nil"/>
              <w:bottom w:val="nil"/>
              <w:right w:val="nil"/>
            </w:tcBorders>
            <w:noWrap/>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Rate of change of current assets</w:t>
            </w:r>
          </w:p>
        </w:tc>
        <w:tc>
          <w:tcPr>
            <w:tcW w:w="111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-0.0391</w:t>
            </w:r>
          </w:p>
        </w:tc>
        <w:tc>
          <w:tcPr>
            <w:tcW w:w="94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0.0994</w:t>
            </w:r>
          </w:p>
        </w:tc>
        <w:tc>
          <w:tcPr>
            <w:tcW w:w="98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-0.188</w:t>
            </w:r>
          </w:p>
        </w:tc>
        <w:tc>
          <w:tcPr>
            <w:tcW w:w="101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-0.1079</w:t>
            </w:r>
          </w:p>
        </w:tc>
        <w:tc>
          <w:tcPr>
            <w:tcW w:w="1040" w:type="dxa"/>
            <w:tcBorders>
              <w:top w:val="nil"/>
              <w:left w:val="nil"/>
              <w:bottom w:val="nil"/>
              <w:right w:val="nil"/>
            </w:tcBorders>
            <w:noWrap w:val="0"/>
            <w:vAlign w:val="bottom"/>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sz w:val="24"/>
                <w:szCs w:val="24"/>
                <w:u w:val="none"/>
              </w:rPr>
            </w:pPr>
            <w:r>
              <w:rPr>
                <w:rFonts w:hint="default" w:ascii="Times New Roman" w:hAnsi="Times New Roman" w:eastAsia="宋体" w:cs="Times New Roman"/>
                <w:i w:val="0"/>
                <w:iCs w:val="0"/>
                <w:color w:val="000000"/>
                <w:kern w:val="0"/>
                <w:sz w:val="24"/>
                <w:szCs w:val="24"/>
                <w:u w:val="none"/>
                <w:lang w:val="en-US" w:eastAsia="zh-CN" w:bidi="ar"/>
              </w:rPr>
              <w:t>-0.2014</w:t>
            </w:r>
          </w:p>
        </w:tc>
      </w:tr>
    </w:tbl>
    <w:p>
      <w:pPr>
        <w:rPr>
          <w:rFonts w:hint="default"/>
          <w:lang w:val="en-US" w:eastAsia="zh-CN"/>
        </w:rPr>
      </w:pPr>
    </w:p>
    <w:p>
      <w:pPr>
        <w:rPr>
          <w:rFonts w:hint="default"/>
          <w:lang w:val="en-US" w:eastAsia="zh-CN"/>
        </w:rPr>
      </w:pPr>
    </w:p>
    <w:p>
      <w:pPr>
        <w:rPr>
          <w:rFonts w:hint="eastAsia"/>
          <w:lang w:val="en-US" w:eastAsia="zh-CN"/>
        </w:rPr>
      </w:pPr>
      <w:r>
        <w:rPr>
          <w:rFonts w:hint="eastAsia"/>
          <w:lang w:val="en-US" w:eastAsia="zh-CN"/>
        </w:rPr>
        <w:t xml:space="preserve">From the data in the table above, it can be found that the current assets of the Zhangzidao have a negative growth rate in 2015, 2017, 2018 and 2019, with growth rates of -3.91%, -18.80%, -10.79% and -20.14% respectively , the current assets as the basis for the company to make debt repayments, its decrease means a reduction in the level of solvency of the company. </w:t>
      </w:r>
    </w:p>
    <w:p>
      <w:pPr>
        <w:rPr>
          <w:rFonts w:hint="eastAsia"/>
          <w:lang w:val="en-US" w:eastAsia="zh-CN"/>
        </w:rPr>
      </w:pPr>
      <w:r>
        <w:rPr>
          <w:rFonts w:hint="eastAsia"/>
          <w:lang w:val="en-US" w:eastAsia="zh-CN"/>
        </w:rPr>
        <w:t xml:space="preserve">According to the accounting item of cash, there is a fluctuating downward trend in its quantity in the last three years, especially between 2016 and 2018, with a continuous and significant decrease for two consecutive years: in 2017, cash decreased from 581.45 million yuan to 494.11 million yuan, a decrease of 87.34 million yuan, a decrease of about 15%; in 2018, cash decreased from 494.11 million yuan to 382.3 million yuan, a decrease of about 15%. In 2018, it decreased from RMB 494.11 million to RMB 382.3 million, a decrease of RMB 111.81 million, or about 23%. It can be seen that the company's ability to liquidate cash is weakening, and as the most liquid and active funds of the company, the decrease in cash often means that the company is not only weakening its purchasing power, but also its ability to service its debts. The constant acquisition of reliable labor services and input of production supplies are necessary for the company's proper operation. </w:t>
      </w:r>
    </w:p>
    <w:p>
      <w:pPr>
        <w:rPr>
          <w:rFonts w:hint="eastAsia"/>
          <w:lang w:val="en-US" w:eastAsia="zh-CN"/>
        </w:rPr>
      </w:pPr>
      <w:r>
        <w:rPr>
          <w:rFonts w:hint="eastAsia"/>
          <w:lang w:val="en-US" w:eastAsia="zh-CN"/>
        </w:rPr>
        <w:t>The corporation can only make products by ensuring input of production materials and output of labor services, and by selling them, the company can earn profits, a portion of which is reinvested in production in the form of money capital. Typically, this is a virtuous circle: the more profits the firm earns, the more money it has to spend on manufacturing materials and labor services, the greater the company's productivity level, the more items it makes, and the more profits it earns when the products are sold.(Chen＆ Feng, 2021)</w:t>
      </w:r>
    </w:p>
    <w:p>
      <w:pPr>
        <w:rPr>
          <w:rFonts w:hint="eastAsia"/>
          <w:lang w:val="en-US" w:eastAsia="zh-CN"/>
        </w:rPr>
      </w:pPr>
      <w:r>
        <w:rPr>
          <w:rFonts w:hint="eastAsia"/>
          <w:lang w:val="en-US" w:eastAsia="zh-CN"/>
        </w:rPr>
        <w:t xml:space="preserve">For long-term solvency, it is based on two main indicators: </w:t>
      </w:r>
      <w:r>
        <w:rPr>
          <w:rFonts w:hint="eastAsia" w:ascii="Times New Roman" w:hAnsi="Times New Roman" w:eastAsia="宋体" w:cs="Times New Roman"/>
          <w:i w:val="0"/>
          <w:iCs w:val="0"/>
          <w:color w:val="000000"/>
          <w:kern w:val="0"/>
          <w:sz w:val="24"/>
          <w:szCs w:val="24"/>
          <w:u w:val="none"/>
          <w:lang w:val="en-US" w:eastAsia="zh-CN" w:bidi="ar"/>
        </w:rPr>
        <w:t>Debt to Asset ratio</w:t>
      </w:r>
      <w:r>
        <w:rPr>
          <w:rFonts w:hint="eastAsia"/>
          <w:lang w:val="en-US" w:eastAsia="zh-CN"/>
        </w:rPr>
        <w:t xml:space="preserve"> and </w:t>
      </w:r>
      <w:r>
        <w:rPr>
          <w:rFonts w:hint="eastAsia" w:ascii="Times New Roman" w:hAnsi="Times New Roman" w:eastAsia="宋体" w:cs="Times New Roman"/>
          <w:i w:val="0"/>
          <w:iCs w:val="0"/>
          <w:color w:val="000000"/>
          <w:kern w:val="0"/>
          <w:sz w:val="24"/>
          <w:szCs w:val="24"/>
          <w:u w:val="none"/>
          <w:lang w:val="en-US" w:eastAsia="zh-CN" w:bidi="ar"/>
        </w:rPr>
        <w:t>Debt to Equity ratio</w:t>
      </w:r>
      <w:r>
        <w:rPr>
          <w:rFonts w:hint="eastAsia"/>
          <w:lang w:val="en-US" w:eastAsia="zh-CN"/>
        </w:rPr>
        <w:t>:</w:t>
      </w:r>
    </w:p>
    <w:p>
      <w:pPr>
        <w:rPr>
          <w:rFonts w:hint="default"/>
          <w:lang w:val="en-US" w:eastAsia="zh-CN"/>
        </w:rPr>
      </w:pP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421"/>
        <w:gridCol w:w="1127"/>
        <w:gridCol w:w="982"/>
        <w:gridCol w:w="937"/>
        <w:gridCol w:w="954"/>
        <w:gridCol w:w="1037"/>
        <w:gridCol w:w="106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1" w:type="dxa"/>
            <w:noWrap w:val="0"/>
            <w:vAlign w:val="center"/>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p>
        </w:tc>
        <w:tc>
          <w:tcPr>
            <w:tcW w:w="1127" w:type="dxa"/>
            <w:noWrap w:val="0"/>
            <w:vAlign w:val="center"/>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2014</w:t>
            </w:r>
          </w:p>
        </w:tc>
        <w:tc>
          <w:tcPr>
            <w:tcW w:w="982" w:type="dxa"/>
            <w:noWrap w:val="0"/>
            <w:vAlign w:val="center"/>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2015</w:t>
            </w:r>
          </w:p>
        </w:tc>
        <w:tc>
          <w:tcPr>
            <w:tcW w:w="937" w:type="dxa"/>
            <w:noWrap w:val="0"/>
            <w:vAlign w:val="center"/>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2016</w:t>
            </w:r>
          </w:p>
        </w:tc>
        <w:tc>
          <w:tcPr>
            <w:tcW w:w="954" w:type="dxa"/>
            <w:noWrap w:val="0"/>
            <w:vAlign w:val="center"/>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2017</w:t>
            </w:r>
          </w:p>
        </w:tc>
        <w:tc>
          <w:tcPr>
            <w:tcW w:w="1037" w:type="dxa"/>
            <w:noWrap w:val="0"/>
            <w:vAlign w:val="center"/>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2018</w:t>
            </w:r>
          </w:p>
        </w:tc>
        <w:tc>
          <w:tcPr>
            <w:tcW w:w="1064" w:type="dxa"/>
            <w:noWrap w:val="0"/>
            <w:vAlign w:val="center"/>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421" w:type="dxa"/>
            <w:noWrap w:val="0"/>
            <w:vAlign w:val="center"/>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Debt to Asset ratio</w:t>
            </w:r>
          </w:p>
        </w:tc>
        <w:tc>
          <w:tcPr>
            <w:tcW w:w="1127" w:type="dxa"/>
            <w:noWrap w:val="0"/>
            <w:vAlign w:val="center"/>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76.29</w:t>
            </w:r>
          </w:p>
        </w:tc>
        <w:tc>
          <w:tcPr>
            <w:tcW w:w="982" w:type="dxa"/>
            <w:noWrap w:val="0"/>
            <w:vAlign w:val="center"/>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79.75</w:t>
            </w:r>
          </w:p>
        </w:tc>
        <w:tc>
          <w:tcPr>
            <w:tcW w:w="937" w:type="dxa"/>
            <w:noWrap w:val="0"/>
            <w:vAlign w:val="center"/>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75.6</w:t>
            </w:r>
          </w:p>
        </w:tc>
        <w:tc>
          <w:tcPr>
            <w:tcW w:w="954" w:type="dxa"/>
            <w:noWrap w:val="0"/>
            <w:vAlign w:val="center"/>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89.78</w:t>
            </w:r>
          </w:p>
        </w:tc>
        <w:tc>
          <w:tcPr>
            <w:tcW w:w="1037" w:type="dxa"/>
            <w:noWrap w:val="0"/>
            <w:vAlign w:val="center"/>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87.58</w:t>
            </w:r>
          </w:p>
        </w:tc>
        <w:tc>
          <w:tcPr>
            <w:tcW w:w="1064" w:type="dxa"/>
            <w:noWrap w:val="0"/>
            <w:vAlign w:val="center"/>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98.01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421" w:type="dxa"/>
            <w:noWrap w:val="0"/>
            <w:vAlign w:val="center"/>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Debt to Equity ratio</w:t>
            </w:r>
          </w:p>
        </w:tc>
        <w:tc>
          <w:tcPr>
            <w:tcW w:w="1127" w:type="dxa"/>
            <w:noWrap w:val="0"/>
            <w:vAlign w:val="center"/>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314.51</w:t>
            </w:r>
          </w:p>
        </w:tc>
        <w:tc>
          <w:tcPr>
            <w:tcW w:w="982" w:type="dxa"/>
            <w:noWrap w:val="0"/>
            <w:vAlign w:val="center"/>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387.72</w:t>
            </w:r>
          </w:p>
        </w:tc>
        <w:tc>
          <w:tcPr>
            <w:tcW w:w="937" w:type="dxa"/>
            <w:noWrap w:val="0"/>
            <w:vAlign w:val="center"/>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305.22</w:t>
            </w:r>
          </w:p>
        </w:tc>
        <w:tc>
          <w:tcPr>
            <w:tcW w:w="954" w:type="dxa"/>
            <w:noWrap w:val="0"/>
            <w:vAlign w:val="center"/>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859.83</w:t>
            </w:r>
          </w:p>
        </w:tc>
        <w:tc>
          <w:tcPr>
            <w:tcW w:w="1037" w:type="dxa"/>
            <w:noWrap w:val="0"/>
            <w:vAlign w:val="center"/>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692.82</w:t>
            </w:r>
          </w:p>
        </w:tc>
        <w:tc>
          <w:tcPr>
            <w:tcW w:w="1064" w:type="dxa"/>
            <w:noWrap w:val="0"/>
            <w:vAlign w:val="center"/>
          </w:tcPr>
          <w:p>
            <w:pPr>
              <w:keepNext w:val="0"/>
              <w:keepLines w:val="0"/>
              <w:widowControl/>
              <w:suppressLineNumbers w:val="0"/>
              <w:spacing w:before="0" w:beforeAutospacing="0" w:after="0" w:afterAutospacing="0"/>
              <w:ind w:left="0" w:right="0"/>
              <w:jc w:val="left"/>
              <w:textAlignment w:val="bottom"/>
              <w:rPr>
                <w:rFonts w:hint="default"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4824.86</w:t>
            </w:r>
          </w:p>
        </w:tc>
      </w:tr>
    </w:tbl>
    <w:p>
      <w:pPr>
        <w:rPr>
          <w:rFonts w:hint="default"/>
          <w:lang w:val="en-US" w:eastAsia="zh-CN"/>
        </w:rPr>
      </w:pPr>
    </w:p>
    <w:p>
      <w:pPr>
        <w:rPr>
          <w:rFonts w:hint="default"/>
          <w:lang w:val="en-US" w:eastAsia="zh-CN"/>
        </w:rPr>
      </w:pPr>
      <w:r>
        <w:rPr>
          <w:rFonts w:hint="default"/>
          <w:lang w:val="en-US" w:eastAsia="zh-CN"/>
        </w:rPr>
        <w:t>The debt to asset ratio, as an indicator for measuring a firm's long-term solvency, represents the ratio of the capital invested by creditors in the company to the overall capital of the company. In general, the debt-to-asset ratio should not be too high or too low. A high debt to asset ratio represents the increasing pressure on the company to repay its creditors, whereas a low debt to asset ratio, while less stressful for the company to repay its obligations, does not allow for full resource utilization and leads to greater operating costs. From different standpoints, the judgment standard of</w:t>
      </w:r>
      <w:r>
        <w:rPr>
          <w:rFonts w:hint="eastAsia"/>
          <w:lang w:val="en-US" w:eastAsia="zh-CN"/>
        </w:rPr>
        <w:t xml:space="preserve"> the debt to asset ratio</w:t>
      </w:r>
      <w:r>
        <w:rPr>
          <w:rFonts w:hint="default"/>
          <w:lang w:val="en-US" w:eastAsia="zh-CN"/>
        </w:rPr>
        <w:t xml:space="preserve"> is different: for creditors, a larger</w:t>
      </w:r>
      <w:r>
        <w:rPr>
          <w:rFonts w:hint="eastAsia"/>
          <w:lang w:val="en-US" w:eastAsia="zh-CN"/>
        </w:rPr>
        <w:t xml:space="preserve">  debt to asset ratio</w:t>
      </w:r>
      <w:r>
        <w:rPr>
          <w:rFonts w:hint="default"/>
          <w:lang w:val="en-US" w:eastAsia="zh-CN"/>
        </w:rPr>
        <w:t xml:space="preserve"> means a greater risk of repayment of principal and interest by the invested company, so creditors prefer a lower</w:t>
      </w:r>
      <w:r>
        <w:rPr>
          <w:rFonts w:hint="eastAsia"/>
          <w:lang w:val="en-US" w:eastAsia="zh-CN"/>
        </w:rPr>
        <w:t xml:space="preserve"> debt to asset ratio</w:t>
      </w:r>
      <w:r>
        <w:rPr>
          <w:rFonts w:hint="default"/>
          <w:lang w:val="en-US" w:eastAsia="zh-CN"/>
        </w:rPr>
        <w:t>; for shareholders, a lower</w:t>
      </w:r>
      <w:r>
        <w:rPr>
          <w:rFonts w:hint="eastAsia"/>
          <w:lang w:val="en-US" w:eastAsia="zh-CN"/>
        </w:rPr>
        <w:t xml:space="preserve"> debt to asset ratio</w:t>
      </w:r>
      <w:r>
        <w:rPr>
          <w:rFonts w:hint="default"/>
          <w:lang w:val="en-US" w:eastAsia="zh-CN"/>
        </w:rPr>
        <w:t xml:space="preserve"> means a weaker ability of the company to absorb investment and less capital available for the company, which is not conducive to the long-term development of the company. For shareholders, it means that the company's </w:t>
      </w:r>
      <w:r>
        <w:rPr>
          <w:rFonts w:hint="eastAsia"/>
          <w:lang w:val="en-US" w:eastAsia="zh-CN"/>
        </w:rPr>
        <w:t>capacity to take</w:t>
      </w:r>
      <w:r>
        <w:rPr>
          <w:rFonts w:hint="default"/>
          <w:lang w:val="en-US" w:eastAsia="zh-CN"/>
        </w:rPr>
        <w:t xml:space="preserve"> investment is weaker and it has less </w:t>
      </w:r>
      <w:r>
        <w:rPr>
          <w:rFonts w:hint="eastAsia"/>
          <w:lang w:val="en-US" w:eastAsia="zh-CN"/>
        </w:rPr>
        <w:t xml:space="preserve">available </w:t>
      </w:r>
      <w:r>
        <w:rPr>
          <w:rFonts w:hint="default"/>
          <w:lang w:val="en-US" w:eastAsia="zh-CN"/>
        </w:rPr>
        <w:t>capital , which is not conducive to the company's long-term development, so shareholders prefer a higher debt to asset ratio; for operators, a high or low debt to asset ratio is not necessarily good or bad, and operators must consider how to raise investment as well as how to use capital while keeping the company's financial risk low. Generally, a corporation should aim for a range of 40% to 60%.</w:t>
      </w:r>
      <w:r>
        <w:rPr>
          <w:rFonts w:hint="eastAsia"/>
          <w:lang w:val="en-US" w:eastAsia="zh-CN"/>
        </w:rPr>
        <w:t xml:space="preserve"> </w:t>
      </w:r>
      <w:r>
        <w:rPr>
          <w:rFonts w:hint="default"/>
          <w:lang w:val="en-US" w:eastAsia="zh-CN"/>
        </w:rPr>
        <w:t>According to Table</w:t>
      </w:r>
      <w:r>
        <w:rPr>
          <w:rFonts w:hint="eastAsia"/>
          <w:lang w:val="en-US" w:eastAsia="zh-CN"/>
        </w:rPr>
        <w:t xml:space="preserve"> above</w:t>
      </w:r>
      <w:r>
        <w:rPr>
          <w:rFonts w:hint="default"/>
          <w:lang w:val="en-US" w:eastAsia="zh-CN"/>
        </w:rPr>
        <w:t xml:space="preserve">, it can be seen that </w:t>
      </w:r>
      <w:r>
        <w:rPr>
          <w:rFonts w:hint="eastAsia"/>
          <w:lang w:val="en-US" w:eastAsia="zh-CN"/>
        </w:rPr>
        <w:t>the debt to asset ratio</w:t>
      </w:r>
      <w:r>
        <w:rPr>
          <w:rFonts w:hint="default"/>
          <w:lang w:val="en-US" w:eastAsia="zh-CN"/>
        </w:rPr>
        <w:t xml:space="preserve"> of </w:t>
      </w:r>
      <w:r>
        <w:rPr>
          <w:rFonts w:hint="eastAsia"/>
          <w:lang w:val="en-US" w:eastAsia="zh-CN"/>
        </w:rPr>
        <w:t>Zhangzidao</w:t>
      </w:r>
      <w:r>
        <w:rPr>
          <w:rFonts w:hint="default"/>
          <w:lang w:val="en-US" w:eastAsia="zh-CN"/>
        </w:rPr>
        <w:t xml:space="preserve"> has been at a very high ratio, which is far beyond the normal level that the company can afford, and from 2014 to 2019, the </w:t>
      </w:r>
      <w:r>
        <w:rPr>
          <w:rFonts w:hint="eastAsia"/>
          <w:lang w:val="en-US" w:eastAsia="zh-CN"/>
        </w:rPr>
        <w:t>d</w:t>
      </w:r>
      <w:r>
        <w:rPr>
          <w:rFonts w:hint="eastAsia" w:ascii="Times New Roman" w:hAnsi="Times New Roman" w:eastAsia="宋体" w:cs="Times New Roman"/>
          <w:i w:val="0"/>
          <w:iCs w:val="0"/>
          <w:color w:val="000000"/>
          <w:kern w:val="0"/>
          <w:sz w:val="24"/>
          <w:szCs w:val="24"/>
          <w:u w:val="none"/>
          <w:lang w:val="en-US" w:eastAsia="zh-CN" w:bidi="ar"/>
        </w:rPr>
        <w:t xml:space="preserve">ebt to </w:t>
      </w:r>
      <w:r>
        <w:rPr>
          <w:rFonts w:hint="eastAsia" w:cs="Times New Roman"/>
          <w:i w:val="0"/>
          <w:iCs w:val="0"/>
          <w:color w:val="000000"/>
          <w:kern w:val="0"/>
          <w:sz w:val="24"/>
          <w:szCs w:val="24"/>
          <w:u w:val="none"/>
          <w:lang w:val="en-US" w:eastAsia="zh-CN" w:bidi="ar"/>
        </w:rPr>
        <w:t>e</w:t>
      </w:r>
      <w:r>
        <w:rPr>
          <w:rFonts w:hint="eastAsia" w:ascii="Times New Roman" w:hAnsi="Times New Roman" w:eastAsia="宋体" w:cs="Times New Roman"/>
          <w:i w:val="0"/>
          <w:iCs w:val="0"/>
          <w:color w:val="000000"/>
          <w:kern w:val="0"/>
          <w:sz w:val="24"/>
          <w:szCs w:val="24"/>
          <w:u w:val="none"/>
          <w:lang w:val="en-US" w:eastAsia="zh-CN" w:bidi="ar"/>
        </w:rPr>
        <w:t>quity ratio</w:t>
      </w:r>
      <w:r>
        <w:rPr>
          <w:rFonts w:hint="default"/>
          <w:lang w:val="en-US" w:eastAsia="zh-CN"/>
        </w:rPr>
        <w:t xml:space="preserve"> of the company is still rising, which can be seen that the company's long-term solvency is insufficient and there is a greater pressure to repay the debt. </w:t>
      </w:r>
      <w:r>
        <w:rPr>
          <w:rFonts w:hint="eastAsia"/>
          <w:lang w:val="en-US" w:eastAsia="zh-CN"/>
        </w:rPr>
        <w:t>the debt to equity ratio</w:t>
      </w:r>
      <w:r>
        <w:rPr>
          <w:rFonts w:hint="default"/>
          <w:lang w:val="en-US" w:eastAsia="zh-CN"/>
        </w:rPr>
        <w:t xml:space="preserve"> reflects the strength of the company's long-term solvency. The larger </w:t>
      </w:r>
      <w:r>
        <w:rPr>
          <w:rFonts w:hint="eastAsia"/>
          <w:lang w:val="en-US" w:eastAsia="zh-CN"/>
        </w:rPr>
        <w:t>the debt to equity ratio</w:t>
      </w:r>
      <w:r>
        <w:rPr>
          <w:rFonts w:hint="default"/>
          <w:lang w:val="en-US" w:eastAsia="zh-CN"/>
        </w:rPr>
        <w:t>, the weaker the long-term solvency of the company</w:t>
      </w:r>
      <w:r>
        <w:rPr>
          <w:rFonts w:hint="eastAsia"/>
          <w:lang w:val="en-US" w:eastAsia="zh-CN"/>
        </w:rPr>
        <w:t>.(Zheng, 2021.)</w:t>
      </w:r>
    </w:p>
    <w:p>
      <w:pPr>
        <w:rPr>
          <w:rFonts w:hint="default"/>
          <w:lang w:val="en-US" w:eastAsia="zh-CN"/>
        </w:rPr>
      </w:pPr>
      <w:r>
        <w:rPr>
          <w:rFonts w:hint="default"/>
          <w:lang w:val="en-US" w:eastAsia="zh-CN"/>
        </w:rPr>
        <w:t xml:space="preserve">The smaller </w:t>
      </w:r>
      <w:r>
        <w:rPr>
          <w:rFonts w:hint="eastAsia"/>
          <w:lang w:val="en-US" w:eastAsia="zh-CN"/>
        </w:rPr>
        <w:t>the debt to equity ratio</w:t>
      </w:r>
      <w:r>
        <w:rPr>
          <w:rFonts w:hint="default"/>
          <w:lang w:val="en-US" w:eastAsia="zh-CN"/>
        </w:rPr>
        <w:t xml:space="preserve">, the stronger the long-term solvency of the company. The smaller </w:t>
      </w:r>
      <w:r>
        <w:rPr>
          <w:rFonts w:hint="eastAsia"/>
          <w:lang w:val="en-US" w:eastAsia="zh-CN"/>
        </w:rPr>
        <w:t>the debt to equity ratio</w:t>
      </w:r>
      <w:r>
        <w:rPr>
          <w:rFonts w:hint="default"/>
          <w:lang w:val="en-US" w:eastAsia="zh-CN"/>
        </w:rPr>
        <w:t xml:space="preserve">, the greater the proportion of the owner's capital, and the stronger the company's ability to repay its debts. In a rational state, when </w:t>
      </w:r>
      <w:r>
        <w:rPr>
          <w:rFonts w:hint="eastAsia"/>
          <w:lang w:val="en-US" w:eastAsia="zh-CN"/>
        </w:rPr>
        <w:t>the debt to equity ratio</w:t>
      </w:r>
      <w:r>
        <w:rPr>
          <w:rFonts w:hint="default"/>
          <w:lang w:val="en-US" w:eastAsia="zh-CN"/>
        </w:rPr>
        <w:t xml:space="preserve"> of the company is 50%, the company can both repay the long-term debt in time and ensure the normal operation of the company. From the data in the table, it can be seen that </w:t>
      </w:r>
      <w:r>
        <w:rPr>
          <w:rFonts w:hint="eastAsia"/>
          <w:lang w:val="en-US" w:eastAsia="zh-CN"/>
        </w:rPr>
        <w:t>the debt to equity ratio</w:t>
      </w:r>
      <w:r>
        <w:rPr>
          <w:rFonts w:hint="default"/>
          <w:lang w:val="en-US" w:eastAsia="zh-CN"/>
        </w:rPr>
        <w:t xml:space="preserve"> of </w:t>
      </w:r>
      <w:r>
        <w:rPr>
          <w:rFonts w:hint="eastAsia"/>
          <w:lang w:val="en-US" w:eastAsia="zh-CN"/>
        </w:rPr>
        <w:t>Zhangzidao</w:t>
      </w:r>
      <w:r>
        <w:rPr>
          <w:rFonts w:hint="default"/>
          <w:lang w:val="en-US" w:eastAsia="zh-CN"/>
        </w:rPr>
        <w:t xml:space="preserve"> is always at a high ratio level, and </w:t>
      </w:r>
      <w:r>
        <w:rPr>
          <w:rFonts w:hint="eastAsia"/>
          <w:lang w:val="en-US" w:eastAsia="zh-CN"/>
        </w:rPr>
        <w:t>the debt to equity ratio</w:t>
      </w:r>
      <w:r>
        <w:rPr>
          <w:rFonts w:hint="default"/>
          <w:lang w:val="en-US" w:eastAsia="zh-CN"/>
        </w:rPr>
        <w:t xml:space="preserve"> also shows an increasing trend, from 3.15 in 2014 to 48.25 in 2019, which is much higher than 0.5 under normal circumstances, indicating that the company relies heavily on the funds raised through debt when raising funds, and the funds provided by the shareholders of the company are seriously insufficient. As a result, the company needs to ensure that it can raise a large amount of capital by maintaining its listing, and the poor operating results of the company in recent years have led to a strain on its capital chain, which, combined with the already overwhelming level of indebtedness, makes the pressure of corporate fraud very evident.(Wang, 2021)</w:t>
      </w:r>
    </w:p>
    <w:p>
      <w:pPr>
        <w:pStyle w:val="4"/>
        <w:bidi w:val="0"/>
        <w:rPr>
          <w:rFonts w:hint="default"/>
          <w:lang w:val="en-US" w:eastAsia="zh-CN"/>
        </w:rPr>
      </w:pPr>
      <w:bookmarkStart w:id="5" w:name="_Toc32265"/>
      <w:r>
        <w:rPr>
          <w:rFonts w:hint="eastAsia"/>
          <w:lang w:val="en-US" w:eastAsia="zh-CN"/>
        </w:rPr>
        <w:t>3.1.2 The Pressure of Profit</w:t>
      </w:r>
      <w:bookmarkEnd w:id="5"/>
      <w:r>
        <w:rPr>
          <w:rFonts w:hint="eastAsia"/>
          <w:lang w:val="en-US" w:eastAsia="zh-CN"/>
        </w:rPr>
        <w:t xml:space="preserve"> </w:t>
      </w:r>
    </w:p>
    <w:p>
      <w:pPr>
        <w:rPr>
          <w:rFonts w:hint="default"/>
          <w:lang w:val="en-US" w:eastAsia="zh-CN"/>
        </w:rPr>
      </w:pPr>
      <w:r>
        <w:rPr>
          <w:rFonts w:hint="default"/>
          <w:lang w:val="en-US" w:eastAsia="zh-CN"/>
        </w:rPr>
        <w:t>In the analysis of the profit pressure of</w:t>
      </w:r>
      <w:r>
        <w:rPr>
          <w:rFonts w:hint="eastAsia"/>
          <w:lang w:val="en-US" w:eastAsia="zh-CN"/>
        </w:rPr>
        <w:t xml:space="preserve"> Zhangzidao</w:t>
      </w:r>
      <w:r>
        <w:rPr>
          <w:rFonts w:hint="default"/>
          <w:lang w:val="en-US" w:eastAsia="zh-CN"/>
        </w:rPr>
        <w:t xml:space="preserve">, operating profit margin, </w:t>
      </w:r>
      <w:r>
        <w:rPr>
          <w:rFonts w:hint="eastAsia"/>
          <w:lang w:val="en-US" w:eastAsia="zh-CN"/>
        </w:rPr>
        <w:t>profit/cost ratio</w:t>
      </w:r>
      <w:r>
        <w:rPr>
          <w:rFonts w:hint="default"/>
          <w:lang w:val="en-US" w:eastAsia="zh-CN"/>
        </w:rPr>
        <w:t xml:space="preserve"> and </w:t>
      </w:r>
      <w:r>
        <w:rPr>
          <w:rFonts w:hint="eastAsia"/>
          <w:lang w:val="en-US" w:eastAsia="zh-CN"/>
        </w:rPr>
        <w:t>net profit margin</w:t>
      </w:r>
      <w:r>
        <w:rPr>
          <w:rFonts w:hint="default"/>
          <w:lang w:val="en-US" w:eastAsia="zh-CN"/>
        </w:rPr>
        <w:t xml:space="preserve"> were studied as the main indicators.</w:t>
      </w:r>
    </w:p>
    <w:tbl>
      <w:tblPr>
        <w:tblStyle w:val="9"/>
        <w:tblpPr w:leftFromText="180" w:rightFromText="180" w:vertAnchor="text" w:horzAnchor="page" w:tblpX="1886" w:tblpY="16"/>
        <w:tblOverlap w:val="never"/>
        <w:tblW w:w="8709"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0" w:type="dxa"/>
          <w:left w:w="108" w:type="dxa"/>
          <w:bottom w:w="0" w:type="dxa"/>
          <w:right w:w="108" w:type="dxa"/>
        </w:tblCellMar>
      </w:tblPr>
      <w:tblGrid>
        <w:gridCol w:w="2931"/>
        <w:gridCol w:w="1009"/>
        <w:gridCol w:w="982"/>
        <w:gridCol w:w="1000"/>
        <w:gridCol w:w="1037"/>
        <w:gridCol w:w="891"/>
        <w:gridCol w:w="859"/>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2931"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p>
        </w:tc>
        <w:tc>
          <w:tcPr>
            <w:tcW w:w="1009"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2014</w:t>
            </w:r>
          </w:p>
        </w:tc>
        <w:tc>
          <w:tcPr>
            <w:tcW w:w="982"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2015</w:t>
            </w:r>
          </w:p>
        </w:tc>
        <w:tc>
          <w:tcPr>
            <w:tcW w:w="1000"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2016</w:t>
            </w:r>
          </w:p>
        </w:tc>
        <w:tc>
          <w:tcPr>
            <w:tcW w:w="1037"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2017</w:t>
            </w:r>
          </w:p>
        </w:tc>
        <w:tc>
          <w:tcPr>
            <w:tcW w:w="891"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2018</w:t>
            </w:r>
          </w:p>
        </w:tc>
        <w:tc>
          <w:tcPr>
            <w:tcW w:w="859"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2019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2931"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Operating profit margin</w:t>
            </w:r>
          </w:p>
        </w:tc>
        <w:tc>
          <w:tcPr>
            <w:tcW w:w="1009"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-23.32</w:t>
            </w:r>
          </w:p>
        </w:tc>
        <w:tc>
          <w:tcPr>
            <w:tcW w:w="982"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-11.29</w:t>
            </w:r>
          </w:p>
        </w:tc>
        <w:tc>
          <w:tcPr>
            <w:tcW w:w="1000"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0.67</w:t>
            </w:r>
          </w:p>
        </w:tc>
        <w:tc>
          <w:tcPr>
            <w:tcW w:w="1037"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-3.81</w:t>
            </w:r>
          </w:p>
        </w:tc>
        <w:tc>
          <w:tcPr>
            <w:tcW w:w="891"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1.48</w:t>
            </w:r>
          </w:p>
        </w:tc>
        <w:tc>
          <w:tcPr>
            <w:tcW w:w="859"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-5.55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445" w:hRule="atLeast"/>
        </w:trPr>
        <w:tc>
          <w:tcPr>
            <w:tcW w:w="2931" w:type="dxa"/>
            <w:tcBorders>
              <w:top w:val="nil"/>
              <w:left w:val="nil"/>
              <w:bottom w:val="nil"/>
              <w:right w:val="nil"/>
            </w:tcBorders>
            <w:noWrap w:val="0"/>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 xml:space="preserve">Profit /cost ratio </w:t>
            </w:r>
          </w:p>
        </w:tc>
        <w:tc>
          <w:tcPr>
            <w:tcW w:w="1009"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-45.73</w:t>
            </w:r>
          </w:p>
        </w:tc>
        <w:tc>
          <w:tcPr>
            <w:tcW w:w="982"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-2.03</w:t>
            </w:r>
          </w:p>
        </w:tc>
        <w:tc>
          <w:tcPr>
            <w:tcW w:w="1000"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2.69</w:t>
            </w:r>
          </w:p>
        </w:tc>
        <w:tc>
          <w:tcPr>
            <w:tcW w:w="1037"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-22.31</w:t>
            </w:r>
          </w:p>
        </w:tc>
        <w:tc>
          <w:tcPr>
            <w:tcW w:w="891"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1.51</w:t>
            </w:r>
          </w:p>
        </w:tc>
        <w:tc>
          <w:tcPr>
            <w:tcW w:w="859"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-13.45</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trPr>
          <w:trHeight w:val="300" w:hRule="atLeast"/>
        </w:trPr>
        <w:tc>
          <w:tcPr>
            <w:tcW w:w="2931"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Net profit margin</w:t>
            </w:r>
          </w:p>
        </w:tc>
        <w:tc>
          <w:tcPr>
            <w:tcW w:w="1009"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-44.9</w:t>
            </w:r>
          </w:p>
        </w:tc>
        <w:tc>
          <w:tcPr>
            <w:tcW w:w="982"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-9</w:t>
            </w:r>
          </w:p>
        </w:tc>
        <w:tc>
          <w:tcPr>
            <w:tcW w:w="1000"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2.48</w:t>
            </w:r>
          </w:p>
        </w:tc>
        <w:tc>
          <w:tcPr>
            <w:tcW w:w="1037"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-22.64</w:t>
            </w:r>
          </w:p>
        </w:tc>
        <w:tc>
          <w:tcPr>
            <w:tcW w:w="891"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1.21</w:t>
            </w:r>
          </w:p>
        </w:tc>
        <w:tc>
          <w:tcPr>
            <w:tcW w:w="859" w:type="dxa"/>
            <w:tcBorders>
              <w:top w:val="nil"/>
              <w:left w:val="nil"/>
              <w:bottom w:val="nil"/>
              <w:right w:val="nil"/>
            </w:tcBorders>
            <w:noWrap/>
            <w:vAlign w:val="center"/>
          </w:tcPr>
          <w:p>
            <w:pPr>
              <w:keepNext w:val="0"/>
              <w:keepLines w:val="0"/>
              <w:widowControl/>
              <w:suppressLineNumbers w:val="0"/>
              <w:spacing w:before="0" w:beforeAutospacing="0" w:after="0" w:afterAutospacing="0"/>
              <w:ind w:left="0" w:right="0"/>
              <w:jc w:val="left"/>
              <w:textAlignment w:val="bottom"/>
              <w:rPr>
                <w:rFonts w:hint="eastAsia" w:ascii="Times New Roman" w:hAnsi="Times New Roman" w:eastAsia="宋体" w:cs="Times New Roman"/>
                <w:i w:val="0"/>
                <w:iCs w:val="0"/>
                <w:color w:val="000000"/>
                <w:kern w:val="0"/>
                <w:sz w:val="24"/>
                <w:szCs w:val="24"/>
                <w:u w:val="none"/>
                <w:lang w:val="en-US" w:eastAsia="zh-CN" w:bidi="ar"/>
              </w:rPr>
            </w:pPr>
            <w:r>
              <w:rPr>
                <w:rFonts w:hint="eastAsia" w:ascii="Times New Roman" w:hAnsi="Times New Roman" w:eastAsia="宋体" w:cs="Times New Roman"/>
                <w:i w:val="0"/>
                <w:iCs w:val="0"/>
                <w:color w:val="000000"/>
                <w:kern w:val="0"/>
                <w:sz w:val="24"/>
                <w:szCs w:val="24"/>
                <w:u w:val="none"/>
                <w:lang w:val="en-US" w:eastAsia="zh-CN" w:bidi="ar"/>
              </w:rPr>
              <w:t>-14.1</w:t>
            </w:r>
          </w:p>
        </w:tc>
      </w:tr>
    </w:tbl>
    <w:p>
      <w:pPr>
        <w:rPr>
          <w:rFonts w:hint="default"/>
          <w:lang w:val="en-US" w:eastAsia="zh-CN"/>
        </w:rPr>
      </w:pPr>
    </w:p>
    <w:p>
      <w:pPr>
        <w:rPr>
          <w:rFonts w:hint="default"/>
          <w:lang w:val="en-US" w:eastAsia="zh-CN"/>
        </w:rPr>
      </w:pPr>
      <w:r>
        <w:rPr>
          <w:rFonts w:hint="default"/>
          <w:lang w:val="en-US" w:eastAsia="zh-CN"/>
        </w:rPr>
        <w:t xml:space="preserve">The </w:t>
      </w:r>
      <w:r>
        <w:rPr>
          <w:rFonts w:hint="eastAsia"/>
          <w:lang w:val="en-US" w:eastAsia="zh-CN"/>
        </w:rPr>
        <w:t xml:space="preserve">operating profit margin ratio </w:t>
      </w:r>
      <w:r>
        <w:rPr>
          <w:rFonts w:hint="default"/>
          <w:lang w:val="en-US" w:eastAsia="zh-CN"/>
        </w:rPr>
        <w:t>is the ratio generated by the company's operating profit compared to the company's operating revenue and represents the efficiency of the company in selling its goods. As can be seen from the data in the table</w:t>
      </w:r>
      <w:r>
        <w:rPr>
          <w:rFonts w:hint="eastAsia"/>
          <w:lang w:val="en-US" w:eastAsia="zh-CN"/>
        </w:rPr>
        <w:t xml:space="preserve"> above </w:t>
      </w:r>
      <w:r>
        <w:rPr>
          <w:rFonts w:hint="default"/>
          <w:lang w:val="en-US" w:eastAsia="zh-CN"/>
        </w:rPr>
        <w:t xml:space="preserve">, the company's </w:t>
      </w:r>
      <w:r>
        <w:rPr>
          <w:rFonts w:hint="eastAsia"/>
          <w:lang w:val="en-US" w:eastAsia="zh-CN"/>
        </w:rPr>
        <w:t xml:space="preserve">operating profit margin </w:t>
      </w:r>
      <w:r>
        <w:rPr>
          <w:rFonts w:hint="default"/>
          <w:lang w:val="en-US" w:eastAsia="zh-CN"/>
        </w:rPr>
        <w:t xml:space="preserve">has been negative in 4 of the 6 years from 2014 to 2019, namely -23.32% in 2014, -11.29% in 2015, -3.81% in 2017, and -5.55% in 2019. In 2014 as well as in 2015, the </w:t>
      </w:r>
      <w:r>
        <w:rPr>
          <w:rFonts w:hint="eastAsia"/>
          <w:lang w:val="en-US" w:eastAsia="zh-CN"/>
        </w:rPr>
        <w:t xml:space="preserve">operating profit margin </w:t>
      </w:r>
      <w:r>
        <w:rPr>
          <w:rFonts w:hint="default"/>
          <w:lang w:val="en-US" w:eastAsia="zh-CN"/>
        </w:rPr>
        <w:t xml:space="preserve">of </w:t>
      </w:r>
      <w:r>
        <w:rPr>
          <w:rFonts w:hint="eastAsia"/>
          <w:lang w:val="en-US" w:eastAsia="zh-CN"/>
        </w:rPr>
        <w:t xml:space="preserve">Zhangzidao company </w:t>
      </w:r>
      <w:r>
        <w:rPr>
          <w:rFonts w:hint="default"/>
          <w:lang w:val="en-US" w:eastAsia="zh-CN"/>
        </w:rPr>
        <w:t xml:space="preserve"> has been losing money for several years and the financial pressure on the company has increased and the possibility of performing fraud has become stronger. The </w:t>
      </w:r>
      <w:r>
        <w:rPr>
          <w:rFonts w:hint="eastAsia"/>
          <w:lang w:val="en-US" w:eastAsia="zh-CN"/>
        </w:rPr>
        <w:t>profit/cost ratio</w:t>
      </w:r>
      <w:r>
        <w:rPr>
          <w:rFonts w:hint="default"/>
          <w:lang w:val="en-US" w:eastAsia="zh-CN"/>
        </w:rPr>
        <w:t xml:space="preserve"> concerns the relationship between the company's operating profit and operating costs and expenses, and according to the analysis of the data in the table, it is found that the </w:t>
      </w:r>
      <w:r>
        <w:rPr>
          <w:rFonts w:hint="eastAsia"/>
          <w:lang w:val="en-US" w:eastAsia="zh-CN"/>
        </w:rPr>
        <w:t>profit/cost ratio</w:t>
      </w:r>
      <w:r>
        <w:rPr>
          <w:rFonts w:hint="default"/>
          <w:lang w:val="en-US" w:eastAsia="zh-CN"/>
        </w:rPr>
        <w:t xml:space="preserve"> of </w:t>
      </w:r>
      <w:r>
        <w:rPr>
          <w:rFonts w:hint="eastAsia"/>
          <w:lang w:val="en-US" w:eastAsia="zh-CN"/>
        </w:rPr>
        <w:t>Zhangzidao company</w:t>
      </w:r>
      <w:r>
        <w:rPr>
          <w:rFonts w:hint="default"/>
          <w:lang w:val="en-US" w:eastAsia="zh-CN"/>
        </w:rPr>
        <w:t xml:space="preserve"> is basically converging with the direction of change of the company's operating profit margin - negative growth in 2014, 2015, 2017 and 2019, basically It is in a downward trend, reflecting that the profits made by the company cannot cover the costs and expenses invested, which eventually leads to a huge loss. The </w:t>
      </w:r>
      <w:r>
        <w:rPr>
          <w:rFonts w:hint="eastAsia"/>
          <w:lang w:val="en-US" w:eastAsia="zh-CN"/>
        </w:rPr>
        <w:t>net profit margin</w:t>
      </w:r>
      <w:r>
        <w:rPr>
          <w:rFonts w:hint="default"/>
          <w:lang w:val="en-US" w:eastAsia="zh-CN"/>
        </w:rPr>
        <w:t xml:space="preserve"> reflects the relationship between the company's net profit and the company's sales revenue. Unlike the operating profit margin, the </w:t>
      </w:r>
      <w:r>
        <w:rPr>
          <w:rFonts w:hint="eastAsia"/>
          <w:lang w:val="en-US" w:eastAsia="zh-CN"/>
        </w:rPr>
        <w:t>net profit margin</w:t>
      </w:r>
      <w:r>
        <w:rPr>
          <w:rFonts w:hint="default"/>
          <w:lang w:val="en-US" w:eastAsia="zh-CN"/>
        </w:rPr>
        <w:t xml:space="preserve"> is an indicator after deducting income tax expenses. As can be seen from the table, its trend is similar to that of operating profit margin and is not influenced by taxes and fees related to it.(Liu, X,2020)</w:t>
      </w:r>
    </w:p>
    <w:p>
      <w:pPr>
        <w:rPr>
          <w:rFonts w:hint="default"/>
          <w:lang w:val="en-US" w:eastAsia="zh-CN"/>
        </w:rPr>
      </w:pPr>
    </w:p>
    <w:p>
      <w:pPr>
        <w:pStyle w:val="3"/>
        <w:bidi w:val="0"/>
        <w:rPr>
          <w:rFonts w:hint="eastAsia"/>
          <w:lang w:val="en-US" w:eastAsia="zh-CN"/>
        </w:rPr>
      </w:pPr>
      <w:bookmarkStart w:id="6" w:name="_Toc31654"/>
      <w:r>
        <w:rPr>
          <w:rFonts w:hint="eastAsia"/>
          <w:lang w:val="en-US" w:eastAsia="zh-CN"/>
        </w:rPr>
        <w:t>3.2 The Opportunity to Fraud</w:t>
      </w:r>
      <w:bookmarkEnd w:id="6"/>
    </w:p>
    <w:p>
      <w:pPr>
        <w:numPr>
          <w:ilvl w:val="0"/>
          <w:numId w:val="0"/>
        </w:numPr>
        <w:ind w:leftChars="0"/>
        <w:rPr>
          <w:rFonts w:hint="default"/>
          <w:lang w:val="en-US" w:eastAsia="zh-CN"/>
        </w:rPr>
      </w:pPr>
      <w:r>
        <w:rPr>
          <w:rFonts w:hint="default"/>
          <w:lang w:val="en-US" w:eastAsia="zh-CN"/>
        </w:rPr>
        <w:t xml:space="preserve">Unlike general industrial enterprises with extremely objective and identifiable inventories, </w:t>
      </w:r>
      <w:r>
        <w:rPr>
          <w:rFonts w:hint="eastAsia"/>
          <w:lang w:val="en-US" w:eastAsia="zh-CN"/>
        </w:rPr>
        <w:t>Zhangzidao company</w:t>
      </w:r>
      <w:r>
        <w:rPr>
          <w:rFonts w:hint="default"/>
          <w:lang w:val="en-US" w:eastAsia="zh-CN"/>
        </w:rPr>
        <w:t xml:space="preserve">'s scallops are cultured on the seabed for a long time, the company does not have real-time monitoring of the seabed as it does for its usual production plants, and as a biological asset, its own growth and development sometimes cannot be accurately predicted, which creates opportunities for </w:t>
      </w:r>
      <w:r>
        <w:rPr>
          <w:rFonts w:hint="eastAsia"/>
          <w:lang w:val="en-US" w:eastAsia="zh-CN"/>
        </w:rPr>
        <w:t>Zhangzidao company</w:t>
      </w:r>
      <w:r>
        <w:rPr>
          <w:rFonts w:hint="default"/>
          <w:lang w:val="en-US" w:eastAsia="zh-CN"/>
        </w:rPr>
        <w:t>'s fraudulent behavior.(Chen,＆Wu,2020)</w:t>
      </w:r>
    </w:p>
    <w:p>
      <w:pPr>
        <w:numPr>
          <w:ilvl w:val="0"/>
          <w:numId w:val="0"/>
        </w:numPr>
        <w:ind w:leftChars="0"/>
        <w:rPr>
          <w:rFonts w:hint="default"/>
          <w:lang w:val="en-US" w:eastAsia="zh-CN"/>
        </w:rPr>
      </w:pPr>
      <w:r>
        <w:rPr>
          <w:rFonts w:hint="default"/>
          <w:lang w:val="en-US" w:eastAsia="zh-CN"/>
        </w:rPr>
        <w:t xml:space="preserve">It is difficult for the necessary supervisors to achieve efficient measurement and supervision of the quality and quantity of scallops placed by Zhangzidao firm during the placement stage of biological assets. Zhangzidao firm was frequently questioned due to the non-transparent method at the production stage, including the quantity of scallops it placed and its inventory count.However, the lack of evidence does not prove that there is a problem with </w:t>
      </w:r>
      <w:r>
        <w:rPr>
          <w:rFonts w:hint="eastAsia"/>
          <w:lang w:val="en-US" w:eastAsia="zh-CN"/>
        </w:rPr>
        <w:t>Zhangzidao company</w:t>
      </w:r>
      <w:r>
        <w:rPr>
          <w:rFonts w:hint="default"/>
          <w:lang w:val="en-US" w:eastAsia="zh-CN"/>
        </w:rPr>
        <w:t xml:space="preserve">. These regulatory loopholes became opportunities for financial fraud at </w:t>
      </w:r>
      <w:r>
        <w:rPr>
          <w:rFonts w:hint="eastAsia"/>
          <w:lang w:val="en-US" w:eastAsia="zh-CN"/>
        </w:rPr>
        <w:t>Zhangzidao company</w:t>
      </w:r>
      <w:r>
        <w:rPr>
          <w:rFonts w:hint="default"/>
          <w:lang w:val="en-US" w:eastAsia="zh-CN"/>
        </w:rPr>
        <w:t>.</w:t>
      </w:r>
    </w:p>
    <w:p>
      <w:pPr>
        <w:numPr>
          <w:ilvl w:val="0"/>
          <w:numId w:val="0"/>
        </w:numPr>
        <w:ind w:leftChars="0"/>
        <w:rPr>
          <w:rFonts w:hint="default"/>
          <w:lang w:val="en-US" w:eastAsia="zh-CN"/>
        </w:rPr>
      </w:pPr>
      <w:r>
        <w:rPr>
          <w:rFonts w:hint="default"/>
          <w:lang w:val="en-US" w:eastAsia="zh-CN"/>
        </w:rPr>
        <w:t>A vast number of scallops grow underwater during the growth and development stage of biological assets, and the growth condition of various scallops varies, making precise judgements about their production challenging. At the same time, Zhangzidao company's maritime pastures are extensive, each sea area's environment is diverse, and the number of stocks corresponding to different sea regions fluctuates significantly, making regulators' monitoring more difficult. Furthermore, changes in the environment and temperature enhance the uncertainty of the number of biological assets, despite the fact that the Zhangzidao company claims to be able to detect the inventory of marine pastures underwater, but can not predict the so-called "natural disasters", several times in the name of "natural disasters" to shirk The company also claimed to be able to detect underwater stocks in marine farms, but was not able to predict so-called "natural disasters", and has repeatedly shirked its responsibilities in the name of "natural disasters".</w:t>
      </w:r>
    </w:p>
    <w:p>
      <w:pPr>
        <w:numPr>
          <w:ilvl w:val="0"/>
          <w:numId w:val="0"/>
        </w:numPr>
        <w:ind w:leftChars="0"/>
        <w:rPr>
          <w:rFonts w:hint="default"/>
          <w:lang w:val="en-US" w:eastAsia="zh-CN"/>
        </w:rPr>
      </w:pPr>
    </w:p>
    <w:p>
      <w:pPr>
        <w:numPr>
          <w:ilvl w:val="0"/>
          <w:numId w:val="0"/>
        </w:numPr>
        <w:ind w:leftChars="0"/>
        <w:rPr>
          <w:rFonts w:hint="default"/>
          <w:lang w:val="en-US" w:eastAsia="zh-CN"/>
        </w:rPr>
      </w:pPr>
    </w:p>
    <w:p>
      <w:pPr>
        <w:pStyle w:val="3"/>
        <w:bidi w:val="0"/>
        <w:rPr>
          <w:rFonts w:hint="eastAsia"/>
          <w:lang w:val="en-US" w:eastAsia="zh-CN"/>
        </w:rPr>
      </w:pPr>
      <w:bookmarkStart w:id="7" w:name="_Toc8398"/>
      <w:r>
        <w:rPr>
          <w:rFonts w:hint="eastAsia"/>
          <w:lang w:val="en-US" w:eastAsia="zh-CN"/>
        </w:rPr>
        <w:t>3.3Excuses for Fraud</w:t>
      </w:r>
      <w:bookmarkEnd w:id="7"/>
    </w:p>
    <w:p>
      <w:pPr>
        <w:numPr>
          <w:ilvl w:val="0"/>
          <w:numId w:val="0"/>
        </w:numPr>
        <w:ind w:leftChars="0"/>
        <w:rPr>
          <w:rFonts w:hint="eastAsia"/>
          <w:lang w:val="en-US" w:eastAsia="zh-CN"/>
        </w:rPr>
      </w:pPr>
      <w:r>
        <w:rPr>
          <w:rFonts w:hint="eastAsia"/>
          <w:lang w:val="en-US" w:eastAsia="zh-CN"/>
        </w:rPr>
        <w:t xml:space="preserve">Under pressure and opportunity, the company's management violated the most basic market principle of honesty and trustworthiness, falsifying data, distorting the truth, and committing financial fraud in a simple and crude manner, ultimately harming the interests of investors. Profits were reduced by inflating operating costs and non-operating expenses, while profits were increased by exaggerating operating costs and non-operating expenses. However, the company's internal regulators did not participate in the entire process and did not detect the company's problems in time, and even if they did, they did not correct the problems in time, indicating that the company's internal staff whose values had been seriously disrupted by management and governance.bEven after the company's fraud was discovered, the management still shirked its responsibility and found seemingly reasonable reasons for its wrong  doing. </w:t>
      </w:r>
    </w:p>
    <w:p>
      <w:pPr>
        <w:numPr>
          <w:ilvl w:val="0"/>
          <w:numId w:val="0"/>
        </w:numPr>
        <w:ind w:leftChars="0"/>
        <w:rPr>
          <w:rFonts w:hint="eastAsia"/>
          <w:lang w:val="en-US" w:eastAsia="zh-CN"/>
        </w:rPr>
      </w:pPr>
      <w:r>
        <w:rPr>
          <w:rFonts w:hint="eastAsia"/>
          <w:lang w:val="en-US" w:eastAsia="zh-CN"/>
        </w:rPr>
        <w:t>Wu Hougang, after receiving the prior notice of administrative punishment from the SEC of China, still justified that there was nothing wrong with Zhangzidao company, and also complained against the SEC, which shows that its values have deviated seriously. In addition, the management and governance of Zhangzidao company also lack the proper legal awareness. Despite the fact that the securities law and the laws and regulations related to listed companies clearly prohibit fraudulent operations, Zhangzidao company still falsifies profits for financial gain, maintains the company's listing status, and continues to cheat investors and shareholders of their money. The management of Zhangzidao can be assessed to have minimal legal expertise and no basic regard for key national rules and regulations. The participants in the Zhangzidao company's financial fraud carried out irregular operations with the psychology of chance, constantly testing the bottom line of the law, disrupting the fair and orderly environment of the securities market, and violating the moral concept of honesty and trustworthiness, generating a bad culture, and succumbing to the temptation of profit. and finally making a cocoon of themselves, and the disclosure of the matter seriously affected the reputation of the company.</w:t>
      </w:r>
    </w:p>
    <w:p>
      <w:pPr>
        <w:pStyle w:val="2"/>
        <w:bidi w:val="0"/>
        <w:rPr>
          <w:rFonts w:hint="eastAsia"/>
          <w:lang w:val="en-US" w:eastAsia="zh-CN"/>
        </w:rPr>
      </w:pPr>
      <w:bookmarkStart w:id="8" w:name="_Toc27018"/>
      <w:r>
        <w:rPr>
          <w:rFonts w:hint="eastAsia"/>
          <w:lang w:val="en-US" w:eastAsia="zh-CN"/>
        </w:rPr>
        <w:t>4. Earnings Management and Other incentives to Fraud</w:t>
      </w:r>
      <w:bookmarkEnd w:id="8"/>
    </w:p>
    <w:p>
      <w:pPr>
        <w:pStyle w:val="3"/>
        <w:bidi w:val="0"/>
        <w:rPr>
          <w:rFonts w:hint="default"/>
          <w:lang w:val="en-US" w:eastAsia="zh-CN"/>
        </w:rPr>
      </w:pPr>
      <w:bookmarkStart w:id="9" w:name="_Toc28715"/>
      <w:r>
        <w:rPr>
          <w:rFonts w:hint="eastAsia"/>
          <w:lang w:val="en-US" w:eastAsia="zh-CN"/>
        </w:rPr>
        <w:t>4.1 Earnings Management</w:t>
      </w:r>
      <w:bookmarkEnd w:id="9"/>
    </w:p>
    <w:p>
      <w:pPr>
        <w:rPr>
          <w:rFonts w:hint="default" w:ascii="Times New Roman" w:hAnsi="Times New Roman" w:cs="Times New Roman"/>
          <w:lang w:val="en-US" w:eastAsia="zh-CN"/>
        </w:rPr>
      </w:pPr>
      <w:r>
        <w:rPr>
          <w:rFonts w:hint="eastAsia" w:ascii="Times New Roman" w:hAnsi="Times New Roman" w:cs="Times New Roman"/>
          <w:lang w:val="en-US" w:eastAsia="zh-CN"/>
        </w:rPr>
        <w:t xml:space="preserve">"Earnings management" refers to the practice of manipulating a company's financial statements in order to meet or exceed earnings expectations. The term can encompass a range of practices, from legitimate accounting methods to outright fraudulent activities. In the case of Zhangzidao, the company engaged in fraudulent activities that were aimed </w:t>
      </w:r>
      <w:r>
        <w:rPr>
          <w:rFonts w:hint="default" w:ascii="Times New Roman" w:hAnsi="Times New Roman" w:cs="Times New Roman"/>
          <w:lang w:val="en-US" w:eastAsia="zh-CN"/>
        </w:rPr>
        <w:t>at inflating their earnings figures.</w:t>
      </w:r>
      <w:r>
        <w:rPr>
          <w:rFonts w:hint="eastAsia" w:ascii="Times New Roman" w:hAnsi="Times New Roman" w:cs="Times New Roman"/>
          <w:lang w:val="en-US" w:eastAsia="zh-CN"/>
        </w:rPr>
        <w:t>(Chowdhury ＆ Eliwa., 2021)</w:t>
      </w:r>
    </w:p>
    <w:p>
      <w:pPr>
        <w:rPr>
          <w:rFonts w:hint="default"/>
          <w:lang w:val="en-US" w:eastAsia="zh-CN"/>
        </w:rPr>
      </w:pPr>
      <w:r>
        <w:rPr>
          <w:rFonts w:hint="default" w:ascii="Times New Roman" w:hAnsi="Times New Roman" w:cs="Times New Roman"/>
          <w:lang w:val="en-US" w:eastAsia="zh-CN"/>
        </w:rPr>
        <w:t xml:space="preserve">As an agricultural listed company in the seafood farming industry, </w:t>
      </w:r>
      <w:r>
        <w:rPr>
          <w:rFonts w:hint="eastAsia" w:ascii="Times New Roman" w:hAnsi="Times New Roman" w:cs="Times New Roman"/>
          <w:lang w:val="en-US" w:eastAsia="zh-CN"/>
        </w:rPr>
        <w:t>Zhangzidao</w:t>
      </w:r>
      <w:r>
        <w:rPr>
          <w:rFonts w:hint="default" w:ascii="Times New Roman" w:hAnsi="Times New Roman" w:cs="Times New Roman"/>
          <w:lang w:val="en-US" w:eastAsia="zh-CN"/>
        </w:rPr>
        <w:t xml:space="preserve"> is subject to the potential uncertainty risk of "living off the </w:t>
      </w:r>
      <w:r>
        <w:rPr>
          <w:rFonts w:hint="eastAsia" w:ascii="Times New Roman" w:hAnsi="Times New Roman" w:cs="Times New Roman"/>
          <w:lang w:val="en-US" w:eastAsia="zh-CN"/>
        </w:rPr>
        <w:t>nature reso</w:t>
      </w:r>
      <w:r>
        <w:rPr>
          <w:rFonts w:hint="eastAsia"/>
          <w:lang w:val="en-US" w:eastAsia="zh-CN"/>
        </w:rPr>
        <w:t>urces</w:t>
      </w:r>
      <w:r>
        <w:rPr>
          <w:rFonts w:hint="default"/>
          <w:lang w:val="en-US" w:eastAsia="zh-CN"/>
        </w:rPr>
        <w:t xml:space="preserve">". There are many classic cases of surplus management in agricultural listed companies, but the situation of </w:t>
      </w:r>
      <w:r>
        <w:rPr>
          <w:rFonts w:hint="eastAsia"/>
          <w:lang w:val="en-US" w:eastAsia="zh-CN"/>
        </w:rPr>
        <w:t>Zhangzidao company</w:t>
      </w:r>
      <w:r>
        <w:rPr>
          <w:rFonts w:hint="default"/>
          <w:lang w:val="en-US" w:eastAsia="zh-CN"/>
        </w:rPr>
        <w:t xml:space="preserve"> as a submarine aquaculture company is more special. The economic loss was heavy due to the escape and death of aquatic products in Ningbo. The unpredictable climatic conditions became a seemingly reasonable excuse for the scallops to "run around" in </w:t>
      </w:r>
      <w:r>
        <w:rPr>
          <w:rFonts w:hint="eastAsia"/>
          <w:lang w:val="en-US" w:eastAsia="zh-CN"/>
        </w:rPr>
        <w:t>Zhangzidao</w:t>
      </w:r>
      <w:r>
        <w:rPr>
          <w:rFonts w:hint="default"/>
          <w:lang w:val="en-US" w:eastAsia="zh-CN"/>
        </w:rPr>
        <w:t xml:space="preserve">. </w:t>
      </w:r>
    </w:p>
    <w:p>
      <w:pPr>
        <w:numPr>
          <w:ilvl w:val="0"/>
          <w:numId w:val="0"/>
        </w:numPr>
        <w:ind w:leftChars="0"/>
        <w:rPr>
          <w:rFonts w:hint="default"/>
          <w:lang w:val="en-US" w:eastAsia="zh-CN"/>
        </w:rPr>
      </w:pPr>
      <w:r>
        <w:rPr>
          <w:rFonts w:hint="default"/>
          <w:lang w:val="en-US" w:eastAsia="zh-CN"/>
        </w:rPr>
        <w:t>On the other hand, there is a problem with monitoring the inventory of the seabed in Zhangzidao company because, due to the inherent characteristics of seabed assets, its inventory process is more complex than that of general agricultural enterprises, the monitoring of the professional judgment and professional experience of the auditors have higher requirements, and the inventory of the seabed inventory also requires higher technical means, despite the fact that every year the accounting fi Because of the intrinsic characteristics of undersea biological assets, external workers for the monitoring of Zhangzidao company's inventory frequently appears incompetent.</w:t>
      </w:r>
    </w:p>
    <w:p>
      <w:pPr>
        <w:numPr>
          <w:ilvl w:val="0"/>
          <w:numId w:val="0"/>
        </w:numPr>
        <w:ind w:leftChars="0"/>
        <w:rPr>
          <w:rFonts w:hint="default"/>
          <w:lang w:val="en-US" w:eastAsia="zh-CN"/>
        </w:rPr>
      </w:pPr>
      <w:r>
        <w:rPr>
          <w:rFonts w:hint="default"/>
          <w:lang w:val="en-US" w:eastAsia="zh-CN"/>
        </w:rPr>
        <w:t xml:space="preserve">The main reason that affects the </w:t>
      </w:r>
      <w:r>
        <w:rPr>
          <w:rFonts w:hint="eastAsia"/>
          <w:lang w:val="en-US" w:eastAsia="zh-CN"/>
        </w:rPr>
        <w:t>earnings</w:t>
      </w:r>
      <w:r>
        <w:rPr>
          <w:rFonts w:hint="default"/>
          <w:lang w:val="en-US" w:eastAsia="zh-CN"/>
        </w:rPr>
        <w:t xml:space="preserve"> management of </w:t>
      </w:r>
      <w:r>
        <w:rPr>
          <w:rFonts w:hint="eastAsia"/>
          <w:lang w:val="en-US" w:eastAsia="zh-CN"/>
        </w:rPr>
        <w:t>Zhangzidao company</w:t>
      </w:r>
      <w:r>
        <w:rPr>
          <w:rFonts w:hint="default"/>
          <w:lang w:val="en-US" w:eastAsia="zh-CN"/>
        </w:rPr>
        <w:t xml:space="preserve"> is to make the net profit positive, as the net profit of </w:t>
      </w:r>
      <w:r>
        <w:rPr>
          <w:rFonts w:hint="eastAsia"/>
          <w:lang w:val="en-US" w:eastAsia="zh-CN"/>
        </w:rPr>
        <w:t>Zhangzidao company</w:t>
      </w:r>
      <w:r>
        <w:rPr>
          <w:rFonts w:hint="default"/>
          <w:lang w:val="en-US" w:eastAsia="zh-CN"/>
        </w:rPr>
        <w:t xml:space="preserve"> was negative for two consecutive years in 2014 and 2015, on May 4, 2016, the stock of </w:t>
      </w:r>
      <w:r>
        <w:rPr>
          <w:rFonts w:hint="eastAsia"/>
          <w:lang w:val="en-US" w:eastAsia="zh-CN"/>
        </w:rPr>
        <w:t>Zhangzidao company</w:t>
      </w:r>
      <w:r>
        <w:rPr>
          <w:rFonts w:hint="default"/>
          <w:lang w:val="en-US" w:eastAsia="zh-CN"/>
        </w:rPr>
        <w:t xml:space="preserve"> was put under special treatment of "delisting risk warning" by the Shenzhen Stock Exchange, and the stock name was changed from " The name of the stock was changed from "</w:t>
      </w:r>
      <w:r>
        <w:rPr>
          <w:rFonts w:hint="eastAsia"/>
          <w:lang w:val="en-US" w:eastAsia="zh-CN"/>
        </w:rPr>
        <w:t>Zhangzidao.co.ltd</w:t>
      </w:r>
      <w:r>
        <w:rPr>
          <w:rFonts w:hint="default"/>
          <w:lang w:val="en-US" w:eastAsia="zh-CN"/>
        </w:rPr>
        <w:t>" to "*ST</w:t>
      </w:r>
      <w:r>
        <w:rPr>
          <w:rFonts w:hint="eastAsia"/>
          <w:lang w:val="en-US" w:eastAsia="zh-CN"/>
        </w:rPr>
        <w:t xml:space="preserve"> Zhangzidao.co.ltd</w:t>
      </w:r>
      <w:r>
        <w:rPr>
          <w:rFonts w:hint="default"/>
          <w:lang w:val="en-US" w:eastAsia="zh-CN"/>
        </w:rPr>
        <w:t xml:space="preserve">". Under such circumstances, if the net profit of </w:t>
      </w:r>
      <w:r>
        <w:rPr>
          <w:rFonts w:hint="eastAsia"/>
          <w:lang w:val="en-US" w:eastAsia="zh-CN"/>
        </w:rPr>
        <w:t>Zhangzidao company</w:t>
      </w:r>
      <w:r>
        <w:rPr>
          <w:rFonts w:hint="default"/>
          <w:lang w:val="en-US" w:eastAsia="zh-CN"/>
        </w:rPr>
        <w:t xml:space="preserve"> remains negative in 2016, it will face the treatment of being delisted. Therefore, </w:t>
      </w:r>
      <w:r>
        <w:rPr>
          <w:rFonts w:hint="eastAsia"/>
          <w:lang w:val="en-US" w:eastAsia="zh-CN"/>
        </w:rPr>
        <w:t>Zhangzidao</w:t>
      </w:r>
      <w:r>
        <w:rPr>
          <w:rFonts w:hint="default"/>
          <w:lang w:val="en-US" w:eastAsia="zh-CN"/>
        </w:rPr>
        <w:t xml:space="preserve"> made </w:t>
      </w:r>
      <w:r>
        <w:rPr>
          <w:rFonts w:hint="eastAsia"/>
          <w:lang w:val="en-US" w:eastAsia="zh-CN"/>
        </w:rPr>
        <w:t xml:space="preserve">earnings </w:t>
      </w:r>
      <w:r>
        <w:rPr>
          <w:rFonts w:hint="default"/>
          <w:lang w:val="en-US" w:eastAsia="zh-CN"/>
        </w:rPr>
        <w:t xml:space="preserve">management manipulation in 2016, inflating its profit by RMB 131,147,700, and the actual net profit was -55,433,100 after retroactive adjustment, and the operating performance was still loss-making. </w:t>
      </w:r>
      <w:r>
        <w:rPr>
          <w:rFonts w:hint="eastAsia"/>
          <w:lang w:val="en-US" w:eastAsia="zh-CN"/>
        </w:rPr>
        <w:t xml:space="preserve">Zhangzidao </w:t>
      </w:r>
      <w:r>
        <w:rPr>
          <w:rFonts w:hint="default"/>
          <w:lang w:val="en-US" w:eastAsia="zh-CN"/>
        </w:rPr>
        <w:t xml:space="preserve">avoided the possibility of being delisted in 2016 by means of </w:t>
      </w:r>
      <w:r>
        <w:rPr>
          <w:rFonts w:hint="eastAsia"/>
          <w:lang w:val="en-US" w:eastAsia="zh-CN"/>
        </w:rPr>
        <w:t>earnings</w:t>
      </w:r>
      <w:r>
        <w:rPr>
          <w:rFonts w:hint="default"/>
          <w:lang w:val="en-US" w:eastAsia="zh-CN"/>
        </w:rPr>
        <w:t xml:space="preserve"> management.</w:t>
      </w:r>
    </w:p>
    <w:p>
      <w:pPr>
        <w:pStyle w:val="3"/>
        <w:bidi w:val="0"/>
        <w:rPr>
          <w:rFonts w:hint="default"/>
          <w:lang w:val="en-US" w:eastAsia="zh-CN"/>
        </w:rPr>
      </w:pPr>
      <w:bookmarkStart w:id="10" w:name="_Toc23928"/>
      <w:r>
        <w:rPr>
          <w:rFonts w:hint="eastAsia"/>
          <w:lang w:val="en-US" w:eastAsia="zh-CN"/>
        </w:rPr>
        <w:t>4.2Conclusion about Incentives of Fraud</w:t>
      </w:r>
      <w:bookmarkEnd w:id="10"/>
    </w:p>
    <w:p>
      <w:pPr>
        <w:pStyle w:val="4"/>
        <w:bidi w:val="0"/>
        <w:rPr>
          <w:rFonts w:hint="eastAsia"/>
          <w:lang w:val="en-US" w:eastAsia="zh-CN"/>
        </w:rPr>
      </w:pPr>
      <w:bookmarkStart w:id="11" w:name="_Toc26352"/>
      <w:r>
        <w:rPr>
          <w:rFonts w:hint="eastAsia"/>
          <w:lang w:val="en-US" w:eastAsia="zh-CN"/>
        </w:rPr>
        <w:t>4.2.1. Motivation to avoid the risk of delisting</w:t>
      </w:r>
      <w:bookmarkEnd w:id="11"/>
    </w:p>
    <w:p>
      <w:pPr>
        <w:numPr>
          <w:ilvl w:val="0"/>
          <w:numId w:val="0"/>
        </w:numPr>
        <w:rPr>
          <w:rFonts w:hint="eastAsia"/>
          <w:lang w:val="en-US" w:eastAsia="zh-CN"/>
        </w:rPr>
      </w:pPr>
      <w:r>
        <w:rPr>
          <w:rFonts w:hint="eastAsia"/>
          <w:lang w:val="en-US" w:eastAsia="zh-CN"/>
        </w:rPr>
        <w:t>In April 2019, the Shenzhen Stock Exchange amended the "Shenzhen Stock Exchange Stock Listing Rules", the main reason affecting the earnings management of Zhangzidao company is to make the net profit positive, as the net profit of Zhangzidao company was negative for two consecutive years in 2014 and 2015, on May 4, 2016, the stock of Zhangzidao company was subject to "delisting risk warning" by the Shenzhen Stock Exchange. On May 4, 2016, the stock of Zhangzidao company was subject to special treatment of "delisting risk warning" by the Shenzhen Stock Exchange, and the stock name was changed from "Zhangzidao company" to "*ST Zhangzidao company". Under such circumstances, if the net profit of Zhangzidao company remains negative in 2016, it will face the treatment of being delisted. Therefore, Zhangzidao company manipulated its earnings management in 2016, inflating its profit by RMB 131,147,700, and the actual net profit was -55,433,100 after retrospective adjustment, and the operating performance was still loss-making. By means of earnings management, Zhangzidao company avoided the possibility of being delisted in 2016.</w:t>
      </w:r>
    </w:p>
    <w:p>
      <w:pPr>
        <w:pStyle w:val="4"/>
        <w:bidi w:val="0"/>
        <w:rPr>
          <w:rFonts w:hint="eastAsia"/>
          <w:lang w:val="en-US" w:eastAsia="zh-CN"/>
        </w:rPr>
      </w:pPr>
      <w:bookmarkStart w:id="12" w:name="_Toc6044"/>
      <w:r>
        <w:rPr>
          <w:rFonts w:hint="eastAsia"/>
          <w:lang w:val="en-US" w:eastAsia="zh-CN"/>
        </w:rPr>
        <w:t>4.2.2 Financing motive</w:t>
      </w:r>
      <w:bookmarkEnd w:id="12"/>
    </w:p>
    <w:p>
      <w:pPr>
        <w:numPr>
          <w:ilvl w:val="0"/>
          <w:numId w:val="0"/>
        </w:numPr>
        <w:rPr>
          <w:rFonts w:hint="eastAsia"/>
          <w:lang w:val="en-US" w:eastAsia="zh-CN"/>
        </w:rPr>
      </w:pPr>
      <w:r>
        <w:rPr>
          <w:rFonts w:hint="eastAsia"/>
          <w:lang w:val="en-US" w:eastAsia="zh-CN"/>
        </w:rPr>
        <w:t xml:space="preserve">Adequate working capital is an essential condition for enterprises to obtain long-term development, especially for production-oriented enterprises like Zhangzidao company, which must continuously invest funds to maintain the normal growth of the company's biological assets, but from the cash flow generated from operating activities in recent years, it is far from enough to maintain the normal development of the company, and must resort to external debt financing and equity financing. Often, only with a good operating performance as a guarantee can we achieve the corresponding credit rating to gain investors' recognition and trust. </w:t>
      </w:r>
    </w:p>
    <w:p>
      <w:pPr>
        <w:numPr>
          <w:ilvl w:val="0"/>
          <w:numId w:val="0"/>
        </w:numPr>
        <w:rPr>
          <w:rFonts w:hint="eastAsia"/>
          <w:lang w:val="en-US" w:eastAsia="zh-CN"/>
        </w:rPr>
      </w:pPr>
      <w:r>
        <w:rPr>
          <w:rFonts w:hint="eastAsia"/>
          <w:lang w:val="en-US" w:eastAsia="zh-CN"/>
        </w:rPr>
        <w:t>The company attributed the huge loss in 2014 only to the marine pasture disaster. The company used natural disasters, an uncontrollable factor, to hide its poor operating performance and convey to the market the appearance that the company's business development was normal and that the significant loss in 2014 was an illusion of occasional non-human factors. At the same time, as a result of the ST of Zhangzidao company in May 2016, the enterprise's financing capacity has decreased and its gearing has risen significantly for two consecutive years. This situation prompted Zhangzidao company to use surplus management techniques to inflate profits to lift the ST warning, with a view to regaining the trust of market investors and improving the company's financing capacity, thus meeting the company's capital requirements.</w:t>
      </w:r>
    </w:p>
    <w:p>
      <w:pPr>
        <w:numPr>
          <w:ilvl w:val="0"/>
          <w:numId w:val="0"/>
        </w:numPr>
        <w:rPr>
          <w:rFonts w:hint="eastAsia"/>
          <w:lang w:val="en-US" w:eastAsia="zh-CN"/>
        </w:rPr>
      </w:pPr>
    </w:p>
    <w:p>
      <w:pPr>
        <w:pStyle w:val="2"/>
        <w:bidi w:val="0"/>
        <w:rPr>
          <w:rFonts w:hint="default"/>
          <w:lang w:val="en-US" w:eastAsia="zh-CN"/>
        </w:rPr>
      </w:pPr>
      <w:bookmarkStart w:id="13" w:name="_Toc6859"/>
      <w:r>
        <w:rPr>
          <w:rFonts w:hint="eastAsia"/>
          <w:lang w:val="en-US" w:eastAsia="zh-CN"/>
        </w:rPr>
        <w:t>5 .Issue of  Ethical code</w:t>
      </w:r>
      <w:bookmarkEnd w:id="13"/>
    </w:p>
    <w:p>
      <w:pPr>
        <w:rPr>
          <w:rFonts w:hint="eastAsia" w:ascii="Times New Roman" w:hAnsi="Times New Roman" w:cs="Times New Roman"/>
          <w:lang w:val="en-US" w:eastAsia="zh-CN"/>
        </w:rPr>
      </w:pPr>
      <w:r>
        <w:rPr>
          <w:rFonts w:hint="eastAsia" w:ascii="Times New Roman" w:hAnsi="Times New Roman" w:cs="Times New Roman"/>
          <w:lang w:val="en-US" w:eastAsia="zh-CN"/>
        </w:rPr>
        <w:t>Based on the Zhangzidao case of earnings fraud, it appears that the company's corporate code of ethics was not effective in preventing unethical behavior among its executives. When a company engaged in fraudulent activities suggests that its code of ethics may have been inadequate or not enforced properly.(Walker,, 2009)</w:t>
      </w:r>
    </w:p>
    <w:p>
      <w:pPr>
        <w:rPr>
          <w:rFonts w:hint="eastAsia" w:ascii="Times New Roman" w:hAnsi="Times New Roman" w:eastAsia="宋体" w:cs="Times New Roman"/>
          <w:sz w:val="28"/>
          <w:szCs w:val="28"/>
          <w:lang w:val="en-US" w:eastAsia="zh-CN"/>
        </w:rPr>
      </w:pPr>
      <w:r>
        <w:rPr>
          <w:rFonts w:hint="default" w:ascii="Times New Roman" w:hAnsi="Times New Roman" w:cs="Times New Roman"/>
          <w:lang w:val="en-US" w:eastAsia="zh-CN"/>
        </w:rPr>
        <w:t>A company's code of ethics is designed to set standards for ethical behavior and provide guidance for employees and executives when making decisions. However, a code of ethics alone is not enough to prevent unethical behavior. It must be reinforced by a strong ethical culture, effective training programs, and a commitment from top-level management to uphold ethical principles.</w:t>
      </w:r>
      <w:r>
        <w:rPr>
          <w:rFonts w:hint="eastAsia" w:ascii="Times New Roman" w:hAnsi="Times New Roman" w:cs="Times New Roman"/>
          <w:lang w:val="en-US" w:eastAsia="zh-CN"/>
        </w:rPr>
        <w:t>(Council, F.R., 2012.)</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 xml:space="preserve">In the case of </w:t>
      </w:r>
      <w:r>
        <w:rPr>
          <w:rFonts w:hint="eastAsia" w:ascii="Times New Roman" w:hAnsi="Times New Roman" w:cs="Times New Roman"/>
          <w:lang w:val="en-US" w:eastAsia="zh-CN"/>
        </w:rPr>
        <w:t>Zhangzidao</w:t>
      </w:r>
      <w:r>
        <w:rPr>
          <w:rFonts w:hint="default" w:ascii="Times New Roman" w:hAnsi="Times New Roman" w:cs="Times New Roman"/>
          <w:lang w:val="en-US" w:eastAsia="zh-CN"/>
        </w:rPr>
        <w:t>, it appears that the company's executives violated its code of ethics by engaging in fraudulent activities. This suggests that the code of ethics may have been insufficient in preventing unethical behavior or that it was not enforced properly.</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To be effective, a corporate code of ethics should be clear, concise, and relevant to the company's business activities. It should also be regularly reviewed and updated to ensure that it remains current and aligned with changing business practices and regulations.</w:t>
      </w:r>
      <w:r>
        <w:rPr>
          <w:rFonts w:hint="eastAsia" w:ascii="Times New Roman" w:hAnsi="Times New Roman" w:cs="Times New Roman"/>
          <w:lang w:val="en-US" w:eastAsia="zh-CN"/>
        </w:rPr>
        <w:t>(Keasey,＆ Wright, , 2005. )</w:t>
      </w:r>
    </w:p>
    <w:p>
      <w:pPr>
        <w:numPr>
          <w:ilvl w:val="0"/>
          <w:numId w:val="0"/>
        </w:numPr>
        <w:rPr>
          <w:rFonts w:hint="default" w:ascii="Times New Roman" w:hAnsi="Times New Roman" w:cs="Times New Roman"/>
          <w:lang w:val="en-US" w:eastAsia="zh-CN"/>
        </w:rPr>
      </w:pPr>
    </w:p>
    <w:p>
      <w:pPr>
        <w:pStyle w:val="2"/>
        <w:numPr>
          <w:ilvl w:val="0"/>
          <w:numId w:val="2"/>
        </w:numPr>
        <w:bidi w:val="0"/>
        <w:rPr>
          <w:rFonts w:hint="default"/>
          <w:lang w:val="en-US" w:eastAsia="zh-CN"/>
        </w:rPr>
      </w:pPr>
      <w:bookmarkStart w:id="14" w:name="_Toc7253"/>
      <w:r>
        <w:rPr>
          <w:rFonts w:hint="eastAsia"/>
          <w:lang w:val="en-US" w:eastAsia="zh-CN"/>
        </w:rPr>
        <w:t>C</w:t>
      </w:r>
      <w:r>
        <w:rPr>
          <w:rFonts w:hint="default"/>
          <w:lang w:val="en-US" w:eastAsia="zh-CN"/>
        </w:rPr>
        <w:t>orporate governance</w:t>
      </w:r>
      <w:r>
        <w:rPr>
          <w:rFonts w:hint="eastAsia"/>
          <w:lang w:val="en-US" w:eastAsia="zh-CN"/>
        </w:rPr>
        <w:t xml:space="preserve"> and Earnings Management in UK</w:t>
      </w:r>
      <w:bookmarkEnd w:id="14"/>
    </w:p>
    <w:p>
      <w:pPr>
        <w:numPr>
          <w:ilvl w:val="0"/>
          <w:numId w:val="0"/>
        </w:numPr>
        <w:rPr>
          <w:rFonts w:hint="eastAsia" w:ascii="Times New Roman" w:hAnsi="Times New Roman" w:cs="Times New Roman"/>
          <w:lang w:val="en-US" w:eastAsia="zh-CN"/>
        </w:rPr>
      </w:pPr>
      <w:r>
        <w:rPr>
          <w:rFonts w:hint="default" w:ascii="Times New Roman" w:hAnsi="Times New Roman" w:cs="Times New Roman"/>
          <w:lang w:val="en-US" w:eastAsia="zh-CN"/>
        </w:rPr>
        <w:t>In the UK, corporate governance is guided by a combination of legal and voluntary frameworks. The legal framework consists of various laws and regulations that set out the requirements for companies in relation to corporate governance, while the voluntary framework consists of codes of practice and guidelines that companies are encouraged to follow.(McColgan,., 2001. )</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One of the key legal requirements for corporate governance in the UK is the Companies Act 2006, which outlines the responsibilities of directors and sets out the rules for shareholder voting and decision-making. The Act also includes provisions for auditing and financial reporting.</w:t>
      </w:r>
    </w:p>
    <w:p>
      <w:pPr>
        <w:numPr>
          <w:ilvl w:val="0"/>
          <w:numId w:val="0"/>
        </w:numPr>
        <w:rPr>
          <w:rFonts w:hint="eastAsia" w:ascii="Times New Roman" w:hAnsi="Times New Roman" w:cs="Times New Roman"/>
          <w:lang w:val="en-US" w:eastAsia="zh-CN"/>
        </w:rPr>
      </w:pPr>
      <w:r>
        <w:rPr>
          <w:rFonts w:hint="default" w:ascii="Times New Roman" w:hAnsi="Times New Roman" w:cs="Times New Roman"/>
          <w:lang w:val="en-US" w:eastAsia="zh-CN"/>
        </w:rPr>
        <w:t>In addition to the legal framework, there are several voluntary codes of practice that companies in the UK are encouraged to follow. The most significant of these is the UK Corporate Governance Code, which is issued by the Financial Reporting Council (FRC). The Code provides guidance on issues such as board composition, remuneration, and risk management, and is updated periodically to reflect changes in corporate governance best practice.</w:t>
      </w:r>
      <w:r>
        <w:rPr>
          <w:rFonts w:hint="eastAsia" w:ascii="Times New Roman" w:hAnsi="Times New Roman" w:cs="Times New Roman"/>
          <w:lang w:val="en-US" w:eastAsia="zh-CN"/>
        </w:rPr>
        <w:t>(</w:t>
      </w:r>
      <w:r>
        <w:rPr>
          <w:rFonts w:hint="default" w:ascii="Times New Roman" w:hAnsi="Times New Roman" w:cs="Times New Roman"/>
          <w:lang w:val="en-US" w:eastAsia="zh-CN"/>
        </w:rPr>
        <w:t>Mallin, ., 2011</w:t>
      </w:r>
      <w:r>
        <w:rPr>
          <w:rFonts w:hint="eastAsia" w:ascii="Times New Roman" w:hAnsi="Times New Roman" w:cs="Times New Roman"/>
          <w:lang w:val="en-US" w:eastAsia="zh-CN"/>
        </w:rPr>
        <w:t>)</w:t>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Other voluntary codes and guidelines that are relevant to corporate governance in the UK include the Stewardship Code, which sets out principles for institutional investors to promote good corporate governance, and the Turnbull Guidance, which provides guidance on risk management and internal controls.</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Overall, the corporate governance structures in the UK are designed to promote transparency, accountability, and responsible decision-making by companies. While compliance with the legal and voluntary frameworks is not mandatory, companies are encouraged to follow best practice in order to maintain the trust of their stakeholders and promote long-term success.</w:t>
      </w:r>
      <w:r>
        <w:rPr>
          <w:rFonts w:hint="eastAsia" w:ascii="Times New Roman" w:hAnsi="Times New Roman" w:cs="Times New Roman"/>
          <w:lang w:val="en-US" w:eastAsia="zh-CN"/>
        </w:rPr>
        <w:t>(</w:t>
      </w:r>
      <w:r>
        <w:rPr>
          <w:rFonts w:hint="default" w:ascii="Times New Roman" w:hAnsi="Times New Roman" w:cs="Times New Roman"/>
          <w:lang w:val="en-US" w:eastAsia="zh-CN"/>
        </w:rPr>
        <w:t>Price</w:t>
      </w:r>
      <w:r>
        <w:rPr>
          <w:rFonts w:hint="eastAsia" w:ascii="Times New Roman" w:hAnsi="Times New Roman" w:cs="Times New Roman"/>
          <w:lang w:val="en-US" w:eastAsia="zh-CN"/>
        </w:rPr>
        <w:t>,et,la.</w:t>
      </w:r>
      <w:r>
        <w:rPr>
          <w:rFonts w:hint="default" w:ascii="Times New Roman" w:hAnsi="Times New Roman" w:cs="Times New Roman"/>
          <w:lang w:val="en-US" w:eastAsia="zh-CN"/>
        </w:rPr>
        <w:t xml:space="preserve"> 2018</w:t>
      </w:r>
      <w:r>
        <w:rPr>
          <w:rFonts w:hint="eastAsia" w:ascii="Times New Roman" w:hAnsi="Times New Roman" w:cs="Times New Roman"/>
          <w:lang w:val="en-US" w:eastAsia="zh-CN"/>
        </w:rPr>
        <w:t>)</w:t>
      </w:r>
    </w:p>
    <w:p>
      <w:pPr>
        <w:numPr>
          <w:ilvl w:val="0"/>
          <w:numId w:val="0"/>
        </w:numPr>
        <w:rPr>
          <w:rFonts w:hint="eastAsia" w:ascii="Times New Roman" w:hAnsi="Times New Roman" w:cs="Times New Roman"/>
          <w:lang w:val="en-US" w:eastAsia="zh-CN"/>
        </w:rPr>
      </w:pPr>
      <w:r>
        <w:rPr>
          <w:rFonts w:hint="default" w:ascii="Times New Roman" w:hAnsi="Times New Roman" w:cs="Times New Roman"/>
          <w:lang w:val="en-US" w:eastAsia="zh-CN"/>
        </w:rPr>
        <w:t>The UK Corporate Governance Code provides guidance on various aspects of corporate governance, including the role and composition of the board of directors, risk management, remuneration, and accountability. While the Code does not specifically address earning management, it does provide guidance on the need for transparency, integrity, and accountability in financial reporting.</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The Code emphasizes the importance of the board of directors in ensuring the integrity of financial reporting and the need for effective internal controls to prevent errors or fraud. It also requires companies to disclose the steps they have taken to ensure the accuracy of financial statements and to provide a clear and balanced presentation of their financial position and performance.(Mallin, ., 2011)</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By promoting transparency, integrity, and accountability in financial reporting, the Code can help to reduce the likelihood of earning management. Companies that follow the Code's guidance are more likely to have strong internal controls, transparent financial reporting, and an independent board of directors that is focused on ensuring the accuracy of financial statements.</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In addition, the Code's provisions on remuneration can also help to reduce the likelihood of earning management. The Code requires companies to have a remuneration committee that is independent and focused on ensuring that executive pay is aligned with long-term performance. This can help to reduce the incentive for executives to engage in short-term earning management practices that may boost short-term earnings at the expense of long-term performance.</w:t>
      </w:r>
    </w:p>
    <w:p>
      <w:pPr>
        <w:numPr>
          <w:ilvl w:val="0"/>
          <w:numId w:val="0"/>
        </w:numPr>
        <w:rPr>
          <w:rFonts w:hint="default" w:ascii="Times New Roman" w:hAnsi="Times New Roman" w:cs="Times New Roman"/>
          <w:lang w:val="en-US" w:eastAsia="zh-CN"/>
        </w:rPr>
      </w:pPr>
    </w:p>
    <w:p>
      <w:pPr>
        <w:pStyle w:val="2"/>
        <w:numPr>
          <w:ilvl w:val="0"/>
          <w:numId w:val="2"/>
        </w:numPr>
        <w:bidi w:val="0"/>
        <w:rPr>
          <w:rFonts w:hint="default"/>
          <w:lang w:val="en-US" w:eastAsia="zh-CN"/>
        </w:rPr>
      </w:pPr>
      <w:bookmarkStart w:id="15" w:name="_Toc22113"/>
      <w:r>
        <w:rPr>
          <w:rFonts w:hint="eastAsia"/>
          <w:lang w:val="en-US" w:eastAsia="zh-CN"/>
        </w:rPr>
        <w:t>Recommendation</w:t>
      </w:r>
      <w:bookmarkEnd w:id="15"/>
      <w:r>
        <w:rPr>
          <w:rFonts w:hint="eastAsia"/>
          <w:lang w:val="en-US" w:eastAsia="zh-CN"/>
        </w:rPr>
        <w:t xml:space="preserve"> </w:t>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Strengthening the role of the audit committee: The audit committee plays a crucial role in ensuring the accuracy and integrity of financial reporting. To strengthen this role, companies could be required to appoint more independent and experienced members to the audit committee, and to provide them with greater resources and support.(Dedman,, 2002)</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Improving transparency: Greater transparency can help to reduce the likelihood of accounting scandals by making it easier for stakeholders to identify potential issues. Companies could be required to provide more detailed and timely disclosures on key issues such as risk management, related-party transactions, and accounting policies.</w:t>
      </w:r>
    </w:p>
    <w:p>
      <w:pPr>
        <w:numPr>
          <w:ilvl w:val="0"/>
          <w:numId w:val="0"/>
        </w:numPr>
        <w:rPr>
          <w:rFonts w:hint="default" w:ascii="Times New Roman" w:hAnsi="Times New Roman" w:cs="Times New Roman"/>
          <w:lang w:val="en-US" w:eastAsia="zh-CN"/>
        </w:rPr>
      </w:pPr>
      <w:r>
        <w:rPr>
          <w:rFonts w:hint="default" w:ascii="Times New Roman" w:hAnsi="Times New Roman" w:cs="Times New Roman"/>
          <w:lang w:val="en-US" w:eastAsia="zh-CN"/>
        </w:rPr>
        <w:t>Enhancing the role of the board of directors: The board of directors has a key role to play in overseeing the company's management and ensuring that it acts in the best interests of shareholders. To enhance this role, companies could be required to appoint more independent directors to the board and to ensure that they have the necessary skills and expertise to fulfill their responsibilities.</w:t>
      </w:r>
    </w:p>
    <w:p>
      <w:pPr>
        <w:rPr>
          <w:rFonts w:hint="default" w:ascii="Times New Roman" w:hAnsi="Times New Roman" w:cs="Times New Roman"/>
          <w:lang w:val="en-US" w:eastAsia="zh-CN"/>
        </w:rPr>
      </w:pPr>
      <w:r>
        <w:rPr>
          <w:rFonts w:hint="default" w:ascii="Times New Roman" w:hAnsi="Times New Roman" w:cs="Times New Roman"/>
          <w:lang w:val="en-US" w:eastAsia="zh-CN"/>
        </w:rPr>
        <w:br w:type="page"/>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p>
      <w:pPr>
        <w:pStyle w:val="2"/>
        <w:bidi w:val="0"/>
        <w:jc w:val="center"/>
        <w:rPr>
          <w:rFonts w:hint="default"/>
          <w:lang w:val="en-US" w:eastAsia="zh-CN"/>
        </w:rPr>
      </w:pPr>
      <w:bookmarkStart w:id="16" w:name="_Toc3183"/>
      <w:r>
        <w:rPr>
          <w:rFonts w:hint="eastAsia"/>
          <w:lang w:val="en-US" w:eastAsia="zh-CN"/>
        </w:rPr>
        <w:t>Reference</w:t>
      </w:r>
      <w:bookmarkEnd w:id="16"/>
    </w:p>
    <w:p>
      <w:pPr>
        <w:pStyle w:val="8"/>
        <w:keepNext w:val="0"/>
        <w:keepLines w:val="0"/>
        <w:widowControl/>
        <w:numPr>
          <w:ilvl w:val="0"/>
          <w:numId w:val="3"/>
        </w:numPr>
        <w:suppressLineNumbers w:val="0"/>
        <w:ind w:left="425" w:leftChars="0" w:hanging="425" w:firstLineChars="0"/>
      </w:pPr>
      <w:r>
        <w:t xml:space="preserve">(no date) </w:t>
      </w:r>
      <w:r>
        <w:rPr>
          <w:i/>
          <w:iCs/>
        </w:rPr>
        <w:t>定期公告 - 獐子岛集团</w:t>
      </w:r>
      <w:r>
        <w:t xml:space="preserve">. Available at: https://www.zhangzidao.cn/dingqi (Accessed: March </w:t>
      </w:r>
      <w:r>
        <w:rPr>
          <w:rFonts w:hint="eastAsia"/>
          <w:lang w:val="en-US" w:eastAsia="zh-CN"/>
        </w:rPr>
        <w:t>28</w:t>
      </w:r>
      <w:r>
        <w:t xml:space="preserve">, 2023). </w:t>
      </w:r>
    </w:p>
    <w:p>
      <w:pPr>
        <w:pStyle w:val="8"/>
        <w:keepNext w:val="0"/>
        <w:keepLines w:val="0"/>
        <w:widowControl/>
        <w:numPr>
          <w:ilvl w:val="0"/>
          <w:numId w:val="3"/>
        </w:numPr>
        <w:suppressLineNumbers w:val="0"/>
        <w:ind w:left="425" w:leftChars="0" w:hanging="425" w:firstLineChars="0"/>
      </w:pPr>
      <w:r>
        <w:t xml:space="preserve">(no date) </w:t>
      </w:r>
      <w:r>
        <w:rPr>
          <w:i/>
          <w:iCs/>
        </w:rPr>
        <w:t>深挖獐子岛扇贝"三连跑"</w:t>
      </w:r>
      <w:r>
        <w:t xml:space="preserve">. Available at: http://journal.crnews.net/ncpsczk/2019n/d22q/scht/930622_20191224030229.html (Accessed: March </w:t>
      </w:r>
      <w:r>
        <w:rPr>
          <w:rFonts w:hint="eastAsia"/>
          <w:lang w:val="en-US" w:eastAsia="zh-CN"/>
        </w:rPr>
        <w:t>28</w:t>
      </w:r>
      <w:r>
        <w:t xml:space="preserve">, 2023). </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Chen, J. and Wu, Z., 2020. The analysis and revelation of financial fraud behind the "scallop run" of Swertia Island--analysis based on fraud triangle theory. Green Finance and Accounting, 04, pp.25-28. doi:10.14153/j.cnki.lsck.2020.04.007.</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Chen, S. and Feng, L., 2021. A study on the phenomenon of surplus management based on the listed companies on Swertia Island. Journal of Wuxi Vocational and Technical College, 20(03), pp.35-39. doi:10.13750/j.cnki.issn.1671-7880.2021.03.008.</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Chowdhury, S.N. and Eliwa, Y., 2021. The impact of audit quality on real earnings management in the UK context. International Journal of Accounting &amp; Information Management.</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Council, F.R., 2012. The UK corporate governance code. London, September.</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Dedman, E., 2002. The Cadbury Committee Recommendations on Corporate Governance–A review of compliance and performance impacts. International Journal of Management Reviews, 4(4), pp.335-352.</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Drolet, M.J. and Hudon, A., 2015. Theoretical frameworks used to discuss ethical issues in private physiotherapy practice and proposal of a new ethical tool. Medicine, health care and philosophy, 18, pp.51-62.</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Habbash, M., 2010. The effectiveness of corporate governance and external audit on constraining earnings management practice in the UK (Doctoral dissertation, Durham University).</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Hashim, H.A., Salleh, Z., Shuhaimi, I. and Ismail, N.A.N., 2020. The risk of financial fraud: a management perspective. Journal of Financial Crime, 27(4), pp.1143-1159.</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Kassem, R. and Higson, A., 2012. The new fraud triangle model. Journal of emerging trends in economics and management sciences, 3(3), pp.191-195.</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Keasey, K., Short, H. and Wright, M., 2005. The development of corporate governance codes in the UK. Corporate Governance: Accountability, Enteprise and International Comparisons, pp.21-45.</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Li, H., 2020. A case study of shareholder reduction and surplus management in Swertia Island. MA thesis, Shihezi University.</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Liu, X., 2020. Exploration of financial fraud in Swertia Island--based on the perspective of fraud triangle theory. China Management Informatization, 23(23), pp.41-42.</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Mallin, C.A., 2011. Corporate governance developments in the UK. In Handbook on International Corporate Governance. Edward Elgar Publishing.</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McColgan, P., 2001. Agency theory and corporate governance: a review of the literature from a UK perspective. Department of Accounting and Finance working paper, 6, p.0203.</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Price, M., Harvey, C., Maclean, M. and Campbell, D., 2018. From Cadbury to Kay: discourse, intertextuality and the evolution of UK corporate governance. Accounting, Auditing &amp; Accountability Journal, 31(5), pp.1542-1562.</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Shi, R., 2022. Analysis of financial fraud and internal control strategies of enterprises---The case of "Swertia Island". Modern Business, 11, pp.187-189. doi:10.14097/j.cnki.5392/2022.11.049.</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Walker, D., 2009. A review of corporate governance in UK banks and other financial industry entities.</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Wang, D., 2021. A case study of financial fraud in swedish island company based on fraud triangle theory. MA thesis, Hebei University of Economics and Trade.</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Wang, J., 2022. Case Analysis of Financial Fraud Based on Fraud Risk Factor Theory - Taking the Swertia Island Incident as an Example. Old Brand Marketing, 13(106-108).</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Xia, Z., 2022. Reflections on the Internal Control Issues Involved in the Financial Fraud of Swertia Island. Finance &amp; Accounting Letter, (006), p.Industry.</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Zheng, S., 2021. Analysis of the surplus management behavior of Swertia Island. Cooperative Economics and Technology, 09, pp.147-149. doi:10.13665/j.cnki.hzjjykj.2021.09.060.</w:t>
      </w:r>
    </w:p>
    <w:p>
      <w:pPr>
        <w:numPr>
          <w:ilvl w:val="0"/>
          <w:numId w:val="3"/>
        </w:numPr>
        <w:ind w:left="425" w:leftChars="0" w:hanging="425" w:firstLineChars="0"/>
        <w:rPr>
          <w:rFonts w:hint="default" w:ascii="Times New Roman" w:hAnsi="Times New Roman" w:cs="Times New Roman"/>
          <w:lang w:val="en-US" w:eastAsia="zh-CN"/>
        </w:rPr>
      </w:pPr>
      <w:r>
        <w:rPr>
          <w:rFonts w:hint="default" w:ascii="Times New Roman" w:hAnsi="Times New Roman" w:cs="Times New Roman"/>
          <w:lang w:val="en-US" w:eastAsia="zh-CN"/>
        </w:rPr>
        <w:t>Zhou, Y., 2022. Case analysis of financial fraud of swertia island company. Pivot, 06(84-86).</w:t>
      </w:r>
    </w:p>
    <w:p>
      <w:pPr>
        <w:numPr>
          <w:ilvl w:val="0"/>
          <w:numId w:val="0"/>
        </w:numPr>
        <w:rPr>
          <w:rFonts w:hint="default" w:ascii="Times New Roman" w:hAnsi="Times New Roman" w:cs="Times New Roman"/>
          <w:lang w:val="en-US" w:eastAsia="zh-CN"/>
        </w:rPr>
      </w:pPr>
    </w:p>
    <w:p>
      <w:pPr>
        <w:numPr>
          <w:ilvl w:val="0"/>
          <w:numId w:val="0"/>
        </w:numPr>
        <w:rPr>
          <w:rFonts w:hint="default" w:ascii="Times New Roman" w:hAnsi="Times New Roman" w:cs="Times New Roman"/>
          <w:lang w:val="en-US" w:eastAsia="zh-CN"/>
        </w:rPr>
      </w:pPr>
    </w:p>
    <w:sectPr>
      <w:pgSz w:w="11906" w:h="16838"/>
      <w:pgMar w:top="1440" w:right="1800" w:bottom="1440" w:left="1800" w:header="851" w:footer="992" w:gutter="0"/>
      <w:cols w:space="720"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imes">
    <w:altName w:val="Segoe Print"/>
    <w:panose1 w:val="00000000000000000000"/>
    <w:charset w:val="00"/>
    <w:family w:val="auto"/>
    <w:pitch w:val="default"/>
    <w:sig w:usb0="00000000" w:usb1="00000000" w:usb2="00000000" w:usb3="00000000" w:csb0="0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B70AF73"/>
    <w:multiLevelType w:val="singleLevel"/>
    <w:tmpl w:val="8B70AF73"/>
    <w:lvl w:ilvl="0" w:tentative="0">
      <w:start w:val="1"/>
      <w:numFmt w:val="decimal"/>
      <w:lvlText w:val="(%1)"/>
      <w:lvlJc w:val="left"/>
      <w:pPr>
        <w:ind w:left="425" w:hanging="425"/>
      </w:pPr>
      <w:rPr>
        <w:rFonts w:hint="default"/>
      </w:rPr>
    </w:lvl>
  </w:abstractNum>
  <w:abstractNum w:abstractNumId="1">
    <w:nsid w:val="909ED91C"/>
    <w:multiLevelType w:val="singleLevel"/>
    <w:tmpl w:val="909ED91C"/>
    <w:lvl w:ilvl="0" w:tentative="0">
      <w:start w:val="6"/>
      <w:numFmt w:val="decimal"/>
      <w:suff w:val="space"/>
      <w:lvlText w:val="%1."/>
      <w:lvlJc w:val="left"/>
    </w:lvl>
  </w:abstractNum>
  <w:abstractNum w:abstractNumId="2">
    <w:nsid w:val="C72A35FA"/>
    <w:multiLevelType w:val="singleLevel"/>
    <w:tmpl w:val="C72A35FA"/>
    <w:lvl w:ilvl="0" w:tentative="0">
      <w:start w:val="1"/>
      <w:numFmt w:val="decimal"/>
      <w:suff w:val="space"/>
      <w:lvlText w:val="%1."/>
      <w:lvlJc w:val="left"/>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420"/>
  <w:hyphenationZone w:val="36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DlkMjdmOTA5Y2JjOWEzZGJjNzhiMjVjNjY0OGU2M2UifQ=="/>
  </w:docVars>
  <w:rsids>
    <w:rsidRoot w:val="00000000"/>
    <w:rsid w:val="00A65A8F"/>
    <w:rsid w:val="00B1727E"/>
    <w:rsid w:val="0E5E4EC5"/>
    <w:rsid w:val="0EBB0029"/>
    <w:rsid w:val="13E04168"/>
    <w:rsid w:val="1E2A6014"/>
    <w:rsid w:val="1FDE2C12"/>
    <w:rsid w:val="25C46DB6"/>
    <w:rsid w:val="26C14018"/>
    <w:rsid w:val="2AAD7DB1"/>
    <w:rsid w:val="2D884934"/>
    <w:rsid w:val="336A3F6E"/>
    <w:rsid w:val="362F4A25"/>
    <w:rsid w:val="429C453B"/>
    <w:rsid w:val="431506C9"/>
    <w:rsid w:val="45D33D98"/>
    <w:rsid w:val="47AE573B"/>
    <w:rsid w:val="497004D0"/>
    <w:rsid w:val="4C4874E2"/>
    <w:rsid w:val="4D8B58D8"/>
    <w:rsid w:val="5B324A48"/>
    <w:rsid w:val="60593614"/>
    <w:rsid w:val="65363F24"/>
    <w:rsid w:val="67C1561A"/>
    <w:rsid w:val="6AB83E56"/>
    <w:rsid w:val="6AEF52A0"/>
    <w:rsid w:val="6C0C2F9C"/>
    <w:rsid w:val="6C60621B"/>
    <w:rsid w:val="6DCB757A"/>
    <w:rsid w:val="77470212"/>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Times New Roman"/>
      <w:kern w:val="2"/>
      <w:sz w:val="24"/>
      <w:szCs w:val="24"/>
      <w:lang w:val="en-US" w:eastAsia="zh-CN" w:bidi="ar-SA"/>
    </w:rPr>
  </w:style>
  <w:style w:type="paragraph" w:styleId="2">
    <w:name w:val="heading 1"/>
    <w:basedOn w:val="1"/>
    <w:next w:val="1"/>
    <w:link w:val="12"/>
    <w:qFormat/>
    <w:uiPriority w:val="0"/>
    <w:pPr>
      <w:keepNext/>
      <w:keepLines/>
      <w:spacing w:before="340" w:beforeLines="0" w:beforeAutospacing="0" w:after="330" w:afterLines="0" w:afterAutospacing="0" w:line="576" w:lineRule="auto"/>
      <w:outlineLvl w:val="0"/>
    </w:pPr>
    <w:rPr>
      <w:rFonts w:ascii="Times New Roman" w:hAnsi="Times New Roman" w:eastAsia="times"/>
      <w:kern w:val="44"/>
      <w:sz w:val="28"/>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Times New Roman" w:hAnsi="Times New Roman" w:eastAsia="黑体"/>
      <w:sz w:val="24"/>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rFonts w:ascii="Times New Roman" w:hAnsi="Times New Roman"/>
    </w:rPr>
  </w:style>
  <w:style w:type="character" w:default="1" w:styleId="11">
    <w:name w:val="Default Paragraph Font"/>
    <w:semiHidden/>
    <w:uiPriority w:val="0"/>
  </w:style>
  <w:style w:type="table" w:default="1" w:styleId="9">
    <w:name w:val="Normal Table"/>
    <w:semiHidden/>
    <w:uiPriority w:val="0"/>
    <w:pPr>
      <w:keepNext w:val="0"/>
      <w:keepLines w:val="0"/>
      <w:widowControl/>
      <w:suppressLineNumbers w:val="0"/>
      <w:spacing w:before="0" w:beforeAutospacing="0" w:after="0" w:afterAutospacing="0"/>
      <w:ind w:left="0" w:right="0"/>
    </w:pPr>
    <w:rPr>
      <w:rFonts w:hint="default" w:ascii="Times New Roman" w:hAnsi="Times New Roman" w:cs="Times New Roman"/>
      <w:sz w:val="20"/>
      <w:szCs w:val="20"/>
    </w:rPr>
    <w:tblPr>
      <w:tblCellMar>
        <w:top w:w="0" w:type="dxa"/>
        <w:left w:w="108" w:type="dxa"/>
        <w:bottom w:w="0" w:type="dxa"/>
        <w:right w:w="108" w:type="dxa"/>
      </w:tblCellMar>
    </w:tblPr>
  </w:style>
  <w:style w:type="paragraph" w:styleId="5">
    <w:name w:val="toc 3"/>
    <w:basedOn w:val="1"/>
    <w:next w:val="1"/>
    <w:uiPriority w:val="0"/>
    <w:pPr>
      <w:ind w:left="840" w:leftChars="400"/>
    </w:pPr>
  </w:style>
  <w:style w:type="paragraph" w:styleId="6">
    <w:name w:val="toc 1"/>
    <w:basedOn w:val="1"/>
    <w:next w:val="1"/>
    <w:uiPriority w:val="0"/>
  </w:style>
  <w:style w:type="paragraph" w:styleId="7">
    <w:name w:val="toc 2"/>
    <w:basedOn w:val="1"/>
    <w:next w:val="1"/>
    <w:uiPriority w:val="0"/>
    <w:pPr>
      <w:ind w:left="420" w:leftChars="200"/>
    </w:pPr>
  </w:style>
  <w:style w:type="paragraph" w:styleId="8">
    <w:name w:val="Normal (Web)"/>
    <w:basedOn w:val="1"/>
    <w:uiPriority w:val="0"/>
    <w:pPr>
      <w:spacing w:before="100" w:beforeAutospacing="1" w:after="100" w:afterAutospacing="1"/>
      <w:ind w:left="0" w:right="0"/>
      <w:jc w:val="left"/>
    </w:pPr>
    <w:rPr>
      <w:kern w:val="0"/>
      <w:sz w:val="24"/>
      <w:lang w:val="en-US" w:eastAsia="zh-CN" w:bidi="ar"/>
    </w:rPr>
  </w:style>
  <w:style w:type="table" w:styleId="10">
    <w:name w:val="Table Grid"/>
    <w:basedOn w:val="9"/>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2">
    <w:name w:val="标题 1 Char"/>
    <w:link w:val="2"/>
    <w:uiPriority w:val="0"/>
    <w:rPr>
      <w:rFonts w:ascii="Times New Roman" w:hAnsi="Times New Roman" w:eastAsia="times"/>
      <w:kern w:val="44"/>
      <w:sz w:val="28"/>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15</Pages>
  <Words>5219</Words>
  <Characters>28731</Characters>
  <Lines>0</Lines>
  <Paragraphs>0</Paragraphs>
  <TotalTime>10</TotalTime>
  <ScaleCrop>false</ScaleCrop>
  <LinksUpToDate>false</LinksUpToDate>
  <CharactersWithSpaces>33786</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2023-03-30T03:21:00Z</dcterms:created>
  <dc:creator>聊乘化</dc:creator>
  <cp:lastModifiedBy>乘化。</cp:lastModifiedBy>
  <dcterms:modified xsi:type="dcterms:W3CDTF">2023-03-30T17:24:42Z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EF9D342032954E62B86526ED9326049D</vt:lpwstr>
  </property>
</Properties>
</file>