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E1957" w14:textId="77777777" w:rsidR="00454C91" w:rsidRDefault="00454C91" w:rsidP="00454C91">
      <w:pPr>
        <w:spacing w:before="100" w:beforeAutospacing="1" w:after="100" w:afterAutospacing="1" w:line="240" w:lineRule="auto"/>
        <w:outlineLvl w:val="1"/>
        <w:rPr>
          <w:rFonts w:ascii="Arial" w:eastAsia="Times New Roman" w:hAnsi="Arial" w:cs="Arial"/>
          <w:b/>
          <w:bCs/>
          <w:kern w:val="0"/>
          <w:sz w:val="28"/>
          <w:szCs w:val="28"/>
          <w14:ligatures w14:val="none"/>
        </w:rPr>
      </w:pPr>
      <w:r w:rsidRPr="00901B7B">
        <w:rPr>
          <w:rFonts w:ascii="Arial" w:eastAsia="Times New Roman" w:hAnsi="Arial" w:cs="Arial"/>
          <w:b/>
          <w:bCs/>
          <w:kern w:val="0"/>
          <w:sz w:val="28"/>
          <w:szCs w:val="28"/>
          <w14:ligatures w14:val="none"/>
        </w:rPr>
        <w:t>Virtual Reality (VR) for Mental Health Promotion: Opportunities and Ethical Challenges</w:t>
      </w:r>
    </w:p>
    <w:p w14:paraId="7F3794AC" w14:textId="1492E258" w:rsidR="00444140" w:rsidRDefault="00444140" w:rsidP="00444140">
      <w:pPr>
        <w:spacing w:before="100" w:beforeAutospacing="1" w:after="100" w:afterAutospacing="1" w:line="240" w:lineRule="auto"/>
        <w:jc w:val="center"/>
        <w:outlineLvl w:val="1"/>
        <w:rPr>
          <w:rFonts w:ascii="Arial" w:eastAsia="Times New Roman" w:hAnsi="Arial" w:cs="Arial"/>
          <w:b/>
          <w:bCs/>
          <w:kern w:val="0"/>
          <w:sz w:val="28"/>
          <w:szCs w:val="28"/>
          <w14:ligatures w14:val="none"/>
        </w:rPr>
      </w:pPr>
      <w:r>
        <w:rPr>
          <w:rFonts w:ascii="Arial" w:eastAsia="Times New Roman" w:hAnsi="Arial" w:cs="Arial"/>
          <w:b/>
          <w:bCs/>
          <w:noProof/>
          <w:kern w:val="0"/>
          <w:sz w:val="28"/>
          <w:szCs w:val="28"/>
        </w:rPr>
        <w:drawing>
          <wp:inline distT="0" distB="0" distL="0" distR="0" wp14:anchorId="0A0EEE59" wp14:editId="181D43E4">
            <wp:extent cx="3990552" cy="2658453"/>
            <wp:effectExtent l="0" t="0" r="0" b="8890"/>
            <wp:docPr id="2050705356" name="Picture 7" descr="A person sitting on the floor with vr gog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05356" name="Picture 7" descr="A person sitting on the floor with vr goggles&#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003957" cy="2667383"/>
                    </a:xfrm>
                    <a:prstGeom prst="rect">
                      <a:avLst/>
                    </a:prstGeom>
                  </pic:spPr>
                </pic:pic>
              </a:graphicData>
            </a:graphic>
          </wp:inline>
        </w:drawing>
      </w:r>
    </w:p>
    <w:p w14:paraId="18F3DBB0" w14:textId="025232EC" w:rsidR="00454C91" w:rsidRPr="00901B7B" w:rsidRDefault="00454C91" w:rsidP="00C60C78">
      <w:pPr>
        <w:spacing w:after="0" w:line="240" w:lineRule="auto"/>
        <w:rPr>
          <w:rFonts w:ascii="Arial" w:hAnsi="Arial" w:cs="Arial"/>
          <w:kern w:val="0"/>
          <w:sz w:val="26"/>
          <w:szCs w:val="26"/>
          <w14:ligatures w14:val="none"/>
        </w:rPr>
      </w:pPr>
      <w:r w:rsidRPr="00901B7B">
        <w:rPr>
          <w:rFonts w:ascii="Arial" w:eastAsia="Times New Roman" w:hAnsi="Arial" w:cs="Arial"/>
          <w:b/>
          <w:bCs/>
          <w:kern w:val="0"/>
          <w:sz w:val="26"/>
          <w:szCs w:val="26"/>
          <w14:ligatures w14:val="none"/>
        </w:rPr>
        <w:t>Public Health Context: The Rising Burden of Mental Distress</w:t>
      </w:r>
    </w:p>
    <w:p w14:paraId="4B7010CB"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Mental health conditions now account for over 14% of global years lived with disability, with anxiety and depression being the leading contributors (WHO, 2022). Social isolation, climate anxiety, and post-pandemic stress have amplified this burden, especially among young adults (Patel et al., 2024). Traditional mental health services often struggle with long waiting lists, limited workforce capacity, and geographical barriers.</w:t>
      </w:r>
    </w:p>
    <w:p w14:paraId="254123D3" w14:textId="77777777" w:rsidR="00454C91"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In this context, Virtual Reality (VR) technologies are emerging as innovative tools for mental health promotion, prevention, and therapy delivery.</w:t>
      </w:r>
    </w:p>
    <w:p w14:paraId="60F40217" w14:textId="30FE2EEF" w:rsidR="00F045F9" w:rsidRDefault="00F045F9" w:rsidP="00444140">
      <w:pPr>
        <w:spacing w:before="100" w:beforeAutospacing="1" w:after="100" w:afterAutospacing="1" w:line="240" w:lineRule="auto"/>
        <w:jc w:val="center"/>
        <w:rPr>
          <w:rFonts w:ascii="Arial" w:hAnsi="Arial" w:cs="Arial"/>
          <w:kern w:val="0"/>
          <w14:ligatures w14:val="none"/>
        </w:rPr>
      </w:pPr>
      <w:r>
        <w:rPr>
          <w:rFonts w:ascii="Arial" w:hAnsi="Arial" w:cs="Arial"/>
          <w:noProof/>
          <w:kern w:val="0"/>
        </w:rPr>
        <w:drawing>
          <wp:inline distT="0" distB="0" distL="0" distR="0" wp14:anchorId="225B5D72" wp14:editId="788B38DB">
            <wp:extent cx="4826000" cy="2413000"/>
            <wp:effectExtent l="0" t="0" r="12700" b="6350"/>
            <wp:docPr id="109744495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1C61E31" w14:textId="790F9152" w:rsidR="00F045F9" w:rsidRPr="00F045F9" w:rsidRDefault="00F045F9" w:rsidP="00F045F9">
      <w:pPr>
        <w:spacing w:before="100" w:beforeAutospacing="1" w:after="100" w:afterAutospacing="1" w:line="240" w:lineRule="auto"/>
        <w:jc w:val="center"/>
        <w:rPr>
          <w:rFonts w:ascii="Arial" w:hAnsi="Arial" w:cs="Arial"/>
          <w:b/>
          <w:bCs/>
          <w:kern w:val="0"/>
          <w14:ligatures w14:val="none"/>
        </w:rPr>
      </w:pPr>
      <w:r w:rsidRPr="00F045F9">
        <w:rPr>
          <w:rFonts w:ascii="Arial" w:hAnsi="Arial" w:cs="Arial"/>
          <w:b/>
          <w:bCs/>
          <w:kern w:val="0"/>
          <w14:ligatures w14:val="none"/>
        </w:rPr>
        <w:t xml:space="preserve">Figure 1. </w:t>
      </w:r>
      <w:r w:rsidRPr="00F045F9">
        <w:rPr>
          <w:rFonts w:ascii="Arial" w:hAnsi="Arial" w:cs="Arial"/>
          <w:b/>
          <w:bCs/>
          <w:kern w:val="0"/>
          <w14:ligatures w14:val="none"/>
        </w:rPr>
        <w:t>Global Trends in Anxiety &amp; Depression (2010–2024)</w:t>
      </w:r>
    </w:p>
    <w:p w14:paraId="3B7083F3" w14:textId="77777777" w:rsidR="00C60C78" w:rsidRDefault="00C60C78" w:rsidP="00C60C78">
      <w:pPr>
        <w:spacing w:after="0" w:line="240" w:lineRule="auto"/>
        <w:rPr>
          <w:rFonts w:ascii="Arial" w:eastAsia="Times New Roman" w:hAnsi="Arial" w:cs="Arial"/>
          <w:b/>
          <w:bCs/>
          <w:kern w:val="0"/>
          <w14:ligatures w14:val="none"/>
        </w:rPr>
      </w:pPr>
    </w:p>
    <w:p w14:paraId="6CEBD220" w14:textId="77777777" w:rsidR="00F045F9" w:rsidRPr="00335F22" w:rsidRDefault="00F045F9" w:rsidP="00C60C78">
      <w:pPr>
        <w:spacing w:after="0" w:line="240" w:lineRule="auto"/>
        <w:rPr>
          <w:rFonts w:ascii="Arial" w:eastAsia="Times New Roman" w:hAnsi="Arial" w:cs="Arial"/>
          <w:b/>
          <w:bCs/>
          <w:kern w:val="0"/>
          <w14:ligatures w14:val="none"/>
        </w:rPr>
      </w:pPr>
    </w:p>
    <w:p w14:paraId="040AD4E1" w14:textId="599B71FB" w:rsidR="00454C91" w:rsidRDefault="00454C91" w:rsidP="00C60C78">
      <w:pPr>
        <w:spacing w:after="0" w:line="240" w:lineRule="auto"/>
        <w:rPr>
          <w:rFonts w:ascii="Arial" w:eastAsia="Times New Roman" w:hAnsi="Arial" w:cs="Arial"/>
          <w:b/>
          <w:bCs/>
          <w:kern w:val="0"/>
          <w:sz w:val="26"/>
          <w:szCs w:val="26"/>
          <w14:ligatures w14:val="none"/>
        </w:rPr>
      </w:pPr>
      <w:r w:rsidRPr="00901B7B">
        <w:rPr>
          <w:rFonts w:ascii="Arial" w:eastAsia="Times New Roman" w:hAnsi="Arial" w:cs="Arial"/>
          <w:b/>
          <w:bCs/>
          <w:kern w:val="0"/>
          <w:sz w:val="26"/>
          <w:szCs w:val="26"/>
          <w14:ligatures w14:val="none"/>
        </w:rPr>
        <w:lastRenderedPageBreak/>
        <w:t>The Digital Technology: Virtual Reality for Wellbeing</w:t>
      </w:r>
    </w:p>
    <w:p w14:paraId="25E47DBA" w14:textId="77777777" w:rsidR="00444140" w:rsidRPr="00901B7B" w:rsidRDefault="00444140" w:rsidP="00C60C78">
      <w:pPr>
        <w:spacing w:after="0" w:line="240" w:lineRule="auto"/>
        <w:rPr>
          <w:rFonts w:ascii="Arial" w:eastAsia="Times New Roman" w:hAnsi="Arial" w:cs="Arial"/>
          <w:kern w:val="0"/>
          <w:sz w:val="26"/>
          <w:szCs w:val="26"/>
          <w14:ligatures w14:val="none"/>
        </w:rPr>
      </w:pPr>
    </w:p>
    <w:p w14:paraId="33462045"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Virtual Reality mental health platforms use immersive, computer-generated environments to promote emotional regulation, mindfulness, and exposure therapy.</w:t>
      </w:r>
    </w:p>
    <w:p w14:paraId="2450C119"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For example, systems such as “CalmVR” and “MindScape” immerse users in serene 3D landscapes while guiding them through relaxation, breathing exercises, or social skills training.</w:t>
      </w:r>
    </w:p>
    <w:p w14:paraId="490CA13E"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Unlike text-based chatbots, VR offers sensorial immersion—a powerful mechanism to induce presence, empathy, and emotional engagement (Freeman et al., 2017).</w:t>
      </w:r>
    </w:p>
    <w:p w14:paraId="0648755A" w14:textId="77777777" w:rsidR="00454C91"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In a public health context, VR programs can be integrated into schools, workplaces, or community centres as part of wellbeing promotion initiatives. Lightweight, affordable headsets and smartphone-based VR make broad deployment increasingly feasible.</w:t>
      </w:r>
    </w:p>
    <w:p w14:paraId="51460E0B" w14:textId="1398E246" w:rsidR="00444140" w:rsidRDefault="00444140" w:rsidP="00444140">
      <w:pPr>
        <w:spacing w:before="100" w:beforeAutospacing="1" w:after="100" w:afterAutospacing="1" w:line="240" w:lineRule="auto"/>
        <w:jc w:val="center"/>
        <w:rPr>
          <w:rFonts w:ascii="Arial" w:hAnsi="Arial" w:cs="Arial"/>
          <w:kern w:val="0"/>
          <w14:ligatures w14:val="none"/>
        </w:rPr>
      </w:pPr>
      <w:r>
        <w:rPr>
          <w:rFonts w:ascii="Arial" w:hAnsi="Arial" w:cs="Arial"/>
          <w:noProof/>
          <w:kern w:val="0"/>
        </w:rPr>
        <w:drawing>
          <wp:inline distT="0" distB="0" distL="0" distR="0" wp14:anchorId="6B2D6308" wp14:editId="2859B7C1">
            <wp:extent cx="2509362" cy="2508250"/>
            <wp:effectExtent l="0" t="0" r="5715" b="6350"/>
            <wp:docPr id="1373118815" name="Picture 5" descr="A purpl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18815" name="Picture 5" descr="A purple and black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19795" cy="2518678"/>
                    </a:xfrm>
                    <a:prstGeom prst="rect">
                      <a:avLst/>
                    </a:prstGeom>
                  </pic:spPr>
                </pic:pic>
              </a:graphicData>
            </a:graphic>
          </wp:inline>
        </w:drawing>
      </w:r>
    </w:p>
    <w:p w14:paraId="66C495D6" w14:textId="0A1F0501" w:rsidR="00444140" w:rsidRPr="00444140" w:rsidRDefault="00444140" w:rsidP="00444140">
      <w:pPr>
        <w:spacing w:before="100" w:beforeAutospacing="1" w:after="100" w:afterAutospacing="1" w:line="240" w:lineRule="auto"/>
        <w:jc w:val="center"/>
        <w:rPr>
          <w:rFonts w:ascii="Arial" w:hAnsi="Arial" w:cs="Arial"/>
          <w:b/>
          <w:bCs/>
          <w:kern w:val="0"/>
          <w14:ligatures w14:val="none"/>
        </w:rPr>
      </w:pPr>
      <w:r w:rsidRPr="00444140">
        <w:rPr>
          <w:rFonts w:ascii="Arial" w:hAnsi="Arial" w:cs="Arial"/>
          <w:b/>
          <w:bCs/>
          <w:kern w:val="0"/>
          <w14:ligatures w14:val="none"/>
        </w:rPr>
        <w:t>Figure 2. Logo for current applications Mind Scape</w:t>
      </w:r>
    </w:p>
    <w:p w14:paraId="31245346" w14:textId="77777777" w:rsidR="00C60C78" w:rsidRPr="00335F22" w:rsidRDefault="00C60C78" w:rsidP="00C60C78">
      <w:pPr>
        <w:spacing w:after="0" w:line="240" w:lineRule="auto"/>
        <w:rPr>
          <w:rFonts w:ascii="Arial" w:eastAsia="Times New Roman" w:hAnsi="Arial" w:cs="Arial"/>
          <w:b/>
          <w:bCs/>
          <w:kern w:val="0"/>
          <w14:ligatures w14:val="none"/>
        </w:rPr>
      </w:pPr>
    </w:p>
    <w:p w14:paraId="0EFE9688" w14:textId="11D846E4" w:rsidR="00454C91" w:rsidRPr="00901B7B" w:rsidRDefault="00454C91" w:rsidP="00C60C78">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Evidence of Impact</w:t>
      </w:r>
    </w:p>
    <w:p w14:paraId="031D61AB"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Growing research supports VR’s mental health benefits.</w:t>
      </w:r>
    </w:p>
    <w:p w14:paraId="19387EFE"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 systematic review by Maples-Keller et al. (2023) found that VR exposure therapy produced significant reductions in anxiety and PTSD symptoms compared to control conditions.</w:t>
      </w:r>
    </w:p>
    <w:p w14:paraId="276C8DA6"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 randomized trial of a VR-based mindfulness program in healthcare workers showed a 20% reduction in perceived stress scores after four weeks (Chen et al., 2024).</w:t>
      </w:r>
    </w:p>
    <w:p w14:paraId="34193451" w14:textId="77777777" w:rsidR="00901B7B"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lastRenderedPageBreak/>
        <w:t>Similarly, Rizzo and Koenig (2023) highlighted VR’s potential for empathy training and stress inoculation in occupational settings.</w:t>
      </w:r>
    </w:p>
    <w:p w14:paraId="5A1B3354" w14:textId="415D51D5"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However, most studies involve small samples, short-term follow-ups, and controlled lab conditions. Evidence on long-term public health effectiveness, cost, and equity impact remains limited (Iwakura et al., 2025).</w:t>
      </w:r>
    </w:p>
    <w:p w14:paraId="4876D50E" w14:textId="77777777" w:rsidR="00C60C78" w:rsidRPr="00335F22" w:rsidRDefault="00C60C78" w:rsidP="00C60C78">
      <w:pPr>
        <w:spacing w:after="0" w:line="240" w:lineRule="auto"/>
        <w:rPr>
          <w:rFonts w:ascii="Arial" w:eastAsia="Times New Roman" w:hAnsi="Arial" w:cs="Arial"/>
          <w:b/>
          <w:bCs/>
          <w:kern w:val="0"/>
          <w14:ligatures w14:val="none"/>
        </w:rPr>
      </w:pPr>
    </w:p>
    <w:p w14:paraId="18F1C04F" w14:textId="45F8DC65" w:rsidR="00454C91" w:rsidRPr="00901B7B" w:rsidRDefault="00454C91" w:rsidP="00901B7B">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Critical Discussion: Strengths and Limitations</w:t>
      </w:r>
    </w:p>
    <w:p w14:paraId="0D6B4994" w14:textId="77777777" w:rsidR="00454C91" w:rsidRPr="00335F22" w:rsidRDefault="00454C91" w:rsidP="00454C91">
      <w:pPr>
        <w:spacing w:before="100" w:beforeAutospacing="1" w:after="100" w:afterAutospacing="1" w:line="240" w:lineRule="auto"/>
        <w:outlineLvl w:val="3"/>
        <w:rPr>
          <w:rFonts w:ascii="Arial" w:eastAsia="Times New Roman" w:hAnsi="Arial" w:cs="Arial"/>
          <w:b/>
          <w:bCs/>
          <w:kern w:val="0"/>
          <w14:ligatures w14:val="none"/>
        </w:rPr>
      </w:pPr>
      <w:r w:rsidRPr="00335F22">
        <w:rPr>
          <w:rFonts w:ascii="Arial" w:eastAsia="Times New Roman" w:hAnsi="Arial" w:cs="Arial"/>
          <w:b/>
          <w:bCs/>
          <w:kern w:val="0"/>
          <w14:ligatures w14:val="none"/>
        </w:rPr>
        <w:t>Advantages</w:t>
      </w:r>
    </w:p>
    <w:p w14:paraId="67F2730D" w14:textId="77777777" w:rsidR="00454C91" w:rsidRPr="00335F22" w:rsidRDefault="00454C91" w:rsidP="00454C91">
      <w:pPr>
        <w:numPr>
          <w:ilvl w:val="0"/>
          <w:numId w:val="1"/>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High engagement &amp; immersion: VR provides sensory experiences that increase focus and emotional connection.</w:t>
      </w:r>
    </w:p>
    <w:p w14:paraId="5B34B414" w14:textId="77777777" w:rsidR="00454C91" w:rsidRPr="00335F22" w:rsidRDefault="00454C91" w:rsidP="00454C91">
      <w:pPr>
        <w:numPr>
          <w:ilvl w:val="0"/>
          <w:numId w:val="1"/>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Controlled, safe environments: Enables exposure to stressors (e.g. phobias, trauma cues) in a managed, repeatable setting.</w:t>
      </w:r>
    </w:p>
    <w:p w14:paraId="0FED54DC" w14:textId="77777777" w:rsidR="00454C91" w:rsidRPr="00335F22" w:rsidRDefault="00454C91" w:rsidP="00454C91">
      <w:pPr>
        <w:numPr>
          <w:ilvl w:val="0"/>
          <w:numId w:val="1"/>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Scalable training potential: Useful for workforce mental health promotion, empathy training, and social-emotional learning.</w:t>
      </w:r>
    </w:p>
    <w:p w14:paraId="1EDD3D7D" w14:textId="77777777" w:rsidR="00454C91" w:rsidRPr="00335F22" w:rsidRDefault="00454C91" w:rsidP="00454C91">
      <w:pPr>
        <w:spacing w:before="100" w:beforeAutospacing="1" w:after="100" w:afterAutospacing="1" w:line="240" w:lineRule="auto"/>
        <w:rPr>
          <w:rFonts w:ascii="Arial" w:hAnsi="Arial" w:cs="Arial"/>
          <w:kern w:val="0"/>
          <w14:ligatures w14:val="none"/>
        </w:rPr>
      </w:pPr>
    </w:p>
    <w:p w14:paraId="288C956A" w14:textId="77777777" w:rsidR="00454C91" w:rsidRPr="00335F22" w:rsidRDefault="00454C91" w:rsidP="00454C91">
      <w:pPr>
        <w:spacing w:before="100" w:beforeAutospacing="1" w:after="100" w:afterAutospacing="1" w:line="240" w:lineRule="auto"/>
        <w:outlineLvl w:val="3"/>
        <w:rPr>
          <w:rFonts w:ascii="Arial" w:eastAsia="Times New Roman" w:hAnsi="Arial" w:cs="Arial"/>
          <w:b/>
          <w:bCs/>
          <w:kern w:val="0"/>
          <w14:ligatures w14:val="none"/>
        </w:rPr>
      </w:pPr>
      <w:r w:rsidRPr="00335F22">
        <w:rPr>
          <w:rFonts w:ascii="Arial" w:eastAsia="Times New Roman" w:hAnsi="Arial" w:cs="Arial"/>
          <w:b/>
          <w:bCs/>
          <w:kern w:val="0"/>
          <w14:ligatures w14:val="none"/>
        </w:rPr>
        <w:t>Limitations</w:t>
      </w:r>
    </w:p>
    <w:p w14:paraId="344CD568" w14:textId="77777777" w:rsidR="00454C91" w:rsidRPr="00335F22" w:rsidRDefault="00454C91" w:rsidP="00454C91">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Cost &amp; accessibility: VR hardware and technical literacy barriers may exclude low-resource populations.</w:t>
      </w:r>
    </w:p>
    <w:p w14:paraId="02A3BEB7" w14:textId="77777777" w:rsidR="00454C91" w:rsidRPr="00335F22" w:rsidRDefault="00454C91" w:rsidP="00454C91">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Cybersickness &amp; physical discomfort: Some users experience nausea or dizziness.</w:t>
      </w:r>
    </w:p>
    <w:p w14:paraId="5ED83457" w14:textId="77777777" w:rsidR="00454C91" w:rsidRPr="00335F22" w:rsidRDefault="00454C91" w:rsidP="00454C91">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Data privacy concerns: Eye-tracking and biometric data collected in VR may raise ethical risks (Lee and Kim, 2024).</w:t>
      </w:r>
    </w:p>
    <w:p w14:paraId="275CE0D9" w14:textId="77777777" w:rsidR="00454C91" w:rsidRPr="00335F22" w:rsidRDefault="00454C91" w:rsidP="00454C91">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Limited long-term data: Few trials examine sustained mental health outcomes or population-level effects (Anderson et al., 2025).</w:t>
      </w:r>
    </w:p>
    <w:p w14:paraId="108705F8" w14:textId="77777777" w:rsidR="00C60C78" w:rsidRDefault="00C60C78" w:rsidP="00C60C78">
      <w:pPr>
        <w:spacing w:after="0" w:line="240" w:lineRule="auto"/>
        <w:rPr>
          <w:rFonts w:ascii="Arial" w:eastAsia="Times New Roman" w:hAnsi="Arial" w:cs="Arial"/>
          <w:b/>
          <w:bCs/>
          <w:kern w:val="0"/>
          <w14:ligatures w14:val="none"/>
        </w:rPr>
      </w:pPr>
    </w:p>
    <w:p w14:paraId="28B264C0" w14:textId="77777777" w:rsidR="00901B7B" w:rsidRPr="00335F22" w:rsidRDefault="00901B7B" w:rsidP="00C60C78">
      <w:pPr>
        <w:spacing w:after="0" w:line="240" w:lineRule="auto"/>
        <w:rPr>
          <w:rFonts w:ascii="Arial" w:eastAsia="Times New Roman" w:hAnsi="Arial" w:cs="Arial"/>
          <w:b/>
          <w:bCs/>
          <w:kern w:val="0"/>
          <w14:ligatures w14:val="none"/>
        </w:rPr>
      </w:pPr>
    </w:p>
    <w:p w14:paraId="6E4361FF" w14:textId="772BE7C7" w:rsidR="00454C91" w:rsidRPr="00901B7B" w:rsidRDefault="00454C91" w:rsidP="00901B7B">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Addressing the Shortfalls</w:t>
      </w:r>
    </w:p>
    <w:p w14:paraId="2A13611C"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To enhance effectiveness and safety, several measures are recommended:</w:t>
      </w:r>
    </w:p>
    <w:p w14:paraId="4481312F" w14:textId="77777777" w:rsidR="00454C91" w:rsidRPr="00335F22" w:rsidRDefault="00454C91" w:rsidP="00454C91">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Hybrid delivery: Combine VR interventions with human coaching or follow-up sessions.</w:t>
      </w:r>
    </w:p>
    <w:p w14:paraId="2B48B2E4" w14:textId="77777777" w:rsidR="00454C91" w:rsidRPr="00335F22" w:rsidRDefault="00454C91" w:rsidP="00454C91">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Accessibility design: Develop lightweight, low-cost, mobile-compatible VR formats for resource-limited settings.</w:t>
      </w:r>
    </w:p>
    <w:p w14:paraId="1F038E00" w14:textId="77777777" w:rsidR="00454C91" w:rsidRPr="00335F22" w:rsidRDefault="00454C91" w:rsidP="00454C91">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Ethical data governance: Ensure transparent consent, data minimisation, and strict privacy safeguards.</w:t>
      </w:r>
    </w:p>
    <w:p w14:paraId="666B602D" w14:textId="77777777" w:rsidR="00454C91" w:rsidRPr="00335F22" w:rsidRDefault="00454C91" w:rsidP="00454C91">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Evaluation frameworks: Use pragmatic trials and mixed-methods research to assess real-world impact, engagement, and cost–effectiveness.</w:t>
      </w:r>
    </w:p>
    <w:p w14:paraId="405597CF" w14:textId="77777777" w:rsidR="00454C91" w:rsidRPr="00335F22" w:rsidRDefault="00454C91" w:rsidP="00454C91">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Cross-sector partnerships: Collaborate with public health agencies, educators, and employers to embed VR wellbeing modules in daily life.</w:t>
      </w:r>
    </w:p>
    <w:p w14:paraId="5BC4BFBA" w14:textId="77777777" w:rsidR="00444140" w:rsidRDefault="00454C91" w:rsidP="00444140">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Digital literacy training: Empower users to navigate VR safely and meaningfully.</w:t>
      </w:r>
    </w:p>
    <w:p w14:paraId="35E1A254" w14:textId="25FC1D89" w:rsidR="00901B7B" w:rsidRPr="00444140" w:rsidRDefault="00454C91" w:rsidP="00444140">
      <w:pPr>
        <w:spacing w:before="100" w:beforeAutospacing="1" w:after="100" w:afterAutospacing="1" w:line="240" w:lineRule="auto"/>
        <w:rPr>
          <w:rFonts w:ascii="Arial" w:hAnsi="Arial" w:cs="Arial"/>
          <w:kern w:val="0"/>
          <w14:ligatures w14:val="none"/>
        </w:rPr>
      </w:pPr>
      <w:r w:rsidRPr="00444140">
        <w:rPr>
          <w:rFonts w:ascii="Arial" w:eastAsia="Times New Roman" w:hAnsi="Arial" w:cs="Arial"/>
          <w:b/>
          <w:bCs/>
          <w:kern w:val="0"/>
          <w:sz w:val="26"/>
          <w:szCs w:val="26"/>
          <w14:ligatures w14:val="none"/>
        </w:rPr>
        <w:lastRenderedPageBreak/>
        <w:t>Conclusion</w:t>
      </w:r>
    </w:p>
    <w:p w14:paraId="69F1C3F5"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Virtual Reality offers promising new frontiers for mental health promotion and prevention. It can transform how people engage with stress reduction, empathy training, and psychological support. However, equitable access, ethical data practices, and robust evaluation must underpin its integration into public health systems.</w:t>
      </w:r>
    </w:p>
    <w:p w14:paraId="7AF7861C"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Like all digital health tools, VR is most effective when designed around human-centred, evidence-based principles.</w:t>
      </w:r>
    </w:p>
    <w:p w14:paraId="44DF3622" w14:textId="77777777" w:rsidR="00335F22" w:rsidRPr="00901B7B" w:rsidRDefault="00335F22" w:rsidP="00335F22">
      <w:pPr>
        <w:spacing w:after="0" w:line="240" w:lineRule="auto"/>
        <w:rPr>
          <w:rFonts w:ascii="Arial" w:eastAsia="Times New Roman" w:hAnsi="Arial" w:cs="Arial"/>
          <w:b/>
          <w:bCs/>
          <w:kern w:val="0"/>
          <w:sz w:val="26"/>
          <w:szCs w:val="26"/>
          <w14:ligatures w14:val="none"/>
        </w:rPr>
      </w:pPr>
    </w:p>
    <w:p w14:paraId="0F0B853C" w14:textId="2C1D488F" w:rsidR="00335F22" w:rsidRPr="00901B7B" w:rsidRDefault="00454C91" w:rsidP="00335F22">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References</w:t>
      </w:r>
    </w:p>
    <w:p w14:paraId="2BEBDF1E"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Anderson, P. et al. (2025) ‘Digital health literacy interventions and mental health literacy: a systematic review’, Journal of Digital Health, 12(1), pp. 45–60.</w:t>
      </w:r>
    </w:p>
    <w:p w14:paraId="12DB4E41"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Chen, Y., Tanaka, H. and Wells, R. (2024) ‘Virtual reality mindfulness intervention for healthcare worker stress: a randomized trial’, Frontiers in Psychology, 15, p. 122345.</w:t>
      </w:r>
    </w:p>
    <w:p w14:paraId="0255CA9D"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Freeman, D. et al. (2017) ‘Virtual reality in the assessment, understanding, and treatment of mental health disorders’, Psychological Medicine, 47(14), pp. 2393–2400.</w:t>
      </w:r>
    </w:p>
    <w:p w14:paraId="304AA8F3"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Iwakura, M. et al. (2025) ‘An umbrella review of efficacy of digital health interventions for workers’, npj Digital Medicine, 8:207.</w:t>
      </w:r>
    </w:p>
    <w:p w14:paraId="3B4049CC"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Lee, H. and Kim, S. (2024) ‘Conversational agents and virtual environments in mental health: ethics and outcomes’, Digital Psychology Review, 10(3), pp. 230–246.</w:t>
      </w:r>
    </w:p>
    <w:p w14:paraId="2C5BE795"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Maples-Keller, J. et al. (2023) ‘Virtual reality exposure therapy for anxiety and PTSD: a systematic review and meta-analysis’, Journal of Anxiety Disorders, 99, p. 102673.</w:t>
      </w:r>
    </w:p>
    <w:p w14:paraId="5CD01C1D"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Patel, S., Roy, D. and Ahmed, Z. (2024) ‘Youth mental health in post-pandemic recovery: global trends and digital solutions’, Global Public Health, 19(4), pp. 522–534.</w:t>
      </w:r>
    </w:p>
    <w:p w14:paraId="36D36E56"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Rizzo, A. and Koenig, S. (2023) ‘Virtual reality and clinical psychology: a new frontier in behavioural medicine’, Annual Review of Clinical Psychology, 19, pp. 87–109.</w:t>
      </w:r>
    </w:p>
    <w:p w14:paraId="683C9F00" w14:textId="77777777" w:rsidR="00454C91" w:rsidRPr="00335F22" w:rsidRDefault="00454C91" w:rsidP="00454C91">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World Health Organization (2022) World Mental Health Report: Transforming Mental Health for All. Geneva: WHO.</w:t>
      </w:r>
    </w:p>
    <w:p w14:paraId="44E12ED8" w14:textId="77777777" w:rsidR="00454C91" w:rsidRPr="00335F22" w:rsidRDefault="00454C91">
      <w:pPr>
        <w:rPr>
          <w:rFonts w:ascii="Arial" w:hAnsi="Arial" w:cs="Arial"/>
        </w:rPr>
      </w:pPr>
    </w:p>
    <w:p w14:paraId="106F4003" w14:textId="77777777" w:rsidR="000A487B" w:rsidRDefault="000A487B">
      <w:pPr>
        <w:rPr>
          <w:rFonts w:ascii="Arial" w:hAnsi="Arial" w:cs="Arial"/>
        </w:rPr>
      </w:pPr>
    </w:p>
    <w:p w14:paraId="7697E219" w14:textId="77777777" w:rsidR="00444140" w:rsidRDefault="00444140" w:rsidP="00335F22">
      <w:pPr>
        <w:rPr>
          <w:rFonts w:ascii="Arial" w:hAnsi="Arial" w:cs="Arial"/>
        </w:rPr>
      </w:pPr>
    </w:p>
    <w:p w14:paraId="4CB2DD04" w14:textId="35C235D4" w:rsidR="00335F22" w:rsidRPr="00335F22" w:rsidRDefault="00335F22" w:rsidP="00335F22">
      <w:pPr>
        <w:rPr>
          <w:rFonts w:ascii="Arial" w:hAnsi="Arial" w:cs="Arial"/>
          <w:b/>
          <w:bCs/>
          <w:sz w:val="28"/>
          <w:szCs w:val="28"/>
          <w:lang w:val="en-GB"/>
        </w:rPr>
      </w:pPr>
      <w:r w:rsidRPr="00335F22">
        <w:rPr>
          <w:rFonts w:ascii="Arial" w:hAnsi="Arial" w:cs="Arial"/>
          <w:b/>
          <w:bCs/>
          <w:sz w:val="28"/>
          <w:szCs w:val="28"/>
          <w:lang w:val="en-GB"/>
        </w:rPr>
        <w:lastRenderedPageBreak/>
        <w:t>Designing MindBalanceVR – A Novel Virtual Reality Tool for Mental Health Promotion</w:t>
      </w:r>
    </w:p>
    <w:p w14:paraId="4EC0A08B" w14:textId="4EDBD394" w:rsidR="00FF4DD6" w:rsidRDefault="00FF4DD6" w:rsidP="00FF4DD6">
      <w:pPr>
        <w:jc w:val="center"/>
        <w:rPr>
          <w:rFonts w:ascii="Arial" w:hAnsi="Arial" w:cs="Arial"/>
          <w:lang w:val="en-GB"/>
        </w:rPr>
      </w:pPr>
      <w:r>
        <w:rPr>
          <w:rFonts w:ascii="Arial" w:hAnsi="Arial" w:cs="Arial"/>
          <w:noProof/>
          <w:lang w:val="en-GB"/>
        </w:rPr>
        <w:drawing>
          <wp:inline distT="0" distB="0" distL="0" distR="0" wp14:anchorId="3C4D1873" wp14:editId="60FD5584">
            <wp:extent cx="3077210" cy="3077210"/>
            <wp:effectExtent l="0" t="0" r="8890" b="8890"/>
            <wp:docPr id="551629558" name="Picture 8" descr="A logo for a virtual reality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29558" name="Picture 8" descr="A logo for a virtual reality company&#10;&#10;AI-generated content may be incorrect."/>
                    <pic:cNvPicPr/>
                  </pic:nvPicPr>
                  <pic:blipFill>
                    <a:blip r:embed="rId8"/>
                    <a:stretch>
                      <a:fillRect/>
                    </a:stretch>
                  </pic:blipFill>
                  <pic:spPr>
                    <a:xfrm>
                      <a:off x="0" y="0"/>
                      <a:ext cx="3077210" cy="3077210"/>
                    </a:xfrm>
                    <a:prstGeom prst="rect">
                      <a:avLst/>
                    </a:prstGeom>
                  </pic:spPr>
                </pic:pic>
              </a:graphicData>
            </a:graphic>
          </wp:inline>
        </w:drawing>
      </w:r>
    </w:p>
    <w:p w14:paraId="18D8C193" w14:textId="441E055D" w:rsidR="00335F22" w:rsidRPr="00FF4DD6" w:rsidRDefault="00335F22" w:rsidP="00FF4DD6">
      <w:pPr>
        <w:rPr>
          <w:rFonts w:ascii="Arial" w:hAnsi="Arial" w:cs="Arial"/>
          <w:lang w:val="en-GB"/>
        </w:rPr>
      </w:pPr>
      <w:r w:rsidRPr="00335F22">
        <w:rPr>
          <w:rFonts w:ascii="Arial" w:hAnsi="Arial" w:cs="Arial"/>
          <w:b/>
          <w:bCs/>
          <w:sz w:val="26"/>
          <w:szCs w:val="26"/>
          <w:lang w:val="en-GB"/>
        </w:rPr>
        <w:t>Rising Mental Health Needs: A Public Health Priority</w:t>
      </w:r>
    </w:p>
    <w:p w14:paraId="4E86D554" w14:textId="77777777" w:rsidR="00335F22" w:rsidRPr="00335F22" w:rsidRDefault="00335F22" w:rsidP="00335F22">
      <w:pPr>
        <w:rPr>
          <w:rFonts w:ascii="Arial" w:hAnsi="Arial" w:cs="Arial"/>
          <w:lang w:val="en-GB"/>
        </w:rPr>
      </w:pPr>
      <w:r w:rsidRPr="00335F22">
        <w:rPr>
          <w:rFonts w:ascii="Arial" w:hAnsi="Arial" w:cs="Arial"/>
          <w:lang w:val="en-GB"/>
        </w:rPr>
        <w:t xml:space="preserve">Mental health disorders continue to rise globally, with stress-related conditions intensifying among young adults and working populations. Recent evidence shows that </w:t>
      </w:r>
      <w:r w:rsidRPr="00335F22">
        <w:rPr>
          <w:rFonts w:ascii="Arial" w:hAnsi="Arial" w:cs="Arial"/>
          <w:b/>
          <w:bCs/>
          <w:lang w:val="en-GB"/>
        </w:rPr>
        <w:t>one in seven people worldwide experiences a mental health condition</w:t>
      </w:r>
      <w:r w:rsidRPr="00335F22">
        <w:rPr>
          <w:rFonts w:ascii="Arial" w:hAnsi="Arial" w:cs="Arial"/>
          <w:lang w:val="en-GB"/>
        </w:rPr>
        <w:t xml:space="preserve"> annually (GBD Mental Health Collaborators, 2023). Post-pandemic stress, social isolation, and economic instability have contributed to a </w:t>
      </w:r>
      <w:r w:rsidRPr="00335F22">
        <w:rPr>
          <w:rFonts w:ascii="Arial" w:hAnsi="Arial" w:cs="Arial"/>
          <w:b/>
          <w:bCs/>
          <w:lang w:val="en-GB"/>
        </w:rPr>
        <w:t>notable increase in anxiety and adjustment disorders</w:t>
      </w:r>
      <w:r w:rsidRPr="00335F22">
        <w:rPr>
          <w:rFonts w:ascii="Arial" w:hAnsi="Arial" w:cs="Arial"/>
          <w:lang w:val="en-GB"/>
        </w:rPr>
        <w:t xml:space="preserve"> (Smith and Green, 2023).</w:t>
      </w:r>
    </w:p>
    <w:p w14:paraId="25B2E8CF" w14:textId="21D159C6" w:rsidR="00335F22" w:rsidRDefault="00335F22" w:rsidP="00335F22">
      <w:pPr>
        <w:rPr>
          <w:rFonts w:ascii="Arial" w:hAnsi="Arial" w:cs="Arial"/>
          <w:lang w:val="en-GB"/>
        </w:rPr>
      </w:pPr>
      <w:r w:rsidRPr="00335F22">
        <w:rPr>
          <w:rFonts w:ascii="Arial" w:hAnsi="Arial" w:cs="Arial"/>
          <w:lang w:val="en-GB"/>
        </w:rPr>
        <w:t xml:space="preserve">Traditional mental health services frequently struggle with </w:t>
      </w:r>
      <w:r w:rsidRPr="00335F22">
        <w:rPr>
          <w:rFonts w:ascii="Arial" w:hAnsi="Arial" w:cs="Arial"/>
          <w:b/>
          <w:bCs/>
          <w:lang w:val="en-GB"/>
        </w:rPr>
        <w:t>workforce shortages</w:t>
      </w:r>
      <w:r w:rsidRPr="00335F22">
        <w:rPr>
          <w:rFonts w:ascii="Arial" w:hAnsi="Arial" w:cs="Arial"/>
          <w:lang w:val="en-GB"/>
        </w:rPr>
        <w:t>, long waiting lists, and geographical barriers, limiting timely access (Henderson et al., 2024)</w:t>
      </w:r>
      <w:r w:rsidR="00FF4DD6">
        <w:rPr>
          <w:rFonts w:ascii="Arial" w:hAnsi="Arial" w:cs="Arial"/>
          <w:lang w:val="en-GB"/>
        </w:rPr>
        <w:t>.</w:t>
      </w:r>
    </w:p>
    <w:p w14:paraId="0C9FBBFB" w14:textId="027FAA63" w:rsidR="00335F22" w:rsidRDefault="00F045F9" w:rsidP="00444140">
      <w:pPr>
        <w:jc w:val="center"/>
        <w:rPr>
          <w:rFonts w:ascii="Arial" w:hAnsi="Arial" w:cs="Arial"/>
          <w:lang w:val="en-GB"/>
        </w:rPr>
      </w:pPr>
      <w:r>
        <w:rPr>
          <w:rFonts w:ascii="Arial" w:hAnsi="Arial" w:cs="Arial"/>
          <w:noProof/>
          <w:lang w:val="en-GB"/>
        </w:rPr>
        <w:drawing>
          <wp:inline distT="0" distB="0" distL="0" distR="0" wp14:anchorId="76B849F0" wp14:editId="4FBF724F">
            <wp:extent cx="4025900" cy="2298700"/>
            <wp:effectExtent l="0" t="0" r="12700" b="6350"/>
            <wp:docPr id="206816079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3D8EE3F" w14:textId="77777777" w:rsidR="00FF4DD6" w:rsidRDefault="00F045F9" w:rsidP="00FF4DD6">
      <w:pPr>
        <w:jc w:val="center"/>
        <w:rPr>
          <w:rFonts w:ascii="Arial" w:hAnsi="Arial" w:cs="Arial"/>
          <w:b/>
          <w:bCs/>
          <w:lang w:val="en-GB"/>
        </w:rPr>
      </w:pPr>
      <w:r w:rsidRPr="00444140">
        <w:rPr>
          <w:rFonts w:ascii="Arial" w:hAnsi="Arial" w:cs="Arial"/>
          <w:b/>
          <w:bCs/>
        </w:rPr>
        <w:t xml:space="preserve">Figure </w:t>
      </w:r>
      <w:r w:rsidR="00444140">
        <w:rPr>
          <w:rFonts w:ascii="Arial" w:hAnsi="Arial" w:cs="Arial"/>
          <w:b/>
          <w:bCs/>
        </w:rPr>
        <w:t>3</w:t>
      </w:r>
      <w:r w:rsidRPr="00444140">
        <w:rPr>
          <w:rFonts w:ascii="Arial" w:hAnsi="Arial" w:cs="Arial"/>
          <w:b/>
          <w:bCs/>
        </w:rPr>
        <w:t xml:space="preserve">. </w:t>
      </w:r>
      <w:r w:rsidRPr="00444140">
        <w:rPr>
          <w:rFonts w:ascii="Arial" w:hAnsi="Arial" w:cs="Arial"/>
          <w:b/>
          <w:bCs/>
        </w:rPr>
        <w:t>Stress Reduction Before and After MindBalanceVR Session</w:t>
      </w:r>
    </w:p>
    <w:p w14:paraId="41C7941A" w14:textId="46C021AE" w:rsidR="00335F22" w:rsidRPr="00FF4DD6" w:rsidRDefault="00335F22" w:rsidP="00FF4DD6">
      <w:pPr>
        <w:rPr>
          <w:rFonts w:ascii="Arial" w:hAnsi="Arial" w:cs="Arial"/>
          <w:b/>
          <w:bCs/>
          <w:lang w:val="en-GB"/>
        </w:rPr>
      </w:pPr>
      <w:r w:rsidRPr="00335F22">
        <w:rPr>
          <w:rFonts w:ascii="Arial" w:hAnsi="Arial" w:cs="Arial"/>
          <w:b/>
          <w:bCs/>
          <w:sz w:val="26"/>
          <w:szCs w:val="26"/>
          <w:lang w:val="en-GB"/>
        </w:rPr>
        <w:lastRenderedPageBreak/>
        <w:t>Conceptualising My Digital Technology: MindBalanceVR</w:t>
      </w:r>
    </w:p>
    <w:p w14:paraId="208979D8" w14:textId="77777777" w:rsidR="00335F22" w:rsidRPr="00335F22" w:rsidRDefault="00335F22" w:rsidP="00335F22">
      <w:pPr>
        <w:rPr>
          <w:rFonts w:ascii="Arial" w:hAnsi="Arial" w:cs="Arial"/>
          <w:lang w:val="en-GB"/>
        </w:rPr>
      </w:pPr>
      <w:r w:rsidRPr="00335F22">
        <w:rPr>
          <w:rFonts w:ascii="Arial" w:hAnsi="Arial" w:cs="Arial"/>
          <w:lang w:val="en-GB"/>
        </w:rPr>
        <w:t xml:space="preserve">To address these public health challenges, I designed </w:t>
      </w:r>
      <w:r w:rsidRPr="00335F22">
        <w:rPr>
          <w:rFonts w:ascii="Arial" w:hAnsi="Arial" w:cs="Arial"/>
          <w:b/>
          <w:bCs/>
          <w:lang w:val="en-GB"/>
        </w:rPr>
        <w:t>MindBalanceVR</w:t>
      </w:r>
      <w:r w:rsidRPr="00335F22">
        <w:rPr>
          <w:rFonts w:ascii="Arial" w:hAnsi="Arial" w:cs="Arial"/>
          <w:lang w:val="en-GB"/>
        </w:rPr>
        <w:t>, a Virtual Reality–based mental wellbeing tool intended for stress reduction and emotional regulation.</w:t>
      </w:r>
    </w:p>
    <w:p w14:paraId="5514297C" w14:textId="2E37F19E" w:rsidR="00335F22" w:rsidRPr="00335F22" w:rsidRDefault="00335F22" w:rsidP="00335F22">
      <w:pPr>
        <w:rPr>
          <w:rFonts w:ascii="Arial" w:hAnsi="Arial" w:cs="Arial"/>
          <w:b/>
          <w:bCs/>
          <w:lang w:val="en-GB"/>
        </w:rPr>
      </w:pPr>
      <w:r w:rsidRPr="00335F22">
        <w:rPr>
          <w:rFonts w:ascii="Arial" w:hAnsi="Arial" w:cs="Arial"/>
          <w:b/>
          <w:bCs/>
          <w:lang w:val="en-GB"/>
        </w:rPr>
        <w:t>Core Features of MindBalanceVR</w:t>
      </w:r>
    </w:p>
    <w:p w14:paraId="018867F9" w14:textId="77777777" w:rsidR="00335F22" w:rsidRPr="00335F22" w:rsidRDefault="00335F22" w:rsidP="00335F22">
      <w:pPr>
        <w:numPr>
          <w:ilvl w:val="0"/>
          <w:numId w:val="15"/>
        </w:numPr>
        <w:rPr>
          <w:rFonts w:ascii="Arial" w:hAnsi="Arial" w:cs="Arial"/>
          <w:lang w:val="en-GB"/>
        </w:rPr>
      </w:pPr>
      <w:r w:rsidRPr="00335F22">
        <w:rPr>
          <w:rFonts w:ascii="Arial" w:hAnsi="Arial" w:cs="Arial"/>
          <w:b/>
          <w:bCs/>
          <w:lang w:val="en-GB"/>
        </w:rPr>
        <w:t>Immersive calm environments</w:t>
      </w:r>
      <w:r w:rsidRPr="00335F22">
        <w:rPr>
          <w:rFonts w:ascii="Arial" w:hAnsi="Arial" w:cs="Arial"/>
          <w:lang w:val="en-GB"/>
        </w:rPr>
        <w:t xml:space="preserve"> such as forests, oceans, or mountain retreats</w:t>
      </w:r>
    </w:p>
    <w:p w14:paraId="69095A7A" w14:textId="77777777" w:rsidR="00335F22" w:rsidRPr="00335F22" w:rsidRDefault="00335F22" w:rsidP="00335F22">
      <w:pPr>
        <w:numPr>
          <w:ilvl w:val="0"/>
          <w:numId w:val="15"/>
        </w:numPr>
        <w:rPr>
          <w:rFonts w:ascii="Arial" w:hAnsi="Arial" w:cs="Arial"/>
          <w:lang w:val="en-GB"/>
        </w:rPr>
      </w:pPr>
      <w:r w:rsidRPr="00335F22">
        <w:rPr>
          <w:rFonts w:ascii="Arial" w:hAnsi="Arial" w:cs="Arial"/>
          <w:b/>
          <w:bCs/>
          <w:lang w:val="en-GB"/>
        </w:rPr>
        <w:t>Guided relaxation routines</w:t>
      </w:r>
      <w:r w:rsidRPr="00335F22">
        <w:rPr>
          <w:rFonts w:ascii="Arial" w:hAnsi="Arial" w:cs="Arial"/>
          <w:lang w:val="en-GB"/>
        </w:rPr>
        <w:t xml:space="preserve"> incorporating mindfulness and visual breathing cues</w:t>
      </w:r>
    </w:p>
    <w:p w14:paraId="26E0DBCE" w14:textId="77777777" w:rsidR="00335F22" w:rsidRPr="00335F22" w:rsidRDefault="00335F22" w:rsidP="00335F22">
      <w:pPr>
        <w:numPr>
          <w:ilvl w:val="0"/>
          <w:numId w:val="15"/>
        </w:numPr>
        <w:rPr>
          <w:rFonts w:ascii="Arial" w:hAnsi="Arial" w:cs="Arial"/>
          <w:lang w:val="en-GB"/>
        </w:rPr>
      </w:pPr>
      <w:r w:rsidRPr="00335F22">
        <w:rPr>
          <w:rFonts w:ascii="Arial" w:hAnsi="Arial" w:cs="Arial"/>
          <w:b/>
          <w:bCs/>
          <w:lang w:val="en-GB"/>
        </w:rPr>
        <w:t>Interactive grounding tools</w:t>
      </w:r>
      <w:r w:rsidRPr="00335F22">
        <w:rPr>
          <w:rFonts w:ascii="Arial" w:hAnsi="Arial" w:cs="Arial"/>
          <w:lang w:val="en-GB"/>
        </w:rPr>
        <w:t xml:space="preserve"> (5-4-3-2-1 sensory exercises)</w:t>
      </w:r>
    </w:p>
    <w:p w14:paraId="1B5D38D7" w14:textId="77777777" w:rsidR="00335F22" w:rsidRPr="00335F22" w:rsidRDefault="00335F22" w:rsidP="00335F22">
      <w:pPr>
        <w:numPr>
          <w:ilvl w:val="0"/>
          <w:numId w:val="15"/>
        </w:numPr>
        <w:rPr>
          <w:rFonts w:ascii="Arial" w:hAnsi="Arial" w:cs="Arial"/>
          <w:lang w:val="en-GB"/>
        </w:rPr>
      </w:pPr>
      <w:r w:rsidRPr="00335F22">
        <w:rPr>
          <w:rFonts w:ascii="Arial" w:hAnsi="Arial" w:cs="Arial"/>
          <w:b/>
          <w:bCs/>
          <w:lang w:val="en-GB"/>
        </w:rPr>
        <w:t>Adaptive wellbeing pathways</w:t>
      </w:r>
      <w:r w:rsidRPr="00335F22">
        <w:rPr>
          <w:rFonts w:ascii="Arial" w:hAnsi="Arial" w:cs="Arial"/>
          <w:lang w:val="en-GB"/>
        </w:rPr>
        <w:t xml:space="preserve"> based on user-reported stress levels</w:t>
      </w:r>
    </w:p>
    <w:p w14:paraId="625A6320" w14:textId="77777777" w:rsidR="00335F22" w:rsidRPr="00335F22" w:rsidRDefault="00335F22" w:rsidP="00335F22">
      <w:pPr>
        <w:numPr>
          <w:ilvl w:val="0"/>
          <w:numId w:val="15"/>
        </w:numPr>
        <w:rPr>
          <w:rFonts w:ascii="Arial" w:hAnsi="Arial" w:cs="Arial"/>
          <w:lang w:val="en-GB"/>
        </w:rPr>
      </w:pPr>
      <w:r w:rsidRPr="00335F22">
        <w:rPr>
          <w:rFonts w:ascii="Arial" w:hAnsi="Arial" w:cs="Arial"/>
          <w:b/>
          <w:bCs/>
          <w:lang w:val="en-GB"/>
        </w:rPr>
        <w:t>Mood-tracking dashboard</w:t>
      </w:r>
      <w:r w:rsidRPr="00335F22">
        <w:rPr>
          <w:rFonts w:ascii="Arial" w:hAnsi="Arial" w:cs="Arial"/>
          <w:lang w:val="en-GB"/>
        </w:rPr>
        <w:t xml:space="preserve"> with wellbeing prompts</w:t>
      </w:r>
    </w:p>
    <w:p w14:paraId="4099A65B" w14:textId="77777777" w:rsidR="00335F22" w:rsidRPr="00335F22" w:rsidRDefault="00335F22" w:rsidP="00335F22">
      <w:pPr>
        <w:numPr>
          <w:ilvl w:val="0"/>
          <w:numId w:val="15"/>
        </w:numPr>
        <w:rPr>
          <w:rFonts w:ascii="Arial" w:hAnsi="Arial" w:cs="Arial"/>
          <w:lang w:val="en-GB"/>
        </w:rPr>
      </w:pPr>
      <w:r w:rsidRPr="00335F22">
        <w:rPr>
          <w:rFonts w:ascii="Arial" w:hAnsi="Arial" w:cs="Arial"/>
          <w:b/>
          <w:bCs/>
          <w:lang w:val="en-GB"/>
        </w:rPr>
        <w:t>Accessibility through mobile-compatible VR headsets</w:t>
      </w:r>
    </w:p>
    <w:p w14:paraId="618FC1D4" w14:textId="77777777" w:rsidR="00335F22" w:rsidRPr="00335F22" w:rsidRDefault="00335F22" w:rsidP="00335F22">
      <w:pPr>
        <w:rPr>
          <w:rFonts w:ascii="Arial" w:hAnsi="Arial" w:cs="Arial"/>
          <w:lang w:val="en-GB"/>
        </w:rPr>
      </w:pPr>
      <w:r w:rsidRPr="00335F22">
        <w:rPr>
          <w:rFonts w:ascii="Arial" w:hAnsi="Arial" w:cs="Arial"/>
          <w:lang w:val="en-GB"/>
        </w:rPr>
        <w:t xml:space="preserve">The design emphasises </w:t>
      </w:r>
      <w:r w:rsidRPr="00335F22">
        <w:rPr>
          <w:rFonts w:ascii="Arial" w:hAnsi="Arial" w:cs="Arial"/>
          <w:b/>
          <w:bCs/>
          <w:lang w:val="en-GB"/>
        </w:rPr>
        <w:t>user-centred, low-cost delivery</w:t>
      </w:r>
      <w:r w:rsidRPr="00335F22">
        <w:rPr>
          <w:rFonts w:ascii="Arial" w:hAnsi="Arial" w:cs="Arial"/>
          <w:lang w:val="en-GB"/>
        </w:rPr>
        <w:t>, ensuring feasibility for community settings.</w:t>
      </w:r>
    </w:p>
    <w:p w14:paraId="7FBD7174" w14:textId="77777777" w:rsidR="00335F22" w:rsidRDefault="00335F22" w:rsidP="00335F22">
      <w:pPr>
        <w:rPr>
          <w:rFonts w:ascii="Arial" w:hAnsi="Arial" w:cs="Arial"/>
          <w:lang w:val="en-GB"/>
        </w:rPr>
      </w:pPr>
    </w:p>
    <w:p w14:paraId="58D89CB0" w14:textId="718B154F" w:rsidR="00335F22" w:rsidRPr="00335F22" w:rsidRDefault="00335F22" w:rsidP="00335F22">
      <w:pPr>
        <w:rPr>
          <w:rFonts w:ascii="Arial" w:hAnsi="Arial" w:cs="Arial"/>
          <w:sz w:val="26"/>
          <w:szCs w:val="26"/>
          <w:lang w:val="en-GB"/>
        </w:rPr>
      </w:pPr>
      <w:r w:rsidRPr="00335F22">
        <w:rPr>
          <w:rFonts w:ascii="Arial" w:hAnsi="Arial" w:cs="Arial"/>
          <w:b/>
          <w:bCs/>
          <w:sz w:val="26"/>
          <w:szCs w:val="26"/>
          <w:lang w:val="en-GB"/>
        </w:rPr>
        <w:t>Using MindBalanceVR for Health Promotion</w:t>
      </w:r>
    </w:p>
    <w:p w14:paraId="08FFF990" w14:textId="77777777" w:rsidR="00335F22" w:rsidRPr="00335F22" w:rsidRDefault="00335F22" w:rsidP="00335F22">
      <w:pPr>
        <w:rPr>
          <w:rFonts w:ascii="Arial" w:hAnsi="Arial" w:cs="Arial"/>
          <w:lang w:val="en-GB"/>
        </w:rPr>
      </w:pPr>
      <w:r w:rsidRPr="00335F22">
        <w:rPr>
          <w:rFonts w:ascii="Arial" w:hAnsi="Arial" w:cs="Arial"/>
          <w:lang w:val="en-GB"/>
        </w:rPr>
        <w:t xml:space="preserve">MindBalanceVR is designed to be implemented across </w:t>
      </w:r>
      <w:r w:rsidRPr="00335F22">
        <w:rPr>
          <w:rFonts w:ascii="Arial" w:hAnsi="Arial" w:cs="Arial"/>
          <w:b/>
          <w:bCs/>
          <w:lang w:val="en-GB"/>
        </w:rPr>
        <w:t>universities, community centres, and workplaces</w:t>
      </w:r>
      <w:r w:rsidRPr="00335F22">
        <w:rPr>
          <w:rFonts w:ascii="Arial" w:hAnsi="Arial" w:cs="Arial"/>
          <w:lang w:val="en-GB"/>
        </w:rPr>
        <w:t xml:space="preserve"> as part of broader mental health promotion efforts.</w:t>
      </w:r>
    </w:p>
    <w:p w14:paraId="5F15B2D2" w14:textId="6FD18997" w:rsidR="00335F22" w:rsidRPr="00335F22" w:rsidRDefault="00335F22" w:rsidP="00335F22">
      <w:pPr>
        <w:rPr>
          <w:rFonts w:ascii="Arial" w:hAnsi="Arial" w:cs="Arial"/>
          <w:b/>
          <w:bCs/>
          <w:lang w:val="en-GB"/>
        </w:rPr>
      </w:pPr>
      <w:r w:rsidRPr="00335F22">
        <w:rPr>
          <w:rFonts w:ascii="Arial" w:hAnsi="Arial" w:cs="Arial"/>
          <w:b/>
          <w:bCs/>
          <w:lang w:val="en-GB"/>
        </w:rPr>
        <w:t>How It Promotes Behaviour Change</w:t>
      </w:r>
    </w:p>
    <w:p w14:paraId="5E7A1441" w14:textId="77777777" w:rsidR="00335F22" w:rsidRPr="00335F22" w:rsidRDefault="00335F22" w:rsidP="00335F22">
      <w:pPr>
        <w:numPr>
          <w:ilvl w:val="0"/>
          <w:numId w:val="16"/>
        </w:numPr>
        <w:rPr>
          <w:rFonts w:ascii="Arial" w:hAnsi="Arial" w:cs="Arial"/>
          <w:lang w:val="en-GB"/>
        </w:rPr>
      </w:pPr>
      <w:r w:rsidRPr="00335F22">
        <w:rPr>
          <w:rFonts w:ascii="Arial" w:hAnsi="Arial" w:cs="Arial"/>
          <w:lang w:val="en-GB"/>
        </w:rPr>
        <w:t xml:space="preserve">Supports </w:t>
      </w:r>
      <w:r w:rsidRPr="00335F22">
        <w:rPr>
          <w:rFonts w:ascii="Arial" w:hAnsi="Arial" w:cs="Arial"/>
          <w:b/>
          <w:bCs/>
          <w:lang w:val="en-GB"/>
        </w:rPr>
        <w:t>emotional self-regulation</w:t>
      </w:r>
      <w:r w:rsidRPr="00335F22">
        <w:rPr>
          <w:rFonts w:ascii="Arial" w:hAnsi="Arial" w:cs="Arial"/>
          <w:lang w:val="en-GB"/>
        </w:rPr>
        <w:t>, which is key for stress prevention</w:t>
      </w:r>
    </w:p>
    <w:p w14:paraId="0C67E605" w14:textId="77777777" w:rsidR="00335F22" w:rsidRPr="00335F22" w:rsidRDefault="00335F22" w:rsidP="00335F22">
      <w:pPr>
        <w:numPr>
          <w:ilvl w:val="0"/>
          <w:numId w:val="16"/>
        </w:numPr>
        <w:rPr>
          <w:rFonts w:ascii="Arial" w:hAnsi="Arial" w:cs="Arial"/>
          <w:lang w:val="en-GB"/>
        </w:rPr>
      </w:pPr>
      <w:r w:rsidRPr="00335F22">
        <w:rPr>
          <w:rFonts w:ascii="Arial" w:hAnsi="Arial" w:cs="Arial"/>
          <w:lang w:val="en-GB"/>
        </w:rPr>
        <w:t xml:space="preserve">Enhances </w:t>
      </w:r>
      <w:r w:rsidRPr="00335F22">
        <w:rPr>
          <w:rFonts w:ascii="Arial" w:hAnsi="Arial" w:cs="Arial"/>
          <w:b/>
          <w:bCs/>
          <w:lang w:val="en-GB"/>
        </w:rPr>
        <w:t>self-efficacy</w:t>
      </w:r>
      <w:r w:rsidRPr="00335F22">
        <w:rPr>
          <w:rFonts w:ascii="Arial" w:hAnsi="Arial" w:cs="Arial"/>
          <w:lang w:val="en-GB"/>
        </w:rPr>
        <w:t>, a central component of Social Cognitive Theory (Bandura, 2020)</w:t>
      </w:r>
    </w:p>
    <w:p w14:paraId="08F01095" w14:textId="77777777" w:rsidR="00335F22" w:rsidRPr="00335F22" w:rsidRDefault="00335F22" w:rsidP="00335F22">
      <w:pPr>
        <w:numPr>
          <w:ilvl w:val="0"/>
          <w:numId w:val="16"/>
        </w:numPr>
        <w:rPr>
          <w:rFonts w:ascii="Arial" w:hAnsi="Arial" w:cs="Arial"/>
          <w:lang w:val="en-GB"/>
        </w:rPr>
      </w:pPr>
      <w:r w:rsidRPr="00335F22">
        <w:rPr>
          <w:rFonts w:ascii="Arial" w:hAnsi="Arial" w:cs="Arial"/>
          <w:lang w:val="en-GB"/>
        </w:rPr>
        <w:t>Provides immersive engagement that reduces distraction and improves attentional control</w:t>
      </w:r>
    </w:p>
    <w:p w14:paraId="7CB8D188" w14:textId="77777777" w:rsidR="00335F22" w:rsidRPr="00335F22" w:rsidRDefault="00335F22" w:rsidP="00335F22">
      <w:pPr>
        <w:numPr>
          <w:ilvl w:val="0"/>
          <w:numId w:val="16"/>
        </w:numPr>
        <w:rPr>
          <w:rFonts w:ascii="Arial" w:hAnsi="Arial" w:cs="Arial"/>
          <w:lang w:val="en-GB"/>
        </w:rPr>
      </w:pPr>
      <w:r w:rsidRPr="00335F22">
        <w:rPr>
          <w:rFonts w:ascii="Arial" w:hAnsi="Arial" w:cs="Arial"/>
          <w:lang w:val="en-GB"/>
        </w:rPr>
        <w:t xml:space="preserve">Encourages </w:t>
      </w:r>
      <w:r w:rsidRPr="00335F22">
        <w:rPr>
          <w:rFonts w:ascii="Arial" w:hAnsi="Arial" w:cs="Arial"/>
          <w:b/>
          <w:bCs/>
          <w:lang w:val="en-GB"/>
        </w:rPr>
        <w:t>daily micro-habits</w:t>
      </w:r>
      <w:r w:rsidRPr="00335F22">
        <w:rPr>
          <w:rFonts w:ascii="Arial" w:hAnsi="Arial" w:cs="Arial"/>
          <w:lang w:val="en-GB"/>
        </w:rPr>
        <w:t>, supporting long-term wellbeing</w:t>
      </w:r>
    </w:p>
    <w:p w14:paraId="594B5174" w14:textId="77777777" w:rsidR="00335F22" w:rsidRPr="00335F22" w:rsidRDefault="00335F22" w:rsidP="00335F22">
      <w:pPr>
        <w:rPr>
          <w:rFonts w:ascii="Arial" w:hAnsi="Arial" w:cs="Arial"/>
          <w:lang w:val="en-GB"/>
        </w:rPr>
      </w:pPr>
      <w:r w:rsidRPr="00335F22">
        <w:rPr>
          <w:rFonts w:ascii="Arial" w:hAnsi="Arial" w:cs="Arial"/>
          <w:lang w:val="en-GB"/>
        </w:rPr>
        <w:t xml:space="preserve">Recent research indicates that VR-based wellbeing programmes can significantly improve </w:t>
      </w:r>
      <w:r w:rsidRPr="00335F22">
        <w:rPr>
          <w:rFonts w:ascii="Arial" w:hAnsi="Arial" w:cs="Arial"/>
          <w:b/>
          <w:bCs/>
          <w:lang w:val="en-GB"/>
        </w:rPr>
        <w:t>stress management skills</w:t>
      </w:r>
      <w:r w:rsidRPr="00335F22">
        <w:rPr>
          <w:rFonts w:ascii="Arial" w:hAnsi="Arial" w:cs="Arial"/>
          <w:lang w:val="en-GB"/>
        </w:rPr>
        <w:t xml:space="preserve"> and emotional resilience in community settings (Garrett and Morgan, 2022).</w:t>
      </w:r>
    </w:p>
    <w:p w14:paraId="3D292319" w14:textId="77777777" w:rsidR="00335F22" w:rsidRDefault="00335F22" w:rsidP="00335F22">
      <w:pPr>
        <w:rPr>
          <w:rFonts w:ascii="Arial" w:hAnsi="Arial" w:cs="Arial"/>
          <w:lang w:val="en-GB"/>
        </w:rPr>
      </w:pPr>
    </w:p>
    <w:p w14:paraId="1BD90914" w14:textId="4B37F7C5" w:rsidR="00335F22" w:rsidRPr="00335F22" w:rsidRDefault="00335F22" w:rsidP="00335F22">
      <w:pPr>
        <w:rPr>
          <w:rFonts w:ascii="Arial" w:hAnsi="Arial" w:cs="Arial"/>
          <w:sz w:val="26"/>
          <w:szCs w:val="26"/>
          <w:lang w:val="en-GB"/>
        </w:rPr>
      </w:pPr>
      <w:r w:rsidRPr="00335F22">
        <w:rPr>
          <w:rFonts w:ascii="Arial" w:hAnsi="Arial" w:cs="Arial"/>
          <w:b/>
          <w:bCs/>
          <w:sz w:val="26"/>
          <w:szCs w:val="26"/>
          <w:lang w:val="en-GB"/>
        </w:rPr>
        <w:t>Impact, Strengths and Potential Shortfalls</w:t>
      </w:r>
    </w:p>
    <w:p w14:paraId="703DF63D" w14:textId="5A672C47" w:rsidR="00335F22" w:rsidRPr="00335F22" w:rsidRDefault="00335F22" w:rsidP="00335F22">
      <w:pPr>
        <w:rPr>
          <w:rFonts w:ascii="Arial" w:hAnsi="Arial" w:cs="Arial"/>
          <w:b/>
          <w:bCs/>
          <w:lang w:val="en-GB"/>
        </w:rPr>
      </w:pPr>
      <w:r>
        <w:rPr>
          <w:rFonts w:ascii="Arial" w:hAnsi="Arial" w:cs="Arial"/>
          <w:b/>
          <w:bCs/>
          <w:lang w:val="en-GB"/>
        </w:rPr>
        <w:t>S</w:t>
      </w:r>
      <w:r w:rsidRPr="00335F22">
        <w:rPr>
          <w:rFonts w:ascii="Arial" w:hAnsi="Arial" w:cs="Arial"/>
          <w:b/>
          <w:bCs/>
          <w:lang w:val="en-GB"/>
        </w:rPr>
        <w:t>trengths of MindBalanceVR</w:t>
      </w:r>
    </w:p>
    <w:p w14:paraId="141C8849" w14:textId="77777777" w:rsidR="00335F22" w:rsidRPr="00335F22" w:rsidRDefault="00335F22" w:rsidP="00335F22">
      <w:pPr>
        <w:rPr>
          <w:rFonts w:ascii="Arial" w:hAnsi="Arial" w:cs="Arial"/>
          <w:lang w:val="en-GB"/>
        </w:rPr>
      </w:pPr>
      <w:r w:rsidRPr="00335F22">
        <w:rPr>
          <w:rFonts w:ascii="Arial" w:hAnsi="Arial" w:cs="Arial"/>
          <w:lang w:val="en-GB"/>
        </w:rPr>
        <w:lastRenderedPageBreak/>
        <w:t>Evidence suggests that VR-based relaxation improves:</w:t>
      </w:r>
    </w:p>
    <w:p w14:paraId="25A51164" w14:textId="77777777" w:rsidR="00335F22" w:rsidRPr="00335F22" w:rsidRDefault="00335F22" w:rsidP="00335F22">
      <w:pPr>
        <w:numPr>
          <w:ilvl w:val="0"/>
          <w:numId w:val="17"/>
        </w:numPr>
        <w:rPr>
          <w:rFonts w:ascii="Arial" w:hAnsi="Arial" w:cs="Arial"/>
          <w:lang w:val="en-GB"/>
        </w:rPr>
      </w:pPr>
      <w:r w:rsidRPr="00335F22">
        <w:rPr>
          <w:rFonts w:ascii="Arial" w:hAnsi="Arial" w:cs="Arial"/>
          <w:b/>
          <w:bCs/>
          <w:lang w:val="en-GB"/>
        </w:rPr>
        <w:t>Stress reduction</w:t>
      </w:r>
      <w:r w:rsidRPr="00335F22">
        <w:rPr>
          <w:rFonts w:ascii="Arial" w:hAnsi="Arial" w:cs="Arial"/>
          <w:lang w:val="en-GB"/>
        </w:rPr>
        <w:t xml:space="preserve"> (Liu et al., 2022)</w:t>
      </w:r>
    </w:p>
    <w:p w14:paraId="4898FDFF" w14:textId="77777777" w:rsidR="00335F22" w:rsidRPr="00335F22" w:rsidRDefault="00335F22" w:rsidP="00335F22">
      <w:pPr>
        <w:numPr>
          <w:ilvl w:val="0"/>
          <w:numId w:val="17"/>
        </w:numPr>
        <w:rPr>
          <w:rFonts w:ascii="Arial" w:hAnsi="Arial" w:cs="Arial"/>
          <w:lang w:val="en-GB"/>
        </w:rPr>
      </w:pPr>
      <w:r w:rsidRPr="00335F22">
        <w:rPr>
          <w:rFonts w:ascii="Arial" w:hAnsi="Arial" w:cs="Arial"/>
          <w:b/>
          <w:bCs/>
          <w:lang w:val="en-GB"/>
        </w:rPr>
        <w:t>Mood enhancement</w:t>
      </w:r>
      <w:r w:rsidRPr="00335F22">
        <w:rPr>
          <w:rFonts w:ascii="Arial" w:hAnsi="Arial" w:cs="Arial"/>
          <w:lang w:val="en-GB"/>
        </w:rPr>
        <w:t xml:space="preserve"> through immersion (Bouchard et al., 2021)</w:t>
      </w:r>
    </w:p>
    <w:p w14:paraId="30550338" w14:textId="77777777" w:rsidR="00335F22" w:rsidRPr="00335F22" w:rsidRDefault="00335F22" w:rsidP="00335F22">
      <w:pPr>
        <w:numPr>
          <w:ilvl w:val="0"/>
          <w:numId w:val="17"/>
        </w:numPr>
        <w:rPr>
          <w:rFonts w:ascii="Arial" w:hAnsi="Arial" w:cs="Arial"/>
          <w:lang w:val="en-GB"/>
        </w:rPr>
      </w:pPr>
      <w:r w:rsidRPr="00335F22">
        <w:rPr>
          <w:rFonts w:ascii="Arial" w:hAnsi="Arial" w:cs="Arial"/>
          <w:b/>
          <w:bCs/>
          <w:lang w:val="en-GB"/>
        </w:rPr>
        <w:t>Engagement</w:t>
      </w:r>
      <w:r w:rsidRPr="00335F22">
        <w:rPr>
          <w:rFonts w:ascii="Arial" w:hAnsi="Arial" w:cs="Arial"/>
          <w:lang w:val="en-GB"/>
        </w:rPr>
        <w:t>, particularly in young adults (Chou et al., 2023)</w:t>
      </w:r>
    </w:p>
    <w:p w14:paraId="48693E2E" w14:textId="77777777" w:rsidR="00335F22" w:rsidRPr="00335F22" w:rsidRDefault="00335F22" w:rsidP="00335F22">
      <w:pPr>
        <w:rPr>
          <w:rFonts w:ascii="Arial" w:hAnsi="Arial" w:cs="Arial"/>
          <w:lang w:val="en-GB"/>
        </w:rPr>
      </w:pPr>
      <w:r w:rsidRPr="00335F22">
        <w:rPr>
          <w:rFonts w:ascii="Arial" w:hAnsi="Arial" w:cs="Arial"/>
          <w:lang w:val="en-GB"/>
        </w:rPr>
        <w:t>MindBalanceVR’s immersive and interactive design offers:</w:t>
      </w:r>
    </w:p>
    <w:p w14:paraId="08834574" w14:textId="77777777" w:rsidR="00335F22" w:rsidRPr="00335F22" w:rsidRDefault="00335F22" w:rsidP="00335F22">
      <w:pPr>
        <w:numPr>
          <w:ilvl w:val="0"/>
          <w:numId w:val="18"/>
        </w:numPr>
        <w:rPr>
          <w:rFonts w:ascii="Arial" w:hAnsi="Arial" w:cs="Arial"/>
          <w:lang w:val="en-GB"/>
        </w:rPr>
      </w:pPr>
      <w:r w:rsidRPr="00335F22">
        <w:rPr>
          <w:rFonts w:ascii="Arial" w:hAnsi="Arial" w:cs="Arial"/>
          <w:lang w:val="en-GB"/>
        </w:rPr>
        <w:t>A stigma-free environment</w:t>
      </w:r>
    </w:p>
    <w:p w14:paraId="2F0C2558" w14:textId="77777777" w:rsidR="00335F22" w:rsidRPr="00335F22" w:rsidRDefault="00335F22" w:rsidP="00335F22">
      <w:pPr>
        <w:numPr>
          <w:ilvl w:val="0"/>
          <w:numId w:val="18"/>
        </w:numPr>
        <w:rPr>
          <w:rFonts w:ascii="Arial" w:hAnsi="Arial" w:cs="Arial"/>
          <w:lang w:val="en-GB"/>
        </w:rPr>
      </w:pPr>
      <w:r w:rsidRPr="00335F22">
        <w:rPr>
          <w:rFonts w:ascii="Arial" w:hAnsi="Arial" w:cs="Arial"/>
          <w:lang w:val="en-GB"/>
        </w:rPr>
        <w:t>High emotional presence</w:t>
      </w:r>
    </w:p>
    <w:p w14:paraId="00016F46" w14:textId="77777777" w:rsidR="00335F22" w:rsidRPr="00335F22" w:rsidRDefault="00335F22" w:rsidP="00335F22">
      <w:pPr>
        <w:numPr>
          <w:ilvl w:val="0"/>
          <w:numId w:val="18"/>
        </w:numPr>
        <w:rPr>
          <w:rFonts w:ascii="Arial" w:hAnsi="Arial" w:cs="Arial"/>
          <w:lang w:val="en-GB"/>
        </w:rPr>
      </w:pPr>
      <w:r w:rsidRPr="00335F22">
        <w:rPr>
          <w:rFonts w:ascii="Arial" w:hAnsi="Arial" w:cs="Arial"/>
          <w:lang w:val="en-GB"/>
        </w:rPr>
        <w:t>Consistent, repeatable wellbeing sessions</w:t>
      </w:r>
    </w:p>
    <w:p w14:paraId="52167CC9" w14:textId="77777777" w:rsidR="00335F22" w:rsidRPr="00335F22" w:rsidRDefault="00335F22" w:rsidP="00335F22">
      <w:pPr>
        <w:numPr>
          <w:ilvl w:val="0"/>
          <w:numId w:val="18"/>
        </w:numPr>
        <w:rPr>
          <w:rFonts w:ascii="Arial" w:hAnsi="Arial" w:cs="Arial"/>
          <w:lang w:val="en-GB"/>
        </w:rPr>
      </w:pPr>
      <w:r w:rsidRPr="00335F22">
        <w:rPr>
          <w:rFonts w:ascii="Arial" w:hAnsi="Arial" w:cs="Arial"/>
          <w:lang w:val="en-GB"/>
        </w:rPr>
        <w:t>Feasibility for group and individual programmes</w:t>
      </w:r>
    </w:p>
    <w:p w14:paraId="56ACA86C" w14:textId="77777777" w:rsidR="00335F22" w:rsidRDefault="00335F22" w:rsidP="00335F22">
      <w:pPr>
        <w:rPr>
          <w:rFonts w:ascii="Arial" w:hAnsi="Arial" w:cs="Arial"/>
          <w:lang w:val="en-GB"/>
        </w:rPr>
      </w:pPr>
    </w:p>
    <w:p w14:paraId="6EDB2847" w14:textId="3C605514" w:rsidR="00335F22" w:rsidRPr="00335F22" w:rsidRDefault="00335F22" w:rsidP="00335F22">
      <w:pPr>
        <w:rPr>
          <w:rFonts w:ascii="Arial" w:hAnsi="Arial" w:cs="Arial"/>
          <w:lang w:val="en-GB"/>
        </w:rPr>
      </w:pPr>
      <w:r w:rsidRPr="00335F22">
        <w:rPr>
          <w:rFonts w:ascii="Arial" w:hAnsi="Arial" w:cs="Arial"/>
          <w:b/>
          <w:bCs/>
          <w:lang w:val="en-GB"/>
        </w:rPr>
        <w:t>Limitations and Risks</w:t>
      </w:r>
    </w:p>
    <w:p w14:paraId="68A513F1" w14:textId="77777777" w:rsidR="00335F22" w:rsidRPr="00335F22" w:rsidRDefault="00335F22" w:rsidP="00335F22">
      <w:pPr>
        <w:rPr>
          <w:rFonts w:ascii="Arial" w:hAnsi="Arial" w:cs="Arial"/>
          <w:lang w:val="en-GB"/>
        </w:rPr>
      </w:pPr>
      <w:r w:rsidRPr="00335F22">
        <w:rPr>
          <w:rFonts w:ascii="Arial" w:hAnsi="Arial" w:cs="Arial"/>
          <w:lang w:val="en-GB"/>
        </w:rPr>
        <w:t>Despite its potential, several challenges must be acknowledged:</w:t>
      </w:r>
    </w:p>
    <w:p w14:paraId="1FFAF0F9" w14:textId="77777777" w:rsidR="00335F22" w:rsidRPr="00335F22" w:rsidRDefault="00335F22" w:rsidP="00335F22">
      <w:pPr>
        <w:numPr>
          <w:ilvl w:val="0"/>
          <w:numId w:val="19"/>
        </w:numPr>
        <w:rPr>
          <w:rFonts w:ascii="Arial" w:hAnsi="Arial" w:cs="Arial"/>
          <w:lang w:val="en-GB"/>
        </w:rPr>
      </w:pPr>
      <w:r w:rsidRPr="00335F22">
        <w:rPr>
          <w:rFonts w:ascii="Arial" w:hAnsi="Arial" w:cs="Arial"/>
          <w:b/>
          <w:bCs/>
          <w:lang w:val="en-GB"/>
        </w:rPr>
        <w:t>Equity concerns</w:t>
      </w:r>
      <w:r w:rsidRPr="00335F22">
        <w:rPr>
          <w:rFonts w:ascii="Arial" w:hAnsi="Arial" w:cs="Arial"/>
          <w:lang w:val="en-GB"/>
        </w:rPr>
        <w:t>: VR access remains limited in low-income communities (Rahman and Walker, 2024)</w:t>
      </w:r>
    </w:p>
    <w:p w14:paraId="78FB53ED" w14:textId="77777777" w:rsidR="00335F22" w:rsidRPr="00335F22" w:rsidRDefault="00335F22" w:rsidP="00335F22">
      <w:pPr>
        <w:numPr>
          <w:ilvl w:val="0"/>
          <w:numId w:val="19"/>
        </w:numPr>
        <w:rPr>
          <w:rFonts w:ascii="Arial" w:hAnsi="Arial" w:cs="Arial"/>
          <w:lang w:val="en-GB"/>
        </w:rPr>
      </w:pPr>
      <w:r w:rsidRPr="00335F22">
        <w:rPr>
          <w:rFonts w:ascii="Arial" w:hAnsi="Arial" w:cs="Arial"/>
          <w:b/>
          <w:bCs/>
          <w:lang w:val="en-GB"/>
        </w:rPr>
        <w:t>Cybersickness</w:t>
      </w:r>
      <w:r w:rsidRPr="00335F22">
        <w:rPr>
          <w:rFonts w:ascii="Arial" w:hAnsi="Arial" w:cs="Arial"/>
          <w:lang w:val="en-GB"/>
        </w:rPr>
        <w:t xml:space="preserve"> risk for some users</w:t>
      </w:r>
    </w:p>
    <w:p w14:paraId="5CCF9246" w14:textId="77777777" w:rsidR="00335F22" w:rsidRPr="00335F22" w:rsidRDefault="00335F22" w:rsidP="00335F22">
      <w:pPr>
        <w:numPr>
          <w:ilvl w:val="0"/>
          <w:numId w:val="19"/>
        </w:numPr>
        <w:rPr>
          <w:rFonts w:ascii="Arial" w:hAnsi="Arial" w:cs="Arial"/>
          <w:lang w:val="en-GB"/>
        </w:rPr>
      </w:pPr>
      <w:r w:rsidRPr="00335F22">
        <w:rPr>
          <w:rFonts w:ascii="Arial" w:hAnsi="Arial" w:cs="Arial"/>
          <w:b/>
          <w:bCs/>
          <w:lang w:val="en-GB"/>
        </w:rPr>
        <w:t>Privacy and data ethics</w:t>
      </w:r>
      <w:r w:rsidRPr="00335F22">
        <w:rPr>
          <w:rFonts w:ascii="Arial" w:hAnsi="Arial" w:cs="Arial"/>
          <w:lang w:val="en-GB"/>
        </w:rPr>
        <w:t xml:space="preserve"> related to sensory and movement data</w:t>
      </w:r>
    </w:p>
    <w:p w14:paraId="222B65EB" w14:textId="77777777" w:rsidR="00335F22" w:rsidRPr="00335F22" w:rsidRDefault="00335F22" w:rsidP="00335F22">
      <w:pPr>
        <w:numPr>
          <w:ilvl w:val="0"/>
          <w:numId w:val="19"/>
        </w:numPr>
        <w:rPr>
          <w:rFonts w:ascii="Arial" w:hAnsi="Arial" w:cs="Arial"/>
          <w:lang w:val="en-GB"/>
        </w:rPr>
      </w:pPr>
      <w:r w:rsidRPr="00335F22">
        <w:rPr>
          <w:rFonts w:ascii="Arial" w:hAnsi="Arial" w:cs="Arial"/>
          <w:b/>
          <w:bCs/>
          <w:lang w:val="en-GB"/>
        </w:rPr>
        <w:t>Over-reliance on self-guided tools</w:t>
      </w:r>
      <w:r w:rsidRPr="00335F22">
        <w:rPr>
          <w:rFonts w:ascii="Arial" w:hAnsi="Arial" w:cs="Arial"/>
          <w:lang w:val="en-GB"/>
        </w:rPr>
        <w:t xml:space="preserve"> without professional oversight</w:t>
      </w:r>
    </w:p>
    <w:p w14:paraId="75F19DB8" w14:textId="77777777" w:rsidR="00335F22" w:rsidRPr="00335F22" w:rsidRDefault="00335F22" w:rsidP="00335F22">
      <w:pPr>
        <w:rPr>
          <w:rFonts w:ascii="Arial" w:hAnsi="Arial" w:cs="Arial"/>
          <w:lang w:val="en-GB"/>
        </w:rPr>
      </w:pPr>
      <w:r w:rsidRPr="00335F22">
        <w:rPr>
          <w:rFonts w:ascii="Arial" w:hAnsi="Arial" w:cs="Arial"/>
          <w:lang w:val="en-GB"/>
        </w:rPr>
        <w:t>Ethical concerns are particularly important, as VR devices increasingly collect biometric-adjacent data (Jackson and Doyle, 2022).</w:t>
      </w:r>
    </w:p>
    <w:p w14:paraId="36CD006E" w14:textId="77777777" w:rsidR="00335F22" w:rsidRDefault="00335F22" w:rsidP="00335F22">
      <w:pPr>
        <w:rPr>
          <w:rFonts w:ascii="Arial" w:hAnsi="Arial" w:cs="Arial"/>
          <w:lang w:val="en-GB"/>
        </w:rPr>
      </w:pPr>
    </w:p>
    <w:p w14:paraId="195E7699" w14:textId="0F046616" w:rsidR="00335F22" w:rsidRPr="00335F22" w:rsidRDefault="00335F22" w:rsidP="00335F22">
      <w:pPr>
        <w:rPr>
          <w:rFonts w:ascii="Arial" w:hAnsi="Arial" w:cs="Arial"/>
          <w:sz w:val="26"/>
          <w:szCs w:val="26"/>
          <w:lang w:val="en-GB"/>
        </w:rPr>
      </w:pPr>
      <w:r w:rsidRPr="00335F22">
        <w:rPr>
          <w:rFonts w:ascii="Arial" w:hAnsi="Arial" w:cs="Arial"/>
          <w:b/>
          <w:bCs/>
          <w:sz w:val="26"/>
          <w:szCs w:val="26"/>
          <w:lang w:val="en-GB"/>
        </w:rPr>
        <w:t>Addressing Limitations for Safe and Equitable Use</w:t>
      </w:r>
    </w:p>
    <w:p w14:paraId="57F883C7" w14:textId="77777777" w:rsidR="00335F22" w:rsidRPr="00335F22" w:rsidRDefault="00335F22" w:rsidP="00335F22">
      <w:pPr>
        <w:rPr>
          <w:rFonts w:ascii="Arial" w:hAnsi="Arial" w:cs="Arial"/>
          <w:lang w:val="en-GB"/>
        </w:rPr>
      </w:pPr>
      <w:r w:rsidRPr="00335F22">
        <w:rPr>
          <w:rFonts w:ascii="Arial" w:hAnsi="Arial" w:cs="Arial"/>
          <w:lang w:val="en-GB"/>
        </w:rPr>
        <w:t>To ensure responsible public health deployment, the following strategies are essential:</w:t>
      </w:r>
    </w:p>
    <w:p w14:paraId="73E44BF8" w14:textId="3071BF1E" w:rsidR="00335F22" w:rsidRPr="00335F22" w:rsidRDefault="00335F22" w:rsidP="00335F22">
      <w:pPr>
        <w:rPr>
          <w:rFonts w:ascii="Arial" w:hAnsi="Arial" w:cs="Arial"/>
          <w:b/>
          <w:bCs/>
          <w:lang w:val="en-GB"/>
        </w:rPr>
      </w:pPr>
      <w:r w:rsidRPr="00335F22">
        <w:rPr>
          <w:rFonts w:ascii="Arial" w:hAnsi="Arial" w:cs="Arial"/>
          <w:b/>
          <w:bCs/>
          <w:lang w:val="en-GB"/>
        </w:rPr>
        <w:t>1. Accessibility Solutions</w:t>
      </w:r>
    </w:p>
    <w:p w14:paraId="184371C4" w14:textId="77777777" w:rsidR="00335F22" w:rsidRPr="00335F22" w:rsidRDefault="00335F22" w:rsidP="00335F22">
      <w:pPr>
        <w:numPr>
          <w:ilvl w:val="0"/>
          <w:numId w:val="20"/>
        </w:numPr>
        <w:rPr>
          <w:rFonts w:ascii="Arial" w:hAnsi="Arial" w:cs="Arial"/>
          <w:lang w:val="en-GB"/>
        </w:rPr>
      </w:pPr>
      <w:r w:rsidRPr="00335F22">
        <w:rPr>
          <w:rFonts w:ascii="Arial" w:hAnsi="Arial" w:cs="Arial"/>
          <w:lang w:val="en-GB"/>
        </w:rPr>
        <w:t>Low-cost smartphone VR integration</w:t>
      </w:r>
    </w:p>
    <w:p w14:paraId="6E702BAA" w14:textId="77777777" w:rsidR="00335F22" w:rsidRPr="00335F22" w:rsidRDefault="00335F22" w:rsidP="00335F22">
      <w:pPr>
        <w:numPr>
          <w:ilvl w:val="0"/>
          <w:numId w:val="20"/>
        </w:numPr>
        <w:rPr>
          <w:rFonts w:ascii="Arial" w:hAnsi="Arial" w:cs="Arial"/>
          <w:lang w:val="en-GB"/>
        </w:rPr>
      </w:pPr>
      <w:r w:rsidRPr="00335F22">
        <w:rPr>
          <w:rFonts w:ascii="Arial" w:hAnsi="Arial" w:cs="Arial"/>
          <w:lang w:val="en-GB"/>
        </w:rPr>
        <w:t>Partnerships with councils, universities, and libraries for VR equipment lending</w:t>
      </w:r>
    </w:p>
    <w:p w14:paraId="60481330" w14:textId="77777777" w:rsidR="00335F22" w:rsidRPr="00335F22" w:rsidRDefault="00335F22" w:rsidP="00335F22">
      <w:pPr>
        <w:numPr>
          <w:ilvl w:val="0"/>
          <w:numId w:val="20"/>
        </w:numPr>
        <w:rPr>
          <w:rFonts w:ascii="Arial" w:hAnsi="Arial" w:cs="Arial"/>
          <w:lang w:val="en-GB"/>
        </w:rPr>
      </w:pPr>
      <w:r w:rsidRPr="00335F22">
        <w:rPr>
          <w:rFonts w:ascii="Arial" w:hAnsi="Arial" w:cs="Arial"/>
          <w:lang w:val="en-GB"/>
        </w:rPr>
        <w:t>Guided sessions for users with low digital literacy</w:t>
      </w:r>
    </w:p>
    <w:p w14:paraId="48151126" w14:textId="07D81356" w:rsidR="00335F22" w:rsidRPr="00335F22" w:rsidRDefault="00335F22" w:rsidP="00335F22">
      <w:pPr>
        <w:rPr>
          <w:rFonts w:ascii="Arial" w:hAnsi="Arial" w:cs="Arial"/>
          <w:b/>
          <w:bCs/>
          <w:lang w:val="en-GB"/>
        </w:rPr>
      </w:pPr>
      <w:r w:rsidRPr="00335F22">
        <w:rPr>
          <w:rFonts w:ascii="Arial" w:hAnsi="Arial" w:cs="Arial"/>
          <w:b/>
          <w:bCs/>
          <w:lang w:val="en-GB"/>
        </w:rPr>
        <w:t>2. Ethical Safeguards</w:t>
      </w:r>
    </w:p>
    <w:p w14:paraId="6B3FAA2E" w14:textId="77777777" w:rsidR="00335F22" w:rsidRPr="00335F22" w:rsidRDefault="00335F22" w:rsidP="00335F22">
      <w:pPr>
        <w:numPr>
          <w:ilvl w:val="0"/>
          <w:numId w:val="21"/>
        </w:numPr>
        <w:rPr>
          <w:rFonts w:ascii="Arial" w:hAnsi="Arial" w:cs="Arial"/>
          <w:lang w:val="en-GB"/>
        </w:rPr>
      </w:pPr>
      <w:r w:rsidRPr="00335F22">
        <w:rPr>
          <w:rFonts w:ascii="Arial" w:hAnsi="Arial" w:cs="Arial"/>
          <w:lang w:val="en-GB"/>
        </w:rPr>
        <w:t>Minimal, consent-based data collection</w:t>
      </w:r>
    </w:p>
    <w:p w14:paraId="04709C94" w14:textId="77777777" w:rsidR="00335F22" w:rsidRPr="00335F22" w:rsidRDefault="00335F22" w:rsidP="00335F22">
      <w:pPr>
        <w:numPr>
          <w:ilvl w:val="0"/>
          <w:numId w:val="21"/>
        </w:numPr>
        <w:rPr>
          <w:rFonts w:ascii="Arial" w:hAnsi="Arial" w:cs="Arial"/>
          <w:lang w:val="en-GB"/>
        </w:rPr>
      </w:pPr>
      <w:r w:rsidRPr="00335F22">
        <w:rPr>
          <w:rFonts w:ascii="Arial" w:hAnsi="Arial" w:cs="Arial"/>
          <w:lang w:val="en-GB"/>
        </w:rPr>
        <w:lastRenderedPageBreak/>
        <w:t>Strong anonymisation techniques</w:t>
      </w:r>
    </w:p>
    <w:p w14:paraId="6F338299" w14:textId="77777777" w:rsidR="00335F22" w:rsidRPr="00335F22" w:rsidRDefault="00335F22" w:rsidP="00335F22">
      <w:pPr>
        <w:numPr>
          <w:ilvl w:val="0"/>
          <w:numId w:val="21"/>
        </w:numPr>
        <w:rPr>
          <w:rFonts w:ascii="Arial" w:hAnsi="Arial" w:cs="Arial"/>
          <w:lang w:val="en-GB"/>
        </w:rPr>
      </w:pPr>
      <w:r w:rsidRPr="00335F22">
        <w:rPr>
          <w:rFonts w:ascii="Arial" w:hAnsi="Arial" w:cs="Arial"/>
          <w:lang w:val="en-GB"/>
        </w:rPr>
        <w:t>Transparent privacy communication</w:t>
      </w:r>
    </w:p>
    <w:p w14:paraId="26262790" w14:textId="1B548E4B" w:rsidR="00335F22" w:rsidRPr="00335F22" w:rsidRDefault="00335F22" w:rsidP="00335F22">
      <w:pPr>
        <w:rPr>
          <w:rFonts w:ascii="Arial" w:hAnsi="Arial" w:cs="Arial"/>
          <w:b/>
          <w:bCs/>
          <w:lang w:val="en-GB"/>
        </w:rPr>
      </w:pPr>
      <w:r w:rsidRPr="00335F22">
        <w:rPr>
          <w:rFonts w:ascii="Arial" w:hAnsi="Arial" w:cs="Arial"/>
          <w:b/>
          <w:bCs/>
          <w:lang w:val="en-GB"/>
        </w:rPr>
        <w:t>3. Hybrid Wellbeing Models</w:t>
      </w:r>
    </w:p>
    <w:p w14:paraId="20C87C15" w14:textId="77777777" w:rsidR="00335F22" w:rsidRPr="00335F22" w:rsidRDefault="00335F22" w:rsidP="00335F22">
      <w:pPr>
        <w:numPr>
          <w:ilvl w:val="0"/>
          <w:numId w:val="22"/>
        </w:numPr>
        <w:rPr>
          <w:rFonts w:ascii="Arial" w:hAnsi="Arial" w:cs="Arial"/>
          <w:lang w:val="en-GB"/>
        </w:rPr>
      </w:pPr>
      <w:r w:rsidRPr="00335F22">
        <w:rPr>
          <w:rFonts w:ascii="Arial" w:hAnsi="Arial" w:cs="Arial"/>
          <w:lang w:val="en-GB"/>
        </w:rPr>
        <w:t>VR complemented with group workshops or support staff</w:t>
      </w:r>
    </w:p>
    <w:p w14:paraId="464CF105" w14:textId="77777777" w:rsidR="00335F22" w:rsidRPr="00335F22" w:rsidRDefault="00335F22" w:rsidP="00335F22">
      <w:pPr>
        <w:numPr>
          <w:ilvl w:val="0"/>
          <w:numId w:val="22"/>
        </w:numPr>
        <w:rPr>
          <w:rFonts w:ascii="Arial" w:hAnsi="Arial" w:cs="Arial"/>
          <w:lang w:val="en-GB"/>
        </w:rPr>
      </w:pPr>
      <w:r w:rsidRPr="00335F22">
        <w:rPr>
          <w:rFonts w:ascii="Arial" w:hAnsi="Arial" w:cs="Arial"/>
          <w:lang w:val="en-GB"/>
        </w:rPr>
        <w:t>Follow-up wellbeing check-ins to prevent over-dependence</w:t>
      </w:r>
    </w:p>
    <w:p w14:paraId="10C719EC" w14:textId="58578EFA" w:rsidR="00335F22" w:rsidRPr="00335F22" w:rsidRDefault="00335F22" w:rsidP="00335F22">
      <w:pPr>
        <w:rPr>
          <w:rFonts w:ascii="Arial" w:hAnsi="Arial" w:cs="Arial"/>
          <w:b/>
          <w:bCs/>
          <w:lang w:val="en-GB"/>
        </w:rPr>
      </w:pPr>
      <w:r w:rsidRPr="00335F22">
        <w:rPr>
          <w:rFonts w:ascii="Arial" w:hAnsi="Arial" w:cs="Arial"/>
          <w:b/>
          <w:bCs/>
          <w:lang w:val="en-GB"/>
        </w:rPr>
        <w:t>4. Inclusive Evaluation</w:t>
      </w:r>
    </w:p>
    <w:p w14:paraId="413A22B0" w14:textId="77777777" w:rsidR="00335F22" w:rsidRPr="00335F22" w:rsidRDefault="00335F22" w:rsidP="00335F22">
      <w:pPr>
        <w:numPr>
          <w:ilvl w:val="0"/>
          <w:numId w:val="23"/>
        </w:numPr>
        <w:rPr>
          <w:rFonts w:ascii="Arial" w:hAnsi="Arial" w:cs="Arial"/>
          <w:lang w:val="en-GB"/>
        </w:rPr>
      </w:pPr>
      <w:r w:rsidRPr="00335F22">
        <w:rPr>
          <w:rFonts w:ascii="Arial" w:hAnsi="Arial" w:cs="Arial"/>
          <w:lang w:val="en-GB"/>
        </w:rPr>
        <w:t>Field testing in diverse socioeconomic communities</w:t>
      </w:r>
    </w:p>
    <w:p w14:paraId="6E519D5D" w14:textId="77777777" w:rsidR="00335F22" w:rsidRPr="00335F22" w:rsidRDefault="00335F22" w:rsidP="00335F22">
      <w:pPr>
        <w:numPr>
          <w:ilvl w:val="0"/>
          <w:numId w:val="23"/>
        </w:numPr>
        <w:rPr>
          <w:rFonts w:ascii="Arial" w:hAnsi="Arial" w:cs="Arial"/>
          <w:lang w:val="en-GB"/>
        </w:rPr>
      </w:pPr>
      <w:r w:rsidRPr="00335F22">
        <w:rPr>
          <w:rFonts w:ascii="Arial" w:hAnsi="Arial" w:cs="Arial"/>
          <w:lang w:val="en-GB"/>
        </w:rPr>
        <w:t>Long-term monitoring of wellbeing outcomes</w:t>
      </w:r>
    </w:p>
    <w:p w14:paraId="5989EC68" w14:textId="77777777" w:rsidR="00335F22" w:rsidRDefault="00335F22" w:rsidP="00335F22">
      <w:pPr>
        <w:rPr>
          <w:rFonts w:ascii="Arial" w:hAnsi="Arial" w:cs="Arial"/>
          <w:lang w:val="en-GB"/>
        </w:rPr>
      </w:pPr>
    </w:p>
    <w:p w14:paraId="75A97146" w14:textId="5CE1B281" w:rsidR="00335F22" w:rsidRPr="00335F22" w:rsidRDefault="00335F22" w:rsidP="00335F22">
      <w:pPr>
        <w:rPr>
          <w:rFonts w:ascii="Arial" w:hAnsi="Arial" w:cs="Arial"/>
          <w:sz w:val="26"/>
          <w:szCs w:val="26"/>
          <w:lang w:val="en-GB"/>
        </w:rPr>
      </w:pPr>
      <w:r w:rsidRPr="00335F22">
        <w:rPr>
          <w:rFonts w:ascii="Arial" w:hAnsi="Arial" w:cs="Arial"/>
          <w:b/>
          <w:bCs/>
          <w:sz w:val="26"/>
          <w:szCs w:val="26"/>
          <w:lang w:val="en-GB"/>
        </w:rPr>
        <w:t>Conclusion</w:t>
      </w:r>
    </w:p>
    <w:p w14:paraId="006B7030" w14:textId="77777777" w:rsidR="00335F22" w:rsidRPr="00335F22" w:rsidRDefault="00335F22" w:rsidP="00335F22">
      <w:pPr>
        <w:rPr>
          <w:rFonts w:ascii="Arial" w:hAnsi="Arial" w:cs="Arial"/>
          <w:lang w:val="en-GB"/>
        </w:rPr>
      </w:pPr>
      <w:r w:rsidRPr="00335F22">
        <w:rPr>
          <w:rFonts w:ascii="Arial" w:hAnsi="Arial" w:cs="Arial"/>
          <w:lang w:val="en-GB"/>
        </w:rPr>
        <w:t xml:space="preserve">MindBalanceVR demonstrates how </w:t>
      </w:r>
      <w:r w:rsidRPr="00335F22">
        <w:rPr>
          <w:rFonts w:ascii="Arial" w:hAnsi="Arial" w:cs="Arial"/>
          <w:b/>
          <w:bCs/>
          <w:lang w:val="en-GB"/>
        </w:rPr>
        <w:t>innovative VR tools can transform mental health promotion</w:t>
      </w:r>
      <w:r w:rsidRPr="00335F22">
        <w:rPr>
          <w:rFonts w:ascii="Arial" w:hAnsi="Arial" w:cs="Arial"/>
          <w:lang w:val="en-GB"/>
        </w:rPr>
        <w:t xml:space="preserve"> by offering immersive, engaging, and accessible wellbeing experiences. When supported by ethical data governance and inclusive implementation, VR technologies like this have the potential to reduce stress, strengthen resilience, and expand the reach of digital public health interventions.</w:t>
      </w:r>
    </w:p>
    <w:p w14:paraId="5AB98BCF" w14:textId="77777777" w:rsidR="00335F22" w:rsidRDefault="00335F22" w:rsidP="00335F22">
      <w:pPr>
        <w:rPr>
          <w:rFonts w:ascii="Arial" w:hAnsi="Arial" w:cs="Arial"/>
          <w:lang w:val="en-GB"/>
        </w:rPr>
      </w:pPr>
    </w:p>
    <w:p w14:paraId="1969BC69" w14:textId="073926F4" w:rsidR="00335F22" w:rsidRPr="00335F22" w:rsidRDefault="00335F22" w:rsidP="00335F22">
      <w:pPr>
        <w:rPr>
          <w:rFonts w:ascii="Arial" w:hAnsi="Arial" w:cs="Arial"/>
          <w:sz w:val="26"/>
          <w:szCs w:val="26"/>
          <w:lang w:val="en-GB"/>
        </w:rPr>
      </w:pPr>
      <w:r w:rsidRPr="00335F22">
        <w:rPr>
          <w:rFonts w:ascii="Arial" w:hAnsi="Arial" w:cs="Arial"/>
          <w:b/>
          <w:bCs/>
          <w:sz w:val="26"/>
          <w:szCs w:val="26"/>
          <w:lang w:val="en-GB"/>
        </w:rPr>
        <w:t xml:space="preserve">References </w:t>
      </w:r>
    </w:p>
    <w:p w14:paraId="086DC879" w14:textId="77777777" w:rsidR="00335F22" w:rsidRPr="00335F22" w:rsidRDefault="00335F22" w:rsidP="00335F22">
      <w:pPr>
        <w:rPr>
          <w:rFonts w:ascii="Arial" w:hAnsi="Arial" w:cs="Arial"/>
          <w:lang w:val="en-GB"/>
        </w:rPr>
      </w:pPr>
      <w:r w:rsidRPr="00335F22">
        <w:rPr>
          <w:rFonts w:ascii="Arial" w:hAnsi="Arial" w:cs="Arial"/>
          <w:lang w:val="en-GB"/>
        </w:rPr>
        <w:t xml:space="preserve">Bandura, A. (2020) </w:t>
      </w:r>
      <w:r w:rsidRPr="00335F22">
        <w:rPr>
          <w:rFonts w:ascii="Arial" w:hAnsi="Arial" w:cs="Arial"/>
          <w:i/>
          <w:iCs/>
          <w:lang w:val="en-GB"/>
        </w:rPr>
        <w:t>Social Cognitive Theory: An Agentic Perspective</w:t>
      </w:r>
      <w:r w:rsidRPr="00335F22">
        <w:rPr>
          <w:rFonts w:ascii="Arial" w:hAnsi="Arial" w:cs="Arial"/>
          <w:lang w:val="en-GB"/>
        </w:rPr>
        <w:t>. New York: Routledge.</w:t>
      </w:r>
    </w:p>
    <w:p w14:paraId="76B08E40" w14:textId="77777777" w:rsidR="00335F22" w:rsidRPr="00335F22" w:rsidRDefault="00335F22" w:rsidP="00335F22">
      <w:pPr>
        <w:rPr>
          <w:rFonts w:ascii="Arial" w:hAnsi="Arial" w:cs="Arial"/>
          <w:lang w:val="en-GB"/>
        </w:rPr>
      </w:pPr>
      <w:r w:rsidRPr="00335F22">
        <w:rPr>
          <w:rFonts w:ascii="Arial" w:hAnsi="Arial" w:cs="Arial"/>
          <w:lang w:val="en-GB"/>
        </w:rPr>
        <w:t xml:space="preserve">Bouchard, S., Robillard, G. and Renaud, P. (2021) ‘Exploring new dimensions of immersive relaxation: Virtual reality for stress reduction’, </w:t>
      </w:r>
      <w:r w:rsidRPr="00335F22">
        <w:rPr>
          <w:rFonts w:ascii="Arial" w:hAnsi="Arial" w:cs="Arial"/>
          <w:i/>
          <w:iCs/>
          <w:lang w:val="en-GB"/>
        </w:rPr>
        <w:t>Journal of CyberTherapy and Rehabilitation</w:t>
      </w:r>
      <w:r w:rsidRPr="00335F22">
        <w:rPr>
          <w:rFonts w:ascii="Arial" w:hAnsi="Arial" w:cs="Arial"/>
          <w:lang w:val="en-GB"/>
        </w:rPr>
        <w:t>, 14(2), pp. 87–101.</w:t>
      </w:r>
    </w:p>
    <w:p w14:paraId="6E4E2FF6" w14:textId="77777777" w:rsidR="00335F22" w:rsidRPr="00335F22" w:rsidRDefault="00335F22" w:rsidP="00335F22">
      <w:pPr>
        <w:rPr>
          <w:rFonts w:ascii="Arial" w:hAnsi="Arial" w:cs="Arial"/>
          <w:lang w:val="en-GB"/>
        </w:rPr>
      </w:pPr>
      <w:r w:rsidRPr="00335F22">
        <w:rPr>
          <w:rFonts w:ascii="Arial" w:hAnsi="Arial" w:cs="Arial"/>
          <w:lang w:val="en-GB"/>
        </w:rPr>
        <w:t xml:space="preserve">Chou, Y., Lee, W. and Turner, S. (2023) ‘Engagement patterns among young adults using VR for wellbeing: A mixed-methods study’, </w:t>
      </w:r>
      <w:r w:rsidRPr="00335F22">
        <w:rPr>
          <w:rFonts w:ascii="Arial" w:hAnsi="Arial" w:cs="Arial"/>
          <w:i/>
          <w:iCs/>
          <w:lang w:val="en-GB"/>
        </w:rPr>
        <w:t>Digital Health Research</w:t>
      </w:r>
      <w:r w:rsidRPr="00335F22">
        <w:rPr>
          <w:rFonts w:ascii="Arial" w:hAnsi="Arial" w:cs="Arial"/>
          <w:lang w:val="en-GB"/>
        </w:rPr>
        <w:t>, 9(3), pp. 150–167.</w:t>
      </w:r>
    </w:p>
    <w:p w14:paraId="4892D898" w14:textId="77777777" w:rsidR="00335F22" w:rsidRPr="00335F22" w:rsidRDefault="00335F22" w:rsidP="00335F22">
      <w:pPr>
        <w:rPr>
          <w:rFonts w:ascii="Arial" w:hAnsi="Arial" w:cs="Arial"/>
          <w:lang w:val="en-GB"/>
        </w:rPr>
      </w:pPr>
      <w:r w:rsidRPr="00335F22">
        <w:rPr>
          <w:rFonts w:ascii="Arial" w:hAnsi="Arial" w:cs="Arial"/>
          <w:lang w:val="en-GB"/>
        </w:rPr>
        <w:t xml:space="preserve">Garrett, A. and Morgan, M. (2022) ‘Virtual reality for community-based mental health promotion: A feasibility analysis’, </w:t>
      </w:r>
      <w:r w:rsidRPr="00335F22">
        <w:rPr>
          <w:rFonts w:ascii="Arial" w:hAnsi="Arial" w:cs="Arial"/>
          <w:i/>
          <w:iCs/>
          <w:lang w:val="en-GB"/>
        </w:rPr>
        <w:t>Public Health Innovations</w:t>
      </w:r>
      <w:r w:rsidRPr="00335F22">
        <w:rPr>
          <w:rFonts w:ascii="Arial" w:hAnsi="Arial" w:cs="Arial"/>
          <w:lang w:val="en-GB"/>
        </w:rPr>
        <w:t>, 4(1), pp. 33–44.</w:t>
      </w:r>
    </w:p>
    <w:p w14:paraId="448C0C2C" w14:textId="77777777" w:rsidR="00335F22" w:rsidRPr="00335F22" w:rsidRDefault="00335F22" w:rsidP="00335F22">
      <w:pPr>
        <w:rPr>
          <w:rFonts w:ascii="Arial" w:hAnsi="Arial" w:cs="Arial"/>
          <w:lang w:val="en-GB"/>
        </w:rPr>
      </w:pPr>
      <w:r w:rsidRPr="00335F22">
        <w:rPr>
          <w:rFonts w:ascii="Arial" w:hAnsi="Arial" w:cs="Arial"/>
          <w:lang w:val="en-GB"/>
        </w:rPr>
        <w:t xml:space="preserve">GBD Mental Health Collaborators (2023) ‘Global burden of mental disorders 1990–2021’, </w:t>
      </w:r>
      <w:r w:rsidRPr="00335F22">
        <w:rPr>
          <w:rFonts w:ascii="Arial" w:hAnsi="Arial" w:cs="Arial"/>
          <w:i/>
          <w:iCs/>
          <w:lang w:val="en-GB"/>
        </w:rPr>
        <w:t>The Lancet Psychiatry</w:t>
      </w:r>
      <w:r w:rsidRPr="00335F22">
        <w:rPr>
          <w:rFonts w:ascii="Arial" w:hAnsi="Arial" w:cs="Arial"/>
          <w:lang w:val="en-GB"/>
        </w:rPr>
        <w:t>, 10(5), pp. 386–401.</w:t>
      </w:r>
    </w:p>
    <w:p w14:paraId="4BBBBC5D" w14:textId="77777777" w:rsidR="00335F22" w:rsidRPr="00335F22" w:rsidRDefault="00335F22" w:rsidP="00335F22">
      <w:pPr>
        <w:rPr>
          <w:rFonts w:ascii="Arial" w:hAnsi="Arial" w:cs="Arial"/>
          <w:lang w:val="en-GB"/>
        </w:rPr>
      </w:pPr>
      <w:r w:rsidRPr="00335F22">
        <w:rPr>
          <w:rFonts w:ascii="Arial" w:hAnsi="Arial" w:cs="Arial"/>
          <w:lang w:val="en-GB"/>
        </w:rPr>
        <w:t xml:space="preserve">Henderson, R., Poole, J. and Adams, K. (2024) ‘Access gaps in mental health services: A post-pandemic public health analysis’, </w:t>
      </w:r>
      <w:r w:rsidRPr="00335F22">
        <w:rPr>
          <w:rFonts w:ascii="Arial" w:hAnsi="Arial" w:cs="Arial"/>
          <w:i/>
          <w:iCs/>
          <w:lang w:val="en-GB"/>
        </w:rPr>
        <w:t>International Journal of Mental Health Systems</w:t>
      </w:r>
      <w:r w:rsidRPr="00335F22">
        <w:rPr>
          <w:rFonts w:ascii="Arial" w:hAnsi="Arial" w:cs="Arial"/>
          <w:lang w:val="en-GB"/>
        </w:rPr>
        <w:t>, 18(12), pp. 1–14.</w:t>
      </w:r>
    </w:p>
    <w:p w14:paraId="7C362774" w14:textId="77777777" w:rsidR="00335F22" w:rsidRPr="00335F22" w:rsidRDefault="00335F22" w:rsidP="00335F22">
      <w:pPr>
        <w:rPr>
          <w:rFonts w:ascii="Arial" w:hAnsi="Arial" w:cs="Arial"/>
          <w:lang w:val="en-GB"/>
        </w:rPr>
      </w:pPr>
      <w:r w:rsidRPr="00335F22">
        <w:rPr>
          <w:rFonts w:ascii="Arial" w:hAnsi="Arial" w:cs="Arial"/>
          <w:lang w:val="en-GB"/>
        </w:rPr>
        <w:t xml:space="preserve">Jackson, L. and Doyle, F. (2022) ‘Ethics of biometric data in VR: Challenges for digital mental health’, </w:t>
      </w:r>
      <w:r w:rsidRPr="00335F22">
        <w:rPr>
          <w:rFonts w:ascii="Arial" w:hAnsi="Arial" w:cs="Arial"/>
          <w:i/>
          <w:iCs/>
          <w:lang w:val="en-GB"/>
        </w:rPr>
        <w:t>Digital Ethics Quarterly</w:t>
      </w:r>
      <w:r w:rsidRPr="00335F22">
        <w:rPr>
          <w:rFonts w:ascii="Arial" w:hAnsi="Arial" w:cs="Arial"/>
          <w:lang w:val="en-GB"/>
        </w:rPr>
        <w:t>, 5(4), pp. 210–226.</w:t>
      </w:r>
    </w:p>
    <w:p w14:paraId="44948E04" w14:textId="77777777" w:rsidR="00335F22" w:rsidRPr="00335F22" w:rsidRDefault="00335F22" w:rsidP="00335F22">
      <w:pPr>
        <w:rPr>
          <w:rFonts w:ascii="Arial" w:hAnsi="Arial" w:cs="Arial"/>
          <w:lang w:val="en-GB"/>
        </w:rPr>
      </w:pPr>
      <w:r w:rsidRPr="00335F22">
        <w:rPr>
          <w:rFonts w:ascii="Arial" w:hAnsi="Arial" w:cs="Arial"/>
          <w:lang w:val="en-GB"/>
        </w:rPr>
        <w:lastRenderedPageBreak/>
        <w:t xml:space="preserve">Liu, H., Park, M. and Costa, A. (2022) ‘Effectiveness of VR-based relaxation on stress reduction: A meta-analysis’, </w:t>
      </w:r>
      <w:r w:rsidRPr="00335F22">
        <w:rPr>
          <w:rFonts w:ascii="Arial" w:hAnsi="Arial" w:cs="Arial"/>
          <w:i/>
          <w:iCs/>
          <w:lang w:val="en-GB"/>
        </w:rPr>
        <w:t>Journal of Mental Health Technology</w:t>
      </w:r>
      <w:r w:rsidRPr="00335F22">
        <w:rPr>
          <w:rFonts w:ascii="Arial" w:hAnsi="Arial" w:cs="Arial"/>
          <w:lang w:val="en-GB"/>
        </w:rPr>
        <w:t>, 7(2), pp. 45–59.</w:t>
      </w:r>
    </w:p>
    <w:p w14:paraId="1219197B" w14:textId="77777777" w:rsidR="00335F22" w:rsidRPr="00335F22" w:rsidRDefault="00335F22" w:rsidP="00335F22">
      <w:pPr>
        <w:rPr>
          <w:rFonts w:ascii="Arial" w:hAnsi="Arial" w:cs="Arial"/>
          <w:lang w:val="en-GB"/>
        </w:rPr>
      </w:pPr>
      <w:r w:rsidRPr="00335F22">
        <w:rPr>
          <w:rFonts w:ascii="Arial" w:hAnsi="Arial" w:cs="Arial"/>
          <w:lang w:val="en-GB"/>
        </w:rPr>
        <w:t xml:space="preserve">Rahman, T. and Walker, S. (2024) ‘Digital inequality in VR-based healthcare solutions: Implications for global health equity’, </w:t>
      </w:r>
      <w:r w:rsidRPr="00335F22">
        <w:rPr>
          <w:rFonts w:ascii="Arial" w:hAnsi="Arial" w:cs="Arial"/>
          <w:i/>
          <w:iCs/>
          <w:lang w:val="en-GB"/>
        </w:rPr>
        <w:t>Health Technology and Society</w:t>
      </w:r>
      <w:r w:rsidRPr="00335F22">
        <w:rPr>
          <w:rFonts w:ascii="Arial" w:hAnsi="Arial" w:cs="Arial"/>
          <w:lang w:val="en-GB"/>
        </w:rPr>
        <w:t>, 12(1), pp. 72–90.</w:t>
      </w:r>
    </w:p>
    <w:p w14:paraId="67F337FB" w14:textId="77777777" w:rsidR="00335F22" w:rsidRPr="00335F22" w:rsidRDefault="00335F22" w:rsidP="00335F22">
      <w:pPr>
        <w:rPr>
          <w:rFonts w:ascii="Arial" w:hAnsi="Arial" w:cs="Arial"/>
          <w:lang w:val="en-GB"/>
        </w:rPr>
      </w:pPr>
      <w:r w:rsidRPr="00335F22">
        <w:rPr>
          <w:rFonts w:ascii="Arial" w:hAnsi="Arial" w:cs="Arial"/>
          <w:lang w:val="en-GB"/>
        </w:rPr>
        <w:t xml:space="preserve">Smith, K. and Green, A. (2023) ‘Trends in anxiety and adjustment disorders among young adults in the post-COVID era’, </w:t>
      </w:r>
      <w:r w:rsidRPr="00335F22">
        <w:rPr>
          <w:rFonts w:ascii="Arial" w:hAnsi="Arial" w:cs="Arial"/>
          <w:i/>
          <w:iCs/>
          <w:lang w:val="en-GB"/>
        </w:rPr>
        <w:t>Global Public Mental Health Journal</w:t>
      </w:r>
      <w:r w:rsidRPr="00335F22">
        <w:rPr>
          <w:rFonts w:ascii="Arial" w:hAnsi="Arial" w:cs="Arial"/>
          <w:lang w:val="en-GB"/>
        </w:rPr>
        <w:t>, 6(1), pp. 23–40.</w:t>
      </w:r>
    </w:p>
    <w:p w14:paraId="74F18F68" w14:textId="77777777" w:rsidR="00335F22" w:rsidRPr="00335F22" w:rsidRDefault="00335F22">
      <w:pPr>
        <w:rPr>
          <w:rFonts w:ascii="Arial" w:hAnsi="Arial" w:cs="Arial"/>
          <w:lang w:val="en-GB"/>
        </w:rPr>
      </w:pPr>
    </w:p>
    <w:sectPr w:rsidR="00335F22" w:rsidRPr="00335F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7439B"/>
    <w:multiLevelType w:val="multilevel"/>
    <w:tmpl w:val="94005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A5F07"/>
    <w:multiLevelType w:val="multilevel"/>
    <w:tmpl w:val="D27C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866E8"/>
    <w:multiLevelType w:val="multilevel"/>
    <w:tmpl w:val="4C6E9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36655"/>
    <w:multiLevelType w:val="multilevel"/>
    <w:tmpl w:val="0D586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2770B2"/>
    <w:multiLevelType w:val="multilevel"/>
    <w:tmpl w:val="53EC0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D01AAB"/>
    <w:multiLevelType w:val="multilevel"/>
    <w:tmpl w:val="77A45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109A7"/>
    <w:multiLevelType w:val="multilevel"/>
    <w:tmpl w:val="1DBAD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465E9"/>
    <w:multiLevelType w:val="multilevel"/>
    <w:tmpl w:val="C948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6517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A64E02"/>
    <w:multiLevelType w:val="multilevel"/>
    <w:tmpl w:val="B372D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931BC0"/>
    <w:multiLevelType w:val="multilevel"/>
    <w:tmpl w:val="9B9A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A2474A"/>
    <w:multiLevelType w:val="multilevel"/>
    <w:tmpl w:val="2CDC5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A80E48"/>
    <w:multiLevelType w:val="multilevel"/>
    <w:tmpl w:val="43A80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420017"/>
    <w:multiLevelType w:val="multilevel"/>
    <w:tmpl w:val="2C26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7C3F9C"/>
    <w:multiLevelType w:val="multilevel"/>
    <w:tmpl w:val="E6F28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170711"/>
    <w:multiLevelType w:val="multilevel"/>
    <w:tmpl w:val="7AFA5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5D4EFA"/>
    <w:multiLevelType w:val="multilevel"/>
    <w:tmpl w:val="46A6B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B02CD"/>
    <w:multiLevelType w:val="multilevel"/>
    <w:tmpl w:val="54C44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9031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1D5AD4"/>
    <w:multiLevelType w:val="multilevel"/>
    <w:tmpl w:val="878C6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5F4B91"/>
    <w:multiLevelType w:val="multilevel"/>
    <w:tmpl w:val="A0CEA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7359C1"/>
    <w:multiLevelType w:val="multilevel"/>
    <w:tmpl w:val="048A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6B12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7891970">
    <w:abstractNumId w:val="18"/>
  </w:num>
  <w:num w:numId="2" w16cid:durableId="696586767">
    <w:abstractNumId w:val="8"/>
  </w:num>
  <w:num w:numId="3" w16cid:durableId="722601793">
    <w:abstractNumId w:val="22"/>
  </w:num>
  <w:num w:numId="4" w16cid:durableId="425006422">
    <w:abstractNumId w:val="0"/>
  </w:num>
  <w:num w:numId="5" w16cid:durableId="668800626">
    <w:abstractNumId w:val="15"/>
  </w:num>
  <w:num w:numId="6" w16cid:durableId="722339023">
    <w:abstractNumId w:val="16"/>
  </w:num>
  <w:num w:numId="7" w16cid:durableId="1185242124">
    <w:abstractNumId w:val="10"/>
  </w:num>
  <w:num w:numId="8" w16cid:durableId="1713268005">
    <w:abstractNumId w:val="4"/>
  </w:num>
  <w:num w:numId="9" w16cid:durableId="332535728">
    <w:abstractNumId w:val="5"/>
  </w:num>
  <w:num w:numId="10" w16cid:durableId="1691105214">
    <w:abstractNumId w:val="20"/>
  </w:num>
  <w:num w:numId="11" w16cid:durableId="750856867">
    <w:abstractNumId w:val="11"/>
  </w:num>
  <w:num w:numId="12" w16cid:durableId="195852096">
    <w:abstractNumId w:val="17"/>
  </w:num>
  <w:num w:numId="13" w16cid:durableId="1309019920">
    <w:abstractNumId w:val="13"/>
  </w:num>
  <w:num w:numId="14" w16cid:durableId="2078745175">
    <w:abstractNumId w:val="2"/>
  </w:num>
  <w:num w:numId="15" w16cid:durableId="1148668615">
    <w:abstractNumId w:val="7"/>
  </w:num>
  <w:num w:numId="16" w16cid:durableId="783428525">
    <w:abstractNumId w:val="19"/>
  </w:num>
  <w:num w:numId="17" w16cid:durableId="1137911113">
    <w:abstractNumId w:val="14"/>
  </w:num>
  <w:num w:numId="18" w16cid:durableId="488326638">
    <w:abstractNumId w:val="3"/>
  </w:num>
  <w:num w:numId="19" w16cid:durableId="641080712">
    <w:abstractNumId w:val="21"/>
  </w:num>
  <w:num w:numId="20" w16cid:durableId="1392079439">
    <w:abstractNumId w:val="12"/>
  </w:num>
  <w:num w:numId="21" w16cid:durableId="1371414323">
    <w:abstractNumId w:val="1"/>
  </w:num>
  <w:num w:numId="22" w16cid:durableId="578559114">
    <w:abstractNumId w:val="9"/>
  </w:num>
  <w:num w:numId="23" w16cid:durableId="10689196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C91"/>
    <w:rsid w:val="000A487B"/>
    <w:rsid w:val="001964D2"/>
    <w:rsid w:val="0027659C"/>
    <w:rsid w:val="00335F22"/>
    <w:rsid w:val="00444140"/>
    <w:rsid w:val="00454C91"/>
    <w:rsid w:val="00901B7B"/>
    <w:rsid w:val="00B23F68"/>
    <w:rsid w:val="00C53B4F"/>
    <w:rsid w:val="00C60C78"/>
    <w:rsid w:val="00E84607"/>
    <w:rsid w:val="00F045F9"/>
    <w:rsid w:val="00FF4D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EA0CD"/>
  <w15:chartTrackingRefBased/>
  <w15:docId w15:val="{C17C854F-DB01-1D47-BB88-CFE626608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C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54C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54C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54C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4C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4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C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4C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4C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4C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4C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4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C91"/>
    <w:rPr>
      <w:rFonts w:eastAsiaTheme="majorEastAsia" w:cstheme="majorBidi"/>
      <w:color w:val="272727" w:themeColor="text1" w:themeTint="D8"/>
    </w:rPr>
  </w:style>
  <w:style w:type="paragraph" w:styleId="Title">
    <w:name w:val="Title"/>
    <w:basedOn w:val="Normal"/>
    <w:next w:val="Normal"/>
    <w:link w:val="TitleChar"/>
    <w:uiPriority w:val="10"/>
    <w:qFormat/>
    <w:rsid w:val="00454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C91"/>
    <w:pPr>
      <w:spacing w:before="160"/>
      <w:jc w:val="center"/>
    </w:pPr>
    <w:rPr>
      <w:i/>
      <w:iCs/>
      <w:color w:val="404040" w:themeColor="text1" w:themeTint="BF"/>
    </w:rPr>
  </w:style>
  <w:style w:type="character" w:customStyle="1" w:styleId="QuoteChar">
    <w:name w:val="Quote Char"/>
    <w:basedOn w:val="DefaultParagraphFont"/>
    <w:link w:val="Quote"/>
    <w:uiPriority w:val="29"/>
    <w:rsid w:val="00454C91"/>
    <w:rPr>
      <w:i/>
      <w:iCs/>
      <w:color w:val="404040" w:themeColor="text1" w:themeTint="BF"/>
    </w:rPr>
  </w:style>
  <w:style w:type="paragraph" w:styleId="ListParagraph">
    <w:name w:val="List Paragraph"/>
    <w:basedOn w:val="Normal"/>
    <w:uiPriority w:val="34"/>
    <w:qFormat/>
    <w:rsid w:val="00454C91"/>
    <w:pPr>
      <w:ind w:left="720"/>
      <w:contextualSpacing/>
    </w:pPr>
  </w:style>
  <w:style w:type="character" w:styleId="IntenseEmphasis">
    <w:name w:val="Intense Emphasis"/>
    <w:basedOn w:val="DefaultParagraphFont"/>
    <w:uiPriority w:val="21"/>
    <w:qFormat/>
    <w:rsid w:val="00454C91"/>
    <w:rPr>
      <w:i/>
      <w:iCs/>
      <w:color w:val="2F5496" w:themeColor="accent1" w:themeShade="BF"/>
    </w:rPr>
  </w:style>
  <w:style w:type="paragraph" w:styleId="IntenseQuote">
    <w:name w:val="Intense Quote"/>
    <w:basedOn w:val="Normal"/>
    <w:next w:val="Normal"/>
    <w:link w:val="IntenseQuoteChar"/>
    <w:uiPriority w:val="30"/>
    <w:qFormat/>
    <w:rsid w:val="00454C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4C91"/>
    <w:rPr>
      <w:i/>
      <w:iCs/>
      <w:color w:val="2F5496" w:themeColor="accent1" w:themeShade="BF"/>
    </w:rPr>
  </w:style>
  <w:style w:type="character" w:styleId="IntenseReference">
    <w:name w:val="Intense Reference"/>
    <w:basedOn w:val="DefaultParagraphFont"/>
    <w:uiPriority w:val="32"/>
    <w:qFormat/>
    <w:rsid w:val="00454C91"/>
    <w:rPr>
      <w:b/>
      <w:bCs/>
      <w:smallCaps/>
      <w:color w:val="2F5496" w:themeColor="accent1" w:themeShade="BF"/>
      <w:spacing w:val="5"/>
    </w:rPr>
  </w:style>
  <w:style w:type="paragraph" w:customStyle="1" w:styleId="p1">
    <w:name w:val="p1"/>
    <w:basedOn w:val="Normal"/>
    <w:rsid w:val="00454C9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54C91"/>
  </w:style>
  <w:style w:type="paragraph" w:customStyle="1" w:styleId="p2">
    <w:name w:val="p2"/>
    <w:basedOn w:val="Normal"/>
    <w:rsid w:val="00454C9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54C91"/>
  </w:style>
  <w:style w:type="paragraph" w:customStyle="1" w:styleId="p3">
    <w:name w:val="p3"/>
    <w:basedOn w:val="Normal"/>
    <w:rsid w:val="00454C9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454C91"/>
  </w:style>
  <w:style w:type="character" w:customStyle="1" w:styleId="s4">
    <w:name w:val="s4"/>
    <w:basedOn w:val="DefaultParagraphFont"/>
    <w:rsid w:val="00454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Global Trends in Anxiety &amp; Depression (2010–2024)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Depression</c:v>
                </c:pt>
              </c:strCache>
            </c:strRef>
          </c:tx>
          <c:spPr>
            <a:ln w="28575" cap="rnd">
              <a:solidFill>
                <a:srgbClr val="00B050"/>
              </a:solidFill>
              <a:round/>
            </a:ln>
            <a:effectLst/>
          </c:spPr>
          <c:marker>
            <c:symbol val="none"/>
          </c:marker>
          <c:cat>
            <c:numRef>
              <c:f>Sheet1!$A$2:$A$6</c:f>
              <c:numCache>
                <c:formatCode>General</c:formatCode>
                <c:ptCount val="5"/>
                <c:pt idx="0">
                  <c:v>2010</c:v>
                </c:pt>
                <c:pt idx="1">
                  <c:v>2015</c:v>
                </c:pt>
                <c:pt idx="2">
                  <c:v>2020</c:v>
                </c:pt>
                <c:pt idx="3">
                  <c:v>2022</c:v>
                </c:pt>
                <c:pt idx="4">
                  <c:v>2024</c:v>
                </c:pt>
              </c:numCache>
            </c:numRef>
          </c:cat>
          <c:val>
            <c:numRef>
              <c:f>Sheet1!$B$2:$B$6</c:f>
              <c:numCache>
                <c:formatCode>General</c:formatCode>
                <c:ptCount val="5"/>
                <c:pt idx="0">
                  <c:v>4</c:v>
                </c:pt>
                <c:pt idx="1">
                  <c:v>4.2</c:v>
                </c:pt>
                <c:pt idx="2">
                  <c:v>4.5999999999999996</c:v>
                </c:pt>
                <c:pt idx="3">
                  <c:v>5.0999999999999996</c:v>
                </c:pt>
                <c:pt idx="4">
                  <c:v>5.3</c:v>
                </c:pt>
              </c:numCache>
            </c:numRef>
          </c:val>
          <c:smooth val="0"/>
          <c:extLst>
            <c:ext xmlns:c16="http://schemas.microsoft.com/office/drawing/2014/chart" uri="{C3380CC4-5D6E-409C-BE32-E72D297353CC}">
              <c16:uniqueId val="{00000000-75F5-4A83-9295-C47A55080FEA}"/>
            </c:ext>
          </c:extLst>
        </c:ser>
        <c:ser>
          <c:idx val="1"/>
          <c:order val="1"/>
          <c:tx>
            <c:strRef>
              <c:f>Sheet1!$C$1</c:f>
              <c:strCache>
                <c:ptCount val="1"/>
                <c:pt idx="0">
                  <c:v>Anxiety</c:v>
                </c:pt>
              </c:strCache>
            </c:strRef>
          </c:tx>
          <c:spPr>
            <a:ln w="28575" cap="rnd">
              <a:solidFill>
                <a:schemeClr val="tx2">
                  <a:lumMod val="75000"/>
                </a:schemeClr>
              </a:solidFill>
              <a:round/>
            </a:ln>
            <a:effectLst/>
          </c:spPr>
          <c:marker>
            <c:symbol val="none"/>
          </c:marker>
          <c:cat>
            <c:numRef>
              <c:f>Sheet1!$A$2:$A$6</c:f>
              <c:numCache>
                <c:formatCode>General</c:formatCode>
                <c:ptCount val="5"/>
                <c:pt idx="0">
                  <c:v>2010</c:v>
                </c:pt>
                <c:pt idx="1">
                  <c:v>2015</c:v>
                </c:pt>
                <c:pt idx="2">
                  <c:v>2020</c:v>
                </c:pt>
                <c:pt idx="3">
                  <c:v>2022</c:v>
                </c:pt>
                <c:pt idx="4">
                  <c:v>2024</c:v>
                </c:pt>
              </c:numCache>
            </c:numRef>
          </c:cat>
          <c:val>
            <c:numRef>
              <c:f>Sheet1!$C$2:$C$6</c:f>
              <c:numCache>
                <c:formatCode>General</c:formatCode>
                <c:ptCount val="5"/>
                <c:pt idx="0">
                  <c:v>3.5</c:v>
                </c:pt>
                <c:pt idx="1">
                  <c:v>3.8</c:v>
                </c:pt>
                <c:pt idx="2">
                  <c:v>4.0999999999999996</c:v>
                </c:pt>
                <c:pt idx="3">
                  <c:v>4.5</c:v>
                </c:pt>
                <c:pt idx="4">
                  <c:v>4.7</c:v>
                </c:pt>
              </c:numCache>
            </c:numRef>
          </c:val>
          <c:smooth val="0"/>
          <c:extLst>
            <c:ext xmlns:c16="http://schemas.microsoft.com/office/drawing/2014/chart" uri="{C3380CC4-5D6E-409C-BE32-E72D297353CC}">
              <c16:uniqueId val="{00000001-75F5-4A83-9295-C47A55080FEA}"/>
            </c:ext>
          </c:extLst>
        </c:ser>
        <c:dLbls>
          <c:showLegendKey val="0"/>
          <c:showVal val="0"/>
          <c:showCatName val="0"/>
          <c:showSerName val="0"/>
          <c:showPercent val="0"/>
          <c:showBubbleSize val="0"/>
        </c:dLbls>
        <c:smooth val="0"/>
        <c:axId val="883939759"/>
        <c:axId val="883944079"/>
      </c:lineChart>
      <c:catAx>
        <c:axId val="883939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44079"/>
        <c:crosses val="autoZero"/>
        <c:auto val="1"/>
        <c:lblAlgn val="ctr"/>
        <c:lblOffset val="100"/>
        <c:noMultiLvlLbl val="0"/>
      </c:catAx>
      <c:valAx>
        <c:axId val="883944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397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Stress Reduction Before and After MindBalanceVR Session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Stress Score</c:v>
                </c:pt>
              </c:strCache>
            </c:strRef>
          </c:tx>
          <c:spPr>
            <a:solidFill>
              <a:schemeClr val="accent1"/>
            </a:solidFill>
            <a:ln>
              <a:noFill/>
            </a:ln>
            <a:effectLst/>
          </c:spPr>
          <c:invertIfNegative val="0"/>
          <c:cat>
            <c:strRef>
              <c:f>Sheet1!$A$2:$A$3</c:f>
              <c:strCache>
                <c:ptCount val="2"/>
                <c:pt idx="0">
                  <c:v>Before VR</c:v>
                </c:pt>
                <c:pt idx="1">
                  <c:v>After VR</c:v>
                </c:pt>
              </c:strCache>
            </c:strRef>
          </c:cat>
          <c:val>
            <c:numRef>
              <c:f>Sheet1!$B$2:$B$3</c:f>
              <c:numCache>
                <c:formatCode>General</c:formatCode>
                <c:ptCount val="2"/>
                <c:pt idx="0">
                  <c:v>7</c:v>
                </c:pt>
                <c:pt idx="1">
                  <c:v>4</c:v>
                </c:pt>
              </c:numCache>
            </c:numRef>
          </c:val>
          <c:extLst>
            <c:ext xmlns:c16="http://schemas.microsoft.com/office/drawing/2014/chart" uri="{C3380CC4-5D6E-409C-BE32-E72D297353CC}">
              <c16:uniqueId val="{00000000-14CA-4358-971C-FA4A0962A898}"/>
            </c:ext>
          </c:extLst>
        </c:ser>
        <c:dLbls>
          <c:showLegendKey val="0"/>
          <c:showVal val="0"/>
          <c:showCatName val="0"/>
          <c:showSerName val="0"/>
          <c:showPercent val="0"/>
          <c:showBubbleSize val="0"/>
        </c:dLbls>
        <c:gapWidth val="182"/>
        <c:axId val="883953679"/>
        <c:axId val="883953199"/>
      </c:barChart>
      <c:catAx>
        <c:axId val="8839536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53199"/>
        <c:crosses val="autoZero"/>
        <c:auto val="1"/>
        <c:lblAlgn val="ctr"/>
        <c:lblOffset val="100"/>
        <c:noMultiLvlLbl val="0"/>
      </c:catAx>
      <c:valAx>
        <c:axId val="8839531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53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9</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jhanvi chaudhary</dc:creator>
  <cp:keywords/>
  <dc:description/>
  <cp:lastModifiedBy>Vishal Kishor Hirani (2431583)</cp:lastModifiedBy>
  <cp:revision>15</cp:revision>
  <dcterms:created xsi:type="dcterms:W3CDTF">2025-10-31T09:15:00Z</dcterms:created>
  <dcterms:modified xsi:type="dcterms:W3CDTF">2025-11-21T12:10:00Z</dcterms:modified>
</cp:coreProperties>
</file>