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1D5E" w:rsidRPr="00672ED2" w:rsidRDefault="005F43F6">
      <w:r>
        <w:rPr>
          <w:noProof/>
        </w:rPr>
        <w:drawing>
          <wp:anchor distT="0" distB="0" distL="114300" distR="114300" simplePos="0" relativeHeight="251658240" behindDoc="0" locked="0" layoutInCell="1" allowOverlap="1" wp14:anchorId="1B3DD1C7">
            <wp:simplePos x="0" y="0"/>
            <wp:positionH relativeFrom="column">
              <wp:posOffset>-927100</wp:posOffset>
            </wp:positionH>
            <wp:positionV relativeFrom="paragraph">
              <wp:posOffset>7937</wp:posOffset>
            </wp:positionV>
            <wp:extent cx="7105650" cy="8906331"/>
            <wp:effectExtent l="0" t="0" r="0"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105650" cy="8906331"/>
                    </a:xfrm>
                    <a:prstGeom prst="rect">
                      <a:avLst/>
                    </a:prstGeom>
                  </pic:spPr>
                </pic:pic>
              </a:graphicData>
            </a:graphic>
            <wp14:sizeRelH relativeFrom="margin">
              <wp14:pctWidth>0</wp14:pctWidth>
            </wp14:sizeRelH>
            <wp14:sizeRelV relativeFrom="margin">
              <wp14:pctHeight>0</wp14:pctHeight>
            </wp14:sizeRelV>
          </wp:anchor>
        </w:drawing>
      </w:r>
    </w:p>
    <w:p w:rsidR="009B0CDC" w:rsidRPr="00672ED2" w:rsidRDefault="009B0CDC">
      <w:pPr>
        <w:rPr>
          <w:rFonts w:asciiTheme="majorHAnsi" w:eastAsiaTheme="majorEastAsia" w:hAnsiTheme="majorHAnsi" w:cstheme="majorBidi"/>
          <w:b/>
          <w:bCs/>
          <w:color w:val="365F91" w:themeColor="accent1" w:themeShade="BF"/>
          <w:sz w:val="28"/>
          <w:szCs w:val="28"/>
        </w:rPr>
        <w:sectPr w:rsidR="009B0CDC" w:rsidRPr="00672ED2" w:rsidSect="004C616F">
          <w:pgSz w:w="11906" w:h="16838"/>
          <w:pgMar w:top="1560" w:right="1133" w:bottom="1440" w:left="1843" w:header="708" w:footer="708" w:gutter="0"/>
          <w:cols w:space="708"/>
          <w:docGrid w:linePitch="360"/>
        </w:sectPr>
      </w:pPr>
    </w:p>
    <w:p w:rsidR="0055336F" w:rsidRDefault="0055336F">
      <w:pPr>
        <w:rPr>
          <w:rFonts w:asciiTheme="majorHAnsi" w:eastAsiaTheme="majorEastAsia" w:hAnsiTheme="majorHAnsi" w:cstheme="majorBidi"/>
          <w:b/>
          <w:bCs/>
          <w:color w:val="365F91" w:themeColor="accent1" w:themeShade="BF"/>
          <w:sz w:val="28"/>
          <w:szCs w:val="28"/>
        </w:rPr>
        <w:sectPr w:rsidR="0055336F" w:rsidSect="004C616F">
          <w:type w:val="continuous"/>
          <w:pgSz w:w="11906" w:h="16838"/>
          <w:pgMar w:top="1560" w:right="1133" w:bottom="1440" w:left="1843" w:header="708" w:footer="708" w:gutter="0"/>
          <w:cols w:space="708"/>
          <w:docGrid w:linePitch="360"/>
        </w:sectPr>
      </w:pPr>
    </w:p>
    <w:p w:rsidR="00850060" w:rsidRDefault="00850060" w:rsidP="00850060">
      <w:pPr>
        <w:pStyle w:val="Heading1"/>
        <w:rPr>
          <w:lang w:val="en-AU"/>
        </w:rPr>
      </w:pPr>
      <w:bookmarkStart w:id="0" w:name="_Toc507677435"/>
      <w:r>
        <w:rPr>
          <w:lang w:val="en-AU"/>
        </w:rPr>
        <w:lastRenderedPageBreak/>
        <w:t>Executive Summary</w:t>
      </w:r>
      <w:bookmarkEnd w:id="0"/>
    </w:p>
    <w:p w:rsidR="00850060" w:rsidRPr="000A4026" w:rsidRDefault="00850060" w:rsidP="00D32B73">
      <w:r w:rsidRPr="000A4026">
        <w:t xml:space="preserve">With </w:t>
      </w:r>
      <w:r w:rsidR="00417763">
        <w:t>UAE aspiring to be an</w:t>
      </w:r>
      <w:r w:rsidRPr="000A4026">
        <w:t xml:space="preserve"> international financial </w:t>
      </w:r>
      <w:r w:rsidR="00D32B73" w:rsidRPr="000A4026">
        <w:t>centre</w:t>
      </w:r>
      <w:r w:rsidR="00417763">
        <w:t>,</w:t>
      </w:r>
      <w:r w:rsidRPr="000A4026">
        <w:t xml:space="preserve"> with a large number of market players in the financial industry, attracting and retaining the right talent and the management of human capital is an imperative for the financial services sector. This report will investigate how </w:t>
      </w:r>
      <w:r w:rsidR="00417763">
        <w:t>Unibank</w:t>
      </w:r>
      <w:r w:rsidRPr="000A4026">
        <w:t xml:space="preserve"> in </w:t>
      </w:r>
      <w:r w:rsidR="00417763">
        <w:t>UAE</w:t>
      </w:r>
      <w:r w:rsidRPr="000A4026">
        <w:t xml:space="preserve"> </w:t>
      </w:r>
      <w:r w:rsidR="00417763">
        <w:t xml:space="preserve">should </w:t>
      </w:r>
      <w:r w:rsidRPr="000A4026">
        <w:t>tackle this item.</w:t>
      </w:r>
    </w:p>
    <w:p w:rsidR="00850060" w:rsidRDefault="00777598" w:rsidP="00850060">
      <w:r>
        <w:t>The rapid formation of the call centre function in Unibank, many facets of human resource management have not been well planned out. This introduced a number of issues including: Job design, staff selection, recruitment, development, compensation and performance management. All of these are interlinking facet of a system of management that includes attracting external resources to join the organisation or extracting maximum value from existing staffs through improving the efficiency and output.</w:t>
      </w:r>
    </w:p>
    <w:p w:rsidR="00777598" w:rsidRDefault="00777598" w:rsidP="00850060">
      <w:r>
        <w:t xml:space="preserve">In Unibank, all of these areas are generally lacking which introduces all of the complaints </w:t>
      </w:r>
      <w:r w:rsidR="00C845FA">
        <w:t>from staff and management in relation to staff morale and difficulties in extracting output from staffs. This report has introduced recommendations including the implementation of a 9-Box model to categorise existing and potential staffs, which will also aid and can be used in job design, selection and recruitment. Furthermore, performance management is also based around the 9-Box categorisation, which is inside an integrated framework that will contribute to the designs of remuneration and compensation.</w:t>
      </w:r>
    </w:p>
    <w:p w:rsidR="00C845FA" w:rsidRPr="00850060" w:rsidRDefault="00C845FA" w:rsidP="00850060">
      <w:r>
        <w:t>Finally, an alternate option has also been recommended to resolve some of the named challenges, outsourcing, as it stands, have both pros and cons attached. Some of these traits have also been analysed and discussed during this alternative recommendation.</w:t>
      </w:r>
    </w:p>
    <w:p w:rsidR="00850060" w:rsidRDefault="00850060">
      <w:pPr>
        <w:rPr>
          <w:lang w:val="en-AU" w:eastAsia="zh-TW" w:bidi="ar-SA"/>
        </w:rPr>
      </w:pPr>
      <w:r>
        <w:rPr>
          <w:b/>
          <w:bCs/>
          <w:lang w:val="en-AU" w:eastAsia="zh-TW" w:bidi="ar-SA"/>
        </w:rPr>
        <w:br w:type="page"/>
      </w:r>
      <w:bookmarkStart w:id="1" w:name="_GoBack"/>
      <w:bookmarkEnd w:id="1"/>
    </w:p>
    <w:sdt>
      <w:sdtPr>
        <w:rPr>
          <w:rFonts w:asciiTheme="minorHAnsi" w:eastAsiaTheme="minorEastAsia" w:hAnsiTheme="minorHAnsi" w:cstheme="minorBidi"/>
          <w:b w:val="0"/>
          <w:bCs w:val="0"/>
          <w:color w:val="auto"/>
          <w:sz w:val="22"/>
          <w:szCs w:val="22"/>
          <w:lang w:val="en-AU" w:eastAsia="zh-TW" w:bidi="ar-SA"/>
        </w:rPr>
        <w:id w:val="4018104"/>
        <w:docPartObj>
          <w:docPartGallery w:val="Table of Contents"/>
          <w:docPartUnique/>
        </w:docPartObj>
      </w:sdtPr>
      <w:sdtEndPr>
        <w:rPr>
          <w:rFonts w:ascii="Arial" w:hAnsi="Arial"/>
          <w:lang w:val="en-HK" w:eastAsia="en-US" w:bidi="en-US"/>
        </w:rPr>
      </w:sdtEndPr>
      <w:sdtContent>
        <w:p w:rsidR="0055336F" w:rsidRDefault="0055336F">
          <w:pPr>
            <w:pStyle w:val="TOCHeading"/>
          </w:pPr>
          <w:r>
            <w:t>Table of Contents</w:t>
          </w:r>
        </w:p>
        <w:p w:rsidR="00CD1A5E" w:rsidRDefault="00F719FF">
          <w:pPr>
            <w:pStyle w:val="TOC1"/>
            <w:tabs>
              <w:tab w:val="right" w:leader="dot" w:pos="9346"/>
            </w:tabs>
            <w:rPr>
              <w:rFonts w:asciiTheme="minorHAnsi" w:hAnsiTheme="minorHAnsi"/>
              <w:noProof/>
              <w:lang w:eastAsia="zh-HK" w:bidi="ar-SA"/>
            </w:rPr>
          </w:pPr>
          <w:r>
            <w:fldChar w:fldCharType="begin"/>
          </w:r>
          <w:r w:rsidR="0055336F">
            <w:instrText xml:space="preserve"> TOC \o "1-3" \h \z \u </w:instrText>
          </w:r>
          <w:r>
            <w:fldChar w:fldCharType="separate"/>
          </w:r>
          <w:hyperlink w:anchor="_Toc507677435" w:history="1">
            <w:r w:rsidR="00CD1A5E" w:rsidRPr="005B6FC0">
              <w:rPr>
                <w:rStyle w:val="Hyperlink"/>
                <w:noProof/>
                <w:lang w:val="en-AU"/>
              </w:rPr>
              <w:t>Executive Summary</w:t>
            </w:r>
            <w:r w:rsidR="00CD1A5E">
              <w:rPr>
                <w:noProof/>
                <w:webHidden/>
              </w:rPr>
              <w:tab/>
            </w:r>
            <w:r w:rsidR="00CD1A5E">
              <w:rPr>
                <w:noProof/>
                <w:webHidden/>
              </w:rPr>
              <w:fldChar w:fldCharType="begin"/>
            </w:r>
            <w:r w:rsidR="00CD1A5E">
              <w:rPr>
                <w:noProof/>
                <w:webHidden/>
              </w:rPr>
              <w:instrText xml:space="preserve"> PAGEREF _Toc507677435 \h </w:instrText>
            </w:r>
            <w:r w:rsidR="00CD1A5E">
              <w:rPr>
                <w:noProof/>
                <w:webHidden/>
              </w:rPr>
            </w:r>
            <w:r w:rsidR="00CD1A5E">
              <w:rPr>
                <w:noProof/>
                <w:webHidden/>
              </w:rPr>
              <w:fldChar w:fldCharType="separate"/>
            </w:r>
            <w:r w:rsidR="00CD1A5E">
              <w:rPr>
                <w:noProof/>
                <w:webHidden/>
              </w:rPr>
              <w:t>2</w:t>
            </w:r>
            <w:r w:rsidR="00CD1A5E">
              <w:rPr>
                <w:noProof/>
                <w:webHidden/>
              </w:rPr>
              <w:fldChar w:fldCharType="end"/>
            </w:r>
          </w:hyperlink>
        </w:p>
        <w:p w:rsidR="00CD1A5E" w:rsidRDefault="00777598">
          <w:pPr>
            <w:pStyle w:val="TOC1"/>
            <w:tabs>
              <w:tab w:val="right" w:leader="dot" w:pos="9346"/>
            </w:tabs>
            <w:rPr>
              <w:rFonts w:asciiTheme="minorHAnsi" w:hAnsiTheme="minorHAnsi"/>
              <w:noProof/>
              <w:lang w:eastAsia="zh-HK" w:bidi="ar-SA"/>
            </w:rPr>
          </w:pPr>
          <w:hyperlink w:anchor="_Toc507677436" w:history="1">
            <w:r w:rsidR="00CD1A5E" w:rsidRPr="005B6FC0">
              <w:rPr>
                <w:rStyle w:val="Hyperlink"/>
                <w:noProof/>
                <w:lang w:val="en-AU"/>
              </w:rPr>
              <w:t>Introduction</w:t>
            </w:r>
            <w:r w:rsidR="00CD1A5E">
              <w:rPr>
                <w:noProof/>
                <w:webHidden/>
              </w:rPr>
              <w:tab/>
            </w:r>
            <w:r w:rsidR="00CD1A5E">
              <w:rPr>
                <w:noProof/>
                <w:webHidden/>
              </w:rPr>
              <w:fldChar w:fldCharType="begin"/>
            </w:r>
            <w:r w:rsidR="00CD1A5E">
              <w:rPr>
                <w:noProof/>
                <w:webHidden/>
              </w:rPr>
              <w:instrText xml:space="preserve"> PAGEREF _Toc507677436 \h </w:instrText>
            </w:r>
            <w:r w:rsidR="00CD1A5E">
              <w:rPr>
                <w:noProof/>
                <w:webHidden/>
              </w:rPr>
            </w:r>
            <w:r w:rsidR="00CD1A5E">
              <w:rPr>
                <w:noProof/>
                <w:webHidden/>
              </w:rPr>
              <w:fldChar w:fldCharType="separate"/>
            </w:r>
            <w:r w:rsidR="00CD1A5E">
              <w:rPr>
                <w:noProof/>
                <w:webHidden/>
              </w:rPr>
              <w:t>4</w:t>
            </w:r>
            <w:r w:rsidR="00CD1A5E">
              <w:rPr>
                <w:noProof/>
                <w:webHidden/>
              </w:rPr>
              <w:fldChar w:fldCharType="end"/>
            </w:r>
          </w:hyperlink>
        </w:p>
        <w:p w:rsidR="00CD1A5E" w:rsidRDefault="00777598">
          <w:pPr>
            <w:pStyle w:val="TOC1"/>
            <w:tabs>
              <w:tab w:val="right" w:leader="dot" w:pos="9346"/>
            </w:tabs>
            <w:rPr>
              <w:rFonts w:asciiTheme="minorHAnsi" w:hAnsiTheme="minorHAnsi"/>
              <w:noProof/>
              <w:lang w:eastAsia="zh-HK" w:bidi="ar-SA"/>
            </w:rPr>
          </w:pPr>
          <w:hyperlink w:anchor="_Toc507677437" w:history="1">
            <w:r w:rsidR="00CD1A5E" w:rsidRPr="005B6FC0">
              <w:rPr>
                <w:rStyle w:val="Hyperlink"/>
                <w:noProof/>
                <w:lang w:val="en-AU"/>
              </w:rPr>
              <w:t>Issue Analysis</w:t>
            </w:r>
            <w:r w:rsidR="00CD1A5E">
              <w:rPr>
                <w:noProof/>
                <w:webHidden/>
              </w:rPr>
              <w:tab/>
            </w:r>
            <w:r w:rsidR="00CD1A5E">
              <w:rPr>
                <w:noProof/>
                <w:webHidden/>
              </w:rPr>
              <w:fldChar w:fldCharType="begin"/>
            </w:r>
            <w:r w:rsidR="00CD1A5E">
              <w:rPr>
                <w:noProof/>
                <w:webHidden/>
              </w:rPr>
              <w:instrText xml:space="preserve"> PAGEREF _Toc507677437 \h </w:instrText>
            </w:r>
            <w:r w:rsidR="00CD1A5E">
              <w:rPr>
                <w:noProof/>
                <w:webHidden/>
              </w:rPr>
            </w:r>
            <w:r w:rsidR="00CD1A5E">
              <w:rPr>
                <w:noProof/>
                <w:webHidden/>
              </w:rPr>
              <w:fldChar w:fldCharType="separate"/>
            </w:r>
            <w:r w:rsidR="00CD1A5E">
              <w:rPr>
                <w:noProof/>
                <w:webHidden/>
              </w:rPr>
              <w:t>5</w:t>
            </w:r>
            <w:r w:rsidR="00CD1A5E">
              <w:rPr>
                <w:noProof/>
                <w:webHidden/>
              </w:rPr>
              <w:fldChar w:fldCharType="end"/>
            </w:r>
          </w:hyperlink>
        </w:p>
        <w:p w:rsidR="00CD1A5E" w:rsidRDefault="00777598">
          <w:pPr>
            <w:pStyle w:val="TOC2"/>
            <w:tabs>
              <w:tab w:val="right" w:leader="dot" w:pos="9346"/>
            </w:tabs>
            <w:rPr>
              <w:rFonts w:asciiTheme="minorHAnsi" w:hAnsiTheme="minorHAnsi"/>
              <w:noProof/>
              <w:lang w:eastAsia="zh-HK" w:bidi="ar-SA"/>
            </w:rPr>
          </w:pPr>
          <w:hyperlink w:anchor="_Toc507677438" w:history="1">
            <w:r w:rsidR="00CD1A5E" w:rsidRPr="005B6FC0">
              <w:rPr>
                <w:rStyle w:val="Hyperlink"/>
                <w:noProof/>
              </w:rPr>
              <w:t>Issue in Job Design.</w:t>
            </w:r>
            <w:r w:rsidR="00CD1A5E">
              <w:rPr>
                <w:noProof/>
                <w:webHidden/>
              </w:rPr>
              <w:tab/>
            </w:r>
            <w:r w:rsidR="00CD1A5E">
              <w:rPr>
                <w:noProof/>
                <w:webHidden/>
              </w:rPr>
              <w:fldChar w:fldCharType="begin"/>
            </w:r>
            <w:r w:rsidR="00CD1A5E">
              <w:rPr>
                <w:noProof/>
                <w:webHidden/>
              </w:rPr>
              <w:instrText xml:space="preserve"> PAGEREF _Toc507677438 \h </w:instrText>
            </w:r>
            <w:r w:rsidR="00CD1A5E">
              <w:rPr>
                <w:noProof/>
                <w:webHidden/>
              </w:rPr>
            </w:r>
            <w:r w:rsidR="00CD1A5E">
              <w:rPr>
                <w:noProof/>
                <w:webHidden/>
              </w:rPr>
              <w:fldChar w:fldCharType="separate"/>
            </w:r>
            <w:r w:rsidR="00CD1A5E">
              <w:rPr>
                <w:noProof/>
                <w:webHidden/>
              </w:rPr>
              <w:t>5</w:t>
            </w:r>
            <w:r w:rsidR="00CD1A5E">
              <w:rPr>
                <w:noProof/>
                <w:webHidden/>
              </w:rPr>
              <w:fldChar w:fldCharType="end"/>
            </w:r>
          </w:hyperlink>
        </w:p>
        <w:p w:rsidR="00CD1A5E" w:rsidRDefault="00777598">
          <w:pPr>
            <w:pStyle w:val="TOC2"/>
            <w:tabs>
              <w:tab w:val="right" w:leader="dot" w:pos="9346"/>
            </w:tabs>
            <w:rPr>
              <w:rFonts w:asciiTheme="minorHAnsi" w:hAnsiTheme="minorHAnsi"/>
              <w:noProof/>
              <w:lang w:eastAsia="zh-HK" w:bidi="ar-SA"/>
            </w:rPr>
          </w:pPr>
          <w:hyperlink w:anchor="_Toc507677439" w:history="1">
            <w:r w:rsidR="00CD1A5E" w:rsidRPr="005B6FC0">
              <w:rPr>
                <w:rStyle w:val="Hyperlink"/>
                <w:noProof/>
              </w:rPr>
              <w:t>Issues in Selection</w:t>
            </w:r>
            <w:r w:rsidR="00CD1A5E">
              <w:rPr>
                <w:noProof/>
                <w:webHidden/>
              </w:rPr>
              <w:tab/>
            </w:r>
            <w:r w:rsidR="00CD1A5E">
              <w:rPr>
                <w:noProof/>
                <w:webHidden/>
              </w:rPr>
              <w:fldChar w:fldCharType="begin"/>
            </w:r>
            <w:r w:rsidR="00CD1A5E">
              <w:rPr>
                <w:noProof/>
                <w:webHidden/>
              </w:rPr>
              <w:instrText xml:space="preserve"> PAGEREF _Toc507677439 \h </w:instrText>
            </w:r>
            <w:r w:rsidR="00CD1A5E">
              <w:rPr>
                <w:noProof/>
                <w:webHidden/>
              </w:rPr>
            </w:r>
            <w:r w:rsidR="00CD1A5E">
              <w:rPr>
                <w:noProof/>
                <w:webHidden/>
              </w:rPr>
              <w:fldChar w:fldCharType="separate"/>
            </w:r>
            <w:r w:rsidR="00CD1A5E">
              <w:rPr>
                <w:noProof/>
                <w:webHidden/>
              </w:rPr>
              <w:t>6</w:t>
            </w:r>
            <w:r w:rsidR="00CD1A5E">
              <w:rPr>
                <w:noProof/>
                <w:webHidden/>
              </w:rPr>
              <w:fldChar w:fldCharType="end"/>
            </w:r>
          </w:hyperlink>
        </w:p>
        <w:p w:rsidR="00CD1A5E" w:rsidRDefault="00777598">
          <w:pPr>
            <w:pStyle w:val="TOC2"/>
            <w:tabs>
              <w:tab w:val="right" w:leader="dot" w:pos="9346"/>
            </w:tabs>
            <w:rPr>
              <w:rFonts w:asciiTheme="minorHAnsi" w:hAnsiTheme="minorHAnsi"/>
              <w:noProof/>
              <w:lang w:eastAsia="zh-HK" w:bidi="ar-SA"/>
            </w:rPr>
          </w:pPr>
          <w:hyperlink w:anchor="_Toc507677440" w:history="1">
            <w:r w:rsidR="00CD1A5E" w:rsidRPr="005B6FC0">
              <w:rPr>
                <w:rStyle w:val="Hyperlink"/>
                <w:noProof/>
              </w:rPr>
              <w:t>Issues in Recruitment</w:t>
            </w:r>
            <w:r w:rsidR="00CD1A5E">
              <w:rPr>
                <w:noProof/>
                <w:webHidden/>
              </w:rPr>
              <w:tab/>
            </w:r>
            <w:r w:rsidR="00CD1A5E">
              <w:rPr>
                <w:noProof/>
                <w:webHidden/>
              </w:rPr>
              <w:fldChar w:fldCharType="begin"/>
            </w:r>
            <w:r w:rsidR="00CD1A5E">
              <w:rPr>
                <w:noProof/>
                <w:webHidden/>
              </w:rPr>
              <w:instrText xml:space="preserve"> PAGEREF _Toc507677440 \h </w:instrText>
            </w:r>
            <w:r w:rsidR="00CD1A5E">
              <w:rPr>
                <w:noProof/>
                <w:webHidden/>
              </w:rPr>
            </w:r>
            <w:r w:rsidR="00CD1A5E">
              <w:rPr>
                <w:noProof/>
                <w:webHidden/>
              </w:rPr>
              <w:fldChar w:fldCharType="separate"/>
            </w:r>
            <w:r w:rsidR="00CD1A5E">
              <w:rPr>
                <w:noProof/>
                <w:webHidden/>
              </w:rPr>
              <w:t>7</w:t>
            </w:r>
            <w:r w:rsidR="00CD1A5E">
              <w:rPr>
                <w:noProof/>
                <w:webHidden/>
              </w:rPr>
              <w:fldChar w:fldCharType="end"/>
            </w:r>
          </w:hyperlink>
        </w:p>
        <w:p w:rsidR="00CD1A5E" w:rsidRDefault="00777598">
          <w:pPr>
            <w:pStyle w:val="TOC2"/>
            <w:tabs>
              <w:tab w:val="right" w:leader="dot" w:pos="9346"/>
            </w:tabs>
            <w:rPr>
              <w:rFonts w:asciiTheme="minorHAnsi" w:hAnsiTheme="minorHAnsi"/>
              <w:noProof/>
              <w:lang w:eastAsia="zh-HK" w:bidi="ar-SA"/>
            </w:rPr>
          </w:pPr>
          <w:hyperlink w:anchor="_Toc507677441" w:history="1">
            <w:r w:rsidR="00CD1A5E" w:rsidRPr="005B6FC0">
              <w:rPr>
                <w:rStyle w:val="Hyperlink"/>
                <w:noProof/>
              </w:rPr>
              <w:t>Issues in Training and Development</w:t>
            </w:r>
            <w:r w:rsidR="00CD1A5E">
              <w:rPr>
                <w:noProof/>
                <w:webHidden/>
              </w:rPr>
              <w:tab/>
            </w:r>
            <w:r w:rsidR="00CD1A5E">
              <w:rPr>
                <w:noProof/>
                <w:webHidden/>
              </w:rPr>
              <w:fldChar w:fldCharType="begin"/>
            </w:r>
            <w:r w:rsidR="00CD1A5E">
              <w:rPr>
                <w:noProof/>
                <w:webHidden/>
              </w:rPr>
              <w:instrText xml:space="preserve"> PAGEREF _Toc507677441 \h </w:instrText>
            </w:r>
            <w:r w:rsidR="00CD1A5E">
              <w:rPr>
                <w:noProof/>
                <w:webHidden/>
              </w:rPr>
            </w:r>
            <w:r w:rsidR="00CD1A5E">
              <w:rPr>
                <w:noProof/>
                <w:webHidden/>
              </w:rPr>
              <w:fldChar w:fldCharType="separate"/>
            </w:r>
            <w:r w:rsidR="00CD1A5E">
              <w:rPr>
                <w:noProof/>
                <w:webHidden/>
              </w:rPr>
              <w:t>7</w:t>
            </w:r>
            <w:r w:rsidR="00CD1A5E">
              <w:rPr>
                <w:noProof/>
                <w:webHidden/>
              </w:rPr>
              <w:fldChar w:fldCharType="end"/>
            </w:r>
          </w:hyperlink>
        </w:p>
        <w:p w:rsidR="00CD1A5E" w:rsidRDefault="00777598">
          <w:pPr>
            <w:pStyle w:val="TOC2"/>
            <w:tabs>
              <w:tab w:val="right" w:leader="dot" w:pos="9346"/>
            </w:tabs>
            <w:rPr>
              <w:rFonts w:asciiTheme="minorHAnsi" w:hAnsiTheme="minorHAnsi"/>
              <w:noProof/>
              <w:lang w:eastAsia="zh-HK" w:bidi="ar-SA"/>
            </w:rPr>
          </w:pPr>
          <w:hyperlink w:anchor="_Toc507677442" w:history="1">
            <w:r w:rsidR="00CD1A5E" w:rsidRPr="005B6FC0">
              <w:rPr>
                <w:rStyle w:val="Hyperlink"/>
                <w:noProof/>
              </w:rPr>
              <w:t>Issues in Compensation</w:t>
            </w:r>
            <w:r w:rsidR="00CD1A5E">
              <w:rPr>
                <w:noProof/>
                <w:webHidden/>
              </w:rPr>
              <w:tab/>
            </w:r>
            <w:r w:rsidR="00CD1A5E">
              <w:rPr>
                <w:noProof/>
                <w:webHidden/>
              </w:rPr>
              <w:fldChar w:fldCharType="begin"/>
            </w:r>
            <w:r w:rsidR="00CD1A5E">
              <w:rPr>
                <w:noProof/>
                <w:webHidden/>
              </w:rPr>
              <w:instrText xml:space="preserve"> PAGEREF _Toc507677442 \h </w:instrText>
            </w:r>
            <w:r w:rsidR="00CD1A5E">
              <w:rPr>
                <w:noProof/>
                <w:webHidden/>
              </w:rPr>
            </w:r>
            <w:r w:rsidR="00CD1A5E">
              <w:rPr>
                <w:noProof/>
                <w:webHidden/>
              </w:rPr>
              <w:fldChar w:fldCharType="separate"/>
            </w:r>
            <w:r w:rsidR="00CD1A5E">
              <w:rPr>
                <w:noProof/>
                <w:webHidden/>
              </w:rPr>
              <w:t>8</w:t>
            </w:r>
            <w:r w:rsidR="00CD1A5E">
              <w:rPr>
                <w:noProof/>
                <w:webHidden/>
              </w:rPr>
              <w:fldChar w:fldCharType="end"/>
            </w:r>
          </w:hyperlink>
        </w:p>
        <w:p w:rsidR="00CD1A5E" w:rsidRDefault="00777598">
          <w:pPr>
            <w:pStyle w:val="TOC2"/>
            <w:tabs>
              <w:tab w:val="right" w:leader="dot" w:pos="9346"/>
            </w:tabs>
            <w:rPr>
              <w:rFonts w:asciiTheme="minorHAnsi" w:hAnsiTheme="minorHAnsi"/>
              <w:noProof/>
              <w:lang w:eastAsia="zh-HK" w:bidi="ar-SA"/>
            </w:rPr>
          </w:pPr>
          <w:hyperlink w:anchor="_Toc507677443" w:history="1">
            <w:r w:rsidR="00CD1A5E" w:rsidRPr="005B6FC0">
              <w:rPr>
                <w:rStyle w:val="Hyperlink"/>
                <w:noProof/>
              </w:rPr>
              <w:t>Lack of Performance management</w:t>
            </w:r>
            <w:r w:rsidR="00CD1A5E">
              <w:rPr>
                <w:noProof/>
                <w:webHidden/>
              </w:rPr>
              <w:tab/>
            </w:r>
            <w:r w:rsidR="00CD1A5E">
              <w:rPr>
                <w:noProof/>
                <w:webHidden/>
              </w:rPr>
              <w:fldChar w:fldCharType="begin"/>
            </w:r>
            <w:r w:rsidR="00CD1A5E">
              <w:rPr>
                <w:noProof/>
                <w:webHidden/>
              </w:rPr>
              <w:instrText xml:space="preserve"> PAGEREF _Toc507677443 \h </w:instrText>
            </w:r>
            <w:r w:rsidR="00CD1A5E">
              <w:rPr>
                <w:noProof/>
                <w:webHidden/>
              </w:rPr>
            </w:r>
            <w:r w:rsidR="00CD1A5E">
              <w:rPr>
                <w:noProof/>
                <w:webHidden/>
              </w:rPr>
              <w:fldChar w:fldCharType="separate"/>
            </w:r>
            <w:r w:rsidR="00CD1A5E">
              <w:rPr>
                <w:noProof/>
                <w:webHidden/>
              </w:rPr>
              <w:t>9</w:t>
            </w:r>
            <w:r w:rsidR="00CD1A5E">
              <w:rPr>
                <w:noProof/>
                <w:webHidden/>
              </w:rPr>
              <w:fldChar w:fldCharType="end"/>
            </w:r>
          </w:hyperlink>
        </w:p>
        <w:p w:rsidR="00CD1A5E" w:rsidRDefault="00777598">
          <w:pPr>
            <w:pStyle w:val="TOC1"/>
            <w:tabs>
              <w:tab w:val="right" w:leader="dot" w:pos="9346"/>
            </w:tabs>
            <w:rPr>
              <w:rFonts w:asciiTheme="minorHAnsi" w:hAnsiTheme="minorHAnsi"/>
              <w:noProof/>
              <w:lang w:eastAsia="zh-HK" w:bidi="ar-SA"/>
            </w:rPr>
          </w:pPr>
          <w:hyperlink w:anchor="_Toc507677444" w:history="1">
            <w:r w:rsidR="00CD1A5E" w:rsidRPr="005B6FC0">
              <w:rPr>
                <w:rStyle w:val="Hyperlink"/>
                <w:noProof/>
                <w:lang w:val="en-AU"/>
              </w:rPr>
              <w:t>Recommendation</w:t>
            </w:r>
            <w:r w:rsidR="00CD1A5E">
              <w:rPr>
                <w:noProof/>
                <w:webHidden/>
              </w:rPr>
              <w:tab/>
            </w:r>
            <w:r w:rsidR="00CD1A5E">
              <w:rPr>
                <w:noProof/>
                <w:webHidden/>
              </w:rPr>
              <w:fldChar w:fldCharType="begin"/>
            </w:r>
            <w:r w:rsidR="00CD1A5E">
              <w:rPr>
                <w:noProof/>
                <w:webHidden/>
              </w:rPr>
              <w:instrText xml:space="preserve"> PAGEREF _Toc507677444 \h </w:instrText>
            </w:r>
            <w:r w:rsidR="00CD1A5E">
              <w:rPr>
                <w:noProof/>
                <w:webHidden/>
              </w:rPr>
            </w:r>
            <w:r w:rsidR="00CD1A5E">
              <w:rPr>
                <w:noProof/>
                <w:webHidden/>
              </w:rPr>
              <w:fldChar w:fldCharType="separate"/>
            </w:r>
            <w:r w:rsidR="00CD1A5E">
              <w:rPr>
                <w:noProof/>
                <w:webHidden/>
              </w:rPr>
              <w:t>10</w:t>
            </w:r>
            <w:r w:rsidR="00CD1A5E">
              <w:rPr>
                <w:noProof/>
                <w:webHidden/>
              </w:rPr>
              <w:fldChar w:fldCharType="end"/>
            </w:r>
          </w:hyperlink>
        </w:p>
        <w:p w:rsidR="00CD1A5E" w:rsidRDefault="00777598">
          <w:pPr>
            <w:pStyle w:val="TOC2"/>
            <w:tabs>
              <w:tab w:val="right" w:leader="dot" w:pos="9346"/>
            </w:tabs>
            <w:rPr>
              <w:rFonts w:asciiTheme="minorHAnsi" w:hAnsiTheme="minorHAnsi"/>
              <w:noProof/>
              <w:lang w:eastAsia="zh-HK" w:bidi="ar-SA"/>
            </w:rPr>
          </w:pPr>
          <w:hyperlink w:anchor="_Toc507677445" w:history="1">
            <w:r w:rsidR="00CD1A5E" w:rsidRPr="005B6FC0">
              <w:rPr>
                <w:rStyle w:val="Hyperlink"/>
                <w:noProof/>
              </w:rPr>
              <w:t>Job Design.</w:t>
            </w:r>
            <w:r w:rsidR="00CD1A5E">
              <w:rPr>
                <w:noProof/>
                <w:webHidden/>
              </w:rPr>
              <w:tab/>
            </w:r>
            <w:r w:rsidR="00CD1A5E">
              <w:rPr>
                <w:noProof/>
                <w:webHidden/>
              </w:rPr>
              <w:fldChar w:fldCharType="begin"/>
            </w:r>
            <w:r w:rsidR="00CD1A5E">
              <w:rPr>
                <w:noProof/>
                <w:webHidden/>
              </w:rPr>
              <w:instrText xml:space="preserve"> PAGEREF _Toc507677445 \h </w:instrText>
            </w:r>
            <w:r w:rsidR="00CD1A5E">
              <w:rPr>
                <w:noProof/>
                <w:webHidden/>
              </w:rPr>
            </w:r>
            <w:r w:rsidR="00CD1A5E">
              <w:rPr>
                <w:noProof/>
                <w:webHidden/>
              </w:rPr>
              <w:fldChar w:fldCharType="separate"/>
            </w:r>
            <w:r w:rsidR="00CD1A5E">
              <w:rPr>
                <w:noProof/>
                <w:webHidden/>
              </w:rPr>
              <w:t>10</w:t>
            </w:r>
            <w:r w:rsidR="00CD1A5E">
              <w:rPr>
                <w:noProof/>
                <w:webHidden/>
              </w:rPr>
              <w:fldChar w:fldCharType="end"/>
            </w:r>
          </w:hyperlink>
        </w:p>
        <w:p w:rsidR="00CD1A5E" w:rsidRDefault="00777598">
          <w:pPr>
            <w:pStyle w:val="TOC2"/>
            <w:tabs>
              <w:tab w:val="right" w:leader="dot" w:pos="9346"/>
            </w:tabs>
            <w:rPr>
              <w:rFonts w:asciiTheme="minorHAnsi" w:hAnsiTheme="minorHAnsi"/>
              <w:noProof/>
              <w:lang w:eastAsia="zh-HK" w:bidi="ar-SA"/>
            </w:rPr>
          </w:pPr>
          <w:hyperlink w:anchor="_Toc507677446" w:history="1">
            <w:r w:rsidR="00CD1A5E" w:rsidRPr="005B6FC0">
              <w:rPr>
                <w:rStyle w:val="Hyperlink"/>
                <w:noProof/>
              </w:rPr>
              <w:t>Selection.</w:t>
            </w:r>
            <w:r w:rsidR="00CD1A5E">
              <w:rPr>
                <w:noProof/>
                <w:webHidden/>
              </w:rPr>
              <w:tab/>
            </w:r>
            <w:r w:rsidR="00CD1A5E">
              <w:rPr>
                <w:noProof/>
                <w:webHidden/>
              </w:rPr>
              <w:fldChar w:fldCharType="begin"/>
            </w:r>
            <w:r w:rsidR="00CD1A5E">
              <w:rPr>
                <w:noProof/>
                <w:webHidden/>
              </w:rPr>
              <w:instrText xml:space="preserve"> PAGEREF _Toc507677446 \h </w:instrText>
            </w:r>
            <w:r w:rsidR="00CD1A5E">
              <w:rPr>
                <w:noProof/>
                <w:webHidden/>
              </w:rPr>
            </w:r>
            <w:r w:rsidR="00CD1A5E">
              <w:rPr>
                <w:noProof/>
                <w:webHidden/>
              </w:rPr>
              <w:fldChar w:fldCharType="separate"/>
            </w:r>
            <w:r w:rsidR="00CD1A5E">
              <w:rPr>
                <w:noProof/>
                <w:webHidden/>
              </w:rPr>
              <w:t>11</w:t>
            </w:r>
            <w:r w:rsidR="00CD1A5E">
              <w:rPr>
                <w:noProof/>
                <w:webHidden/>
              </w:rPr>
              <w:fldChar w:fldCharType="end"/>
            </w:r>
          </w:hyperlink>
        </w:p>
        <w:p w:rsidR="00CD1A5E" w:rsidRDefault="00CD1A5E">
          <w:pPr>
            <w:pStyle w:val="TOC2"/>
            <w:tabs>
              <w:tab w:val="right" w:leader="dot" w:pos="9346"/>
            </w:tabs>
            <w:rPr>
              <w:rFonts w:asciiTheme="minorHAnsi" w:hAnsiTheme="minorHAnsi"/>
              <w:noProof/>
              <w:lang w:eastAsia="zh-HK" w:bidi="ar-SA"/>
            </w:rPr>
          </w:pPr>
          <w:hyperlink w:anchor="_Toc507677447" w:history="1">
            <w:r w:rsidRPr="005B6FC0">
              <w:rPr>
                <w:rStyle w:val="Hyperlink"/>
                <w:noProof/>
              </w:rPr>
              <w:t>Recruitment.</w:t>
            </w:r>
            <w:r>
              <w:rPr>
                <w:noProof/>
                <w:webHidden/>
              </w:rPr>
              <w:tab/>
            </w:r>
            <w:r>
              <w:rPr>
                <w:noProof/>
                <w:webHidden/>
              </w:rPr>
              <w:fldChar w:fldCharType="begin"/>
            </w:r>
            <w:r>
              <w:rPr>
                <w:noProof/>
                <w:webHidden/>
              </w:rPr>
              <w:instrText xml:space="preserve"> PAGEREF _Toc507677447 \h </w:instrText>
            </w:r>
            <w:r>
              <w:rPr>
                <w:noProof/>
                <w:webHidden/>
              </w:rPr>
            </w:r>
            <w:r>
              <w:rPr>
                <w:noProof/>
                <w:webHidden/>
              </w:rPr>
              <w:fldChar w:fldCharType="separate"/>
            </w:r>
            <w:r>
              <w:rPr>
                <w:noProof/>
                <w:webHidden/>
              </w:rPr>
              <w:t>13</w:t>
            </w:r>
            <w:r>
              <w:rPr>
                <w:noProof/>
                <w:webHidden/>
              </w:rPr>
              <w:fldChar w:fldCharType="end"/>
            </w:r>
          </w:hyperlink>
        </w:p>
        <w:p w:rsidR="00CD1A5E" w:rsidRDefault="00777598">
          <w:pPr>
            <w:pStyle w:val="TOC2"/>
            <w:tabs>
              <w:tab w:val="right" w:leader="dot" w:pos="9346"/>
            </w:tabs>
            <w:rPr>
              <w:rFonts w:asciiTheme="minorHAnsi" w:hAnsiTheme="minorHAnsi"/>
              <w:noProof/>
              <w:lang w:eastAsia="zh-HK" w:bidi="ar-SA"/>
            </w:rPr>
          </w:pPr>
          <w:hyperlink w:anchor="_Toc507677448" w:history="1">
            <w:r w:rsidR="00CD1A5E" w:rsidRPr="005B6FC0">
              <w:rPr>
                <w:rStyle w:val="Hyperlink"/>
                <w:noProof/>
              </w:rPr>
              <w:t>Performance management</w:t>
            </w:r>
            <w:r w:rsidR="00CD1A5E">
              <w:rPr>
                <w:noProof/>
                <w:webHidden/>
              </w:rPr>
              <w:tab/>
            </w:r>
            <w:r w:rsidR="00CD1A5E">
              <w:rPr>
                <w:noProof/>
                <w:webHidden/>
              </w:rPr>
              <w:fldChar w:fldCharType="begin"/>
            </w:r>
            <w:r w:rsidR="00CD1A5E">
              <w:rPr>
                <w:noProof/>
                <w:webHidden/>
              </w:rPr>
              <w:instrText xml:space="preserve"> PAGEREF _Toc507677448 \h </w:instrText>
            </w:r>
            <w:r w:rsidR="00CD1A5E">
              <w:rPr>
                <w:noProof/>
                <w:webHidden/>
              </w:rPr>
            </w:r>
            <w:r w:rsidR="00CD1A5E">
              <w:rPr>
                <w:noProof/>
                <w:webHidden/>
              </w:rPr>
              <w:fldChar w:fldCharType="separate"/>
            </w:r>
            <w:r w:rsidR="00CD1A5E">
              <w:rPr>
                <w:noProof/>
                <w:webHidden/>
              </w:rPr>
              <w:t>14</w:t>
            </w:r>
            <w:r w:rsidR="00CD1A5E">
              <w:rPr>
                <w:noProof/>
                <w:webHidden/>
              </w:rPr>
              <w:fldChar w:fldCharType="end"/>
            </w:r>
          </w:hyperlink>
        </w:p>
        <w:p w:rsidR="00CD1A5E" w:rsidRDefault="00777598">
          <w:pPr>
            <w:pStyle w:val="TOC2"/>
            <w:tabs>
              <w:tab w:val="right" w:leader="dot" w:pos="9346"/>
            </w:tabs>
            <w:rPr>
              <w:rFonts w:asciiTheme="minorHAnsi" w:hAnsiTheme="minorHAnsi"/>
              <w:noProof/>
              <w:lang w:eastAsia="zh-HK" w:bidi="ar-SA"/>
            </w:rPr>
          </w:pPr>
          <w:hyperlink w:anchor="_Toc507677449" w:history="1">
            <w:r w:rsidR="00CD1A5E" w:rsidRPr="005B6FC0">
              <w:rPr>
                <w:rStyle w:val="Hyperlink"/>
                <w:noProof/>
              </w:rPr>
              <w:t>Training and Development</w:t>
            </w:r>
            <w:r w:rsidR="00CD1A5E">
              <w:rPr>
                <w:noProof/>
                <w:webHidden/>
              </w:rPr>
              <w:tab/>
            </w:r>
            <w:r w:rsidR="00CD1A5E">
              <w:rPr>
                <w:noProof/>
                <w:webHidden/>
              </w:rPr>
              <w:fldChar w:fldCharType="begin"/>
            </w:r>
            <w:r w:rsidR="00CD1A5E">
              <w:rPr>
                <w:noProof/>
                <w:webHidden/>
              </w:rPr>
              <w:instrText xml:space="preserve"> PAGEREF _Toc507677449 \h </w:instrText>
            </w:r>
            <w:r w:rsidR="00CD1A5E">
              <w:rPr>
                <w:noProof/>
                <w:webHidden/>
              </w:rPr>
            </w:r>
            <w:r w:rsidR="00CD1A5E">
              <w:rPr>
                <w:noProof/>
                <w:webHidden/>
              </w:rPr>
              <w:fldChar w:fldCharType="separate"/>
            </w:r>
            <w:r w:rsidR="00CD1A5E">
              <w:rPr>
                <w:noProof/>
                <w:webHidden/>
              </w:rPr>
              <w:t>15</w:t>
            </w:r>
            <w:r w:rsidR="00CD1A5E">
              <w:rPr>
                <w:noProof/>
                <w:webHidden/>
              </w:rPr>
              <w:fldChar w:fldCharType="end"/>
            </w:r>
          </w:hyperlink>
        </w:p>
        <w:p w:rsidR="00CD1A5E" w:rsidRDefault="00777598">
          <w:pPr>
            <w:pStyle w:val="TOC2"/>
            <w:tabs>
              <w:tab w:val="right" w:leader="dot" w:pos="9346"/>
            </w:tabs>
            <w:rPr>
              <w:rFonts w:asciiTheme="minorHAnsi" w:hAnsiTheme="minorHAnsi"/>
              <w:noProof/>
              <w:lang w:eastAsia="zh-HK" w:bidi="ar-SA"/>
            </w:rPr>
          </w:pPr>
          <w:hyperlink w:anchor="_Toc507677450" w:history="1">
            <w:r w:rsidR="00CD1A5E" w:rsidRPr="005B6FC0">
              <w:rPr>
                <w:rStyle w:val="Hyperlink"/>
                <w:noProof/>
                <w:lang w:val="en-AU"/>
              </w:rPr>
              <w:t>Outsourcing</w:t>
            </w:r>
            <w:r w:rsidR="00CD1A5E">
              <w:rPr>
                <w:noProof/>
                <w:webHidden/>
              </w:rPr>
              <w:tab/>
            </w:r>
            <w:r w:rsidR="00CD1A5E">
              <w:rPr>
                <w:noProof/>
                <w:webHidden/>
              </w:rPr>
              <w:fldChar w:fldCharType="begin"/>
            </w:r>
            <w:r w:rsidR="00CD1A5E">
              <w:rPr>
                <w:noProof/>
                <w:webHidden/>
              </w:rPr>
              <w:instrText xml:space="preserve"> PAGEREF _Toc507677450 \h </w:instrText>
            </w:r>
            <w:r w:rsidR="00CD1A5E">
              <w:rPr>
                <w:noProof/>
                <w:webHidden/>
              </w:rPr>
            </w:r>
            <w:r w:rsidR="00CD1A5E">
              <w:rPr>
                <w:noProof/>
                <w:webHidden/>
              </w:rPr>
              <w:fldChar w:fldCharType="separate"/>
            </w:r>
            <w:r w:rsidR="00CD1A5E">
              <w:rPr>
                <w:noProof/>
                <w:webHidden/>
              </w:rPr>
              <w:t>17</w:t>
            </w:r>
            <w:r w:rsidR="00CD1A5E">
              <w:rPr>
                <w:noProof/>
                <w:webHidden/>
              </w:rPr>
              <w:fldChar w:fldCharType="end"/>
            </w:r>
          </w:hyperlink>
        </w:p>
        <w:p w:rsidR="00CD1A5E" w:rsidRDefault="00777598">
          <w:pPr>
            <w:pStyle w:val="TOC1"/>
            <w:tabs>
              <w:tab w:val="right" w:leader="dot" w:pos="9346"/>
            </w:tabs>
            <w:rPr>
              <w:rFonts w:asciiTheme="minorHAnsi" w:hAnsiTheme="minorHAnsi"/>
              <w:noProof/>
              <w:lang w:eastAsia="zh-HK" w:bidi="ar-SA"/>
            </w:rPr>
          </w:pPr>
          <w:hyperlink w:anchor="_Toc507677451" w:history="1">
            <w:r w:rsidR="00CD1A5E" w:rsidRPr="005B6FC0">
              <w:rPr>
                <w:rStyle w:val="Hyperlink"/>
                <w:noProof/>
                <w:lang w:val="en-AU"/>
              </w:rPr>
              <w:t>Conclusion</w:t>
            </w:r>
            <w:r w:rsidR="00CD1A5E">
              <w:rPr>
                <w:noProof/>
                <w:webHidden/>
              </w:rPr>
              <w:tab/>
            </w:r>
            <w:r w:rsidR="00CD1A5E">
              <w:rPr>
                <w:noProof/>
                <w:webHidden/>
              </w:rPr>
              <w:fldChar w:fldCharType="begin"/>
            </w:r>
            <w:r w:rsidR="00CD1A5E">
              <w:rPr>
                <w:noProof/>
                <w:webHidden/>
              </w:rPr>
              <w:instrText xml:space="preserve"> PAGEREF _Toc507677451 \h </w:instrText>
            </w:r>
            <w:r w:rsidR="00CD1A5E">
              <w:rPr>
                <w:noProof/>
                <w:webHidden/>
              </w:rPr>
            </w:r>
            <w:r w:rsidR="00CD1A5E">
              <w:rPr>
                <w:noProof/>
                <w:webHidden/>
              </w:rPr>
              <w:fldChar w:fldCharType="separate"/>
            </w:r>
            <w:r w:rsidR="00CD1A5E">
              <w:rPr>
                <w:noProof/>
                <w:webHidden/>
              </w:rPr>
              <w:t>18</w:t>
            </w:r>
            <w:r w:rsidR="00CD1A5E">
              <w:rPr>
                <w:noProof/>
                <w:webHidden/>
              </w:rPr>
              <w:fldChar w:fldCharType="end"/>
            </w:r>
          </w:hyperlink>
        </w:p>
        <w:p w:rsidR="00CD1A5E" w:rsidRDefault="00777598">
          <w:pPr>
            <w:pStyle w:val="TOC1"/>
            <w:tabs>
              <w:tab w:val="right" w:leader="dot" w:pos="9346"/>
            </w:tabs>
            <w:rPr>
              <w:rFonts w:asciiTheme="minorHAnsi" w:hAnsiTheme="minorHAnsi"/>
              <w:noProof/>
              <w:lang w:eastAsia="zh-HK" w:bidi="ar-SA"/>
            </w:rPr>
          </w:pPr>
          <w:hyperlink w:anchor="_Toc507677452" w:history="1">
            <w:r w:rsidR="00CD1A5E" w:rsidRPr="005B6FC0">
              <w:rPr>
                <w:rStyle w:val="Hyperlink"/>
                <w:noProof/>
                <w:lang w:val="en-AU"/>
              </w:rPr>
              <w:t>References</w:t>
            </w:r>
            <w:r w:rsidR="00CD1A5E">
              <w:rPr>
                <w:noProof/>
                <w:webHidden/>
              </w:rPr>
              <w:tab/>
            </w:r>
            <w:r w:rsidR="00CD1A5E">
              <w:rPr>
                <w:noProof/>
                <w:webHidden/>
              </w:rPr>
              <w:fldChar w:fldCharType="begin"/>
            </w:r>
            <w:r w:rsidR="00CD1A5E">
              <w:rPr>
                <w:noProof/>
                <w:webHidden/>
              </w:rPr>
              <w:instrText xml:space="preserve"> PAGEREF _Toc507677452 \h </w:instrText>
            </w:r>
            <w:r w:rsidR="00CD1A5E">
              <w:rPr>
                <w:noProof/>
                <w:webHidden/>
              </w:rPr>
            </w:r>
            <w:r w:rsidR="00CD1A5E">
              <w:rPr>
                <w:noProof/>
                <w:webHidden/>
              </w:rPr>
              <w:fldChar w:fldCharType="separate"/>
            </w:r>
            <w:r w:rsidR="00CD1A5E">
              <w:rPr>
                <w:noProof/>
                <w:webHidden/>
              </w:rPr>
              <w:t>19</w:t>
            </w:r>
            <w:r w:rsidR="00CD1A5E">
              <w:rPr>
                <w:noProof/>
                <w:webHidden/>
              </w:rPr>
              <w:fldChar w:fldCharType="end"/>
            </w:r>
          </w:hyperlink>
        </w:p>
        <w:p w:rsidR="0055336F" w:rsidRDefault="00F719FF">
          <w:r>
            <w:fldChar w:fldCharType="end"/>
          </w:r>
        </w:p>
      </w:sdtContent>
    </w:sdt>
    <w:p w:rsidR="0055336F" w:rsidRDefault="0055336F" w:rsidP="00351D77">
      <w:pPr>
        <w:pStyle w:val="Heading1"/>
        <w:rPr>
          <w:lang w:val="en-AU"/>
        </w:rPr>
        <w:sectPr w:rsidR="0055336F" w:rsidSect="004C616F">
          <w:headerReference w:type="default" r:id="rId9"/>
          <w:footerReference w:type="default" r:id="rId10"/>
          <w:pgSz w:w="11906" w:h="16838"/>
          <w:pgMar w:top="1276" w:right="1274" w:bottom="1440" w:left="1276" w:header="708" w:footer="708" w:gutter="0"/>
          <w:cols w:space="708"/>
          <w:docGrid w:linePitch="360"/>
        </w:sectPr>
      </w:pPr>
    </w:p>
    <w:p w:rsidR="009E3F25" w:rsidRPr="00672ED2" w:rsidRDefault="009E3F25" w:rsidP="00351D77">
      <w:pPr>
        <w:pStyle w:val="Heading1"/>
        <w:rPr>
          <w:lang w:val="en-AU"/>
        </w:rPr>
      </w:pPr>
      <w:bookmarkStart w:id="2" w:name="_Toc507677436"/>
      <w:r w:rsidRPr="00672ED2">
        <w:rPr>
          <w:lang w:val="en-AU"/>
        </w:rPr>
        <w:lastRenderedPageBreak/>
        <w:t>Introduction</w:t>
      </w:r>
      <w:bookmarkEnd w:id="2"/>
    </w:p>
    <w:p w:rsidR="009D22D6" w:rsidRDefault="007D4B4B" w:rsidP="001C780A">
      <w:r w:rsidRPr="004935E4">
        <w:t>United Arab Emirates (</w:t>
      </w:r>
      <w:r w:rsidR="004935E4" w:rsidRPr="004935E4">
        <w:t>UAE)</w:t>
      </w:r>
      <w:r w:rsidR="004935E4">
        <w:t xml:space="preserve"> </w:t>
      </w:r>
      <w:r w:rsidR="004935E4" w:rsidRPr="004935E4">
        <w:t>begun</w:t>
      </w:r>
      <w:r w:rsidR="004935E4">
        <w:t xml:space="preserve"> their economic development from the humble beginnings of a fishing and pearl economy following the discovery of oil in the 1960s. During the 1970’s, approximately 60% of the UAE GDP were based on the oil sector, however, as oil reserves decrease, the economy began its diversification to reduce its dependence on oil, from the 60% to 40% in the 1980s and around 20% to the beginning of this millennium. </w:t>
      </w:r>
      <w:sdt>
        <w:sdtPr>
          <w:id w:val="1549181147"/>
          <w:citation/>
        </w:sdtPr>
        <w:sdtContent>
          <w:r w:rsidR="004935E4">
            <w:fldChar w:fldCharType="begin"/>
          </w:r>
          <w:r w:rsidR="004935E4">
            <w:instrText xml:space="preserve">CITATION AlS01 \l 15369 </w:instrText>
          </w:r>
          <w:r w:rsidR="004935E4">
            <w:fldChar w:fldCharType="separate"/>
          </w:r>
          <w:r w:rsidR="004935E4" w:rsidRPr="004935E4">
            <w:rPr>
              <w:noProof/>
            </w:rPr>
            <w:t>(Al-Sadik &amp; Tawfik, 2001)</w:t>
          </w:r>
          <w:r w:rsidR="004935E4">
            <w:fldChar w:fldCharType="end"/>
          </w:r>
        </w:sdtContent>
      </w:sdt>
      <w:r w:rsidR="004935E4">
        <w:t xml:space="preserve"> </w:t>
      </w:r>
    </w:p>
    <w:p w:rsidR="009D22D6" w:rsidRDefault="009D22D6" w:rsidP="001C780A">
      <w:r>
        <w:t xml:space="preserve">This have started the development of sectors such as </w:t>
      </w:r>
      <w:r w:rsidRPr="009D22D6">
        <w:t>trade, manufacturing, construction</w:t>
      </w:r>
      <w:r>
        <w:t xml:space="preserve"> and</w:t>
      </w:r>
      <w:r w:rsidRPr="009D22D6">
        <w:t xml:space="preserve"> tourism</w:t>
      </w:r>
      <w:r>
        <w:t xml:space="preserve">, which was made possible by </w:t>
      </w:r>
      <w:proofErr w:type="spellStart"/>
      <w:r>
        <w:t>favorable</w:t>
      </w:r>
      <w:proofErr w:type="spellEnd"/>
      <w:r>
        <w:t xml:space="preserve"> factors such as a Stable p</w:t>
      </w:r>
      <w:r w:rsidRPr="009D22D6">
        <w:t xml:space="preserve">olitical and social </w:t>
      </w:r>
      <w:r>
        <w:t xml:space="preserve">environment; organized and effective </w:t>
      </w:r>
      <w:r w:rsidRPr="009D22D6">
        <w:t>planning and regulations</w:t>
      </w:r>
      <w:r>
        <w:t>;</w:t>
      </w:r>
      <w:r w:rsidRPr="009D22D6">
        <w:t xml:space="preserve"> private sector involvement</w:t>
      </w:r>
      <w:r>
        <w:t>; and setting up of</w:t>
      </w:r>
      <w:r w:rsidRPr="009D22D6">
        <w:t xml:space="preserve"> free trade zones</w:t>
      </w:r>
      <w:r>
        <w:t xml:space="preserve">. </w:t>
      </w:r>
      <w:sdt>
        <w:sdtPr>
          <w:id w:val="-1540807593"/>
          <w:citation/>
        </w:sdtPr>
        <w:sdtContent>
          <w:r>
            <w:fldChar w:fldCharType="begin"/>
          </w:r>
          <w:r>
            <w:instrText xml:space="preserve"> CITATION Shi01 \l 15369  \m IMF98</w:instrText>
          </w:r>
          <w:r>
            <w:fldChar w:fldCharType="separate"/>
          </w:r>
          <w:r w:rsidRPr="009D22D6">
            <w:rPr>
              <w:noProof/>
            </w:rPr>
            <w:t>(Shihab, 2001; IMF, 1998)</w:t>
          </w:r>
          <w:r>
            <w:fldChar w:fldCharType="end"/>
          </w:r>
        </w:sdtContent>
      </w:sdt>
    </w:p>
    <w:p w:rsidR="007D4B4B" w:rsidRPr="004935E4" w:rsidRDefault="00AC0D16" w:rsidP="001C780A">
      <w:r>
        <w:t xml:space="preserve">To complement the development of the various industry sectors of the economy, </w:t>
      </w:r>
      <w:r w:rsidR="00724FDC">
        <w:t xml:space="preserve">over the past decades, </w:t>
      </w:r>
      <w:r w:rsidR="004935E4">
        <w:t xml:space="preserve">UAE </w:t>
      </w:r>
      <w:r w:rsidR="007D4B4B" w:rsidRPr="004935E4">
        <w:t>have begun their journey to be</w:t>
      </w:r>
      <w:r w:rsidR="00D367F9" w:rsidRPr="004935E4">
        <w:t xml:space="preserve"> </w:t>
      </w:r>
      <w:r w:rsidR="007D4B4B" w:rsidRPr="004935E4">
        <w:t>the</w:t>
      </w:r>
      <w:r w:rsidR="001C780A" w:rsidRPr="004935E4">
        <w:t xml:space="preserve"> financial centre</w:t>
      </w:r>
      <w:r w:rsidR="007D4B4B" w:rsidRPr="004935E4">
        <w:t xml:space="preserve"> of the Middle East</w:t>
      </w:r>
      <w:r w:rsidR="001C780A" w:rsidRPr="004935E4">
        <w:t>, a position that’s held locally as well as internationally</w:t>
      </w:r>
      <w:r w:rsidR="00724FDC">
        <w:t>, by a growth of 10% annually</w:t>
      </w:r>
      <w:r w:rsidR="001C780A" w:rsidRPr="004935E4">
        <w:t xml:space="preserve">. </w:t>
      </w:r>
      <w:sdt>
        <w:sdtPr>
          <w:id w:val="-738865826"/>
          <w:citation/>
        </w:sdtPr>
        <w:sdtContent>
          <w:r w:rsidR="007D4B4B" w:rsidRPr="004935E4">
            <w:fldChar w:fldCharType="begin"/>
          </w:r>
          <w:r w:rsidR="007D4B4B" w:rsidRPr="004935E4">
            <w:instrText xml:space="preserve">CITATION AlM12 \l 15369 </w:instrText>
          </w:r>
          <w:r w:rsidR="007D4B4B" w:rsidRPr="004935E4">
            <w:fldChar w:fldCharType="separate"/>
          </w:r>
          <w:r w:rsidR="007D4B4B" w:rsidRPr="004935E4">
            <w:t>(Al-Malkawi, Marashdeh, &amp; Abdullah, 2012)</w:t>
          </w:r>
          <w:r w:rsidR="007D4B4B" w:rsidRPr="004935E4">
            <w:fldChar w:fldCharType="end"/>
          </w:r>
        </w:sdtContent>
      </w:sdt>
    </w:p>
    <w:p w:rsidR="001C780A" w:rsidRPr="004935E4" w:rsidRDefault="001C780A" w:rsidP="001C780A">
      <w:r w:rsidRPr="004935E4">
        <w:t xml:space="preserve">As such, there are a large number of different financial institutions operating in </w:t>
      </w:r>
      <w:r w:rsidR="007D4B4B" w:rsidRPr="004935E4">
        <w:t>UAE</w:t>
      </w:r>
      <w:r w:rsidRPr="004935E4">
        <w:t>, ranging from banks</w:t>
      </w:r>
      <w:r w:rsidR="007D4B4B" w:rsidRPr="004935E4">
        <w:t xml:space="preserve"> to</w:t>
      </w:r>
      <w:r w:rsidRPr="004935E4">
        <w:t xml:space="preserve"> insurance firms, and fund managers.</w:t>
      </w:r>
    </w:p>
    <w:p w:rsidR="009E53F9" w:rsidRPr="004935E4" w:rsidRDefault="001C780A" w:rsidP="001C780A">
      <w:r w:rsidRPr="004935E4">
        <w:t xml:space="preserve">In the banking sector alone, there are over </w:t>
      </w:r>
      <w:r w:rsidR="007D4B4B" w:rsidRPr="004935E4">
        <w:t>23 domestic</w:t>
      </w:r>
      <w:r w:rsidRPr="004935E4">
        <w:t xml:space="preserve"> banks </w:t>
      </w:r>
      <w:r w:rsidR="007D4B4B" w:rsidRPr="004935E4">
        <w:t>and 28 foreign banks, of which, most are situated in Abu Dhabi and Dubai.</w:t>
      </w:r>
      <w:r w:rsidR="009D581B" w:rsidRPr="004935E4">
        <w:t xml:space="preserve"> For foreign banks, UAE limits these to a maximum of 8 branches per bank, and in fact, it has been studied that there is a total of 106 branches of these foreign banks, making an average of 4 per bank.</w:t>
      </w:r>
    </w:p>
    <w:p w:rsidR="009D581B" w:rsidRDefault="009D581B" w:rsidP="001C780A">
      <w:r w:rsidRPr="004935E4">
        <w:t xml:space="preserve">The domestic banks have a total of 263 branches, at an average of 12 per bank. With a 3 million population, this indicates that each branch serves around 7813 people, making it a very congested market. </w:t>
      </w:r>
      <w:sdt>
        <w:sdtPr>
          <w:id w:val="-1243643257"/>
          <w:citation/>
        </w:sdtPr>
        <w:sdtContent>
          <w:r w:rsidRPr="004935E4">
            <w:fldChar w:fldCharType="begin"/>
          </w:r>
          <w:r w:rsidRPr="004935E4">
            <w:instrText xml:space="preserve"> CITATION Awa05 \l 15369 </w:instrText>
          </w:r>
          <w:r w:rsidRPr="004935E4">
            <w:fldChar w:fldCharType="separate"/>
          </w:r>
          <w:r w:rsidRPr="004935E4">
            <w:t>(Awamleh, Evans, &amp; Mahate, 2005)</w:t>
          </w:r>
          <w:r w:rsidRPr="004935E4">
            <w:fldChar w:fldCharType="end"/>
          </w:r>
        </w:sdtContent>
      </w:sdt>
    </w:p>
    <w:p w:rsidR="004935E4" w:rsidRPr="004935E4" w:rsidRDefault="00724FDC" w:rsidP="001C780A">
      <w:r>
        <w:t xml:space="preserve">The implication of this background means that Banking industry does not have a long history in comparison to other International Financial </w:t>
      </w:r>
      <w:proofErr w:type="spellStart"/>
      <w:r>
        <w:t>centers</w:t>
      </w:r>
      <w:proofErr w:type="spellEnd"/>
      <w:r>
        <w:t xml:space="preserve">, such as London, New York or Hong Kong. And as such, the native population of banking professionals, or their related professions, will be much smaller </w:t>
      </w:r>
      <w:r w:rsidR="00B67394">
        <w:t>than</w:t>
      </w:r>
      <w:r>
        <w:t xml:space="preserve"> the other international financial </w:t>
      </w:r>
      <w:proofErr w:type="spellStart"/>
      <w:r>
        <w:t>centers</w:t>
      </w:r>
      <w:proofErr w:type="spellEnd"/>
      <w:r>
        <w:t>.</w:t>
      </w:r>
    </w:p>
    <w:p w:rsidR="005A075D" w:rsidRPr="000A4026" w:rsidRDefault="005A075D">
      <w:pPr>
        <w:rPr>
          <w:color w:val="1F497D" w:themeColor="text2"/>
        </w:rPr>
      </w:pPr>
    </w:p>
    <w:p w:rsidR="00027DBE" w:rsidRDefault="00027DBE">
      <w:pPr>
        <w:rPr>
          <w:rFonts w:asciiTheme="majorHAnsi" w:eastAsiaTheme="majorEastAsia" w:hAnsiTheme="majorHAnsi" w:cstheme="majorBidi"/>
          <w:b/>
          <w:bCs/>
          <w:color w:val="365F91" w:themeColor="accent1" w:themeShade="BF"/>
          <w:sz w:val="28"/>
          <w:szCs w:val="28"/>
          <w:lang w:val="en-AU"/>
        </w:rPr>
      </w:pPr>
      <w:r>
        <w:rPr>
          <w:lang w:val="en-AU"/>
        </w:rPr>
        <w:br w:type="page"/>
      </w:r>
    </w:p>
    <w:p w:rsidR="00BA7A61" w:rsidRDefault="00850060" w:rsidP="00351D77">
      <w:pPr>
        <w:pStyle w:val="Heading1"/>
        <w:rPr>
          <w:lang w:val="en-AU"/>
        </w:rPr>
      </w:pPr>
      <w:bookmarkStart w:id="3" w:name="_Toc507677437"/>
      <w:r>
        <w:rPr>
          <w:lang w:val="en-AU"/>
        </w:rPr>
        <w:lastRenderedPageBreak/>
        <w:t>Issue Analysis</w:t>
      </w:r>
      <w:bookmarkEnd w:id="3"/>
    </w:p>
    <w:p w:rsidR="00285348" w:rsidRDefault="00285348" w:rsidP="00BA7A61">
      <w:r>
        <w:t xml:space="preserve">In the analysis of Unibank, </w:t>
      </w:r>
      <w:r w:rsidR="00C62708">
        <w:t xml:space="preserve">a number of issues have been highlighted and is explained below. </w:t>
      </w:r>
    </w:p>
    <w:p w:rsidR="00BA7A61" w:rsidRPr="0081103C" w:rsidRDefault="00BA7A61" w:rsidP="00BA7A61">
      <w:r w:rsidRPr="0081103C">
        <w:t xml:space="preserve">The concept of competing for talent was brought to importance by management consultants McKinsey &amp; Co, in the report “The War for Talent” </w:t>
      </w:r>
      <w:sdt>
        <w:sdtPr>
          <w:id w:val="15888833"/>
          <w:citation/>
        </w:sdtPr>
        <w:sdtContent>
          <w:r w:rsidR="00F719FF">
            <w:fldChar w:fldCharType="begin"/>
          </w:r>
          <w:r w:rsidR="006D4A71">
            <w:rPr>
              <w:lang w:val="en-AU"/>
            </w:rPr>
            <w:instrText xml:space="preserve"> CITATION EdM01 \n  \t  \l 3081  </w:instrText>
          </w:r>
          <w:r w:rsidR="00F719FF">
            <w:fldChar w:fldCharType="separate"/>
          </w:r>
          <w:r w:rsidR="006D4A71" w:rsidRPr="006D4A71">
            <w:rPr>
              <w:noProof/>
              <w:lang w:val="en-AU"/>
            </w:rPr>
            <w:t>(2001)</w:t>
          </w:r>
          <w:r w:rsidR="00F719FF">
            <w:fldChar w:fldCharType="end"/>
          </w:r>
        </w:sdtContent>
      </w:sdt>
      <w:r w:rsidRPr="0081103C">
        <w:t xml:space="preserve">, and have been revisited by industry journals, such as Fortune Magazine as well as scholar articles, which details a need to have a relevant strategy in response to this “war”. </w:t>
      </w:r>
      <w:sdt>
        <w:sdtPr>
          <w:id w:val="15888829"/>
          <w:citation/>
        </w:sdtPr>
        <w:sdtContent>
          <w:r w:rsidR="00F719FF">
            <w:fldChar w:fldCharType="begin"/>
          </w:r>
          <w:r w:rsidR="00B476AA">
            <w:rPr>
              <w:lang w:val="en-AU"/>
            </w:rPr>
            <w:instrText xml:space="preserve"> CITATION Jam09 \l 3081 </w:instrText>
          </w:r>
          <w:r w:rsidR="00F719FF">
            <w:fldChar w:fldCharType="separate"/>
          </w:r>
          <w:r w:rsidR="00B476AA" w:rsidRPr="00B476AA">
            <w:rPr>
              <w:noProof/>
              <w:lang w:val="en-AU"/>
            </w:rPr>
            <w:t>(Faulconbridge, Beaverstock, Hall, &amp; Hewitson, 2009)</w:t>
          </w:r>
          <w:r w:rsidR="00F719FF">
            <w:fldChar w:fldCharType="end"/>
          </w:r>
        </w:sdtContent>
      </w:sdt>
    </w:p>
    <w:p w:rsidR="00BA7A61" w:rsidRDefault="00BA7A61" w:rsidP="00BA7A61">
      <w:r>
        <w:t xml:space="preserve">The term “People Strategy” is defined as a set of optimized people management policy and processes, with distinct dimensions and alignments for measurement, which is required for delivering the business strategy. </w:t>
      </w:r>
      <w:sdt>
        <w:sdtPr>
          <w:id w:val="15888821"/>
          <w:citation/>
        </w:sdtPr>
        <w:sdtContent>
          <w:r w:rsidR="00F719FF">
            <w:fldChar w:fldCharType="begin"/>
          </w:r>
          <w:r w:rsidR="00355590">
            <w:rPr>
              <w:lang w:val="en-AU"/>
            </w:rPr>
            <w:instrText xml:space="preserve"> CITATION Lyn03 \l 3081 </w:instrText>
          </w:r>
          <w:r w:rsidR="006D4A71">
            <w:rPr>
              <w:lang w:val="en-AU"/>
            </w:rPr>
            <w:instrText xml:space="preserve"> \m Ray78</w:instrText>
          </w:r>
          <w:r w:rsidR="00F719FF">
            <w:fldChar w:fldCharType="separate"/>
          </w:r>
          <w:r w:rsidR="006D4A71" w:rsidRPr="006D4A71">
            <w:rPr>
              <w:noProof/>
              <w:lang w:val="en-AU"/>
            </w:rPr>
            <w:t>(Gratton &amp; Truss, 2003; Miles, Snow, Meyer, &amp; Coleman, 1978)</w:t>
          </w:r>
          <w:r w:rsidR="00F719FF">
            <w:fldChar w:fldCharType="end"/>
          </w:r>
        </w:sdtContent>
      </w:sdt>
      <w:r>
        <w:t xml:space="preserve"> </w:t>
      </w:r>
    </w:p>
    <w:p w:rsidR="00BA7A61" w:rsidRDefault="00BA7A61" w:rsidP="00BA7A61">
      <w:r>
        <w:t xml:space="preserve">More commonly used amongst practitioners, American Kaplan (2007) also explained that people strategy, otherwise known as HR strategy, encompasses the human capital resources required succeeding in the business strategy. </w:t>
      </w:r>
      <w:sdt>
        <w:sdtPr>
          <w:id w:val="6990639"/>
          <w:citation/>
        </w:sdtPr>
        <w:sdtContent>
          <w:r w:rsidR="006C5EA3">
            <w:fldChar w:fldCharType="begin"/>
          </w:r>
          <w:r w:rsidR="006C5EA3">
            <w:rPr>
              <w:lang w:val="en-AU"/>
            </w:rPr>
            <w:instrText xml:space="preserve"> CITATION Liz08 \l 3081 </w:instrText>
          </w:r>
          <w:r w:rsidR="006C5EA3">
            <w:fldChar w:fldCharType="separate"/>
          </w:r>
          <w:r w:rsidR="006C5EA3" w:rsidRPr="006C5EA3">
            <w:rPr>
              <w:noProof/>
              <w:lang w:val="en-AU"/>
            </w:rPr>
            <w:t>(Christiansen &amp; Higgs, 2008)</w:t>
          </w:r>
          <w:r w:rsidR="006C5EA3">
            <w:fldChar w:fldCharType="end"/>
          </w:r>
        </w:sdtContent>
      </w:sdt>
    </w:p>
    <w:p w:rsidR="00BA7A61" w:rsidRDefault="00BA7A61" w:rsidP="00BA7A61">
      <w:r>
        <w:t xml:space="preserve">It is this strategy that differs from traditional administrative functions for HR, rather than a </w:t>
      </w:r>
      <w:proofErr w:type="spellStart"/>
      <w:r>
        <w:t>backoffice</w:t>
      </w:r>
      <w:proofErr w:type="spellEnd"/>
      <w:r>
        <w:t xml:space="preserve"> process, the people initiative is seen as a part or a compliment to the business strategy and company </w:t>
      </w:r>
      <w:r w:rsidR="00E63666">
        <w:t xml:space="preserve">mission, from </w:t>
      </w:r>
      <w:r w:rsidR="004F3B99">
        <w:t>an overall system</w:t>
      </w:r>
      <w:r w:rsidR="00E63666">
        <w:t xml:space="preserve"> view of HRM, and how this relates to the firm’s performance</w:t>
      </w:r>
      <w:r>
        <w:t>.</w:t>
      </w:r>
      <w:r w:rsidR="0052562F">
        <w:t xml:space="preserve"> </w:t>
      </w:r>
      <w:sdt>
        <w:sdtPr>
          <w:id w:val="15888836"/>
          <w:citation/>
        </w:sdtPr>
        <w:sdtContent>
          <w:r w:rsidR="00F719FF">
            <w:fldChar w:fldCharType="begin"/>
          </w:r>
          <w:r w:rsidR="0052562F">
            <w:rPr>
              <w:lang w:val="en-AU"/>
            </w:rPr>
            <w:instrText xml:space="preserve"> CITATION Lyn03 \l 3081  \m Sta07</w:instrText>
          </w:r>
          <w:r w:rsidR="006C5EA3">
            <w:rPr>
              <w:lang w:val="en-AU"/>
            </w:rPr>
            <w:instrText xml:space="preserve"> \m Liz08</w:instrText>
          </w:r>
          <w:r w:rsidR="00F719FF">
            <w:fldChar w:fldCharType="separate"/>
          </w:r>
          <w:r w:rsidR="006C5EA3" w:rsidRPr="006C5EA3">
            <w:rPr>
              <w:noProof/>
              <w:lang w:val="en-AU"/>
            </w:rPr>
            <w:t>(Gratton &amp; Truss, 2003; Kaplan, 2007; Christiansen &amp; Higgs, 2008)</w:t>
          </w:r>
          <w:r w:rsidR="00F719FF">
            <w:fldChar w:fldCharType="end"/>
          </w:r>
        </w:sdtContent>
      </w:sdt>
    </w:p>
    <w:p w:rsidR="00DD6628" w:rsidRDefault="00097E1C" w:rsidP="00F52B84">
      <w:r w:rsidRPr="00097E1C">
        <w:rPr>
          <w:color w:val="000033"/>
        </w:rPr>
        <w:t>Boxall</w:t>
      </w:r>
      <w:r>
        <w:rPr>
          <w:color w:val="000033"/>
        </w:rPr>
        <w:t xml:space="preserve"> </w:t>
      </w:r>
      <w:r w:rsidRPr="00097E1C">
        <w:rPr>
          <w:color w:val="000033"/>
        </w:rPr>
        <w:t>and Purcell</w:t>
      </w:r>
      <w:r>
        <w:rPr>
          <w:color w:val="000033"/>
        </w:rPr>
        <w:t xml:space="preserve"> </w:t>
      </w:r>
      <w:sdt>
        <w:sdtPr>
          <w:rPr>
            <w:color w:val="000033"/>
          </w:rPr>
          <w:id w:val="90920365"/>
          <w:citation/>
        </w:sdtPr>
        <w:sdtContent>
          <w:r w:rsidR="00F719FF">
            <w:rPr>
              <w:color w:val="000033"/>
            </w:rPr>
            <w:fldChar w:fldCharType="begin"/>
          </w:r>
          <w:r>
            <w:rPr>
              <w:color w:val="000033"/>
              <w:lang w:val="en-AU"/>
            </w:rPr>
            <w:instrText xml:space="preserve"> CITATION Pet03 \n  \t  \l 3081  </w:instrText>
          </w:r>
          <w:r w:rsidR="00F719FF">
            <w:rPr>
              <w:color w:val="000033"/>
            </w:rPr>
            <w:fldChar w:fldCharType="separate"/>
          </w:r>
          <w:r w:rsidRPr="00097E1C">
            <w:rPr>
              <w:noProof/>
              <w:color w:val="000033"/>
              <w:lang w:val="en-AU"/>
            </w:rPr>
            <w:t>(2003)</w:t>
          </w:r>
          <w:r w:rsidR="00F719FF">
            <w:rPr>
              <w:color w:val="000033"/>
            </w:rPr>
            <w:fldChar w:fldCharType="end"/>
          </w:r>
        </w:sdtContent>
      </w:sdt>
      <w:r>
        <w:rPr>
          <w:color w:val="000033"/>
        </w:rPr>
        <w:t xml:space="preserve"> identified notable differences between the European and American approaches to Strategic HR management. Americans in general tends to</w:t>
      </w:r>
      <w:r w:rsidRPr="00097E1C">
        <w:rPr>
          <w:color w:val="000033"/>
        </w:rPr>
        <w:t xml:space="preserve"> adopt an </w:t>
      </w:r>
      <w:r>
        <w:rPr>
          <w:color w:val="000033"/>
        </w:rPr>
        <w:t xml:space="preserve">approach that is </w:t>
      </w:r>
      <w:r w:rsidRPr="00097E1C">
        <w:rPr>
          <w:color w:val="000033"/>
        </w:rPr>
        <w:t>implicitly ma</w:t>
      </w:r>
      <w:r>
        <w:rPr>
          <w:color w:val="000033"/>
        </w:rPr>
        <w:t>nagerial in nature</w:t>
      </w:r>
      <w:r w:rsidRPr="00097E1C">
        <w:rPr>
          <w:color w:val="000033"/>
        </w:rPr>
        <w:t>,</w:t>
      </w:r>
      <w:r>
        <w:rPr>
          <w:color w:val="000033"/>
        </w:rPr>
        <w:t xml:space="preserve"> </w:t>
      </w:r>
      <w:r w:rsidRPr="00097E1C">
        <w:rPr>
          <w:color w:val="000033"/>
        </w:rPr>
        <w:t xml:space="preserve">focusing on </w:t>
      </w:r>
      <w:r>
        <w:rPr>
          <w:color w:val="000033"/>
        </w:rPr>
        <w:t xml:space="preserve">the </w:t>
      </w:r>
      <w:r w:rsidRPr="00097E1C">
        <w:rPr>
          <w:color w:val="000033"/>
        </w:rPr>
        <w:t xml:space="preserve">benefit </w:t>
      </w:r>
      <w:r>
        <w:rPr>
          <w:color w:val="000033"/>
        </w:rPr>
        <w:t xml:space="preserve">to </w:t>
      </w:r>
      <w:r w:rsidRPr="00097E1C">
        <w:rPr>
          <w:color w:val="000033"/>
        </w:rPr>
        <w:t>shareholders,</w:t>
      </w:r>
      <w:r>
        <w:rPr>
          <w:color w:val="000033"/>
        </w:rPr>
        <w:t xml:space="preserve"> </w:t>
      </w:r>
      <w:r w:rsidRPr="00097E1C">
        <w:rPr>
          <w:color w:val="000033"/>
        </w:rPr>
        <w:t>while Europe</w:t>
      </w:r>
      <w:r>
        <w:rPr>
          <w:color w:val="000033"/>
        </w:rPr>
        <w:t>an scholars</w:t>
      </w:r>
      <w:r w:rsidRPr="00097E1C">
        <w:rPr>
          <w:color w:val="000033"/>
        </w:rPr>
        <w:t xml:space="preserve"> </w:t>
      </w:r>
      <w:r>
        <w:rPr>
          <w:color w:val="000033"/>
        </w:rPr>
        <w:t>focuses on b</w:t>
      </w:r>
      <w:r w:rsidRPr="00097E1C">
        <w:rPr>
          <w:color w:val="000033"/>
        </w:rPr>
        <w:t>alancing the interests of</w:t>
      </w:r>
      <w:r>
        <w:rPr>
          <w:color w:val="000033"/>
        </w:rPr>
        <w:t xml:space="preserve"> multiple stakeholders, i.e. </w:t>
      </w:r>
      <w:r w:rsidRPr="00097E1C">
        <w:rPr>
          <w:color w:val="000033"/>
        </w:rPr>
        <w:t>employees,</w:t>
      </w:r>
      <w:r>
        <w:rPr>
          <w:color w:val="000033"/>
        </w:rPr>
        <w:t xml:space="preserve"> </w:t>
      </w:r>
      <w:r w:rsidRPr="00097E1C">
        <w:rPr>
          <w:color w:val="000033"/>
        </w:rPr>
        <w:t xml:space="preserve">unions, governments, and </w:t>
      </w:r>
      <w:r>
        <w:rPr>
          <w:color w:val="000033"/>
        </w:rPr>
        <w:t>the general public</w:t>
      </w:r>
      <w:r w:rsidRPr="00097E1C">
        <w:rPr>
          <w:color w:val="000033"/>
        </w:rPr>
        <w:t xml:space="preserve">. </w:t>
      </w:r>
      <w:r>
        <w:rPr>
          <w:color w:val="000033"/>
        </w:rPr>
        <w:t>Importance of context is generally focused on by t</w:t>
      </w:r>
      <w:r w:rsidRPr="00097E1C">
        <w:rPr>
          <w:color w:val="000033"/>
        </w:rPr>
        <w:t xml:space="preserve">he </w:t>
      </w:r>
      <w:r>
        <w:rPr>
          <w:color w:val="000033"/>
        </w:rPr>
        <w:t>E</w:t>
      </w:r>
      <w:r w:rsidRPr="00097E1C">
        <w:rPr>
          <w:color w:val="000033"/>
        </w:rPr>
        <w:t>uropean</w:t>
      </w:r>
      <w:r>
        <w:rPr>
          <w:color w:val="000033"/>
        </w:rPr>
        <w:t>s, while</w:t>
      </w:r>
      <w:r w:rsidRPr="00097E1C">
        <w:rPr>
          <w:color w:val="000033"/>
        </w:rPr>
        <w:t xml:space="preserve">; the </w:t>
      </w:r>
      <w:r>
        <w:rPr>
          <w:color w:val="000033"/>
        </w:rPr>
        <w:t>Americans tend to focus on</w:t>
      </w:r>
      <w:r w:rsidRPr="00097E1C">
        <w:rPr>
          <w:color w:val="000033"/>
        </w:rPr>
        <w:t xml:space="preserve"> “best practice</w:t>
      </w:r>
      <w:r>
        <w:rPr>
          <w:color w:val="000033"/>
        </w:rPr>
        <w:t>s”, leading to standard KPI and scorecards.</w:t>
      </w:r>
      <w:r w:rsidR="00E9011F">
        <w:rPr>
          <w:color w:val="000033"/>
        </w:rPr>
        <w:t xml:space="preserve">  </w:t>
      </w:r>
      <w:sdt>
        <w:sdtPr>
          <w:rPr>
            <w:color w:val="000033"/>
          </w:rPr>
          <w:id w:val="90920371"/>
          <w:citation/>
        </w:sdtPr>
        <w:sdtContent>
          <w:r w:rsidR="00F719FF">
            <w:rPr>
              <w:color w:val="000033"/>
            </w:rPr>
            <w:fldChar w:fldCharType="begin"/>
          </w:r>
          <w:r w:rsidR="00E9011F">
            <w:rPr>
              <w:color w:val="000033"/>
              <w:lang w:val="en-AU"/>
            </w:rPr>
            <w:instrText xml:space="preserve"> CITATION Joh96 \l 3081 </w:instrText>
          </w:r>
          <w:r w:rsidR="00F719FF">
            <w:rPr>
              <w:color w:val="000033"/>
            </w:rPr>
            <w:fldChar w:fldCharType="separate"/>
          </w:r>
          <w:r w:rsidR="00E9011F" w:rsidRPr="00E9011F">
            <w:rPr>
              <w:noProof/>
              <w:color w:val="000033"/>
              <w:lang w:val="en-AU"/>
            </w:rPr>
            <w:t>(Delery &amp; Doty, 1996)</w:t>
          </w:r>
          <w:r w:rsidR="00F719FF">
            <w:rPr>
              <w:color w:val="000033"/>
            </w:rPr>
            <w:fldChar w:fldCharType="end"/>
          </w:r>
        </w:sdtContent>
      </w:sdt>
    </w:p>
    <w:p w:rsidR="00976CCE" w:rsidRPr="0081103C" w:rsidRDefault="00976CCE" w:rsidP="00976CCE">
      <w:pPr>
        <w:autoSpaceDE w:val="0"/>
        <w:autoSpaceDN w:val="0"/>
        <w:adjustRightInd w:val="0"/>
        <w:rPr>
          <w:color w:val="000033"/>
        </w:rPr>
      </w:pPr>
      <w:r w:rsidRPr="0081103C">
        <w:rPr>
          <w:color w:val="000033"/>
        </w:rPr>
        <w:t>The functional view of HR is often classified into the following activities with varying amount</w:t>
      </w:r>
      <w:r>
        <w:rPr>
          <w:rFonts w:ascii="Helvetica" w:hAnsi="Helvetica" w:cs="Helvetica"/>
        </w:rPr>
        <w:t xml:space="preserve"> of </w:t>
      </w:r>
      <w:r w:rsidRPr="0081103C">
        <w:rPr>
          <w:color w:val="000033"/>
        </w:rPr>
        <w:t>research dedicated to each function. An analysis of this is categorized below:</w:t>
      </w:r>
    </w:p>
    <w:p w:rsidR="00976CCE" w:rsidRDefault="00576085" w:rsidP="002D4ABA">
      <w:pPr>
        <w:pStyle w:val="Heading2"/>
      </w:pPr>
      <w:bookmarkStart w:id="4" w:name="_Toc507677438"/>
      <w:r>
        <w:t xml:space="preserve">Issue in </w:t>
      </w:r>
      <w:r w:rsidR="00976CCE">
        <w:t>Job Design.</w:t>
      </w:r>
      <w:bookmarkEnd w:id="4"/>
      <w:r w:rsidR="00976CCE">
        <w:t xml:space="preserve"> </w:t>
      </w:r>
    </w:p>
    <w:p w:rsidR="00576085" w:rsidRDefault="00FC1145" w:rsidP="00976CCE">
      <w:pPr>
        <w:autoSpaceDE w:val="0"/>
        <w:autoSpaceDN w:val="0"/>
        <w:adjustRightInd w:val="0"/>
        <w:rPr>
          <w:color w:val="000033"/>
        </w:rPr>
      </w:pPr>
      <w:r>
        <w:rPr>
          <w:color w:val="000033"/>
        </w:rPr>
        <w:t>Job Design is an identified issue in Unibank case. In the preliminary explanation, “</w:t>
      </w:r>
      <w:r w:rsidRPr="00FC1145">
        <w:rPr>
          <w:color w:val="000033"/>
        </w:rPr>
        <w:t xml:space="preserve">Many </w:t>
      </w:r>
      <w:proofErr w:type="gramStart"/>
      <w:r w:rsidRPr="00FC1145">
        <w:rPr>
          <w:color w:val="000033"/>
        </w:rPr>
        <w:t>feel</w:t>
      </w:r>
      <w:proofErr w:type="gramEnd"/>
      <w:r w:rsidRPr="00FC1145">
        <w:rPr>
          <w:color w:val="000033"/>
        </w:rPr>
        <w:t xml:space="preserve"> that they are like ‘battery hens’ working in an intensive manner, with little control over the number and types of calls which they receive and limited opportunity to recover from one call </w:t>
      </w:r>
      <w:r w:rsidRPr="00FC1145">
        <w:rPr>
          <w:color w:val="000033"/>
        </w:rPr>
        <w:lastRenderedPageBreak/>
        <w:t>before receiving the next.</w:t>
      </w:r>
      <w:r>
        <w:rPr>
          <w:color w:val="000033"/>
        </w:rPr>
        <w:t>” Indicates that while the roles are clearly defined, there is a general mismatch between the employee expectation of the job role and that which is required for the bank’s operation.</w:t>
      </w:r>
    </w:p>
    <w:p w:rsidR="00976CCE" w:rsidRPr="0081103C" w:rsidRDefault="00976CCE" w:rsidP="004F3B99">
      <w:r w:rsidRPr="0081103C">
        <w:t xml:space="preserve">The changing work environment due to different forces, such as globalization has seen researchers proposing changes to employment arrangements and measures to the job that are “valid, comprehensive, and applicable across contexts”. </w:t>
      </w:r>
      <w:sdt>
        <w:sdtPr>
          <w:id w:val="15888815"/>
          <w:citation/>
        </w:sdtPr>
        <w:sdtContent>
          <w:r w:rsidR="00F719FF">
            <w:fldChar w:fldCharType="begin"/>
          </w:r>
          <w:r w:rsidR="001069C3">
            <w:rPr>
              <w:lang w:val="en-AU"/>
            </w:rPr>
            <w:instrText xml:space="preserve"> CITATION Edw99 \l 3081 </w:instrText>
          </w:r>
          <w:r w:rsidR="00F719FF">
            <w:fldChar w:fldCharType="separate"/>
          </w:r>
          <w:r w:rsidR="001069C3" w:rsidRPr="001069C3">
            <w:rPr>
              <w:noProof/>
              <w:lang w:val="en-AU"/>
            </w:rPr>
            <w:t>(Edwards, Scully, &amp; Brtek, 1999)</w:t>
          </w:r>
          <w:r w:rsidR="00F719FF">
            <w:fldChar w:fldCharType="end"/>
          </w:r>
        </w:sdtContent>
      </w:sdt>
    </w:p>
    <w:p w:rsidR="00976CCE" w:rsidRPr="0081103C" w:rsidRDefault="00976CCE" w:rsidP="00976CCE">
      <w:pPr>
        <w:autoSpaceDE w:val="0"/>
        <w:autoSpaceDN w:val="0"/>
        <w:adjustRightInd w:val="0"/>
        <w:rPr>
          <w:color w:val="000033"/>
        </w:rPr>
      </w:pPr>
      <w:r w:rsidRPr="0081103C">
        <w:rPr>
          <w:color w:val="000033"/>
        </w:rPr>
        <w:t xml:space="preserve">Since the core value for employing staff is to increase productivity, areas that affect employee performance, such as participation and satisfaction, is one of the key decision areas to consider in job design. </w:t>
      </w:r>
      <w:sdt>
        <w:sdtPr>
          <w:rPr>
            <w:color w:val="000033"/>
          </w:rPr>
          <w:id w:val="15888816"/>
          <w:citation/>
        </w:sdtPr>
        <w:sdtContent>
          <w:r w:rsidR="00F719FF">
            <w:rPr>
              <w:color w:val="000033"/>
            </w:rPr>
            <w:fldChar w:fldCharType="begin"/>
          </w:r>
          <w:r w:rsidR="00B916BE">
            <w:rPr>
              <w:color w:val="000033"/>
              <w:lang w:val="en-AU"/>
            </w:rPr>
            <w:instrText xml:space="preserve"> CITATION Loc97 \l 3081  </w:instrText>
          </w:r>
          <w:r w:rsidR="00F719FF">
            <w:rPr>
              <w:color w:val="000033"/>
            </w:rPr>
            <w:fldChar w:fldCharType="separate"/>
          </w:r>
          <w:r w:rsidR="00B916BE" w:rsidRPr="00B916BE">
            <w:rPr>
              <w:noProof/>
              <w:color w:val="000033"/>
              <w:lang w:val="en-AU"/>
            </w:rPr>
            <w:t>(Locke, Alavi, &amp; Wagner, 1997)</w:t>
          </w:r>
          <w:r w:rsidR="00F719FF">
            <w:rPr>
              <w:color w:val="000033"/>
            </w:rPr>
            <w:fldChar w:fldCharType="end"/>
          </w:r>
        </w:sdtContent>
      </w:sdt>
      <w:r w:rsidRPr="0081103C">
        <w:rPr>
          <w:color w:val="000033"/>
        </w:rPr>
        <w:t xml:space="preserve"> </w:t>
      </w:r>
      <w:r w:rsidR="00B916BE">
        <w:rPr>
          <w:color w:val="000033"/>
        </w:rPr>
        <w:t>However,</w:t>
      </w:r>
      <w:r w:rsidRPr="0081103C">
        <w:rPr>
          <w:color w:val="000033"/>
        </w:rPr>
        <w:t xml:space="preserve"> knowledge </w:t>
      </w:r>
      <w:r w:rsidR="00B916BE">
        <w:rPr>
          <w:color w:val="000033"/>
        </w:rPr>
        <w:t xml:space="preserve">inside the domain </w:t>
      </w:r>
      <w:r w:rsidRPr="0081103C">
        <w:rPr>
          <w:color w:val="000033"/>
        </w:rPr>
        <w:t>is still a major variable on the effect on performance.</w:t>
      </w:r>
      <w:r w:rsidR="00B916BE">
        <w:rPr>
          <w:color w:val="000033"/>
        </w:rPr>
        <w:t xml:space="preserve"> </w:t>
      </w:r>
      <w:sdt>
        <w:sdtPr>
          <w:rPr>
            <w:color w:val="000033"/>
          </w:rPr>
          <w:id w:val="15888817"/>
          <w:citation/>
        </w:sdtPr>
        <w:sdtContent>
          <w:r w:rsidR="00F719FF">
            <w:rPr>
              <w:color w:val="000033"/>
            </w:rPr>
            <w:fldChar w:fldCharType="begin"/>
          </w:r>
          <w:r w:rsidR="00B916BE">
            <w:rPr>
              <w:color w:val="000033"/>
              <w:lang w:val="en-AU"/>
            </w:rPr>
            <w:instrText xml:space="preserve"> CITATION Scu95 \l 3081 </w:instrText>
          </w:r>
          <w:r w:rsidR="00F719FF">
            <w:rPr>
              <w:color w:val="000033"/>
            </w:rPr>
            <w:fldChar w:fldCharType="separate"/>
          </w:r>
          <w:r w:rsidR="00B916BE" w:rsidRPr="00B916BE">
            <w:rPr>
              <w:noProof/>
              <w:color w:val="000033"/>
              <w:lang w:val="en-AU"/>
            </w:rPr>
            <w:t>(Scully, Kirkpatrick, &amp; Locke, 1995)</w:t>
          </w:r>
          <w:r w:rsidR="00F719FF">
            <w:rPr>
              <w:color w:val="000033"/>
            </w:rPr>
            <w:fldChar w:fldCharType="end"/>
          </w:r>
        </w:sdtContent>
      </w:sdt>
    </w:p>
    <w:p w:rsidR="00976CCE" w:rsidRPr="0081103C" w:rsidRDefault="00976CCE" w:rsidP="00976CCE">
      <w:pPr>
        <w:autoSpaceDE w:val="0"/>
        <w:autoSpaceDN w:val="0"/>
        <w:adjustRightInd w:val="0"/>
        <w:rPr>
          <w:color w:val="000033"/>
        </w:rPr>
      </w:pPr>
      <w:r w:rsidRPr="0081103C">
        <w:rPr>
          <w:color w:val="000033"/>
        </w:rPr>
        <w:t xml:space="preserve">Perceived fairness also plays a role in satisfaction, with procedural justice providing mediation between task satisfaction and participation, for example, it was found that employees closely participated inside the change </w:t>
      </w:r>
      <w:r w:rsidR="009F54A7" w:rsidRPr="0081103C">
        <w:rPr>
          <w:color w:val="000033"/>
        </w:rPr>
        <w:t>process;</w:t>
      </w:r>
      <w:r w:rsidRPr="0081103C">
        <w:rPr>
          <w:color w:val="000033"/>
        </w:rPr>
        <w:t xml:space="preserve"> it enhanced their openness to workplace change. </w:t>
      </w:r>
      <w:sdt>
        <w:sdtPr>
          <w:rPr>
            <w:color w:val="000033"/>
          </w:rPr>
          <w:id w:val="15888818"/>
          <w:citation/>
        </w:sdtPr>
        <w:sdtContent>
          <w:r w:rsidR="00F719FF">
            <w:rPr>
              <w:color w:val="000033"/>
            </w:rPr>
            <w:fldChar w:fldCharType="begin"/>
          </w:r>
          <w:r w:rsidR="009F54A7">
            <w:rPr>
              <w:color w:val="000033"/>
              <w:lang w:val="en-AU"/>
            </w:rPr>
            <w:instrText xml:space="preserve"> CITATION Rob99 \l 3081  \m Wan00</w:instrText>
          </w:r>
          <w:r w:rsidR="00F719FF">
            <w:rPr>
              <w:color w:val="000033"/>
            </w:rPr>
            <w:fldChar w:fldCharType="separate"/>
          </w:r>
          <w:r w:rsidR="009F54A7" w:rsidRPr="009F54A7">
            <w:rPr>
              <w:noProof/>
              <w:color w:val="000033"/>
              <w:lang w:val="en-AU"/>
            </w:rPr>
            <w:t>(Roberson, Moye, &amp; Locke, 1999; Wanberg &amp; Banas, 2000)</w:t>
          </w:r>
          <w:r w:rsidR="00F719FF">
            <w:rPr>
              <w:color w:val="000033"/>
            </w:rPr>
            <w:fldChar w:fldCharType="end"/>
          </w:r>
        </w:sdtContent>
      </w:sdt>
      <w:r w:rsidRPr="0081103C">
        <w:rPr>
          <w:color w:val="000033"/>
        </w:rPr>
        <w:t xml:space="preserve"> </w:t>
      </w:r>
    </w:p>
    <w:p w:rsidR="00976CCE" w:rsidRDefault="00384BD0" w:rsidP="002D4ABA">
      <w:pPr>
        <w:pStyle w:val="Heading2"/>
      </w:pPr>
      <w:bookmarkStart w:id="5" w:name="_Toc507677439"/>
      <w:r>
        <w:t xml:space="preserve">Issues in </w:t>
      </w:r>
      <w:r w:rsidR="00976CCE">
        <w:t>Selection</w:t>
      </w:r>
      <w:bookmarkEnd w:id="5"/>
      <w:r w:rsidR="00976CCE">
        <w:t xml:space="preserve"> </w:t>
      </w:r>
    </w:p>
    <w:p w:rsidR="009E5A58" w:rsidRDefault="009E5A58" w:rsidP="00976CCE">
      <w:pPr>
        <w:autoSpaceDE w:val="0"/>
        <w:autoSpaceDN w:val="0"/>
        <w:adjustRightInd w:val="0"/>
        <w:rPr>
          <w:color w:val="000033"/>
        </w:rPr>
      </w:pPr>
      <w:r>
        <w:rPr>
          <w:color w:val="000033"/>
        </w:rPr>
        <w:t>“</w:t>
      </w:r>
      <w:r w:rsidRPr="009E5A58">
        <w:rPr>
          <w:color w:val="000033"/>
        </w:rPr>
        <w:t xml:space="preserve">The call centre staff are also beginning to complain about aspects of the work. Unibank carried out </w:t>
      </w:r>
      <w:proofErr w:type="gramStart"/>
      <w:r w:rsidRPr="009E5A58">
        <w:rPr>
          <w:color w:val="000033"/>
        </w:rPr>
        <w:t>a staff survey 6 months</w:t>
      </w:r>
      <w:proofErr w:type="gramEnd"/>
      <w:r w:rsidRPr="009E5A58">
        <w:rPr>
          <w:color w:val="000033"/>
        </w:rPr>
        <w:t xml:space="preserve"> after the start of the operation and again after a further 3 months and the findings of the second survey reflect the increased pressures by revealing a higher degree of discontent than that noted in the first survey</w:t>
      </w:r>
      <w:r>
        <w:rPr>
          <w:color w:val="000033"/>
        </w:rPr>
        <w:t>.” This indicates that during the recruitment and the formation of teams, the selection of staffs is an issue. This is further supported by the summarized findings that “</w:t>
      </w:r>
      <w:r w:rsidRPr="009E5A58">
        <w:rPr>
          <w:color w:val="000033"/>
        </w:rPr>
        <w:t>Workers say that they often feel very isolated from their colleagues, which leads to a certain unhealthy rivalry both within and between shifts</w:t>
      </w:r>
      <w:r>
        <w:rPr>
          <w:color w:val="000033"/>
        </w:rPr>
        <w:t>”.</w:t>
      </w:r>
    </w:p>
    <w:p w:rsidR="00976CCE" w:rsidRDefault="00976CCE" w:rsidP="00976CCE">
      <w:pPr>
        <w:autoSpaceDE w:val="0"/>
        <w:autoSpaceDN w:val="0"/>
        <w:adjustRightInd w:val="0"/>
        <w:rPr>
          <w:color w:val="000033"/>
        </w:rPr>
      </w:pPr>
      <w:r w:rsidRPr="0081103C">
        <w:rPr>
          <w:color w:val="000033"/>
        </w:rPr>
        <w:t>Personality framework is used as predictor of employee effectiveness for selections. The well accepted one include</w:t>
      </w:r>
      <w:r w:rsidR="00ED039F">
        <w:rPr>
          <w:color w:val="000033"/>
        </w:rPr>
        <w:t xml:space="preserve">s Goldberg’s </w:t>
      </w:r>
      <w:r w:rsidRPr="0081103C">
        <w:rPr>
          <w:color w:val="000033"/>
        </w:rPr>
        <w:t xml:space="preserve"> </w:t>
      </w:r>
      <w:sdt>
        <w:sdtPr>
          <w:rPr>
            <w:color w:val="000033"/>
          </w:rPr>
          <w:id w:val="15888841"/>
          <w:citation/>
        </w:sdtPr>
        <w:sdtContent>
          <w:r w:rsidR="00F719FF">
            <w:rPr>
              <w:color w:val="000033"/>
            </w:rPr>
            <w:fldChar w:fldCharType="begin"/>
          </w:r>
          <w:r w:rsidR="00ED039F">
            <w:rPr>
              <w:color w:val="000033"/>
              <w:lang w:val="en-AU"/>
            </w:rPr>
            <w:instrText xml:space="preserve"> CITATION Gol90 \n  \t  \l 3081  </w:instrText>
          </w:r>
          <w:r w:rsidR="00F719FF">
            <w:rPr>
              <w:color w:val="000033"/>
            </w:rPr>
            <w:fldChar w:fldCharType="separate"/>
          </w:r>
          <w:r w:rsidR="00ED039F" w:rsidRPr="00ED039F">
            <w:rPr>
              <w:noProof/>
              <w:color w:val="000033"/>
              <w:lang w:val="en-AU"/>
            </w:rPr>
            <w:t>(1990)</w:t>
          </w:r>
          <w:r w:rsidR="00F719FF">
            <w:rPr>
              <w:color w:val="000033"/>
            </w:rPr>
            <w:fldChar w:fldCharType="end"/>
          </w:r>
        </w:sdtContent>
      </w:sdt>
      <w:r w:rsidR="00ED039F">
        <w:rPr>
          <w:color w:val="000033"/>
        </w:rPr>
        <w:t xml:space="preserve"> </w:t>
      </w:r>
      <w:r w:rsidRPr="0081103C">
        <w:rPr>
          <w:color w:val="000033"/>
        </w:rPr>
        <w:t xml:space="preserve">“Big Five”, and is supported by scholars as having relevance in predicting task and contextual performance </w:t>
      </w:r>
      <w:sdt>
        <w:sdtPr>
          <w:rPr>
            <w:color w:val="000033"/>
          </w:rPr>
          <w:id w:val="15888842"/>
          <w:citation/>
        </w:sdtPr>
        <w:sdtContent>
          <w:r w:rsidR="00F719FF">
            <w:rPr>
              <w:color w:val="000033"/>
            </w:rPr>
            <w:fldChar w:fldCharType="begin"/>
          </w:r>
          <w:r w:rsidR="00A56090">
            <w:rPr>
              <w:color w:val="000033"/>
              <w:lang w:val="en-AU"/>
            </w:rPr>
            <w:instrText xml:space="preserve"> CITATION McM99 \l 3081 </w:instrText>
          </w:r>
          <w:r w:rsidR="00F719FF">
            <w:rPr>
              <w:color w:val="000033"/>
            </w:rPr>
            <w:fldChar w:fldCharType="separate"/>
          </w:r>
          <w:r w:rsidR="00A56090" w:rsidRPr="00A56090">
            <w:rPr>
              <w:noProof/>
              <w:color w:val="000033"/>
              <w:lang w:val="en-AU"/>
            </w:rPr>
            <w:t>(McManus &amp; Kelly, 1999)</w:t>
          </w:r>
          <w:r w:rsidR="00F719FF">
            <w:rPr>
              <w:color w:val="000033"/>
            </w:rPr>
            <w:fldChar w:fldCharType="end"/>
          </w:r>
        </w:sdtContent>
      </w:sdt>
      <w:r w:rsidRPr="0081103C">
        <w:rPr>
          <w:color w:val="000033"/>
        </w:rPr>
        <w:t xml:space="preserve">, leadership </w:t>
      </w:r>
      <w:sdt>
        <w:sdtPr>
          <w:rPr>
            <w:color w:val="000033"/>
          </w:rPr>
          <w:id w:val="15888840"/>
          <w:citation/>
        </w:sdtPr>
        <w:sdtContent>
          <w:r w:rsidR="00F719FF">
            <w:rPr>
              <w:color w:val="000033"/>
            </w:rPr>
            <w:fldChar w:fldCharType="begin"/>
          </w:r>
          <w:r w:rsidR="0052562F">
            <w:rPr>
              <w:color w:val="000033"/>
              <w:lang w:val="en-AU"/>
            </w:rPr>
            <w:instrText xml:space="preserve"> CITATION Jud00 \l 3081 </w:instrText>
          </w:r>
          <w:r w:rsidR="00F719FF">
            <w:rPr>
              <w:color w:val="000033"/>
            </w:rPr>
            <w:fldChar w:fldCharType="separate"/>
          </w:r>
          <w:r w:rsidR="0052562F" w:rsidRPr="0052562F">
            <w:rPr>
              <w:noProof/>
              <w:color w:val="000033"/>
              <w:lang w:val="en-AU"/>
            </w:rPr>
            <w:t>(Judge &amp; Bono, 2000)</w:t>
          </w:r>
          <w:r w:rsidR="00F719FF">
            <w:rPr>
              <w:color w:val="000033"/>
            </w:rPr>
            <w:fldChar w:fldCharType="end"/>
          </w:r>
        </w:sdtContent>
      </w:sdt>
      <w:r w:rsidRPr="0081103C">
        <w:rPr>
          <w:color w:val="000033"/>
        </w:rPr>
        <w:t>, career success and employment status.</w:t>
      </w:r>
      <w:sdt>
        <w:sdtPr>
          <w:rPr>
            <w:color w:val="000033"/>
          </w:rPr>
          <w:id w:val="15888843"/>
          <w:citation/>
        </w:sdtPr>
        <w:sdtContent>
          <w:r w:rsidR="00F719FF">
            <w:rPr>
              <w:color w:val="000033"/>
            </w:rPr>
            <w:fldChar w:fldCharType="begin"/>
          </w:r>
          <w:r w:rsidR="00A56090">
            <w:rPr>
              <w:color w:val="000033"/>
              <w:lang w:val="en-AU"/>
            </w:rPr>
            <w:instrText xml:space="preserve"> CITATION Bou01 \l 3081 </w:instrText>
          </w:r>
          <w:r w:rsidR="00F719FF">
            <w:rPr>
              <w:color w:val="000033"/>
            </w:rPr>
            <w:fldChar w:fldCharType="separate"/>
          </w:r>
          <w:r w:rsidR="00A56090">
            <w:rPr>
              <w:noProof/>
              <w:color w:val="000033"/>
              <w:lang w:val="en-AU"/>
            </w:rPr>
            <w:t xml:space="preserve"> </w:t>
          </w:r>
          <w:r w:rsidR="00A56090" w:rsidRPr="00A56090">
            <w:rPr>
              <w:noProof/>
              <w:color w:val="000033"/>
              <w:lang w:val="en-AU"/>
            </w:rPr>
            <w:t>(Boudreau, Boswell, &amp; Judge, 2001)</w:t>
          </w:r>
          <w:r w:rsidR="00F719FF">
            <w:rPr>
              <w:color w:val="000033"/>
            </w:rPr>
            <w:fldChar w:fldCharType="end"/>
          </w:r>
        </w:sdtContent>
      </w:sdt>
      <w:r w:rsidR="00A56090">
        <w:rPr>
          <w:color w:val="000033"/>
        </w:rPr>
        <w:t xml:space="preserve"> </w:t>
      </w:r>
    </w:p>
    <w:p w:rsidR="0052562F" w:rsidRDefault="00976CCE" w:rsidP="004F3B99">
      <w:r w:rsidRPr="0081103C">
        <w:t xml:space="preserve">Researchers found that extraversion and agreeableness, of the “Big Five” framework, predicted positive transformational leadership </w:t>
      </w:r>
      <w:proofErr w:type="spellStart"/>
      <w:r w:rsidRPr="0081103C">
        <w:t>behavior</w:t>
      </w:r>
      <w:proofErr w:type="spellEnd"/>
      <w:r w:rsidRPr="0081103C">
        <w:t xml:space="preserve">; while other dimensions such as conscientiousness, were non-significant. </w:t>
      </w:r>
      <w:r w:rsidR="0052562F">
        <w:t xml:space="preserve"> </w:t>
      </w:r>
      <w:sdt>
        <w:sdtPr>
          <w:id w:val="15888839"/>
          <w:citation/>
        </w:sdtPr>
        <w:sdtContent>
          <w:r w:rsidR="00F719FF">
            <w:fldChar w:fldCharType="begin"/>
          </w:r>
          <w:r w:rsidR="0052562F">
            <w:rPr>
              <w:lang w:val="en-AU"/>
            </w:rPr>
            <w:instrText xml:space="preserve"> CITATION Jud00 \l 3081 </w:instrText>
          </w:r>
          <w:r w:rsidR="00F719FF">
            <w:fldChar w:fldCharType="separate"/>
          </w:r>
          <w:r w:rsidR="0052562F" w:rsidRPr="0052562F">
            <w:rPr>
              <w:noProof/>
              <w:lang w:val="en-AU"/>
            </w:rPr>
            <w:t>(Judge &amp; Bono, 2000)</w:t>
          </w:r>
          <w:r w:rsidR="00F719FF">
            <w:fldChar w:fldCharType="end"/>
          </w:r>
        </w:sdtContent>
      </w:sdt>
    </w:p>
    <w:p w:rsidR="00A56090" w:rsidRPr="0081103C" w:rsidRDefault="00A56090" w:rsidP="0052562F">
      <w:pPr>
        <w:autoSpaceDE w:val="0"/>
        <w:autoSpaceDN w:val="0"/>
        <w:adjustRightInd w:val="0"/>
        <w:spacing w:after="0" w:line="240" w:lineRule="auto"/>
        <w:rPr>
          <w:color w:val="000033"/>
        </w:rPr>
      </w:pPr>
    </w:p>
    <w:p w:rsidR="00976CCE" w:rsidRPr="0081103C" w:rsidRDefault="00976CCE" w:rsidP="00104075">
      <w:pPr>
        <w:autoSpaceDE w:val="0"/>
        <w:autoSpaceDN w:val="0"/>
        <w:adjustRightInd w:val="0"/>
        <w:rPr>
          <w:color w:val="000033"/>
        </w:rPr>
      </w:pPr>
      <w:r w:rsidRPr="0081103C">
        <w:rPr>
          <w:color w:val="000033"/>
        </w:rPr>
        <w:t>Other selection</w:t>
      </w:r>
      <w:r w:rsidR="0007669C">
        <w:rPr>
          <w:color w:val="000033"/>
        </w:rPr>
        <w:t xml:space="preserve"> topics</w:t>
      </w:r>
      <w:r w:rsidRPr="0081103C">
        <w:rPr>
          <w:color w:val="000033"/>
        </w:rPr>
        <w:t xml:space="preserve"> has focused on the selection interview</w:t>
      </w:r>
      <w:r w:rsidR="0007669C">
        <w:rPr>
          <w:color w:val="000033"/>
        </w:rPr>
        <w:t xml:space="preserve"> effectiveness</w:t>
      </w:r>
      <w:r w:rsidRPr="0081103C">
        <w:rPr>
          <w:color w:val="000033"/>
        </w:rPr>
        <w:t xml:space="preserve"> </w:t>
      </w:r>
      <w:sdt>
        <w:sdtPr>
          <w:rPr>
            <w:color w:val="000033"/>
          </w:rPr>
          <w:id w:val="15888844"/>
          <w:citation/>
        </w:sdtPr>
        <w:sdtContent>
          <w:r w:rsidR="00F719FF">
            <w:rPr>
              <w:color w:val="000033"/>
            </w:rPr>
            <w:fldChar w:fldCharType="begin"/>
          </w:r>
          <w:r w:rsidR="0007669C">
            <w:rPr>
              <w:color w:val="000033"/>
              <w:lang w:val="en-AU"/>
            </w:rPr>
            <w:instrText xml:space="preserve"> CITATION Bar00 \l 3081 </w:instrText>
          </w:r>
          <w:r w:rsidR="00F719FF">
            <w:rPr>
              <w:color w:val="000033"/>
            </w:rPr>
            <w:fldChar w:fldCharType="separate"/>
          </w:r>
          <w:r w:rsidR="0007669C" w:rsidRPr="0007669C">
            <w:rPr>
              <w:noProof/>
              <w:color w:val="000033"/>
              <w:lang w:val="en-AU"/>
            </w:rPr>
            <w:t>(Barrick, Patton, &amp; Haugland, 2000)</w:t>
          </w:r>
          <w:r w:rsidR="00F719FF">
            <w:rPr>
              <w:color w:val="000033"/>
            </w:rPr>
            <w:fldChar w:fldCharType="end"/>
          </w:r>
        </w:sdtContent>
      </w:sdt>
      <w:r w:rsidRPr="0081103C">
        <w:rPr>
          <w:color w:val="000033"/>
        </w:rPr>
        <w:t xml:space="preserve">, test-taking motivation </w:t>
      </w:r>
      <w:sdt>
        <w:sdtPr>
          <w:rPr>
            <w:color w:val="000033"/>
          </w:rPr>
          <w:id w:val="15888845"/>
          <w:citation/>
        </w:sdtPr>
        <w:sdtContent>
          <w:r w:rsidR="00F719FF">
            <w:rPr>
              <w:color w:val="000033"/>
            </w:rPr>
            <w:fldChar w:fldCharType="begin"/>
          </w:r>
          <w:r w:rsidR="0007669C">
            <w:rPr>
              <w:color w:val="000033"/>
              <w:lang w:val="en-AU"/>
            </w:rPr>
            <w:instrText xml:space="preserve"> CITATION San00 \l 3081  </w:instrText>
          </w:r>
          <w:r w:rsidR="00F719FF">
            <w:rPr>
              <w:color w:val="000033"/>
            </w:rPr>
            <w:fldChar w:fldCharType="separate"/>
          </w:r>
          <w:r w:rsidR="0007669C" w:rsidRPr="0007669C">
            <w:rPr>
              <w:noProof/>
              <w:color w:val="000033"/>
              <w:lang w:val="en-AU"/>
            </w:rPr>
            <w:t>(Sanchez, Truxillo, &amp; Bauer, 2000)</w:t>
          </w:r>
          <w:r w:rsidR="00F719FF">
            <w:rPr>
              <w:color w:val="000033"/>
            </w:rPr>
            <w:fldChar w:fldCharType="end"/>
          </w:r>
        </w:sdtContent>
      </w:sdt>
      <w:r w:rsidRPr="0081103C">
        <w:rPr>
          <w:color w:val="000033"/>
        </w:rPr>
        <w:t>, applicant reactions to selection systems</w:t>
      </w:r>
      <w:r w:rsidR="0007669C">
        <w:rPr>
          <w:color w:val="000033"/>
        </w:rPr>
        <w:t>.</w:t>
      </w:r>
      <w:r w:rsidRPr="0081103C">
        <w:rPr>
          <w:color w:val="000033"/>
        </w:rPr>
        <w:t xml:space="preserve"> </w:t>
      </w:r>
      <w:sdt>
        <w:sdtPr>
          <w:rPr>
            <w:color w:val="000033"/>
          </w:rPr>
          <w:id w:val="15888846"/>
          <w:citation/>
        </w:sdtPr>
        <w:sdtContent>
          <w:r w:rsidR="00F719FF">
            <w:rPr>
              <w:color w:val="000033"/>
            </w:rPr>
            <w:fldChar w:fldCharType="begin"/>
          </w:r>
          <w:r w:rsidR="00061CC6">
            <w:rPr>
              <w:color w:val="000033"/>
              <w:lang w:val="en-AU"/>
            </w:rPr>
            <w:instrText xml:space="preserve"> CITATION Rya00 \l 3081 </w:instrText>
          </w:r>
          <w:r w:rsidR="00F719FF">
            <w:rPr>
              <w:color w:val="000033"/>
            </w:rPr>
            <w:fldChar w:fldCharType="separate"/>
          </w:r>
          <w:r w:rsidR="00061CC6" w:rsidRPr="00061CC6">
            <w:rPr>
              <w:noProof/>
              <w:color w:val="000033"/>
              <w:lang w:val="en-AU"/>
            </w:rPr>
            <w:t>(Ryan &amp; Ployhart, 2000)</w:t>
          </w:r>
          <w:r w:rsidR="00F719FF">
            <w:rPr>
              <w:color w:val="000033"/>
            </w:rPr>
            <w:fldChar w:fldCharType="end"/>
          </w:r>
        </w:sdtContent>
      </w:sdt>
      <w:r w:rsidR="00061CC6">
        <w:rPr>
          <w:color w:val="000033"/>
        </w:rPr>
        <w:t xml:space="preserve"> </w:t>
      </w:r>
    </w:p>
    <w:p w:rsidR="00815938" w:rsidRDefault="00384BD0" w:rsidP="002D4ABA">
      <w:pPr>
        <w:pStyle w:val="Heading2"/>
      </w:pPr>
      <w:bookmarkStart w:id="6" w:name="_Toc507677440"/>
      <w:r>
        <w:t xml:space="preserve">Issues in </w:t>
      </w:r>
      <w:r w:rsidR="00815938" w:rsidRPr="00815938">
        <w:t>Recruitment</w:t>
      </w:r>
      <w:bookmarkEnd w:id="6"/>
      <w:r w:rsidR="00815938" w:rsidRPr="00815938">
        <w:t xml:space="preserve"> </w:t>
      </w:r>
    </w:p>
    <w:p w:rsidR="00815938" w:rsidRDefault="00815938" w:rsidP="00104075">
      <w:pPr>
        <w:autoSpaceDE w:val="0"/>
        <w:autoSpaceDN w:val="0"/>
        <w:adjustRightInd w:val="0"/>
        <w:rPr>
          <w:color w:val="000033"/>
        </w:rPr>
      </w:pPr>
      <w:r w:rsidRPr="0081103C">
        <w:rPr>
          <w:color w:val="000033"/>
        </w:rPr>
        <w:t xml:space="preserve">In </w:t>
      </w:r>
      <w:proofErr w:type="spellStart"/>
      <w:r w:rsidRPr="0081103C">
        <w:rPr>
          <w:color w:val="000033"/>
        </w:rPr>
        <w:t>labor</w:t>
      </w:r>
      <w:proofErr w:type="spellEnd"/>
      <w:r w:rsidRPr="0081103C">
        <w:rPr>
          <w:color w:val="000033"/>
        </w:rPr>
        <w:t xml:space="preserve"> market </w:t>
      </w:r>
      <w:r w:rsidR="00384BD0">
        <w:rPr>
          <w:color w:val="000033"/>
        </w:rPr>
        <w:t>with insufficient resources</w:t>
      </w:r>
      <w:r w:rsidRPr="0081103C">
        <w:rPr>
          <w:color w:val="000033"/>
        </w:rPr>
        <w:t xml:space="preserve"> and where there is a large number of opportunities facing employees, the attractiveness of employers is a key determinant in the talent attraction. </w:t>
      </w:r>
      <w:r w:rsidR="00495658" w:rsidRPr="0081103C">
        <w:rPr>
          <w:color w:val="000033"/>
        </w:rPr>
        <w:t xml:space="preserve">Potential </w:t>
      </w:r>
      <w:r w:rsidR="005A71B1" w:rsidRPr="0081103C">
        <w:rPr>
          <w:color w:val="000033"/>
        </w:rPr>
        <w:t>candidate’s</w:t>
      </w:r>
      <w:r w:rsidR="00495658" w:rsidRPr="0081103C">
        <w:rPr>
          <w:color w:val="000033"/>
        </w:rPr>
        <w:t xml:space="preserve"> responses are affected by a number</w:t>
      </w:r>
      <w:r w:rsidR="005A71B1" w:rsidRPr="0081103C">
        <w:rPr>
          <w:color w:val="000033"/>
        </w:rPr>
        <w:t xml:space="preserve"> of factors, including whether they view the job as identity “blind” or “conscious”, whether compensation was individual or group performance based. </w:t>
      </w:r>
      <w:sdt>
        <w:sdtPr>
          <w:rPr>
            <w:color w:val="000033"/>
          </w:rPr>
          <w:id w:val="-528030930"/>
          <w:citation/>
        </w:sdtPr>
        <w:sdtContent>
          <w:r w:rsidR="000C740D">
            <w:rPr>
              <w:color w:val="000033"/>
            </w:rPr>
            <w:fldChar w:fldCharType="begin"/>
          </w:r>
          <w:r w:rsidR="000C740D">
            <w:rPr>
              <w:color w:val="000033"/>
            </w:rPr>
            <w:instrText xml:space="preserve"> CITATION Hig99 \l 15369 </w:instrText>
          </w:r>
          <w:r w:rsidR="000C740D">
            <w:rPr>
              <w:color w:val="000033"/>
            </w:rPr>
            <w:fldChar w:fldCharType="separate"/>
          </w:r>
          <w:r w:rsidR="000C740D" w:rsidRPr="000C740D">
            <w:rPr>
              <w:noProof/>
              <w:color w:val="000033"/>
            </w:rPr>
            <w:t>(Highhouse, Zickar, Thorsteinson, Stierwalt, &amp; Slaughter, 1999)</w:t>
          </w:r>
          <w:r w:rsidR="000C740D">
            <w:rPr>
              <w:color w:val="000033"/>
            </w:rPr>
            <w:fldChar w:fldCharType="end"/>
          </w:r>
        </w:sdtContent>
      </w:sdt>
      <w:r w:rsidR="000C740D">
        <w:rPr>
          <w:color w:val="000033"/>
        </w:rPr>
        <w:t xml:space="preserve"> </w:t>
      </w:r>
    </w:p>
    <w:p w:rsidR="009E5A58" w:rsidRPr="0081103C" w:rsidRDefault="009E5A58" w:rsidP="00104075">
      <w:pPr>
        <w:autoSpaceDE w:val="0"/>
        <w:autoSpaceDN w:val="0"/>
        <w:adjustRightInd w:val="0"/>
        <w:rPr>
          <w:color w:val="000033"/>
        </w:rPr>
      </w:pPr>
      <w:r>
        <w:rPr>
          <w:color w:val="000033"/>
        </w:rPr>
        <w:t>This is similar to the difficulty of recruitment and retention by Unibank, especially in its workforce, summarized in the finding “</w:t>
      </w:r>
      <w:r w:rsidRPr="009E5A58">
        <w:rPr>
          <w:color w:val="000033"/>
        </w:rPr>
        <w:t xml:space="preserve">Some are concerned about their employability and want formal recognition for their skills which would be transferable to other similar employers, of which there is an increasing number in the region. </w:t>
      </w:r>
      <w:proofErr w:type="gramStart"/>
      <w:r w:rsidRPr="009E5A58">
        <w:rPr>
          <w:color w:val="000033"/>
        </w:rPr>
        <w:t>Indeed</w:t>
      </w:r>
      <w:proofErr w:type="gramEnd"/>
      <w:r w:rsidRPr="009E5A58">
        <w:rPr>
          <w:color w:val="000033"/>
        </w:rPr>
        <w:t xml:space="preserve"> </w:t>
      </w:r>
      <w:proofErr w:type="spellStart"/>
      <w:r w:rsidRPr="009E5A58">
        <w:rPr>
          <w:color w:val="000033"/>
        </w:rPr>
        <w:t>Unicall</w:t>
      </w:r>
      <w:proofErr w:type="spellEnd"/>
      <w:r w:rsidRPr="009E5A58">
        <w:rPr>
          <w:color w:val="000033"/>
        </w:rPr>
        <w:t xml:space="preserve"> has already lost a number of its staff to other local call centres which have a more varied clientele and better career prospects</w:t>
      </w:r>
      <w:r>
        <w:rPr>
          <w:color w:val="000033"/>
        </w:rPr>
        <w:t>”.</w:t>
      </w:r>
    </w:p>
    <w:p w:rsidR="005A71B1" w:rsidRPr="0081103C" w:rsidRDefault="005A71B1" w:rsidP="00104075">
      <w:pPr>
        <w:autoSpaceDE w:val="0"/>
        <w:autoSpaceDN w:val="0"/>
        <w:adjustRightInd w:val="0"/>
        <w:rPr>
          <w:color w:val="000033"/>
        </w:rPr>
      </w:pPr>
      <w:r w:rsidRPr="0081103C">
        <w:rPr>
          <w:color w:val="000033"/>
        </w:rPr>
        <w:t>From another perspective, recruiters would use different type of information about the candidate to determine and distinguish between the “Person-Organisation” and “Person-Job” fit, however greater importance is traditionally placed on the “job” fit.</w:t>
      </w:r>
      <w:r w:rsidR="003A62C9" w:rsidRPr="0081103C">
        <w:rPr>
          <w:color w:val="000033"/>
        </w:rPr>
        <w:t xml:space="preserve"> </w:t>
      </w:r>
      <w:r w:rsidRPr="0081103C">
        <w:rPr>
          <w:color w:val="000033"/>
        </w:rPr>
        <w:t xml:space="preserve">(Kristof-Brown, 2000) </w:t>
      </w:r>
    </w:p>
    <w:p w:rsidR="002B1BFC" w:rsidRPr="002B1BFC" w:rsidRDefault="00384BD0" w:rsidP="002D4ABA">
      <w:pPr>
        <w:pStyle w:val="Heading2"/>
      </w:pPr>
      <w:bookmarkStart w:id="7" w:name="_Toc507677441"/>
      <w:r>
        <w:t xml:space="preserve">Issues in </w:t>
      </w:r>
      <w:r w:rsidR="002B1BFC" w:rsidRPr="002B1BFC">
        <w:t>Training and Development</w:t>
      </w:r>
      <w:bookmarkEnd w:id="7"/>
    </w:p>
    <w:p w:rsidR="00046DF4" w:rsidRDefault="002B1BFC" w:rsidP="002D4ABA">
      <w:pPr>
        <w:autoSpaceDE w:val="0"/>
        <w:autoSpaceDN w:val="0"/>
        <w:adjustRightInd w:val="0"/>
        <w:rPr>
          <w:color w:val="000033"/>
        </w:rPr>
      </w:pPr>
      <w:r w:rsidRPr="0081103C">
        <w:rPr>
          <w:color w:val="000033"/>
        </w:rPr>
        <w:t xml:space="preserve">Training and development are often focused on both self and team performance. </w:t>
      </w:r>
    </w:p>
    <w:p w:rsidR="005040FB" w:rsidRDefault="002B1BFC" w:rsidP="002D4ABA">
      <w:pPr>
        <w:autoSpaceDE w:val="0"/>
        <w:autoSpaceDN w:val="0"/>
        <w:adjustRightInd w:val="0"/>
        <w:rPr>
          <w:color w:val="000033"/>
        </w:rPr>
      </w:pPr>
      <w:r w:rsidRPr="0081103C">
        <w:rPr>
          <w:color w:val="000033"/>
        </w:rPr>
        <w:t xml:space="preserve">For example, </w:t>
      </w:r>
      <w:r w:rsidR="002375D5" w:rsidRPr="0081103C">
        <w:rPr>
          <w:color w:val="000033"/>
        </w:rPr>
        <w:t>self-management</w:t>
      </w:r>
      <w:r w:rsidRPr="0081103C">
        <w:rPr>
          <w:color w:val="000033"/>
        </w:rPr>
        <w:t xml:space="preserve"> skill training provided sustained improved performance for sales people. While task and </w:t>
      </w:r>
      <w:r w:rsidR="002375D5" w:rsidRPr="0081103C">
        <w:rPr>
          <w:color w:val="000033"/>
        </w:rPr>
        <w:t>team-based</w:t>
      </w:r>
      <w:r w:rsidRPr="0081103C">
        <w:rPr>
          <w:color w:val="000033"/>
        </w:rPr>
        <w:t xml:space="preserve"> models provided positive team processes and performance, this includes activities such as job rotation, training interventions and feedback for a common understanding within the teams. (Frayne and </w:t>
      </w:r>
      <w:proofErr w:type="spellStart"/>
      <w:proofErr w:type="gramStart"/>
      <w:r w:rsidRPr="0081103C">
        <w:rPr>
          <w:color w:val="000033"/>
        </w:rPr>
        <w:t>Geringer</w:t>
      </w:r>
      <w:proofErr w:type="spellEnd"/>
      <w:r w:rsidRPr="0081103C">
        <w:rPr>
          <w:color w:val="000033"/>
        </w:rPr>
        <w:t xml:space="preserve"> ,</w:t>
      </w:r>
      <w:proofErr w:type="gramEnd"/>
      <w:r w:rsidRPr="0081103C">
        <w:rPr>
          <w:color w:val="000033"/>
        </w:rPr>
        <w:t xml:space="preserve"> 2000; Mathieu et al., 2000) </w:t>
      </w:r>
    </w:p>
    <w:p w:rsidR="00C57C6E" w:rsidRDefault="002B1BFC" w:rsidP="002D4ABA">
      <w:pPr>
        <w:autoSpaceDE w:val="0"/>
        <w:autoSpaceDN w:val="0"/>
        <w:adjustRightInd w:val="0"/>
        <w:rPr>
          <w:rFonts w:ascii="Helvetica" w:hAnsi="Helvetica" w:cs="Helvetica"/>
        </w:rPr>
      </w:pPr>
      <w:r w:rsidRPr="0081103C">
        <w:rPr>
          <w:color w:val="000033"/>
        </w:rPr>
        <w:t xml:space="preserve">Socializing and induction is also another organization </w:t>
      </w:r>
      <w:r w:rsidR="002375D5" w:rsidRPr="0081103C">
        <w:rPr>
          <w:color w:val="000033"/>
        </w:rPr>
        <w:t>behavioural</w:t>
      </w:r>
      <w:r w:rsidRPr="0081103C">
        <w:rPr>
          <w:color w:val="000033"/>
        </w:rPr>
        <w:t xml:space="preserve"> training for new hires. It had been shown in previous studies that orientation programs provided positive effects on the new hires commitment and loyalty, and that they are more socialized in terms of firm history, mission, values and other staffs. (Klein and Weaver, 2000)</w:t>
      </w:r>
    </w:p>
    <w:p w:rsidR="00C57C6E" w:rsidRDefault="00384BD0" w:rsidP="002D4ABA">
      <w:pPr>
        <w:pStyle w:val="Heading2"/>
      </w:pPr>
      <w:bookmarkStart w:id="8" w:name="_Toc507677442"/>
      <w:r>
        <w:lastRenderedPageBreak/>
        <w:t xml:space="preserve">Issues in </w:t>
      </w:r>
      <w:r w:rsidR="00E575CC">
        <w:t>Compensation</w:t>
      </w:r>
      <w:bookmarkEnd w:id="8"/>
      <w:r w:rsidR="00C57C6E">
        <w:t xml:space="preserve"> </w:t>
      </w:r>
    </w:p>
    <w:p w:rsidR="00F03BC3" w:rsidRDefault="00F03BC3" w:rsidP="00C57C6E">
      <w:pPr>
        <w:autoSpaceDE w:val="0"/>
        <w:autoSpaceDN w:val="0"/>
        <w:adjustRightInd w:val="0"/>
        <w:rPr>
          <w:color w:val="000033"/>
        </w:rPr>
      </w:pPr>
      <w:r>
        <w:rPr>
          <w:color w:val="000033"/>
        </w:rPr>
        <w:t xml:space="preserve">Unibank also have issues in a fixed compensation scale, which is similar to a civil servant or government job system. With </w:t>
      </w:r>
      <w:r w:rsidR="00111544">
        <w:rPr>
          <w:color w:val="000033"/>
        </w:rPr>
        <w:t>overall low salary, as the findings indicate “</w:t>
      </w:r>
      <w:r w:rsidR="00111544" w:rsidRPr="00111544">
        <w:rPr>
          <w:color w:val="000033"/>
        </w:rPr>
        <w:t>Pay scales are standardised: there is a starting rate of 72,000AED which applies to newly recruited staff during their six month probationary period, after which they are placed at the bottom of a 4-point scale which rises by increments to 92,000AED</w:t>
      </w:r>
      <w:r w:rsidR="00111544">
        <w:rPr>
          <w:color w:val="000033"/>
        </w:rPr>
        <w:t xml:space="preserve">”, compared to the market average of 140,000AED for a teller </w:t>
      </w:r>
      <w:sdt>
        <w:sdtPr>
          <w:rPr>
            <w:color w:val="000033"/>
          </w:rPr>
          <w:id w:val="-1843233595"/>
          <w:citation/>
        </w:sdtPr>
        <w:sdtContent>
          <w:r w:rsidR="00111544">
            <w:rPr>
              <w:color w:val="000033"/>
            </w:rPr>
            <w:fldChar w:fldCharType="begin"/>
          </w:r>
          <w:r w:rsidR="00111544">
            <w:rPr>
              <w:color w:val="000033"/>
            </w:rPr>
            <w:instrText xml:space="preserve"> CITATION Dub18 \l 15369 </w:instrText>
          </w:r>
          <w:r w:rsidR="00111544">
            <w:rPr>
              <w:color w:val="000033"/>
            </w:rPr>
            <w:fldChar w:fldCharType="separate"/>
          </w:r>
          <w:r w:rsidR="00111544" w:rsidRPr="00111544">
            <w:rPr>
              <w:noProof/>
              <w:color w:val="000033"/>
            </w:rPr>
            <w:t>(DubaiFAQ, 2018)</w:t>
          </w:r>
          <w:r w:rsidR="00111544">
            <w:rPr>
              <w:color w:val="000033"/>
            </w:rPr>
            <w:fldChar w:fldCharType="end"/>
          </w:r>
        </w:sdtContent>
      </w:sdt>
    </w:p>
    <w:p w:rsidR="00111544" w:rsidRPr="000E3EFB" w:rsidRDefault="00111544" w:rsidP="00C57C6E">
      <w:pPr>
        <w:autoSpaceDE w:val="0"/>
        <w:autoSpaceDN w:val="0"/>
        <w:adjustRightInd w:val="0"/>
      </w:pPr>
      <w:r>
        <w:rPr>
          <w:color w:val="000033"/>
        </w:rPr>
        <w:t xml:space="preserve">This should also be compared to the government employee wages, for example, in </w:t>
      </w:r>
      <w:r w:rsidRPr="00111544">
        <w:rPr>
          <w:color w:val="000033"/>
        </w:rPr>
        <w:t>Sharjah</w:t>
      </w:r>
      <w:r>
        <w:rPr>
          <w:color w:val="000033"/>
        </w:rPr>
        <w:t xml:space="preserve">, a city more closely aligned to Al Ain then Dubai or Abu </w:t>
      </w:r>
      <w:r w:rsidR="000E3EFB">
        <w:rPr>
          <w:color w:val="000033"/>
        </w:rPr>
        <w:t xml:space="preserve">Dhabi, </w:t>
      </w:r>
      <w:r w:rsidR="000E3EFB" w:rsidRPr="00111544">
        <w:rPr>
          <w:color w:val="000033"/>
        </w:rPr>
        <w:t>government</w:t>
      </w:r>
      <w:r w:rsidRPr="00111544">
        <w:rPr>
          <w:color w:val="000033"/>
        </w:rPr>
        <w:t xml:space="preserve"> employees</w:t>
      </w:r>
      <w:r>
        <w:rPr>
          <w:color w:val="000033"/>
        </w:rPr>
        <w:t xml:space="preserve"> have a</w:t>
      </w:r>
      <w:r w:rsidRPr="00111544">
        <w:rPr>
          <w:color w:val="000033"/>
        </w:rPr>
        <w:t xml:space="preserve"> minimum salary </w:t>
      </w:r>
      <w:r>
        <w:rPr>
          <w:color w:val="000033"/>
        </w:rPr>
        <w:t>of</w:t>
      </w:r>
      <w:r w:rsidRPr="00111544">
        <w:rPr>
          <w:color w:val="000033"/>
        </w:rPr>
        <w:t xml:space="preserve"> AED 11,000 per month</w:t>
      </w:r>
      <w:r>
        <w:rPr>
          <w:color w:val="000033"/>
        </w:rPr>
        <w:t xml:space="preserve"> and</w:t>
      </w:r>
      <w:r w:rsidRPr="00111544">
        <w:rPr>
          <w:color w:val="000033"/>
        </w:rPr>
        <w:t xml:space="preserve"> </w:t>
      </w:r>
      <w:r>
        <w:rPr>
          <w:color w:val="000033"/>
        </w:rPr>
        <w:t>m</w:t>
      </w:r>
      <w:r w:rsidRPr="00111544">
        <w:rPr>
          <w:color w:val="000033"/>
        </w:rPr>
        <w:t xml:space="preserve">inimum pension payment for retired workers </w:t>
      </w:r>
      <w:r>
        <w:rPr>
          <w:color w:val="000033"/>
        </w:rPr>
        <w:t>is</w:t>
      </w:r>
      <w:r w:rsidRPr="00111544">
        <w:rPr>
          <w:color w:val="000033"/>
        </w:rPr>
        <w:t xml:space="preserve"> </w:t>
      </w:r>
      <w:r w:rsidRPr="000E3EFB">
        <w:t>AED 11,000 per month, making it AED 121,000 per year.</w:t>
      </w:r>
    </w:p>
    <w:p w:rsidR="00823E0A" w:rsidRDefault="00C57C6E" w:rsidP="00C57C6E">
      <w:pPr>
        <w:autoSpaceDE w:val="0"/>
        <w:autoSpaceDN w:val="0"/>
        <w:adjustRightInd w:val="0"/>
      </w:pPr>
      <w:r w:rsidRPr="000E3EFB">
        <w:t xml:space="preserve">Many studies have been performed on compensations, with measuring the effects of bonuses, such as those based on time, i.e. end of year, leads to more challenging goals set but lower performance when compared to </w:t>
      </w:r>
      <w:r w:rsidR="00AB07BF" w:rsidRPr="000E3EFB">
        <w:t>self-set</w:t>
      </w:r>
      <w:r w:rsidRPr="000E3EFB">
        <w:t xml:space="preserve"> goals.</w:t>
      </w:r>
      <w:r w:rsidR="00AB07BF">
        <w:t xml:space="preserve"> </w:t>
      </w:r>
      <w:r w:rsidRPr="000E3EFB">
        <w:t xml:space="preserve"> </w:t>
      </w:r>
      <w:sdt>
        <w:sdtPr>
          <w:id w:val="-901362647"/>
          <w:citation/>
        </w:sdtPr>
        <w:sdtContent>
          <w:r w:rsidR="00AB07BF">
            <w:fldChar w:fldCharType="begin"/>
          </w:r>
          <w:r w:rsidR="00AB07BF">
            <w:instrText xml:space="preserve"> CITATION Woo99 \l 15369 </w:instrText>
          </w:r>
          <w:r w:rsidR="00AB07BF">
            <w:fldChar w:fldCharType="separate"/>
          </w:r>
          <w:r w:rsidR="00AB07BF">
            <w:rPr>
              <w:noProof/>
            </w:rPr>
            <w:t>(Wood, Atkins, &amp; Bright, 1999)</w:t>
          </w:r>
          <w:r w:rsidR="00AB07BF">
            <w:fldChar w:fldCharType="end"/>
          </w:r>
        </w:sdtContent>
      </w:sdt>
      <w:r w:rsidRPr="000E3EFB">
        <w:t xml:space="preserve"> </w:t>
      </w:r>
    </w:p>
    <w:p w:rsidR="00C57C6E" w:rsidRPr="000E3EFB" w:rsidRDefault="00C57C6E" w:rsidP="00C57C6E">
      <w:pPr>
        <w:autoSpaceDE w:val="0"/>
        <w:autoSpaceDN w:val="0"/>
        <w:adjustRightInd w:val="0"/>
      </w:pPr>
      <w:r w:rsidRPr="000E3EFB">
        <w:t xml:space="preserve">While there are also negative effects from pay for performance, with a previous study from </w:t>
      </w:r>
      <w:proofErr w:type="spellStart"/>
      <w:r w:rsidRPr="000E3EFB">
        <w:t>Deckop</w:t>
      </w:r>
      <w:proofErr w:type="spellEnd"/>
      <w:r w:rsidRPr="000E3EFB">
        <w:t xml:space="preserve"> et al. (1999) finding that organization citizenship worsened for low value commitment employees, demonstrating the fact that when there is misalignment between employer and employee interests, the performance-pay model provides a “disincentive” for employees to provide extra effort.</w:t>
      </w:r>
    </w:p>
    <w:p w:rsidR="00C57C6E" w:rsidRPr="0081103C" w:rsidRDefault="00C57C6E" w:rsidP="00C57C6E">
      <w:pPr>
        <w:autoSpaceDE w:val="0"/>
        <w:autoSpaceDN w:val="0"/>
        <w:adjustRightInd w:val="0"/>
        <w:rPr>
          <w:color w:val="000033"/>
        </w:rPr>
      </w:pPr>
      <w:r w:rsidRPr="000E3EFB">
        <w:t xml:space="preserve">While benefits studies </w:t>
      </w:r>
      <w:r w:rsidRPr="0081103C">
        <w:rPr>
          <w:color w:val="000033"/>
        </w:rPr>
        <w:t xml:space="preserve">highlighted company offers </w:t>
      </w:r>
      <w:r w:rsidR="00AB07BF">
        <w:rPr>
          <w:color w:val="000033"/>
        </w:rPr>
        <w:t>are</w:t>
      </w:r>
      <w:r w:rsidRPr="0081103C">
        <w:rPr>
          <w:color w:val="000033"/>
        </w:rPr>
        <w:t xml:space="preserve"> perceived as a source of benefit or reward, as is the case of </w:t>
      </w:r>
      <w:proofErr w:type="spellStart"/>
      <w:r w:rsidRPr="0081103C">
        <w:rPr>
          <w:color w:val="000033"/>
        </w:rPr>
        <w:t>Dulebohn</w:t>
      </w:r>
      <w:proofErr w:type="spellEnd"/>
      <w:r w:rsidRPr="0081103C">
        <w:rPr>
          <w:color w:val="000033"/>
        </w:rPr>
        <w:t xml:space="preserve"> et al.</w:t>
      </w:r>
      <w:sdt>
        <w:sdtPr>
          <w:rPr>
            <w:color w:val="000033"/>
          </w:rPr>
          <w:id w:val="-1589226984"/>
          <w:citation/>
        </w:sdtPr>
        <w:sdtContent>
          <w:r w:rsidR="00AB07BF">
            <w:rPr>
              <w:color w:val="000033"/>
            </w:rPr>
            <w:fldChar w:fldCharType="begin"/>
          </w:r>
          <w:r w:rsidR="00AB07BF">
            <w:rPr>
              <w:color w:val="000033"/>
            </w:rPr>
            <w:instrText xml:space="preserve">CITATION Dul00 \n  \t  \l 15369 </w:instrText>
          </w:r>
          <w:r w:rsidR="00AB07BF">
            <w:rPr>
              <w:color w:val="000033"/>
            </w:rPr>
            <w:fldChar w:fldCharType="separate"/>
          </w:r>
          <w:r w:rsidR="00AB07BF">
            <w:rPr>
              <w:noProof/>
              <w:color w:val="000033"/>
            </w:rPr>
            <w:t xml:space="preserve"> </w:t>
          </w:r>
          <w:r w:rsidR="00AB07BF" w:rsidRPr="00AB07BF">
            <w:rPr>
              <w:noProof/>
              <w:color w:val="000033"/>
            </w:rPr>
            <w:t>(2000)</w:t>
          </w:r>
          <w:r w:rsidR="00AB07BF">
            <w:rPr>
              <w:color w:val="000033"/>
            </w:rPr>
            <w:fldChar w:fldCharType="end"/>
          </w:r>
        </w:sdtContent>
      </w:sdt>
      <w:r w:rsidRPr="0081103C">
        <w:rPr>
          <w:color w:val="000033"/>
        </w:rPr>
        <w:t xml:space="preserve"> retirement plan study, where employee plan preferences were studied for the retirement plan choices available. Furthermore, work-life model researchers have found that when employees find value in what the firm offer is particularly important in driving their performance efforts for the firm. </w:t>
      </w:r>
      <w:sdt>
        <w:sdtPr>
          <w:rPr>
            <w:color w:val="000033"/>
          </w:rPr>
          <w:id w:val="-1351027042"/>
          <w:citation/>
        </w:sdtPr>
        <w:sdtContent>
          <w:r w:rsidR="00AB07BF">
            <w:rPr>
              <w:color w:val="000033"/>
            </w:rPr>
            <w:fldChar w:fldCharType="begin"/>
          </w:r>
          <w:r w:rsidR="00AB07BF">
            <w:rPr>
              <w:color w:val="000033"/>
            </w:rPr>
            <w:instrText xml:space="preserve"> CITATION Lam00 \l 15369 </w:instrText>
          </w:r>
          <w:r w:rsidR="00AB07BF">
            <w:rPr>
              <w:color w:val="000033"/>
            </w:rPr>
            <w:fldChar w:fldCharType="separate"/>
          </w:r>
          <w:r w:rsidR="00AB07BF" w:rsidRPr="00AB07BF">
            <w:rPr>
              <w:noProof/>
              <w:color w:val="000033"/>
            </w:rPr>
            <w:t>(Lambert, 2000)</w:t>
          </w:r>
          <w:r w:rsidR="00AB07BF">
            <w:rPr>
              <w:color w:val="000033"/>
            </w:rPr>
            <w:fldChar w:fldCharType="end"/>
          </w:r>
        </w:sdtContent>
      </w:sdt>
    </w:p>
    <w:p w:rsidR="00C57C6E" w:rsidRPr="0081103C" w:rsidRDefault="00C57C6E" w:rsidP="00C57C6E">
      <w:pPr>
        <w:autoSpaceDE w:val="0"/>
        <w:autoSpaceDN w:val="0"/>
        <w:adjustRightInd w:val="0"/>
        <w:rPr>
          <w:color w:val="000033"/>
        </w:rPr>
      </w:pPr>
      <w:r w:rsidRPr="0081103C">
        <w:rPr>
          <w:color w:val="000033"/>
        </w:rPr>
        <w:t xml:space="preserve">Pay dispersion and fairness is also an area where research found that hierarchical pay can lead to feelings of inequity and create motivational problems, more specifically, it is negatively related to performance for people lower in the pay distribution but positively related to performance for those higher in the distribution. (Bloom, 1999; </w:t>
      </w:r>
      <w:proofErr w:type="spellStart"/>
      <w:r w:rsidRPr="0081103C">
        <w:rPr>
          <w:color w:val="000033"/>
        </w:rPr>
        <w:t>Heneman</w:t>
      </w:r>
      <w:proofErr w:type="spellEnd"/>
      <w:r w:rsidRPr="0081103C">
        <w:rPr>
          <w:color w:val="000033"/>
        </w:rPr>
        <w:t xml:space="preserve"> &amp; Judge, 2000)</w:t>
      </w:r>
    </w:p>
    <w:p w:rsidR="00C57C6E" w:rsidRDefault="00384BD0" w:rsidP="002D4ABA">
      <w:pPr>
        <w:pStyle w:val="Heading2"/>
      </w:pPr>
      <w:bookmarkStart w:id="9" w:name="_Toc507677443"/>
      <w:r>
        <w:lastRenderedPageBreak/>
        <w:t xml:space="preserve">Lack of </w:t>
      </w:r>
      <w:r w:rsidR="00E575CC">
        <w:t>Performance management</w:t>
      </w:r>
      <w:bookmarkEnd w:id="9"/>
    </w:p>
    <w:p w:rsidR="00697AE5" w:rsidRDefault="00C12D00" w:rsidP="00C12D00">
      <w:r>
        <w:t>Unibank have a very big deficiency in performance management, as the summarized findings mentioned “There is no performance management system in place and as yet the idea of an appraisal scheme has not been developed.”</w:t>
      </w:r>
      <w:r w:rsidR="00697AE5">
        <w:t xml:space="preserve"> </w:t>
      </w:r>
    </w:p>
    <w:p w:rsidR="00C12D00" w:rsidRDefault="00697AE5" w:rsidP="00C12D00">
      <w:r>
        <w:t xml:space="preserve">This closely ties in with the problems of Compensation and Job Design and Selection. </w:t>
      </w:r>
    </w:p>
    <w:p w:rsidR="00E575CC" w:rsidRPr="00743550" w:rsidRDefault="00E575CC" w:rsidP="00743550">
      <w:r w:rsidRPr="00743550">
        <w:t xml:space="preserve">Past studies had recognized the role of the employees’ contributions, that contributing to an organization’s strategic success means they need to go above and beyond responsibilities defined in their job descriptions. </w:t>
      </w:r>
      <w:sdt>
        <w:sdtPr>
          <w:id w:val="778755239"/>
          <w:citation/>
        </w:sdtPr>
        <w:sdtContent>
          <w:r w:rsidR="00113C14">
            <w:fldChar w:fldCharType="begin"/>
          </w:r>
          <w:r w:rsidR="00113C14">
            <w:instrText xml:space="preserve"> CITATION Lam99 \l 15369 </w:instrText>
          </w:r>
          <w:r w:rsidR="00113C14">
            <w:fldChar w:fldCharType="separate"/>
          </w:r>
          <w:r w:rsidR="00113C14">
            <w:rPr>
              <w:noProof/>
            </w:rPr>
            <w:t>(Lam, Hui, &amp; Law, 1999)</w:t>
          </w:r>
          <w:r w:rsidR="00113C14">
            <w:fldChar w:fldCharType="end"/>
          </w:r>
        </w:sdtContent>
      </w:sdt>
      <w:r w:rsidR="00113C14">
        <w:t xml:space="preserve"> (</w:t>
      </w:r>
      <w:r w:rsidRPr="00743550">
        <w:t>Morrison &amp; Phelps,1999)</w:t>
      </w:r>
    </w:p>
    <w:p w:rsidR="002B46CD" w:rsidRPr="00743550" w:rsidRDefault="00E575CC" w:rsidP="00743550">
      <w:r w:rsidRPr="00743550">
        <w:t xml:space="preserve">Research suggests that performance management should involve measurement, evaluation, and development of performance beyond what is derived from the </w:t>
      </w:r>
      <w:r w:rsidR="002B46CD" w:rsidRPr="00743550">
        <w:t xml:space="preserve">traditional job analysis, where function derived the job’s characteristics. </w:t>
      </w:r>
      <w:sdt>
        <w:sdtPr>
          <w:id w:val="9769189"/>
          <w:citation/>
        </w:sdtPr>
        <w:sdtContent>
          <w:r w:rsidR="00F719FF" w:rsidRPr="00743550">
            <w:fldChar w:fldCharType="begin"/>
          </w:r>
          <w:r w:rsidR="002B46CD" w:rsidRPr="00743550">
            <w:instrText xml:space="preserve"> CITATION GRI07 \l 3081  </w:instrText>
          </w:r>
          <w:r w:rsidR="00F719FF" w:rsidRPr="00743550">
            <w:fldChar w:fldCharType="separate"/>
          </w:r>
          <w:r w:rsidR="002B46CD" w:rsidRPr="00743550">
            <w:t>(Griffin, Neal, &amp; Parker, 2007)</w:t>
          </w:r>
          <w:r w:rsidR="00F719FF" w:rsidRPr="00743550">
            <w:fldChar w:fldCharType="end"/>
          </w:r>
        </w:sdtContent>
      </w:sdt>
    </w:p>
    <w:p w:rsidR="00E575CC" w:rsidRPr="00743550" w:rsidRDefault="00E575CC" w:rsidP="00743550">
      <w:r w:rsidRPr="00743550">
        <w:t>Mayer and Davis (1999) showed that a performance appraisal system comprised of a self-appraisal, communication of expectations, and employee participation enhanced employee trust in management.</w:t>
      </w:r>
    </w:p>
    <w:p w:rsidR="007821BF" w:rsidRPr="00743550" w:rsidRDefault="007821BF" w:rsidP="00743550">
      <w:r w:rsidRPr="00743550">
        <w:t>Griffin et al (2007) identify uncertainty and interdependence as both features of context that organizations must manage to be effective</w:t>
      </w:r>
      <w:r w:rsidR="001071CB" w:rsidRPr="00743550">
        <w:t>, which identifies</w:t>
      </w:r>
      <w:r w:rsidRPr="00743550">
        <w:t xml:space="preserve"> the </w:t>
      </w:r>
      <w:r w:rsidR="00E906A4" w:rsidRPr="00743550">
        <w:t>behaviours</w:t>
      </w:r>
      <w:r w:rsidRPr="00743550">
        <w:t xml:space="preserve"> that are </w:t>
      </w:r>
      <w:r w:rsidR="001071CB" w:rsidRPr="00743550">
        <w:t>valuable for firms</w:t>
      </w:r>
      <w:r w:rsidRPr="00743550">
        <w:t xml:space="preserve"> </w:t>
      </w:r>
      <w:r w:rsidR="001071CB" w:rsidRPr="00743550">
        <w:t>and their</w:t>
      </w:r>
      <w:r w:rsidRPr="00743550">
        <w:t xml:space="preserve"> effectiveness. </w:t>
      </w:r>
    </w:p>
    <w:p w:rsidR="007821BF" w:rsidRPr="00743550" w:rsidRDefault="007821BF" w:rsidP="00743550">
      <w:r w:rsidRPr="00743550">
        <w:t xml:space="preserve">Uncertainty influences the extent to which work roles can be formalized and hence determines whether </w:t>
      </w:r>
      <w:r w:rsidR="00F93D84">
        <w:t>staffs</w:t>
      </w:r>
      <w:r w:rsidRPr="00743550">
        <w:t xml:space="preserve"> can be effective by simply complying with the requirements of a work role. </w:t>
      </w:r>
    </w:p>
    <w:p w:rsidR="00E506A5" w:rsidRPr="00743550" w:rsidRDefault="007821BF" w:rsidP="00743550">
      <w:r w:rsidRPr="00743550">
        <w:t xml:space="preserve">Interdependence determines the extent to which work roles are embedded in a broader social system and hence determines whether </w:t>
      </w:r>
      <w:r w:rsidR="00F93D84">
        <w:t>staffs</w:t>
      </w:r>
      <w:r w:rsidRPr="00743550">
        <w:t xml:space="preserve"> can be effective by simply managing the responsibilities of his or her role as</w:t>
      </w:r>
      <w:r w:rsidR="0081103C" w:rsidRPr="00743550">
        <w:t xml:space="preserve"> </w:t>
      </w:r>
      <w:r w:rsidRPr="00743550">
        <w:t>an individual within an organization or also needs to act to support the broader social context of the organization.</w:t>
      </w:r>
    </w:p>
    <w:p w:rsidR="004D1456" w:rsidRDefault="004D1456">
      <w:pPr>
        <w:rPr>
          <w:rFonts w:asciiTheme="majorHAnsi" w:eastAsiaTheme="majorEastAsia" w:hAnsiTheme="majorHAnsi" w:cstheme="majorBidi"/>
          <w:b/>
          <w:bCs/>
          <w:color w:val="365F91" w:themeColor="accent1" w:themeShade="BF"/>
          <w:sz w:val="28"/>
          <w:szCs w:val="28"/>
          <w:lang w:val="en-AU"/>
        </w:rPr>
      </w:pPr>
      <w:r>
        <w:rPr>
          <w:lang w:val="en-AU"/>
        </w:rPr>
        <w:br w:type="page"/>
      </w:r>
    </w:p>
    <w:p w:rsidR="00BA7A61" w:rsidRDefault="00850060" w:rsidP="00351D77">
      <w:pPr>
        <w:pStyle w:val="Heading1"/>
        <w:rPr>
          <w:lang w:val="en-AU"/>
        </w:rPr>
      </w:pPr>
      <w:bookmarkStart w:id="10" w:name="_Toc507677444"/>
      <w:r>
        <w:rPr>
          <w:lang w:val="en-AU"/>
        </w:rPr>
        <w:lastRenderedPageBreak/>
        <w:t>Recommendation</w:t>
      </w:r>
      <w:bookmarkEnd w:id="10"/>
    </w:p>
    <w:p w:rsidR="00BA7A61" w:rsidRDefault="00BA7A61" w:rsidP="00BA7A61">
      <w:r>
        <w:t xml:space="preserve">During the past 10 years, the importance placed in having outstanding people or talent, in a firm has varied as according to the economic cycle. </w:t>
      </w:r>
    </w:p>
    <w:p w:rsidR="00BA7A61" w:rsidRDefault="00BA7A61" w:rsidP="00BA7A61">
      <w:r>
        <w:t>Renewed interest in talent management post “internet bubble” economy and the prolonged 9-11 inactivity, we see the gradual rise in the topic as the general global economy heats up from 2004.</w:t>
      </w:r>
    </w:p>
    <w:p w:rsidR="00BA7A61" w:rsidRDefault="001071CB" w:rsidP="00BA7A61">
      <w:r>
        <w:t xml:space="preserve">As a result, we will see how the </w:t>
      </w:r>
      <w:r w:rsidR="002D4ABA">
        <w:t>bank of this case study reacts</w:t>
      </w:r>
      <w:r>
        <w:t xml:space="preserve"> with their HR strategy in this environment, following the </w:t>
      </w:r>
      <w:r w:rsidR="002D4ABA">
        <w:t>functional</w:t>
      </w:r>
      <w:r>
        <w:t xml:space="preserve"> breakdown as studied in the previous literature reviews.</w:t>
      </w:r>
    </w:p>
    <w:p w:rsidR="007974C6" w:rsidRDefault="007974C6" w:rsidP="00BA7A61">
      <w:r>
        <w:t xml:space="preserve">The </w:t>
      </w:r>
      <w:r w:rsidR="008B61BC">
        <w:t xml:space="preserve">bank has approximately </w:t>
      </w:r>
      <w:r w:rsidR="00E42424">
        <w:t>200</w:t>
      </w:r>
      <w:r w:rsidR="008B61BC">
        <w:t xml:space="preserve"> employees across the</w:t>
      </w:r>
      <w:r w:rsidR="00E42424">
        <w:t xml:space="preserve"> company </w:t>
      </w:r>
      <w:r w:rsidR="00FB2904">
        <w:t xml:space="preserve">which consists of around </w:t>
      </w:r>
      <w:r w:rsidR="00E42424">
        <w:t>4 cities in UAE</w:t>
      </w:r>
      <w:r w:rsidR="008B61BC">
        <w:t xml:space="preserve">. The group HR </w:t>
      </w:r>
      <w:r w:rsidR="00E42424">
        <w:t xml:space="preserve">should </w:t>
      </w:r>
      <w:r>
        <w:t>identif</w:t>
      </w:r>
      <w:r w:rsidR="00E42424">
        <w:t>y the following</w:t>
      </w:r>
      <w:r>
        <w:t xml:space="preserve"> 5 phases inside </w:t>
      </w:r>
      <w:r w:rsidR="008B61BC">
        <w:t>the</w:t>
      </w:r>
      <w:r>
        <w:t xml:space="preserve"> talent strategy which bear resemblance to the functional breakdown as reviewed in prior literature.</w:t>
      </w:r>
    </w:p>
    <w:p w:rsidR="007974C6" w:rsidRDefault="007974C6" w:rsidP="00BA7A61">
      <w:r>
        <w:rPr>
          <w:noProof/>
          <w:lang w:val="en-AU" w:eastAsia="zh-CN" w:bidi="ar-SA"/>
        </w:rPr>
        <w:drawing>
          <wp:inline distT="0" distB="0" distL="0" distR="0">
            <wp:extent cx="5486400" cy="704850"/>
            <wp:effectExtent l="95250" t="0" r="95250" b="190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6B51A5" w:rsidRDefault="006B51A5" w:rsidP="0048659C">
      <w:pPr>
        <w:pStyle w:val="Heading2"/>
      </w:pPr>
      <w:bookmarkStart w:id="11" w:name="_Toc507677445"/>
      <w:r>
        <w:t>Job Design.</w:t>
      </w:r>
      <w:bookmarkEnd w:id="11"/>
      <w:r>
        <w:t xml:space="preserve"> </w:t>
      </w:r>
    </w:p>
    <w:p w:rsidR="00E42424" w:rsidRDefault="007974C6" w:rsidP="00CE3509">
      <w:r w:rsidRPr="00CE3509">
        <w:t xml:space="preserve">The bank </w:t>
      </w:r>
      <w:r w:rsidR="00E42424">
        <w:t xml:space="preserve">shall </w:t>
      </w:r>
      <w:r w:rsidRPr="00CE3509">
        <w:t xml:space="preserve">define the first phase of their strategy </w:t>
      </w:r>
      <w:r w:rsidR="00E42424">
        <w:t xml:space="preserve">as </w:t>
      </w:r>
      <w:r w:rsidRPr="00CE3509">
        <w:t>“Key Role identification”.</w:t>
      </w:r>
      <w:r w:rsidR="00C235AB" w:rsidRPr="00CE3509">
        <w:t xml:space="preserve"> </w:t>
      </w:r>
    </w:p>
    <w:p w:rsidR="00E42424" w:rsidRDefault="00C235AB" w:rsidP="00CE3509">
      <w:r w:rsidRPr="00CE3509">
        <w:t xml:space="preserve">It </w:t>
      </w:r>
      <w:r w:rsidR="00E42424">
        <w:t xml:space="preserve">should </w:t>
      </w:r>
      <w:r w:rsidRPr="00CE3509">
        <w:t xml:space="preserve">closely resemble the function of Job design as this is the phase where, according to the business strategy, key roles are identified to assist in the creation of the team structure and its succession plan to reduce business continuity risks and associated cost. </w:t>
      </w:r>
    </w:p>
    <w:p w:rsidR="00E42424" w:rsidRDefault="00C235AB" w:rsidP="00CE3509">
      <w:r w:rsidRPr="00CE3509">
        <w:t xml:space="preserve">This may </w:t>
      </w:r>
      <w:r w:rsidR="00E42424">
        <w:t xml:space="preserve">be the </w:t>
      </w:r>
      <w:r w:rsidRPr="00CE3509">
        <w:t xml:space="preserve">result from an inability to </w:t>
      </w:r>
      <w:proofErr w:type="spellStart"/>
      <w:r w:rsidRPr="00CE3509">
        <w:t>fulfill</w:t>
      </w:r>
      <w:proofErr w:type="spellEnd"/>
      <w:r w:rsidRPr="00CE3509">
        <w:t xml:space="preserve"> the need internally, via activities such as promotions. </w:t>
      </w:r>
    </w:p>
    <w:p w:rsidR="007974C6" w:rsidRPr="00CE3509" w:rsidRDefault="00C235AB" w:rsidP="00CE3509">
      <w:r w:rsidRPr="00CE3509">
        <w:t xml:space="preserve">It is also in this phase that planned business targets are analysed and a talent pipeline is created to map to the business roadmap. This is using the same business strategy / HR strategy mapping concept. </w:t>
      </w:r>
      <w:sdt>
        <w:sdtPr>
          <w:id w:val="8928780"/>
          <w:citation/>
        </w:sdtPr>
        <w:sdtContent>
          <w:r w:rsidR="005A25B6">
            <w:fldChar w:fldCharType="begin"/>
          </w:r>
          <w:r w:rsidR="005A25B6">
            <w:instrText xml:space="preserve"> CITATION Lyn03 \l 3081  \m Sta07</w:instrText>
          </w:r>
          <w:r w:rsidR="005A25B6">
            <w:fldChar w:fldCharType="separate"/>
          </w:r>
          <w:r w:rsidRPr="00CE3509">
            <w:t>(Gratton &amp; Truss, 2003; Kaplan, 2007)</w:t>
          </w:r>
          <w:r w:rsidR="005A25B6">
            <w:fldChar w:fldCharType="end"/>
          </w:r>
        </w:sdtContent>
      </w:sdt>
    </w:p>
    <w:p w:rsidR="00BE17DD" w:rsidRPr="00CE3509" w:rsidRDefault="00BE17DD" w:rsidP="00CE3509">
      <w:r w:rsidRPr="00CE3509">
        <w:t>In layman’s terms, this is the phase where the annual “headcount” is decided for each function and group, with a resulting Organizational Chart created for each area. Within the annual review of the organization chart, this would be reviewed against the “MTO” (Medium Term Outlook), which is an</w:t>
      </w:r>
      <w:r>
        <w:rPr>
          <w:color w:val="000033"/>
        </w:rPr>
        <w:t xml:space="preserve"> </w:t>
      </w:r>
      <w:r w:rsidRPr="00CE3509">
        <w:t xml:space="preserve">agreed view of the business within the next 3 years, i.e. the business roadmap. Combined with this, various staff management teams, including HR, </w:t>
      </w:r>
      <w:r w:rsidR="00931E85">
        <w:t>Talent Management, Resourcing and Organizational Development should</w:t>
      </w:r>
      <w:r w:rsidRPr="00CE3509">
        <w:t xml:space="preserve"> help to support </w:t>
      </w:r>
      <w:r w:rsidRPr="00CE3509">
        <w:lastRenderedPageBreak/>
        <w:t>the various line management teams in identifying the roles that are to be added or removed</w:t>
      </w:r>
      <w:r w:rsidR="00CE3509" w:rsidRPr="00CE3509">
        <w:t xml:space="preserve"> in supporting the business strategy.</w:t>
      </w:r>
    </w:p>
    <w:p w:rsidR="00CE3509" w:rsidRPr="00CE3509" w:rsidRDefault="00CE3509" w:rsidP="00CE3509">
      <w:r w:rsidRPr="00CE3509">
        <w:t>An example of the focus of this phase is strategically and tactically important roles. For instance, a tax specialist where limited numbers qualify, regional or district manager roles in a region with emerging local competitors, or a trader with niche market understanding.</w:t>
      </w:r>
    </w:p>
    <w:p w:rsidR="00CE3509" w:rsidRPr="00CE3509" w:rsidRDefault="00CE3509" w:rsidP="00CE3509">
      <w:r w:rsidRPr="00CE3509">
        <w:t>Succession planning is most valuable when done for leadership roles that are key to business strategy and in short supply.</w:t>
      </w:r>
    </w:p>
    <w:p w:rsidR="006B51A5" w:rsidRDefault="006B51A5" w:rsidP="0048659C">
      <w:pPr>
        <w:pStyle w:val="Heading2"/>
      </w:pPr>
      <w:bookmarkStart w:id="12" w:name="_Toc507677446"/>
      <w:r>
        <w:t>Selection.</w:t>
      </w:r>
      <w:bookmarkEnd w:id="12"/>
      <w:r>
        <w:t xml:space="preserve"> </w:t>
      </w:r>
    </w:p>
    <w:p w:rsidR="00633944" w:rsidRDefault="00CE3509" w:rsidP="000368D2">
      <w:r w:rsidRPr="000368D2">
        <w:t>During Talent Identification phase, the bank</w:t>
      </w:r>
      <w:r w:rsidR="00633944">
        <w:t xml:space="preserve"> should</w:t>
      </w:r>
      <w:r w:rsidRPr="000368D2">
        <w:t xml:space="preserve"> perform what is otherwise studied as Selection in prior </w:t>
      </w:r>
      <w:r w:rsidR="00633944">
        <w:t>analysis</w:t>
      </w:r>
      <w:r w:rsidRPr="000368D2">
        <w:t>.</w:t>
      </w:r>
      <w:r w:rsidR="00791B57" w:rsidRPr="000368D2">
        <w:t xml:space="preserve"> </w:t>
      </w:r>
    </w:p>
    <w:p w:rsidR="00791B57" w:rsidRPr="000368D2" w:rsidRDefault="00CE3509" w:rsidP="000368D2">
      <w:r w:rsidRPr="000368D2">
        <w:t xml:space="preserve">The bank </w:t>
      </w:r>
      <w:r w:rsidR="00633944">
        <w:t xml:space="preserve">should implement </w:t>
      </w:r>
      <w:r w:rsidRPr="000368D2">
        <w:t xml:space="preserve">a “9-box” tool for this phase, which helps to identify those with the demonstrated performance and future potential to grow into key roles for internal candidates. </w:t>
      </w:r>
    </w:p>
    <w:p w:rsidR="00633944" w:rsidRDefault="00CE3509" w:rsidP="000368D2">
      <w:r w:rsidRPr="000368D2">
        <w:t xml:space="preserve">For external candidates, the typical system of partnerships between </w:t>
      </w:r>
      <w:r w:rsidR="00633944">
        <w:t>Talent and Recruitment</w:t>
      </w:r>
      <w:r w:rsidRPr="000368D2">
        <w:t xml:space="preserve"> and the line managers will be used to source candidates externally. </w:t>
      </w:r>
    </w:p>
    <w:p w:rsidR="00CE3509" w:rsidRPr="000368D2" w:rsidRDefault="00791B57" w:rsidP="000368D2">
      <w:r w:rsidRPr="000368D2">
        <w:t>This is done through both direct and indirect means, i.e. advertising directly with campus recruitment and also employing the work of recruitment agencies and headhunt firms.</w:t>
      </w:r>
    </w:p>
    <w:p w:rsidR="00791B57" w:rsidRPr="00154BC5" w:rsidRDefault="00791B57" w:rsidP="00154BC5">
      <w:r w:rsidRPr="00154BC5">
        <w:rPr>
          <w:noProof/>
          <w:lang w:val="en-AU" w:eastAsia="zh-CN" w:bidi="ar-SA"/>
        </w:rPr>
        <w:drawing>
          <wp:inline distT="0" distB="0" distL="0" distR="0">
            <wp:extent cx="4940048" cy="2807629"/>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srcRect b="12011"/>
                    <a:stretch/>
                  </pic:blipFill>
                  <pic:spPr bwMode="auto">
                    <a:xfrm>
                      <a:off x="0" y="0"/>
                      <a:ext cx="4940935" cy="2808133"/>
                    </a:xfrm>
                    <a:prstGeom prst="rect">
                      <a:avLst/>
                    </a:prstGeom>
                    <a:noFill/>
                    <a:ln>
                      <a:noFill/>
                    </a:ln>
                    <a:extLst>
                      <a:ext uri="{53640926-AAD7-44D8-BBD7-CCE9431645EC}">
                        <a14:shadowObscured xmlns:a14="http://schemas.microsoft.com/office/drawing/2010/main"/>
                      </a:ext>
                    </a:extLst>
                  </pic:spPr>
                </pic:pic>
              </a:graphicData>
            </a:graphic>
          </wp:inline>
        </w:drawing>
      </w:r>
    </w:p>
    <w:p w:rsidR="00633944" w:rsidRDefault="000368D2" w:rsidP="00154BC5">
      <w:r w:rsidRPr="00154BC5">
        <w:t xml:space="preserve">Existing staffs are </w:t>
      </w:r>
      <w:r w:rsidR="00633944">
        <w:t xml:space="preserve">also </w:t>
      </w:r>
      <w:r w:rsidR="00C42F12" w:rsidRPr="00154BC5">
        <w:t>categorized</w:t>
      </w:r>
      <w:r w:rsidRPr="00154BC5">
        <w:t xml:space="preserve"> into 1 of the 9 boxes which coincides with the MTO planning for the succession within the same team or function. </w:t>
      </w:r>
    </w:p>
    <w:p w:rsidR="000368D2" w:rsidRPr="00154BC5" w:rsidRDefault="000368D2" w:rsidP="00154BC5">
      <w:r w:rsidRPr="00154BC5">
        <w:lastRenderedPageBreak/>
        <w:t>However, the information captured inside the HR management systems means that the assessment is equally valuable for reference in fulfilment of vacancies in other areas.</w:t>
      </w:r>
      <w:r w:rsidR="00052A8B" w:rsidRPr="00154BC5">
        <w:t xml:space="preserve"> </w:t>
      </w:r>
    </w:p>
    <w:p w:rsidR="00286083" w:rsidRDefault="00052A8B" w:rsidP="00154BC5">
      <w:r w:rsidRPr="00154BC5">
        <w:t xml:space="preserve">All of these </w:t>
      </w:r>
      <w:r w:rsidR="00286083" w:rsidRPr="00154BC5">
        <w:t>are</w:t>
      </w:r>
      <w:r w:rsidRPr="00154BC5">
        <w:t xml:space="preserve"> only possible with the consistent application of the 9-box tool across the </w:t>
      </w:r>
      <w:r w:rsidR="00633944">
        <w:t>bank</w:t>
      </w:r>
      <w:r w:rsidR="00286083" w:rsidRPr="00154BC5">
        <w:t>, performed with an understanding of the employee’s aspirations, proposed career path and mobility</w:t>
      </w:r>
      <w:r w:rsidR="00154BC5">
        <w:t xml:space="preserve"> </w:t>
      </w:r>
      <w:r w:rsidR="00286083" w:rsidRPr="00154BC5">
        <w:t>and knowledge of the individual’s potential.</w:t>
      </w:r>
    </w:p>
    <w:p w:rsidR="0013193D" w:rsidRDefault="0013193D" w:rsidP="00154BC5">
      <w:r>
        <w:t xml:space="preserve">Within the 9 categories as </w:t>
      </w:r>
      <w:r w:rsidR="00E25682">
        <w:t>shown above, each category shall have the following definition:</w:t>
      </w:r>
    </w:p>
    <w:p w:rsidR="007C4A6D" w:rsidRDefault="00E25682" w:rsidP="00154BC5">
      <w:r>
        <w:t>Transitional</w:t>
      </w:r>
    </w:p>
    <w:p w:rsidR="007C4A6D" w:rsidRDefault="00A65F34" w:rsidP="00154BC5">
      <w:r>
        <w:t>This category is n</w:t>
      </w:r>
      <w:r w:rsidR="007C4A6D">
        <w:t>ot linked to performance or potential scale</w:t>
      </w:r>
      <w:r w:rsidR="00684B13">
        <w:t>, or n</w:t>
      </w:r>
      <w:r w:rsidR="007C4A6D">
        <w:t>ew in role, such as less than six months, new to current role or current role is materially different to the previous role.</w:t>
      </w:r>
      <w:r>
        <w:t xml:space="preserve"> Otherwise it is also used for those where t</w:t>
      </w:r>
      <w:r w:rsidR="007C4A6D">
        <w:t>here’s insufficient information to place the staff in anywhere else.</w:t>
      </w:r>
    </w:p>
    <w:p w:rsidR="00E25682" w:rsidRDefault="00E25682" w:rsidP="00154BC5">
      <w:r>
        <w:t>Future Talent</w:t>
      </w:r>
      <w:r w:rsidR="007C4A6D">
        <w:t xml:space="preserve"> </w:t>
      </w:r>
    </w:p>
    <w:p w:rsidR="00A65F34" w:rsidRDefault="00A65F34" w:rsidP="00154BC5">
      <w:r>
        <w:t xml:space="preserve">This category is for consistent strong performer with </w:t>
      </w:r>
      <w:proofErr w:type="spellStart"/>
      <w:r>
        <w:t>pontential</w:t>
      </w:r>
      <w:proofErr w:type="spellEnd"/>
      <w:r>
        <w:t xml:space="preserve"> for higher performance. It is also for those who displays exceptional potential for rapid vertical progression and aspires to and has capability for further 2 level promotions within MTO.</w:t>
      </w:r>
    </w:p>
    <w:p w:rsidR="00E25682" w:rsidRDefault="00E25682" w:rsidP="00154BC5">
      <w:r>
        <w:t>Key Talent</w:t>
      </w:r>
    </w:p>
    <w:p w:rsidR="00A65F34" w:rsidRDefault="00A65F34" w:rsidP="00154BC5">
      <w:r>
        <w:t>This category is for consistent outstanding performer who excels in current role and who displays exceptional potential for rapid vertical progression. They should also aspire to and has capability for further 2 level promotions within MTO. More importantly, they should be currently ready for increased level of complexity in the current or new role.</w:t>
      </w:r>
    </w:p>
    <w:p w:rsidR="00E25682" w:rsidRDefault="001843ED" w:rsidP="00154BC5">
      <w:r>
        <w:t>Inconsistent Performer</w:t>
      </w:r>
    </w:p>
    <w:p w:rsidR="00FF06AE" w:rsidRDefault="00FF06AE" w:rsidP="00154BC5">
      <w:r>
        <w:t xml:space="preserve">This category is for those who shows promise for success but </w:t>
      </w:r>
      <w:r w:rsidR="0038382B">
        <w:t>held</w:t>
      </w:r>
      <w:r>
        <w:t xml:space="preserve"> back by inconsistent performance</w:t>
      </w:r>
      <w:r w:rsidR="0038382B">
        <w:t>. For these individuals, a performance improvement plan should be in place and their performance should be managed up or out within the year.</w:t>
      </w:r>
    </w:p>
    <w:p w:rsidR="001843ED" w:rsidRDefault="001843ED" w:rsidP="00154BC5">
      <w:r>
        <w:t>Performer with Potential</w:t>
      </w:r>
    </w:p>
    <w:p w:rsidR="00C42F12" w:rsidRDefault="002F742C" w:rsidP="00154BC5">
      <w:r>
        <w:t xml:space="preserve">This category is for those who are consistent strong performer and aspires to and has capability of one level up promotion within the MTO, or a role of increased scope or complexity. </w:t>
      </w:r>
    </w:p>
    <w:p w:rsidR="002F742C" w:rsidRDefault="002F742C" w:rsidP="00154BC5">
      <w:r>
        <w:t>They should be competent in current role and shows potential to achieve more if provided with a new challenge.</w:t>
      </w:r>
    </w:p>
    <w:p w:rsidR="001843ED" w:rsidRDefault="001843ED" w:rsidP="00154BC5">
      <w:r>
        <w:lastRenderedPageBreak/>
        <w:t>Emerging Talent</w:t>
      </w:r>
    </w:p>
    <w:p w:rsidR="002F742C" w:rsidRDefault="006E67BC" w:rsidP="00154BC5">
      <w:r>
        <w:t>This category is for those who are consistent outstanding performer excelling in their current role and aspires to and has the capability of a one level promotion within the MTO. They also consistently show the ability to take on new and different challenges.</w:t>
      </w:r>
    </w:p>
    <w:p w:rsidR="001843ED" w:rsidRDefault="001843ED" w:rsidP="00154BC5">
      <w:r>
        <w:t>Underachieving</w:t>
      </w:r>
    </w:p>
    <w:p w:rsidR="006E67BC" w:rsidRDefault="006E67BC" w:rsidP="00154BC5">
      <w:r>
        <w:t>This category is for those who are consistent poor performer. They would already have a Performance Improvement Plan in place and subsequent review have been completed. Where they are still underperforming, they will likely be managed out of the organization.</w:t>
      </w:r>
    </w:p>
    <w:p w:rsidR="001843ED" w:rsidRDefault="001843ED" w:rsidP="00154BC5">
      <w:r>
        <w:t>Strong Performer</w:t>
      </w:r>
    </w:p>
    <w:p w:rsidR="006E67BC" w:rsidRDefault="006E67BC" w:rsidP="00154BC5">
      <w:r>
        <w:t>This category is for those who are consistent strong performers, who are core to the business and have achieved their optimum level of vertical promotion. They are likely to still have the ability to improve performance in the current role or a role of similar scope and complexity.</w:t>
      </w:r>
    </w:p>
    <w:p w:rsidR="001843ED" w:rsidRPr="00154BC5" w:rsidRDefault="001843ED" w:rsidP="00154BC5">
      <w:r>
        <w:t>High Performer</w:t>
      </w:r>
    </w:p>
    <w:p w:rsidR="00001137" w:rsidRDefault="006E67BC" w:rsidP="0047232C">
      <w:pPr>
        <w:autoSpaceDE w:val="0"/>
        <w:autoSpaceDN w:val="0"/>
        <w:adjustRightInd w:val="0"/>
        <w:rPr>
          <w:rFonts w:cs="Arial"/>
          <w:color w:val="000000"/>
          <w:sz w:val="20"/>
          <w:szCs w:val="20"/>
          <w:lang w:val="en-AU" w:bidi="ar-SA"/>
        </w:rPr>
      </w:pPr>
      <w:r>
        <w:t xml:space="preserve">This category is for those who are consistent outstanding performers, are highly valued and are core contributor to the business. They are able to take on wider remit based on capability, experience and aptitude which could be within their current specialization or in a related one. </w:t>
      </w:r>
      <w:r w:rsidR="00C42F12">
        <w:t>In exceptional cases, depending on extent and complexity of a broader remit, they may warrant a one level up promotion.</w:t>
      </w:r>
    </w:p>
    <w:p w:rsidR="006B51A5" w:rsidRDefault="006B51A5" w:rsidP="0048659C">
      <w:pPr>
        <w:pStyle w:val="Heading2"/>
      </w:pPr>
      <w:bookmarkStart w:id="13" w:name="_Toc507677447"/>
      <w:r w:rsidRPr="00815938">
        <w:t>Recruitment.</w:t>
      </w:r>
      <w:bookmarkEnd w:id="13"/>
      <w:r w:rsidRPr="00815938">
        <w:t xml:space="preserve"> </w:t>
      </w:r>
    </w:p>
    <w:p w:rsidR="00066520" w:rsidRPr="0037265C" w:rsidRDefault="00C368E4" w:rsidP="0037265C">
      <w:r>
        <w:t xml:space="preserve">Recruitment is an integral part of succession planning and talent review inside the bank. </w:t>
      </w:r>
      <w:r w:rsidR="00066520" w:rsidRPr="0037265C">
        <w:t>In the Talent Review meeting</w:t>
      </w:r>
      <w:r>
        <w:t>,</w:t>
      </w:r>
      <w:r w:rsidR="00066520" w:rsidRPr="0037265C">
        <w:t xml:space="preserve"> the strength of the succession pipeline is evaluated. </w:t>
      </w:r>
      <w:r w:rsidR="00A86E59">
        <w:t>As such, t</w:t>
      </w:r>
      <w:r w:rsidR="00066520" w:rsidRPr="0037265C">
        <w:t>his meeting may be combined with the Succession Planning meeting.</w:t>
      </w:r>
    </w:p>
    <w:p w:rsidR="00066520" w:rsidRPr="0037265C" w:rsidRDefault="00066520" w:rsidP="0037265C">
      <w:r w:rsidRPr="0037265C">
        <w:t>Succession Planning is done as and when the business requires and, at a minimum, during the annual talent cycle. The process identifies potential successors for key roles to meet the future resourcing needs of the business.</w:t>
      </w:r>
    </w:p>
    <w:p w:rsidR="00066520" w:rsidRPr="0037265C" w:rsidRDefault="00066520" w:rsidP="0037265C">
      <w:r w:rsidRPr="0037265C">
        <w:t>An integral part of the process is to consider the development needs that identified successors have against key roles. It is also important to consider mobility status.</w:t>
      </w:r>
    </w:p>
    <w:p w:rsidR="00066520" w:rsidRPr="0037265C" w:rsidRDefault="00066520" w:rsidP="0037265C">
      <w:r w:rsidRPr="0037265C">
        <w:t xml:space="preserve">There are three key stages in Succession Planning: </w:t>
      </w:r>
      <w:proofErr w:type="spellStart"/>
      <w:r w:rsidRPr="0037265C">
        <w:t>i</w:t>
      </w:r>
      <w:proofErr w:type="spellEnd"/>
      <w:r w:rsidRPr="0037265C">
        <w:t>) agreeing key roles – which will have been completed as part of the key role identification process; ii) identifying succession candidates and iii) connecting succession plans to resourcing</w:t>
      </w:r>
    </w:p>
    <w:p w:rsidR="00066520" w:rsidRPr="0037265C" w:rsidRDefault="00066520" w:rsidP="0037265C">
      <w:r w:rsidRPr="0037265C">
        <w:lastRenderedPageBreak/>
        <w:t>This is done to increase the number of internal or external appointments to key roles with a “right skills, right role, right time” approach to resource business plans, improve the calibre of senior leadership and ensure a talent pipeline, preferably of internal candidates, is identified to meet the future resourcing needs of the business and reduce the risk associated with having key positions vacant on succession plans.</w:t>
      </w:r>
    </w:p>
    <w:p w:rsidR="00531366" w:rsidRPr="0037265C" w:rsidRDefault="00066520" w:rsidP="0037265C">
      <w:r w:rsidRPr="0037265C">
        <w:t>External successors can be identified but should not be named on succession plans to</w:t>
      </w:r>
      <w:r w:rsidR="0037265C">
        <w:t xml:space="preserve"> </w:t>
      </w:r>
      <w:r w:rsidRPr="0037265C">
        <w:t>comply with data protection legislation.</w:t>
      </w:r>
      <w:r w:rsidR="00531366" w:rsidRPr="0037265C">
        <w:t xml:space="preserve"> Internally, besides promotions directly within the team, review the talent pipeline of high potential individuals identified in other parts of the organisation or incumbents in jobs that historically have been the source of effective leaders. One of the most significant feeder pools is the green box talent pipeline. </w:t>
      </w:r>
    </w:p>
    <w:p w:rsidR="00531366" w:rsidRPr="0037265C" w:rsidRDefault="0037265C" w:rsidP="0037265C">
      <w:r>
        <w:t>It also exists to i</w:t>
      </w:r>
      <w:r w:rsidRPr="0037265C">
        <w:t>dentify</w:t>
      </w:r>
      <w:r w:rsidR="00531366" w:rsidRPr="0037265C">
        <w:t xml:space="preserve"> opportunities to cross reference names between succession plans to give the broadest view of potential successors.  Lateral moves may provide potential candidates with the development they need for their next career step</w:t>
      </w:r>
    </w:p>
    <w:p w:rsidR="00384BD0" w:rsidRDefault="0037265C" w:rsidP="0037265C">
      <w:r>
        <w:t xml:space="preserve">The bank </w:t>
      </w:r>
      <w:r w:rsidR="00531366" w:rsidRPr="0037265C">
        <w:t>aim</w:t>
      </w:r>
      <w:r>
        <w:t>s</w:t>
      </w:r>
      <w:r w:rsidR="00531366" w:rsidRPr="0037265C">
        <w:t xml:space="preserve"> to promote and develop from within, aiming to achieve </w:t>
      </w:r>
      <w:r w:rsidR="00384BD0" w:rsidRPr="0037265C">
        <w:t>a mix of 80/20</w:t>
      </w:r>
      <w:r w:rsidR="00384BD0">
        <w:t xml:space="preserve">; </w:t>
      </w:r>
      <w:r w:rsidR="00384BD0" w:rsidRPr="0037265C">
        <w:t>internal/external</w:t>
      </w:r>
      <w:r w:rsidR="00384BD0">
        <w:t xml:space="preserve"> </w:t>
      </w:r>
      <w:r w:rsidR="00384BD0" w:rsidRPr="0037265C">
        <w:t>successor</w:t>
      </w:r>
      <w:r>
        <w:t xml:space="preserve">. </w:t>
      </w:r>
      <w:r w:rsidR="00531366" w:rsidRPr="0037265C">
        <w:t xml:space="preserve"> </w:t>
      </w:r>
    </w:p>
    <w:p w:rsidR="00531366" w:rsidRDefault="00531366" w:rsidP="0037265C">
      <w:r w:rsidRPr="0037265C">
        <w:t>External hiring may be necessary where there is a limited supply of specialist skills, which can only be identified</w:t>
      </w:r>
      <w:r w:rsidR="0037265C">
        <w:t xml:space="preserve"> </w:t>
      </w:r>
      <w:r w:rsidRPr="0037265C">
        <w:t xml:space="preserve">through a retained search. </w:t>
      </w:r>
    </w:p>
    <w:p w:rsidR="002B1EAF" w:rsidRPr="0037265C" w:rsidRDefault="002B1EAF" w:rsidP="0037265C">
      <w:r>
        <w:t xml:space="preserve">This search can be done via direct and indirect means, such as direct advertising in job boards, newspapers and campus </w:t>
      </w:r>
      <w:r w:rsidR="00FE5AC7">
        <w:t>road shows</w:t>
      </w:r>
      <w:r>
        <w:t>, and also via third parties, such as recruitment agencies and headhunt firms.</w:t>
      </w:r>
    </w:p>
    <w:p w:rsidR="0047232C" w:rsidRDefault="0047232C" w:rsidP="0048659C">
      <w:pPr>
        <w:pStyle w:val="Heading2"/>
      </w:pPr>
      <w:bookmarkStart w:id="14" w:name="_Toc507677448"/>
      <w:r>
        <w:t>Performance management</w:t>
      </w:r>
      <w:bookmarkEnd w:id="14"/>
    </w:p>
    <w:p w:rsidR="00286083" w:rsidRPr="0037265C" w:rsidRDefault="00286083" w:rsidP="0037265C">
      <w:r w:rsidRPr="0037265C">
        <w:t xml:space="preserve">A key phase of the strategy is “Talent Calibration”, which is a meeting in which leaders meet to agree the 9-Box placement decisions for employees based on merit and a shared understanding of the capabilities required </w:t>
      </w:r>
      <w:r w:rsidR="0037265C">
        <w:t>for</w:t>
      </w:r>
      <w:r w:rsidRPr="0037265C">
        <w:t xml:space="preserve"> deliver</w:t>
      </w:r>
      <w:r w:rsidR="0037265C">
        <w:t>ing</w:t>
      </w:r>
      <w:r w:rsidRPr="0037265C">
        <w:t xml:space="preserve"> on the MTO of the business.</w:t>
      </w:r>
    </w:p>
    <w:p w:rsidR="00433A29" w:rsidRDefault="00286083" w:rsidP="0037265C">
      <w:r w:rsidRPr="0037265C">
        <w:t xml:space="preserve">The Talent Calibration is based on the performance management function as identified in the literatures and is used for comparing employees against internal and external peers in the market to improve future resourcing ability and to ensure consistent meritocratic-based decisions that are aligned to the future succession plans. </w:t>
      </w:r>
    </w:p>
    <w:p w:rsidR="00286083" w:rsidRPr="0037265C" w:rsidRDefault="00286083" w:rsidP="0037265C">
      <w:r w:rsidRPr="0037265C">
        <w:t>It is also designed to ensure visibility and discussion of strategically significant groups (e.g. female and local nationals in emerging markets) that may fail to be identified as successors due to unconscious bias, providing an equi</w:t>
      </w:r>
      <w:r w:rsidR="0037265C">
        <w:t xml:space="preserve">table organisation as part of a </w:t>
      </w:r>
      <w:r w:rsidRPr="0037265C">
        <w:t xml:space="preserve">mature </w:t>
      </w:r>
      <w:r w:rsidR="0037265C" w:rsidRPr="0037265C">
        <w:t>organization</w:t>
      </w:r>
      <w:r w:rsidRPr="0037265C">
        <w:t xml:space="preserve"> </w:t>
      </w:r>
      <w:r w:rsidR="00433A29" w:rsidRPr="0037265C">
        <w:t>behaviour</w:t>
      </w:r>
      <w:r w:rsidRPr="0037265C">
        <w:t>.</w:t>
      </w:r>
    </w:p>
    <w:p w:rsidR="00286083" w:rsidRPr="0037265C" w:rsidRDefault="00286083" w:rsidP="0037265C">
      <w:r w:rsidRPr="0037265C">
        <w:lastRenderedPageBreak/>
        <w:t>Managers from different teams will assess the completed 9-box breakdown of their teams against other managers, with background on the targeted employee’s performance, work history and aspirations, strengths, development areas and potential next roles. As the business strategy and</w:t>
      </w:r>
      <w:r w:rsidR="0037265C">
        <w:t xml:space="preserve"> </w:t>
      </w:r>
      <w:r w:rsidRPr="0037265C">
        <w:t xml:space="preserve">external environment change, the capabilities required for success will shift and these will be reflected by movements in the 9-Box. </w:t>
      </w:r>
      <w:r w:rsidR="00154BC5" w:rsidRPr="0037265C">
        <w:t>Managers would also mark</w:t>
      </w:r>
      <w:r w:rsidRPr="0037265C">
        <w:t xml:space="preserve"> those who appear in red boxes so that robust performance improvement plans can be put in place.</w:t>
      </w:r>
    </w:p>
    <w:p w:rsidR="00286083" w:rsidRPr="00743550" w:rsidRDefault="00154BC5" w:rsidP="00743550">
      <w:r w:rsidRPr="0037265C">
        <w:t>This semi</w:t>
      </w:r>
      <w:r w:rsidR="00433A29">
        <w:t>-</w:t>
      </w:r>
      <w:r w:rsidRPr="0037265C">
        <w:t>annual exercise is then undertaken to ensure the employees are performing accordingly and not in the red boxes, and for those who are, performance improvement plans are given to the staff to elevate them to non</w:t>
      </w:r>
      <w:r w:rsidR="00433A29">
        <w:t>-</w:t>
      </w:r>
      <w:r w:rsidRPr="0037265C">
        <w:t>red boxes.</w:t>
      </w:r>
    </w:p>
    <w:p w:rsidR="006B51A5" w:rsidRPr="002B1BFC" w:rsidRDefault="00743550" w:rsidP="0048659C">
      <w:pPr>
        <w:pStyle w:val="Heading2"/>
      </w:pPr>
      <w:bookmarkStart w:id="15" w:name="_Toc507677449"/>
      <w:r>
        <w:t>Training and Development</w:t>
      </w:r>
      <w:bookmarkEnd w:id="15"/>
    </w:p>
    <w:p w:rsidR="006B51A5" w:rsidRPr="00743550" w:rsidRDefault="0037265C" w:rsidP="00743550">
      <w:r w:rsidRPr="00743550">
        <w:t>Training and development is about building individual capabilities to meet current and future organisational needs and individual aspirations, which the bank called “Career development” phase.</w:t>
      </w:r>
    </w:p>
    <w:p w:rsidR="006B51A5" w:rsidRDefault="002B1EAF" w:rsidP="00743550">
      <w:r>
        <w:t>The objective of this phase is t</w:t>
      </w:r>
      <w:r w:rsidR="0037265C" w:rsidRPr="00743550">
        <w:t>o ensure employees receive development appropriate for their current role and the roles they have been identified for on succession plans, in line with business needs and the individual’s career aspirations.</w:t>
      </w:r>
      <w:r>
        <w:t xml:space="preserve"> It is also t</w:t>
      </w:r>
      <w:r w:rsidR="0037265C" w:rsidRPr="00743550">
        <w:t>o identify key capabilities and development gaps to progress to the next level, and to develop associated action plans</w:t>
      </w:r>
      <w:r>
        <w:t>.</w:t>
      </w:r>
    </w:p>
    <w:p w:rsidR="002B1EAF" w:rsidRDefault="002B1EAF" w:rsidP="00743550">
      <w:r>
        <w:t xml:space="preserve">The Training involved is </w:t>
      </w:r>
      <w:r w:rsidR="00433A29">
        <w:t xml:space="preserve">categorised into three parts: On the </w:t>
      </w:r>
      <w:r w:rsidR="004051F8">
        <w:t>job;</w:t>
      </w:r>
      <w:r w:rsidR="00433A29">
        <w:t xml:space="preserve"> </w:t>
      </w:r>
      <w:r w:rsidR="004051F8">
        <w:t>Coaching;</w:t>
      </w:r>
      <w:r w:rsidR="00433A29">
        <w:t xml:space="preserve"> Formal Programmes.</w:t>
      </w:r>
    </w:p>
    <w:p w:rsidR="00433A29" w:rsidRDefault="00433A29" w:rsidP="00743550">
      <w:r>
        <w:t xml:space="preserve">On the job training includes: </w:t>
      </w:r>
    </w:p>
    <w:p w:rsidR="00433A29" w:rsidRDefault="00433A29" w:rsidP="00743550">
      <w:r>
        <w:t>Developing coaching skills by mentoring a member of the talent pipeline. It can also involve expanding current job tasks, such as allowing the talent to chair team meetings, or provide the opportunity to manage a special project with exposure to something new.</w:t>
      </w:r>
    </w:p>
    <w:p w:rsidR="00433A29" w:rsidRDefault="00187F25" w:rsidP="00743550">
      <w:r>
        <w:t>A “buddy” system between a specialist and a new hire should help with the staff onboarding and exchange learning and also allow for the talent to take responsibility for another area or other people. This can be done by work shadowing people they could learn from.</w:t>
      </w:r>
    </w:p>
    <w:p w:rsidR="00187F25" w:rsidRDefault="00187F25" w:rsidP="00743550">
      <w:r>
        <w:t>Another aspect of on the job training will include production of case studies, research and presentations, and gain experience of other businesses or products such that the talent can work more effectively or cross sell.</w:t>
      </w:r>
    </w:p>
    <w:p w:rsidR="00187F25" w:rsidRDefault="00187F25" w:rsidP="00743550">
      <w:r>
        <w:t>Delivering technical updates, providing tuition or a lunch and learn session can also be part of the on the job training.</w:t>
      </w:r>
    </w:p>
    <w:p w:rsidR="004051F8" w:rsidRDefault="004051F8" w:rsidP="00743550">
      <w:r>
        <w:lastRenderedPageBreak/>
        <w:t>Coaching includes:</w:t>
      </w:r>
    </w:p>
    <w:p w:rsidR="004051F8" w:rsidRDefault="004051F8" w:rsidP="00743550">
      <w:r>
        <w:t>Communication between the talent and the coach in providing regular feedback on development areas. The coach should also seek to understand the staff’s career aspirations and assisting in planning the next career steps and open doors by making introductions to widen the staff’s network.</w:t>
      </w:r>
    </w:p>
    <w:p w:rsidR="004051F8" w:rsidRDefault="004051F8" w:rsidP="00743550">
      <w:r>
        <w:t>The staff should also be coached into writing their career development plans, and the coach can also work as a mentor</w:t>
      </w:r>
      <w:r w:rsidR="00B92325">
        <w:t xml:space="preserve">, who could provide opportunities or exposures in different circumstances such as events. </w:t>
      </w:r>
    </w:p>
    <w:p w:rsidR="00B92325" w:rsidRDefault="00B92325" w:rsidP="00743550">
      <w:r>
        <w:t>Where there are any performance gaps, the coach should help the staff identify and address those gaps. Specific actions to address those gaps should be assigned.</w:t>
      </w:r>
    </w:p>
    <w:p w:rsidR="00AB4806" w:rsidRDefault="00C21998" w:rsidP="00743550">
      <w:r>
        <w:t xml:space="preserve">Formal Programmes includes formal education, such as academic or professional studies, which forms a vital part of a skills upgrade, especially with regards to the positions where industry and certification are required for regulatory reasons. </w:t>
      </w:r>
    </w:p>
    <w:p w:rsidR="00C21998" w:rsidRPr="00743550" w:rsidRDefault="00C21998" w:rsidP="00743550">
      <w:r>
        <w:t>In addition, attending conferences or other learning forums, and those Continuing Professional Development (CPD) requirements for maintaining the industry certification are also part of this category of training.</w:t>
      </w:r>
    </w:p>
    <w:p w:rsidR="00B90250" w:rsidRDefault="00C21998" w:rsidP="0037265C">
      <w:pPr>
        <w:autoSpaceDE w:val="0"/>
        <w:autoSpaceDN w:val="0"/>
        <w:adjustRightInd w:val="0"/>
        <w:spacing w:after="0" w:line="240" w:lineRule="auto"/>
        <w:rPr>
          <w:rFonts w:ascii="Helvetica" w:hAnsi="Helvetica" w:cs="Helvetica"/>
        </w:rPr>
      </w:pPr>
      <w:r>
        <w:rPr>
          <w:rFonts w:ascii="Helvetica" w:hAnsi="Helvetica" w:cs="Helvetica"/>
        </w:rPr>
        <w:t>These three categories of training should be distributed in the following way:</w:t>
      </w:r>
    </w:p>
    <w:p w:rsidR="00C21998" w:rsidRDefault="00C21998" w:rsidP="0037265C">
      <w:pPr>
        <w:autoSpaceDE w:val="0"/>
        <w:autoSpaceDN w:val="0"/>
        <w:adjustRightInd w:val="0"/>
        <w:spacing w:after="0" w:line="240" w:lineRule="auto"/>
        <w:rPr>
          <w:rFonts w:ascii="Helvetica" w:hAnsi="Helvetica" w:cs="Helvetica"/>
        </w:rPr>
      </w:pPr>
      <w:r>
        <w:rPr>
          <w:rFonts w:ascii="Helvetica" w:hAnsi="Helvetica" w:cs="Helvetica"/>
          <w:noProof/>
        </w:rPr>
        <w:drawing>
          <wp:inline distT="0" distB="0" distL="0" distR="0" wp14:anchorId="4748F393" wp14:editId="54B51668">
            <wp:extent cx="4472108" cy="1943735"/>
            <wp:effectExtent l="0" t="0" r="24130" b="5651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C21998" w:rsidRDefault="00C21998" w:rsidP="0037265C">
      <w:pPr>
        <w:autoSpaceDE w:val="0"/>
        <w:autoSpaceDN w:val="0"/>
        <w:adjustRightInd w:val="0"/>
        <w:spacing w:after="0" w:line="240" w:lineRule="auto"/>
        <w:rPr>
          <w:rFonts w:ascii="Helvetica" w:hAnsi="Helvetica" w:cs="Helvetica"/>
        </w:rPr>
      </w:pPr>
    </w:p>
    <w:p w:rsidR="002B1EAF" w:rsidRDefault="002B1EAF" w:rsidP="00B90250">
      <w:pPr>
        <w:autoSpaceDE w:val="0"/>
        <w:autoSpaceDN w:val="0"/>
        <w:adjustRightInd w:val="0"/>
        <w:spacing w:after="0" w:line="240" w:lineRule="auto"/>
        <w:rPr>
          <w:rFonts w:cs="Arial"/>
          <w:color w:val="000000"/>
          <w:sz w:val="20"/>
          <w:szCs w:val="20"/>
          <w:lang w:val="en-AU" w:bidi="ar-SA"/>
        </w:rPr>
      </w:pPr>
    </w:p>
    <w:p w:rsidR="002B1EAF" w:rsidRPr="002B1EAF" w:rsidRDefault="002B1EAF" w:rsidP="002B1EAF">
      <w:r w:rsidRPr="002B1EAF">
        <w:t>To succeed in this phase, management need to i</w:t>
      </w:r>
      <w:r w:rsidR="00B90250" w:rsidRPr="002B1EAF">
        <w:t xml:space="preserve">mplement actions as required </w:t>
      </w:r>
      <w:r w:rsidR="00052154">
        <w:t xml:space="preserve">in </w:t>
      </w:r>
      <w:r w:rsidR="00052154" w:rsidRPr="002B1EAF">
        <w:t>developing</w:t>
      </w:r>
      <w:r w:rsidR="00B90250" w:rsidRPr="002B1EAF">
        <w:t xml:space="preserve"> individuals, typically aligned to business</w:t>
      </w:r>
      <w:r w:rsidRPr="002B1EAF">
        <w:t xml:space="preserve"> strategy by:</w:t>
      </w:r>
    </w:p>
    <w:p w:rsidR="002B1EAF" w:rsidRPr="002B1EAF" w:rsidRDefault="00B90250" w:rsidP="002B1EAF">
      <w:pPr>
        <w:pStyle w:val="ListParagraph"/>
        <w:numPr>
          <w:ilvl w:val="0"/>
          <w:numId w:val="5"/>
        </w:numPr>
      </w:pPr>
      <w:r w:rsidRPr="002B1EAF">
        <w:t>Hold</w:t>
      </w:r>
      <w:r w:rsidR="002B1EAF" w:rsidRPr="002B1EAF">
        <w:t>ing</w:t>
      </w:r>
      <w:r w:rsidRPr="002B1EAF">
        <w:t xml:space="preserve"> regular development and feedback conversations with individuals </w:t>
      </w:r>
    </w:p>
    <w:p w:rsidR="00B90250" w:rsidRPr="002B1EAF" w:rsidRDefault="00B90250" w:rsidP="002B1EAF">
      <w:pPr>
        <w:pStyle w:val="ListParagraph"/>
        <w:numPr>
          <w:ilvl w:val="0"/>
          <w:numId w:val="5"/>
        </w:numPr>
      </w:pPr>
      <w:r w:rsidRPr="002B1EAF">
        <w:t>Provide opportunities and support aligned with individual’s career development plan</w:t>
      </w:r>
    </w:p>
    <w:p w:rsidR="002B1EAF" w:rsidRPr="002B1EAF" w:rsidRDefault="002B1EAF" w:rsidP="002B1EAF">
      <w:pPr>
        <w:pStyle w:val="ListParagraph"/>
        <w:numPr>
          <w:ilvl w:val="0"/>
          <w:numId w:val="5"/>
        </w:numPr>
      </w:pPr>
      <w:r w:rsidRPr="002B1EAF">
        <w:t xml:space="preserve">Encouraging the participation of the training programs whether it is internally held or by CBT (Computer based training) or through external, academic channels. </w:t>
      </w:r>
    </w:p>
    <w:p w:rsidR="002B1EAF" w:rsidRPr="002B1EAF" w:rsidRDefault="002B1EAF" w:rsidP="002B1EAF">
      <w:r w:rsidRPr="002B1EAF">
        <w:lastRenderedPageBreak/>
        <w:t>This should then provide a pipeline of strong successors who are able to develop into the roles they have been identified for on the organisation’s succession plans, with a set of identified development actions in Career Development Plans to achieve timely succession and mitigate any succession risks and issues.</w:t>
      </w:r>
    </w:p>
    <w:p w:rsidR="00A35854" w:rsidRDefault="00A35854" w:rsidP="00A35854">
      <w:pPr>
        <w:pStyle w:val="Heading2"/>
        <w:rPr>
          <w:lang w:val="en-AU"/>
        </w:rPr>
      </w:pPr>
      <w:bookmarkStart w:id="16" w:name="_Toc507677450"/>
      <w:r>
        <w:rPr>
          <w:lang w:val="en-AU"/>
        </w:rPr>
        <w:t>Outsourcing</w:t>
      </w:r>
      <w:bookmarkEnd w:id="16"/>
    </w:p>
    <w:p w:rsidR="00A35854" w:rsidRDefault="00A35854" w:rsidP="00A35854">
      <w:r>
        <w:t>An alternate approach to tackle to problem of Unibank is to outsource the call centre function to either an on-shore or off-shore service provider.</w:t>
      </w:r>
    </w:p>
    <w:p w:rsidR="00FB1CCB" w:rsidRDefault="00FB1CCB" w:rsidP="00A35854">
      <w:r>
        <w:t>One of the difficult challenges in outsourcing is how to manage the impact to people, especially in relation to the transition management between both parties, and people are likely the most important factor in a transition.</w:t>
      </w:r>
    </w:p>
    <w:p w:rsidR="00CC1241" w:rsidRDefault="00FB1CCB" w:rsidP="00A35854">
      <w:r>
        <w:t>Outsourcing should not be seen as a process of discarding staff loyalty and experience in favour of a cheap solution, but rather a major change to the operation of the firm.</w:t>
      </w:r>
      <w:r w:rsidR="00FD6E64">
        <w:t xml:space="preserve"> Several typical responses to outsourcing are generally found to be negative. </w:t>
      </w:r>
    </w:p>
    <w:p w:rsidR="00FB1CCB" w:rsidRDefault="002074F3" w:rsidP="00A35854">
      <w:r>
        <w:t>This can be summarised by</w:t>
      </w:r>
      <w:r w:rsidR="00FD6E64">
        <w:t xml:space="preserve"> Das </w:t>
      </w:r>
      <w:sdt>
        <w:sdtPr>
          <w:id w:val="455840166"/>
          <w:citation/>
        </w:sdtPr>
        <w:sdtContent>
          <w:r w:rsidR="00FD6E64">
            <w:fldChar w:fldCharType="begin"/>
          </w:r>
          <w:r w:rsidR="00FD6E64">
            <w:instrText xml:space="preserve">CITATION Gur12 \n  \t  \l 15369 </w:instrText>
          </w:r>
          <w:r w:rsidR="00FD6E64">
            <w:fldChar w:fldCharType="separate"/>
          </w:r>
          <w:r w:rsidR="00FD6E64">
            <w:rPr>
              <w:noProof/>
            </w:rPr>
            <w:t>(2012)</w:t>
          </w:r>
          <w:r w:rsidR="00FD6E64">
            <w:fldChar w:fldCharType="end"/>
          </w:r>
        </w:sdtContent>
      </w:sdt>
      <w:r w:rsidR="00FD6E64">
        <w:t xml:space="preserve"> story of the outsourcing done by Harrods in London to Delhi </w:t>
      </w:r>
      <w:r>
        <w:t>in chapter 20 of his book:</w:t>
      </w:r>
      <w:r w:rsidR="00FD6E64">
        <w:t xml:space="preserve"> “A regional radio station in Yorkshire reported in a rather blunt manner that the local community which had earlier operated the Harrods call centre was deeply concerned; trade union officials in London quickly issued a statement expressing reservations about British companies shifting their </w:t>
      </w:r>
      <w:r>
        <w:t>‘b</w:t>
      </w:r>
      <w:r w:rsidR="00FD6E64">
        <w:t>ack office’ to India</w:t>
      </w:r>
      <w:r>
        <w:t>. Another newspaper raised questions about whether the distinguished customers of Harrods would be able to understand the English spoken by Indian boys and girls.”</w:t>
      </w:r>
    </w:p>
    <w:p w:rsidR="00A35854" w:rsidRDefault="002074F3" w:rsidP="00A35854">
      <w:r>
        <w:t>This response from the community and the staff is an attitude that is to be expected. In Unibank’s case, the setting up of the call centre was already a transition, albeit internally, between different business units of the bank. In the same challenge as outsourcing, the transition did not happen smoothly and professionally, thereby introducing the root cause of the issues we see in the current case. Introducing outsourcing partners will alleviate some of these issues, firstly, as outsourcing is not a new phenomenon, experienced firms can be found as partners who have already resolved many of the same challenges for different clients in their portfolio.</w:t>
      </w:r>
    </w:p>
    <w:p w:rsidR="00CC1241" w:rsidRPr="00A35854" w:rsidRDefault="00CC1241" w:rsidP="00A35854">
      <w:r>
        <w:t xml:space="preserve">Outsourcing to centres such as those from Pakistan or Malaysia may introduce further synergies as the environment is closer culturally, with the Islamic banking practices and background and the same calendar for public holidays being common traits. This will lead towards a quick solution in resolving Unibank’s challenges, however in the same manner as </w:t>
      </w:r>
      <w:r>
        <w:lastRenderedPageBreak/>
        <w:t>Harrod’s who responded “Indians speak English just as intelligibly as the citizens of Yorkshire”, Unibank management would also need to be fully aligned and back such as move to outsource the function to an external third party.</w:t>
      </w:r>
    </w:p>
    <w:p w:rsidR="0055336F" w:rsidRDefault="00C711BC" w:rsidP="0055336F">
      <w:pPr>
        <w:pStyle w:val="Heading1"/>
        <w:rPr>
          <w:lang w:val="en-AU"/>
        </w:rPr>
      </w:pPr>
      <w:bookmarkStart w:id="17" w:name="_Toc507677451"/>
      <w:r>
        <w:rPr>
          <w:lang w:val="en-AU"/>
        </w:rPr>
        <w:t>Conclusion</w:t>
      </w:r>
      <w:bookmarkEnd w:id="17"/>
    </w:p>
    <w:p w:rsidR="00C02CCF" w:rsidRDefault="00D755C7" w:rsidP="00A822F2">
      <w:r>
        <w:t>UAE</w:t>
      </w:r>
      <w:r w:rsidR="00806042">
        <w:t xml:space="preserve"> have a</w:t>
      </w:r>
      <w:r w:rsidR="00F93D84">
        <w:t>n</w:t>
      </w:r>
      <w:r w:rsidR="00806042">
        <w:t xml:space="preserve"> economy that is focused in building financial services industry</w:t>
      </w:r>
      <w:r w:rsidR="00F93D84">
        <w:t>,</w:t>
      </w:r>
      <w:r w:rsidR="00806042">
        <w:t xml:space="preserve"> such as attracting banks and investment firms to operate in the region. With interests from these industry players, the</w:t>
      </w:r>
      <w:r w:rsidR="00F93D84">
        <w:t>ir</w:t>
      </w:r>
      <w:r w:rsidR="00806042">
        <w:t xml:space="preserve"> staffing agenda is an issue that these companies cannot take lightly. </w:t>
      </w:r>
      <w:r w:rsidR="00F93D84">
        <w:t xml:space="preserve"> </w:t>
      </w:r>
    </w:p>
    <w:p w:rsidR="00F93D84" w:rsidRDefault="00F93D84" w:rsidP="00A822F2">
      <w:r>
        <w:t>The case study of one of the leading banks in the region has shown that a talent strategy is important and is established inside this firm. It also shows that the talent strategy is focused on business strategy alignment, as it is repeatedly reminded of this focus in every phase of activities.</w:t>
      </w:r>
    </w:p>
    <w:p w:rsidR="00CE4DB1" w:rsidRDefault="00F93D84" w:rsidP="00A822F2">
      <w:r>
        <w:t xml:space="preserve">The concepts of training and development, performance management, selection, recruitment and job design are all embedding inside the bank’s talent strategy and the focus is mainly on developing talent internally through rotation and promotions of existing staffs more than attracting external </w:t>
      </w:r>
      <w:r w:rsidR="006C5EA3">
        <w:t xml:space="preserve">members, as shown in its 9-box model. </w:t>
      </w:r>
      <w:r w:rsidR="00CE4DB1">
        <w:t xml:space="preserve">In making the </w:t>
      </w:r>
      <w:r w:rsidR="00D755C7">
        <w:t>w</w:t>
      </w:r>
      <w:r w:rsidR="00CE4DB1">
        <w:t xml:space="preserve">orkforce mobile and flexible, the bank </w:t>
      </w:r>
      <w:r w:rsidR="00D755C7">
        <w:t>should</w:t>
      </w:r>
      <w:r w:rsidR="00CE4DB1">
        <w:t xml:space="preserve"> </w:t>
      </w:r>
      <w:r w:rsidR="00D755C7">
        <w:t xml:space="preserve">have </w:t>
      </w:r>
      <w:r w:rsidR="00CE4DB1">
        <w:t>a resource pool that is accustomed to the company culture and standards.</w:t>
      </w:r>
    </w:p>
    <w:p w:rsidR="00F93D84" w:rsidRDefault="006C5EA3" w:rsidP="00A822F2">
      <w:r>
        <w:t xml:space="preserve">Therefore, staff retention and turnover rates is one of the traditional </w:t>
      </w:r>
      <w:r w:rsidR="00CE4DB1">
        <w:t xml:space="preserve">HR success </w:t>
      </w:r>
      <w:r>
        <w:t>measures, along with staff satisfaction from global people surveys, in determining the success of the talent strategy in supporting the business strategy.</w:t>
      </w:r>
      <w:r w:rsidR="00CE4DB1">
        <w:t xml:space="preserve">  It is by the active management of their workforce in this manner that the bank believes will give it a winning edge in the competition for talent against other players in the market.</w:t>
      </w:r>
    </w:p>
    <w:p w:rsidR="00806042" w:rsidRDefault="00806042" w:rsidP="00A822F2"/>
    <w:p w:rsidR="00BD5899" w:rsidRDefault="00BD5899" w:rsidP="00F034F0"/>
    <w:p w:rsidR="0014280A" w:rsidRDefault="0014280A">
      <w:pPr>
        <w:rPr>
          <w:rFonts w:asciiTheme="majorHAnsi" w:eastAsiaTheme="majorEastAsia" w:hAnsiTheme="majorHAnsi" w:cstheme="majorBidi"/>
          <w:b/>
          <w:bCs/>
          <w:color w:val="365F91" w:themeColor="accent1" w:themeShade="BF"/>
          <w:sz w:val="28"/>
          <w:szCs w:val="28"/>
          <w:lang w:val="en-AU"/>
        </w:rPr>
      </w:pPr>
      <w:r>
        <w:rPr>
          <w:lang w:val="en-AU"/>
        </w:rPr>
        <w:br w:type="page"/>
      </w:r>
    </w:p>
    <w:p w:rsidR="00752E70" w:rsidRPr="00672ED2" w:rsidRDefault="00752E70" w:rsidP="00351D77">
      <w:pPr>
        <w:pStyle w:val="Heading1"/>
        <w:rPr>
          <w:lang w:val="en-AU"/>
        </w:rPr>
      </w:pPr>
      <w:bookmarkStart w:id="18" w:name="_Toc507677452"/>
      <w:r w:rsidRPr="00672ED2">
        <w:rPr>
          <w:lang w:val="en-AU"/>
        </w:rPr>
        <w:lastRenderedPageBreak/>
        <w:t>References</w:t>
      </w:r>
      <w:bookmarkEnd w:id="18"/>
    </w:p>
    <w:sdt>
      <w:sdtPr>
        <w:rPr>
          <w:rFonts w:ascii="Times New Roman" w:eastAsia="Times New Roman" w:hAnsi="Times New Roman" w:cs="Times New Roman"/>
          <w:sz w:val="24"/>
          <w:szCs w:val="24"/>
          <w:lang w:bidi="ar-SA"/>
        </w:rPr>
        <w:id w:val="111145805"/>
        <w:bibliography/>
      </w:sdtPr>
      <w:sdtEndPr>
        <w:rPr>
          <w:rFonts w:ascii="Arial" w:eastAsiaTheme="minorEastAsia" w:hAnsi="Arial" w:cstheme="minorBidi"/>
          <w:sz w:val="22"/>
          <w:szCs w:val="22"/>
          <w:lang w:bidi="en-US"/>
        </w:rPr>
      </w:sdtEndPr>
      <w:sdtContent>
        <w:p w:rsidR="00756E96" w:rsidRDefault="00F719FF" w:rsidP="00756E96">
          <w:pPr>
            <w:pStyle w:val="Bibliography"/>
            <w:ind w:left="720" w:hanging="720"/>
            <w:rPr>
              <w:noProof/>
              <w:sz w:val="24"/>
              <w:szCs w:val="24"/>
              <w:lang w:val="en-AU" w:eastAsia="zh-CN"/>
            </w:rPr>
          </w:pPr>
          <w:r w:rsidRPr="00672ED2">
            <w:fldChar w:fldCharType="begin"/>
          </w:r>
          <w:r w:rsidR="00752E70" w:rsidRPr="00672ED2">
            <w:instrText xml:space="preserve"> BIBLIOGRAPHY </w:instrText>
          </w:r>
          <w:r w:rsidRPr="00672ED2">
            <w:fldChar w:fldCharType="separate"/>
          </w:r>
          <w:r w:rsidR="00756E96">
            <w:rPr>
              <w:noProof/>
              <w:lang w:val="en-AU"/>
            </w:rPr>
            <w:t xml:space="preserve">Al-Malkawi, H. A., Marashdeh, H. A., &amp; Abdullah, N. (2012). Financial development and economic growth in the UAE: Empirical assessment using ARDL approach to co-integration. </w:t>
          </w:r>
          <w:r w:rsidR="00756E96">
            <w:rPr>
              <w:i/>
              <w:iCs/>
              <w:noProof/>
              <w:lang w:val="en-AU"/>
            </w:rPr>
            <w:t>International Journal of Economics and Finance, 4(5)</w:t>
          </w:r>
          <w:r w:rsidR="00756E96">
            <w:rPr>
              <w:noProof/>
              <w:lang w:val="en-AU"/>
            </w:rPr>
            <w:t>, pp 105.</w:t>
          </w:r>
        </w:p>
        <w:p w:rsidR="00756E96" w:rsidRDefault="00756E96" w:rsidP="00756E96">
          <w:pPr>
            <w:pStyle w:val="Bibliography"/>
            <w:ind w:left="720" w:hanging="720"/>
            <w:rPr>
              <w:noProof/>
              <w:lang w:val="en-AU"/>
            </w:rPr>
          </w:pPr>
          <w:r>
            <w:rPr>
              <w:noProof/>
              <w:lang w:val="en-AU"/>
            </w:rPr>
            <w:t xml:space="preserve">Al-Sadik, &amp; Tawfik, A. (2001). Evolution and Performance of the UAE Economy 1972– 1998. In I. Al-Abed, &amp; P. Hellyer, </w:t>
          </w:r>
          <w:r>
            <w:rPr>
              <w:i/>
              <w:iCs/>
              <w:noProof/>
              <w:lang w:val="en-AU"/>
            </w:rPr>
            <w:t>United Arab Emirates: A New Perspective</w:t>
          </w:r>
          <w:r>
            <w:rPr>
              <w:noProof/>
              <w:lang w:val="en-AU"/>
            </w:rPr>
            <w:t xml:space="preserve"> (pp. pp 202-230). London: Trident Publishing.</w:t>
          </w:r>
        </w:p>
        <w:p w:rsidR="00756E96" w:rsidRDefault="00756E96" w:rsidP="00756E96">
          <w:pPr>
            <w:pStyle w:val="Bibliography"/>
            <w:ind w:left="720" w:hanging="720"/>
            <w:rPr>
              <w:noProof/>
              <w:lang w:val="en-AU"/>
            </w:rPr>
          </w:pPr>
          <w:r>
            <w:rPr>
              <w:noProof/>
              <w:lang w:val="en-AU"/>
            </w:rPr>
            <w:t xml:space="preserve">Awamleh, R., Evans, J., &amp; Mahate, A. (2005). A test of transformational and transactional leadership styles on employees' satisfaction and performance in the UAE banking sector. . </w:t>
          </w:r>
          <w:r>
            <w:rPr>
              <w:i/>
              <w:iCs/>
              <w:noProof/>
              <w:lang w:val="en-AU"/>
            </w:rPr>
            <w:t>Journal of comparative international management, 8(1).</w:t>
          </w:r>
          <w:r>
            <w:rPr>
              <w:noProof/>
              <w:lang w:val="en-AU"/>
            </w:rPr>
            <w:t xml:space="preserve"> </w:t>
          </w:r>
        </w:p>
        <w:p w:rsidR="00756E96" w:rsidRDefault="00756E96" w:rsidP="00756E96">
          <w:pPr>
            <w:pStyle w:val="Bibliography"/>
            <w:ind w:left="720" w:hanging="720"/>
            <w:rPr>
              <w:noProof/>
              <w:lang w:val="en-AU"/>
            </w:rPr>
          </w:pPr>
          <w:r>
            <w:rPr>
              <w:noProof/>
              <w:lang w:val="en-AU"/>
            </w:rPr>
            <w:t xml:space="preserve">Barrick, M. R., Patton, G. K., &amp; Haugland, S. N. (2000). Accuracy of interviewer judgements of job applicant personality traits. . </w:t>
          </w:r>
          <w:r>
            <w:rPr>
              <w:i/>
              <w:iCs/>
              <w:noProof/>
              <w:lang w:val="en-AU"/>
            </w:rPr>
            <w:t>Personnel Psychology, vol 53</w:t>
          </w:r>
          <w:r>
            <w:rPr>
              <w:noProof/>
              <w:lang w:val="en-AU"/>
            </w:rPr>
            <w:t>, pp. 925-951.</w:t>
          </w:r>
        </w:p>
        <w:p w:rsidR="00756E96" w:rsidRDefault="00756E96" w:rsidP="00756E96">
          <w:pPr>
            <w:pStyle w:val="Bibliography"/>
            <w:ind w:left="720" w:hanging="720"/>
            <w:rPr>
              <w:noProof/>
              <w:lang w:val="en-AU"/>
            </w:rPr>
          </w:pPr>
          <w:r>
            <w:rPr>
              <w:noProof/>
              <w:lang w:val="en-AU"/>
            </w:rPr>
            <w:t xml:space="preserve">Boudreau, J. W., Boswell, W. R., &amp; Judge, T. A. (2001). Executive career success in the U.S. and Europe: Effects of personality. </w:t>
          </w:r>
          <w:r>
            <w:rPr>
              <w:i/>
              <w:iCs/>
              <w:noProof/>
              <w:lang w:val="en-AU"/>
            </w:rPr>
            <w:t>Journal of Vocational Behavior, vol 58</w:t>
          </w:r>
          <w:r>
            <w:rPr>
              <w:noProof/>
              <w:lang w:val="en-AU"/>
            </w:rPr>
            <w:t>, pp. 53-81.</w:t>
          </w:r>
        </w:p>
        <w:p w:rsidR="00756E96" w:rsidRDefault="00756E96" w:rsidP="00756E96">
          <w:pPr>
            <w:pStyle w:val="Bibliography"/>
            <w:ind w:left="720" w:hanging="720"/>
            <w:rPr>
              <w:noProof/>
              <w:lang w:val="en-AU"/>
            </w:rPr>
          </w:pPr>
          <w:r>
            <w:rPr>
              <w:noProof/>
              <w:lang w:val="en-AU"/>
            </w:rPr>
            <w:t xml:space="preserve">Boxall, P., &amp; Purcell, J. (2003). </w:t>
          </w:r>
          <w:r>
            <w:rPr>
              <w:i/>
              <w:iCs/>
              <w:noProof/>
              <w:lang w:val="en-AU"/>
            </w:rPr>
            <w:t>Strategy and Human Resource Management. .</w:t>
          </w:r>
          <w:r>
            <w:rPr>
              <w:noProof/>
              <w:lang w:val="en-AU"/>
            </w:rPr>
            <w:t xml:space="preserve"> New York: Palgrave Macmillan.</w:t>
          </w:r>
        </w:p>
        <w:p w:rsidR="00756E96" w:rsidRDefault="00756E96" w:rsidP="00756E96">
          <w:pPr>
            <w:pStyle w:val="Bibliography"/>
            <w:ind w:left="720" w:hanging="720"/>
            <w:rPr>
              <w:noProof/>
              <w:lang w:val="en-AU"/>
            </w:rPr>
          </w:pPr>
          <w:r>
            <w:rPr>
              <w:noProof/>
              <w:lang w:val="en-AU"/>
            </w:rPr>
            <w:t xml:space="preserve">Christiansen, L. C., &amp; Higgs, M. (2008). How the alignment of business strategy and HR strategy can impact performance. </w:t>
          </w:r>
          <w:r>
            <w:rPr>
              <w:i/>
              <w:iCs/>
              <w:noProof/>
              <w:lang w:val="en-AU"/>
            </w:rPr>
            <w:t>Journal of General Management Vol.33 Iss.4</w:t>
          </w:r>
          <w:r>
            <w:rPr>
              <w:noProof/>
              <w:lang w:val="en-AU"/>
            </w:rPr>
            <w:t>, pp. 13-34.</w:t>
          </w:r>
        </w:p>
        <w:p w:rsidR="00756E96" w:rsidRDefault="00756E96" w:rsidP="00756E96">
          <w:pPr>
            <w:pStyle w:val="Bibliography"/>
            <w:ind w:left="720" w:hanging="720"/>
            <w:rPr>
              <w:noProof/>
              <w:lang w:val="en-AU"/>
            </w:rPr>
          </w:pPr>
          <w:r>
            <w:rPr>
              <w:noProof/>
              <w:lang w:val="en-AU"/>
            </w:rPr>
            <w:t xml:space="preserve">Delery, J. E., &amp; Doty, D. H. (1996). Modes of Theorizing in Strategic Human Resource Management: Tests of Universalistic, Contingency, and Configurational Performance Predictions. </w:t>
          </w:r>
          <w:r>
            <w:rPr>
              <w:i/>
              <w:iCs/>
              <w:noProof/>
              <w:lang w:val="en-AU"/>
            </w:rPr>
            <w:t xml:space="preserve">The Academy of Management Journal, Vol. 39, No. 4 </w:t>
          </w:r>
          <w:r>
            <w:rPr>
              <w:noProof/>
              <w:lang w:val="en-AU"/>
            </w:rPr>
            <w:t>, pp. 802-835.</w:t>
          </w:r>
        </w:p>
        <w:p w:rsidR="00756E96" w:rsidRDefault="00756E96" w:rsidP="00756E96">
          <w:pPr>
            <w:pStyle w:val="Bibliography"/>
            <w:ind w:left="720" w:hanging="720"/>
            <w:rPr>
              <w:noProof/>
              <w:lang w:val="en-AU"/>
            </w:rPr>
          </w:pPr>
          <w:r>
            <w:rPr>
              <w:noProof/>
              <w:lang w:val="en-AU"/>
            </w:rPr>
            <w:t xml:space="preserve">DubaiFAQ. (2018, Feb 2). </w:t>
          </w:r>
          <w:r>
            <w:rPr>
              <w:i/>
              <w:iCs/>
              <w:noProof/>
              <w:lang w:val="en-AU"/>
            </w:rPr>
            <w:t>Salaries and wages in Dubai</w:t>
          </w:r>
          <w:r>
            <w:rPr>
              <w:noProof/>
              <w:lang w:val="en-AU"/>
            </w:rPr>
            <w:t>. Retrieved from DubaiFAQs UAE information guide: http://www.dubaifaqs.com/salaries-dubai.php</w:t>
          </w:r>
        </w:p>
        <w:p w:rsidR="00756E96" w:rsidRDefault="00756E96" w:rsidP="00756E96">
          <w:pPr>
            <w:pStyle w:val="Bibliography"/>
            <w:ind w:left="720" w:hanging="720"/>
            <w:rPr>
              <w:noProof/>
              <w:lang w:val="en-AU"/>
            </w:rPr>
          </w:pPr>
          <w:r>
            <w:rPr>
              <w:noProof/>
              <w:lang w:val="en-AU"/>
            </w:rPr>
            <w:t>Dulebohn, J. H., Murray, B., &amp; Sun, M. (2000). SELECTION AMONG EMPLOYER</w:t>
          </w:r>
          <w:r>
            <w:rPr>
              <w:rFonts w:ascii="Cambria Math" w:hAnsi="Cambria Math" w:cs="Cambria Math"/>
              <w:noProof/>
              <w:lang w:val="en-AU"/>
            </w:rPr>
            <w:t>‐</w:t>
          </w:r>
          <w:r>
            <w:rPr>
              <w:noProof/>
              <w:lang w:val="en-AU"/>
            </w:rPr>
            <w:t xml:space="preserve">SPONSORED PENSION PLANS: THE ROLE OF INDIVIDUAL DIFFERENCES. . </w:t>
          </w:r>
          <w:r>
            <w:rPr>
              <w:i/>
              <w:iCs/>
              <w:noProof/>
              <w:lang w:val="en-AU"/>
            </w:rPr>
            <w:t>Personnel Psychology, 53(2)</w:t>
          </w:r>
          <w:r>
            <w:rPr>
              <w:noProof/>
              <w:lang w:val="en-AU"/>
            </w:rPr>
            <w:t>, pp. 405-432.</w:t>
          </w:r>
        </w:p>
        <w:p w:rsidR="00756E96" w:rsidRDefault="00756E96" w:rsidP="00756E96">
          <w:pPr>
            <w:pStyle w:val="Bibliography"/>
            <w:ind w:left="720" w:hanging="720"/>
            <w:rPr>
              <w:noProof/>
              <w:lang w:val="en-AU"/>
            </w:rPr>
          </w:pPr>
          <w:r>
            <w:rPr>
              <w:noProof/>
              <w:lang w:val="en-AU"/>
            </w:rPr>
            <w:t xml:space="preserve">Edwards, J. R., Scully, J. A., &amp; Brtek, M. D. (1999). The measurement of work: Hierachical representation of the Multimethod Job Design Questionnaire. </w:t>
          </w:r>
          <w:r>
            <w:rPr>
              <w:i/>
              <w:iCs/>
              <w:noProof/>
              <w:lang w:val="en-AU"/>
            </w:rPr>
            <w:t>Personnel Psychology</w:t>
          </w:r>
          <w:r>
            <w:rPr>
              <w:noProof/>
              <w:lang w:val="en-AU"/>
            </w:rPr>
            <w:t>, pp 305-334.</w:t>
          </w:r>
        </w:p>
        <w:p w:rsidR="00756E96" w:rsidRDefault="00756E96" w:rsidP="00756E96">
          <w:pPr>
            <w:pStyle w:val="Bibliography"/>
            <w:ind w:left="720" w:hanging="720"/>
            <w:rPr>
              <w:noProof/>
              <w:lang w:val="en-AU"/>
            </w:rPr>
          </w:pPr>
          <w:r>
            <w:rPr>
              <w:noProof/>
              <w:lang w:val="en-AU"/>
            </w:rPr>
            <w:lastRenderedPageBreak/>
            <w:t xml:space="preserve">Faulconbridge, J. R., Beaverstock, J. V., Hall, S., &amp; Hewitson, A. (2009). The ‘war for talent’: The gatekeeper role of executive search firms in elite labour markets . </w:t>
          </w:r>
          <w:r>
            <w:rPr>
              <w:i/>
              <w:iCs/>
              <w:noProof/>
              <w:lang w:val="en-AU"/>
            </w:rPr>
            <w:t>Geoforum Volume 40, Issue 5</w:t>
          </w:r>
          <w:r>
            <w:rPr>
              <w:noProof/>
              <w:lang w:val="en-AU"/>
            </w:rPr>
            <w:t>, pp. 800–808 .</w:t>
          </w:r>
        </w:p>
        <w:p w:rsidR="00756E96" w:rsidRDefault="00756E96" w:rsidP="00756E96">
          <w:pPr>
            <w:pStyle w:val="Bibliography"/>
            <w:ind w:left="720" w:hanging="720"/>
            <w:rPr>
              <w:noProof/>
              <w:lang w:val="en-AU"/>
            </w:rPr>
          </w:pPr>
          <w:r>
            <w:rPr>
              <w:noProof/>
              <w:lang w:val="en-AU"/>
            </w:rPr>
            <w:t xml:space="preserve">Goldberg, L. R. (1990). An alternative “description of personality”: The Big-Five factor structure. </w:t>
          </w:r>
          <w:r>
            <w:rPr>
              <w:i/>
              <w:iCs/>
              <w:noProof/>
              <w:lang w:val="en-AU"/>
            </w:rPr>
            <w:t>Journal of Personality and Social Psychology, vol. 59</w:t>
          </w:r>
          <w:r>
            <w:rPr>
              <w:noProof/>
              <w:lang w:val="en-AU"/>
            </w:rPr>
            <w:t>, pp. 1216-1229.</w:t>
          </w:r>
        </w:p>
        <w:p w:rsidR="00756E96" w:rsidRDefault="00756E96" w:rsidP="00756E96">
          <w:pPr>
            <w:pStyle w:val="Bibliography"/>
            <w:ind w:left="720" w:hanging="720"/>
            <w:rPr>
              <w:noProof/>
              <w:lang w:val="en-AU"/>
            </w:rPr>
          </w:pPr>
          <w:r>
            <w:rPr>
              <w:noProof/>
              <w:lang w:val="en-AU"/>
            </w:rPr>
            <w:t xml:space="preserve">Gratton, L., &amp; Truss, C. (2003). The three-dimensional people strategy: Putting human resources policies into action . </w:t>
          </w:r>
          <w:r>
            <w:rPr>
              <w:i/>
              <w:iCs/>
              <w:noProof/>
              <w:lang w:val="en-AU"/>
            </w:rPr>
            <w:t>Academy of Management Executive, Vol. 17, No. 3</w:t>
          </w:r>
          <w:r>
            <w:rPr>
              <w:noProof/>
              <w:lang w:val="en-AU"/>
            </w:rPr>
            <w:t>, pp. 74-86.</w:t>
          </w:r>
        </w:p>
        <w:p w:rsidR="00756E96" w:rsidRDefault="00756E96" w:rsidP="00756E96">
          <w:pPr>
            <w:pStyle w:val="Bibliography"/>
            <w:ind w:left="720" w:hanging="720"/>
            <w:rPr>
              <w:noProof/>
              <w:lang w:val="en-AU"/>
            </w:rPr>
          </w:pPr>
          <w:r>
            <w:rPr>
              <w:noProof/>
              <w:lang w:val="en-AU"/>
            </w:rPr>
            <w:t xml:space="preserve">Griffin, M. A., Neal, A., &amp; Parker, S. K. (2007). A new model of work role performance: Positive behavior in uncertain and interdependent contexts. </w:t>
          </w:r>
          <w:r>
            <w:rPr>
              <w:i/>
              <w:iCs/>
              <w:noProof/>
              <w:lang w:val="en-AU"/>
            </w:rPr>
            <w:t>Academy of Management Journal Vol. 50, No. 2</w:t>
          </w:r>
          <w:r>
            <w:rPr>
              <w:noProof/>
              <w:lang w:val="en-AU"/>
            </w:rPr>
            <w:t>, pp. 327–347.</w:t>
          </w:r>
        </w:p>
        <w:p w:rsidR="00756E96" w:rsidRDefault="00756E96" w:rsidP="00756E96">
          <w:pPr>
            <w:pStyle w:val="Bibliography"/>
            <w:ind w:left="720" w:hanging="720"/>
            <w:rPr>
              <w:noProof/>
              <w:lang w:val="en-AU"/>
            </w:rPr>
          </w:pPr>
          <w:r>
            <w:rPr>
              <w:noProof/>
              <w:lang w:val="en-AU"/>
            </w:rPr>
            <w:t xml:space="preserve">Highhouse, S., Zickar, M. J., Thorsteinson, T. J., Stierwalt, S. L., &amp; Slaughter, J. E. (1999). Assesing Company Employment Image: An Example in the Fast Food Industry. . </w:t>
          </w:r>
          <w:r>
            <w:rPr>
              <w:i/>
              <w:iCs/>
              <w:noProof/>
              <w:lang w:val="en-AU"/>
            </w:rPr>
            <w:t>Personnel Psychology , 52</w:t>
          </w:r>
          <w:r>
            <w:rPr>
              <w:noProof/>
              <w:lang w:val="en-AU"/>
            </w:rPr>
            <w:t>, pp. 151-172.</w:t>
          </w:r>
        </w:p>
        <w:p w:rsidR="00756E96" w:rsidRDefault="00756E96" w:rsidP="00756E96">
          <w:pPr>
            <w:pStyle w:val="Bibliography"/>
            <w:ind w:left="720" w:hanging="720"/>
            <w:rPr>
              <w:noProof/>
              <w:lang w:val="en-AU"/>
            </w:rPr>
          </w:pPr>
          <w:r>
            <w:rPr>
              <w:noProof/>
              <w:lang w:val="en-AU"/>
            </w:rPr>
            <w:t xml:space="preserve">IMF. (1998). </w:t>
          </w:r>
          <w:r>
            <w:rPr>
              <w:i/>
              <w:iCs/>
              <w:noProof/>
              <w:lang w:val="en-AU"/>
            </w:rPr>
            <w:t>United Arab Emirates - Recent Economic Developments. Series: IMF Staff Country Report No. 98/134.</w:t>
          </w:r>
          <w:r>
            <w:rPr>
              <w:noProof/>
              <w:lang w:val="en-AU"/>
            </w:rPr>
            <w:t xml:space="preserve"> IMF.</w:t>
          </w:r>
        </w:p>
        <w:p w:rsidR="00756E96" w:rsidRDefault="00756E96" w:rsidP="00756E96">
          <w:pPr>
            <w:pStyle w:val="Bibliography"/>
            <w:ind w:left="720" w:hanging="720"/>
            <w:rPr>
              <w:noProof/>
              <w:lang w:val="en-AU"/>
            </w:rPr>
          </w:pPr>
          <w:r>
            <w:rPr>
              <w:noProof/>
              <w:lang w:val="en-AU"/>
            </w:rPr>
            <w:t xml:space="preserve">Judge, T. A., &amp; Bono, J. E. (2000). Five-factor model of personality and transformational leadership. . </w:t>
          </w:r>
          <w:r>
            <w:rPr>
              <w:i/>
              <w:iCs/>
              <w:noProof/>
              <w:lang w:val="en-AU"/>
            </w:rPr>
            <w:t>Journal of Applied Psychology, vol 85</w:t>
          </w:r>
          <w:r>
            <w:rPr>
              <w:noProof/>
              <w:lang w:val="en-AU"/>
            </w:rPr>
            <w:t>, pp. 751-765.</w:t>
          </w:r>
        </w:p>
        <w:p w:rsidR="00756E96" w:rsidRDefault="00756E96" w:rsidP="00756E96">
          <w:pPr>
            <w:pStyle w:val="Bibliography"/>
            <w:ind w:left="720" w:hanging="720"/>
            <w:rPr>
              <w:noProof/>
              <w:lang w:val="en-AU"/>
            </w:rPr>
          </w:pPr>
          <w:r>
            <w:rPr>
              <w:noProof/>
              <w:lang w:val="en-AU"/>
            </w:rPr>
            <w:t xml:space="preserve">Kaplan, S. (2007). Business Strategy, People Strategy and Total Rewards. </w:t>
          </w:r>
          <w:r>
            <w:rPr>
              <w:i/>
              <w:iCs/>
              <w:noProof/>
              <w:lang w:val="en-AU"/>
            </w:rPr>
            <w:t>Benefits &amp; Compensation Digest vol 44, No 9</w:t>
          </w:r>
          <w:r>
            <w:rPr>
              <w:noProof/>
              <w:lang w:val="en-AU"/>
            </w:rPr>
            <w:t>, pp. 13-19.</w:t>
          </w:r>
        </w:p>
        <w:p w:rsidR="00756E96" w:rsidRDefault="00756E96" w:rsidP="00756E96">
          <w:pPr>
            <w:pStyle w:val="Bibliography"/>
            <w:ind w:left="720" w:hanging="720"/>
            <w:rPr>
              <w:noProof/>
              <w:lang w:val="en-AU"/>
            </w:rPr>
          </w:pPr>
          <w:r>
            <w:rPr>
              <w:noProof/>
              <w:lang w:val="en-AU"/>
            </w:rPr>
            <w:t xml:space="preserve">Lam, S., Hui, C., &amp; Law, K. (1999). Organizational citizenship behavior: Comparing perspectives of supervisors and subordinates across four international samples. . </w:t>
          </w:r>
          <w:r>
            <w:rPr>
              <w:i/>
              <w:iCs/>
              <w:noProof/>
              <w:lang w:val="en-AU"/>
            </w:rPr>
            <w:t>Journal of Applied Psychology, 84(4)</w:t>
          </w:r>
          <w:r>
            <w:rPr>
              <w:noProof/>
              <w:lang w:val="en-AU"/>
            </w:rPr>
            <w:t>, p.594.</w:t>
          </w:r>
        </w:p>
        <w:p w:rsidR="00756E96" w:rsidRDefault="00756E96" w:rsidP="00756E96">
          <w:pPr>
            <w:pStyle w:val="Bibliography"/>
            <w:ind w:left="720" w:hanging="720"/>
            <w:rPr>
              <w:noProof/>
              <w:lang w:val="en-AU"/>
            </w:rPr>
          </w:pPr>
          <w:r>
            <w:rPr>
              <w:noProof/>
              <w:lang w:val="en-AU"/>
            </w:rPr>
            <w:t xml:space="preserve">Lambert, S. (2000). Added benefits: The link between work-life benefits and organizational citizenship behavior. . </w:t>
          </w:r>
          <w:r>
            <w:rPr>
              <w:i/>
              <w:iCs/>
              <w:noProof/>
              <w:lang w:val="en-AU"/>
            </w:rPr>
            <w:t>Academy of management Journal, 43(5)</w:t>
          </w:r>
          <w:r>
            <w:rPr>
              <w:noProof/>
              <w:lang w:val="en-AU"/>
            </w:rPr>
            <w:t>, pp.801-815.</w:t>
          </w:r>
        </w:p>
        <w:p w:rsidR="00756E96" w:rsidRDefault="00756E96" w:rsidP="00756E96">
          <w:pPr>
            <w:pStyle w:val="Bibliography"/>
            <w:ind w:left="720" w:hanging="720"/>
            <w:rPr>
              <w:noProof/>
              <w:lang w:val="en-AU"/>
            </w:rPr>
          </w:pPr>
          <w:r>
            <w:rPr>
              <w:noProof/>
              <w:lang w:val="en-AU"/>
            </w:rPr>
            <w:t xml:space="preserve">Locke, E. A., Alavi, M., &amp; Wagner, J. A. (1997). Participation in decision making: An information exchange perspective. </w:t>
          </w:r>
          <w:r>
            <w:rPr>
              <w:i/>
              <w:iCs/>
              <w:noProof/>
              <w:lang w:val="en-AU"/>
            </w:rPr>
            <w:t>Ferris, Gerald R. (Ed), Research in personnel and human resources management, Vol. 15</w:t>
          </w:r>
          <w:r>
            <w:rPr>
              <w:noProof/>
              <w:lang w:val="en-AU"/>
            </w:rPr>
            <w:t>, pp. 293-331.</w:t>
          </w:r>
        </w:p>
        <w:p w:rsidR="00756E96" w:rsidRDefault="00756E96" w:rsidP="00756E96">
          <w:pPr>
            <w:pStyle w:val="Bibliography"/>
            <w:ind w:left="720" w:hanging="720"/>
            <w:rPr>
              <w:noProof/>
              <w:lang w:val="en-AU"/>
            </w:rPr>
          </w:pPr>
          <w:r>
            <w:rPr>
              <w:noProof/>
              <w:lang w:val="en-AU"/>
            </w:rPr>
            <w:t xml:space="preserve">McManus, M. A., &amp; Kelly, M. L. (1999). Personality measures and biodata: Evidence regarding their incremental predictive value in the life insurance industry. </w:t>
          </w:r>
          <w:r>
            <w:rPr>
              <w:i/>
              <w:iCs/>
              <w:noProof/>
              <w:lang w:val="en-AU"/>
            </w:rPr>
            <w:t>Personnel Psychology, vol 52</w:t>
          </w:r>
          <w:r>
            <w:rPr>
              <w:noProof/>
              <w:lang w:val="en-AU"/>
            </w:rPr>
            <w:t>, 137-148.</w:t>
          </w:r>
        </w:p>
        <w:p w:rsidR="00756E96" w:rsidRDefault="00756E96" w:rsidP="00756E96">
          <w:pPr>
            <w:pStyle w:val="Bibliography"/>
            <w:ind w:left="720" w:hanging="720"/>
            <w:rPr>
              <w:noProof/>
              <w:lang w:val="en-AU"/>
            </w:rPr>
          </w:pPr>
          <w:r>
            <w:rPr>
              <w:noProof/>
              <w:lang w:val="en-AU"/>
            </w:rPr>
            <w:lastRenderedPageBreak/>
            <w:t xml:space="preserve">Michaels, E., Handfield-Jones, H., &amp; Axelrod, B. (2001). </w:t>
          </w:r>
          <w:r>
            <w:rPr>
              <w:i/>
              <w:iCs/>
              <w:noProof/>
              <w:lang w:val="en-AU"/>
            </w:rPr>
            <w:t>The war for talent.</w:t>
          </w:r>
          <w:r>
            <w:rPr>
              <w:noProof/>
              <w:lang w:val="en-AU"/>
            </w:rPr>
            <w:t xml:space="preserve"> Boston: Harvard Business Press.</w:t>
          </w:r>
        </w:p>
        <w:p w:rsidR="00756E96" w:rsidRDefault="00756E96" w:rsidP="00756E96">
          <w:pPr>
            <w:pStyle w:val="Bibliography"/>
            <w:ind w:left="720" w:hanging="720"/>
            <w:rPr>
              <w:noProof/>
              <w:lang w:val="en-AU"/>
            </w:rPr>
          </w:pPr>
          <w:r>
            <w:rPr>
              <w:noProof/>
              <w:lang w:val="en-AU"/>
            </w:rPr>
            <w:t xml:space="preserve">Miles, R. E., Snow, C. C., Meyer, A. D., &amp; Coleman, H. J. (1978). Organizational Strategy, Structure, and Process. </w:t>
          </w:r>
          <w:r>
            <w:rPr>
              <w:i/>
              <w:iCs/>
              <w:noProof/>
              <w:lang w:val="en-AU"/>
            </w:rPr>
            <w:t>The Academy of Management Review Vol. 3, No. 3</w:t>
          </w:r>
          <w:r>
            <w:rPr>
              <w:noProof/>
              <w:lang w:val="en-AU"/>
            </w:rPr>
            <w:t>, pp. 546-562.</w:t>
          </w:r>
        </w:p>
        <w:p w:rsidR="00756E96" w:rsidRDefault="00756E96" w:rsidP="00756E96">
          <w:pPr>
            <w:pStyle w:val="Bibliography"/>
            <w:ind w:left="720" w:hanging="720"/>
            <w:rPr>
              <w:noProof/>
              <w:lang w:val="en-AU"/>
            </w:rPr>
          </w:pPr>
          <w:r>
            <w:rPr>
              <w:noProof/>
              <w:lang w:val="en-AU"/>
            </w:rPr>
            <w:t xml:space="preserve">Roberson, Q. M., Moye, N. A., &amp; Locke, E. A. (1999). Identifying a missing link between participation and satisfaction: The mediating role of procedural justice perceptions. </w:t>
          </w:r>
          <w:r>
            <w:rPr>
              <w:i/>
              <w:iCs/>
              <w:noProof/>
              <w:lang w:val="en-AU"/>
            </w:rPr>
            <w:t>Journal of Applied Psychology, vol. 84</w:t>
          </w:r>
          <w:r>
            <w:rPr>
              <w:noProof/>
              <w:lang w:val="en-AU"/>
            </w:rPr>
            <w:t>, pp. 585-593.</w:t>
          </w:r>
        </w:p>
        <w:p w:rsidR="00756E96" w:rsidRDefault="00756E96" w:rsidP="00756E96">
          <w:pPr>
            <w:pStyle w:val="Bibliography"/>
            <w:ind w:left="720" w:hanging="720"/>
            <w:rPr>
              <w:noProof/>
              <w:lang w:val="en-AU"/>
            </w:rPr>
          </w:pPr>
          <w:r>
            <w:rPr>
              <w:noProof/>
              <w:lang w:val="en-AU"/>
            </w:rPr>
            <w:t xml:space="preserve">Ryan, A. M., &amp; Ployhart, R. E. (2000). Applicants' perceptions of selection procedures and decisions: A critical review and agenda for the future. </w:t>
          </w:r>
          <w:r>
            <w:rPr>
              <w:i/>
              <w:iCs/>
              <w:noProof/>
              <w:lang w:val="en-AU"/>
            </w:rPr>
            <w:t>Journal of Management, vol 26</w:t>
          </w:r>
          <w:r>
            <w:rPr>
              <w:noProof/>
              <w:lang w:val="en-AU"/>
            </w:rPr>
            <w:t>, pp. 565-606.</w:t>
          </w:r>
        </w:p>
        <w:p w:rsidR="00756E96" w:rsidRDefault="00756E96" w:rsidP="00756E96">
          <w:pPr>
            <w:pStyle w:val="Bibliography"/>
            <w:ind w:left="720" w:hanging="720"/>
            <w:rPr>
              <w:noProof/>
              <w:lang w:val="en-AU"/>
            </w:rPr>
          </w:pPr>
          <w:r>
            <w:rPr>
              <w:noProof/>
              <w:lang w:val="en-AU"/>
            </w:rPr>
            <w:t xml:space="preserve">Sanchez, R. J., Truxillo, D. M., &amp; Bauer, T. N. (2000). Development and examination of an expectancy-based measure of test-taking motivation. </w:t>
          </w:r>
          <w:r>
            <w:rPr>
              <w:i/>
              <w:iCs/>
              <w:noProof/>
              <w:lang w:val="en-AU"/>
            </w:rPr>
            <w:t>Journal of Applied Psychology, vol 85</w:t>
          </w:r>
          <w:r>
            <w:rPr>
              <w:noProof/>
              <w:lang w:val="en-AU"/>
            </w:rPr>
            <w:t>, pp.739-750.</w:t>
          </w:r>
        </w:p>
        <w:p w:rsidR="00756E96" w:rsidRDefault="00756E96" w:rsidP="00756E96">
          <w:pPr>
            <w:pStyle w:val="Bibliography"/>
            <w:ind w:left="720" w:hanging="720"/>
            <w:rPr>
              <w:noProof/>
              <w:lang w:val="en-AU"/>
            </w:rPr>
          </w:pPr>
          <w:r>
            <w:rPr>
              <w:noProof/>
              <w:lang w:val="en-AU"/>
            </w:rPr>
            <w:t xml:space="preserve">Scully, J. A., Kirkpatrick, S. A., &amp; Locke, E. A. (1995). Locus of knowledge as a determinant of the effects of participation on performance, affect, and perceptions. </w:t>
          </w:r>
          <w:r>
            <w:rPr>
              <w:i/>
              <w:iCs/>
              <w:noProof/>
              <w:lang w:val="en-AU"/>
            </w:rPr>
            <w:t>Organizational Behavior &amp; Human Decision Processes, Vol 61</w:t>
          </w:r>
          <w:r>
            <w:rPr>
              <w:noProof/>
              <w:lang w:val="en-AU"/>
            </w:rPr>
            <w:t>, pp. 276-288.</w:t>
          </w:r>
        </w:p>
        <w:p w:rsidR="00756E96" w:rsidRDefault="00756E96" w:rsidP="00756E96">
          <w:pPr>
            <w:pStyle w:val="Bibliography"/>
            <w:ind w:left="720" w:hanging="720"/>
            <w:rPr>
              <w:noProof/>
              <w:lang w:val="en-AU"/>
            </w:rPr>
          </w:pPr>
          <w:r>
            <w:rPr>
              <w:noProof/>
              <w:lang w:val="en-AU"/>
            </w:rPr>
            <w:t xml:space="preserve">Shihab, M. (2001). Economic Development in the UAE. . In I. Al-Abed, &amp; P. Hellyer, </w:t>
          </w:r>
          <w:r>
            <w:rPr>
              <w:i/>
              <w:iCs/>
              <w:noProof/>
              <w:lang w:val="en-AU"/>
            </w:rPr>
            <w:t>United Arab Emirates: A New Perspective</w:t>
          </w:r>
          <w:r>
            <w:rPr>
              <w:noProof/>
              <w:lang w:val="en-AU"/>
            </w:rPr>
            <w:t xml:space="preserve"> (pp. pp. 249-259.). London: Trident Publishing.</w:t>
          </w:r>
        </w:p>
        <w:p w:rsidR="00756E96" w:rsidRDefault="00756E96" w:rsidP="00756E96">
          <w:pPr>
            <w:pStyle w:val="Bibliography"/>
            <w:ind w:left="720" w:hanging="720"/>
            <w:rPr>
              <w:noProof/>
              <w:lang w:val="en-AU"/>
            </w:rPr>
          </w:pPr>
          <w:r>
            <w:rPr>
              <w:noProof/>
              <w:lang w:val="en-AU"/>
            </w:rPr>
            <w:t xml:space="preserve">Wanberg, C. R., &amp; Banas, J. T. (2000). Predictors and outcomes of openness to changes in a reorganizing workplace. </w:t>
          </w:r>
          <w:r>
            <w:rPr>
              <w:i/>
              <w:iCs/>
              <w:noProof/>
              <w:lang w:val="en-AU"/>
            </w:rPr>
            <w:t>Journal of Applied Psychology, vol.85</w:t>
          </w:r>
          <w:r>
            <w:rPr>
              <w:noProof/>
              <w:lang w:val="en-AU"/>
            </w:rPr>
            <w:t>, pp.132-142.</w:t>
          </w:r>
        </w:p>
        <w:p w:rsidR="00756E96" w:rsidRDefault="00756E96" w:rsidP="00756E96">
          <w:pPr>
            <w:pStyle w:val="Bibliography"/>
            <w:ind w:left="720" w:hanging="720"/>
            <w:rPr>
              <w:noProof/>
              <w:lang w:val="en-AU"/>
            </w:rPr>
          </w:pPr>
          <w:r>
            <w:rPr>
              <w:noProof/>
              <w:lang w:val="en-AU"/>
            </w:rPr>
            <w:t xml:space="preserve">Wood, R., Atkins, P., &amp; Bright, J. (1999). Bonuses, goals, and instrumentality effects. </w:t>
          </w:r>
          <w:r>
            <w:rPr>
              <w:i/>
              <w:iCs/>
              <w:noProof/>
              <w:lang w:val="en-AU"/>
            </w:rPr>
            <w:t>Journal of Applied Psychology, 84(5)</w:t>
          </w:r>
          <w:r>
            <w:rPr>
              <w:noProof/>
              <w:lang w:val="en-AU"/>
            </w:rPr>
            <w:t>, p.703.</w:t>
          </w:r>
        </w:p>
        <w:p w:rsidR="00CC4F63" w:rsidRDefault="00F719FF" w:rsidP="00756E96">
          <w:pPr>
            <w:autoSpaceDE w:val="0"/>
            <w:autoSpaceDN w:val="0"/>
            <w:adjustRightInd w:val="0"/>
            <w:rPr>
              <w:rFonts w:cs="Arial"/>
              <w:sz w:val="19"/>
              <w:szCs w:val="19"/>
            </w:rPr>
          </w:pPr>
          <w:r w:rsidRPr="00672ED2">
            <w:fldChar w:fldCharType="end"/>
          </w:r>
        </w:p>
        <w:p w:rsidR="00CC4F63" w:rsidRDefault="00CC4F63" w:rsidP="00CC4F63">
          <w:pPr>
            <w:autoSpaceDE w:val="0"/>
            <w:autoSpaceDN w:val="0"/>
            <w:adjustRightInd w:val="0"/>
            <w:rPr>
              <w:rFonts w:cs="Arial"/>
              <w:sz w:val="19"/>
              <w:szCs w:val="19"/>
            </w:rPr>
          </w:pPr>
        </w:p>
        <w:p w:rsidR="00CD77BE" w:rsidRDefault="00777598" w:rsidP="00CD77BE"/>
      </w:sdtContent>
    </w:sdt>
    <w:sectPr w:rsidR="00CD77BE" w:rsidSect="004C61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6A2F" w:rsidRDefault="00EF6A2F" w:rsidP="00AC2810">
      <w:r>
        <w:separator/>
      </w:r>
    </w:p>
  </w:endnote>
  <w:endnote w:type="continuationSeparator" w:id="0">
    <w:p w:rsidR="00EF6A2F" w:rsidRDefault="00EF6A2F" w:rsidP="00AC2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Helvetica">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7598" w:rsidRDefault="00777598" w:rsidP="0092379D">
    <w:pPr>
      <w:pStyle w:val="Footer"/>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Page </w:t>
    </w:r>
    <w:r>
      <w:fldChar w:fldCharType="begin"/>
    </w:r>
    <w:r>
      <w:instrText xml:space="preserve"> PAGE   \* MERGEFORMAT </w:instrText>
    </w:r>
    <w:r>
      <w:fldChar w:fldCharType="separate"/>
    </w:r>
    <w:r w:rsidR="00C845FA" w:rsidRPr="00C845FA">
      <w:rPr>
        <w:rFonts w:asciiTheme="majorHAnsi" w:hAnsiTheme="majorHAnsi"/>
        <w:noProof/>
      </w:rPr>
      <w:t>3</w:t>
    </w:r>
    <w:r>
      <w:rPr>
        <w:rFonts w:asciiTheme="majorHAnsi" w:hAnsiTheme="majorHAnsi"/>
        <w:noProof/>
      </w:rPr>
      <w:fldChar w:fldCharType="end"/>
    </w:r>
  </w:p>
  <w:p w:rsidR="00777598" w:rsidRDefault="007775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6A2F" w:rsidRDefault="00EF6A2F" w:rsidP="00AC2810">
      <w:r>
        <w:separator/>
      </w:r>
    </w:p>
  </w:footnote>
  <w:footnote w:type="continuationSeparator" w:id="0">
    <w:p w:rsidR="00EF6A2F" w:rsidRDefault="00EF6A2F" w:rsidP="00AC2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insideH w:val="single" w:sz="18" w:space="0" w:color="4F81BD" w:themeColor="accent1"/>
        <w:insideV w:val="single" w:sz="18" w:space="0" w:color="C0504D" w:themeColor="accent2"/>
      </w:tblBorders>
      <w:tblCellMar>
        <w:top w:w="58" w:type="dxa"/>
        <w:left w:w="115" w:type="dxa"/>
        <w:bottom w:w="58" w:type="dxa"/>
        <w:right w:w="115" w:type="dxa"/>
      </w:tblCellMar>
      <w:tblLook w:val="04A0" w:firstRow="1" w:lastRow="0" w:firstColumn="1" w:lastColumn="0" w:noHBand="0" w:noVBand="1"/>
    </w:tblPr>
    <w:tblGrid>
      <w:gridCol w:w="1403"/>
      <w:gridCol w:w="7953"/>
    </w:tblGrid>
    <w:tr w:rsidR="00777598" w:rsidRPr="00B34DE5" w:rsidTr="004C616F">
      <w:tc>
        <w:tcPr>
          <w:tcW w:w="750" w:type="pct"/>
        </w:tcPr>
        <w:p w:rsidR="00777598" w:rsidRPr="00B34DE5" w:rsidRDefault="00777598" w:rsidP="005E10AD">
          <w:pPr>
            <w:pStyle w:val="Header"/>
            <w:rPr>
              <w:color w:val="4F81BD" w:themeColor="accent1"/>
            </w:rPr>
          </w:pPr>
        </w:p>
      </w:tc>
      <w:sdt>
        <w:sdtPr>
          <w:rPr>
            <w:rFonts w:cs="Arial"/>
            <w:b/>
          </w:rPr>
          <w:alias w:val="Title"/>
          <w:id w:val="3032644"/>
          <w:dataBinding w:prefixMappings="xmlns:ns0='http://schemas.openxmlformats.org/package/2006/metadata/core-properties' xmlns:ns1='http://purl.org/dc/elements/1.1/'" w:xpath="/ns0:coreProperties[1]/ns1:title[1]" w:storeItemID="{6C3C8BC8-F283-45AE-878A-BAB7291924A1}"/>
          <w:text/>
        </w:sdtPr>
        <w:sdtContent>
          <w:tc>
            <w:tcPr>
              <w:tcW w:w="4250" w:type="pct"/>
            </w:tcPr>
            <w:p w:rsidR="00777598" w:rsidRPr="00B34DE5" w:rsidRDefault="00777598" w:rsidP="00EC05FD">
              <w:pPr>
                <w:pStyle w:val="Header"/>
                <w:rPr>
                  <w:rFonts w:asciiTheme="majorHAnsi" w:eastAsiaTheme="majorEastAsia" w:hAnsiTheme="majorHAnsi" w:cstheme="majorBidi"/>
                  <w:color w:val="4F81BD" w:themeColor="accent1"/>
                  <w:sz w:val="24"/>
                  <w:szCs w:val="24"/>
                </w:rPr>
              </w:pPr>
              <w:r w:rsidRPr="000A4026">
                <w:rPr>
                  <w:rFonts w:cs="Arial"/>
                  <w:b/>
                </w:rPr>
                <w:t>Managing in Complex Environments: Strategies, Insights and Solutions</w:t>
              </w:r>
            </w:p>
          </w:tc>
        </w:sdtContent>
      </w:sdt>
    </w:tr>
  </w:tbl>
  <w:p w:rsidR="00777598" w:rsidRDefault="007775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74FB4"/>
    <w:multiLevelType w:val="hybridMultilevel"/>
    <w:tmpl w:val="D3AC1E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9014923"/>
    <w:multiLevelType w:val="hybridMultilevel"/>
    <w:tmpl w:val="0C42BC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30A57419"/>
    <w:multiLevelType w:val="hybridMultilevel"/>
    <w:tmpl w:val="6D164EAC"/>
    <w:lvl w:ilvl="0" w:tplc="94226828">
      <w:start w:val="1"/>
      <w:numFmt w:val="bullet"/>
      <w:lvlText w:val="•"/>
      <w:lvlJc w:val="left"/>
      <w:pPr>
        <w:tabs>
          <w:tab w:val="num" w:pos="720"/>
        </w:tabs>
        <w:ind w:left="720" w:hanging="360"/>
      </w:pPr>
      <w:rPr>
        <w:rFonts w:ascii="Times New Roman" w:hAnsi="Times New Roman" w:hint="default"/>
      </w:rPr>
    </w:lvl>
    <w:lvl w:ilvl="1" w:tplc="5964DC64" w:tentative="1">
      <w:start w:val="1"/>
      <w:numFmt w:val="bullet"/>
      <w:lvlText w:val="•"/>
      <w:lvlJc w:val="left"/>
      <w:pPr>
        <w:tabs>
          <w:tab w:val="num" w:pos="1440"/>
        </w:tabs>
        <w:ind w:left="1440" w:hanging="360"/>
      </w:pPr>
      <w:rPr>
        <w:rFonts w:ascii="Times New Roman" w:hAnsi="Times New Roman" w:hint="default"/>
      </w:rPr>
    </w:lvl>
    <w:lvl w:ilvl="2" w:tplc="84C851A8" w:tentative="1">
      <w:start w:val="1"/>
      <w:numFmt w:val="bullet"/>
      <w:lvlText w:val="•"/>
      <w:lvlJc w:val="left"/>
      <w:pPr>
        <w:tabs>
          <w:tab w:val="num" w:pos="2160"/>
        </w:tabs>
        <w:ind w:left="2160" w:hanging="360"/>
      </w:pPr>
      <w:rPr>
        <w:rFonts w:ascii="Times New Roman" w:hAnsi="Times New Roman" w:hint="default"/>
      </w:rPr>
    </w:lvl>
    <w:lvl w:ilvl="3" w:tplc="F04082DE" w:tentative="1">
      <w:start w:val="1"/>
      <w:numFmt w:val="bullet"/>
      <w:lvlText w:val="•"/>
      <w:lvlJc w:val="left"/>
      <w:pPr>
        <w:tabs>
          <w:tab w:val="num" w:pos="2880"/>
        </w:tabs>
        <w:ind w:left="2880" w:hanging="360"/>
      </w:pPr>
      <w:rPr>
        <w:rFonts w:ascii="Times New Roman" w:hAnsi="Times New Roman" w:hint="default"/>
      </w:rPr>
    </w:lvl>
    <w:lvl w:ilvl="4" w:tplc="E7F64770" w:tentative="1">
      <w:start w:val="1"/>
      <w:numFmt w:val="bullet"/>
      <w:lvlText w:val="•"/>
      <w:lvlJc w:val="left"/>
      <w:pPr>
        <w:tabs>
          <w:tab w:val="num" w:pos="3600"/>
        </w:tabs>
        <w:ind w:left="3600" w:hanging="360"/>
      </w:pPr>
      <w:rPr>
        <w:rFonts w:ascii="Times New Roman" w:hAnsi="Times New Roman" w:hint="default"/>
      </w:rPr>
    </w:lvl>
    <w:lvl w:ilvl="5" w:tplc="E27E8902" w:tentative="1">
      <w:start w:val="1"/>
      <w:numFmt w:val="bullet"/>
      <w:lvlText w:val="•"/>
      <w:lvlJc w:val="left"/>
      <w:pPr>
        <w:tabs>
          <w:tab w:val="num" w:pos="4320"/>
        </w:tabs>
        <w:ind w:left="4320" w:hanging="360"/>
      </w:pPr>
      <w:rPr>
        <w:rFonts w:ascii="Times New Roman" w:hAnsi="Times New Roman" w:hint="default"/>
      </w:rPr>
    </w:lvl>
    <w:lvl w:ilvl="6" w:tplc="98CC6AF0" w:tentative="1">
      <w:start w:val="1"/>
      <w:numFmt w:val="bullet"/>
      <w:lvlText w:val="•"/>
      <w:lvlJc w:val="left"/>
      <w:pPr>
        <w:tabs>
          <w:tab w:val="num" w:pos="5040"/>
        </w:tabs>
        <w:ind w:left="5040" w:hanging="360"/>
      </w:pPr>
      <w:rPr>
        <w:rFonts w:ascii="Times New Roman" w:hAnsi="Times New Roman" w:hint="default"/>
      </w:rPr>
    </w:lvl>
    <w:lvl w:ilvl="7" w:tplc="D5604B38" w:tentative="1">
      <w:start w:val="1"/>
      <w:numFmt w:val="bullet"/>
      <w:lvlText w:val="•"/>
      <w:lvlJc w:val="left"/>
      <w:pPr>
        <w:tabs>
          <w:tab w:val="num" w:pos="5760"/>
        </w:tabs>
        <w:ind w:left="5760" w:hanging="360"/>
      </w:pPr>
      <w:rPr>
        <w:rFonts w:ascii="Times New Roman" w:hAnsi="Times New Roman" w:hint="default"/>
      </w:rPr>
    </w:lvl>
    <w:lvl w:ilvl="8" w:tplc="17707DB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49800195"/>
    <w:multiLevelType w:val="hybridMultilevel"/>
    <w:tmpl w:val="00BA2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07F1A15"/>
    <w:multiLevelType w:val="hybridMultilevel"/>
    <w:tmpl w:val="857C7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25"/>
    <w:rsid w:val="00001137"/>
    <w:rsid w:val="00001936"/>
    <w:rsid w:val="0000779B"/>
    <w:rsid w:val="00015265"/>
    <w:rsid w:val="000158AA"/>
    <w:rsid w:val="000203A1"/>
    <w:rsid w:val="00024415"/>
    <w:rsid w:val="00024734"/>
    <w:rsid w:val="00027DBE"/>
    <w:rsid w:val="00027E47"/>
    <w:rsid w:val="00032A5E"/>
    <w:rsid w:val="000368D2"/>
    <w:rsid w:val="0004142E"/>
    <w:rsid w:val="00041D72"/>
    <w:rsid w:val="00046DF4"/>
    <w:rsid w:val="00047CEA"/>
    <w:rsid w:val="00052154"/>
    <w:rsid w:val="00052A8B"/>
    <w:rsid w:val="00053EAF"/>
    <w:rsid w:val="00054FC3"/>
    <w:rsid w:val="0005540C"/>
    <w:rsid w:val="000559AE"/>
    <w:rsid w:val="00056197"/>
    <w:rsid w:val="00057F6C"/>
    <w:rsid w:val="00060A14"/>
    <w:rsid w:val="00061CC6"/>
    <w:rsid w:val="00062D42"/>
    <w:rsid w:val="00066520"/>
    <w:rsid w:val="000669F3"/>
    <w:rsid w:val="00070E9F"/>
    <w:rsid w:val="0007669C"/>
    <w:rsid w:val="0008282D"/>
    <w:rsid w:val="00082E71"/>
    <w:rsid w:val="0009275C"/>
    <w:rsid w:val="00095A88"/>
    <w:rsid w:val="00097E1C"/>
    <w:rsid w:val="000A4026"/>
    <w:rsid w:val="000A4B66"/>
    <w:rsid w:val="000B75B0"/>
    <w:rsid w:val="000C2F5C"/>
    <w:rsid w:val="000C640E"/>
    <w:rsid w:val="000C6632"/>
    <w:rsid w:val="000C740D"/>
    <w:rsid w:val="000C78B1"/>
    <w:rsid w:val="000E22CD"/>
    <w:rsid w:val="000E333E"/>
    <w:rsid w:val="000E3EFB"/>
    <w:rsid w:val="000E563B"/>
    <w:rsid w:val="000E5C95"/>
    <w:rsid w:val="000E6713"/>
    <w:rsid w:val="00100C17"/>
    <w:rsid w:val="00104075"/>
    <w:rsid w:val="00105CB1"/>
    <w:rsid w:val="001069C3"/>
    <w:rsid w:val="001071CB"/>
    <w:rsid w:val="00111544"/>
    <w:rsid w:val="00111660"/>
    <w:rsid w:val="00111AB9"/>
    <w:rsid w:val="0011389D"/>
    <w:rsid w:val="00113C14"/>
    <w:rsid w:val="00114E13"/>
    <w:rsid w:val="00116065"/>
    <w:rsid w:val="00117355"/>
    <w:rsid w:val="0012077C"/>
    <w:rsid w:val="0012639F"/>
    <w:rsid w:val="00130416"/>
    <w:rsid w:val="0013193D"/>
    <w:rsid w:val="0014280A"/>
    <w:rsid w:val="00142E2D"/>
    <w:rsid w:val="00153485"/>
    <w:rsid w:val="00154BC5"/>
    <w:rsid w:val="00163123"/>
    <w:rsid w:val="00163646"/>
    <w:rsid w:val="0017278F"/>
    <w:rsid w:val="001843ED"/>
    <w:rsid w:val="00186837"/>
    <w:rsid w:val="00187F25"/>
    <w:rsid w:val="00191B8B"/>
    <w:rsid w:val="00196599"/>
    <w:rsid w:val="00196E39"/>
    <w:rsid w:val="001A0F62"/>
    <w:rsid w:val="001A1D01"/>
    <w:rsid w:val="001A2783"/>
    <w:rsid w:val="001A4FE5"/>
    <w:rsid w:val="001A5D54"/>
    <w:rsid w:val="001B2C00"/>
    <w:rsid w:val="001B3C40"/>
    <w:rsid w:val="001B7BFF"/>
    <w:rsid w:val="001C46AE"/>
    <w:rsid w:val="001C780A"/>
    <w:rsid w:val="001D4523"/>
    <w:rsid w:val="001E410D"/>
    <w:rsid w:val="001E7EC2"/>
    <w:rsid w:val="001F0E9E"/>
    <w:rsid w:val="001F2F26"/>
    <w:rsid w:val="001F3DBD"/>
    <w:rsid w:val="001F4DF8"/>
    <w:rsid w:val="00206D09"/>
    <w:rsid w:val="002074F3"/>
    <w:rsid w:val="002102C9"/>
    <w:rsid w:val="002213B9"/>
    <w:rsid w:val="00221A93"/>
    <w:rsid w:val="00221DF1"/>
    <w:rsid w:val="002320C5"/>
    <w:rsid w:val="002322F9"/>
    <w:rsid w:val="002375D5"/>
    <w:rsid w:val="002420CD"/>
    <w:rsid w:val="00243CEA"/>
    <w:rsid w:val="00247335"/>
    <w:rsid w:val="002538CE"/>
    <w:rsid w:val="00254F9D"/>
    <w:rsid w:val="00271692"/>
    <w:rsid w:val="00285348"/>
    <w:rsid w:val="00286083"/>
    <w:rsid w:val="00286C11"/>
    <w:rsid w:val="00293EEB"/>
    <w:rsid w:val="002A22C8"/>
    <w:rsid w:val="002A748D"/>
    <w:rsid w:val="002B051B"/>
    <w:rsid w:val="002B1BFC"/>
    <w:rsid w:val="002B1EAF"/>
    <w:rsid w:val="002B46CD"/>
    <w:rsid w:val="002B52CD"/>
    <w:rsid w:val="002C1CE5"/>
    <w:rsid w:val="002D284C"/>
    <w:rsid w:val="002D4ABA"/>
    <w:rsid w:val="002D6026"/>
    <w:rsid w:val="002E2E6A"/>
    <w:rsid w:val="002F742C"/>
    <w:rsid w:val="003043A9"/>
    <w:rsid w:val="003115DE"/>
    <w:rsid w:val="00313043"/>
    <w:rsid w:val="00321D84"/>
    <w:rsid w:val="003268AD"/>
    <w:rsid w:val="00332B44"/>
    <w:rsid w:val="00332B46"/>
    <w:rsid w:val="00335D6E"/>
    <w:rsid w:val="0033766C"/>
    <w:rsid w:val="00346367"/>
    <w:rsid w:val="00351D77"/>
    <w:rsid w:val="00355590"/>
    <w:rsid w:val="00357133"/>
    <w:rsid w:val="00363530"/>
    <w:rsid w:val="00363939"/>
    <w:rsid w:val="0036699D"/>
    <w:rsid w:val="0037265C"/>
    <w:rsid w:val="00373194"/>
    <w:rsid w:val="00380CA1"/>
    <w:rsid w:val="00381A45"/>
    <w:rsid w:val="0038382B"/>
    <w:rsid w:val="003844FB"/>
    <w:rsid w:val="00384BD0"/>
    <w:rsid w:val="00391C6B"/>
    <w:rsid w:val="00392278"/>
    <w:rsid w:val="00397868"/>
    <w:rsid w:val="003A3343"/>
    <w:rsid w:val="003A62C9"/>
    <w:rsid w:val="003A70C2"/>
    <w:rsid w:val="003A7103"/>
    <w:rsid w:val="003B25E2"/>
    <w:rsid w:val="003C08A4"/>
    <w:rsid w:val="003C46EA"/>
    <w:rsid w:val="003C4EE7"/>
    <w:rsid w:val="003D1E18"/>
    <w:rsid w:val="003E21AA"/>
    <w:rsid w:val="003E3969"/>
    <w:rsid w:val="003E4E2F"/>
    <w:rsid w:val="00403B0A"/>
    <w:rsid w:val="004051F8"/>
    <w:rsid w:val="00405FD6"/>
    <w:rsid w:val="0041756D"/>
    <w:rsid w:val="00417763"/>
    <w:rsid w:val="004216EE"/>
    <w:rsid w:val="0042475F"/>
    <w:rsid w:val="00424F91"/>
    <w:rsid w:val="00433A29"/>
    <w:rsid w:val="004448E4"/>
    <w:rsid w:val="00460D29"/>
    <w:rsid w:val="0046192F"/>
    <w:rsid w:val="004632AD"/>
    <w:rsid w:val="00464ED3"/>
    <w:rsid w:val="0046584A"/>
    <w:rsid w:val="0046611A"/>
    <w:rsid w:val="00471C8A"/>
    <w:rsid w:val="0047232C"/>
    <w:rsid w:val="0048659C"/>
    <w:rsid w:val="00487B4E"/>
    <w:rsid w:val="00493500"/>
    <w:rsid w:val="004935E4"/>
    <w:rsid w:val="00495658"/>
    <w:rsid w:val="00497D22"/>
    <w:rsid w:val="004B0007"/>
    <w:rsid w:val="004B055D"/>
    <w:rsid w:val="004B0B00"/>
    <w:rsid w:val="004B2FE0"/>
    <w:rsid w:val="004B3764"/>
    <w:rsid w:val="004C0450"/>
    <w:rsid w:val="004C4CC6"/>
    <w:rsid w:val="004C616F"/>
    <w:rsid w:val="004D1456"/>
    <w:rsid w:val="004D28E8"/>
    <w:rsid w:val="004D5954"/>
    <w:rsid w:val="004D6FF1"/>
    <w:rsid w:val="004E2E2D"/>
    <w:rsid w:val="004F1C15"/>
    <w:rsid w:val="004F3B99"/>
    <w:rsid w:val="005022E4"/>
    <w:rsid w:val="005040FB"/>
    <w:rsid w:val="005043E9"/>
    <w:rsid w:val="00507EC9"/>
    <w:rsid w:val="005122C5"/>
    <w:rsid w:val="0051409F"/>
    <w:rsid w:val="00514948"/>
    <w:rsid w:val="005162C5"/>
    <w:rsid w:val="0052550E"/>
    <w:rsid w:val="0052562F"/>
    <w:rsid w:val="00531366"/>
    <w:rsid w:val="00532B69"/>
    <w:rsid w:val="005358B6"/>
    <w:rsid w:val="00536A4C"/>
    <w:rsid w:val="00541AEF"/>
    <w:rsid w:val="00542E49"/>
    <w:rsid w:val="005455C1"/>
    <w:rsid w:val="0054755A"/>
    <w:rsid w:val="00547662"/>
    <w:rsid w:val="005518B6"/>
    <w:rsid w:val="0055336F"/>
    <w:rsid w:val="0056363C"/>
    <w:rsid w:val="00571584"/>
    <w:rsid w:val="00576051"/>
    <w:rsid w:val="00576085"/>
    <w:rsid w:val="0058116E"/>
    <w:rsid w:val="00581724"/>
    <w:rsid w:val="00582C5F"/>
    <w:rsid w:val="00595722"/>
    <w:rsid w:val="00595DFA"/>
    <w:rsid w:val="005A075D"/>
    <w:rsid w:val="005A25B6"/>
    <w:rsid w:val="005A70B3"/>
    <w:rsid w:val="005A71B1"/>
    <w:rsid w:val="005A78FA"/>
    <w:rsid w:val="005B01EF"/>
    <w:rsid w:val="005D1696"/>
    <w:rsid w:val="005D3FE8"/>
    <w:rsid w:val="005D4CC1"/>
    <w:rsid w:val="005D6551"/>
    <w:rsid w:val="005E10AD"/>
    <w:rsid w:val="005F17F8"/>
    <w:rsid w:val="005F43F6"/>
    <w:rsid w:val="005F64FD"/>
    <w:rsid w:val="00601861"/>
    <w:rsid w:val="006056F8"/>
    <w:rsid w:val="0060571E"/>
    <w:rsid w:val="00606588"/>
    <w:rsid w:val="00614629"/>
    <w:rsid w:val="00614F37"/>
    <w:rsid w:val="00616DF3"/>
    <w:rsid w:val="00623958"/>
    <w:rsid w:val="0062554E"/>
    <w:rsid w:val="00631535"/>
    <w:rsid w:val="00633944"/>
    <w:rsid w:val="006355BC"/>
    <w:rsid w:val="006433DF"/>
    <w:rsid w:val="006452F1"/>
    <w:rsid w:val="00652395"/>
    <w:rsid w:val="00654D27"/>
    <w:rsid w:val="006551D4"/>
    <w:rsid w:val="0066470B"/>
    <w:rsid w:val="006665FF"/>
    <w:rsid w:val="00667210"/>
    <w:rsid w:val="006718C2"/>
    <w:rsid w:val="00672ED2"/>
    <w:rsid w:val="006776DE"/>
    <w:rsid w:val="00681164"/>
    <w:rsid w:val="006842B9"/>
    <w:rsid w:val="00684B13"/>
    <w:rsid w:val="0068659C"/>
    <w:rsid w:val="006904A5"/>
    <w:rsid w:val="006942B0"/>
    <w:rsid w:val="006947F1"/>
    <w:rsid w:val="00696147"/>
    <w:rsid w:val="00697AE5"/>
    <w:rsid w:val="006A1120"/>
    <w:rsid w:val="006A663F"/>
    <w:rsid w:val="006B44B8"/>
    <w:rsid w:val="006B51A5"/>
    <w:rsid w:val="006C5651"/>
    <w:rsid w:val="006C5EA3"/>
    <w:rsid w:val="006D2107"/>
    <w:rsid w:val="006D2176"/>
    <w:rsid w:val="006D3531"/>
    <w:rsid w:val="006D4A71"/>
    <w:rsid w:val="006E04B9"/>
    <w:rsid w:val="006E45AA"/>
    <w:rsid w:val="006E67BC"/>
    <w:rsid w:val="006F01BC"/>
    <w:rsid w:val="006F0BE5"/>
    <w:rsid w:val="006F20D3"/>
    <w:rsid w:val="006F3307"/>
    <w:rsid w:val="006F58EA"/>
    <w:rsid w:val="0070572F"/>
    <w:rsid w:val="00705FC7"/>
    <w:rsid w:val="00711FE9"/>
    <w:rsid w:val="00712148"/>
    <w:rsid w:val="00712416"/>
    <w:rsid w:val="00724FDC"/>
    <w:rsid w:val="00726B2F"/>
    <w:rsid w:val="00743550"/>
    <w:rsid w:val="00747D89"/>
    <w:rsid w:val="00747F11"/>
    <w:rsid w:val="00752E70"/>
    <w:rsid w:val="00754DDF"/>
    <w:rsid w:val="00756995"/>
    <w:rsid w:val="00756E96"/>
    <w:rsid w:val="007578F3"/>
    <w:rsid w:val="00763847"/>
    <w:rsid w:val="0076584C"/>
    <w:rsid w:val="00765F9F"/>
    <w:rsid w:val="00777598"/>
    <w:rsid w:val="00780456"/>
    <w:rsid w:val="007821BF"/>
    <w:rsid w:val="00784DE1"/>
    <w:rsid w:val="00791B57"/>
    <w:rsid w:val="007958E1"/>
    <w:rsid w:val="007968D3"/>
    <w:rsid w:val="007974C6"/>
    <w:rsid w:val="007A5C3A"/>
    <w:rsid w:val="007A7203"/>
    <w:rsid w:val="007B3A8F"/>
    <w:rsid w:val="007C161B"/>
    <w:rsid w:val="007C4A6D"/>
    <w:rsid w:val="007D4B4B"/>
    <w:rsid w:val="007D539E"/>
    <w:rsid w:val="007D6139"/>
    <w:rsid w:val="007E1FF1"/>
    <w:rsid w:val="007E64F9"/>
    <w:rsid w:val="007F164E"/>
    <w:rsid w:val="008047E8"/>
    <w:rsid w:val="00806042"/>
    <w:rsid w:val="0081103C"/>
    <w:rsid w:val="00815938"/>
    <w:rsid w:val="008172EF"/>
    <w:rsid w:val="008209E8"/>
    <w:rsid w:val="00823B5D"/>
    <w:rsid w:val="00823E0A"/>
    <w:rsid w:val="0082715F"/>
    <w:rsid w:val="00830807"/>
    <w:rsid w:val="00847294"/>
    <w:rsid w:val="00850060"/>
    <w:rsid w:val="00853DC3"/>
    <w:rsid w:val="00860AA7"/>
    <w:rsid w:val="008643AF"/>
    <w:rsid w:val="00871D72"/>
    <w:rsid w:val="008A375C"/>
    <w:rsid w:val="008B61BC"/>
    <w:rsid w:val="008C0917"/>
    <w:rsid w:val="008F0321"/>
    <w:rsid w:val="008F5D59"/>
    <w:rsid w:val="008F6E39"/>
    <w:rsid w:val="00900376"/>
    <w:rsid w:val="00900952"/>
    <w:rsid w:val="00903D6F"/>
    <w:rsid w:val="0091502D"/>
    <w:rsid w:val="009151EF"/>
    <w:rsid w:val="00915EA5"/>
    <w:rsid w:val="00920225"/>
    <w:rsid w:val="00922F58"/>
    <w:rsid w:val="0092379D"/>
    <w:rsid w:val="00930C60"/>
    <w:rsid w:val="00931E85"/>
    <w:rsid w:val="0093564E"/>
    <w:rsid w:val="0093596C"/>
    <w:rsid w:val="00940484"/>
    <w:rsid w:val="00941D5E"/>
    <w:rsid w:val="00942A73"/>
    <w:rsid w:val="009742DA"/>
    <w:rsid w:val="00976CCE"/>
    <w:rsid w:val="0098152F"/>
    <w:rsid w:val="00982505"/>
    <w:rsid w:val="00987389"/>
    <w:rsid w:val="0099114E"/>
    <w:rsid w:val="0099399A"/>
    <w:rsid w:val="0099404C"/>
    <w:rsid w:val="0099594F"/>
    <w:rsid w:val="009B0623"/>
    <w:rsid w:val="009B0CDC"/>
    <w:rsid w:val="009B69EA"/>
    <w:rsid w:val="009C478C"/>
    <w:rsid w:val="009D22D6"/>
    <w:rsid w:val="009D581B"/>
    <w:rsid w:val="009E1D3C"/>
    <w:rsid w:val="009E31F0"/>
    <w:rsid w:val="009E3F25"/>
    <w:rsid w:val="009E53F9"/>
    <w:rsid w:val="009E5A58"/>
    <w:rsid w:val="009E71B4"/>
    <w:rsid w:val="009F274E"/>
    <w:rsid w:val="009F2EF5"/>
    <w:rsid w:val="009F54A7"/>
    <w:rsid w:val="009F7E93"/>
    <w:rsid w:val="00A018F9"/>
    <w:rsid w:val="00A11F87"/>
    <w:rsid w:val="00A1240B"/>
    <w:rsid w:val="00A24239"/>
    <w:rsid w:val="00A26624"/>
    <w:rsid w:val="00A319DD"/>
    <w:rsid w:val="00A35854"/>
    <w:rsid w:val="00A3686F"/>
    <w:rsid w:val="00A41195"/>
    <w:rsid w:val="00A56090"/>
    <w:rsid w:val="00A6013D"/>
    <w:rsid w:val="00A65F34"/>
    <w:rsid w:val="00A713BC"/>
    <w:rsid w:val="00A7692F"/>
    <w:rsid w:val="00A77378"/>
    <w:rsid w:val="00A77C91"/>
    <w:rsid w:val="00A822F2"/>
    <w:rsid w:val="00A823F5"/>
    <w:rsid w:val="00A82BE1"/>
    <w:rsid w:val="00A86E59"/>
    <w:rsid w:val="00A87696"/>
    <w:rsid w:val="00AB0542"/>
    <w:rsid w:val="00AB07BF"/>
    <w:rsid w:val="00AB0C8E"/>
    <w:rsid w:val="00AB3317"/>
    <w:rsid w:val="00AB4806"/>
    <w:rsid w:val="00AB5B46"/>
    <w:rsid w:val="00AC0D16"/>
    <w:rsid w:val="00AC2810"/>
    <w:rsid w:val="00AC7609"/>
    <w:rsid w:val="00AD346B"/>
    <w:rsid w:val="00AD47A3"/>
    <w:rsid w:val="00AD5E19"/>
    <w:rsid w:val="00AD6724"/>
    <w:rsid w:val="00AE0A82"/>
    <w:rsid w:val="00AE11BD"/>
    <w:rsid w:val="00AE18D9"/>
    <w:rsid w:val="00AF1A62"/>
    <w:rsid w:val="00AF1B4B"/>
    <w:rsid w:val="00AF2045"/>
    <w:rsid w:val="00AF50C7"/>
    <w:rsid w:val="00AF6C07"/>
    <w:rsid w:val="00AF7BF3"/>
    <w:rsid w:val="00B015DF"/>
    <w:rsid w:val="00B05E53"/>
    <w:rsid w:val="00B06E4C"/>
    <w:rsid w:val="00B119A0"/>
    <w:rsid w:val="00B136B6"/>
    <w:rsid w:val="00B22892"/>
    <w:rsid w:val="00B34AAC"/>
    <w:rsid w:val="00B34DE5"/>
    <w:rsid w:val="00B476AA"/>
    <w:rsid w:val="00B50ED2"/>
    <w:rsid w:val="00B5139B"/>
    <w:rsid w:val="00B61E4F"/>
    <w:rsid w:val="00B653E3"/>
    <w:rsid w:val="00B67394"/>
    <w:rsid w:val="00B90250"/>
    <w:rsid w:val="00B9028F"/>
    <w:rsid w:val="00B916BE"/>
    <w:rsid w:val="00B92325"/>
    <w:rsid w:val="00B939FD"/>
    <w:rsid w:val="00BA0BE2"/>
    <w:rsid w:val="00BA7A61"/>
    <w:rsid w:val="00BB297D"/>
    <w:rsid w:val="00BB2EBE"/>
    <w:rsid w:val="00BB3425"/>
    <w:rsid w:val="00BC2A6B"/>
    <w:rsid w:val="00BD0AC5"/>
    <w:rsid w:val="00BD5899"/>
    <w:rsid w:val="00BE17DD"/>
    <w:rsid w:val="00BF05E4"/>
    <w:rsid w:val="00BF5470"/>
    <w:rsid w:val="00C00142"/>
    <w:rsid w:val="00C00809"/>
    <w:rsid w:val="00C02CCF"/>
    <w:rsid w:val="00C03F12"/>
    <w:rsid w:val="00C07558"/>
    <w:rsid w:val="00C111C4"/>
    <w:rsid w:val="00C11665"/>
    <w:rsid w:val="00C12D00"/>
    <w:rsid w:val="00C21998"/>
    <w:rsid w:val="00C235AB"/>
    <w:rsid w:val="00C31513"/>
    <w:rsid w:val="00C34F85"/>
    <w:rsid w:val="00C36694"/>
    <w:rsid w:val="00C368E4"/>
    <w:rsid w:val="00C42F12"/>
    <w:rsid w:val="00C4534C"/>
    <w:rsid w:val="00C50FC8"/>
    <w:rsid w:val="00C54B0D"/>
    <w:rsid w:val="00C54B91"/>
    <w:rsid w:val="00C57C6E"/>
    <w:rsid w:val="00C61486"/>
    <w:rsid w:val="00C62708"/>
    <w:rsid w:val="00C711BC"/>
    <w:rsid w:val="00C71736"/>
    <w:rsid w:val="00C81BE2"/>
    <w:rsid w:val="00C845FA"/>
    <w:rsid w:val="00C87922"/>
    <w:rsid w:val="00C90679"/>
    <w:rsid w:val="00C97692"/>
    <w:rsid w:val="00CB2255"/>
    <w:rsid w:val="00CB2843"/>
    <w:rsid w:val="00CB775F"/>
    <w:rsid w:val="00CB7ECB"/>
    <w:rsid w:val="00CC1241"/>
    <w:rsid w:val="00CC15B3"/>
    <w:rsid w:val="00CC20D3"/>
    <w:rsid w:val="00CC3970"/>
    <w:rsid w:val="00CC4F63"/>
    <w:rsid w:val="00CC6C7E"/>
    <w:rsid w:val="00CD01D8"/>
    <w:rsid w:val="00CD1A5E"/>
    <w:rsid w:val="00CD77BE"/>
    <w:rsid w:val="00CE100B"/>
    <w:rsid w:val="00CE225D"/>
    <w:rsid w:val="00CE2F95"/>
    <w:rsid w:val="00CE3509"/>
    <w:rsid w:val="00CE4265"/>
    <w:rsid w:val="00CE4DB1"/>
    <w:rsid w:val="00CF5368"/>
    <w:rsid w:val="00CF55A5"/>
    <w:rsid w:val="00CF7BDA"/>
    <w:rsid w:val="00D02778"/>
    <w:rsid w:val="00D02A2C"/>
    <w:rsid w:val="00D13D34"/>
    <w:rsid w:val="00D15D5E"/>
    <w:rsid w:val="00D32A62"/>
    <w:rsid w:val="00D32B73"/>
    <w:rsid w:val="00D3335B"/>
    <w:rsid w:val="00D3598D"/>
    <w:rsid w:val="00D367F9"/>
    <w:rsid w:val="00D41398"/>
    <w:rsid w:val="00D4508F"/>
    <w:rsid w:val="00D5326B"/>
    <w:rsid w:val="00D55A72"/>
    <w:rsid w:val="00D55E5D"/>
    <w:rsid w:val="00D60872"/>
    <w:rsid w:val="00D60D29"/>
    <w:rsid w:val="00D610A6"/>
    <w:rsid w:val="00D63049"/>
    <w:rsid w:val="00D65DBF"/>
    <w:rsid w:val="00D7247E"/>
    <w:rsid w:val="00D755C7"/>
    <w:rsid w:val="00D769F1"/>
    <w:rsid w:val="00D83634"/>
    <w:rsid w:val="00D8421C"/>
    <w:rsid w:val="00D864E0"/>
    <w:rsid w:val="00DA54F6"/>
    <w:rsid w:val="00DB6023"/>
    <w:rsid w:val="00DB6DBB"/>
    <w:rsid w:val="00DC127D"/>
    <w:rsid w:val="00DC1476"/>
    <w:rsid w:val="00DC6888"/>
    <w:rsid w:val="00DC6B3A"/>
    <w:rsid w:val="00DC7F61"/>
    <w:rsid w:val="00DD00CD"/>
    <w:rsid w:val="00DD479D"/>
    <w:rsid w:val="00DD6628"/>
    <w:rsid w:val="00DE05D5"/>
    <w:rsid w:val="00DF02E3"/>
    <w:rsid w:val="00DF4C95"/>
    <w:rsid w:val="00DF7DD6"/>
    <w:rsid w:val="00E00FE8"/>
    <w:rsid w:val="00E1774E"/>
    <w:rsid w:val="00E25682"/>
    <w:rsid w:val="00E35E91"/>
    <w:rsid w:val="00E42424"/>
    <w:rsid w:val="00E506A5"/>
    <w:rsid w:val="00E575CC"/>
    <w:rsid w:val="00E627C2"/>
    <w:rsid w:val="00E63666"/>
    <w:rsid w:val="00E64561"/>
    <w:rsid w:val="00E6532E"/>
    <w:rsid w:val="00E65F89"/>
    <w:rsid w:val="00E72818"/>
    <w:rsid w:val="00E8208B"/>
    <w:rsid w:val="00E84C98"/>
    <w:rsid w:val="00E85B66"/>
    <w:rsid w:val="00E9011F"/>
    <w:rsid w:val="00E906A4"/>
    <w:rsid w:val="00E937B9"/>
    <w:rsid w:val="00E95B13"/>
    <w:rsid w:val="00EA5EFA"/>
    <w:rsid w:val="00EA60DB"/>
    <w:rsid w:val="00EB0008"/>
    <w:rsid w:val="00EC05FD"/>
    <w:rsid w:val="00EC653F"/>
    <w:rsid w:val="00ED039F"/>
    <w:rsid w:val="00ED1145"/>
    <w:rsid w:val="00ED2795"/>
    <w:rsid w:val="00ED7515"/>
    <w:rsid w:val="00ED77F3"/>
    <w:rsid w:val="00EF6A2F"/>
    <w:rsid w:val="00F034F0"/>
    <w:rsid w:val="00F03BC3"/>
    <w:rsid w:val="00F03DF9"/>
    <w:rsid w:val="00F23CB8"/>
    <w:rsid w:val="00F26079"/>
    <w:rsid w:val="00F3386C"/>
    <w:rsid w:val="00F35D08"/>
    <w:rsid w:val="00F40E14"/>
    <w:rsid w:val="00F50FD1"/>
    <w:rsid w:val="00F52B84"/>
    <w:rsid w:val="00F60AB5"/>
    <w:rsid w:val="00F64BA3"/>
    <w:rsid w:val="00F669B2"/>
    <w:rsid w:val="00F67B86"/>
    <w:rsid w:val="00F719FF"/>
    <w:rsid w:val="00F84616"/>
    <w:rsid w:val="00F92F36"/>
    <w:rsid w:val="00F93600"/>
    <w:rsid w:val="00F93D84"/>
    <w:rsid w:val="00F93E64"/>
    <w:rsid w:val="00FA0EE3"/>
    <w:rsid w:val="00FA1D27"/>
    <w:rsid w:val="00FA2856"/>
    <w:rsid w:val="00FA2E45"/>
    <w:rsid w:val="00FA49A7"/>
    <w:rsid w:val="00FA58D8"/>
    <w:rsid w:val="00FA772A"/>
    <w:rsid w:val="00FB1CCB"/>
    <w:rsid w:val="00FB2904"/>
    <w:rsid w:val="00FB3D87"/>
    <w:rsid w:val="00FB7BE1"/>
    <w:rsid w:val="00FC1145"/>
    <w:rsid w:val="00FC1ABE"/>
    <w:rsid w:val="00FD3726"/>
    <w:rsid w:val="00FD6E64"/>
    <w:rsid w:val="00FE1C0C"/>
    <w:rsid w:val="00FE20AB"/>
    <w:rsid w:val="00FE25E4"/>
    <w:rsid w:val="00FE5AC7"/>
    <w:rsid w:val="00FF06AE"/>
    <w:rsid w:val="00FF10F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896A4"/>
  <w15:docId w15:val="{F77B6094-D425-44F9-A07F-C4966B20D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3B99"/>
    <w:pPr>
      <w:spacing w:after="120" w:line="360" w:lineRule="auto"/>
    </w:pPr>
    <w:rPr>
      <w:rFonts w:ascii="Arial" w:hAnsi="Arial"/>
      <w:lang w:val="en-HK"/>
    </w:rPr>
  </w:style>
  <w:style w:type="paragraph" w:styleId="Heading1">
    <w:name w:val="heading 1"/>
    <w:basedOn w:val="Normal"/>
    <w:next w:val="Normal"/>
    <w:link w:val="Heading1Char"/>
    <w:uiPriority w:val="9"/>
    <w:qFormat/>
    <w:rsid w:val="00B34D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34DE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34DE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34DE5"/>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B34DE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B34DE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34DE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34DE5"/>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B34DE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1F87"/>
    <w:rPr>
      <w:rFonts w:ascii="Tahoma" w:hAnsi="Tahoma" w:cs="Tahoma"/>
      <w:sz w:val="16"/>
      <w:szCs w:val="16"/>
    </w:rPr>
  </w:style>
  <w:style w:type="character" w:customStyle="1" w:styleId="BalloonTextChar">
    <w:name w:val="Balloon Text Char"/>
    <w:basedOn w:val="DefaultParagraphFont"/>
    <w:link w:val="BalloonText"/>
    <w:uiPriority w:val="99"/>
    <w:semiHidden/>
    <w:rsid w:val="00A11F87"/>
    <w:rPr>
      <w:rFonts w:ascii="Tahoma" w:hAnsi="Tahoma" w:cs="Tahoma"/>
      <w:sz w:val="16"/>
      <w:szCs w:val="16"/>
    </w:rPr>
  </w:style>
  <w:style w:type="character" w:customStyle="1" w:styleId="Heading1Char">
    <w:name w:val="Heading 1 Char"/>
    <w:basedOn w:val="DefaultParagraphFont"/>
    <w:link w:val="Heading1"/>
    <w:uiPriority w:val="9"/>
    <w:rsid w:val="00B34DE5"/>
    <w:rPr>
      <w:rFonts w:asciiTheme="majorHAnsi" w:eastAsiaTheme="majorEastAsia" w:hAnsiTheme="majorHAnsi" w:cstheme="majorBidi"/>
      <w:b/>
      <w:bCs/>
      <w:color w:val="365F91" w:themeColor="accent1" w:themeShade="BF"/>
      <w:sz w:val="28"/>
      <w:szCs w:val="28"/>
    </w:rPr>
  </w:style>
  <w:style w:type="paragraph" w:styleId="Bibliography">
    <w:name w:val="Bibliography"/>
    <w:basedOn w:val="Normal"/>
    <w:next w:val="Normal"/>
    <w:uiPriority w:val="37"/>
    <w:unhideWhenUsed/>
    <w:rsid w:val="00A11F87"/>
  </w:style>
  <w:style w:type="paragraph" w:styleId="FootnoteText">
    <w:name w:val="footnote text"/>
    <w:basedOn w:val="Normal"/>
    <w:link w:val="FootnoteTextChar"/>
    <w:uiPriority w:val="99"/>
    <w:semiHidden/>
    <w:unhideWhenUsed/>
    <w:rsid w:val="00AC2810"/>
    <w:rPr>
      <w:sz w:val="20"/>
      <w:szCs w:val="20"/>
    </w:rPr>
  </w:style>
  <w:style w:type="character" w:customStyle="1" w:styleId="FootnoteTextChar">
    <w:name w:val="Footnote Text Char"/>
    <w:basedOn w:val="DefaultParagraphFont"/>
    <w:link w:val="FootnoteText"/>
    <w:uiPriority w:val="99"/>
    <w:semiHidden/>
    <w:rsid w:val="00AC2810"/>
    <w:rPr>
      <w:sz w:val="20"/>
      <w:szCs w:val="20"/>
    </w:rPr>
  </w:style>
  <w:style w:type="character" w:styleId="FootnoteReference">
    <w:name w:val="footnote reference"/>
    <w:basedOn w:val="DefaultParagraphFont"/>
    <w:uiPriority w:val="99"/>
    <w:semiHidden/>
    <w:unhideWhenUsed/>
    <w:rsid w:val="00AC2810"/>
    <w:rPr>
      <w:vertAlign w:val="superscript"/>
    </w:rPr>
  </w:style>
  <w:style w:type="table" w:styleId="TableGrid">
    <w:name w:val="Table Grid"/>
    <w:basedOn w:val="TableNormal"/>
    <w:rsid w:val="00B93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34DE5"/>
    <w:pPr>
      <w:spacing w:line="240" w:lineRule="auto"/>
    </w:pPr>
    <w:rPr>
      <w:b/>
      <w:bCs/>
      <w:color w:val="4F81BD" w:themeColor="accent1"/>
      <w:sz w:val="18"/>
      <w:szCs w:val="18"/>
    </w:rPr>
  </w:style>
  <w:style w:type="character" w:styleId="Hyperlink">
    <w:name w:val="Hyperlink"/>
    <w:basedOn w:val="DefaultParagraphFont"/>
    <w:uiPriority w:val="99"/>
    <w:unhideWhenUsed/>
    <w:rsid w:val="00726B2F"/>
    <w:rPr>
      <w:strike w:val="0"/>
      <w:dstrike w:val="0"/>
      <w:color w:val="000099"/>
      <w:u w:val="none"/>
      <w:effect w:val="none"/>
    </w:rPr>
  </w:style>
  <w:style w:type="paragraph" w:styleId="NormalWeb">
    <w:name w:val="Normal (Web)"/>
    <w:basedOn w:val="Normal"/>
    <w:unhideWhenUsed/>
    <w:rsid w:val="00765F9F"/>
    <w:pPr>
      <w:spacing w:before="100" w:beforeAutospacing="1" w:after="100" w:afterAutospacing="1"/>
    </w:pPr>
  </w:style>
  <w:style w:type="table" w:styleId="LightShading-Accent5">
    <w:name w:val="Light Shading Accent 5"/>
    <w:basedOn w:val="TableNormal"/>
    <w:uiPriority w:val="60"/>
    <w:rsid w:val="00FB3D87"/>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1">
    <w:name w:val="Light List1"/>
    <w:basedOn w:val="TableNormal"/>
    <w:uiPriority w:val="61"/>
    <w:rsid w:val="00FB3D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Grid1-Accent1">
    <w:name w:val="Medium Grid 1 Accent 1"/>
    <w:basedOn w:val="TableNormal"/>
    <w:uiPriority w:val="67"/>
    <w:rsid w:val="00FB3D8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Shading1-Accent11">
    <w:name w:val="Medium Shading 1 - Accent 11"/>
    <w:basedOn w:val="TableNormal"/>
    <w:uiPriority w:val="63"/>
    <w:rsid w:val="00FB3D8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2-Accent5">
    <w:name w:val="Medium Shading 2 Accent 5"/>
    <w:basedOn w:val="TableNormal"/>
    <w:uiPriority w:val="64"/>
    <w:rsid w:val="00FB3D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olorfulGrid-Accent5">
    <w:name w:val="Colorful Grid Accent 5"/>
    <w:basedOn w:val="TableNormal"/>
    <w:uiPriority w:val="73"/>
    <w:rsid w:val="00FB3D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Shading2-Accent11">
    <w:name w:val="Medium Shading 2 - Accent 11"/>
    <w:basedOn w:val="TableNormal"/>
    <w:uiPriority w:val="64"/>
    <w:rsid w:val="00FB3D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ghtShading-Accent11">
    <w:name w:val="Light Shading - Accent 11"/>
    <w:basedOn w:val="TableNormal"/>
    <w:uiPriority w:val="60"/>
    <w:rsid w:val="00FB3D87"/>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ListParagraph">
    <w:name w:val="List Paragraph"/>
    <w:basedOn w:val="Normal"/>
    <w:uiPriority w:val="34"/>
    <w:qFormat/>
    <w:rsid w:val="00B34DE5"/>
    <w:pPr>
      <w:ind w:left="720"/>
      <w:contextualSpacing/>
    </w:pPr>
  </w:style>
  <w:style w:type="character" w:customStyle="1" w:styleId="Heading2Char">
    <w:name w:val="Heading 2 Char"/>
    <w:basedOn w:val="DefaultParagraphFont"/>
    <w:link w:val="Heading2"/>
    <w:uiPriority w:val="9"/>
    <w:rsid w:val="00B34DE5"/>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nhideWhenUsed/>
    <w:rsid w:val="00941D5E"/>
    <w:pPr>
      <w:widowControl w:val="0"/>
      <w:tabs>
        <w:tab w:val="center" w:pos="4153"/>
        <w:tab w:val="right" w:pos="8306"/>
      </w:tabs>
      <w:snapToGrid w:val="0"/>
    </w:pPr>
    <w:rPr>
      <w:rFonts w:ascii="Calibri" w:eastAsia="新細明體" w:hAnsi="Calibri"/>
      <w:kern w:val="2"/>
      <w:sz w:val="20"/>
      <w:szCs w:val="20"/>
    </w:rPr>
  </w:style>
  <w:style w:type="character" w:customStyle="1" w:styleId="HeaderChar">
    <w:name w:val="Header Char"/>
    <w:basedOn w:val="DefaultParagraphFont"/>
    <w:link w:val="Header"/>
    <w:rsid w:val="00941D5E"/>
    <w:rPr>
      <w:rFonts w:ascii="Calibri" w:eastAsia="新細明體" w:hAnsi="Calibri" w:cs="Times New Roman"/>
      <w:kern w:val="2"/>
      <w:sz w:val="20"/>
      <w:szCs w:val="20"/>
      <w:lang w:val="en-US"/>
    </w:rPr>
  </w:style>
  <w:style w:type="character" w:customStyle="1" w:styleId="Heading6Char">
    <w:name w:val="Heading 6 Char"/>
    <w:basedOn w:val="DefaultParagraphFont"/>
    <w:link w:val="Heading6"/>
    <w:uiPriority w:val="9"/>
    <w:rsid w:val="00B34DE5"/>
    <w:rPr>
      <w:rFonts w:asciiTheme="majorHAnsi" w:eastAsiaTheme="majorEastAsia" w:hAnsiTheme="majorHAnsi" w:cstheme="majorBidi"/>
      <w:i/>
      <w:iCs/>
      <w:color w:val="243F60" w:themeColor="accent1" w:themeShade="7F"/>
    </w:rPr>
  </w:style>
  <w:style w:type="paragraph" w:styleId="Footer">
    <w:name w:val="footer"/>
    <w:basedOn w:val="Normal"/>
    <w:link w:val="FooterChar"/>
    <w:unhideWhenUsed/>
    <w:rsid w:val="00601861"/>
    <w:pPr>
      <w:widowControl w:val="0"/>
      <w:tabs>
        <w:tab w:val="center" w:pos="4153"/>
        <w:tab w:val="right" w:pos="8306"/>
      </w:tabs>
      <w:snapToGrid w:val="0"/>
    </w:pPr>
    <w:rPr>
      <w:rFonts w:ascii="Calibri" w:eastAsia="新細明體" w:hAnsi="Calibri"/>
      <w:kern w:val="2"/>
      <w:sz w:val="20"/>
      <w:szCs w:val="20"/>
    </w:rPr>
  </w:style>
  <w:style w:type="character" w:customStyle="1" w:styleId="FooterChar">
    <w:name w:val="Footer Char"/>
    <w:basedOn w:val="DefaultParagraphFont"/>
    <w:link w:val="Footer"/>
    <w:rsid w:val="00601861"/>
    <w:rPr>
      <w:rFonts w:ascii="Calibri" w:eastAsia="新細明體" w:hAnsi="Calibri" w:cs="Times New Roman"/>
      <w:kern w:val="2"/>
      <w:sz w:val="20"/>
      <w:szCs w:val="20"/>
      <w:lang w:val="en-US"/>
    </w:rPr>
  </w:style>
  <w:style w:type="paragraph" w:styleId="TOCHeading">
    <w:name w:val="TOC Heading"/>
    <w:basedOn w:val="Heading1"/>
    <w:next w:val="Normal"/>
    <w:uiPriority w:val="39"/>
    <w:semiHidden/>
    <w:unhideWhenUsed/>
    <w:qFormat/>
    <w:rsid w:val="00B34DE5"/>
    <w:pPr>
      <w:outlineLvl w:val="9"/>
    </w:pPr>
  </w:style>
  <w:style w:type="paragraph" w:styleId="TOC1">
    <w:name w:val="toc 1"/>
    <w:basedOn w:val="Normal"/>
    <w:next w:val="Normal"/>
    <w:autoRedefine/>
    <w:uiPriority w:val="39"/>
    <w:unhideWhenUsed/>
    <w:rsid w:val="0055336F"/>
    <w:pPr>
      <w:spacing w:after="100"/>
    </w:pPr>
  </w:style>
  <w:style w:type="paragraph" w:styleId="TOC2">
    <w:name w:val="toc 2"/>
    <w:basedOn w:val="Normal"/>
    <w:next w:val="Normal"/>
    <w:autoRedefine/>
    <w:uiPriority w:val="39"/>
    <w:unhideWhenUsed/>
    <w:rsid w:val="0055336F"/>
    <w:pPr>
      <w:spacing w:after="100"/>
      <w:ind w:left="220"/>
    </w:pPr>
  </w:style>
  <w:style w:type="paragraph" w:styleId="EndnoteText">
    <w:name w:val="endnote text"/>
    <w:basedOn w:val="Normal"/>
    <w:link w:val="EndnoteTextChar"/>
    <w:uiPriority w:val="99"/>
    <w:semiHidden/>
    <w:unhideWhenUsed/>
    <w:rsid w:val="00C00142"/>
    <w:rPr>
      <w:sz w:val="20"/>
      <w:szCs w:val="20"/>
    </w:rPr>
  </w:style>
  <w:style w:type="character" w:customStyle="1" w:styleId="EndnoteTextChar">
    <w:name w:val="Endnote Text Char"/>
    <w:basedOn w:val="DefaultParagraphFont"/>
    <w:link w:val="EndnoteText"/>
    <w:uiPriority w:val="99"/>
    <w:semiHidden/>
    <w:rsid w:val="00C00142"/>
    <w:rPr>
      <w:sz w:val="20"/>
      <w:szCs w:val="20"/>
    </w:rPr>
  </w:style>
  <w:style w:type="character" w:styleId="EndnoteReference">
    <w:name w:val="endnote reference"/>
    <w:basedOn w:val="DefaultParagraphFont"/>
    <w:uiPriority w:val="99"/>
    <w:semiHidden/>
    <w:unhideWhenUsed/>
    <w:rsid w:val="00C00142"/>
    <w:rPr>
      <w:vertAlign w:val="superscript"/>
    </w:rPr>
  </w:style>
  <w:style w:type="table" w:styleId="LightGrid-Accent5">
    <w:name w:val="Light Grid Accent 5"/>
    <w:basedOn w:val="TableNormal"/>
    <w:uiPriority w:val="62"/>
    <w:rsid w:val="0004142E"/>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Heading3Char">
    <w:name w:val="Heading 3 Char"/>
    <w:basedOn w:val="DefaultParagraphFont"/>
    <w:link w:val="Heading3"/>
    <w:uiPriority w:val="9"/>
    <w:rsid w:val="00B34DE5"/>
    <w:rPr>
      <w:rFonts w:asciiTheme="majorHAnsi" w:eastAsiaTheme="majorEastAsia" w:hAnsiTheme="majorHAnsi" w:cstheme="majorBidi"/>
      <w:b/>
      <w:bCs/>
      <w:color w:val="4F81BD" w:themeColor="accent1"/>
    </w:rPr>
  </w:style>
  <w:style w:type="table" w:customStyle="1" w:styleId="MediumShading2-Accent12">
    <w:name w:val="Medium Shading 2 - Accent 12"/>
    <w:basedOn w:val="TableNormal"/>
    <w:uiPriority w:val="64"/>
    <w:rsid w:val="002B051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Heading4Char">
    <w:name w:val="Heading 4 Char"/>
    <w:basedOn w:val="DefaultParagraphFont"/>
    <w:link w:val="Heading4"/>
    <w:uiPriority w:val="9"/>
    <w:rsid w:val="00B34DE5"/>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B34DE5"/>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rsid w:val="00B34DE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B34DE5"/>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B34DE5"/>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B34D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34DE5"/>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B34DE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34DE5"/>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B34DE5"/>
    <w:rPr>
      <w:b/>
      <w:bCs/>
    </w:rPr>
  </w:style>
  <w:style w:type="character" w:styleId="Emphasis">
    <w:name w:val="Emphasis"/>
    <w:basedOn w:val="DefaultParagraphFont"/>
    <w:uiPriority w:val="20"/>
    <w:qFormat/>
    <w:rsid w:val="00B34DE5"/>
    <w:rPr>
      <w:i/>
      <w:iCs/>
    </w:rPr>
  </w:style>
  <w:style w:type="paragraph" w:styleId="NoSpacing">
    <w:name w:val="No Spacing"/>
    <w:link w:val="NoSpacingChar"/>
    <w:uiPriority w:val="1"/>
    <w:qFormat/>
    <w:rsid w:val="00B34DE5"/>
    <w:pPr>
      <w:spacing w:after="0" w:line="240" w:lineRule="auto"/>
    </w:pPr>
  </w:style>
  <w:style w:type="character" w:customStyle="1" w:styleId="NoSpacingChar">
    <w:name w:val="No Spacing Char"/>
    <w:basedOn w:val="DefaultParagraphFont"/>
    <w:link w:val="NoSpacing"/>
    <w:uiPriority w:val="1"/>
    <w:rsid w:val="00C00809"/>
  </w:style>
  <w:style w:type="paragraph" w:styleId="Quote">
    <w:name w:val="Quote"/>
    <w:basedOn w:val="Normal"/>
    <w:next w:val="Normal"/>
    <w:link w:val="QuoteChar"/>
    <w:uiPriority w:val="29"/>
    <w:qFormat/>
    <w:rsid w:val="00B34DE5"/>
    <w:rPr>
      <w:i/>
      <w:iCs/>
      <w:color w:val="000000" w:themeColor="text1"/>
    </w:rPr>
  </w:style>
  <w:style w:type="character" w:customStyle="1" w:styleId="QuoteChar">
    <w:name w:val="Quote Char"/>
    <w:basedOn w:val="DefaultParagraphFont"/>
    <w:link w:val="Quote"/>
    <w:uiPriority w:val="29"/>
    <w:rsid w:val="00B34DE5"/>
    <w:rPr>
      <w:i/>
      <w:iCs/>
      <w:color w:val="000000" w:themeColor="text1"/>
    </w:rPr>
  </w:style>
  <w:style w:type="paragraph" w:styleId="IntenseQuote">
    <w:name w:val="Intense Quote"/>
    <w:basedOn w:val="Normal"/>
    <w:next w:val="Normal"/>
    <w:link w:val="IntenseQuoteChar"/>
    <w:uiPriority w:val="30"/>
    <w:qFormat/>
    <w:rsid w:val="00B34DE5"/>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B34DE5"/>
    <w:rPr>
      <w:b/>
      <w:bCs/>
      <w:i/>
      <w:iCs/>
      <w:color w:val="4F81BD" w:themeColor="accent1"/>
    </w:rPr>
  </w:style>
  <w:style w:type="character" w:styleId="SubtleEmphasis">
    <w:name w:val="Subtle Emphasis"/>
    <w:basedOn w:val="DefaultParagraphFont"/>
    <w:uiPriority w:val="19"/>
    <w:qFormat/>
    <w:rsid w:val="00B34DE5"/>
    <w:rPr>
      <w:i/>
      <w:iCs/>
      <w:color w:val="808080" w:themeColor="text1" w:themeTint="7F"/>
    </w:rPr>
  </w:style>
  <w:style w:type="character" w:styleId="IntenseEmphasis">
    <w:name w:val="Intense Emphasis"/>
    <w:basedOn w:val="DefaultParagraphFont"/>
    <w:uiPriority w:val="21"/>
    <w:qFormat/>
    <w:rsid w:val="00B34DE5"/>
    <w:rPr>
      <w:b/>
      <w:bCs/>
      <w:i/>
      <w:iCs/>
      <w:color w:val="4F81BD" w:themeColor="accent1"/>
    </w:rPr>
  </w:style>
  <w:style w:type="character" w:styleId="SubtleReference">
    <w:name w:val="Subtle Reference"/>
    <w:basedOn w:val="DefaultParagraphFont"/>
    <w:uiPriority w:val="31"/>
    <w:qFormat/>
    <w:rsid w:val="00B34DE5"/>
    <w:rPr>
      <w:smallCaps/>
      <w:color w:val="C0504D" w:themeColor="accent2"/>
      <w:u w:val="single"/>
    </w:rPr>
  </w:style>
  <w:style w:type="character" w:styleId="IntenseReference">
    <w:name w:val="Intense Reference"/>
    <w:basedOn w:val="DefaultParagraphFont"/>
    <w:uiPriority w:val="32"/>
    <w:qFormat/>
    <w:rsid w:val="00B34DE5"/>
    <w:rPr>
      <w:b/>
      <w:bCs/>
      <w:smallCaps/>
      <w:color w:val="C0504D" w:themeColor="accent2"/>
      <w:spacing w:val="5"/>
      <w:u w:val="single"/>
    </w:rPr>
  </w:style>
  <w:style w:type="character" w:styleId="BookTitle">
    <w:name w:val="Book Title"/>
    <w:basedOn w:val="DefaultParagraphFont"/>
    <w:uiPriority w:val="33"/>
    <w:qFormat/>
    <w:rsid w:val="00B34DE5"/>
    <w:rPr>
      <w:b/>
      <w:bCs/>
      <w:smallCaps/>
      <w:spacing w:val="5"/>
    </w:rPr>
  </w:style>
  <w:style w:type="character" w:customStyle="1" w:styleId="apple-converted-space">
    <w:name w:val="apple-converted-space"/>
    <w:basedOn w:val="DefaultParagraphFont"/>
    <w:rsid w:val="00BA7A61"/>
  </w:style>
  <w:style w:type="paragraph" w:styleId="TOC3">
    <w:name w:val="toc 3"/>
    <w:basedOn w:val="Normal"/>
    <w:next w:val="Normal"/>
    <w:autoRedefine/>
    <w:uiPriority w:val="39"/>
    <w:unhideWhenUsed/>
    <w:rsid w:val="006F20D3"/>
    <w:pPr>
      <w:spacing w:after="100"/>
      <w:ind w:left="480"/>
    </w:pPr>
  </w:style>
  <w:style w:type="character" w:styleId="HTMLCite">
    <w:name w:val="HTML Cite"/>
    <w:basedOn w:val="DefaultParagraphFont"/>
    <w:uiPriority w:val="99"/>
    <w:semiHidden/>
    <w:unhideWhenUsed/>
    <w:rsid w:val="00E901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21051">
      <w:bodyDiv w:val="1"/>
      <w:marLeft w:val="0"/>
      <w:marRight w:val="0"/>
      <w:marTop w:val="0"/>
      <w:marBottom w:val="0"/>
      <w:divBdr>
        <w:top w:val="none" w:sz="0" w:space="0" w:color="auto"/>
        <w:left w:val="none" w:sz="0" w:space="0" w:color="auto"/>
        <w:bottom w:val="none" w:sz="0" w:space="0" w:color="auto"/>
        <w:right w:val="none" w:sz="0" w:space="0" w:color="auto"/>
      </w:divBdr>
    </w:div>
    <w:div w:id="83305117">
      <w:bodyDiv w:val="1"/>
      <w:marLeft w:val="0"/>
      <w:marRight w:val="0"/>
      <w:marTop w:val="0"/>
      <w:marBottom w:val="0"/>
      <w:divBdr>
        <w:top w:val="none" w:sz="0" w:space="0" w:color="auto"/>
        <w:left w:val="none" w:sz="0" w:space="0" w:color="auto"/>
        <w:bottom w:val="none" w:sz="0" w:space="0" w:color="auto"/>
        <w:right w:val="none" w:sz="0" w:space="0" w:color="auto"/>
      </w:divBdr>
    </w:div>
    <w:div w:id="133723259">
      <w:bodyDiv w:val="1"/>
      <w:marLeft w:val="0"/>
      <w:marRight w:val="0"/>
      <w:marTop w:val="0"/>
      <w:marBottom w:val="0"/>
      <w:divBdr>
        <w:top w:val="none" w:sz="0" w:space="0" w:color="auto"/>
        <w:left w:val="none" w:sz="0" w:space="0" w:color="auto"/>
        <w:bottom w:val="none" w:sz="0" w:space="0" w:color="auto"/>
        <w:right w:val="none" w:sz="0" w:space="0" w:color="auto"/>
      </w:divBdr>
      <w:divsChild>
        <w:div w:id="1817455831">
          <w:marLeft w:val="0"/>
          <w:marRight w:val="0"/>
          <w:marTop w:val="0"/>
          <w:marBottom w:val="0"/>
          <w:divBdr>
            <w:top w:val="none" w:sz="0" w:space="0" w:color="auto"/>
            <w:left w:val="none" w:sz="0" w:space="0" w:color="auto"/>
            <w:bottom w:val="none" w:sz="0" w:space="0" w:color="auto"/>
            <w:right w:val="none" w:sz="0" w:space="0" w:color="auto"/>
          </w:divBdr>
        </w:div>
        <w:div w:id="1505120675">
          <w:marLeft w:val="0"/>
          <w:marRight w:val="0"/>
          <w:marTop w:val="0"/>
          <w:marBottom w:val="0"/>
          <w:divBdr>
            <w:top w:val="none" w:sz="0" w:space="0" w:color="auto"/>
            <w:left w:val="none" w:sz="0" w:space="0" w:color="auto"/>
            <w:bottom w:val="none" w:sz="0" w:space="0" w:color="auto"/>
            <w:right w:val="none" w:sz="0" w:space="0" w:color="auto"/>
          </w:divBdr>
        </w:div>
      </w:divsChild>
    </w:div>
    <w:div w:id="169419079">
      <w:bodyDiv w:val="1"/>
      <w:marLeft w:val="0"/>
      <w:marRight w:val="0"/>
      <w:marTop w:val="0"/>
      <w:marBottom w:val="0"/>
      <w:divBdr>
        <w:top w:val="none" w:sz="0" w:space="0" w:color="auto"/>
        <w:left w:val="none" w:sz="0" w:space="0" w:color="auto"/>
        <w:bottom w:val="none" w:sz="0" w:space="0" w:color="auto"/>
        <w:right w:val="none" w:sz="0" w:space="0" w:color="auto"/>
      </w:divBdr>
      <w:divsChild>
        <w:div w:id="360209141">
          <w:marLeft w:val="547"/>
          <w:marRight w:val="0"/>
          <w:marTop w:val="0"/>
          <w:marBottom w:val="0"/>
          <w:divBdr>
            <w:top w:val="none" w:sz="0" w:space="0" w:color="auto"/>
            <w:left w:val="none" w:sz="0" w:space="0" w:color="auto"/>
            <w:bottom w:val="none" w:sz="0" w:space="0" w:color="auto"/>
            <w:right w:val="none" w:sz="0" w:space="0" w:color="auto"/>
          </w:divBdr>
        </w:div>
      </w:divsChild>
    </w:div>
    <w:div w:id="224025701">
      <w:bodyDiv w:val="1"/>
      <w:marLeft w:val="0"/>
      <w:marRight w:val="0"/>
      <w:marTop w:val="0"/>
      <w:marBottom w:val="0"/>
      <w:divBdr>
        <w:top w:val="none" w:sz="0" w:space="0" w:color="auto"/>
        <w:left w:val="none" w:sz="0" w:space="0" w:color="auto"/>
        <w:bottom w:val="none" w:sz="0" w:space="0" w:color="auto"/>
        <w:right w:val="none" w:sz="0" w:space="0" w:color="auto"/>
      </w:divBdr>
      <w:divsChild>
        <w:div w:id="656375497">
          <w:marLeft w:val="547"/>
          <w:marRight w:val="0"/>
          <w:marTop w:val="0"/>
          <w:marBottom w:val="0"/>
          <w:divBdr>
            <w:top w:val="none" w:sz="0" w:space="0" w:color="auto"/>
            <w:left w:val="none" w:sz="0" w:space="0" w:color="auto"/>
            <w:bottom w:val="none" w:sz="0" w:space="0" w:color="auto"/>
            <w:right w:val="none" w:sz="0" w:space="0" w:color="auto"/>
          </w:divBdr>
        </w:div>
      </w:divsChild>
    </w:div>
    <w:div w:id="245194163">
      <w:bodyDiv w:val="1"/>
      <w:marLeft w:val="0"/>
      <w:marRight w:val="0"/>
      <w:marTop w:val="0"/>
      <w:marBottom w:val="0"/>
      <w:divBdr>
        <w:top w:val="none" w:sz="0" w:space="0" w:color="auto"/>
        <w:left w:val="none" w:sz="0" w:space="0" w:color="auto"/>
        <w:bottom w:val="none" w:sz="0" w:space="0" w:color="auto"/>
        <w:right w:val="none" w:sz="0" w:space="0" w:color="auto"/>
      </w:divBdr>
    </w:div>
    <w:div w:id="369035226">
      <w:bodyDiv w:val="1"/>
      <w:marLeft w:val="0"/>
      <w:marRight w:val="0"/>
      <w:marTop w:val="0"/>
      <w:marBottom w:val="0"/>
      <w:divBdr>
        <w:top w:val="none" w:sz="0" w:space="0" w:color="auto"/>
        <w:left w:val="none" w:sz="0" w:space="0" w:color="auto"/>
        <w:bottom w:val="none" w:sz="0" w:space="0" w:color="auto"/>
        <w:right w:val="none" w:sz="0" w:space="0" w:color="auto"/>
      </w:divBdr>
      <w:divsChild>
        <w:div w:id="313264226">
          <w:marLeft w:val="0"/>
          <w:marRight w:val="0"/>
          <w:marTop w:val="0"/>
          <w:marBottom w:val="0"/>
          <w:divBdr>
            <w:top w:val="none" w:sz="0" w:space="0" w:color="auto"/>
            <w:left w:val="none" w:sz="0" w:space="0" w:color="auto"/>
            <w:bottom w:val="none" w:sz="0" w:space="0" w:color="auto"/>
            <w:right w:val="none" w:sz="0" w:space="0" w:color="auto"/>
          </w:divBdr>
          <w:divsChild>
            <w:div w:id="2041121069">
              <w:marLeft w:val="0"/>
              <w:marRight w:val="0"/>
              <w:marTop w:val="0"/>
              <w:marBottom w:val="0"/>
              <w:divBdr>
                <w:top w:val="none" w:sz="0" w:space="0" w:color="auto"/>
                <w:left w:val="none" w:sz="0" w:space="0" w:color="auto"/>
                <w:bottom w:val="none" w:sz="0" w:space="0" w:color="auto"/>
                <w:right w:val="none" w:sz="0" w:space="0" w:color="auto"/>
              </w:divBdr>
              <w:divsChild>
                <w:div w:id="875658505">
                  <w:marLeft w:val="0"/>
                  <w:marRight w:val="0"/>
                  <w:marTop w:val="0"/>
                  <w:marBottom w:val="0"/>
                  <w:divBdr>
                    <w:top w:val="none" w:sz="0" w:space="0" w:color="auto"/>
                    <w:left w:val="none" w:sz="0" w:space="0" w:color="auto"/>
                    <w:bottom w:val="none" w:sz="0" w:space="0" w:color="auto"/>
                    <w:right w:val="none" w:sz="0" w:space="0" w:color="auto"/>
                  </w:divBdr>
                  <w:divsChild>
                    <w:div w:id="1143690974">
                      <w:marLeft w:val="0"/>
                      <w:marRight w:val="0"/>
                      <w:marTop w:val="0"/>
                      <w:marBottom w:val="0"/>
                      <w:divBdr>
                        <w:top w:val="none" w:sz="0" w:space="0" w:color="auto"/>
                        <w:left w:val="none" w:sz="0" w:space="0" w:color="auto"/>
                        <w:bottom w:val="none" w:sz="0" w:space="0" w:color="auto"/>
                        <w:right w:val="none" w:sz="0" w:space="0" w:color="auto"/>
                      </w:divBdr>
                      <w:divsChild>
                        <w:div w:id="1784421603">
                          <w:marLeft w:val="0"/>
                          <w:marRight w:val="0"/>
                          <w:marTop w:val="0"/>
                          <w:marBottom w:val="0"/>
                          <w:divBdr>
                            <w:top w:val="none" w:sz="0" w:space="0" w:color="auto"/>
                            <w:left w:val="none" w:sz="0" w:space="0" w:color="auto"/>
                            <w:bottom w:val="none" w:sz="0" w:space="0" w:color="auto"/>
                            <w:right w:val="none" w:sz="0" w:space="0" w:color="auto"/>
                          </w:divBdr>
                          <w:divsChild>
                            <w:div w:id="572160148">
                              <w:marLeft w:val="0"/>
                              <w:marRight w:val="0"/>
                              <w:marTop w:val="0"/>
                              <w:marBottom w:val="0"/>
                              <w:divBdr>
                                <w:top w:val="none" w:sz="0" w:space="0" w:color="auto"/>
                                <w:left w:val="none" w:sz="0" w:space="0" w:color="auto"/>
                                <w:bottom w:val="none" w:sz="0" w:space="0" w:color="auto"/>
                                <w:right w:val="none" w:sz="0" w:space="0" w:color="auto"/>
                              </w:divBdr>
                              <w:divsChild>
                                <w:div w:id="2118212101">
                                  <w:marLeft w:val="0"/>
                                  <w:marRight w:val="0"/>
                                  <w:marTop w:val="0"/>
                                  <w:marBottom w:val="0"/>
                                  <w:divBdr>
                                    <w:top w:val="none" w:sz="0" w:space="0" w:color="auto"/>
                                    <w:left w:val="none" w:sz="0" w:space="0" w:color="auto"/>
                                    <w:bottom w:val="none" w:sz="0" w:space="0" w:color="auto"/>
                                    <w:right w:val="none" w:sz="0" w:space="0" w:color="auto"/>
                                  </w:divBdr>
                                  <w:divsChild>
                                    <w:div w:id="759057590">
                                      <w:marLeft w:val="0"/>
                                      <w:marRight w:val="0"/>
                                      <w:marTop w:val="0"/>
                                      <w:marBottom w:val="0"/>
                                      <w:divBdr>
                                        <w:top w:val="none" w:sz="0" w:space="0" w:color="auto"/>
                                        <w:left w:val="none" w:sz="0" w:space="0" w:color="auto"/>
                                        <w:bottom w:val="none" w:sz="0" w:space="0" w:color="auto"/>
                                        <w:right w:val="none" w:sz="0" w:space="0" w:color="auto"/>
                                      </w:divBdr>
                                    </w:div>
                                    <w:div w:id="18548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6877617">
      <w:bodyDiv w:val="1"/>
      <w:marLeft w:val="0"/>
      <w:marRight w:val="0"/>
      <w:marTop w:val="0"/>
      <w:marBottom w:val="0"/>
      <w:divBdr>
        <w:top w:val="none" w:sz="0" w:space="0" w:color="auto"/>
        <w:left w:val="none" w:sz="0" w:space="0" w:color="auto"/>
        <w:bottom w:val="none" w:sz="0" w:space="0" w:color="auto"/>
        <w:right w:val="none" w:sz="0" w:space="0" w:color="auto"/>
      </w:divBdr>
    </w:div>
    <w:div w:id="440413352">
      <w:bodyDiv w:val="1"/>
      <w:marLeft w:val="0"/>
      <w:marRight w:val="0"/>
      <w:marTop w:val="0"/>
      <w:marBottom w:val="0"/>
      <w:divBdr>
        <w:top w:val="none" w:sz="0" w:space="0" w:color="auto"/>
        <w:left w:val="none" w:sz="0" w:space="0" w:color="auto"/>
        <w:bottom w:val="none" w:sz="0" w:space="0" w:color="auto"/>
        <w:right w:val="none" w:sz="0" w:space="0" w:color="auto"/>
      </w:divBdr>
      <w:divsChild>
        <w:div w:id="1665627565">
          <w:marLeft w:val="0"/>
          <w:marRight w:val="0"/>
          <w:marTop w:val="0"/>
          <w:marBottom w:val="0"/>
          <w:divBdr>
            <w:top w:val="none" w:sz="0" w:space="0" w:color="auto"/>
            <w:left w:val="none" w:sz="0" w:space="0" w:color="auto"/>
            <w:bottom w:val="none" w:sz="0" w:space="0" w:color="auto"/>
            <w:right w:val="none" w:sz="0" w:space="0" w:color="auto"/>
          </w:divBdr>
          <w:divsChild>
            <w:div w:id="1956792201">
              <w:marLeft w:val="0"/>
              <w:marRight w:val="0"/>
              <w:marTop w:val="0"/>
              <w:marBottom w:val="0"/>
              <w:divBdr>
                <w:top w:val="none" w:sz="0" w:space="0" w:color="auto"/>
                <w:left w:val="none" w:sz="0" w:space="0" w:color="auto"/>
                <w:bottom w:val="none" w:sz="0" w:space="0" w:color="auto"/>
                <w:right w:val="none" w:sz="0" w:space="0" w:color="auto"/>
              </w:divBdr>
              <w:divsChild>
                <w:div w:id="1479345075">
                  <w:marLeft w:val="225"/>
                  <w:marRight w:val="225"/>
                  <w:marTop w:val="0"/>
                  <w:marBottom w:val="0"/>
                  <w:divBdr>
                    <w:top w:val="none" w:sz="0" w:space="0" w:color="auto"/>
                    <w:left w:val="none" w:sz="0" w:space="0" w:color="auto"/>
                    <w:bottom w:val="none" w:sz="0" w:space="0" w:color="auto"/>
                    <w:right w:val="none" w:sz="0" w:space="0" w:color="auto"/>
                  </w:divBdr>
                  <w:divsChild>
                    <w:div w:id="322971079">
                      <w:marLeft w:val="0"/>
                      <w:marRight w:val="0"/>
                      <w:marTop w:val="0"/>
                      <w:marBottom w:val="0"/>
                      <w:divBdr>
                        <w:top w:val="none" w:sz="0" w:space="0" w:color="auto"/>
                        <w:left w:val="none" w:sz="0" w:space="0" w:color="auto"/>
                        <w:bottom w:val="none" w:sz="0" w:space="0" w:color="auto"/>
                        <w:right w:val="none" w:sz="0" w:space="0" w:color="auto"/>
                      </w:divBdr>
                      <w:divsChild>
                        <w:div w:id="1119374722">
                          <w:marLeft w:val="0"/>
                          <w:marRight w:val="0"/>
                          <w:marTop w:val="0"/>
                          <w:marBottom w:val="0"/>
                          <w:divBdr>
                            <w:top w:val="none" w:sz="0" w:space="0" w:color="auto"/>
                            <w:left w:val="none" w:sz="0" w:space="0" w:color="auto"/>
                            <w:bottom w:val="none" w:sz="0" w:space="0" w:color="auto"/>
                            <w:right w:val="none" w:sz="0" w:space="0" w:color="auto"/>
                          </w:divBdr>
                          <w:divsChild>
                            <w:div w:id="1556702187">
                              <w:marLeft w:val="0"/>
                              <w:marRight w:val="0"/>
                              <w:marTop w:val="0"/>
                              <w:marBottom w:val="0"/>
                              <w:divBdr>
                                <w:top w:val="none" w:sz="0" w:space="0" w:color="auto"/>
                                <w:left w:val="none" w:sz="0" w:space="0" w:color="auto"/>
                                <w:bottom w:val="none" w:sz="0" w:space="0" w:color="auto"/>
                                <w:right w:val="none" w:sz="0" w:space="0" w:color="auto"/>
                              </w:divBdr>
                              <w:divsChild>
                                <w:div w:id="822427071">
                                  <w:marLeft w:val="0"/>
                                  <w:marRight w:val="0"/>
                                  <w:marTop w:val="0"/>
                                  <w:marBottom w:val="0"/>
                                  <w:divBdr>
                                    <w:top w:val="none" w:sz="0" w:space="0" w:color="auto"/>
                                    <w:left w:val="none" w:sz="0" w:space="0" w:color="auto"/>
                                    <w:bottom w:val="none" w:sz="0" w:space="0" w:color="auto"/>
                                    <w:right w:val="none" w:sz="0" w:space="0" w:color="auto"/>
                                  </w:divBdr>
                                  <w:divsChild>
                                    <w:div w:id="799304753">
                                      <w:marLeft w:val="0"/>
                                      <w:marRight w:val="0"/>
                                      <w:marTop w:val="0"/>
                                      <w:marBottom w:val="0"/>
                                      <w:divBdr>
                                        <w:top w:val="none" w:sz="0" w:space="0" w:color="auto"/>
                                        <w:left w:val="none" w:sz="0" w:space="0" w:color="auto"/>
                                        <w:bottom w:val="none" w:sz="0" w:space="0" w:color="auto"/>
                                        <w:right w:val="none" w:sz="0" w:space="0" w:color="auto"/>
                                      </w:divBdr>
                                      <w:divsChild>
                                        <w:div w:id="835219725">
                                          <w:marLeft w:val="0"/>
                                          <w:marRight w:val="0"/>
                                          <w:marTop w:val="0"/>
                                          <w:marBottom w:val="0"/>
                                          <w:divBdr>
                                            <w:top w:val="none" w:sz="0" w:space="0" w:color="auto"/>
                                            <w:left w:val="none" w:sz="0" w:space="0" w:color="auto"/>
                                            <w:bottom w:val="none" w:sz="0" w:space="0" w:color="auto"/>
                                            <w:right w:val="none" w:sz="0" w:space="0" w:color="auto"/>
                                          </w:divBdr>
                                          <w:divsChild>
                                            <w:div w:id="30036952">
                                              <w:marLeft w:val="0"/>
                                              <w:marRight w:val="0"/>
                                              <w:marTop w:val="0"/>
                                              <w:marBottom w:val="0"/>
                                              <w:divBdr>
                                                <w:top w:val="none" w:sz="0" w:space="0" w:color="auto"/>
                                                <w:left w:val="none" w:sz="0" w:space="0" w:color="auto"/>
                                                <w:bottom w:val="none" w:sz="0" w:space="0" w:color="auto"/>
                                                <w:right w:val="none" w:sz="0" w:space="0" w:color="auto"/>
                                              </w:divBdr>
                                              <w:divsChild>
                                                <w:div w:id="73749500">
                                                  <w:marLeft w:val="0"/>
                                                  <w:marRight w:val="0"/>
                                                  <w:marTop w:val="0"/>
                                                  <w:marBottom w:val="0"/>
                                                  <w:divBdr>
                                                    <w:top w:val="none" w:sz="0" w:space="0" w:color="auto"/>
                                                    <w:left w:val="none" w:sz="0" w:space="0" w:color="auto"/>
                                                    <w:bottom w:val="none" w:sz="0" w:space="0" w:color="auto"/>
                                                    <w:right w:val="none" w:sz="0" w:space="0" w:color="auto"/>
                                                  </w:divBdr>
                                                  <w:divsChild>
                                                    <w:div w:id="1948001346">
                                                      <w:marLeft w:val="0"/>
                                                      <w:marRight w:val="0"/>
                                                      <w:marTop w:val="0"/>
                                                      <w:marBottom w:val="0"/>
                                                      <w:divBdr>
                                                        <w:top w:val="none" w:sz="0" w:space="0" w:color="auto"/>
                                                        <w:left w:val="none" w:sz="0" w:space="0" w:color="auto"/>
                                                        <w:bottom w:val="single" w:sz="6" w:space="0" w:color="BBC1CD"/>
                                                        <w:right w:val="none" w:sz="0" w:space="0" w:color="auto"/>
                                                      </w:divBdr>
                                                      <w:divsChild>
                                                        <w:div w:id="1105081858">
                                                          <w:marLeft w:val="0"/>
                                                          <w:marRight w:val="0"/>
                                                          <w:marTop w:val="0"/>
                                                          <w:marBottom w:val="0"/>
                                                          <w:divBdr>
                                                            <w:top w:val="single" w:sz="2" w:space="0" w:color="B3B3B3"/>
                                                            <w:left w:val="single" w:sz="6" w:space="0" w:color="B3B3B3"/>
                                                            <w:bottom w:val="single" w:sz="2" w:space="0" w:color="B3B3B3"/>
                                                            <w:right w:val="single" w:sz="6" w:space="0" w:color="B3B3B3"/>
                                                          </w:divBdr>
                                                          <w:divsChild>
                                                            <w:div w:id="580063171">
                                                              <w:marLeft w:val="0"/>
                                                              <w:marRight w:val="0"/>
                                                              <w:marTop w:val="0"/>
                                                              <w:marBottom w:val="0"/>
                                                              <w:divBdr>
                                                                <w:top w:val="none" w:sz="0" w:space="0" w:color="auto"/>
                                                                <w:left w:val="none" w:sz="0" w:space="0" w:color="auto"/>
                                                                <w:bottom w:val="none" w:sz="0" w:space="0" w:color="auto"/>
                                                                <w:right w:val="none" w:sz="0" w:space="0" w:color="auto"/>
                                                              </w:divBdr>
                                                              <w:divsChild>
                                                                <w:div w:id="955454293">
                                                                  <w:marLeft w:val="0"/>
                                                                  <w:marRight w:val="0"/>
                                                                  <w:marTop w:val="0"/>
                                                                  <w:marBottom w:val="0"/>
                                                                  <w:divBdr>
                                                                    <w:top w:val="none" w:sz="0" w:space="0" w:color="auto"/>
                                                                    <w:left w:val="none" w:sz="0" w:space="0" w:color="auto"/>
                                                                    <w:bottom w:val="none" w:sz="0" w:space="0" w:color="auto"/>
                                                                    <w:right w:val="none" w:sz="0" w:space="0" w:color="auto"/>
                                                                  </w:divBdr>
                                                                  <w:divsChild>
                                                                    <w:div w:id="960770797">
                                                                      <w:marLeft w:val="75"/>
                                                                      <w:marRight w:val="75"/>
                                                                      <w:marTop w:val="0"/>
                                                                      <w:marBottom w:val="0"/>
                                                                      <w:divBdr>
                                                                        <w:top w:val="none" w:sz="0" w:space="0" w:color="auto"/>
                                                                        <w:left w:val="none" w:sz="0" w:space="0" w:color="auto"/>
                                                                        <w:bottom w:val="none" w:sz="0" w:space="0" w:color="auto"/>
                                                                        <w:right w:val="none" w:sz="0" w:space="0" w:color="auto"/>
                                                                      </w:divBdr>
                                                                      <w:divsChild>
                                                                        <w:div w:id="1586038169">
                                                                          <w:marLeft w:val="0"/>
                                                                          <w:marRight w:val="0"/>
                                                                          <w:marTop w:val="0"/>
                                                                          <w:marBottom w:val="0"/>
                                                                          <w:divBdr>
                                                                            <w:top w:val="none" w:sz="0" w:space="0" w:color="auto"/>
                                                                            <w:left w:val="none" w:sz="0" w:space="0" w:color="auto"/>
                                                                            <w:bottom w:val="none" w:sz="0" w:space="0" w:color="auto"/>
                                                                            <w:right w:val="none" w:sz="0" w:space="0" w:color="auto"/>
                                                                          </w:divBdr>
                                                                          <w:divsChild>
                                                                            <w:div w:id="884371263">
                                                                              <w:marLeft w:val="0"/>
                                                                              <w:marRight w:val="0"/>
                                                                              <w:marTop w:val="0"/>
                                                                              <w:marBottom w:val="4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0367415">
      <w:bodyDiv w:val="1"/>
      <w:marLeft w:val="0"/>
      <w:marRight w:val="0"/>
      <w:marTop w:val="0"/>
      <w:marBottom w:val="0"/>
      <w:divBdr>
        <w:top w:val="none" w:sz="0" w:space="0" w:color="auto"/>
        <w:left w:val="none" w:sz="0" w:space="0" w:color="auto"/>
        <w:bottom w:val="none" w:sz="0" w:space="0" w:color="auto"/>
        <w:right w:val="none" w:sz="0" w:space="0" w:color="auto"/>
      </w:divBdr>
    </w:div>
    <w:div w:id="595140660">
      <w:bodyDiv w:val="1"/>
      <w:marLeft w:val="0"/>
      <w:marRight w:val="0"/>
      <w:marTop w:val="0"/>
      <w:marBottom w:val="0"/>
      <w:divBdr>
        <w:top w:val="none" w:sz="0" w:space="0" w:color="auto"/>
        <w:left w:val="none" w:sz="0" w:space="0" w:color="auto"/>
        <w:bottom w:val="none" w:sz="0" w:space="0" w:color="auto"/>
        <w:right w:val="none" w:sz="0" w:space="0" w:color="auto"/>
      </w:divBdr>
    </w:div>
    <w:div w:id="667026371">
      <w:bodyDiv w:val="1"/>
      <w:marLeft w:val="0"/>
      <w:marRight w:val="0"/>
      <w:marTop w:val="0"/>
      <w:marBottom w:val="0"/>
      <w:divBdr>
        <w:top w:val="none" w:sz="0" w:space="0" w:color="auto"/>
        <w:left w:val="none" w:sz="0" w:space="0" w:color="auto"/>
        <w:bottom w:val="none" w:sz="0" w:space="0" w:color="auto"/>
        <w:right w:val="none" w:sz="0" w:space="0" w:color="auto"/>
      </w:divBdr>
    </w:div>
    <w:div w:id="681855037">
      <w:bodyDiv w:val="1"/>
      <w:marLeft w:val="0"/>
      <w:marRight w:val="0"/>
      <w:marTop w:val="0"/>
      <w:marBottom w:val="0"/>
      <w:divBdr>
        <w:top w:val="none" w:sz="0" w:space="0" w:color="auto"/>
        <w:left w:val="none" w:sz="0" w:space="0" w:color="auto"/>
        <w:bottom w:val="none" w:sz="0" w:space="0" w:color="auto"/>
        <w:right w:val="none" w:sz="0" w:space="0" w:color="auto"/>
      </w:divBdr>
    </w:div>
    <w:div w:id="744456180">
      <w:bodyDiv w:val="1"/>
      <w:marLeft w:val="0"/>
      <w:marRight w:val="0"/>
      <w:marTop w:val="0"/>
      <w:marBottom w:val="0"/>
      <w:divBdr>
        <w:top w:val="none" w:sz="0" w:space="0" w:color="auto"/>
        <w:left w:val="none" w:sz="0" w:space="0" w:color="auto"/>
        <w:bottom w:val="none" w:sz="0" w:space="0" w:color="auto"/>
        <w:right w:val="none" w:sz="0" w:space="0" w:color="auto"/>
      </w:divBdr>
    </w:div>
    <w:div w:id="766659526">
      <w:bodyDiv w:val="1"/>
      <w:marLeft w:val="0"/>
      <w:marRight w:val="0"/>
      <w:marTop w:val="0"/>
      <w:marBottom w:val="0"/>
      <w:divBdr>
        <w:top w:val="none" w:sz="0" w:space="0" w:color="auto"/>
        <w:left w:val="none" w:sz="0" w:space="0" w:color="auto"/>
        <w:bottom w:val="none" w:sz="0" w:space="0" w:color="auto"/>
        <w:right w:val="none" w:sz="0" w:space="0" w:color="auto"/>
      </w:divBdr>
    </w:div>
    <w:div w:id="831606240">
      <w:bodyDiv w:val="1"/>
      <w:marLeft w:val="0"/>
      <w:marRight w:val="0"/>
      <w:marTop w:val="0"/>
      <w:marBottom w:val="0"/>
      <w:divBdr>
        <w:top w:val="none" w:sz="0" w:space="0" w:color="auto"/>
        <w:left w:val="none" w:sz="0" w:space="0" w:color="auto"/>
        <w:bottom w:val="none" w:sz="0" w:space="0" w:color="auto"/>
        <w:right w:val="none" w:sz="0" w:space="0" w:color="auto"/>
      </w:divBdr>
    </w:div>
    <w:div w:id="871263909">
      <w:bodyDiv w:val="1"/>
      <w:marLeft w:val="0"/>
      <w:marRight w:val="0"/>
      <w:marTop w:val="0"/>
      <w:marBottom w:val="0"/>
      <w:divBdr>
        <w:top w:val="none" w:sz="0" w:space="0" w:color="auto"/>
        <w:left w:val="none" w:sz="0" w:space="0" w:color="auto"/>
        <w:bottom w:val="none" w:sz="0" w:space="0" w:color="auto"/>
        <w:right w:val="none" w:sz="0" w:space="0" w:color="auto"/>
      </w:divBdr>
    </w:div>
    <w:div w:id="1051081015">
      <w:bodyDiv w:val="1"/>
      <w:marLeft w:val="0"/>
      <w:marRight w:val="0"/>
      <w:marTop w:val="0"/>
      <w:marBottom w:val="0"/>
      <w:divBdr>
        <w:top w:val="none" w:sz="0" w:space="0" w:color="auto"/>
        <w:left w:val="none" w:sz="0" w:space="0" w:color="auto"/>
        <w:bottom w:val="none" w:sz="0" w:space="0" w:color="auto"/>
        <w:right w:val="none" w:sz="0" w:space="0" w:color="auto"/>
      </w:divBdr>
    </w:div>
    <w:div w:id="1149637983">
      <w:bodyDiv w:val="1"/>
      <w:marLeft w:val="0"/>
      <w:marRight w:val="0"/>
      <w:marTop w:val="0"/>
      <w:marBottom w:val="0"/>
      <w:divBdr>
        <w:top w:val="none" w:sz="0" w:space="0" w:color="auto"/>
        <w:left w:val="none" w:sz="0" w:space="0" w:color="auto"/>
        <w:bottom w:val="none" w:sz="0" w:space="0" w:color="auto"/>
        <w:right w:val="none" w:sz="0" w:space="0" w:color="auto"/>
      </w:divBdr>
    </w:div>
    <w:div w:id="1257009584">
      <w:bodyDiv w:val="1"/>
      <w:marLeft w:val="0"/>
      <w:marRight w:val="0"/>
      <w:marTop w:val="0"/>
      <w:marBottom w:val="0"/>
      <w:divBdr>
        <w:top w:val="none" w:sz="0" w:space="0" w:color="auto"/>
        <w:left w:val="none" w:sz="0" w:space="0" w:color="auto"/>
        <w:bottom w:val="none" w:sz="0" w:space="0" w:color="auto"/>
        <w:right w:val="none" w:sz="0" w:space="0" w:color="auto"/>
      </w:divBdr>
    </w:div>
    <w:div w:id="1415935638">
      <w:bodyDiv w:val="1"/>
      <w:marLeft w:val="0"/>
      <w:marRight w:val="0"/>
      <w:marTop w:val="0"/>
      <w:marBottom w:val="0"/>
      <w:divBdr>
        <w:top w:val="none" w:sz="0" w:space="0" w:color="auto"/>
        <w:left w:val="none" w:sz="0" w:space="0" w:color="auto"/>
        <w:bottom w:val="none" w:sz="0" w:space="0" w:color="auto"/>
        <w:right w:val="none" w:sz="0" w:space="0" w:color="auto"/>
      </w:divBdr>
    </w:div>
    <w:div w:id="1426533357">
      <w:bodyDiv w:val="1"/>
      <w:marLeft w:val="0"/>
      <w:marRight w:val="0"/>
      <w:marTop w:val="0"/>
      <w:marBottom w:val="0"/>
      <w:divBdr>
        <w:top w:val="none" w:sz="0" w:space="0" w:color="auto"/>
        <w:left w:val="none" w:sz="0" w:space="0" w:color="auto"/>
        <w:bottom w:val="none" w:sz="0" w:space="0" w:color="auto"/>
        <w:right w:val="none" w:sz="0" w:space="0" w:color="auto"/>
      </w:divBdr>
    </w:div>
    <w:div w:id="1642466244">
      <w:bodyDiv w:val="1"/>
      <w:marLeft w:val="0"/>
      <w:marRight w:val="0"/>
      <w:marTop w:val="0"/>
      <w:marBottom w:val="0"/>
      <w:divBdr>
        <w:top w:val="none" w:sz="0" w:space="0" w:color="auto"/>
        <w:left w:val="none" w:sz="0" w:space="0" w:color="auto"/>
        <w:bottom w:val="none" w:sz="0" w:space="0" w:color="auto"/>
        <w:right w:val="none" w:sz="0" w:space="0" w:color="auto"/>
      </w:divBdr>
    </w:div>
    <w:div w:id="1730377307">
      <w:bodyDiv w:val="1"/>
      <w:marLeft w:val="0"/>
      <w:marRight w:val="0"/>
      <w:marTop w:val="0"/>
      <w:marBottom w:val="0"/>
      <w:divBdr>
        <w:top w:val="none" w:sz="0" w:space="0" w:color="auto"/>
        <w:left w:val="none" w:sz="0" w:space="0" w:color="auto"/>
        <w:bottom w:val="none" w:sz="0" w:space="0" w:color="auto"/>
        <w:right w:val="none" w:sz="0" w:space="0" w:color="auto"/>
      </w:divBdr>
    </w:div>
    <w:div w:id="1751416699">
      <w:bodyDiv w:val="1"/>
      <w:marLeft w:val="0"/>
      <w:marRight w:val="0"/>
      <w:marTop w:val="0"/>
      <w:marBottom w:val="0"/>
      <w:divBdr>
        <w:top w:val="none" w:sz="0" w:space="0" w:color="auto"/>
        <w:left w:val="none" w:sz="0" w:space="0" w:color="auto"/>
        <w:bottom w:val="none" w:sz="0" w:space="0" w:color="auto"/>
        <w:right w:val="none" w:sz="0" w:space="0" w:color="auto"/>
      </w:divBdr>
    </w:div>
    <w:div w:id="1754205866">
      <w:bodyDiv w:val="1"/>
      <w:marLeft w:val="0"/>
      <w:marRight w:val="0"/>
      <w:marTop w:val="0"/>
      <w:marBottom w:val="0"/>
      <w:divBdr>
        <w:top w:val="none" w:sz="0" w:space="0" w:color="auto"/>
        <w:left w:val="none" w:sz="0" w:space="0" w:color="auto"/>
        <w:bottom w:val="none" w:sz="0" w:space="0" w:color="auto"/>
        <w:right w:val="none" w:sz="0" w:space="0" w:color="auto"/>
      </w:divBdr>
    </w:div>
    <w:div w:id="1760522588">
      <w:bodyDiv w:val="1"/>
      <w:marLeft w:val="0"/>
      <w:marRight w:val="0"/>
      <w:marTop w:val="0"/>
      <w:marBottom w:val="0"/>
      <w:divBdr>
        <w:top w:val="none" w:sz="0" w:space="0" w:color="auto"/>
        <w:left w:val="none" w:sz="0" w:space="0" w:color="auto"/>
        <w:bottom w:val="none" w:sz="0" w:space="0" w:color="auto"/>
        <w:right w:val="none" w:sz="0" w:space="0" w:color="auto"/>
      </w:divBdr>
      <w:divsChild>
        <w:div w:id="1311859662">
          <w:marLeft w:val="0"/>
          <w:marRight w:val="0"/>
          <w:marTop w:val="0"/>
          <w:marBottom w:val="0"/>
          <w:divBdr>
            <w:top w:val="none" w:sz="0" w:space="0" w:color="auto"/>
            <w:left w:val="none" w:sz="0" w:space="0" w:color="auto"/>
            <w:bottom w:val="none" w:sz="0" w:space="0" w:color="auto"/>
            <w:right w:val="none" w:sz="0" w:space="0" w:color="auto"/>
          </w:divBdr>
          <w:divsChild>
            <w:div w:id="1514680982">
              <w:marLeft w:val="0"/>
              <w:marRight w:val="0"/>
              <w:marTop w:val="0"/>
              <w:marBottom w:val="75"/>
              <w:divBdr>
                <w:top w:val="none" w:sz="0" w:space="0" w:color="auto"/>
                <w:left w:val="none" w:sz="0" w:space="0" w:color="auto"/>
                <w:bottom w:val="none" w:sz="0" w:space="0" w:color="auto"/>
                <w:right w:val="none" w:sz="0" w:space="0" w:color="auto"/>
              </w:divBdr>
              <w:divsChild>
                <w:div w:id="425541665">
                  <w:marLeft w:val="24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783378686">
      <w:bodyDiv w:val="1"/>
      <w:marLeft w:val="0"/>
      <w:marRight w:val="0"/>
      <w:marTop w:val="0"/>
      <w:marBottom w:val="0"/>
      <w:divBdr>
        <w:top w:val="none" w:sz="0" w:space="0" w:color="auto"/>
        <w:left w:val="none" w:sz="0" w:space="0" w:color="auto"/>
        <w:bottom w:val="none" w:sz="0" w:space="0" w:color="auto"/>
        <w:right w:val="none" w:sz="0" w:space="0" w:color="auto"/>
      </w:divBdr>
    </w:div>
    <w:div w:id="1845701653">
      <w:bodyDiv w:val="1"/>
      <w:marLeft w:val="0"/>
      <w:marRight w:val="0"/>
      <w:marTop w:val="0"/>
      <w:marBottom w:val="0"/>
      <w:divBdr>
        <w:top w:val="none" w:sz="0" w:space="0" w:color="auto"/>
        <w:left w:val="none" w:sz="0" w:space="0" w:color="auto"/>
        <w:bottom w:val="none" w:sz="0" w:space="0" w:color="auto"/>
        <w:right w:val="none" w:sz="0" w:space="0" w:color="auto"/>
      </w:divBdr>
    </w:div>
    <w:div w:id="1878814898">
      <w:bodyDiv w:val="1"/>
      <w:marLeft w:val="0"/>
      <w:marRight w:val="0"/>
      <w:marTop w:val="0"/>
      <w:marBottom w:val="0"/>
      <w:divBdr>
        <w:top w:val="none" w:sz="0" w:space="0" w:color="auto"/>
        <w:left w:val="none" w:sz="0" w:space="0" w:color="auto"/>
        <w:bottom w:val="none" w:sz="0" w:space="0" w:color="auto"/>
        <w:right w:val="none" w:sz="0" w:space="0" w:color="auto"/>
      </w:divBdr>
    </w:div>
    <w:div w:id="1914973330">
      <w:bodyDiv w:val="1"/>
      <w:marLeft w:val="0"/>
      <w:marRight w:val="0"/>
      <w:marTop w:val="0"/>
      <w:marBottom w:val="0"/>
      <w:divBdr>
        <w:top w:val="none" w:sz="0" w:space="0" w:color="auto"/>
        <w:left w:val="none" w:sz="0" w:space="0" w:color="auto"/>
        <w:bottom w:val="none" w:sz="0" w:space="0" w:color="auto"/>
        <w:right w:val="none" w:sz="0" w:space="0" w:color="auto"/>
      </w:divBdr>
    </w:div>
    <w:div w:id="1985886710">
      <w:bodyDiv w:val="1"/>
      <w:marLeft w:val="0"/>
      <w:marRight w:val="0"/>
      <w:marTop w:val="0"/>
      <w:marBottom w:val="0"/>
      <w:divBdr>
        <w:top w:val="none" w:sz="0" w:space="0" w:color="auto"/>
        <w:left w:val="none" w:sz="0" w:space="0" w:color="auto"/>
        <w:bottom w:val="none" w:sz="0" w:space="0" w:color="auto"/>
        <w:right w:val="none" w:sz="0" w:space="0" w:color="auto"/>
      </w:divBdr>
    </w:div>
    <w:div w:id="2061442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Layout" Target="diagrams/layout2.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Data" Target="diagrams/data2.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Colors" Target="diagrams/colors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886598B-1838-48AF-9959-E9AA447E66BB}" type="doc">
      <dgm:prSet loTypeId="urn:microsoft.com/office/officeart/2005/8/layout/hChevron3" loCatId="process" qsTypeId="urn:microsoft.com/office/officeart/2005/8/quickstyle/simple3" qsCatId="simple" csTypeId="urn:microsoft.com/office/officeart/2005/8/colors/accent2_5" csCatId="accent2" phldr="1"/>
      <dgm:spPr/>
    </dgm:pt>
    <dgm:pt modelId="{5B2D76D4-2706-4C56-928E-6A6431058E41}">
      <dgm:prSet phldrT="[Text]"/>
      <dgm:spPr/>
      <dgm:t>
        <a:bodyPr/>
        <a:lstStyle/>
        <a:p>
          <a:r>
            <a:rPr lang="en-AU"/>
            <a:t>Key Role Identification</a:t>
          </a:r>
        </a:p>
      </dgm:t>
    </dgm:pt>
    <dgm:pt modelId="{835E3686-8382-4D3F-9659-D1B861FF1C19}" type="parTrans" cxnId="{4E97E2CB-1ED3-40D3-8BA8-318A8C51CD20}">
      <dgm:prSet/>
      <dgm:spPr/>
      <dgm:t>
        <a:bodyPr/>
        <a:lstStyle/>
        <a:p>
          <a:endParaRPr lang="en-AU"/>
        </a:p>
      </dgm:t>
    </dgm:pt>
    <dgm:pt modelId="{E208767D-BC56-4E84-835F-E9C4501E5128}" type="sibTrans" cxnId="{4E97E2CB-1ED3-40D3-8BA8-318A8C51CD20}">
      <dgm:prSet/>
      <dgm:spPr/>
      <dgm:t>
        <a:bodyPr/>
        <a:lstStyle/>
        <a:p>
          <a:endParaRPr lang="en-AU"/>
        </a:p>
      </dgm:t>
    </dgm:pt>
    <dgm:pt modelId="{6E7832CC-F10A-40E6-A522-6BA5AF83FD95}">
      <dgm:prSet phldrT="[Text]"/>
      <dgm:spPr/>
      <dgm:t>
        <a:bodyPr/>
        <a:lstStyle/>
        <a:p>
          <a:r>
            <a:rPr lang="en-AU"/>
            <a:t>Talent Identification</a:t>
          </a:r>
        </a:p>
      </dgm:t>
    </dgm:pt>
    <dgm:pt modelId="{252CC4BD-E32D-4015-804E-83FCEA5E6B4E}" type="parTrans" cxnId="{6F4BCAAB-83EC-484B-851D-B8C8F22C7D8F}">
      <dgm:prSet/>
      <dgm:spPr/>
      <dgm:t>
        <a:bodyPr/>
        <a:lstStyle/>
        <a:p>
          <a:endParaRPr lang="en-AU"/>
        </a:p>
      </dgm:t>
    </dgm:pt>
    <dgm:pt modelId="{525AD2C4-03B7-4AF2-A4CD-F7100C1EDB07}" type="sibTrans" cxnId="{6F4BCAAB-83EC-484B-851D-B8C8F22C7D8F}">
      <dgm:prSet/>
      <dgm:spPr/>
      <dgm:t>
        <a:bodyPr/>
        <a:lstStyle/>
        <a:p>
          <a:endParaRPr lang="en-AU"/>
        </a:p>
      </dgm:t>
    </dgm:pt>
    <dgm:pt modelId="{4A6775FF-D259-41FE-A1AC-1E093A7E5EE6}">
      <dgm:prSet phldrT="[Text]"/>
      <dgm:spPr/>
      <dgm:t>
        <a:bodyPr/>
        <a:lstStyle/>
        <a:p>
          <a:r>
            <a:rPr lang="en-AU"/>
            <a:t>Talent Calibration</a:t>
          </a:r>
        </a:p>
      </dgm:t>
    </dgm:pt>
    <dgm:pt modelId="{4DC15F6E-9BF1-4678-A90E-523733709AB7}" type="parTrans" cxnId="{35DE06BA-3EB4-47D0-BE9A-BC7F5EDCB8A6}">
      <dgm:prSet/>
      <dgm:spPr/>
      <dgm:t>
        <a:bodyPr/>
        <a:lstStyle/>
        <a:p>
          <a:endParaRPr lang="en-AU"/>
        </a:p>
      </dgm:t>
    </dgm:pt>
    <dgm:pt modelId="{8B0A71B0-FAA2-4661-875E-916C94A8BF9E}" type="sibTrans" cxnId="{35DE06BA-3EB4-47D0-BE9A-BC7F5EDCB8A6}">
      <dgm:prSet/>
      <dgm:spPr/>
      <dgm:t>
        <a:bodyPr/>
        <a:lstStyle/>
        <a:p>
          <a:endParaRPr lang="en-AU"/>
        </a:p>
      </dgm:t>
    </dgm:pt>
    <dgm:pt modelId="{903569AC-3CE1-4620-AD93-74CE429A9335}">
      <dgm:prSet phldrT="[Text]"/>
      <dgm:spPr/>
      <dgm:t>
        <a:bodyPr/>
        <a:lstStyle/>
        <a:p>
          <a:r>
            <a:rPr lang="en-AU"/>
            <a:t>Talent Review &amp; Succession Planning</a:t>
          </a:r>
        </a:p>
      </dgm:t>
    </dgm:pt>
    <dgm:pt modelId="{C0665FFA-58E5-4846-9B89-321CBFD39A62}" type="parTrans" cxnId="{A2246004-29F3-492D-940A-425A36AD71AD}">
      <dgm:prSet/>
      <dgm:spPr/>
      <dgm:t>
        <a:bodyPr/>
        <a:lstStyle/>
        <a:p>
          <a:endParaRPr lang="en-AU"/>
        </a:p>
      </dgm:t>
    </dgm:pt>
    <dgm:pt modelId="{8CDF6CDB-874F-4FF7-AFEB-6880CEB88564}" type="sibTrans" cxnId="{A2246004-29F3-492D-940A-425A36AD71AD}">
      <dgm:prSet/>
      <dgm:spPr/>
      <dgm:t>
        <a:bodyPr/>
        <a:lstStyle/>
        <a:p>
          <a:endParaRPr lang="en-AU"/>
        </a:p>
      </dgm:t>
    </dgm:pt>
    <dgm:pt modelId="{00AEFCFA-90B9-44A1-8240-DB1BCF4279F6}">
      <dgm:prSet phldrT="[Text]"/>
      <dgm:spPr/>
      <dgm:t>
        <a:bodyPr/>
        <a:lstStyle/>
        <a:p>
          <a:r>
            <a:rPr lang="en-AU"/>
            <a:t>Career Development</a:t>
          </a:r>
        </a:p>
      </dgm:t>
    </dgm:pt>
    <dgm:pt modelId="{7FA6BFFB-3232-4707-A491-208773473B71}" type="parTrans" cxnId="{67759193-98F0-4AE2-BA72-C790E068DF41}">
      <dgm:prSet/>
      <dgm:spPr/>
      <dgm:t>
        <a:bodyPr/>
        <a:lstStyle/>
        <a:p>
          <a:endParaRPr lang="en-AU"/>
        </a:p>
      </dgm:t>
    </dgm:pt>
    <dgm:pt modelId="{C8EB47B7-A7CC-4E08-A032-98E4A1D8DFB4}" type="sibTrans" cxnId="{67759193-98F0-4AE2-BA72-C790E068DF41}">
      <dgm:prSet/>
      <dgm:spPr/>
      <dgm:t>
        <a:bodyPr/>
        <a:lstStyle/>
        <a:p>
          <a:endParaRPr lang="en-AU"/>
        </a:p>
      </dgm:t>
    </dgm:pt>
    <dgm:pt modelId="{45FAAFE5-891C-410F-A28B-8BCBBCB8CC3A}" type="pres">
      <dgm:prSet presAssocID="{D886598B-1838-48AF-9959-E9AA447E66BB}" presName="Name0" presStyleCnt="0">
        <dgm:presLayoutVars>
          <dgm:dir/>
          <dgm:resizeHandles val="exact"/>
        </dgm:presLayoutVars>
      </dgm:prSet>
      <dgm:spPr/>
    </dgm:pt>
    <dgm:pt modelId="{4E9829BC-EC54-40A5-9959-6D582DF6EB55}" type="pres">
      <dgm:prSet presAssocID="{5B2D76D4-2706-4C56-928E-6A6431058E41}" presName="parTxOnly" presStyleLbl="node1" presStyleIdx="0" presStyleCnt="5">
        <dgm:presLayoutVars>
          <dgm:bulletEnabled val="1"/>
        </dgm:presLayoutVars>
      </dgm:prSet>
      <dgm:spPr/>
    </dgm:pt>
    <dgm:pt modelId="{8F54B284-0F47-42FF-921C-FF630A251A86}" type="pres">
      <dgm:prSet presAssocID="{E208767D-BC56-4E84-835F-E9C4501E5128}" presName="parSpace" presStyleCnt="0"/>
      <dgm:spPr/>
    </dgm:pt>
    <dgm:pt modelId="{9AE836BE-08B7-4731-B4FA-FF36BF2AC675}" type="pres">
      <dgm:prSet presAssocID="{6E7832CC-F10A-40E6-A522-6BA5AF83FD95}" presName="parTxOnly" presStyleLbl="node1" presStyleIdx="1" presStyleCnt="5">
        <dgm:presLayoutVars>
          <dgm:bulletEnabled val="1"/>
        </dgm:presLayoutVars>
      </dgm:prSet>
      <dgm:spPr/>
    </dgm:pt>
    <dgm:pt modelId="{05E43C4D-14AA-4836-91A1-35CB08944214}" type="pres">
      <dgm:prSet presAssocID="{525AD2C4-03B7-4AF2-A4CD-F7100C1EDB07}" presName="parSpace" presStyleCnt="0"/>
      <dgm:spPr/>
    </dgm:pt>
    <dgm:pt modelId="{BB4E5C40-FBF5-4D5B-A003-C53F7AB700C1}" type="pres">
      <dgm:prSet presAssocID="{4A6775FF-D259-41FE-A1AC-1E093A7E5EE6}" presName="parTxOnly" presStyleLbl="node1" presStyleIdx="2" presStyleCnt="5">
        <dgm:presLayoutVars>
          <dgm:bulletEnabled val="1"/>
        </dgm:presLayoutVars>
      </dgm:prSet>
      <dgm:spPr/>
    </dgm:pt>
    <dgm:pt modelId="{B46032D4-15B2-4BCA-A631-A5388AFE7FE3}" type="pres">
      <dgm:prSet presAssocID="{8B0A71B0-FAA2-4661-875E-916C94A8BF9E}" presName="parSpace" presStyleCnt="0"/>
      <dgm:spPr/>
    </dgm:pt>
    <dgm:pt modelId="{3C145902-3558-4ECD-83AD-2D39290D7446}" type="pres">
      <dgm:prSet presAssocID="{903569AC-3CE1-4620-AD93-74CE429A9335}" presName="parTxOnly" presStyleLbl="node1" presStyleIdx="3" presStyleCnt="5">
        <dgm:presLayoutVars>
          <dgm:bulletEnabled val="1"/>
        </dgm:presLayoutVars>
      </dgm:prSet>
      <dgm:spPr/>
    </dgm:pt>
    <dgm:pt modelId="{992EFE3C-D7E9-49F4-BC4B-FE60824E9FBD}" type="pres">
      <dgm:prSet presAssocID="{8CDF6CDB-874F-4FF7-AFEB-6880CEB88564}" presName="parSpace" presStyleCnt="0"/>
      <dgm:spPr/>
    </dgm:pt>
    <dgm:pt modelId="{3422DE7B-88D4-49FF-848E-C4A9BEB1A1DA}" type="pres">
      <dgm:prSet presAssocID="{00AEFCFA-90B9-44A1-8240-DB1BCF4279F6}" presName="parTxOnly" presStyleLbl="node1" presStyleIdx="4" presStyleCnt="5">
        <dgm:presLayoutVars>
          <dgm:bulletEnabled val="1"/>
        </dgm:presLayoutVars>
      </dgm:prSet>
      <dgm:spPr/>
    </dgm:pt>
  </dgm:ptLst>
  <dgm:cxnLst>
    <dgm:cxn modelId="{A2246004-29F3-492D-940A-425A36AD71AD}" srcId="{D886598B-1838-48AF-9959-E9AA447E66BB}" destId="{903569AC-3CE1-4620-AD93-74CE429A9335}" srcOrd="3" destOrd="0" parTransId="{C0665FFA-58E5-4846-9B89-321CBFD39A62}" sibTransId="{8CDF6CDB-874F-4FF7-AFEB-6880CEB88564}"/>
    <dgm:cxn modelId="{AB872840-D16B-4354-8969-30298849A32A}" type="presOf" srcId="{4A6775FF-D259-41FE-A1AC-1E093A7E5EE6}" destId="{BB4E5C40-FBF5-4D5B-A003-C53F7AB700C1}" srcOrd="0" destOrd="0" presId="urn:microsoft.com/office/officeart/2005/8/layout/hChevron3"/>
    <dgm:cxn modelId="{9726EF61-469F-469F-BA70-3D34A8D38FD2}" type="presOf" srcId="{5B2D76D4-2706-4C56-928E-6A6431058E41}" destId="{4E9829BC-EC54-40A5-9959-6D582DF6EB55}" srcOrd="0" destOrd="0" presId="urn:microsoft.com/office/officeart/2005/8/layout/hChevron3"/>
    <dgm:cxn modelId="{C90E6F55-49F9-4FEB-B575-7A86C7F075DE}" type="presOf" srcId="{6E7832CC-F10A-40E6-A522-6BA5AF83FD95}" destId="{9AE836BE-08B7-4731-B4FA-FF36BF2AC675}" srcOrd="0" destOrd="0" presId="urn:microsoft.com/office/officeart/2005/8/layout/hChevron3"/>
    <dgm:cxn modelId="{02DE1A8B-DC00-4894-8716-369A1BC5E81F}" type="presOf" srcId="{D886598B-1838-48AF-9959-E9AA447E66BB}" destId="{45FAAFE5-891C-410F-A28B-8BCBBCB8CC3A}" srcOrd="0" destOrd="0" presId="urn:microsoft.com/office/officeart/2005/8/layout/hChevron3"/>
    <dgm:cxn modelId="{67759193-98F0-4AE2-BA72-C790E068DF41}" srcId="{D886598B-1838-48AF-9959-E9AA447E66BB}" destId="{00AEFCFA-90B9-44A1-8240-DB1BCF4279F6}" srcOrd="4" destOrd="0" parTransId="{7FA6BFFB-3232-4707-A491-208773473B71}" sibTransId="{C8EB47B7-A7CC-4E08-A032-98E4A1D8DFB4}"/>
    <dgm:cxn modelId="{11D74EAB-DA5C-4023-8470-A0C4CD5BC640}" type="presOf" srcId="{903569AC-3CE1-4620-AD93-74CE429A9335}" destId="{3C145902-3558-4ECD-83AD-2D39290D7446}" srcOrd="0" destOrd="0" presId="urn:microsoft.com/office/officeart/2005/8/layout/hChevron3"/>
    <dgm:cxn modelId="{6F4BCAAB-83EC-484B-851D-B8C8F22C7D8F}" srcId="{D886598B-1838-48AF-9959-E9AA447E66BB}" destId="{6E7832CC-F10A-40E6-A522-6BA5AF83FD95}" srcOrd="1" destOrd="0" parTransId="{252CC4BD-E32D-4015-804E-83FCEA5E6B4E}" sibTransId="{525AD2C4-03B7-4AF2-A4CD-F7100C1EDB07}"/>
    <dgm:cxn modelId="{35DE06BA-3EB4-47D0-BE9A-BC7F5EDCB8A6}" srcId="{D886598B-1838-48AF-9959-E9AA447E66BB}" destId="{4A6775FF-D259-41FE-A1AC-1E093A7E5EE6}" srcOrd="2" destOrd="0" parTransId="{4DC15F6E-9BF1-4678-A90E-523733709AB7}" sibTransId="{8B0A71B0-FAA2-4661-875E-916C94A8BF9E}"/>
    <dgm:cxn modelId="{4E97E2CB-1ED3-40D3-8BA8-318A8C51CD20}" srcId="{D886598B-1838-48AF-9959-E9AA447E66BB}" destId="{5B2D76D4-2706-4C56-928E-6A6431058E41}" srcOrd="0" destOrd="0" parTransId="{835E3686-8382-4D3F-9659-D1B861FF1C19}" sibTransId="{E208767D-BC56-4E84-835F-E9C4501E5128}"/>
    <dgm:cxn modelId="{34B2C9F9-F29E-44B9-A38E-F76DF34E0905}" type="presOf" srcId="{00AEFCFA-90B9-44A1-8240-DB1BCF4279F6}" destId="{3422DE7B-88D4-49FF-848E-C4A9BEB1A1DA}" srcOrd="0" destOrd="0" presId="urn:microsoft.com/office/officeart/2005/8/layout/hChevron3"/>
    <dgm:cxn modelId="{6BDE138B-0FE4-4DAB-BA5C-979C976C4705}" type="presParOf" srcId="{45FAAFE5-891C-410F-A28B-8BCBBCB8CC3A}" destId="{4E9829BC-EC54-40A5-9959-6D582DF6EB55}" srcOrd="0" destOrd="0" presId="urn:microsoft.com/office/officeart/2005/8/layout/hChevron3"/>
    <dgm:cxn modelId="{89F8AD08-711C-4FEB-9B58-DE4128FD3F7C}" type="presParOf" srcId="{45FAAFE5-891C-410F-A28B-8BCBBCB8CC3A}" destId="{8F54B284-0F47-42FF-921C-FF630A251A86}" srcOrd="1" destOrd="0" presId="urn:microsoft.com/office/officeart/2005/8/layout/hChevron3"/>
    <dgm:cxn modelId="{0AE4B281-DF75-4698-8A09-41A02F99C1E1}" type="presParOf" srcId="{45FAAFE5-891C-410F-A28B-8BCBBCB8CC3A}" destId="{9AE836BE-08B7-4731-B4FA-FF36BF2AC675}" srcOrd="2" destOrd="0" presId="urn:microsoft.com/office/officeart/2005/8/layout/hChevron3"/>
    <dgm:cxn modelId="{30E9BB37-3BFF-4B57-90F1-98FE33A53E33}" type="presParOf" srcId="{45FAAFE5-891C-410F-A28B-8BCBBCB8CC3A}" destId="{05E43C4D-14AA-4836-91A1-35CB08944214}" srcOrd="3" destOrd="0" presId="urn:microsoft.com/office/officeart/2005/8/layout/hChevron3"/>
    <dgm:cxn modelId="{8C766875-E67A-471C-8EBD-7C22F319D2E3}" type="presParOf" srcId="{45FAAFE5-891C-410F-A28B-8BCBBCB8CC3A}" destId="{BB4E5C40-FBF5-4D5B-A003-C53F7AB700C1}" srcOrd="4" destOrd="0" presId="urn:microsoft.com/office/officeart/2005/8/layout/hChevron3"/>
    <dgm:cxn modelId="{9B86887E-D48B-489D-A9F0-98C5C4107F45}" type="presParOf" srcId="{45FAAFE5-891C-410F-A28B-8BCBBCB8CC3A}" destId="{B46032D4-15B2-4BCA-A631-A5388AFE7FE3}" srcOrd="5" destOrd="0" presId="urn:microsoft.com/office/officeart/2005/8/layout/hChevron3"/>
    <dgm:cxn modelId="{146F6D37-DD5C-4B11-B2DA-FC2849533623}" type="presParOf" srcId="{45FAAFE5-891C-410F-A28B-8BCBBCB8CC3A}" destId="{3C145902-3558-4ECD-83AD-2D39290D7446}" srcOrd="6" destOrd="0" presId="urn:microsoft.com/office/officeart/2005/8/layout/hChevron3"/>
    <dgm:cxn modelId="{88EEA846-33D8-4967-9607-8E5CCE3DDD25}" type="presParOf" srcId="{45FAAFE5-891C-410F-A28B-8BCBBCB8CC3A}" destId="{992EFE3C-D7E9-49F4-BC4B-FE60824E9FBD}" srcOrd="7" destOrd="0" presId="urn:microsoft.com/office/officeart/2005/8/layout/hChevron3"/>
    <dgm:cxn modelId="{5C0C8E76-6A9F-49C9-A79E-AF176BADDCE0}" type="presParOf" srcId="{45FAAFE5-891C-410F-A28B-8BCBBCB8CC3A}" destId="{3422DE7B-88D4-49FF-848E-C4A9BEB1A1DA}" srcOrd="8" destOrd="0" presId="urn:microsoft.com/office/officeart/2005/8/layout/hChevron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3DAE731-7167-42AE-8F52-0F966D91E6A2}" type="doc">
      <dgm:prSet loTypeId="urn:microsoft.com/office/officeart/2005/8/layout/pyramid1" loCatId="pyramid" qsTypeId="urn:microsoft.com/office/officeart/2005/8/quickstyle/simple1" qsCatId="simple" csTypeId="urn:microsoft.com/office/officeart/2005/8/colors/colorful2" csCatId="colorful" phldr="1"/>
      <dgm:spPr/>
    </dgm:pt>
    <dgm:pt modelId="{4F62CB41-5329-4FF0-A5B7-97472D350C6E}">
      <dgm:prSet phldrT="[Text]" custT="1"/>
      <dgm:spPr/>
      <dgm:t>
        <a:bodyPr/>
        <a:lstStyle/>
        <a:p>
          <a:r>
            <a:rPr lang="en-HK" sz="1300"/>
            <a:t>10%</a:t>
          </a:r>
        </a:p>
        <a:p>
          <a:r>
            <a:rPr lang="en-HK" sz="1200"/>
            <a:t>Formal Programmes </a:t>
          </a:r>
        </a:p>
      </dgm:t>
    </dgm:pt>
    <dgm:pt modelId="{60C05FA8-1FBF-4FB8-9BB6-B3889D362F65}" type="parTrans" cxnId="{9147FCFB-0940-4C00-8B15-8C047C4BD27A}">
      <dgm:prSet/>
      <dgm:spPr/>
      <dgm:t>
        <a:bodyPr/>
        <a:lstStyle/>
        <a:p>
          <a:endParaRPr lang="en-HK"/>
        </a:p>
      </dgm:t>
    </dgm:pt>
    <dgm:pt modelId="{B83F497A-ABD9-4972-975C-E057FA5EA2AC}" type="sibTrans" cxnId="{9147FCFB-0940-4C00-8B15-8C047C4BD27A}">
      <dgm:prSet/>
      <dgm:spPr/>
      <dgm:t>
        <a:bodyPr/>
        <a:lstStyle/>
        <a:p>
          <a:endParaRPr lang="en-HK"/>
        </a:p>
      </dgm:t>
    </dgm:pt>
    <dgm:pt modelId="{4EB158F0-6DC0-4365-B572-AABEC809673D}">
      <dgm:prSet phldrT="[Text]" custT="1"/>
      <dgm:spPr/>
      <dgm:t>
        <a:bodyPr/>
        <a:lstStyle/>
        <a:p>
          <a:r>
            <a:rPr lang="en-HK" sz="1600"/>
            <a:t>20%</a:t>
          </a:r>
        </a:p>
        <a:p>
          <a:r>
            <a:rPr lang="en-HK" sz="1600"/>
            <a:t>Coaching</a:t>
          </a:r>
        </a:p>
      </dgm:t>
    </dgm:pt>
    <dgm:pt modelId="{74C43835-EC6B-4B7A-9372-76EC27440718}" type="parTrans" cxnId="{C2C8F9EC-8729-41C5-98B4-AF6F104400D5}">
      <dgm:prSet/>
      <dgm:spPr/>
      <dgm:t>
        <a:bodyPr/>
        <a:lstStyle/>
        <a:p>
          <a:endParaRPr lang="en-HK"/>
        </a:p>
      </dgm:t>
    </dgm:pt>
    <dgm:pt modelId="{08F34301-C435-484C-89F6-37711AEFF04F}" type="sibTrans" cxnId="{C2C8F9EC-8729-41C5-98B4-AF6F104400D5}">
      <dgm:prSet/>
      <dgm:spPr/>
      <dgm:t>
        <a:bodyPr/>
        <a:lstStyle/>
        <a:p>
          <a:endParaRPr lang="en-HK"/>
        </a:p>
      </dgm:t>
    </dgm:pt>
    <dgm:pt modelId="{D0E260E0-FFFC-44A6-B9A4-5AE5172809BA}">
      <dgm:prSet phldrT="[Text]"/>
      <dgm:spPr/>
      <dgm:t>
        <a:bodyPr/>
        <a:lstStyle/>
        <a:p>
          <a:r>
            <a:rPr lang="en-HK"/>
            <a:t>70%</a:t>
          </a:r>
        </a:p>
        <a:p>
          <a:r>
            <a:rPr lang="en-HK"/>
            <a:t>On the Job</a:t>
          </a:r>
        </a:p>
      </dgm:t>
    </dgm:pt>
    <dgm:pt modelId="{6556DC04-72D8-40AF-BBBC-23ABBB387F40}" type="parTrans" cxnId="{629167E9-6E43-4F20-844F-08B2DBEB620A}">
      <dgm:prSet/>
      <dgm:spPr/>
      <dgm:t>
        <a:bodyPr/>
        <a:lstStyle/>
        <a:p>
          <a:endParaRPr lang="en-HK"/>
        </a:p>
      </dgm:t>
    </dgm:pt>
    <dgm:pt modelId="{01ED4F5A-1F54-42E1-B629-06BC0271B4F7}" type="sibTrans" cxnId="{629167E9-6E43-4F20-844F-08B2DBEB620A}">
      <dgm:prSet/>
      <dgm:spPr/>
      <dgm:t>
        <a:bodyPr/>
        <a:lstStyle/>
        <a:p>
          <a:endParaRPr lang="en-HK"/>
        </a:p>
      </dgm:t>
    </dgm:pt>
    <dgm:pt modelId="{7EBEDBBB-3928-4B98-A98E-060B3408B537}" type="pres">
      <dgm:prSet presAssocID="{33DAE731-7167-42AE-8F52-0F966D91E6A2}" presName="Name0" presStyleCnt="0">
        <dgm:presLayoutVars>
          <dgm:dir/>
          <dgm:animLvl val="lvl"/>
          <dgm:resizeHandles val="exact"/>
        </dgm:presLayoutVars>
      </dgm:prSet>
      <dgm:spPr/>
    </dgm:pt>
    <dgm:pt modelId="{B84AB996-DA58-45DA-802A-6FECD990591F}" type="pres">
      <dgm:prSet presAssocID="{4F62CB41-5329-4FF0-A5B7-97472D350C6E}" presName="Name8" presStyleCnt="0"/>
      <dgm:spPr/>
    </dgm:pt>
    <dgm:pt modelId="{8B918456-FD79-4BB5-8C9B-E7DC035D1349}" type="pres">
      <dgm:prSet presAssocID="{4F62CB41-5329-4FF0-A5B7-97472D350C6E}" presName="level" presStyleLbl="node1" presStyleIdx="0" presStyleCnt="3">
        <dgm:presLayoutVars>
          <dgm:chMax val="1"/>
          <dgm:bulletEnabled val="1"/>
        </dgm:presLayoutVars>
      </dgm:prSet>
      <dgm:spPr/>
    </dgm:pt>
    <dgm:pt modelId="{D3907798-6A8E-45AA-A471-23C13F9F8A5C}" type="pres">
      <dgm:prSet presAssocID="{4F62CB41-5329-4FF0-A5B7-97472D350C6E}" presName="levelTx" presStyleLbl="revTx" presStyleIdx="0" presStyleCnt="0">
        <dgm:presLayoutVars>
          <dgm:chMax val="1"/>
          <dgm:bulletEnabled val="1"/>
        </dgm:presLayoutVars>
      </dgm:prSet>
      <dgm:spPr/>
    </dgm:pt>
    <dgm:pt modelId="{5A04B2AD-11E1-4F64-8E75-376373C82326}" type="pres">
      <dgm:prSet presAssocID="{4EB158F0-6DC0-4365-B572-AABEC809673D}" presName="Name8" presStyleCnt="0"/>
      <dgm:spPr/>
    </dgm:pt>
    <dgm:pt modelId="{1221B8D3-BF76-4654-A056-737FC54FFCAE}" type="pres">
      <dgm:prSet presAssocID="{4EB158F0-6DC0-4365-B572-AABEC809673D}" presName="level" presStyleLbl="node1" presStyleIdx="1" presStyleCnt="3">
        <dgm:presLayoutVars>
          <dgm:chMax val="1"/>
          <dgm:bulletEnabled val="1"/>
        </dgm:presLayoutVars>
      </dgm:prSet>
      <dgm:spPr/>
    </dgm:pt>
    <dgm:pt modelId="{3394119F-D7B3-4084-95F6-6793DC6B9989}" type="pres">
      <dgm:prSet presAssocID="{4EB158F0-6DC0-4365-B572-AABEC809673D}" presName="levelTx" presStyleLbl="revTx" presStyleIdx="0" presStyleCnt="0">
        <dgm:presLayoutVars>
          <dgm:chMax val="1"/>
          <dgm:bulletEnabled val="1"/>
        </dgm:presLayoutVars>
      </dgm:prSet>
      <dgm:spPr/>
    </dgm:pt>
    <dgm:pt modelId="{9394A6B6-2718-4C23-B894-8E1F4FD03382}" type="pres">
      <dgm:prSet presAssocID="{D0E260E0-FFFC-44A6-B9A4-5AE5172809BA}" presName="Name8" presStyleCnt="0"/>
      <dgm:spPr/>
    </dgm:pt>
    <dgm:pt modelId="{FB168372-5FC4-4308-8198-4D9FE4662B89}" type="pres">
      <dgm:prSet presAssocID="{D0E260E0-FFFC-44A6-B9A4-5AE5172809BA}" presName="level" presStyleLbl="node1" presStyleIdx="2" presStyleCnt="3">
        <dgm:presLayoutVars>
          <dgm:chMax val="1"/>
          <dgm:bulletEnabled val="1"/>
        </dgm:presLayoutVars>
      </dgm:prSet>
      <dgm:spPr/>
    </dgm:pt>
    <dgm:pt modelId="{9FB42F8D-6C75-46D9-A495-88C0EF87D37A}" type="pres">
      <dgm:prSet presAssocID="{D0E260E0-FFFC-44A6-B9A4-5AE5172809BA}" presName="levelTx" presStyleLbl="revTx" presStyleIdx="0" presStyleCnt="0">
        <dgm:presLayoutVars>
          <dgm:chMax val="1"/>
          <dgm:bulletEnabled val="1"/>
        </dgm:presLayoutVars>
      </dgm:prSet>
      <dgm:spPr/>
    </dgm:pt>
  </dgm:ptLst>
  <dgm:cxnLst>
    <dgm:cxn modelId="{ED0D720F-EA30-418E-A008-249DD946A477}" type="presOf" srcId="{D0E260E0-FFFC-44A6-B9A4-5AE5172809BA}" destId="{9FB42F8D-6C75-46D9-A495-88C0EF87D37A}" srcOrd="1" destOrd="0" presId="urn:microsoft.com/office/officeart/2005/8/layout/pyramid1"/>
    <dgm:cxn modelId="{A9D9471C-4089-477D-9FEC-6DADABB286FB}" type="presOf" srcId="{4F62CB41-5329-4FF0-A5B7-97472D350C6E}" destId="{D3907798-6A8E-45AA-A471-23C13F9F8A5C}" srcOrd="1" destOrd="0" presId="urn:microsoft.com/office/officeart/2005/8/layout/pyramid1"/>
    <dgm:cxn modelId="{1ED1CA25-D1AD-468A-B17A-F827188D0E08}" type="presOf" srcId="{4EB158F0-6DC0-4365-B572-AABEC809673D}" destId="{3394119F-D7B3-4084-95F6-6793DC6B9989}" srcOrd="1" destOrd="0" presId="urn:microsoft.com/office/officeart/2005/8/layout/pyramid1"/>
    <dgm:cxn modelId="{6F81943A-CE19-4A6C-B9E1-BAC55FE819E6}" type="presOf" srcId="{D0E260E0-FFFC-44A6-B9A4-5AE5172809BA}" destId="{FB168372-5FC4-4308-8198-4D9FE4662B89}" srcOrd="0" destOrd="0" presId="urn:microsoft.com/office/officeart/2005/8/layout/pyramid1"/>
    <dgm:cxn modelId="{34027A5E-A248-468D-A32C-91D76582B176}" type="presOf" srcId="{4F62CB41-5329-4FF0-A5B7-97472D350C6E}" destId="{8B918456-FD79-4BB5-8C9B-E7DC035D1349}" srcOrd="0" destOrd="0" presId="urn:microsoft.com/office/officeart/2005/8/layout/pyramid1"/>
    <dgm:cxn modelId="{F2AF2D9D-D1F5-47E2-BE57-2FFC2F049AE7}" type="presOf" srcId="{33DAE731-7167-42AE-8F52-0F966D91E6A2}" destId="{7EBEDBBB-3928-4B98-A98E-060B3408B537}" srcOrd="0" destOrd="0" presId="urn:microsoft.com/office/officeart/2005/8/layout/pyramid1"/>
    <dgm:cxn modelId="{606548A7-8A2B-44B3-BB54-932AD959B769}" type="presOf" srcId="{4EB158F0-6DC0-4365-B572-AABEC809673D}" destId="{1221B8D3-BF76-4654-A056-737FC54FFCAE}" srcOrd="0" destOrd="0" presId="urn:microsoft.com/office/officeart/2005/8/layout/pyramid1"/>
    <dgm:cxn modelId="{629167E9-6E43-4F20-844F-08B2DBEB620A}" srcId="{33DAE731-7167-42AE-8F52-0F966D91E6A2}" destId="{D0E260E0-FFFC-44A6-B9A4-5AE5172809BA}" srcOrd="2" destOrd="0" parTransId="{6556DC04-72D8-40AF-BBBC-23ABBB387F40}" sibTransId="{01ED4F5A-1F54-42E1-B629-06BC0271B4F7}"/>
    <dgm:cxn modelId="{C2C8F9EC-8729-41C5-98B4-AF6F104400D5}" srcId="{33DAE731-7167-42AE-8F52-0F966D91E6A2}" destId="{4EB158F0-6DC0-4365-B572-AABEC809673D}" srcOrd="1" destOrd="0" parTransId="{74C43835-EC6B-4B7A-9372-76EC27440718}" sibTransId="{08F34301-C435-484C-89F6-37711AEFF04F}"/>
    <dgm:cxn modelId="{9147FCFB-0940-4C00-8B15-8C047C4BD27A}" srcId="{33DAE731-7167-42AE-8F52-0F966D91E6A2}" destId="{4F62CB41-5329-4FF0-A5B7-97472D350C6E}" srcOrd="0" destOrd="0" parTransId="{60C05FA8-1FBF-4FB8-9BB6-B3889D362F65}" sibTransId="{B83F497A-ABD9-4972-975C-E057FA5EA2AC}"/>
    <dgm:cxn modelId="{40E9E652-D9E5-44E0-A229-B2D2F516577D}" type="presParOf" srcId="{7EBEDBBB-3928-4B98-A98E-060B3408B537}" destId="{B84AB996-DA58-45DA-802A-6FECD990591F}" srcOrd="0" destOrd="0" presId="urn:microsoft.com/office/officeart/2005/8/layout/pyramid1"/>
    <dgm:cxn modelId="{E89FB2E8-3EAB-4EED-A55C-BC994917F123}" type="presParOf" srcId="{B84AB996-DA58-45DA-802A-6FECD990591F}" destId="{8B918456-FD79-4BB5-8C9B-E7DC035D1349}" srcOrd="0" destOrd="0" presId="urn:microsoft.com/office/officeart/2005/8/layout/pyramid1"/>
    <dgm:cxn modelId="{F2DEA44F-1994-4E1E-8982-077AE2E64A40}" type="presParOf" srcId="{B84AB996-DA58-45DA-802A-6FECD990591F}" destId="{D3907798-6A8E-45AA-A471-23C13F9F8A5C}" srcOrd="1" destOrd="0" presId="urn:microsoft.com/office/officeart/2005/8/layout/pyramid1"/>
    <dgm:cxn modelId="{B9E9A390-1557-40FF-A3CE-6F94C8040817}" type="presParOf" srcId="{7EBEDBBB-3928-4B98-A98E-060B3408B537}" destId="{5A04B2AD-11E1-4F64-8E75-376373C82326}" srcOrd="1" destOrd="0" presId="urn:microsoft.com/office/officeart/2005/8/layout/pyramid1"/>
    <dgm:cxn modelId="{8C4FCDDC-F2D9-4587-8930-B758A990CD53}" type="presParOf" srcId="{5A04B2AD-11E1-4F64-8E75-376373C82326}" destId="{1221B8D3-BF76-4654-A056-737FC54FFCAE}" srcOrd="0" destOrd="0" presId="urn:microsoft.com/office/officeart/2005/8/layout/pyramid1"/>
    <dgm:cxn modelId="{17A85297-47A2-4B3C-987D-D1922D5AADA7}" type="presParOf" srcId="{5A04B2AD-11E1-4F64-8E75-376373C82326}" destId="{3394119F-D7B3-4084-95F6-6793DC6B9989}" srcOrd="1" destOrd="0" presId="urn:microsoft.com/office/officeart/2005/8/layout/pyramid1"/>
    <dgm:cxn modelId="{29CDC3FB-68EC-4C29-839D-BCA99E4AC9B5}" type="presParOf" srcId="{7EBEDBBB-3928-4B98-A98E-060B3408B537}" destId="{9394A6B6-2718-4C23-B894-8E1F4FD03382}" srcOrd="2" destOrd="0" presId="urn:microsoft.com/office/officeart/2005/8/layout/pyramid1"/>
    <dgm:cxn modelId="{07CFD4D6-5963-4BAD-95BC-DBE23DBB2F94}" type="presParOf" srcId="{9394A6B6-2718-4C23-B894-8E1F4FD03382}" destId="{FB168372-5FC4-4308-8198-4D9FE4662B89}" srcOrd="0" destOrd="0" presId="urn:microsoft.com/office/officeart/2005/8/layout/pyramid1"/>
    <dgm:cxn modelId="{0882C06B-F749-44D2-9BBA-2B5B8E3111AB}" type="presParOf" srcId="{9394A6B6-2718-4C23-B894-8E1F4FD03382}" destId="{9FB42F8D-6C75-46D9-A495-88C0EF87D37A}" srcOrd="1" destOrd="0" presId="urn:microsoft.com/office/officeart/2005/8/layout/pyramid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9829BC-EC54-40A5-9959-6D582DF6EB55}">
      <dsp:nvSpPr>
        <dsp:cNvPr id="0" name=""/>
        <dsp:cNvSpPr/>
      </dsp:nvSpPr>
      <dsp:spPr>
        <a:xfrm>
          <a:off x="669" y="91231"/>
          <a:ext cx="1305966" cy="522386"/>
        </a:xfrm>
        <a:prstGeom prst="homePlate">
          <a:avLst/>
        </a:prstGeom>
        <a:gradFill rotWithShape="0">
          <a:gsLst>
            <a:gs pos="0">
              <a:schemeClr val="accent2">
                <a:alpha val="90000"/>
                <a:hueOff val="0"/>
                <a:satOff val="0"/>
                <a:lumOff val="0"/>
                <a:alphaOff val="0"/>
                <a:tint val="50000"/>
                <a:satMod val="300000"/>
              </a:schemeClr>
            </a:gs>
            <a:gs pos="35000">
              <a:schemeClr val="accent2">
                <a:alpha val="90000"/>
                <a:hueOff val="0"/>
                <a:satOff val="0"/>
                <a:lumOff val="0"/>
                <a:alphaOff val="0"/>
                <a:tint val="37000"/>
                <a:satMod val="300000"/>
              </a:schemeClr>
            </a:gs>
            <a:gs pos="100000">
              <a:schemeClr val="accent2">
                <a:alpha val="9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26670" rIns="13335" bIns="26670" numCol="1" spcCol="1270" anchor="ctr" anchorCtr="0">
          <a:noAutofit/>
        </a:bodyPr>
        <a:lstStyle/>
        <a:p>
          <a:pPr marL="0" lvl="0" indent="0" algn="ctr" defTabSz="444500">
            <a:lnSpc>
              <a:spcPct val="90000"/>
            </a:lnSpc>
            <a:spcBef>
              <a:spcPct val="0"/>
            </a:spcBef>
            <a:spcAft>
              <a:spcPct val="35000"/>
            </a:spcAft>
            <a:buNone/>
          </a:pPr>
          <a:r>
            <a:rPr lang="en-AU" sz="1000" kern="1200"/>
            <a:t>Key Role Identification</a:t>
          </a:r>
        </a:p>
      </dsp:txBody>
      <dsp:txXfrm>
        <a:off x="669" y="91231"/>
        <a:ext cx="1175370" cy="522386"/>
      </dsp:txXfrm>
    </dsp:sp>
    <dsp:sp modelId="{9AE836BE-08B7-4731-B4FA-FF36BF2AC675}">
      <dsp:nvSpPr>
        <dsp:cNvPr id="0" name=""/>
        <dsp:cNvSpPr/>
      </dsp:nvSpPr>
      <dsp:spPr>
        <a:xfrm>
          <a:off x="1045443" y="91231"/>
          <a:ext cx="1305966" cy="522386"/>
        </a:xfrm>
        <a:prstGeom prst="chevron">
          <a:avLst/>
        </a:prstGeom>
        <a:gradFill rotWithShape="0">
          <a:gsLst>
            <a:gs pos="0">
              <a:schemeClr val="accent2">
                <a:alpha val="90000"/>
                <a:hueOff val="0"/>
                <a:satOff val="0"/>
                <a:lumOff val="0"/>
                <a:alphaOff val="-10000"/>
                <a:tint val="50000"/>
                <a:satMod val="300000"/>
              </a:schemeClr>
            </a:gs>
            <a:gs pos="35000">
              <a:schemeClr val="accent2">
                <a:alpha val="90000"/>
                <a:hueOff val="0"/>
                <a:satOff val="0"/>
                <a:lumOff val="0"/>
                <a:alphaOff val="-10000"/>
                <a:tint val="37000"/>
                <a:satMod val="300000"/>
              </a:schemeClr>
            </a:gs>
            <a:gs pos="100000">
              <a:schemeClr val="accent2">
                <a:alpha val="90000"/>
                <a:hueOff val="0"/>
                <a:satOff val="0"/>
                <a:lumOff val="0"/>
                <a:alphaOff val="-1000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0005" tIns="26670" rIns="13335" bIns="26670" numCol="1" spcCol="1270" anchor="ctr" anchorCtr="0">
          <a:noAutofit/>
        </a:bodyPr>
        <a:lstStyle/>
        <a:p>
          <a:pPr marL="0" lvl="0" indent="0" algn="ctr" defTabSz="444500">
            <a:lnSpc>
              <a:spcPct val="90000"/>
            </a:lnSpc>
            <a:spcBef>
              <a:spcPct val="0"/>
            </a:spcBef>
            <a:spcAft>
              <a:spcPct val="35000"/>
            </a:spcAft>
            <a:buNone/>
          </a:pPr>
          <a:r>
            <a:rPr lang="en-AU" sz="1000" kern="1200"/>
            <a:t>Talent Identification</a:t>
          </a:r>
        </a:p>
      </dsp:txBody>
      <dsp:txXfrm>
        <a:off x="1306636" y="91231"/>
        <a:ext cx="783580" cy="522386"/>
      </dsp:txXfrm>
    </dsp:sp>
    <dsp:sp modelId="{BB4E5C40-FBF5-4D5B-A003-C53F7AB700C1}">
      <dsp:nvSpPr>
        <dsp:cNvPr id="0" name=""/>
        <dsp:cNvSpPr/>
      </dsp:nvSpPr>
      <dsp:spPr>
        <a:xfrm>
          <a:off x="2090216" y="91231"/>
          <a:ext cx="1305966" cy="522386"/>
        </a:xfrm>
        <a:prstGeom prst="chevron">
          <a:avLst/>
        </a:prstGeom>
        <a:gradFill rotWithShape="0">
          <a:gsLst>
            <a:gs pos="0">
              <a:schemeClr val="accent2">
                <a:alpha val="90000"/>
                <a:hueOff val="0"/>
                <a:satOff val="0"/>
                <a:lumOff val="0"/>
                <a:alphaOff val="-20000"/>
                <a:tint val="50000"/>
                <a:satMod val="300000"/>
              </a:schemeClr>
            </a:gs>
            <a:gs pos="35000">
              <a:schemeClr val="accent2">
                <a:alpha val="90000"/>
                <a:hueOff val="0"/>
                <a:satOff val="0"/>
                <a:lumOff val="0"/>
                <a:alphaOff val="-20000"/>
                <a:tint val="37000"/>
                <a:satMod val="300000"/>
              </a:schemeClr>
            </a:gs>
            <a:gs pos="100000">
              <a:schemeClr val="accent2">
                <a:alpha val="90000"/>
                <a:hueOff val="0"/>
                <a:satOff val="0"/>
                <a:lumOff val="0"/>
                <a:alphaOff val="-2000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0005" tIns="26670" rIns="13335" bIns="26670" numCol="1" spcCol="1270" anchor="ctr" anchorCtr="0">
          <a:noAutofit/>
        </a:bodyPr>
        <a:lstStyle/>
        <a:p>
          <a:pPr marL="0" lvl="0" indent="0" algn="ctr" defTabSz="444500">
            <a:lnSpc>
              <a:spcPct val="90000"/>
            </a:lnSpc>
            <a:spcBef>
              <a:spcPct val="0"/>
            </a:spcBef>
            <a:spcAft>
              <a:spcPct val="35000"/>
            </a:spcAft>
            <a:buNone/>
          </a:pPr>
          <a:r>
            <a:rPr lang="en-AU" sz="1000" kern="1200"/>
            <a:t>Talent Calibration</a:t>
          </a:r>
        </a:p>
      </dsp:txBody>
      <dsp:txXfrm>
        <a:off x="2351409" y="91231"/>
        <a:ext cx="783580" cy="522386"/>
      </dsp:txXfrm>
    </dsp:sp>
    <dsp:sp modelId="{3C145902-3558-4ECD-83AD-2D39290D7446}">
      <dsp:nvSpPr>
        <dsp:cNvPr id="0" name=""/>
        <dsp:cNvSpPr/>
      </dsp:nvSpPr>
      <dsp:spPr>
        <a:xfrm>
          <a:off x="3134990" y="91231"/>
          <a:ext cx="1305966" cy="522386"/>
        </a:xfrm>
        <a:prstGeom prst="chevron">
          <a:avLst/>
        </a:prstGeom>
        <a:gradFill rotWithShape="0">
          <a:gsLst>
            <a:gs pos="0">
              <a:schemeClr val="accent2">
                <a:alpha val="90000"/>
                <a:hueOff val="0"/>
                <a:satOff val="0"/>
                <a:lumOff val="0"/>
                <a:alphaOff val="-30000"/>
                <a:tint val="50000"/>
                <a:satMod val="300000"/>
              </a:schemeClr>
            </a:gs>
            <a:gs pos="35000">
              <a:schemeClr val="accent2">
                <a:alpha val="90000"/>
                <a:hueOff val="0"/>
                <a:satOff val="0"/>
                <a:lumOff val="0"/>
                <a:alphaOff val="-30000"/>
                <a:tint val="37000"/>
                <a:satMod val="300000"/>
              </a:schemeClr>
            </a:gs>
            <a:gs pos="100000">
              <a:schemeClr val="accent2">
                <a:alpha val="90000"/>
                <a:hueOff val="0"/>
                <a:satOff val="0"/>
                <a:lumOff val="0"/>
                <a:alphaOff val="-3000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0005" tIns="26670" rIns="13335" bIns="26670" numCol="1" spcCol="1270" anchor="ctr" anchorCtr="0">
          <a:noAutofit/>
        </a:bodyPr>
        <a:lstStyle/>
        <a:p>
          <a:pPr marL="0" lvl="0" indent="0" algn="ctr" defTabSz="444500">
            <a:lnSpc>
              <a:spcPct val="90000"/>
            </a:lnSpc>
            <a:spcBef>
              <a:spcPct val="0"/>
            </a:spcBef>
            <a:spcAft>
              <a:spcPct val="35000"/>
            </a:spcAft>
            <a:buNone/>
          </a:pPr>
          <a:r>
            <a:rPr lang="en-AU" sz="1000" kern="1200"/>
            <a:t>Talent Review &amp; Succession Planning</a:t>
          </a:r>
        </a:p>
      </dsp:txBody>
      <dsp:txXfrm>
        <a:off x="3396183" y="91231"/>
        <a:ext cx="783580" cy="522386"/>
      </dsp:txXfrm>
    </dsp:sp>
    <dsp:sp modelId="{3422DE7B-88D4-49FF-848E-C4A9BEB1A1DA}">
      <dsp:nvSpPr>
        <dsp:cNvPr id="0" name=""/>
        <dsp:cNvSpPr/>
      </dsp:nvSpPr>
      <dsp:spPr>
        <a:xfrm>
          <a:off x="4179763" y="91231"/>
          <a:ext cx="1305966" cy="522386"/>
        </a:xfrm>
        <a:prstGeom prst="chevron">
          <a:avLst/>
        </a:prstGeom>
        <a:gradFill rotWithShape="0">
          <a:gsLst>
            <a:gs pos="0">
              <a:schemeClr val="accent2">
                <a:alpha val="90000"/>
                <a:hueOff val="0"/>
                <a:satOff val="0"/>
                <a:lumOff val="0"/>
                <a:alphaOff val="-40000"/>
                <a:tint val="50000"/>
                <a:satMod val="300000"/>
              </a:schemeClr>
            </a:gs>
            <a:gs pos="35000">
              <a:schemeClr val="accent2">
                <a:alpha val="90000"/>
                <a:hueOff val="0"/>
                <a:satOff val="0"/>
                <a:lumOff val="0"/>
                <a:alphaOff val="-40000"/>
                <a:tint val="37000"/>
                <a:satMod val="300000"/>
              </a:schemeClr>
            </a:gs>
            <a:gs pos="100000">
              <a:schemeClr val="accent2">
                <a:alpha val="90000"/>
                <a:hueOff val="0"/>
                <a:satOff val="0"/>
                <a:lumOff val="0"/>
                <a:alphaOff val="-4000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0005" tIns="26670" rIns="13335" bIns="26670" numCol="1" spcCol="1270" anchor="ctr" anchorCtr="0">
          <a:noAutofit/>
        </a:bodyPr>
        <a:lstStyle/>
        <a:p>
          <a:pPr marL="0" lvl="0" indent="0" algn="ctr" defTabSz="444500">
            <a:lnSpc>
              <a:spcPct val="90000"/>
            </a:lnSpc>
            <a:spcBef>
              <a:spcPct val="0"/>
            </a:spcBef>
            <a:spcAft>
              <a:spcPct val="35000"/>
            </a:spcAft>
            <a:buNone/>
          </a:pPr>
          <a:r>
            <a:rPr lang="en-AU" sz="1000" kern="1200"/>
            <a:t>Career Development</a:t>
          </a:r>
        </a:p>
      </dsp:txBody>
      <dsp:txXfrm>
        <a:off x="4440956" y="91231"/>
        <a:ext cx="783580" cy="52238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918456-FD79-4BB5-8C9B-E7DC035D1349}">
      <dsp:nvSpPr>
        <dsp:cNvPr id="0" name=""/>
        <dsp:cNvSpPr/>
      </dsp:nvSpPr>
      <dsp:spPr>
        <a:xfrm>
          <a:off x="1490702" y="0"/>
          <a:ext cx="1490702" cy="647911"/>
        </a:xfrm>
        <a:prstGeom prst="trapezoid">
          <a:avLst>
            <a:gd name="adj" fmla="val 115039"/>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HK" sz="1300" kern="1200"/>
            <a:t>10%</a:t>
          </a:r>
        </a:p>
        <a:p>
          <a:pPr marL="0" lvl="0" indent="0" algn="ctr" defTabSz="577850">
            <a:lnSpc>
              <a:spcPct val="90000"/>
            </a:lnSpc>
            <a:spcBef>
              <a:spcPct val="0"/>
            </a:spcBef>
            <a:spcAft>
              <a:spcPct val="35000"/>
            </a:spcAft>
            <a:buNone/>
          </a:pPr>
          <a:r>
            <a:rPr lang="en-HK" sz="1200" kern="1200"/>
            <a:t>Formal Programmes </a:t>
          </a:r>
        </a:p>
      </dsp:txBody>
      <dsp:txXfrm>
        <a:off x="1490702" y="0"/>
        <a:ext cx="1490702" cy="647911"/>
      </dsp:txXfrm>
    </dsp:sp>
    <dsp:sp modelId="{1221B8D3-BF76-4654-A056-737FC54FFCAE}">
      <dsp:nvSpPr>
        <dsp:cNvPr id="0" name=""/>
        <dsp:cNvSpPr/>
      </dsp:nvSpPr>
      <dsp:spPr>
        <a:xfrm>
          <a:off x="745351" y="647911"/>
          <a:ext cx="2981405" cy="647911"/>
        </a:xfrm>
        <a:prstGeom prst="trapezoid">
          <a:avLst>
            <a:gd name="adj" fmla="val 115039"/>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HK" sz="1600" kern="1200"/>
            <a:t>20%</a:t>
          </a:r>
        </a:p>
        <a:p>
          <a:pPr marL="0" lvl="0" indent="0" algn="ctr" defTabSz="711200">
            <a:lnSpc>
              <a:spcPct val="90000"/>
            </a:lnSpc>
            <a:spcBef>
              <a:spcPct val="0"/>
            </a:spcBef>
            <a:spcAft>
              <a:spcPct val="35000"/>
            </a:spcAft>
            <a:buNone/>
          </a:pPr>
          <a:r>
            <a:rPr lang="en-HK" sz="1600" kern="1200"/>
            <a:t>Coaching</a:t>
          </a:r>
        </a:p>
      </dsp:txBody>
      <dsp:txXfrm>
        <a:off x="1267097" y="647911"/>
        <a:ext cx="1937913" cy="647911"/>
      </dsp:txXfrm>
    </dsp:sp>
    <dsp:sp modelId="{FB168372-5FC4-4308-8198-4D9FE4662B89}">
      <dsp:nvSpPr>
        <dsp:cNvPr id="0" name=""/>
        <dsp:cNvSpPr/>
      </dsp:nvSpPr>
      <dsp:spPr>
        <a:xfrm>
          <a:off x="0" y="1295823"/>
          <a:ext cx="4472108" cy="647911"/>
        </a:xfrm>
        <a:prstGeom prst="trapezoid">
          <a:avLst>
            <a:gd name="adj" fmla="val 115039"/>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HK" sz="1800" kern="1200"/>
            <a:t>70%</a:t>
          </a:r>
        </a:p>
        <a:p>
          <a:pPr marL="0" lvl="0" indent="0" algn="ctr" defTabSz="800100">
            <a:lnSpc>
              <a:spcPct val="90000"/>
            </a:lnSpc>
            <a:spcBef>
              <a:spcPct val="0"/>
            </a:spcBef>
            <a:spcAft>
              <a:spcPct val="35000"/>
            </a:spcAft>
            <a:buNone/>
          </a:pPr>
          <a:r>
            <a:rPr lang="en-HK" sz="1800" kern="1200"/>
            <a:t>On the Job</a:t>
          </a:r>
        </a:p>
      </dsp:txBody>
      <dsp:txXfrm>
        <a:off x="782618" y="1295823"/>
        <a:ext cx="2906870" cy="647911"/>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Pet03</b:Tag>
    <b:SourceType>Book</b:SourceType>
    <b:Guid>{948BD893-58C7-4239-A41B-39FDE0B7E4A3}</b:Guid>
    <b:Author>
      <b:Author>
        <b:NameList>
          <b:Person>
            <b:Last>Boxall</b:Last>
            <b:First>Peter</b:First>
          </b:Person>
          <b:Person>
            <b:Last>Purcell</b:Last>
            <b:First>John</b:First>
          </b:Person>
        </b:NameList>
      </b:Author>
    </b:Author>
    <b:Title>Strategy and Human Resource Management. </b:Title>
    <b:Year>2003</b:Year>
    <b:Publisher>Palgrave Macmillan</b:Publisher>
    <b:City>New York</b:City>
    <b:RefOrder>12</b:RefOrder>
  </b:Source>
  <b:Source>
    <b:Tag>Joh96</b:Tag>
    <b:SourceType>JournalArticle</b:SourceType>
    <b:Guid>{EDD2CCA6-9364-48A4-8439-E7E9CA659703}</b:Guid>
    <b:Author>
      <b:Author>
        <b:NameList>
          <b:Person>
            <b:Last>Delery</b:Last>
            <b:First>John</b:First>
            <b:Middle>E.</b:Middle>
          </b:Person>
          <b:Person>
            <b:Last>Doty</b:Last>
            <b:First>D.</b:First>
            <b:Middle>Harold</b:Middle>
          </b:Person>
        </b:NameList>
      </b:Author>
    </b:Author>
    <b:Title>Modes of Theorizing in Strategic Human Resource Management: Tests of Universalistic, Contingency, and Configurational Performance Predictions</b:Title>
    <b:Year>1996</b:Year>
    <b:JournalName>The Academy of Management Journal, Vol. 39, No. 4 </b:JournalName>
    <b:Pages>pp. 802-835</b:Pages>
    <b:RefOrder>13</b:RefOrder>
  </b:Source>
  <b:Source>
    <b:Tag>GRI07</b:Tag>
    <b:SourceType>JournalArticle</b:SourceType>
    <b:Guid>{F2451690-753C-4D67-86ED-5E07465F46A6}</b:Guid>
    <b:Author>
      <b:Author>
        <b:NameList>
          <b:Person>
            <b:Last>Griffin</b:Last>
            <b:First>Mark</b:First>
            <b:Middle>A.</b:Middle>
          </b:Person>
          <b:Person>
            <b:Last>Neal</b:Last>
            <b:First>Andrew</b:First>
          </b:Person>
          <b:Person>
            <b:Last>Parker</b:Last>
            <b:First>Sharon</b:First>
            <b:Middle>K.</b:Middle>
          </b:Person>
        </b:NameList>
      </b:Author>
    </b:Author>
    <b:Title>A new model of work role performance: Positive behavior in uncertain and interdependent contexts</b:Title>
    <b:JournalName>Academy of Management Journal  Vol. 50, No. 2</b:JournalName>
    <b:Year>2007</b:Year>
    <b:Pages>pp. 327–347</b:Pages>
    <b:RefOrder>32</b:RefOrder>
  </b:Source>
  <b:Source>
    <b:Tag>Edw99</b:Tag>
    <b:SourceType>JournalArticle</b:SourceType>
    <b:Guid>{F184960E-26F0-4D8C-B06A-A5850B0842D3}</b:Guid>
    <b:Author>
      <b:Author>
        <b:NameList>
          <b:Person>
            <b:Last>Edwards</b:Last>
            <b:First>J.</b:First>
            <b:Middle>R.</b:Middle>
          </b:Person>
          <b:Person>
            <b:Last>Scully</b:Last>
            <b:First>J.</b:First>
            <b:Middle>A.</b:Middle>
          </b:Person>
          <b:Person>
            <b:Last>Brtek</b:Last>
            <b:First>M.</b:First>
            <b:Middle>D.</b:Middle>
          </b:Person>
        </b:NameList>
      </b:Author>
    </b:Author>
    <b:Title>The measurement of work: Hierachical representation of the Multimethod Job Design Questionnaire</b:Title>
    <b:Year>1999</b:Year>
    <b:JournalName>Personnel Psychology</b:JournalName>
    <b:Pages>pp 305-334</b:Pages>
    <b:RefOrder>14</b:RefOrder>
  </b:Source>
  <b:Source>
    <b:Tag>Loc97</b:Tag>
    <b:SourceType>JournalArticle</b:SourceType>
    <b:Guid>{A3996FAC-51E0-42E5-992C-E0032BA268AB}</b:Guid>
    <b:Author>
      <b:Author>
        <b:NameList>
          <b:Person>
            <b:Last>Locke</b:Last>
            <b:First>E.</b:First>
            <b:Middle>A.</b:Middle>
          </b:Person>
          <b:Person>
            <b:Last>Alavi</b:Last>
            <b:First>M.</b:First>
          </b:Person>
          <b:Person>
            <b:Last>Wagner</b:Last>
            <b:First>J.</b:First>
            <b:Middle>A. III.</b:Middle>
          </b:Person>
        </b:NameList>
      </b:Author>
    </b:Author>
    <b:Title>Participation in decision making: An information exchange perspective</b:Title>
    <b:JournalName>Ferris, Gerald R. (Ed), Research in personnel and human resources management,  Vol. 15</b:JournalName>
    <b:Year>1997</b:Year>
    <b:Pages>pp. 293-331</b:Pages>
    <b:RefOrder>15</b:RefOrder>
  </b:Source>
  <b:Source>
    <b:Tag>Scu95</b:Tag>
    <b:SourceType>JournalArticle</b:SourceType>
    <b:Guid>{CAF0B242-7CB5-481A-878D-689FBAAD517E}</b:Guid>
    <b:Author>
      <b:Author>
        <b:NameList>
          <b:Person>
            <b:Last>Scully</b:Last>
            <b:First>J.</b:First>
            <b:Middle>A.</b:Middle>
          </b:Person>
          <b:Person>
            <b:Last>Kirkpatrick</b:Last>
            <b:First>S.</b:First>
            <b:Middle>A.</b:Middle>
          </b:Person>
          <b:Person>
            <b:Last>Locke</b:Last>
            <b:First>E.</b:First>
            <b:Middle>A.</b:Middle>
          </b:Person>
        </b:NameList>
      </b:Author>
    </b:Author>
    <b:Title>Locus of knowledge as a determinant of the effects of participation on performance, affect, and perceptions</b:Title>
    <b:JournalName>Organizational Behavior &amp; Human Decision Processes, Vol 61</b:JournalName>
    <b:Year>1995</b:Year>
    <b:Pages>pp. 276-288</b:Pages>
    <b:RefOrder>16</b:RefOrder>
  </b:Source>
  <b:Source>
    <b:Tag>Rob99</b:Tag>
    <b:SourceType>JournalArticle</b:SourceType>
    <b:Guid>{F0A6AE28-E82A-4326-B129-AE79B277E7DA}</b:Guid>
    <b:Author>
      <b:Author>
        <b:NameList>
          <b:Person>
            <b:Last>Roberson</b:Last>
            <b:First>Q.</b:First>
            <b:Middle>M.</b:Middle>
          </b:Person>
          <b:Person>
            <b:Last>Moye</b:Last>
            <b:First>N.</b:First>
            <b:Middle>A.</b:Middle>
          </b:Person>
          <b:Person>
            <b:Last>Locke</b:Last>
            <b:First>E.</b:First>
            <b:Middle>A.</b:Middle>
          </b:Person>
        </b:NameList>
      </b:Author>
    </b:Author>
    <b:Title>Identifying a missing link between participation and satisfaction: The mediating role of procedural justice perceptions.</b:Title>
    <b:JournalName>Journal of Applied Psychology, vol. 84</b:JournalName>
    <b:Year>1999</b:Year>
    <b:Pages>pp. 585-593</b:Pages>
    <b:RefOrder>17</b:RefOrder>
  </b:Source>
  <b:Source>
    <b:Tag>Wan00</b:Tag>
    <b:SourceType>JournalArticle</b:SourceType>
    <b:Guid>{30FA30F4-2933-4B78-81EA-34576F7C42E8}</b:Guid>
    <b:Author>
      <b:Author>
        <b:NameList>
          <b:Person>
            <b:Last>Wanberg</b:Last>
            <b:First>C.</b:First>
            <b:Middle>R.</b:Middle>
          </b:Person>
          <b:Person>
            <b:Last>Banas</b:Last>
            <b:First>J.</b:First>
            <b:Middle>T.</b:Middle>
          </b:Person>
        </b:NameList>
      </b:Author>
    </b:Author>
    <b:Title>Predictors and outcomes of openness to changes in a reorganizing workplace</b:Title>
    <b:JournalName>Journal of Applied Psychology, vol.85</b:JournalName>
    <b:Year>2000</b:Year>
    <b:Pages>pp.132-142</b:Pages>
    <b:RefOrder>18</b:RefOrder>
  </b:Source>
  <b:Source>
    <b:Tag>Lyn03</b:Tag>
    <b:SourceType>JournalArticle</b:SourceType>
    <b:Guid>{D3350689-2825-4E0A-BAB0-BF98D6EBCA6C}</b:Guid>
    <b:Author>
      <b:Author>
        <b:NameList>
          <b:Person>
            <b:Last>Gratton</b:Last>
            <b:First>Lynda</b:First>
          </b:Person>
          <b:Person>
            <b:Last>Truss</b:Last>
            <b:First>Catherine</b:First>
          </b:Person>
        </b:NameList>
      </b:Author>
    </b:Author>
    <b:Title>The three-dimensional people strategy: Putting human resources policies into action </b:Title>
    <b:JournalName>Academy of Management Executive, Vol. 17, No. 3</b:JournalName>
    <b:Year>2003</b:Year>
    <b:Pages>pp. 74-86</b:Pages>
    <b:RefOrder>8</b:RefOrder>
  </b:Source>
  <b:Source>
    <b:Tag>Jam09</b:Tag>
    <b:SourceType>JournalArticle</b:SourceType>
    <b:Guid>{2EFB4C78-6F8B-4A99-A848-4DA2293CFDF4}</b:Guid>
    <b:Author>
      <b:Author>
        <b:NameList>
          <b:Person>
            <b:Last>Faulconbridge</b:Last>
            <b:First>James</b:First>
            <b:Middle>R.</b:Middle>
          </b:Person>
          <b:Person>
            <b:Last>Beaverstock</b:Last>
            <b:First>Jonathan</b:First>
            <b:Middle>V.</b:Middle>
          </b:Person>
          <b:Person>
            <b:Last>Hall</b:Last>
            <b:First>Sarah</b:First>
          </b:Person>
          <b:Person>
            <b:Last>Hewitson</b:Last>
            <b:First>Andrew</b:First>
          </b:Person>
        </b:NameList>
      </b:Author>
    </b:Author>
    <b:Title>The ‘war for talent’: The gatekeeper role of executive search firms in elite labour markets </b:Title>
    <b:JournalName>Geoforum Volume 40, Issue 5</b:JournalName>
    <b:Year>2009</b:Year>
    <b:Pages>pp. 800–808 </b:Pages>
    <b:RefOrder>7</b:RefOrder>
  </b:Source>
  <b:Source>
    <b:Tag>EdM01</b:Tag>
    <b:SourceType>Book</b:SourceType>
    <b:Guid>{DB7452CB-435C-4B14-84B6-E91CD9DC0FAB}</b:Guid>
    <b:Author>
      <b:Author>
        <b:NameList>
          <b:Person>
            <b:Last>Michaels</b:Last>
            <b:First>Ed</b:First>
          </b:Person>
          <b:Person>
            <b:Last>Handfield-Jones</b:Last>
            <b:First>Helen</b:First>
          </b:Person>
          <b:Person>
            <b:Last>Axelrod</b:Last>
            <b:First>Beth</b:First>
          </b:Person>
        </b:NameList>
      </b:Author>
    </b:Author>
    <b:Title>The war for talent</b:Title>
    <b:Year>2001</b:Year>
    <b:City>Boston</b:City>
    <b:Publisher>Harvard Business Press</b:Publisher>
    <b:RefOrder>6</b:RefOrder>
  </b:Source>
  <b:Source>
    <b:Tag>Ray78</b:Tag>
    <b:SourceType>JournalArticle</b:SourceType>
    <b:Guid>{B4AF7D3E-1284-413C-B9E1-7B0896DEE0DE}</b:Guid>
    <b:Author>
      <b:Author>
        <b:NameList>
          <b:Person>
            <b:Last>Miles</b:Last>
            <b:First>Raymond</b:First>
            <b:Middle>E.</b:Middle>
          </b:Person>
          <b:Person>
            <b:Last>Snow</b:Last>
            <b:First>Charles</b:First>
            <b:Middle>C.</b:Middle>
          </b:Person>
          <b:Person>
            <b:Last>Meyer</b:Last>
            <b:First>Alan</b:First>
            <b:Middle>D.</b:Middle>
          </b:Person>
          <b:Person>
            <b:Last>Coleman</b:Last>
            <b:First>Henry</b:First>
            <b:Middle>J.</b:Middle>
          </b:Person>
        </b:NameList>
      </b:Author>
    </b:Author>
    <b:Title>Organizational Strategy, Structure, and Process</b:Title>
    <b:Year>1978</b:Year>
    <b:JournalName>The Academy of Management Review Vol. 3, No. 3</b:JournalName>
    <b:Pages>pp. 546-562</b:Pages>
    <b:RefOrder>9</b:RefOrder>
  </b:Source>
  <b:Source>
    <b:Tag>Sta07</b:Tag>
    <b:SourceType>JournalArticle</b:SourceType>
    <b:Guid>{FEA76062-9E7E-4DE7-B8DB-8ED74DB3A393}</b:Guid>
    <b:Author>
      <b:Author>
        <b:NameList>
          <b:Person>
            <b:Last>Kaplan</b:Last>
            <b:First>Stacey</b:First>
          </b:Person>
        </b:NameList>
      </b:Author>
    </b:Author>
    <b:Title>Business Strategy, People Strategy and Total Rewards</b:Title>
    <b:JournalName>Benefits &amp; Compensation Digest vol 44, No 9</b:JournalName>
    <b:Year>2007</b:Year>
    <b:Pages>pp. 13-19</b:Pages>
    <b:RefOrder>11</b:RefOrder>
  </b:Source>
  <b:Source>
    <b:Tag>Jud00</b:Tag>
    <b:SourceType>JournalArticle</b:SourceType>
    <b:Guid>{D9571CDC-0F81-492C-8DBC-D8A32FF336CD}</b:Guid>
    <b:Author>
      <b:Author>
        <b:NameList>
          <b:Person>
            <b:Last>Judge</b:Last>
            <b:First>T.</b:First>
            <b:Middle>A.,</b:Middle>
          </b:Person>
          <b:Person>
            <b:Last>Bono</b:Last>
            <b:First>J.</b:First>
            <b:Middle>E.</b:Middle>
          </b:Person>
        </b:NameList>
      </b:Author>
    </b:Author>
    <b:Title>Five-factor model of personality and transformational leadership. </b:Title>
    <b:JournalName>Journal of Applied Psychology, vol 85</b:JournalName>
    <b:Year>2000</b:Year>
    <b:Pages>pp. 751-765</b:Pages>
    <b:RefOrder>21</b:RefOrder>
  </b:Source>
  <b:Source>
    <b:Tag>Gol90</b:Tag>
    <b:SourceType>JournalArticle</b:SourceType>
    <b:Guid>{3E656C98-BEDB-4EB9-82AE-A51E190F2412}</b:Guid>
    <b:Author>
      <b:Author>
        <b:NameList>
          <b:Person>
            <b:Last>Goldberg</b:Last>
            <b:First>L.</b:First>
            <b:Middle>R.</b:Middle>
          </b:Person>
        </b:NameList>
      </b:Author>
    </b:Author>
    <b:Title>An alternative “description of personality”: The Big-Five factor structure.</b:Title>
    <b:JournalName>Journal of Personality and Social Psychology, vol. 59</b:JournalName>
    <b:Year>1990</b:Year>
    <b:Pages>pp. 1216-1229</b:Pages>
    <b:RefOrder>19</b:RefOrder>
  </b:Source>
  <b:Source>
    <b:Tag>McM99</b:Tag>
    <b:SourceType>JournalArticle</b:SourceType>
    <b:Guid>{40ED6864-2C80-4AF7-89A6-52E3E571F1FE}</b:Guid>
    <b:Author>
      <b:Author>
        <b:NameList>
          <b:Person>
            <b:Last>McManus</b:Last>
            <b:First>M.</b:First>
            <b:Middle>A.</b:Middle>
          </b:Person>
          <b:Person>
            <b:Last>Kelly</b:Last>
            <b:First>M.</b:First>
            <b:Middle>L.</b:Middle>
          </b:Person>
        </b:NameList>
      </b:Author>
    </b:Author>
    <b:Title>Personality measures and biodata: Evidence regarding their incremental predictive value in the life insurance industry</b:Title>
    <b:JournalName>Personnel Psychology, vol 52</b:JournalName>
    <b:Year>1999</b:Year>
    <b:Pages>137-148</b:Pages>
    <b:RefOrder>20</b:RefOrder>
  </b:Source>
  <b:Source>
    <b:Tag>Bou01</b:Tag>
    <b:SourceType>JournalArticle</b:SourceType>
    <b:Guid>{67C18902-B33C-4B17-85BC-06BA90628C09}</b:Guid>
    <b:Author>
      <b:Author>
        <b:NameList>
          <b:Person>
            <b:Last>Boudreau</b:Last>
            <b:First>J.</b:First>
            <b:Middle>W.</b:Middle>
          </b:Person>
          <b:Person>
            <b:Last>Boswell</b:Last>
            <b:First>W.</b:First>
            <b:Middle>R.</b:Middle>
          </b:Person>
          <b:Person>
            <b:Last>Judge</b:Last>
            <b:First>T.</b:First>
            <b:Middle>A.</b:Middle>
          </b:Person>
        </b:NameList>
      </b:Author>
    </b:Author>
    <b:Title>Executive career success in the U.S. and Europe: Effects of personality</b:Title>
    <b:JournalName>Journal of Vocational Behavior, vol 58</b:JournalName>
    <b:Year>2001</b:Year>
    <b:Pages>pp. 53-81</b:Pages>
    <b:RefOrder>22</b:RefOrder>
  </b:Source>
  <b:Source>
    <b:Tag>Bar00</b:Tag>
    <b:SourceType>JournalArticle</b:SourceType>
    <b:Guid>{48D426D6-C262-470D-899D-B69245AB9E7F}</b:Guid>
    <b:Author>
      <b:Author>
        <b:NameList>
          <b:Person>
            <b:Last>Barrick</b:Last>
            <b:First>M.</b:First>
            <b:Middle>R.</b:Middle>
          </b:Person>
          <b:Person>
            <b:Last>Patton</b:Last>
            <b:First>G.</b:First>
            <b:Middle>K.</b:Middle>
          </b:Person>
          <b:Person>
            <b:Last>Haugland</b:Last>
            <b:First>S.</b:First>
            <b:Middle>N.</b:Middle>
          </b:Person>
        </b:NameList>
      </b:Author>
    </b:Author>
    <b:Title>Accuracy of interviewer judgements of job applicant personality traits. </b:Title>
    <b:JournalName>Personnel Psychology, vol 53</b:JournalName>
    <b:Year>2000</b:Year>
    <b:Pages>pp. 925-951</b:Pages>
    <b:RefOrder>23</b:RefOrder>
  </b:Source>
  <b:Source>
    <b:Tag>San00</b:Tag>
    <b:SourceType>JournalArticle</b:SourceType>
    <b:Guid>{51D60E5A-79B1-4919-9C0A-86C4EF790B66}</b:Guid>
    <b:Author>
      <b:Author>
        <b:NameList>
          <b:Person>
            <b:Last>Sanchez</b:Last>
            <b:First>R.</b:First>
            <b:Middle>J.</b:Middle>
          </b:Person>
          <b:Person>
            <b:Last>Truxillo</b:Last>
            <b:First>D.</b:First>
            <b:Middle>M.</b:Middle>
          </b:Person>
          <b:Person>
            <b:Last>Bauer</b:Last>
            <b:First>T.</b:First>
            <b:Middle>N.</b:Middle>
          </b:Person>
        </b:NameList>
      </b:Author>
    </b:Author>
    <b:Title>Development and examination of an expectancy-based measure of test-taking motivation</b:Title>
    <b:JournalName>Journal of Applied Psychology, vol 85</b:JournalName>
    <b:Year>2000</b:Year>
    <b:Pages>pp.739-750</b:Pages>
    <b:RefOrder>24</b:RefOrder>
  </b:Source>
  <b:Source>
    <b:Tag>Rya00</b:Tag>
    <b:SourceType>JournalArticle</b:SourceType>
    <b:Guid>{6CF974F5-7BAB-4761-8090-C305C83B00D9}</b:Guid>
    <b:Author>
      <b:Author>
        <b:NameList>
          <b:Person>
            <b:Last>Ryan</b:Last>
            <b:First>A.</b:First>
            <b:Middle>M.</b:Middle>
          </b:Person>
          <b:Person>
            <b:Last>Ployhart</b:Last>
            <b:First>R.</b:First>
            <b:Middle>E.</b:Middle>
          </b:Person>
        </b:NameList>
      </b:Author>
    </b:Author>
    <b:Title>Applicants' perceptions of selection procedures and decisions: A critical review and agenda for the future</b:Title>
    <b:JournalName>Journal of Management, vol 26</b:JournalName>
    <b:Year>2000</b:Year>
    <b:Pages>pp. 565-606</b:Pages>
    <b:RefOrder>25</b:RefOrder>
  </b:Source>
  <b:Source>
    <b:Tag>Liz08</b:Tag>
    <b:SourceType>JournalArticle</b:SourceType>
    <b:Guid>{FAD8A3F3-F568-4276-9093-3E4B06B0BF6B}</b:Guid>
    <b:Author>
      <b:Author>
        <b:NameList>
          <b:Person>
            <b:Last>Christiansen</b:Last>
            <b:First>Liza</b:First>
            <b:Middle>Castro</b:Middle>
          </b:Person>
          <b:Person>
            <b:Last>Higgs</b:Last>
            <b:First>Malcolm</b:First>
          </b:Person>
        </b:NameList>
      </b:Author>
    </b:Author>
    <b:Title>How the alignment of business strategy and HR strategy can impact performance</b:Title>
    <b:JournalName>Journal of General Management Vol.33 Iss.4</b:JournalName>
    <b:Year>2008</b:Year>
    <b:Pages>pp. 13-34</b:Pages>
    <b:RefOrder>10</b:RefOrder>
  </b:Source>
  <b:Source>
    <b:Tag>AlM12</b:Tag>
    <b:SourceType>JournalArticle</b:SourceType>
    <b:Guid>{B92913E3-032D-4636-B809-DB86F415D372}</b:Guid>
    <b:Author>
      <b:Author>
        <b:NameList>
          <b:Person>
            <b:Last>Al-Malkawi</b:Last>
            <b:First>H.</b:First>
            <b:Middle>A. N.</b:Middle>
          </b:Person>
          <b:Person>
            <b:Last>Marashdeh</b:Last>
            <b:First>H.</b:First>
            <b:Middle>A.</b:Middle>
          </b:Person>
          <b:Person>
            <b:Last>Abdullah</b:Last>
            <b:First>N.</b:First>
          </b:Person>
        </b:NameList>
      </b:Author>
    </b:Author>
    <b:Title>Financial development and economic growth in the UAE: Empirical assessment using ARDL approach to co-integration</b:Title>
    <b:JournalName>International Journal of Economics and Finance, 4(5)</b:JournalName>
    <b:Year>2012</b:Year>
    <b:Pages>pp 105</b:Pages>
    <b:RefOrder>4</b:RefOrder>
  </b:Source>
  <b:Source>
    <b:Tag>Awa05</b:Tag>
    <b:SourceType>JournalArticle</b:SourceType>
    <b:Guid>{5C7B75B7-AD7B-4233-81CA-DB6038B7A0CB}</b:Guid>
    <b:Author>
      <b:Author>
        <b:NameList>
          <b:Person>
            <b:Last>Awamleh</b:Last>
            <b:First>R.</b:First>
          </b:Person>
          <b:Person>
            <b:Last>Evans</b:Last>
            <b:First>J.</b:First>
          </b:Person>
          <b:Person>
            <b:Last>Mahate</b:Last>
            <b:First>A.</b:First>
          </b:Person>
        </b:NameList>
      </b:Author>
    </b:Author>
    <b:Title>A test of transformational and transactional leadership styles on employees' satisfaction and performance in the UAE banking sector. </b:Title>
    <b:JournalName>Journal of comparative international management, 8(1).</b:JournalName>
    <b:Year>2005</b:Year>
    <b:RefOrder>5</b:RefOrder>
  </b:Source>
  <b:Source>
    <b:Tag>AlS01</b:Tag>
    <b:SourceType>BookSection</b:SourceType>
    <b:Guid>{D6A0C6FC-8971-49AC-B985-00F0E2202EBF}</b:Guid>
    <b:Title>Evolution and Performance of the UAE Economy 1972– 1998.</b:Title>
    <b:Year>2001</b:Year>
    <b:Pages>pp 202-230</b:Pages>
    <b:Author>
      <b:Author>
        <b:NameList>
          <b:Person>
            <b:Last>Al-Sadik</b:Last>
          </b:Person>
          <b:Person>
            <b:Last>Tawfik</b:Last>
            <b:First>Ali</b:First>
          </b:Person>
        </b:NameList>
      </b:Author>
      <b:BookAuthor>
        <b:NameList>
          <b:Person>
            <b:Last>Al-Abed</b:Last>
            <b:First>Ibrahim</b:First>
          </b:Person>
          <b:Person>
            <b:Last>Hellyer</b:Last>
            <b:First>Peter</b:First>
          </b:Person>
        </b:NameList>
      </b:BookAuthor>
    </b:Author>
    <b:BookTitle>United Arab Emirates: A New Perspective</b:BookTitle>
    <b:City>London</b:City>
    <b:Publisher>Trident Publishing</b:Publisher>
    <b:RefOrder>1</b:RefOrder>
  </b:Source>
  <b:Source>
    <b:Tag>Shi01</b:Tag>
    <b:SourceType>BookSection</b:SourceType>
    <b:Guid>{D003D26A-0F80-4C32-AB92-CE1947ED92B3}</b:Guid>
    <b:Author>
      <b:Author>
        <b:NameList>
          <b:Person>
            <b:Last>Shihab</b:Last>
            <b:First>Mohamed</b:First>
          </b:Person>
        </b:NameList>
      </b:Author>
      <b:BookAuthor>
        <b:NameList>
          <b:Person>
            <b:Last>Al-Abed</b:Last>
            <b:First>Ibrahim</b:First>
          </b:Person>
          <b:Person>
            <b:Last>Hellyer</b:Last>
            <b:First>Peter</b:First>
          </b:Person>
        </b:NameList>
      </b:BookAuthor>
    </b:Author>
    <b:Title>Economic Development in the UAE.   </b:Title>
    <b:BookTitle>United Arab Emirates: A New Perspective</b:BookTitle>
    <b:Year>2001</b:Year>
    <b:Pages>pp. 249-259.</b:Pages>
    <b:City>London</b:City>
    <b:Publisher>Trident Publishing</b:Publisher>
    <b:RefOrder>2</b:RefOrder>
  </b:Source>
  <b:Source>
    <b:Tag>IMF98</b:Tag>
    <b:SourceType>Report</b:SourceType>
    <b:Guid>{1BDCFF87-A681-46D1-8288-D182C931EA02}</b:Guid>
    <b:Title>United Arab Emirates - Recent Economic Developments. Series: IMF Staff Country Report No. 98/134</b:Title>
    <b:Year>1998</b:Year>
    <b:Publisher>IMF</b:Publisher>
    <b:Author>
      <b:Author>
        <b:Corporate>IMF</b:Corporate>
      </b:Author>
    </b:Author>
    <b:RefOrder>3</b:RefOrder>
  </b:Source>
  <b:Source>
    <b:Tag>Dub18</b:Tag>
    <b:SourceType>InternetSite</b:SourceType>
    <b:Guid>{7CA6EAAD-918A-4618-80E2-C39314943755}</b:Guid>
    <b:Title>Salaries and wages in Dubai</b:Title>
    <b:Year>2018</b:Year>
    <b:Author>
      <b:Author>
        <b:Corporate>DubaiFAQ</b:Corporate>
      </b:Author>
    </b:Author>
    <b:InternetSiteTitle>DubaiFAQs UAE information guide</b:InternetSiteTitle>
    <b:Month>Feb</b:Month>
    <b:Day>2</b:Day>
    <b:URL>http://www.dubaifaqs.com/salaries-dubai.php</b:URL>
    <b:RefOrder>27</b:RefOrder>
  </b:Source>
  <b:Source>
    <b:Tag>Dul00</b:Tag>
    <b:SourceType>JournalArticle</b:SourceType>
    <b:Guid>{8A72CDAE-CA22-4DC9-9533-F2C4B58D3344}</b:Guid>
    <b:Title>SELECTION AMONG EMPLOYER‐SPONSORED PENSION PLANS: THE ROLE OF INDIVIDUAL DIFFERENCES. </b:Title>
    <b:Year>2000</b:Year>
    <b:Author>
      <b:Author>
        <b:NameList>
          <b:Person>
            <b:Last>Dulebohn</b:Last>
            <b:First>J.</b:First>
            <b:Middle>H.</b:Middle>
          </b:Person>
          <b:Person>
            <b:Last>Murray</b:Last>
            <b:First>B.</b:First>
          </b:Person>
          <b:Person>
            <b:Last>Sun</b:Last>
            <b:First>M.</b:First>
          </b:Person>
        </b:NameList>
      </b:Author>
    </b:Author>
    <b:JournalName>Personnel Psychology, 53(2)</b:JournalName>
    <b:Pages>pp. 405-432</b:Pages>
    <b:RefOrder>29</b:RefOrder>
  </b:Source>
  <b:Source>
    <b:Tag>Lam00</b:Tag>
    <b:SourceType>JournalArticle</b:SourceType>
    <b:Guid>{283EEA9D-31E3-4DB5-BD37-FD6838242F9F}</b:Guid>
    <b:Author>
      <b:Author>
        <b:NameList>
          <b:Person>
            <b:Last>Lambert</b:Last>
            <b:First>S.J.</b:First>
          </b:Person>
        </b:NameList>
      </b:Author>
    </b:Author>
    <b:Title>Added benefits: The link between work-life benefits and organizational citizenship behavior. </b:Title>
    <b:JournalName>Academy of management Journal, 43(5)</b:JournalName>
    <b:Year>2000</b:Year>
    <b:Pages>pp.801-815.</b:Pages>
    <b:RefOrder>30</b:RefOrder>
  </b:Source>
  <b:Source>
    <b:Tag>Woo99</b:Tag>
    <b:SourceType>JournalArticle</b:SourceType>
    <b:Guid>{7AD1B713-DF39-4557-90C1-D44D9B1BB5DC}</b:Guid>
    <b:Author>
      <b:Author>
        <b:NameList>
          <b:Person>
            <b:Last>Wood</b:Last>
            <b:First>R.E.</b:First>
          </b:Person>
          <b:Person>
            <b:Last>Atkins</b:Last>
            <b:First>P.W.</b:First>
          </b:Person>
          <b:Person>
            <b:Last>Bright</b:Last>
            <b:First>J.E</b:First>
          </b:Person>
        </b:NameList>
      </b:Author>
    </b:Author>
    <b:Title>Bonuses, goals, and instrumentality effects.</b:Title>
    <b:JournalName>Journal of Applied Psychology, 84(5)</b:JournalName>
    <b:Year>1999</b:Year>
    <b:Pages>p.703</b:Pages>
    <b:RefOrder>28</b:RefOrder>
  </b:Source>
  <b:Source>
    <b:Tag>Hig99</b:Tag>
    <b:SourceType>JournalArticle</b:SourceType>
    <b:Guid>{91E81231-EB68-4AE4-A330-2A2B5D8B5DA1}</b:Guid>
    <b:Author>
      <b:Author>
        <b:NameList>
          <b:Person>
            <b:Last>Highhouse</b:Last>
            <b:First>S.</b:First>
          </b:Person>
          <b:Person>
            <b:Last>Zickar</b:Last>
            <b:First>M.</b:First>
            <b:Middle>J.</b:Middle>
          </b:Person>
          <b:Person>
            <b:Last>Thorsteinson</b:Last>
            <b:First>T.</b:First>
            <b:Middle>J.</b:Middle>
          </b:Person>
          <b:Person>
            <b:Last>Stierwalt</b:Last>
            <b:First>S.</b:First>
            <b:Middle>L.</b:Middle>
          </b:Person>
          <b:Person>
            <b:Last>Slaughter</b:Last>
            <b:First>J.</b:First>
            <b:Middle>E.</b:Middle>
          </b:Person>
        </b:NameList>
      </b:Author>
    </b:Author>
    <b:Title>Assesing Company Employment Image: An Example in the Fast Food Industry. </b:Title>
    <b:JournalName>Personnel Psychology , 52</b:JournalName>
    <b:Year>1999</b:Year>
    <b:Pages>pp. 151-172</b:Pages>
    <b:RefOrder>26</b:RefOrder>
  </b:Source>
  <b:Source>
    <b:Tag>Lam99</b:Tag>
    <b:SourceType>JournalArticle</b:SourceType>
    <b:Guid>{613B135E-BBF0-4BEA-9370-D344CDDD6825}</b:Guid>
    <b:Author>
      <b:Author>
        <b:NameList>
          <b:Person>
            <b:Last>Lam</b:Last>
            <b:First>S.S.</b:First>
          </b:Person>
          <b:Person>
            <b:Last>Hui</b:Last>
            <b:First>C.</b:First>
          </b:Person>
          <b:Person>
            <b:Last>Law</b:Last>
            <b:First>K.S.</b:First>
          </b:Person>
        </b:NameList>
      </b:Author>
    </b:Author>
    <b:Title>Organizational citizenship behavior: Comparing perspectives of supervisors and subordinates across four international samples. </b:Title>
    <b:JournalName>Journal of Applied Psychology, 84(4)</b:JournalName>
    <b:Year>1999</b:Year>
    <b:Pages>p.594</b:Pages>
    <b:RefOrder>31</b:RefOrder>
  </b:Source>
  <b:Source>
    <b:Tag>Gur12</b:Tag>
    <b:SourceType>Book</b:SourceType>
    <b:Guid>{BDDF927D-A045-4147-9850-26406ED180D3}</b:Guid>
    <b:Title>India Unbound: The Social and Economic Revolution from Independence to the Global Information Age </b:Title>
    <b:Year>2012</b:Year>
    <b:Author>
      <b:Author>
        <b:NameList>
          <b:Person>
            <b:Last>Das</b:Last>
            <b:First>Gurcharan</b:First>
          </b:Person>
        </b:NameList>
      </b:Author>
    </b:Author>
    <b:City>India</b:City>
    <b:Publisher>Penguin Books</b:Publisher>
    <b:RefOrder>33</b:RefOrder>
  </b:Source>
</b:Sources>
</file>

<file path=customXml/itemProps1.xml><?xml version="1.0" encoding="utf-8"?>
<ds:datastoreItem xmlns:ds="http://schemas.openxmlformats.org/officeDocument/2006/customXml" ds:itemID="{E59B26A0-6A63-4D2F-A55B-81A870C88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21</Pages>
  <Words>6280</Words>
  <Characters>35798</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Managing in Complex Environments: Strategies, Insights and Solutions</vt:lpstr>
    </vt:vector>
  </TitlesOfParts>
  <Company/>
  <LinksUpToDate>false</LinksUpToDate>
  <CharactersWithSpaces>41995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in Complex Environments: Strategies, Insights and Solutions</dc:title>
  <dc:creator>Jacob</dc:creator>
  <cp:lastModifiedBy>Jacob Wai</cp:lastModifiedBy>
  <cp:revision>56</cp:revision>
  <dcterms:created xsi:type="dcterms:W3CDTF">2018-02-10T08:36:00Z</dcterms:created>
  <dcterms:modified xsi:type="dcterms:W3CDTF">2018-03-03T09:27:00Z</dcterms:modified>
</cp:coreProperties>
</file>