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0913715"/>
        <w:docPartObj>
          <w:docPartGallery w:val="Cover Pages"/>
          <w:docPartUnique/>
        </w:docPartObj>
      </w:sdtPr>
      <w:sdtEndPr>
        <w:rPr>
          <w:rFonts w:ascii="Arial" w:hAnsi="Arial" w:cs="Arial"/>
        </w:rPr>
      </w:sdtEndPr>
      <w:sdtContent>
        <w:p w14:paraId="1C730C24" w14:textId="00C28669" w:rsidR="00733695" w:rsidRDefault="00733695"/>
        <w:p w14:paraId="09815766" w14:textId="77777777" w:rsidR="002C1582" w:rsidRDefault="002C1582">
          <w:pPr>
            <w:rPr>
              <w:rFonts w:ascii="Arial" w:hAnsi="Arial" w:cs="Arial"/>
            </w:rPr>
          </w:pPr>
        </w:p>
        <w:p w14:paraId="77A197E7" w14:textId="77777777" w:rsidR="002C1582" w:rsidRDefault="002C1582">
          <w:pPr>
            <w:rPr>
              <w:rFonts w:ascii="Arial" w:hAnsi="Arial" w:cs="Arial"/>
            </w:rPr>
          </w:pPr>
        </w:p>
        <w:p w14:paraId="710CA1EB" w14:textId="77777777" w:rsidR="002C1582" w:rsidRDefault="002C1582">
          <w:pPr>
            <w:rPr>
              <w:rFonts w:ascii="Arial" w:hAnsi="Arial" w:cs="Arial"/>
            </w:rPr>
          </w:pPr>
        </w:p>
        <w:p w14:paraId="5764AAE9" w14:textId="77777777" w:rsidR="002C1582" w:rsidRDefault="002C1582">
          <w:pPr>
            <w:rPr>
              <w:rFonts w:ascii="Arial" w:hAnsi="Arial" w:cs="Arial"/>
            </w:rPr>
          </w:pPr>
        </w:p>
        <w:p w14:paraId="5AE314C6" w14:textId="77777777" w:rsidR="002C1582" w:rsidRDefault="002C1582">
          <w:pPr>
            <w:rPr>
              <w:rFonts w:ascii="Arial" w:hAnsi="Arial" w:cs="Arial"/>
            </w:rPr>
          </w:pPr>
        </w:p>
        <w:p w14:paraId="3A071E1B" w14:textId="77777777" w:rsidR="002C1582" w:rsidRDefault="002C1582">
          <w:pPr>
            <w:rPr>
              <w:rFonts w:ascii="Arial" w:hAnsi="Arial" w:cs="Arial"/>
            </w:rPr>
          </w:pPr>
        </w:p>
        <w:p w14:paraId="24C713B2" w14:textId="77777777" w:rsidR="002C1582" w:rsidRDefault="002C1582">
          <w:pPr>
            <w:rPr>
              <w:rFonts w:ascii="Arial" w:hAnsi="Arial" w:cs="Arial"/>
            </w:rPr>
          </w:pPr>
        </w:p>
        <w:p w14:paraId="585C5195" w14:textId="77777777" w:rsidR="002C1582" w:rsidRDefault="002C1582">
          <w:pPr>
            <w:rPr>
              <w:rFonts w:ascii="Arial" w:hAnsi="Arial" w:cs="Arial"/>
            </w:rPr>
          </w:pPr>
        </w:p>
        <w:p w14:paraId="2A28E8A7" w14:textId="77777777" w:rsidR="002C1582" w:rsidRDefault="002C1582">
          <w:pPr>
            <w:rPr>
              <w:rFonts w:ascii="Arial" w:hAnsi="Arial" w:cs="Arial"/>
            </w:rPr>
          </w:pPr>
        </w:p>
        <w:p w14:paraId="7A19B0B6" w14:textId="4BFD98FE" w:rsidR="00733695" w:rsidRDefault="00000000">
          <w:pPr>
            <w:rPr>
              <w:rFonts w:ascii="Arial" w:hAnsi="Arial" w:cs="Arial"/>
            </w:rPr>
          </w:pPr>
        </w:p>
      </w:sdtContent>
    </w:sdt>
    <w:p w14:paraId="75996BA6" w14:textId="0F468603" w:rsidR="007A7095" w:rsidRDefault="00122021" w:rsidP="002C1582">
      <w:pPr>
        <w:spacing w:line="360" w:lineRule="auto"/>
        <w:ind w:left="1560" w:firstLine="1560"/>
      </w:pPr>
      <w:r>
        <w:br/>
      </w:r>
      <w:r w:rsidR="005869E5">
        <w:rPr>
          <w:rFonts w:ascii="Arial" w:hAnsi="Arial" w:cs="Arial"/>
          <w:b/>
          <w:bCs/>
        </w:rPr>
        <w:t>LCM</w:t>
      </w:r>
      <w:r w:rsidR="0005082A">
        <w:rPr>
          <w:rFonts w:ascii="Arial" w:hAnsi="Arial" w:cs="Arial"/>
          <w:b/>
          <w:bCs/>
        </w:rPr>
        <w:t>B</w:t>
      </w:r>
      <w:r w:rsidR="005869E5">
        <w:rPr>
          <w:rFonts w:ascii="Arial" w:hAnsi="Arial" w:cs="Arial"/>
          <w:b/>
          <w:bCs/>
        </w:rPr>
        <w:t>7000 Human resource management</w:t>
      </w:r>
      <w:r>
        <w:tab/>
      </w:r>
    </w:p>
    <w:p w14:paraId="16C97AE8" w14:textId="63DE5E06" w:rsidR="005869E5" w:rsidRPr="005869E5" w:rsidRDefault="005869E5" w:rsidP="002C1582">
      <w:pPr>
        <w:spacing w:line="360" w:lineRule="auto"/>
        <w:ind w:firstLine="2410"/>
        <w:jc w:val="both"/>
        <w:rPr>
          <w:rFonts w:ascii="Arial" w:hAnsi="Arial" w:cs="Arial"/>
          <w:b/>
          <w:bCs/>
        </w:rPr>
      </w:pPr>
      <w:r>
        <w:rPr>
          <w:rFonts w:ascii="Arial" w:hAnsi="Arial" w:cs="Arial"/>
          <w:b/>
          <w:bCs/>
        </w:rPr>
        <w:t>Individual report- CW1</w:t>
      </w:r>
    </w:p>
    <w:p w14:paraId="393C7FD6" w14:textId="194FD64E" w:rsidR="005869E5" w:rsidRDefault="005869E5" w:rsidP="002C1582">
      <w:pPr>
        <w:spacing w:line="360" w:lineRule="auto"/>
        <w:ind w:firstLine="1560"/>
        <w:rPr>
          <w:rFonts w:ascii="Arial" w:hAnsi="Arial" w:cs="Arial"/>
        </w:rPr>
      </w:pPr>
      <w:r>
        <w:rPr>
          <w:rFonts w:ascii="Arial" w:hAnsi="Arial" w:cs="Arial"/>
        </w:rPr>
        <w:t>Student Name:</w:t>
      </w:r>
      <w:r w:rsidR="002C1582">
        <w:rPr>
          <w:rFonts w:ascii="Arial" w:hAnsi="Arial" w:cs="Arial"/>
        </w:rPr>
        <w:t xml:space="preserve"> Digvijaysinh Dolatsinh Solanki</w:t>
      </w:r>
    </w:p>
    <w:p w14:paraId="7EF59888" w14:textId="4E73C23E" w:rsidR="005869E5" w:rsidRDefault="005869E5" w:rsidP="002C1582">
      <w:pPr>
        <w:spacing w:line="360" w:lineRule="auto"/>
        <w:ind w:firstLine="1560"/>
        <w:rPr>
          <w:rFonts w:ascii="Arial" w:hAnsi="Arial" w:cs="Arial"/>
        </w:rPr>
      </w:pPr>
      <w:r>
        <w:rPr>
          <w:rFonts w:ascii="Arial" w:hAnsi="Arial" w:cs="Arial"/>
        </w:rPr>
        <w:t>Student ID:</w:t>
      </w:r>
      <w:r w:rsidR="002C1582">
        <w:rPr>
          <w:rFonts w:ascii="Arial" w:hAnsi="Arial" w:cs="Arial"/>
        </w:rPr>
        <w:t xml:space="preserve"> 2228928</w:t>
      </w:r>
    </w:p>
    <w:p w14:paraId="2EC52754" w14:textId="3D511C49" w:rsidR="005869E5" w:rsidRDefault="005869E5" w:rsidP="002C1582">
      <w:pPr>
        <w:spacing w:line="360" w:lineRule="auto"/>
        <w:ind w:firstLine="1560"/>
        <w:rPr>
          <w:rFonts w:ascii="Arial" w:hAnsi="Arial" w:cs="Arial"/>
        </w:rPr>
      </w:pPr>
      <w:r>
        <w:rPr>
          <w:rFonts w:ascii="Arial" w:hAnsi="Arial" w:cs="Arial"/>
        </w:rPr>
        <w:t>Subject:</w:t>
      </w:r>
      <w:r w:rsidR="002C1582">
        <w:rPr>
          <w:rFonts w:ascii="Arial" w:hAnsi="Arial" w:cs="Arial"/>
        </w:rPr>
        <w:t xml:space="preserve"> HRM (Human resources management)</w:t>
      </w:r>
    </w:p>
    <w:p w14:paraId="3177C2B4" w14:textId="0769EC3D" w:rsidR="005869E5" w:rsidRDefault="005869E5" w:rsidP="002C1582">
      <w:pPr>
        <w:spacing w:line="360" w:lineRule="auto"/>
        <w:ind w:firstLine="1560"/>
        <w:rPr>
          <w:rFonts w:ascii="Arial" w:hAnsi="Arial" w:cs="Arial"/>
        </w:rPr>
      </w:pPr>
      <w:r>
        <w:rPr>
          <w:rFonts w:ascii="Arial" w:hAnsi="Arial" w:cs="Arial"/>
        </w:rPr>
        <w:t>University Name:</w:t>
      </w:r>
      <w:r w:rsidR="002C1582">
        <w:rPr>
          <w:rFonts w:ascii="Arial" w:hAnsi="Arial" w:cs="Arial"/>
        </w:rPr>
        <w:t xml:space="preserve"> University of Wales Trinity David (Birmingham)</w:t>
      </w:r>
    </w:p>
    <w:p w14:paraId="520385F5" w14:textId="3FF69B3E" w:rsidR="002C1582" w:rsidRDefault="002C1582" w:rsidP="002C1582">
      <w:pPr>
        <w:spacing w:line="360" w:lineRule="auto"/>
        <w:ind w:firstLine="1560"/>
        <w:rPr>
          <w:rFonts w:ascii="Arial" w:hAnsi="Arial" w:cs="Arial"/>
        </w:rPr>
      </w:pPr>
      <w:r w:rsidRPr="002C1582">
        <w:rPr>
          <w:rFonts w:ascii="Arial" w:hAnsi="Arial" w:cs="Arial"/>
        </w:rPr>
        <w:t>Lecturer:</w:t>
      </w:r>
      <w:r>
        <w:rPr>
          <w:rFonts w:ascii="Arial" w:hAnsi="Arial" w:cs="Arial"/>
        </w:rPr>
        <w:t xml:space="preserve"> </w:t>
      </w:r>
      <w:r w:rsidRPr="002C1582">
        <w:rPr>
          <w:rFonts w:ascii="Arial" w:hAnsi="Arial" w:cs="Arial"/>
        </w:rPr>
        <w:t>Prof D G Pepple</w:t>
      </w:r>
    </w:p>
    <w:p w14:paraId="03309242" w14:textId="77777777" w:rsidR="005869E5" w:rsidRPr="005869E5" w:rsidRDefault="005869E5" w:rsidP="005869E5">
      <w:pPr>
        <w:spacing w:line="360" w:lineRule="auto"/>
        <w:rPr>
          <w:rFonts w:ascii="Arial" w:hAnsi="Arial" w:cs="Arial"/>
        </w:rPr>
      </w:pPr>
    </w:p>
    <w:p w14:paraId="3824BBB5" w14:textId="77777777" w:rsidR="00122021" w:rsidRDefault="00122021" w:rsidP="00CC0A49">
      <w:pPr>
        <w:spacing w:line="360" w:lineRule="auto"/>
        <w:jc w:val="both"/>
      </w:pPr>
    </w:p>
    <w:p w14:paraId="1F96201E" w14:textId="71336648" w:rsidR="00122021" w:rsidRDefault="00122021" w:rsidP="00CC0A49">
      <w:pPr>
        <w:spacing w:line="360" w:lineRule="auto"/>
        <w:jc w:val="both"/>
      </w:pPr>
      <w:r>
        <w:t xml:space="preserve"> </w:t>
      </w:r>
      <w:r w:rsidR="005869E5">
        <w:rPr>
          <w:noProof/>
        </w:rPr>
        <mc:AlternateContent>
          <mc:Choice Requires="wps">
            <w:drawing>
              <wp:inline distT="0" distB="0" distL="0" distR="0" wp14:anchorId="5BE7C8EC" wp14:editId="6613EDCF">
                <wp:extent cx="45719" cy="45719"/>
                <wp:effectExtent l="0" t="0" r="12065" b="12065"/>
                <wp:docPr id="8" name="Text Box 1" descr="Cover page layout"/>
                <wp:cNvGraphicFramePr/>
                <a:graphic xmlns:a="http://schemas.openxmlformats.org/drawingml/2006/main">
                  <a:graphicData uri="http://schemas.microsoft.com/office/word/2010/wordprocessingShape">
                    <wps:wsp>
                      <wps:cNvSpPr txBox="1"/>
                      <wps:spPr>
                        <a:xfrm>
                          <a:off x="0" y="0"/>
                          <a:ext cx="45719" cy="45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1ECA30" w14:textId="77777777" w:rsidR="005869E5" w:rsidRDefault="005869E5" w:rsidP="005869E5">
                            <w:pPr>
                              <w:jc w:val="center"/>
                            </w:pPr>
                            <w:r>
                              <w:tab/>
                            </w:r>
                          </w:p>
                          <w:p w14:paraId="2B3F5E11" w14:textId="77777777" w:rsidR="005869E5" w:rsidRPr="005869E5" w:rsidRDefault="005869E5" w:rsidP="005869E5">
                            <w:pPr>
                              <w:jc w:val="center"/>
                              <w:rPr>
                                <w:rFonts w:ascii="Arial" w:hAnsi="Arial" w:cs="Arial"/>
                              </w:rPr>
                            </w:pPr>
                          </w:p>
                          <w:p w14:paraId="390888B8" w14:textId="77777777" w:rsidR="005869E5" w:rsidRDefault="005869E5" w:rsidP="005869E5">
                            <w:pPr>
                              <w:jc w:val="center"/>
                            </w:pPr>
                          </w:p>
                          <w:p w14:paraId="1771CCD1" w14:textId="77777777" w:rsidR="005869E5" w:rsidRDefault="005869E5" w:rsidP="005869E5">
                            <w:pPr>
                              <w:jc w:val="center"/>
                            </w:pPr>
                          </w:p>
                          <w:p w14:paraId="03CB3CD4" w14:textId="77777777" w:rsidR="005869E5" w:rsidRDefault="005869E5" w:rsidP="005869E5">
                            <w:pPr>
                              <w:jc w:val="center"/>
                            </w:pPr>
                          </w:p>
                          <w:p w14:paraId="26E94EC2" w14:textId="77777777" w:rsidR="005869E5" w:rsidRDefault="005869E5" w:rsidP="005869E5">
                            <w:pPr>
                              <w:jc w:val="center"/>
                            </w:pPr>
                          </w:p>
                          <w:p w14:paraId="5F7F35BA" w14:textId="77777777" w:rsidR="005869E5" w:rsidRDefault="005869E5" w:rsidP="005869E5">
                            <w:pPr>
                              <w:jc w:val="center"/>
                            </w:pPr>
                          </w:p>
                          <w:p w14:paraId="2E3D04D3" w14:textId="77777777" w:rsidR="005869E5" w:rsidRDefault="005869E5" w:rsidP="005869E5">
                            <w:pPr>
                              <w:jc w:val="center"/>
                            </w:pPr>
                          </w:p>
                          <w:p w14:paraId="75EEEDD6" w14:textId="77777777" w:rsidR="005869E5" w:rsidRDefault="005869E5" w:rsidP="005869E5">
                            <w:pPr>
                              <w:jc w:val="center"/>
                            </w:pPr>
                          </w:p>
                          <w:p w14:paraId="6A272D1D" w14:textId="77777777" w:rsidR="005869E5" w:rsidRDefault="005869E5" w:rsidP="005869E5">
                            <w:pPr>
                              <w:jc w:val="center"/>
                            </w:pPr>
                          </w:p>
                          <w:p w14:paraId="7BFAB3D5" w14:textId="77777777" w:rsidR="005869E5" w:rsidRDefault="005869E5" w:rsidP="005869E5">
                            <w:pPr>
                              <w:jc w:val="center"/>
                            </w:pPr>
                          </w:p>
                          <w:p w14:paraId="5BD1EDB6" w14:textId="77777777" w:rsidR="005869E5" w:rsidRDefault="005869E5" w:rsidP="005869E5">
                            <w:pPr>
                              <w:jc w:val="center"/>
                            </w:pPr>
                          </w:p>
                          <w:p w14:paraId="1F99385C" w14:textId="77777777" w:rsidR="005869E5" w:rsidRDefault="005869E5" w:rsidP="005869E5">
                            <w:pPr>
                              <w:jc w:val="center"/>
                            </w:pPr>
                          </w:p>
                          <w:p w14:paraId="5413E1B6" w14:textId="77777777" w:rsidR="005869E5" w:rsidRDefault="005869E5" w:rsidP="005869E5">
                            <w:pPr>
                              <w:ind w:left="993"/>
                            </w:pPr>
                            <w:r>
                              <w:t xml:space="preserve">    </w:t>
                            </w:r>
                          </w:p>
                          <w:p w14:paraId="19C6D71D" w14:textId="77777777" w:rsidR="005869E5" w:rsidRDefault="005869E5" w:rsidP="005869E5">
                            <w:pPr>
                              <w:jc w:val="center"/>
                            </w:pPr>
                          </w:p>
                          <w:p w14:paraId="7C373EC3" w14:textId="77777777" w:rsidR="005869E5" w:rsidRDefault="005869E5" w:rsidP="005869E5">
                            <w:pPr>
                              <w:jc w:val="center"/>
                            </w:pPr>
                          </w:p>
                          <w:p w14:paraId="6E6FA6C3" w14:textId="77777777" w:rsidR="005869E5" w:rsidRDefault="005869E5" w:rsidP="005869E5">
                            <w:pPr>
                              <w:jc w:val="center"/>
                            </w:pPr>
                          </w:p>
                          <w:p w14:paraId="4C5D84A5" w14:textId="77777777" w:rsidR="005869E5" w:rsidRDefault="005869E5" w:rsidP="005869E5">
                            <w:pPr>
                              <w:jc w:val="center"/>
                            </w:pPr>
                          </w:p>
                          <w:p w14:paraId="3AB686E2" w14:textId="77777777" w:rsidR="005869E5" w:rsidRDefault="005869E5" w:rsidP="005869E5">
                            <w:pPr>
                              <w:jc w:val="center"/>
                            </w:pPr>
                          </w:p>
                          <w:p w14:paraId="076156E2" w14:textId="77777777" w:rsidR="005869E5" w:rsidRDefault="005869E5" w:rsidP="005869E5">
                            <w:pPr>
                              <w:jc w:val="center"/>
                            </w:pPr>
                          </w:p>
                          <w:p w14:paraId="3C4EDA38" w14:textId="77777777" w:rsidR="005869E5" w:rsidRDefault="005869E5" w:rsidP="005869E5">
                            <w:pPr>
                              <w:ind w:firstLine="720"/>
                              <w:jc w:val="center"/>
                            </w:pPr>
                          </w:p>
                          <w:p w14:paraId="38166013" w14:textId="77777777" w:rsidR="005869E5" w:rsidRPr="005B0664" w:rsidRDefault="005869E5" w:rsidP="005869E5">
                            <w:pPr>
                              <w:ind w:firstLine="720"/>
                              <w:jc w:val="center"/>
                              <w:rPr>
                                <w:rFonts w:ascii="Arial" w:hAnsi="Arial" w:cs="Arial"/>
                              </w:rPr>
                            </w:pPr>
                          </w:p>
                          <w:p w14:paraId="4D70888D" w14:textId="77777777" w:rsidR="005869E5" w:rsidRPr="005B0664" w:rsidRDefault="005869E5" w:rsidP="005869E5">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inline>
            </w:drawing>
          </mc:Choice>
          <mc:Fallback>
            <w:pict>
              <v:shapetype w14:anchorId="5BE7C8EC" id="_x0000_t202" coordsize="21600,21600" o:spt="202" path="m,l,21600r21600,l21600,xe">
                <v:stroke joinstyle="miter"/>
                <v:path gradientshapeok="t" o:connecttype="rect"/>
              </v:shapetype>
              <v:shape id="Text Box 1" o:spid="_x0000_s1026" type="#_x0000_t202" alt="Cover page layout" style="width:3.6pt;height: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" filled="f" stroked="f" strokeweight=".5pt">
                <v:textbox inset="0,0,0,0">
                  <w:txbxContent>
                    <w:p w14:paraId="0F1ECA30" w14:textId="77777777" w:rsidR="005869E5" w:rsidRDefault="005869E5" w:rsidP="005869E5">
                      <w:pPr>
                        <w:jc w:val="center"/>
                      </w:pPr>
                      <w:r>
                        <w:tab/>
                      </w:r>
                    </w:p>
                    <w:p w14:paraId="2B3F5E11" w14:textId="77777777" w:rsidR="005869E5" w:rsidRPr="005869E5" w:rsidRDefault="005869E5" w:rsidP="005869E5">
                      <w:pPr>
                        <w:jc w:val="center"/>
                        <w:rPr>
                          <w:rFonts w:ascii="Arial" w:hAnsi="Arial" w:cs="Arial"/>
                        </w:rPr>
                      </w:pPr>
                    </w:p>
                    <w:p w14:paraId="390888B8" w14:textId="77777777" w:rsidR="005869E5" w:rsidRDefault="005869E5" w:rsidP="005869E5">
                      <w:pPr>
                        <w:jc w:val="center"/>
                      </w:pPr>
                    </w:p>
                    <w:p w14:paraId="1771CCD1" w14:textId="77777777" w:rsidR="005869E5" w:rsidRDefault="005869E5" w:rsidP="005869E5">
                      <w:pPr>
                        <w:jc w:val="center"/>
                      </w:pPr>
                    </w:p>
                    <w:p w14:paraId="03CB3CD4" w14:textId="77777777" w:rsidR="005869E5" w:rsidRDefault="005869E5" w:rsidP="005869E5">
                      <w:pPr>
                        <w:jc w:val="center"/>
                      </w:pPr>
                    </w:p>
                    <w:p w14:paraId="26E94EC2" w14:textId="77777777" w:rsidR="005869E5" w:rsidRDefault="005869E5" w:rsidP="005869E5">
                      <w:pPr>
                        <w:jc w:val="center"/>
                      </w:pPr>
                    </w:p>
                    <w:p w14:paraId="5F7F35BA" w14:textId="77777777" w:rsidR="005869E5" w:rsidRDefault="005869E5" w:rsidP="005869E5">
                      <w:pPr>
                        <w:jc w:val="center"/>
                      </w:pPr>
                    </w:p>
                    <w:p w14:paraId="2E3D04D3" w14:textId="77777777" w:rsidR="005869E5" w:rsidRDefault="005869E5" w:rsidP="005869E5">
                      <w:pPr>
                        <w:jc w:val="center"/>
                      </w:pPr>
                    </w:p>
                    <w:p w14:paraId="75EEEDD6" w14:textId="77777777" w:rsidR="005869E5" w:rsidRDefault="005869E5" w:rsidP="005869E5">
                      <w:pPr>
                        <w:jc w:val="center"/>
                      </w:pPr>
                    </w:p>
                    <w:p w14:paraId="6A272D1D" w14:textId="77777777" w:rsidR="005869E5" w:rsidRDefault="005869E5" w:rsidP="005869E5">
                      <w:pPr>
                        <w:jc w:val="center"/>
                      </w:pPr>
                    </w:p>
                    <w:p w14:paraId="7BFAB3D5" w14:textId="77777777" w:rsidR="005869E5" w:rsidRDefault="005869E5" w:rsidP="005869E5">
                      <w:pPr>
                        <w:jc w:val="center"/>
                      </w:pPr>
                    </w:p>
                    <w:p w14:paraId="5BD1EDB6" w14:textId="77777777" w:rsidR="005869E5" w:rsidRDefault="005869E5" w:rsidP="005869E5">
                      <w:pPr>
                        <w:jc w:val="center"/>
                      </w:pPr>
                    </w:p>
                    <w:p w14:paraId="1F99385C" w14:textId="77777777" w:rsidR="005869E5" w:rsidRDefault="005869E5" w:rsidP="005869E5">
                      <w:pPr>
                        <w:jc w:val="center"/>
                      </w:pPr>
                    </w:p>
                    <w:p w14:paraId="5413E1B6" w14:textId="77777777" w:rsidR="005869E5" w:rsidRDefault="005869E5" w:rsidP="005869E5">
                      <w:pPr>
                        <w:ind w:left="993"/>
                      </w:pPr>
                      <w:r>
                        <w:t xml:space="preserve">    </w:t>
                      </w:r>
                    </w:p>
                    <w:p w14:paraId="19C6D71D" w14:textId="77777777" w:rsidR="005869E5" w:rsidRDefault="005869E5" w:rsidP="005869E5">
                      <w:pPr>
                        <w:jc w:val="center"/>
                      </w:pPr>
                    </w:p>
                    <w:p w14:paraId="7C373EC3" w14:textId="77777777" w:rsidR="005869E5" w:rsidRDefault="005869E5" w:rsidP="005869E5">
                      <w:pPr>
                        <w:jc w:val="center"/>
                      </w:pPr>
                    </w:p>
                    <w:p w14:paraId="6E6FA6C3" w14:textId="77777777" w:rsidR="005869E5" w:rsidRDefault="005869E5" w:rsidP="005869E5">
                      <w:pPr>
                        <w:jc w:val="center"/>
                      </w:pPr>
                    </w:p>
                    <w:p w14:paraId="4C5D84A5" w14:textId="77777777" w:rsidR="005869E5" w:rsidRDefault="005869E5" w:rsidP="005869E5">
                      <w:pPr>
                        <w:jc w:val="center"/>
                      </w:pPr>
                    </w:p>
                    <w:p w14:paraId="3AB686E2" w14:textId="77777777" w:rsidR="005869E5" w:rsidRDefault="005869E5" w:rsidP="005869E5">
                      <w:pPr>
                        <w:jc w:val="center"/>
                      </w:pPr>
                    </w:p>
                    <w:p w14:paraId="076156E2" w14:textId="77777777" w:rsidR="005869E5" w:rsidRDefault="005869E5" w:rsidP="005869E5">
                      <w:pPr>
                        <w:jc w:val="center"/>
                      </w:pPr>
                    </w:p>
                    <w:p w14:paraId="3C4EDA38" w14:textId="77777777" w:rsidR="005869E5" w:rsidRDefault="005869E5" w:rsidP="005869E5">
                      <w:pPr>
                        <w:ind w:firstLine="720"/>
                        <w:jc w:val="center"/>
                      </w:pPr>
                    </w:p>
                    <w:p w14:paraId="38166013" w14:textId="77777777" w:rsidR="005869E5" w:rsidRPr="005B0664" w:rsidRDefault="005869E5" w:rsidP="005869E5">
                      <w:pPr>
                        <w:ind w:firstLine="720"/>
                        <w:jc w:val="center"/>
                        <w:rPr>
                          <w:rFonts w:ascii="Arial" w:hAnsi="Arial" w:cs="Arial"/>
                        </w:rPr>
                      </w:pPr>
                    </w:p>
                    <w:p w14:paraId="4D70888D" w14:textId="77777777" w:rsidR="005869E5" w:rsidRPr="005B0664" w:rsidRDefault="005869E5" w:rsidP="005869E5">
                      <w:pPr>
                        <w:rPr>
                          <w:rFonts w:ascii="Arial" w:hAnsi="Arial" w:cs="Arial"/>
                        </w:rPr>
                      </w:pPr>
                    </w:p>
                  </w:txbxContent>
                </v:textbox>
                <w10:anchorlock/>
              </v:shape>
            </w:pict>
          </mc:Fallback>
        </mc:AlternateContent>
      </w:r>
    </w:p>
    <w:p w14:paraId="557D6701" w14:textId="77777777" w:rsidR="00122021" w:rsidRDefault="00122021" w:rsidP="00CC0A49">
      <w:pPr>
        <w:spacing w:line="360" w:lineRule="auto"/>
        <w:jc w:val="both"/>
      </w:pPr>
    </w:p>
    <w:p w14:paraId="374D4956" w14:textId="77777777" w:rsidR="00D333CB" w:rsidRDefault="00122021" w:rsidP="00891427">
      <w:pPr>
        <w:spacing w:line="360" w:lineRule="auto"/>
        <w:jc w:val="both"/>
        <w:rPr>
          <w:u w:val="single"/>
        </w:rPr>
      </w:pPr>
      <w:r>
        <w:br/>
      </w:r>
      <w:r>
        <w:br/>
      </w:r>
      <w:r>
        <w:br/>
      </w:r>
    </w:p>
    <w:p w14:paraId="41E4524B" w14:textId="2666CC25" w:rsidR="005869E5" w:rsidRDefault="005869E5" w:rsidP="00733695">
      <w:pPr>
        <w:spacing w:line="360" w:lineRule="auto"/>
        <w:jc w:val="both"/>
        <w:rPr>
          <w:rFonts w:ascii="Arial" w:hAnsi="Arial" w:cs="Arial"/>
          <w:u w:val="single"/>
        </w:rPr>
      </w:pPr>
    </w:p>
    <w:p w14:paraId="7E70D889" w14:textId="77777777" w:rsidR="005869E5" w:rsidRPr="005869E5" w:rsidRDefault="005869E5" w:rsidP="00733695">
      <w:pPr>
        <w:spacing w:line="360" w:lineRule="auto"/>
        <w:jc w:val="both"/>
        <w:rPr>
          <w:rFonts w:ascii="Arial" w:hAnsi="Arial" w:cs="Arial"/>
          <w:u w:val="single"/>
        </w:rPr>
      </w:pPr>
    </w:p>
    <w:p w14:paraId="23ED232D" w14:textId="77777777" w:rsidR="00D333CB" w:rsidRDefault="00D333CB" w:rsidP="005B0664">
      <w:pPr>
        <w:spacing w:line="360" w:lineRule="auto"/>
        <w:jc w:val="both"/>
        <w:rPr>
          <w:rFonts w:ascii="Arial" w:hAnsi="Arial" w:cs="Arial"/>
        </w:rPr>
      </w:pPr>
      <w:r w:rsidRPr="00D333CB">
        <w:rPr>
          <w:rFonts w:ascii="Arial" w:hAnsi="Arial" w:cs="Arial"/>
        </w:rPr>
        <w:lastRenderedPageBreak/>
        <w:t>Table of contents</w:t>
      </w:r>
    </w:p>
    <w:p w14:paraId="2058E648" w14:textId="458CCE42" w:rsidR="00D333CB" w:rsidRPr="00D333CB" w:rsidRDefault="00D333CB" w:rsidP="005B0664">
      <w:pPr>
        <w:pStyle w:val="ListParagraph"/>
        <w:numPr>
          <w:ilvl w:val="0"/>
          <w:numId w:val="17"/>
        </w:numPr>
        <w:spacing w:line="360" w:lineRule="auto"/>
        <w:ind w:left="284" w:hanging="426"/>
        <w:jc w:val="both"/>
      </w:pPr>
      <w:r>
        <w:rPr>
          <w:rFonts w:ascii="Arial" w:hAnsi="Arial" w:cs="Arial"/>
        </w:rPr>
        <w:t>Introduction</w:t>
      </w:r>
      <w:r w:rsidR="005B0664">
        <w:rPr>
          <w:rFonts w:ascii="Arial" w:hAnsi="Arial" w:cs="Arial"/>
        </w:rPr>
        <w:t>………………………………………………………………………………………0</w:t>
      </w:r>
      <w:r w:rsidR="002C1582">
        <w:rPr>
          <w:rFonts w:ascii="Arial" w:hAnsi="Arial" w:cs="Arial"/>
        </w:rPr>
        <w:t>2</w:t>
      </w:r>
    </w:p>
    <w:p w14:paraId="735434F2" w14:textId="148805F2" w:rsidR="00D333CB" w:rsidRPr="00D333CB" w:rsidRDefault="00D333CB" w:rsidP="005B0664">
      <w:pPr>
        <w:pStyle w:val="ListParagraph"/>
        <w:numPr>
          <w:ilvl w:val="0"/>
          <w:numId w:val="17"/>
        </w:numPr>
        <w:spacing w:line="360" w:lineRule="auto"/>
        <w:ind w:left="284" w:hanging="426"/>
        <w:jc w:val="both"/>
      </w:pPr>
      <w:r>
        <w:rPr>
          <w:rFonts w:ascii="Arial" w:hAnsi="Arial" w:cs="Arial"/>
        </w:rPr>
        <w:t xml:space="preserve">Difference between (HR) </w:t>
      </w:r>
      <w:r w:rsidR="005B0664">
        <w:rPr>
          <w:rFonts w:ascii="Arial" w:hAnsi="Arial" w:cs="Arial"/>
        </w:rPr>
        <w:t>Public</w:t>
      </w:r>
      <w:r>
        <w:rPr>
          <w:rFonts w:ascii="Arial" w:hAnsi="Arial" w:cs="Arial"/>
        </w:rPr>
        <w:t xml:space="preserve"> and Private sector</w:t>
      </w:r>
      <w:r w:rsidR="005B0664">
        <w:rPr>
          <w:rFonts w:ascii="Arial" w:hAnsi="Arial" w:cs="Arial"/>
        </w:rPr>
        <w:t>…………………………………………0</w:t>
      </w:r>
      <w:r w:rsidR="002C1582">
        <w:rPr>
          <w:rFonts w:ascii="Arial" w:hAnsi="Arial" w:cs="Arial"/>
        </w:rPr>
        <w:t>3</w:t>
      </w:r>
    </w:p>
    <w:p w14:paraId="222B3CEF" w14:textId="76E961FB" w:rsidR="00D333CB" w:rsidRDefault="00D333CB" w:rsidP="002C1582">
      <w:pPr>
        <w:pStyle w:val="ListParagraph"/>
        <w:numPr>
          <w:ilvl w:val="0"/>
          <w:numId w:val="17"/>
        </w:numPr>
        <w:spacing w:line="360" w:lineRule="auto"/>
        <w:ind w:left="284" w:right="-188" w:hanging="426"/>
        <w:jc w:val="both"/>
        <w:rPr>
          <w:rFonts w:ascii="Arial" w:hAnsi="Arial" w:cs="Arial"/>
        </w:rPr>
      </w:pPr>
      <w:r>
        <w:rPr>
          <w:rFonts w:ascii="Arial" w:hAnsi="Arial" w:cs="Arial"/>
        </w:rPr>
        <w:t>D</w:t>
      </w:r>
      <w:r w:rsidRPr="00D333CB">
        <w:rPr>
          <w:rFonts w:ascii="Arial" w:hAnsi="Arial" w:cs="Arial"/>
        </w:rPr>
        <w:t xml:space="preserve">etermine the effectiveness of </w:t>
      </w:r>
      <w:r w:rsidR="005B0664">
        <w:rPr>
          <w:rFonts w:ascii="Arial" w:hAnsi="Arial" w:cs="Arial"/>
        </w:rPr>
        <w:t xml:space="preserve">the </w:t>
      </w:r>
      <w:r w:rsidRPr="00D333CB">
        <w:rPr>
          <w:rFonts w:ascii="Arial" w:hAnsi="Arial" w:cs="Arial"/>
        </w:rPr>
        <w:t xml:space="preserve">HR </w:t>
      </w:r>
      <w:r w:rsidR="005B0664" w:rsidRPr="00D333CB">
        <w:rPr>
          <w:rFonts w:ascii="Arial" w:hAnsi="Arial" w:cs="Arial"/>
        </w:rPr>
        <w:t>strategy</w:t>
      </w:r>
      <w:r w:rsidR="005B0664">
        <w:rPr>
          <w:rFonts w:ascii="Arial" w:hAnsi="Arial" w:cs="Arial"/>
        </w:rPr>
        <w:t>…………………………………………</w:t>
      </w:r>
      <w:r w:rsidR="005858EA">
        <w:rPr>
          <w:rFonts w:ascii="Arial" w:hAnsi="Arial" w:cs="Arial"/>
        </w:rPr>
        <w:t>….</w:t>
      </w:r>
      <w:r w:rsidR="002C1582">
        <w:rPr>
          <w:rFonts w:ascii="Arial" w:hAnsi="Arial" w:cs="Arial"/>
        </w:rPr>
        <w:t>.04</w:t>
      </w:r>
    </w:p>
    <w:p w14:paraId="65097574" w14:textId="07F4A1BC" w:rsidR="005B0664" w:rsidRDefault="00D333CB" w:rsidP="005B0664">
      <w:pPr>
        <w:pStyle w:val="ListParagraph"/>
        <w:numPr>
          <w:ilvl w:val="0"/>
          <w:numId w:val="17"/>
        </w:numPr>
        <w:spacing w:line="360" w:lineRule="auto"/>
        <w:ind w:left="284" w:hanging="426"/>
        <w:jc w:val="both"/>
        <w:rPr>
          <w:rFonts w:ascii="Arial" w:hAnsi="Arial" w:cs="Arial"/>
        </w:rPr>
      </w:pPr>
      <w:r>
        <w:rPr>
          <w:rFonts w:ascii="Arial" w:hAnsi="Arial" w:cs="Arial"/>
        </w:rPr>
        <w:t xml:space="preserve">Development </w:t>
      </w:r>
      <w:r w:rsidR="005B0664">
        <w:rPr>
          <w:rFonts w:ascii="Arial" w:hAnsi="Arial" w:cs="Arial"/>
        </w:rPr>
        <w:t>of the employer achievement strategic……………………………………….0</w:t>
      </w:r>
      <w:r w:rsidR="002C1582">
        <w:rPr>
          <w:rFonts w:ascii="Arial" w:hAnsi="Arial" w:cs="Arial"/>
        </w:rPr>
        <w:t>5</w:t>
      </w:r>
    </w:p>
    <w:p w14:paraId="30557199" w14:textId="387ABCD5" w:rsidR="005B0664" w:rsidRDefault="005B0664" w:rsidP="005B0664">
      <w:pPr>
        <w:pStyle w:val="ListParagraph"/>
        <w:numPr>
          <w:ilvl w:val="0"/>
          <w:numId w:val="17"/>
        </w:numPr>
        <w:spacing w:line="360" w:lineRule="auto"/>
        <w:ind w:left="284" w:right="-330" w:hanging="426"/>
        <w:jc w:val="both"/>
        <w:rPr>
          <w:rFonts w:ascii="Arial" w:hAnsi="Arial" w:cs="Arial"/>
        </w:rPr>
      </w:pPr>
      <w:r w:rsidRPr="005B0664">
        <w:rPr>
          <w:rFonts w:ascii="Arial" w:hAnsi="Arial" w:cs="Arial"/>
        </w:rPr>
        <w:t xml:space="preserve">The success of HR strategy is influenced by </w:t>
      </w:r>
      <w:r w:rsidR="005858EA">
        <w:rPr>
          <w:rFonts w:ascii="Arial" w:hAnsi="Arial" w:cs="Arial"/>
        </w:rPr>
        <w:t xml:space="preserve">the </w:t>
      </w:r>
      <w:r w:rsidRPr="005B0664">
        <w:rPr>
          <w:rFonts w:ascii="Arial" w:hAnsi="Arial" w:cs="Arial"/>
        </w:rPr>
        <w:t xml:space="preserve">organisational </w:t>
      </w:r>
      <w:r w:rsidR="005858EA" w:rsidRPr="005B0664">
        <w:rPr>
          <w:rFonts w:ascii="Arial" w:hAnsi="Arial" w:cs="Arial"/>
        </w:rPr>
        <w:t>environment.</w:t>
      </w:r>
      <w:r w:rsidRPr="005B0664">
        <w:rPr>
          <w:rFonts w:ascii="Arial" w:hAnsi="Arial" w:cs="Arial"/>
        </w:rPr>
        <w:t xml:space="preserve"> </w:t>
      </w:r>
    </w:p>
    <w:p w14:paraId="31C9892B" w14:textId="0215B4BA" w:rsidR="005B0664" w:rsidRDefault="005B0664" w:rsidP="005B0664">
      <w:pPr>
        <w:pStyle w:val="ListParagraph"/>
        <w:spacing w:line="360" w:lineRule="auto"/>
        <w:ind w:left="284" w:right="-330"/>
        <w:jc w:val="both"/>
        <w:rPr>
          <w:rFonts w:ascii="Arial" w:hAnsi="Arial" w:cs="Arial"/>
        </w:rPr>
      </w:pPr>
      <w:r w:rsidRPr="005B0664">
        <w:rPr>
          <w:rFonts w:ascii="Arial" w:hAnsi="Arial" w:cs="Arial"/>
        </w:rPr>
        <w:t>considerations</w:t>
      </w:r>
      <w:r>
        <w:rPr>
          <w:rFonts w:ascii="Arial" w:hAnsi="Arial" w:cs="Arial"/>
        </w:rPr>
        <w:t>……………………………………………………………………………………0</w:t>
      </w:r>
      <w:r w:rsidR="002C1582">
        <w:rPr>
          <w:rFonts w:ascii="Arial" w:hAnsi="Arial" w:cs="Arial"/>
        </w:rPr>
        <w:t>6</w:t>
      </w:r>
    </w:p>
    <w:p w14:paraId="16931DF5" w14:textId="561C409D" w:rsidR="005B0664" w:rsidRDefault="005B0664" w:rsidP="005B0664">
      <w:pPr>
        <w:pStyle w:val="ListParagraph"/>
        <w:numPr>
          <w:ilvl w:val="0"/>
          <w:numId w:val="17"/>
        </w:numPr>
        <w:spacing w:line="360" w:lineRule="auto"/>
        <w:ind w:left="284" w:right="-330" w:hanging="426"/>
        <w:jc w:val="both"/>
        <w:rPr>
          <w:rFonts w:ascii="Arial" w:hAnsi="Arial" w:cs="Arial"/>
        </w:rPr>
      </w:pPr>
      <w:r>
        <w:rPr>
          <w:rFonts w:ascii="Arial" w:hAnsi="Arial" w:cs="Arial"/>
        </w:rPr>
        <w:t>Conclusion……………………………………………………………………………………</w:t>
      </w:r>
      <w:r w:rsidR="005858EA">
        <w:rPr>
          <w:rFonts w:ascii="Arial" w:hAnsi="Arial" w:cs="Arial"/>
        </w:rPr>
        <w:t>….</w:t>
      </w:r>
      <w:r w:rsidR="002C1582">
        <w:rPr>
          <w:rFonts w:ascii="Arial" w:hAnsi="Arial" w:cs="Arial"/>
        </w:rPr>
        <w:t>.08</w:t>
      </w:r>
    </w:p>
    <w:p w14:paraId="34B05CD0" w14:textId="1940D2F1" w:rsidR="005B0664" w:rsidRDefault="005B0664" w:rsidP="005B0664">
      <w:pPr>
        <w:spacing w:line="360" w:lineRule="auto"/>
        <w:ind w:left="-142" w:right="-330"/>
        <w:jc w:val="both"/>
        <w:rPr>
          <w:rFonts w:ascii="Arial" w:hAnsi="Arial" w:cs="Arial"/>
        </w:rPr>
      </w:pPr>
      <w:r>
        <w:rPr>
          <w:rFonts w:ascii="Arial" w:hAnsi="Arial" w:cs="Arial"/>
        </w:rPr>
        <w:t>References</w:t>
      </w:r>
      <w:r w:rsidR="00FC5DB1">
        <w:rPr>
          <w:rFonts w:ascii="Arial" w:hAnsi="Arial" w:cs="Arial"/>
        </w:rPr>
        <w:t>…………………………………………………………………………………………0</w:t>
      </w:r>
      <w:r w:rsidR="002C1582">
        <w:rPr>
          <w:rFonts w:ascii="Arial" w:hAnsi="Arial" w:cs="Arial"/>
        </w:rPr>
        <w:t>8</w:t>
      </w:r>
      <w:r w:rsidR="00FC5DB1">
        <w:rPr>
          <w:rFonts w:ascii="Arial" w:hAnsi="Arial" w:cs="Arial"/>
        </w:rPr>
        <w:t>-13</w:t>
      </w:r>
    </w:p>
    <w:p w14:paraId="27A58D3C" w14:textId="597D3D95" w:rsidR="00F45646" w:rsidRPr="005B0664" w:rsidRDefault="00122021" w:rsidP="005B0664">
      <w:pPr>
        <w:spacing w:line="360" w:lineRule="auto"/>
        <w:ind w:left="-142" w:right="-330"/>
        <w:jc w:val="both"/>
        <w:rPr>
          <w:rFonts w:ascii="Arial" w:hAnsi="Arial" w:cs="Arial"/>
        </w:rPr>
      </w:pPr>
      <w:r w:rsidRPr="005B0664">
        <w:rPr>
          <w:rFonts w:ascii="Arial" w:hAnsi="Arial" w:cs="Arial"/>
        </w:rPr>
        <w:br/>
      </w:r>
      <w:r w:rsidRPr="005B0664">
        <w:rPr>
          <w:rFonts w:ascii="Arial" w:hAnsi="Arial" w:cs="Arial"/>
        </w:rPr>
        <w:br/>
      </w:r>
      <w:r w:rsidRPr="005B0664">
        <w:rPr>
          <w:rFonts w:ascii="Arial" w:hAnsi="Arial" w:cs="Arial"/>
        </w:rPr>
        <w:br/>
      </w:r>
      <w:r w:rsidRPr="005B0664">
        <w:rPr>
          <w:rFonts w:ascii="Arial" w:hAnsi="Arial" w:cs="Arial"/>
        </w:rPr>
        <w:br/>
      </w:r>
      <w:r w:rsidRPr="005B0664">
        <w:rPr>
          <w:rFonts w:ascii="Arial" w:hAnsi="Arial" w:cs="Arial"/>
        </w:rPr>
        <w:br/>
      </w:r>
    </w:p>
    <w:p w14:paraId="4ECE1328" w14:textId="77777777" w:rsidR="00D333CB" w:rsidRDefault="00D333CB" w:rsidP="00733695">
      <w:pPr>
        <w:spacing w:line="360" w:lineRule="auto"/>
        <w:jc w:val="both"/>
      </w:pPr>
    </w:p>
    <w:p w14:paraId="6C3983CE" w14:textId="77777777" w:rsidR="00D333CB" w:rsidRDefault="00D333CB" w:rsidP="00733695">
      <w:pPr>
        <w:spacing w:line="360" w:lineRule="auto"/>
        <w:jc w:val="both"/>
      </w:pPr>
    </w:p>
    <w:p w14:paraId="25D81356" w14:textId="77777777" w:rsidR="00D333CB" w:rsidRDefault="00D333CB" w:rsidP="00733695">
      <w:pPr>
        <w:spacing w:line="360" w:lineRule="auto"/>
        <w:jc w:val="both"/>
      </w:pPr>
    </w:p>
    <w:p w14:paraId="29998B30" w14:textId="77777777" w:rsidR="00D333CB" w:rsidRDefault="00D333CB" w:rsidP="00733695">
      <w:pPr>
        <w:spacing w:line="360" w:lineRule="auto"/>
        <w:jc w:val="both"/>
      </w:pPr>
    </w:p>
    <w:p w14:paraId="257F13D8" w14:textId="77777777" w:rsidR="00D333CB" w:rsidRDefault="00D333CB" w:rsidP="00733695">
      <w:pPr>
        <w:spacing w:line="360" w:lineRule="auto"/>
        <w:jc w:val="both"/>
      </w:pPr>
    </w:p>
    <w:p w14:paraId="1F8643AB" w14:textId="77777777" w:rsidR="00D333CB" w:rsidRDefault="00D333CB" w:rsidP="00733695">
      <w:pPr>
        <w:spacing w:line="360" w:lineRule="auto"/>
        <w:jc w:val="both"/>
      </w:pPr>
    </w:p>
    <w:p w14:paraId="69F425E3" w14:textId="77777777" w:rsidR="00FC6322" w:rsidRDefault="00FC6322" w:rsidP="00733695">
      <w:pPr>
        <w:spacing w:line="360" w:lineRule="auto"/>
        <w:jc w:val="both"/>
      </w:pPr>
    </w:p>
    <w:p w14:paraId="7FE65D86" w14:textId="77777777" w:rsidR="00FC6322" w:rsidRDefault="00FC6322" w:rsidP="00733695">
      <w:pPr>
        <w:spacing w:line="360" w:lineRule="auto"/>
        <w:jc w:val="both"/>
      </w:pPr>
    </w:p>
    <w:p w14:paraId="40261F43" w14:textId="77777777" w:rsidR="00FC6322" w:rsidRDefault="00FC6322" w:rsidP="00733695">
      <w:pPr>
        <w:spacing w:line="360" w:lineRule="auto"/>
        <w:jc w:val="both"/>
      </w:pPr>
    </w:p>
    <w:p w14:paraId="79D79ADB" w14:textId="77777777" w:rsidR="00FC6322" w:rsidRDefault="00FC6322" w:rsidP="00733695">
      <w:pPr>
        <w:spacing w:line="360" w:lineRule="auto"/>
        <w:jc w:val="both"/>
      </w:pPr>
    </w:p>
    <w:p w14:paraId="05AC378F" w14:textId="77777777" w:rsidR="00FC6322" w:rsidRDefault="00FC6322" w:rsidP="00733695">
      <w:pPr>
        <w:spacing w:line="360" w:lineRule="auto"/>
        <w:jc w:val="both"/>
      </w:pPr>
    </w:p>
    <w:p w14:paraId="279A8606" w14:textId="77777777" w:rsidR="00FC6322" w:rsidRDefault="00FC6322" w:rsidP="00733695">
      <w:pPr>
        <w:spacing w:line="360" w:lineRule="auto"/>
        <w:jc w:val="both"/>
      </w:pPr>
    </w:p>
    <w:p w14:paraId="1E4C8455" w14:textId="77777777" w:rsidR="00FC6322" w:rsidRDefault="00FC6322" w:rsidP="00733695">
      <w:pPr>
        <w:spacing w:line="360" w:lineRule="auto"/>
        <w:jc w:val="both"/>
      </w:pPr>
    </w:p>
    <w:p w14:paraId="505A5DB1" w14:textId="7E720836" w:rsidR="00A5368F" w:rsidRPr="00F45646" w:rsidRDefault="00D333CB" w:rsidP="00733695">
      <w:pPr>
        <w:spacing w:line="360" w:lineRule="auto"/>
        <w:jc w:val="both"/>
      </w:pPr>
      <w:r>
        <w:tab/>
      </w:r>
      <w:r>
        <w:tab/>
      </w:r>
    </w:p>
    <w:p w14:paraId="4613F570" w14:textId="6C522D6D" w:rsidR="00122021" w:rsidRPr="00891427" w:rsidRDefault="00122021" w:rsidP="00891427">
      <w:pPr>
        <w:pStyle w:val="ListParagraph"/>
        <w:numPr>
          <w:ilvl w:val="0"/>
          <w:numId w:val="14"/>
        </w:numPr>
        <w:spacing w:line="360" w:lineRule="auto"/>
        <w:ind w:left="0" w:hanging="294"/>
        <w:jc w:val="both"/>
      </w:pPr>
      <w:r w:rsidRPr="00891427">
        <w:rPr>
          <w:rFonts w:ascii="Arial" w:hAnsi="Arial" w:cs="Arial"/>
          <w:b/>
          <w:bCs/>
        </w:rPr>
        <w:lastRenderedPageBreak/>
        <w:t>Introduction</w:t>
      </w:r>
      <w:r w:rsidRPr="00891427">
        <w:rPr>
          <w:rFonts w:ascii="Arial" w:hAnsi="Arial" w:cs="Arial"/>
        </w:rPr>
        <w:t xml:space="preserve"> </w:t>
      </w:r>
    </w:p>
    <w:p w14:paraId="3957C67E" w14:textId="28DB3B87" w:rsidR="00430971" w:rsidRDefault="00187F21" w:rsidP="00CC0A49">
      <w:pPr>
        <w:pStyle w:val="ListParagraph"/>
        <w:spacing w:line="360" w:lineRule="auto"/>
        <w:ind w:left="0"/>
        <w:jc w:val="both"/>
        <w:rPr>
          <w:rFonts w:ascii="Arial" w:hAnsi="Arial" w:cs="Arial"/>
        </w:rPr>
      </w:pPr>
      <w:r w:rsidRPr="00187F21">
        <w:rPr>
          <w:rFonts w:ascii="Arial" w:hAnsi="Arial" w:cs="Arial"/>
        </w:rPr>
        <w:t xml:space="preserve">The public sector's lack of strategic HR partnership competence has surfaced as a serious concern in East Coast County (ECC). This brief explanation emphasises the significance of researching this issue and its implications for ECC's public sector clientele. It also </w:t>
      </w:r>
      <w:r w:rsidR="00A51D02">
        <w:rPr>
          <w:rFonts w:ascii="Arial" w:hAnsi="Arial" w:cs="Arial"/>
        </w:rPr>
        <w:t>emphasizes</w:t>
      </w:r>
      <w:r w:rsidRPr="00187F21">
        <w:rPr>
          <w:rFonts w:ascii="Arial" w:hAnsi="Arial" w:cs="Arial"/>
        </w:rPr>
        <w:t xml:space="preserve"> the need to tackle this issue </w:t>
      </w:r>
      <w:r w:rsidR="00A51D02">
        <w:rPr>
          <w:rFonts w:ascii="Arial" w:hAnsi="Arial" w:cs="Arial"/>
        </w:rPr>
        <w:t>to</w:t>
      </w:r>
      <w:r w:rsidRPr="00187F21">
        <w:rPr>
          <w:rFonts w:ascii="Arial" w:hAnsi="Arial" w:cs="Arial"/>
        </w:rPr>
        <w:t xml:space="preserve"> properly establish a talent pipeline and fill senior HR posts.</w:t>
      </w:r>
    </w:p>
    <w:p w14:paraId="29785B7C" w14:textId="2F3F4CC0" w:rsidR="00187F21" w:rsidRDefault="00697EB4" w:rsidP="00CC0A49">
      <w:pPr>
        <w:pStyle w:val="ListParagraph"/>
        <w:numPr>
          <w:ilvl w:val="0"/>
          <w:numId w:val="13"/>
        </w:numPr>
        <w:spacing w:line="360" w:lineRule="auto"/>
        <w:ind w:left="0"/>
        <w:jc w:val="both"/>
        <w:rPr>
          <w:rFonts w:ascii="Arial" w:hAnsi="Arial" w:cs="Arial"/>
        </w:rPr>
      </w:pPr>
      <w:r w:rsidRPr="00697EB4">
        <w:rPr>
          <w:rFonts w:ascii="Arial" w:hAnsi="Arial" w:cs="Arial"/>
        </w:rPr>
        <w:t xml:space="preserve">The Key Issue and </w:t>
      </w:r>
      <w:r w:rsidR="00AC2566">
        <w:rPr>
          <w:rFonts w:ascii="Arial" w:hAnsi="Arial" w:cs="Arial"/>
        </w:rPr>
        <w:t>i</w:t>
      </w:r>
      <w:r w:rsidRPr="00697EB4">
        <w:rPr>
          <w:rFonts w:ascii="Arial" w:hAnsi="Arial" w:cs="Arial"/>
        </w:rPr>
        <w:t>ts Importance</w:t>
      </w:r>
      <w:r w:rsidR="00942460">
        <w:rPr>
          <w:rFonts w:ascii="Arial" w:hAnsi="Arial" w:cs="Arial"/>
        </w:rPr>
        <w:t xml:space="preserve"> to </w:t>
      </w:r>
      <w:r w:rsidR="0090320E">
        <w:rPr>
          <w:rFonts w:ascii="Arial" w:hAnsi="Arial" w:cs="Arial"/>
        </w:rPr>
        <w:t>study:</w:t>
      </w:r>
    </w:p>
    <w:p w14:paraId="208AE509" w14:textId="49389737" w:rsidR="00697EB4" w:rsidRDefault="009A39CE" w:rsidP="00CC0A49">
      <w:pPr>
        <w:pStyle w:val="ListParagraph"/>
        <w:spacing w:line="360" w:lineRule="auto"/>
        <w:ind w:left="0"/>
        <w:jc w:val="both"/>
        <w:rPr>
          <w:rFonts w:ascii="Arial" w:hAnsi="Arial" w:cs="Arial"/>
        </w:rPr>
      </w:pPr>
      <w:r w:rsidRPr="009A39CE">
        <w:rPr>
          <w:rFonts w:ascii="Arial" w:hAnsi="Arial" w:cs="Arial"/>
        </w:rPr>
        <w:t xml:space="preserve">The primary issue found in ECC is the public sector's lack of strategic HR partnership competence. Due to a lack of individuals with business partnership abilities, ECC's public sector clients had difficulty filling senior HR posts. This competence gap hampered </w:t>
      </w:r>
      <w:r w:rsidR="00A51D02">
        <w:rPr>
          <w:rFonts w:ascii="Arial" w:hAnsi="Arial" w:cs="Arial"/>
        </w:rPr>
        <w:t xml:space="preserve">the </w:t>
      </w:r>
      <w:r w:rsidRPr="009A39CE">
        <w:rPr>
          <w:rFonts w:ascii="Arial" w:hAnsi="Arial" w:cs="Arial"/>
        </w:rPr>
        <w:t xml:space="preserve">effective integration of HR activities with </w:t>
      </w:r>
      <w:r w:rsidR="00A51D02">
        <w:rPr>
          <w:rFonts w:ascii="Arial" w:hAnsi="Arial" w:cs="Arial"/>
        </w:rPr>
        <w:t>organizational</w:t>
      </w:r>
      <w:r w:rsidRPr="009A39CE">
        <w:rPr>
          <w:rFonts w:ascii="Arial" w:hAnsi="Arial" w:cs="Arial"/>
        </w:rPr>
        <w:t xml:space="preserve"> goals and restricted the potential for strategic HR contributions.</w:t>
      </w:r>
    </w:p>
    <w:p w14:paraId="48B45ECC" w14:textId="36FBEEB1" w:rsidR="00436913" w:rsidRDefault="00FD27F2" w:rsidP="00CC0A49">
      <w:pPr>
        <w:pStyle w:val="ListParagraph"/>
        <w:spacing w:line="360" w:lineRule="auto"/>
        <w:ind w:left="0"/>
        <w:jc w:val="both"/>
        <w:rPr>
          <w:rFonts w:ascii="Arial" w:hAnsi="Arial" w:cs="Arial"/>
        </w:rPr>
      </w:pPr>
      <w:r w:rsidRPr="00FD27F2">
        <w:rPr>
          <w:rFonts w:ascii="Arial" w:hAnsi="Arial" w:cs="Arial"/>
        </w:rPr>
        <w:t>Studying this issue is important for several reasons. Firstly, strategic HR partnering is crucial in the public sector as it ensures HR initiatives are aligned with organizational objectives and contribute to overall performance. It enables HR professionals to work closely with senior management to identify HR needs, devise effective HR strategies, and foster a culture of continuous improvement.</w:t>
      </w:r>
    </w:p>
    <w:p w14:paraId="25FBF590" w14:textId="1FC267EC" w:rsidR="004D0159" w:rsidRDefault="004D0159" w:rsidP="00CC0A49">
      <w:pPr>
        <w:pStyle w:val="ListParagraph"/>
        <w:spacing w:line="360" w:lineRule="auto"/>
        <w:ind w:left="0"/>
        <w:jc w:val="both"/>
        <w:rPr>
          <w:rFonts w:ascii="Arial" w:hAnsi="Arial" w:cs="Arial"/>
        </w:rPr>
      </w:pPr>
      <w:r w:rsidRPr="004D0159">
        <w:rPr>
          <w:rFonts w:ascii="Arial" w:hAnsi="Arial" w:cs="Arial"/>
        </w:rPr>
        <w:t>Second, dealing with this issue is critical for developing a talent pipeline. ECC intends to bridge the gap in senior HR jobs by seeing the need for business-partnering skills and taking proactive initiatives to build these competencies. This not only assures a sustained pool of skilled applicants for essential HR jobs, but it also supports ECC's public sector customer base's long-term success.</w:t>
      </w:r>
    </w:p>
    <w:p w14:paraId="66B2EBF2" w14:textId="79AF2080" w:rsidR="00044611" w:rsidRDefault="00044611" w:rsidP="00CC0A49">
      <w:pPr>
        <w:pStyle w:val="ListParagraph"/>
        <w:spacing w:line="360" w:lineRule="auto"/>
        <w:ind w:left="0"/>
        <w:jc w:val="both"/>
        <w:rPr>
          <w:rFonts w:ascii="Arial" w:hAnsi="Arial" w:cs="Arial"/>
        </w:rPr>
      </w:pPr>
      <w:r w:rsidRPr="00044611">
        <w:rPr>
          <w:rFonts w:ascii="Arial" w:hAnsi="Arial" w:cs="Arial"/>
        </w:rPr>
        <w:t xml:space="preserve">Furthermore, enhancing strategic HR partnering competence improves ECC's ability to successfully assist its public sector clients. Human resource experts with business partnership abilities may give significant insights and direction, allowing </w:t>
      </w:r>
      <w:r w:rsidR="00A51D02">
        <w:rPr>
          <w:rFonts w:ascii="Arial" w:hAnsi="Arial" w:cs="Arial"/>
        </w:rPr>
        <w:t>organizations</w:t>
      </w:r>
      <w:r w:rsidRPr="00044611">
        <w:rPr>
          <w:rFonts w:ascii="Arial" w:hAnsi="Arial" w:cs="Arial"/>
        </w:rPr>
        <w:t xml:space="preserve"> to integrate HR activities with larger </w:t>
      </w:r>
      <w:r w:rsidR="00A51D02">
        <w:rPr>
          <w:rFonts w:ascii="Arial" w:hAnsi="Arial" w:cs="Arial"/>
        </w:rPr>
        <w:t>organizational</w:t>
      </w:r>
      <w:r w:rsidRPr="00044611">
        <w:rPr>
          <w:rFonts w:ascii="Arial" w:hAnsi="Arial" w:cs="Arial"/>
        </w:rPr>
        <w:t xml:space="preserve"> strategies, promote employee engagement, and drive performance improvement.</w:t>
      </w:r>
    </w:p>
    <w:p w14:paraId="6F122DC0" w14:textId="13090835" w:rsidR="000B2802" w:rsidRDefault="000B2802" w:rsidP="00CC0A49">
      <w:pPr>
        <w:pStyle w:val="ListParagraph"/>
        <w:spacing w:line="360" w:lineRule="auto"/>
        <w:ind w:left="0"/>
        <w:jc w:val="both"/>
        <w:rPr>
          <w:rFonts w:ascii="Arial" w:hAnsi="Arial" w:cs="Arial"/>
        </w:rPr>
      </w:pPr>
      <w:r w:rsidRPr="000B2802">
        <w:rPr>
          <w:rFonts w:ascii="Arial" w:hAnsi="Arial" w:cs="Arial"/>
        </w:rPr>
        <w:t xml:space="preserve">ECC CEO Jill Paterson acknowledged the region's lack of business partnership strength. </w:t>
      </w:r>
      <w:r w:rsidR="00A51D02">
        <w:rPr>
          <w:rFonts w:ascii="Arial" w:hAnsi="Arial" w:cs="Arial"/>
        </w:rPr>
        <w:t>Recognizing</w:t>
      </w:r>
      <w:r w:rsidRPr="000B2802">
        <w:rPr>
          <w:rFonts w:ascii="Arial" w:hAnsi="Arial" w:cs="Arial"/>
        </w:rPr>
        <w:t xml:space="preserve"> the significance of this issue, ECC has made the effort to build a talent pipeline through HR and </w:t>
      </w:r>
      <w:r w:rsidR="00A51D02">
        <w:rPr>
          <w:rFonts w:ascii="Arial" w:hAnsi="Arial" w:cs="Arial"/>
        </w:rPr>
        <w:t>organizational</w:t>
      </w:r>
      <w:r w:rsidRPr="000B2802">
        <w:rPr>
          <w:rFonts w:ascii="Arial" w:hAnsi="Arial" w:cs="Arial"/>
        </w:rPr>
        <w:t xml:space="preserve"> development </w:t>
      </w:r>
      <w:r w:rsidR="00A51D02">
        <w:rPr>
          <w:rFonts w:ascii="Arial" w:hAnsi="Arial" w:cs="Arial"/>
        </w:rPr>
        <w:t>programs</w:t>
      </w:r>
      <w:r w:rsidRPr="000B2802">
        <w:rPr>
          <w:rFonts w:ascii="Arial" w:hAnsi="Arial" w:cs="Arial"/>
        </w:rPr>
        <w:t xml:space="preserve">. This proactive strategy displays the </w:t>
      </w:r>
      <w:r w:rsidR="00A51D02">
        <w:rPr>
          <w:rFonts w:ascii="Arial" w:hAnsi="Arial" w:cs="Arial"/>
        </w:rPr>
        <w:t>organization’s</w:t>
      </w:r>
      <w:r w:rsidRPr="000B2802">
        <w:rPr>
          <w:rFonts w:ascii="Arial" w:hAnsi="Arial" w:cs="Arial"/>
        </w:rPr>
        <w:t xml:space="preserve"> commitment to developing and nurturing HR personnel capable of effectively partnering with senior management and contributing strategically to </w:t>
      </w:r>
      <w:r w:rsidR="00A51D02">
        <w:rPr>
          <w:rFonts w:ascii="Arial" w:hAnsi="Arial" w:cs="Arial"/>
        </w:rPr>
        <w:t>organizational</w:t>
      </w:r>
      <w:r w:rsidRPr="000B2802">
        <w:rPr>
          <w:rFonts w:ascii="Arial" w:hAnsi="Arial" w:cs="Arial"/>
        </w:rPr>
        <w:t xml:space="preserve"> success.</w:t>
      </w:r>
    </w:p>
    <w:p w14:paraId="6FD368F5" w14:textId="77777777" w:rsidR="00924F1A" w:rsidRPr="00187F21" w:rsidRDefault="00924F1A" w:rsidP="00CC0A49">
      <w:pPr>
        <w:pStyle w:val="ListParagraph"/>
        <w:spacing w:line="360" w:lineRule="auto"/>
        <w:ind w:left="0"/>
        <w:jc w:val="both"/>
        <w:rPr>
          <w:rFonts w:ascii="Arial" w:hAnsi="Arial" w:cs="Arial"/>
        </w:rPr>
      </w:pPr>
    </w:p>
    <w:p w14:paraId="020552B4" w14:textId="77777777" w:rsidR="00A5368F" w:rsidRDefault="00A5368F" w:rsidP="00A5368F">
      <w:pPr>
        <w:pStyle w:val="ListParagraph"/>
        <w:spacing w:line="360" w:lineRule="auto"/>
        <w:ind w:left="0"/>
        <w:jc w:val="both"/>
        <w:rPr>
          <w:rFonts w:ascii="Arial" w:hAnsi="Arial" w:cs="Arial"/>
          <w:b/>
          <w:bCs/>
        </w:rPr>
      </w:pPr>
    </w:p>
    <w:p w14:paraId="0AC91781" w14:textId="77777777" w:rsidR="00A5368F" w:rsidRPr="00A5368F" w:rsidRDefault="00A5368F" w:rsidP="00A5368F">
      <w:pPr>
        <w:spacing w:line="360" w:lineRule="auto"/>
        <w:ind w:left="360"/>
        <w:jc w:val="both"/>
        <w:rPr>
          <w:rFonts w:ascii="Arial" w:hAnsi="Arial" w:cs="Arial"/>
          <w:b/>
          <w:bCs/>
        </w:rPr>
      </w:pPr>
    </w:p>
    <w:p w14:paraId="4CAE3F15" w14:textId="77777777" w:rsidR="00A5368F" w:rsidRDefault="00A5368F" w:rsidP="00A5368F">
      <w:pPr>
        <w:pStyle w:val="ListParagraph"/>
        <w:spacing w:line="360" w:lineRule="auto"/>
        <w:ind w:left="0"/>
        <w:jc w:val="both"/>
        <w:rPr>
          <w:rFonts w:ascii="Arial" w:hAnsi="Arial" w:cs="Arial"/>
          <w:b/>
          <w:bCs/>
        </w:rPr>
      </w:pPr>
    </w:p>
    <w:p w14:paraId="7C734D27" w14:textId="77777777" w:rsidR="00A5368F" w:rsidRDefault="00A5368F" w:rsidP="00A5368F">
      <w:pPr>
        <w:pStyle w:val="ListParagraph"/>
        <w:spacing w:line="360" w:lineRule="auto"/>
        <w:ind w:left="0"/>
        <w:jc w:val="both"/>
        <w:rPr>
          <w:rFonts w:ascii="Arial" w:hAnsi="Arial" w:cs="Arial"/>
          <w:b/>
          <w:bCs/>
        </w:rPr>
      </w:pPr>
    </w:p>
    <w:p w14:paraId="1969CDF1" w14:textId="77777777" w:rsidR="00A5368F" w:rsidRPr="00A5368F" w:rsidRDefault="00A5368F" w:rsidP="00A5368F">
      <w:pPr>
        <w:pStyle w:val="ListParagraph"/>
        <w:spacing w:line="360" w:lineRule="auto"/>
        <w:ind w:left="0"/>
        <w:jc w:val="both"/>
        <w:rPr>
          <w:rFonts w:ascii="Arial" w:hAnsi="Arial" w:cs="Arial"/>
          <w:b/>
          <w:bCs/>
        </w:rPr>
      </w:pPr>
    </w:p>
    <w:p w14:paraId="3A8B0014" w14:textId="597F1C73" w:rsidR="009842DF" w:rsidRDefault="00866C17" w:rsidP="00A5368F">
      <w:pPr>
        <w:pStyle w:val="ListParagraph"/>
        <w:numPr>
          <w:ilvl w:val="0"/>
          <w:numId w:val="1"/>
        </w:numPr>
        <w:spacing w:line="360" w:lineRule="auto"/>
        <w:ind w:left="-142" w:hanging="284"/>
        <w:jc w:val="both"/>
        <w:rPr>
          <w:rFonts w:ascii="Arial" w:hAnsi="Arial" w:cs="Arial"/>
          <w:b/>
          <w:bCs/>
        </w:rPr>
      </w:pPr>
      <w:r w:rsidRPr="00866C17">
        <w:rPr>
          <w:rFonts w:ascii="Arial" w:hAnsi="Arial" w:cs="Arial"/>
          <w:b/>
          <w:bCs/>
        </w:rPr>
        <w:t>How does HR in the private sector differ from HR in the public sector</w:t>
      </w:r>
      <w:r w:rsidR="00A51D02">
        <w:rPr>
          <w:rFonts w:ascii="Arial" w:hAnsi="Arial" w:cs="Arial"/>
          <w:b/>
          <w:bCs/>
        </w:rPr>
        <w:t>?</w:t>
      </w:r>
    </w:p>
    <w:p w14:paraId="7959E3DB" w14:textId="62A57BC4" w:rsidR="00A70FEA" w:rsidRDefault="00E7337A" w:rsidP="00A5368F">
      <w:pPr>
        <w:pStyle w:val="ListParagraph"/>
        <w:spacing w:line="360" w:lineRule="auto"/>
        <w:ind w:left="-142"/>
        <w:jc w:val="both"/>
        <w:rPr>
          <w:rFonts w:ascii="Arial" w:hAnsi="Arial" w:cs="Arial"/>
        </w:rPr>
      </w:pPr>
      <w:r w:rsidRPr="00E7337A">
        <w:rPr>
          <w:rFonts w:ascii="Arial" w:hAnsi="Arial" w:cs="Arial"/>
        </w:rPr>
        <w:t>Human Resources (HR) departments are essential in both the business and public sectors.</w:t>
      </w:r>
      <w:r>
        <w:rPr>
          <w:rFonts w:ascii="Arial" w:hAnsi="Arial" w:cs="Arial"/>
        </w:rPr>
        <w:t xml:space="preserve"> </w:t>
      </w:r>
      <w:r w:rsidR="00C76D12" w:rsidRPr="00C76D12">
        <w:rPr>
          <w:rFonts w:ascii="Arial" w:hAnsi="Arial" w:cs="Arial"/>
        </w:rPr>
        <w:t>However, the context and nature of their operations often differ significantly. This critical analysis aims to explore the distinctions between HR in the private sector and the public sector</w:t>
      </w:r>
      <w:r>
        <w:rPr>
          <w:rFonts w:ascii="Arial" w:hAnsi="Arial" w:cs="Arial"/>
        </w:rPr>
        <w:t xml:space="preserve">. </w:t>
      </w:r>
      <w:r w:rsidRPr="00E7337A">
        <w:rPr>
          <w:rFonts w:ascii="Arial" w:hAnsi="Arial" w:cs="Arial"/>
        </w:rPr>
        <w:t>It looks at important topics like recruitment and selection, remuneration and benefits, employee relations, and strategic focus.</w:t>
      </w:r>
    </w:p>
    <w:p w14:paraId="51C3C5EE" w14:textId="1F7193C1" w:rsidR="00C76D12" w:rsidRDefault="008A23D3" w:rsidP="00A5368F">
      <w:pPr>
        <w:pStyle w:val="ListParagraph"/>
        <w:numPr>
          <w:ilvl w:val="0"/>
          <w:numId w:val="12"/>
        </w:numPr>
        <w:spacing w:line="360" w:lineRule="auto"/>
        <w:ind w:left="-142" w:hanging="284"/>
        <w:jc w:val="both"/>
        <w:rPr>
          <w:rFonts w:ascii="Arial" w:hAnsi="Arial" w:cs="Arial"/>
        </w:rPr>
      </w:pPr>
      <w:r w:rsidRPr="008A23D3">
        <w:rPr>
          <w:rFonts w:ascii="Arial" w:hAnsi="Arial" w:cs="Arial"/>
        </w:rPr>
        <w:t>Recruitment and Selection:</w:t>
      </w:r>
    </w:p>
    <w:p w14:paraId="6019434C" w14:textId="53AD7010" w:rsidR="008A23D3" w:rsidRDefault="00946D45" w:rsidP="00A5368F">
      <w:pPr>
        <w:pStyle w:val="ListParagraph"/>
        <w:spacing w:line="360" w:lineRule="auto"/>
        <w:ind w:left="-142" w:firstLine="142"/>
        <w:jc w:val="both"/>
        <w:rPr>
          <w:rFonts w:ascii="Arial" w:hAnsi="Arial" w:cs="Arial"/>
        </w:rPr>
      </w:pPr>
      <w:r w:rsidRPr="00946D45">
        <w:rPr>
          <w:rFonts w:ascii="Arial" w:hAnsi="Arial" w:cs="Arial"/>
        </w:rPr>
        <w:t xml:space="preserve">Human resource departments in the private sector frequently have more leeway in recruiting and choosing personnel. They can quickly attract talent by </w:t>
      </w:r>
      <w:r w:rsidR="00A51D02">
        <w:rPr>
          <w:rFonts w:ascii="Arial" w:hAnsi="Arial" w:cs="Arial"/>
        </w:rPr>
        <w:t>utilizing</w:t>
      </w:r>
      <w:r w:rsidRPr="00946D45">
        <w:rPr>
          <w:rFonts w:ascii="Arial" w:hAnsi="Arial" w:cs="Arial"/>
        </w:rPr>
        <w:t xml:space="preserve"> a range of recruiting channels, including social media platforms and employment firms (Boxall &amp; Purcell, 2011). The public sector, on the other hand, frequently follows a more </w:t>
      </w:r>
      <w:r w:rsidR="00A51D02">
        <w:rPr>
          <w:rFonts w:ascii="Arial" w:hAnsi="Arial" w:cs="Arial"/>
        </w:rPr>
        <w:t>formalized</w:t>
      </w:r>
      <w:r w:rsidRPr="00946D45">
        <w:rPr>
          <w:rFonts w:ascii="Arial" w:hAnsi="Arial" w:cs="Arial"/>
        </w:rPr>
        <w:t xml:space="preserve"> and organised recruiting procedure, following stringent norms and laws to promote openness and fairness (Kellough, 2012). To retain public trust, public sector HR emphasises equal opportunity and merit-based selection.</w:t>
      </w:r>
    </w:p>
    <w:p w14:paraId="78B3C38A" w14:textId="7624FF07" w:rsidR="00946D45" w:rsidRDefault="00946D45" w:rsidP="00A5368F">
      <w:pPr>
        <w:pStyle w:val="ListParagraph"/>
        <w:numPr>
          <w:ilvl w:val="0"/>
          <w:numId w:val="12"/>
        </w:numPr>
        <w:spacing w:line="360" w:lineRule="auto"/>
        <w:ind w:left="-142"/>
        <w:jc w:val="both"/>
        <w:rPr>
          <w:rFonts w:ascii="Arial" w:hAnsi="Arial" w:cs="Arial"/>
        </w:rPr>
      </w:pPr>
      <w:r w:rsidRPr="00946D45">
        <w:rPr>
          <w:rFonts w:ascii="Arial" w:hAnsi="Arial" w:cs="Arial"/>
        </w:rPr>
        <w:t>Compensation and Benefits:</w:t>
      </w:r>
    </w:p>
    <w:p w14:paraId="5644879F" w14:textId="5888B461" w:rsidR="00946D45" w:rsidRDefault="00CD6990" w:rsidP="00A5368F">
      <w:pPr>
        <w:pStyle w:val="ListParagraph"/>
        <w:spacing w:line="360" w:lineRule="auto"/>
        <w:ind w:left="-142"/>
        <w:jc w:val="both"/>
        <w:rPr>
          <w:rFonts w:ascii="Arial" w:hAnsi="Arial" w:cs="Arial"/>
        </w:rPr>
      </w:pPr>
      <w:r w:rsidRPr="00CD6990">
        <w:rPr>
          <w:rFonts w:ascii="Arial" w:hAnsi="Arial" w:cs="Arial"/>
        </w:rPr>
        <w:t xml:space="preserve">Organisations in the private sector have more leeway in establishing and executing compensation and benefits packages. To attract and retain elite people, they can align them with market rates and performance-based incentives (Budhwar &amp; Debrah, 2013). In contrast, public sector HR frequently operates under defined compensation scales and </w:t>
      </w:r>
      <w:r w:rsidR="00A51D02">
        <w:rPr>
          <w:rFonts w:ascii="Arial" w:hAnsi="Arial" w:cs="Arial"/>
        </w:rPr>
        <w:t>standardized</w:t>
      </w:r>
      <w:r w:rsidRPr="00CD6990">
        <w:rPr>
          <w:rFonts w:ascii="Arial" w:hAnsi="Arial" w:cs="Arial"/>
        </w:rPr>
        <w:t xml:space="preserve"> benefits, as dictated by public sector rules and budgetary constraints. To address public scrutiny and sustain trust, equity</w:t>
      </w:r>
      <w:r w:rsidR="00A51D02">
        <w:rPr>
          <w:rFonts w:ascii="Arial" w:hAnsi="Arial" w:cs="Arial"/>
        </w:rPr>
        <w:t>,</w:t>
      </w:r>
      <w:r w:rsidRPr="00CD6990">
        <w:rPr>
          <w:rFonts w:ascii="Arial" w:hAnsi="Arial" w:cs="Arial"/>
        </w:rPr>
        <w:t xml:space="preserve"> and justice are critical issues in public sector compensation (Kellough, 2012).</w:t>
      </w:r>
    </w:p>
    <w:p w14:paraId="6A8C9893" w14:textId="5A1DEE88" w:rsidR="00CD6990" w:rsidRDefault="00963CCD" w:rsidP="00A5368F">
      <w:pPr>
        <w:pStyle w:val="ListParagraph"/>
        <w:numPr>
          <w:ilvl w:val="0"/>
          <w:numId w:val="12"/>
        </w:numPr>
        <w:spacing w:line="360" w:lineRule="auto"/>
        <w:ind w:left="-142" w:hanging="284"/>
        <w:jc w:val="both"/>
        <w:rPr>
          <w:rFonts w:ascii="Arial" w:hAnsi="Arial" w:cs="Arial"/>
        </w:rPr>
      </w:pPr>
      <w:r w:rsidRPr="00963CCD">
        <w:rPr>
          <w:rFonts w:ascii="Arial" w:hAnsi="Arial" w:cs="Arial"/>
        </w:rPr>
        <w:t>Employee Relations:</w:t>
      </w:r>
    </w:p>
    <w:p w14:paraId="55AF9B0D" w14:textId="651F8E23" w:rsidR="00963CCD" w:rsidRDefault="00402321" w:rsidP="00A5368F">
      <w:pPr>
        <w:pStyle w:val="ListParagraph"/>
        <w:spacing w:line="360" w:lineRule="auto"/>
        <w:ind w:left="-142"/>
        <w:jc w:val="both"/>
        <w:rPr>
          <w:rFonts w:ascii="Arial" w:hAnsi="Arial" w:cs="Arial"/>
        </w:rPr>
      </w:pPr>
      <w:r w:rsidRPr="00402321">
        <w:rPr>
          <w:rFonts w:ascii="Arial" w:hAnsi="Arial" w:cs="Arial"/>
        </w:rPr>
        <w:t xml:space="preserve">Private-sector HR departments frequently operate in more competitive and individualistic cultures, resulting in a greater emphasis on individual performance management and employee engagement efforts. To build a high-performance culture, they may employ performance-based rewards, career development </w:t>
      </w:r>
      <w:r w:rsidR="00A51D02">
        <w:rPr>
          <w:rFonts w:ascii="Arial" w:hAnsi="Arial" w:cs="Arial"/>
        </w:rPr>
        <w:t>programs</w:t>
      </w:r>
      <w:r w:rsidRPr="00402321">
        <w:rPr>
          <w:rFonts w:ascii="Arial" w:hAnsi="Arial" w:cs="Arial"/>
        </w:rPr>
        <w:t xml:space="preserve">, and flexible work arrangements (Brewster &amp; Hegewisch, 2017). Due to the prominence of public sector unions, HR in the public sector places a premium on collective bargaining and union partnerships. Negotiation, </w:t>
      </w:r>
      <w:r w:rsidR="005858EA">
        <w:rPr>
          <w:rFonts w:ascii="Arial" w:hAnsi="Arial" w:cs="Arial"/>
        </w:rPr>
        <w:t>labour</w:t>
      </w:r>
      <w:r w:rsidRPr="00402321">
        <w:rPr>
          <w:rFonts w:ascii="Arial" w:hAnsi="Arial" w:cs="Arial"/>
        </w:rPr>
        <w:t xml:space="preserve"> relations, and meeting the requirements of varied employee groups are all priorities in the public sector (Kellough, 2012).</w:t>
      </w:r>
    </w:p>
    <w:p w14:paraId="5EF765FE" w14:textId="6503BA0C" w:rsidR="00DF110E" w:rsidRDefault="00DF110E" w:rsidP="00A5368F">
      <w:pPr>
        <w:pStyle w:val="ListParagraph"/>
        <w:numPr>
          <w:ilvl w:val="0"/>
          <w:numId w:val="12"/>
        </w:numPr>
        <w:spacing w:line="360" w:lineRule="auto"/>
        <w:ind w:left="-142" w:hanging="218"/>
        <w:jc w:val="both"/>
        <w:rPr>
          <w:rFonts w:ascii="Arial" w:hAnsi="Arial" w:cs="Arial"/>
        </w:rPr>
      </w:pPr>
      <w:r w:rsidRPr="00DF110E">
        <w:rPr>
          <w:rFonts w:ascii="Arial" w:hAnsi="Arial" w:cs="Arial"/>
        </w:rPr>
        <w:t>Strategic Focus:</w:t>
      </w:r>
    </w:p>
    <w:p w14:paraId="64D12130" w14:textId="2CB904C9" w:rsidR="0050570E" w:rsidRPr="00946D45" w:rsidRDefault="00F46062" w:rsidP="00A5368F">
      <w:pPr>
        <w:pStyle w:val="ListParagraph"/>
        <w:spacing w:line="360" w:lineRule="auto"/>
        <w:ind w:left="-142"/>
        <w:rPr>
          <w:rFonts w:ascii="Arial" w:hAnsi="Arial" w:cs="Arial"/>
        </w:rPr>
      </w:pPr>
      <w:r w:rsidRPr="00F46062">
        <w:rPr>
          <w:rFonts w:ascii="Arial" w:hAnsi="Arial" w:cs="Arial"/>
        </w:rPr>
        <w:t xml:space="preserve">HR departments in the private sector frequently have a more strategic focus, integrating HR activities with organisational goals and contributing to overall business performance. They contribute significantly to organisational change, people management, and succession planning (Ulrich et al., 2017). While public sector HR </w:t>
      </w:r>
      <w:r w:rsidR="00A51D02" w:rsidRPr="00A51D02">
        <w:rPr>
          <w:rFonts w:ascii="Arial" w:hAnsi="Arial" w:cs="Arial"/>
        </w:rPr>
        <w:t xml:space="preserve">increasingly </w:t>
      </w:r>
      <w:r w:rsidR="00A51D02">
        <w:rPr>
          <w:rFonts w:ascii="Arial" w:hAnsi="Arial" w:cs="Arial"/>
        </w:rPr>
        <w:t>recognizes</w:t>
      </w:r>
      <w:r w:rsidR="00A51D02" w:rsidRPr="00A51D02">
        <w:rPr>
          <w:rFonts w:ascii="Arial" w:hAnsi="Arial" w:cs="Arial"/>
        </w:rPr>
        <w:t xml:space="preserve"> strategic HR's </w:t>
      </w:r>
      <w:r w:rsidR="00A51D02" w:rsidRPr="00A51D02">
        <w:rPr>
          <w:rFonts w:ascii="Arial" w:hAnsi="Arial" w:cs="Arial"/>
        </w:rPr>
        <w:lastRenderedPageBreak/>
        <w:t>value</w:t>
      </w:r>
      <w:r w:rsidRPr="00F46062">
        <w:rPr>
          <w:rFonts w:ascii="Arial" w:hAnsi="Arial" w:cs="Arial"/>
        </w:rPr>
        <w:t>, it may encounter increased bureaucratic restraints and an emphasis on legal and regulatory framework compliance (Brewster &amp; Hegewisch, 2017).</w:t>
      </w:r>
    </w:p>
    <w:p w14:paraId="295C6B49" w14:textId="77777777" w:rsidR="00192337" w:rsidRDefault="00192337" w:rsidP="00192337">
      <w:pPr>
        <w:pStyle w:val="ListParagraph"/>
        <w:spacing w:line="360" w:lineRule="auto"/>
        <w:ind w:left="-284"/>
        <w:rPr>
          <w:rFonts w:ascii="Arial" w:hAnsi="Arial" w:cs="Arial"/>
          <w:b/>
          <w:bCs/>
        </w:rPr>
      </w:pPr>
    </w:p>
    <w:p w14:paraId="00FCE61F" w14:textId="77777777" w:rsidR="00192337" w:rsidRDefault="00192337" w:rsidP="00192337">
      <w:pPr>
        <w:pStyle w:val="ListParagraph"/>
        <w:spacing w:line="360" w:lineRule="auto"/>
        <w:ind w:left="-284"/>
        <w:rPr>
          <w:rFonts w:ascii="Arial" w:hAnsi="Arial" w:cs="Arial"/>
          <w:b/>
          <w:bCs/>
        </w:rPr>
      </w:pPr>
    </w:p>
    <w:p w14:paraId="26CF24A2" w14:textId="161BBF24" w:rsidR="003A3CAC" w:rsidRDefault="005858EA" w:rsidP="00192337">
      <w:pPr>
        <w:pStyle w:val="ListParagraph"/>
        <w:numPr>
          <w:ilvl w:val="0"/>
          <w:numId w:val="1"/>
        </w:numPr>
        <w:spacing w:line="360" w:lineRule="auto"/>
        <w:ind w:left="-142" w:hanging="425"/>
        <w:rPr>
          <w:rFonts w:ascii="Arial" w:hAnsi="Arial" w:cs="Arial"/>
          <w:b/>
          <w:bCs/>
        </w:rPr>
      </w:pPr>
      <w:r w:rsidRPr="00FE4D45">
        <w:rPr>
          <w:rFonts w:ascii="Arial" w:hAnsi="Arial" w:cs="Arial"/>
          <w:b/>
          <w:bCs/>
        </w:rPr>
        <w:t>How</w:t>
      </w:r>
      <w:r w:rsidR="003A3CAC" w:rsidRPr="00FE4D45">
        <w:rPr>
          <w:rFonts w:ascii="Arial" w:hAnsi="Arial" w:cs="Arial"/>
          <w:b/>
          <w:bCs/>
        </w:rPr>
        <w:t xml:space="preserve"> does </w:t>
      </w:r>
      <w:r w:rsidR="00A51D02">
        <w:rPr>
          <w:rFonts w:ascii="Arial" w:hAnsi="Arial" w:cs="Arial"/>
          <w:b/>
          <w:bCs/>
        </w:rPr>
        <w:t xml:space="preserve">the </w:t>
      </w:r>
      <w:r w:rsidR="003A3CAC" w:rsidRPr="00FE4D45">
        <w:rPr>
          <w:rFonts w:ascii="Arial" w:hAnsi="Arial" w:cs="Arial"/>
          <w:b/>
          <w:bCs/>
        </w:rPr>
        <w:t>sector determine the effectiveness of HR strategy?</w:t>
      </w:r>
    </w:p>
    <w:p w14:paraId="6AA65B9A" w14:textId="38C27405" w:rsidR="005206D8" w:rsidRPr="005206D8" w:rsidRDefault="005206D8" w:rsidP="00C85EFF">
      <w:pPr>
        <w:pStyle w:val="ListParagraph"/>
        <w:spacing w:line="360" w:lineRule="auto"/>
        <w:ind w:left="-142"/>
        <w:rPr>
          <w:rFonts w:ascii="Arial" w:hAnsi="Arial" w:cs="Arial"/>
        </w:rPr>
      </w:pPr>
      <w:r w:rsidRPr="005206D8">
        <w:rPr>
          <w:rFonts w:ascii="Arial" w:hAnsi="Arial" w:cs="Arial"/>
        </w:rPr>
        <w:t>In the modern business landscape, the role of Human Resources (HR) has evolved significantly. HR strategies play a crucial role in aligning organizational objectives with employee performance. Evaluating the effectiveness of HR strategies is vital for organizations to enhance their performance and achieve a competitive advantage. This critical analysis explores the application of agency theory in assessing HR strategy effectiveness, focusing on the relationship between agents (employees) and principals (management), the lack of understanding, and mistrust.</w:t>
      </w:r>
    </w:p>
    <w:p w14:paraId="55D27615" w14:textId="3B106C34" w:rsidR="00345DC7" w:rsidRDefault="00345DC7" w:rsidP="00C85EFF">
      <w:pPr>
        <w:pStyle w:val="ListParagraph"/>
        <w:numPr>
          <w:ilvl w:val="0"/>
          <w:numId w:val="10"/>
        </w:numPr>
        <w:spacing w:line="360" w:lineRule="auto"/>
        <w:ind w:left="-142"/>
        <w:rPr>
          <w:rFonts w:ascii="Arial" w:hAnsi="Arial" w:cs="Arial"/>
        </w:rPr>
      </w:pPr>
      <w:r w:rsidRPr="00345DC7">
        <w:rPr>
          <w:rFonts w:ascii="Arial" w:hAnsi="Arial" w:cs="Arial"/>
        </w:rPr>
        <w:t>Agency Theory and HR Strategy</w:t>
      </w:r>
      <w:r w:rsidR="00FC6E42">
        <w:rPr>
          <w:rFonts w:ascii="Arial" w:hAnsi="Arial" w:cs="Arial"/>
        </w:rPr>
        <w:t>:</w:t>
      </w:r>
    </w:p>
    <w:p w14:paraId="48F3BD61" w14:textId="35F283FB" w:rsidR="006640C6" w:rsidRDefault="006640C6" w:rsidP="00CC0A49">
      <w:pPr>
        <w:pStyle w:val="ListParagraph"/>
        <w:spacing w:line="360" w:lineRule="auto"/>
        <w:ind w:left="-142"/>
        <w:rPr>
          <w:rFonts w:ascii="Arial" w:hAnsi="Arial" w:cs="Arial"/>
        </w:rPr>
      </w:pPr>
      <w:r w:rsidRPr="006640C6">
        <w:rPr>
          <w:rFonts w:ascii="Arial" w:hAnsi="Arial" w:cs="Arial"/>
        </w:rPr>
        <w:t>Agency theory is commonly used to comprehend the interactions between principals and agents inside organisations. In the context of human resource strategy, agency theory examines the connection between employees and management to measure strategy performance. The motivation of the agent, the alignment of interests, and the monitoring methods of the principal are all important factors determining the efficacy of HR strategies.</w:t>
      </w:r>
    </w:p>
    <w:p w14:paraId="365DDC4A" w14:textId="241D8DC6" w:rsidR="00D40FCD" w:rsidRDefault="00415CB2" w:rsidP="00C85EFF">
      <w:pPr>
        <w:pStyle w:val="ListParagraph"/>
        <w:numPr>
          <w:ilvl w:val="0"/>
          <w:numId w:val="11"/>
        </w:numPr>
        <w:spacing w:line="360" w:lineRule="auto"/>
        <w:ind w:left="-142" w:hanging="284"/>
        <w:rPr>
          <w:rFonts w:ascii="Arial" w:hAnsi="Arial" w:cs="Arial"/>
        </w:rPr>
      </w:pPr>
      <w:r w:rsidRPr="00415CB2">
        <w:rPr>
          <w:rFonts w:ascii="Arial" w:hAnsi="Arial" w:cs="Arial"/>
        </w:rPr>
        <w:t>Relationship between Agent and Customer</w:t>
      </w:r>
      <w:r>
        <w:rPr>
          <w:rFonts w:ascii="Arial" w:hAnsi="Arial" w:cs="Arial"/>
        </w:rPr>
        <w:t>:</w:t>
      </w:r>
    </w:p>
    <w:p w14:paraId="22E4BF96" w14:textId="50F995C2" w:rsidR="00415CB2" w:rsidRDefault="004C0912" w:rsidP="00CC0A49">
      <w:pPr>
        <w:pStyle w:val="ListParagraph"/>
        <w:spacing w:line="360" w:lineRule="auto"/>
        <w:ind w:left="-142"/>
        <w:rPr>
          <w:rFonts w:ascii="Arial" w:hAnsi="Arial" w:cs="Arial"/>
        </w:rPr>
      </w:pPr>
      <w:r w:rsidRPr="004C0912">
        <w:rPr>
          <w:rFonts w:ascii="Arial" w:hAnsi="Arial" w:cs="Arial"/>
        </w:rPr>
        <w:t>Effective human resource strategies take into account the alignment of agents (workers) and customers. Client satisfaction and loyalty increase when personnel understand client demands and are driven to give outstanding service. HR initiatives may improve overall organisational performance by building a customer-centric culture. (Batt, 2012)</w:t>
      </w:r>
    </w:p>
    <w:p w14:paraId="0DDD6DD8" w14:textId="5594CA14" w:rsidR="004C0912" w:rsidRDefault="000C0788" w:rsidP="00C85EFF">
      <w:pPr>
        <w:pStyle w:val="ListParagraph"/>
        <w:numPr>
          <w:ilvl w:val="0"/>
          <w:numId w:val="11"/>
        </w:numPr>
        <w:spacing w:line="360" w:lineRule="auto"/>
        <w:ind w:left="-142" w:hanging="284"/>
        <w:rPr>
          <w:rFonts w:ascii="Arial" w:hAnsi="Arial" w:cs="Arial"/>
        </w:rPr>
      </w:pPr>
      <w:r w:rsidRPr="000C0788">
        <w:rPr>
          <w:rFonts w:ascii="Arial" w:hAnsi="Arial" w:cs="Arial"/>
        </w:rPr>
        <w:t>Lack of Understanding:</w:t>
      </w:r>
    </w:p>
    <w:p w14:paraId="4DE29A8B" w14:textId="40664D9E" w:rsidR="00B8468D" w:rsidRDefault="00007083" w:rsidP="00A13859">
      <w:pPr>
        <w:pStyle w:val="ListParagraph"/>
        <w:spacing w:line="360" w:lineRule="auto"/>
        <w:ind w:left="-142"/>
        <w:rPr>
          <w:rFonts w:ascii="Arial" w:hAnsi="Arial" w:cs="Arial"/>
        </w:rPr>
      </w:pPr>
      <w:r w:rsidRPr="00007083">
        <w:rPr>
          <w:rFonts w:ascii="Arial" w:hAnsi="Arial" w:cs="Arial"/>
        </w:rPr>
        <w:t xml:space="preserve">A miscommunication between agents and principals might undermine the efficacy of HR operations. Employees may not completely understand their duties and responsibilities due to communication gaps, insufficient training, and imprecise performance objectives. This can lead to reduced productivity, lower work satisfaction, and higher turnover rates. To solve this issue, HR strategies should focus on building efficient communication channels and delivering thorough training </w:t>
      </w:r>
      <w:r w:rsidR="00A51D02">
        <w:rPr>
          <w:rFonts w:ascii="Arial" w:hAnsi="Arial" w:cs="Arial"/>
        </w:rPr>
        <w:t>programs</w:t>
      </w:r>
      <w:r w:rsidRPr="00007083">
        <w:rPr>
          <w:rFonts w:ascii="Arial" w:hAnsi="Arial" w:cs="Arial"/>
        </w:rPr>
        <w:t xml:space="preserve"> (Kleingeld et al., 2011).</w:t>
      </w:r>
    </w:p>
    <w:p w14:paraId="5399094F" w14:textId="4D764930" w:rsidR="00007083" w:rsidRDefault="000E7884" w:rsidP="00C85EFF">
      <w:pPr>
        <w:pStyle w:val="ListParagraph"/>
        <w:numPr>
          <w:ilvl w:val="0"/>
          <w:numId w:val="11"/>
        </w:numPr>
        <w:spacing w:line="360" w:lineRule="auto"/>
        <w:ind w:left="-142" w:hanging="284"/>
        <w:jc w:val="both"/>
        <w:rPr>
          <w:rFonts w:ascii="Arial" w:hAnsi="Arial" w:cs="Arial"/>
        </w:rPr>
      </w:pPr>
      <w:r w:rsidRPr="000E7884">
        <w:rPr>
          <w:rFonts w:ascii="Arial" w:hAnsi="Arial" w:cs="Arial"/>
        </w:rPr>
        <w:t>Mistrust between Agent and Principal:</w:t>
      </w:r>
    </w:p>
    <w:p w14:paraId="30FE2964" w14:textId="36427AB9" w:rsidR="000E7884" w:rsidRDefault="0031695A" w:rsidP="00CC0A49">
      <w:pPr>
        <w:pStyle w:val="ListParagraph"/>
        <w:spacing w:line="360" w:lineRule="auto"/>
        <w:ind w:left="-142" w:firstLine="1298"/>
        <w:jc w:val="both"/>
        <w:rPr>
          <w:rFonts w:ascii="Arial" w:hAnsi="Arial" w:cs="Arial"/>
        </w:rPr>
      </w:pPr>
      <w:r w:rsidRPr="0031695A">
        <w:rPr>
          <w:rFonts w:ascii="Arial" w:hAnsi="Arial" w:cs="Arial"/>
        </w:rPr>
        <w:t>Mistrust may seriously impede the efficacy of HR strategies. When agents feel a lack of trust from their principals, it can lead to lower employee engagement, job discontent, and greater turnover rates. HR strategies should include mechanisms such as transparent performance evaluation systems, fair incentive systems, and consistent feedback mechanisms to create trust (Connelly et al., 2011).</w:t>
      </w:r>
    </w:p>
    <w:p w14:paraId="164BC293" w14:textId="77D434B9" w:rsidR="008D420C" w:rsidRPr="007E210B" w:rsidRDefault="008D420C" w:rsidP="00CC0A49">
      <w:pPr>
        <w:pStyle w:val="ListParagraph"/>
        <w:numPr>
          <w:ilvl w:val="0"/>
          <w:numId w:val="1"/>
        </w:numPr>
        <w:spacing w:line="360" w:lineRule="auto"/>
        <w:ind w:left="-142" w:hanging="284"/>
        <w:jc w:val="both"/>
        <w:rPr>
          <w:rFonts w:ascii="Arial" w:hAnsi="Arial" w:cs="Arial"/>
          <w:b/>
          <w:bCs/>
        </w:rPr>
      </w:pPr>
      <w:r w:rsidRPr="007E210B">
        <w:rPr>
          <w:rFonts w:ascii="Arial" w:hAnsi="Arial" w:cs="Arial"/>
          <w:b/>
          <w:bCs/>
        </w:rPr>
        <w:t xml:space="preserve">How can HR develop employees to achieve strategy </w:t>
      </w:r>
      <w:r w:rsidR="0072147D" w:rsidRPr="007E210B">
        <w:rPr>
          <w:rFonts w:ascii="Arial" w:hAnsi="Arial" w:cs="Arial"/>
          <w:b/>
          <w:bCs/>
        </w:rPr>
        <w:t>goals:</w:t>
      </w:r>
    </w:p>
    <w:p w14:paraId="71C7494C" w14:textId="4B05DB60" w:rsidR="0072147D" w:rsidRDefault="00A93415" w:rsidP="00CC0A49">
      <w:pPr>
        <w:pStyle w:val="ListParagraph"/>
        <w:spacing w:line="360" w:lineRule="auto"/>
        <w:ind w:left="-142"/>
        <w:jc w:val="both"/>
        <w:rPr>
          <w:rFonts w:ascii="Arial" w:hAnsi="Arial" w:cs="Arial"/>
        </w:rPr>
      </w:pPr>
      <w:r w:rsidRPr="00A93415">
        <w:rPr>
          <w:rFonts w:ascii="Arial" w:hAnsi="Arial" w:cs="Arial"/>
        </w:rPr>
        <w:lastRenderedPageBreak/>
        <w:t>The development of employees is a crucial aspect of HR strategy, as it directly impacts an organization's ability to achieve its strategic goals.</w:t>
      </w:r>
    </w:p>
    <w:p w14:paraId="7A237B18" w14:textId="2D421A91" w:rsidR="008D23A1" w:rsidRPr="00B8468D" w:rsidRDefault="008D23A1" w:rsidP="00CC0A49">
      <w:pPr>
        <w:pStyle w:val="ListParagraph"/>
        <w:numPr>
          <w:ilvl w:val="0"/>
          <w:numId w:val="5"/>
        </w:numPr>
        <w:spacing w:line="360" w:lineRule="auto"/>
        <w:ind w:left="-142" w:hanging="284"/>
        <w:jc w:val="both"/>
        <w:rPr>
          <w:rFonts w:ascii="Arial" w:hAnsi="Arial" w:cs="Arial"/>
        </w:rPr>
      </w:pPr>
      <w:r w:rsidRPr="00B8468D">
        <w:rPr>
          <w:rFonts w:ascii="Arial" w:hAnsi="Arial" w:cs="Arial"/>
        </w:rPr>
        <w:t>Employee Development and Strategic Alignment:</w:t>
      </w:r>
    </w:p>
    <w:p w14:paraId="3D50F7FC" w14:textId="505C499A" w:rsidR="00CF0191" w:rsidRDefault="00A01C98" w:rsidP="00CC0A49">
      <w:pPr>
        <w:pStyle w:val="ListParagraph"/>
        <w:spacing w:line="360" w:lineRule="auto"/>
        <w:ind w:left="-142"/>
        <w:jc w:val="both"/>
        <w:rPr>
          <w:rFonts w:ascii="Arial" w:hAnsi="Arial" w:cs="Arial"/>
        </w:rPr>
      </w:pPr>
      <w:r w:rsidRPr="00A60D8E">
        <w:rPr>
          <w:rFonts w:ascii="Arial" w:hAnsi="Arial" w:cs="Arial"/>
        </w:rPr>
        <w:t xml:space="preserve">Employee development is the process of improving employees' knowledge, skills, talents, and attitudes </w:t>
      </w:r>
      <w:r w:rsidR="00300A8D" w:rsidRPr="00A60D8E">
        <w:rPr>
          <w:rFonts w:ascii="Arial" w:hAnsi="Arial" w:cs="Arial"/>
        </w:rPr>
        <w:t>for</w:t>
      </w:r>
      <w:r w:rsidRPr="00A60D8E">
        <w:rPr>
          <w:rFonts w:ascii="Arial" w:hAnsi="Arial" w:cs="Arial"/>
        </w:rPr>
        <w:t xml:space="preserve"> them to perform effectively in their present and future responsibilities. Aligning employee development with strategic goals ensures that employees have the abilities needed to support the broader strategy of the </w:t>
      </w:r>
      <w:r w:rsidR="00A51D02">
        <w:rPr>
          <w:rFonts w:ascii="Arial" w:hAnsi="Arial" w:cs="Arial"/>
        </w:rPr>
        <w:t>organization</w:t>
      </w:r>
      <w:r w:rsidRPr="00A60D8E">
        <w:rPr>
          <w:rFonts w:ascii="Arial" w:hAnsi="Arial" w:cs="Arial"/>
        </w:rPr>
        <w:t xml:space="preserve"> (Dries &amp; Pepermans, 2012).</w:t>
      </w:r>
    </w:p>
    <w:p w14:paraId="24632CED" w14:textId="32E17E27" w:rsidR="0012249F" w:rsidRPr="0012249F" w:rsidRDefault="002F7D11" w:rsidP="00CC0A49">
      <w:pPr>
        <w:pStyle w:val="ListParagraph"/>
        <w:spacing w:line="360" w:lineRule="auto"/>
        <w:ind w:left="-142"/>
        <w:jc w:val="both"/>
        <w:rPr>
          <w:rFonts w:ascii="Arial" w:hAnsi="Arial" w:cs="Arial"/>
        </w:rPr>
      </w:pPr>
      <w:r w:rsidRPr="002F7D11">
        <w:rPr>
          <w:rFonts w:ascii="Arial" w:hAnsi="Arial" w:cs="Arial"/>
        </w:rPr>
        <w:t xml:space="preserve">According to research, strategic alignment with employee development is a two-way street. On the one hand, development activities should address </w:t>
      </w:r>
      <w:r w:rsidR="001A3070" w:rsidRPr="002F7D11">
        <w:rPr>
          <w:rFonts w:ascii="Arial" w:hAnsi="Arial" w:cs="Arial"/>
        </w:rPr>
        <w:t>capability</w:t>
      </w:r>
      <w:r w:rsidRPr="002F7D11">
        <w:rPr>
          <w:rFonts w:ascii="Arial" w:hAnsi="Arial" w:cs="Arial"/>
        </w:rPr>
        <w:t xml:space="preserve"> shortages </w:t>
      </w:r>
      <w:r w:rsidR="00A51D02">
        <w:rPr>
          <w:rFonts w:ascii="Arial" w:hAnsi="Arial" w:cs="Arial"/>
        </w:rPr>
        <w:t>recognized</w:t>
      </w:r>
      <w:r w:rsidRPr="002F7D11">
        <w:rPr>
          <w:rFonts w:ascii="Arial" w:hAnsi="Arial" w:cs="Arial"/>
        </w:rPr>
        <w:t xml:space="preserve"> by the organisation's strategic goals (Bassi &amp; McMurrer, 2007). Employee development, on the other hand, should help accomplish strategic goals by improving employees' ability to execute critical activities and contribute to organisational success (Dries &amp; Pepermans, 2012).</w:t>
      </w:r>
    </w:p>
    <w:p w14:paraId="0F64B29F" w14:textId="00E85557" w:rsidR="008019AA" w:rsidRDefault="0012249F" w:rsidP="00CC0A49">
      <w:pPr>
        <w:pStyle w:val="ListParagraph"/>
        <w:numPr>
          <w:ilvl w:val="0"/>
          <w:numId w:val="5"/>
        </w:numPr>
        <w:spacing w:line="360" w:lineRule="auto"/>
        <w:ind w:left="-142"/>
        <w:jc w:val="both"/>
        <w:rPr>
          <w:rFonts w:ascii="Arial" w:hAnsi="Arial" w:cs="Arial"/>
        </w:rPr>
      </w:pPr>
      <w:r w:rsidRPr="0012249F">
        <w:rPr>
          <w:rFonts w:ascii="Arial" w:hAnsi="Arial" w:cs="Arial"/>
        </w:rPr>
        <w:t>Strategies for Effective Employee Development:</w:t>
      </w:r>
    </w:p>
    <w:p w14:paraId="6F4CCA29" w14:textId="52FA46E6" w:rsidR="0012249F" w:rsidRDefault="00597B21" w:rsidP="00CC0A49">
      <w:pPr>
        <w:pStyle w:val="ListParagraph"/>
        <w:numPr>
          <w:ilvl w:val="0"/>
          <w:numId w:val="6"/>
        </w:numPr>
        <w:spacing w:line="360" w:lineRule="auto"/>
        <w:ind w:left="-142"/>
        <w:jc w:val="both"/>
        <w:rPr>
          <w:rFonts w:ascii="Arial" w:hAnsi="Arial" w:cs="Arial"/>
        </w:rPr>
      </w:pPr>
      <w:r w:rsidRPr="00597B21">
        <w:rPr>
          <w:rFonts w:ascii="Arial" w:hAnsi="Arial" w:cs="Arial"/>
        </w:rPr>
        <w:t>Needs Assessment and Individual Development Plans</w:t>
      </w:r>
    </w:p>
    <w:p w14:paraId="269E4195" w14:textId="45068211" w:rsidR="00597B21" w:rsidRDefault="00A35A44" w:rsidP="00CC0A49">
      <w:pPr>
        <w:pStyle w:val="ListParagraph"/>
        <w:spacing w:line="360" w:lineRule="auto"/>
        <w:ind w:left="-142"/>
        <w:jc w:val="both"/>
        <w:rPr>
          <w:rFonts w:ascii="Arial" w:hAnsi="Arial" w:cs="Arial"/>
        </w:rPr>
      </w:pPr>
      <w:r w:rsidRPr="00A35A44">
        <w:rPr>
          <w:rFonts w:ascii="Arial" w:hAnsi="Arial" w:cs="Arial"/>
        </w:rPr>
        <w:t xml:space="preserve">HR can determine the precise skills and knowledge necessary to achieve strategic goals by conducting detailed needs assessments (Swanson &amp; Holton, 2009). HR may construct individual development plans that match </w:t>
      </w:r>
      <w:r w:rsidR="00A51D02" w:rsidRPr="00A51D02">
        <w:rPr>
          <w:rFonts w:ascii="Arial" w:hAnsi="Arial" w:cs="Arial"/>
        </w:rPr>
        <w:t xml:space="preserve">the organisation's goals and workers' career objectives by </w:t>
      </w:r>
      <w:r w:rsidR="005858EA">
        <w:rPr>
          <w:rFonts w:ascii="Arial" w:hAnsi="Arial" w:cs="Arial"/>
        </w:rPr>
        <w:t>analysing</w:t>
      </w:r>
      <w:r w:rsidR="00A51D02" w:rsidRPr="00A51D02">
        <w:rPr>
          <w:rFonts w:ascii="Arial" w:hAnsi="Arial" w:cs="Arial"/>
        </w:rPr>
        <w:t xml:space="preserve"> employees' </w:t>
      </w:r>
      <w:r w:rsidRPr="00A35A44">
        <w:rPr>
          <w:rFonts w:ascii="Arial" w:hAnsi="Arial" w:cs="Arial"/>
        </w:rPr>
        <w:t xml:space="preserve">capabilities and future requirements. To improve the necessary capabilities, these plans may contain a combination of training </w:t>
      </w:r>
      <w:r w:rsidR="00A51D02">
        <w:rPr>
          <w:rFonts w:ascii="Arial" w:hAnsi="Arial" w:cs="Arial"/>
        </w:rPr>
        <w:t>programs</w:t>
      </w:r>
      <w:r w:rsidRPr="00A35A44">
        <w:rPr>
          <w:rFonts w:ascii="Arial" w:hAnsi="Arial" w:cs="Arial"/>
        </w:rPr>
        <w:t>, work rotations, mentoring, and coaching (Noe et al., 2017).</w:t>
      </w:r>
    </w:p>
    <w:p w14:paraId="2DBC03E5" w14:textId="77777777" w:rsidR="000237BB" w:rsidRPr="000237BB" w:rsidRDefault="000237BB" w:rsidP="00CC0A49">
      <w:pPr>
        <w:pStyle w:val="ListParagraph"/>
        <w:numPr>
          <w:ilvl w:val="0"/>
          <w:numId w:val="6"/>
        </w:numPr>
        <w:spacing w:line="360" w:lineRule="auto"/>
        <w:ind w:left="-142"/>
        <w:jc w:val="both"/>
        <w:rPr>
          <w:rFonts w:ascii="Arial" w:hAnsi="Arial" w:cs="Arial"/>
        </w:rPr>
      </w:pPr>
      <w:r w:rsidRPr="000237BB">
        <w:rPr>
          <w:rFonts w:ascii="Arial" w:hAnsi="Arial" w:cs="Arial"/>
        </w:rPr>
        <w:t>Continuous Learning and Feedback:</w:t>
      </w:r>
    </w:p>
    <w:p w14:paraId="22635C8F" w14:textId="084479B2" w:rsidR="00A35A44" w:rsidRDefault="006D2458" w:rsidP="00CC0A49">
      <w:pPr>
        <w:pStyle w:val="ListParagraph"/>
        <w:spacing w:line="360" w:lineRule="auto"/>
        <w:ind w:left="-142"/>
        <w:jc w:val="both"/>
        <w:rPr>
          <w:rFonts w:ascii="Arial" w:hAnsi="Arial" w:cs="Arial"/>
        </w:rPr>
      </w:pPr>
      <w:r w:rsidRPr="006D2458">
        <w:rPr>
          <w:rFonts w:ascii="Arial" w:hAnsi="Arial" w:cs="Arial"/>
        </w:rPr>
        <w:t>For staff growth and strategy alignment, it is crucial to establish a culture of continual learning. To improve employees' skills and knowledge, HR may support learning opportunities like workshops, seminars, online courses, and cross-functional initiatives (Tannenbaum &amp; Yukl, 1992). Timely and constructive feedback, performance reviews, and coaching sessions assist individuals in understanding their success and areas for growth, therefore connecting their development efforts with strategic goals (Cappelli, 2015).</w:t>
      </w:r>
    </w:p>
    <w:p w14:paraId="2604DF47" w14:textId="089DB5D9" w:rsidR="006D2458" w:rsidRDefault="00AB7C68" w:rsidP="00CC0A49">
      <w:pPr>
        <w:pStyle w:val="ListParagraph"/>
        <w:numPr>
          <w:ilvl w:val="0"/>
          <w:numId w:val="6"/>
        </w:numPr>
        <w:spacing w:line="360" w:lineRule="auto"/>
        <w:ind w:left="-142"/>
        <w:jc w:val="both"/>
        <w:rPr>
          <w:rFonts w:ascii="Arial" w:hAnsi="Arial" w:cs="Arial"/>
        </w:rPr>
      </w:pPr>
      <w:r w:rsidRPr="00AB7C68">
        <w:rPr>
          <w:rFonts w:ascii="Arial" w:hAnsi="Arial" w:cs="Arial"/>
        </w:rPr>
        <w:t>Succession Planning and Talent Management:</w:t>
      </w:r>
    </w:p>
    <w:p w14:paraId="7146BAF8" w14:textId="403CE787" w:rsidR="00AB7C68" w:rsidRDefault="00B824DB" w:rsidP="00CC0A49">
      <w:pPr>
        <w:pStyle w:val="ListParagraph"/>
        <w:spacing w:line="360" w:lineRule="auto"/>
        <w:ind w:left="-142"/>
        <w:jc w:val="both"/>
        <w:rPr>
          <w:rFonts w:ascii="Arial" w:hAnsi="Arial" w:cs="Arial"/>
        </w:rPr>
      </w:pPr>
      <w:r w:rsidRPr="00B824DB">
        <w:rPr>
          <w:rFonts w:ascii="Arial" w:hAnsi="Arial" w:cs="Arial"/>
        </w:rPr>
        <w:t xml:space="preserve">Employee development for leadership and strategic roles within the </w:t>
      </w:r>
      <w:r w:rsidR="00A51D02">
        <w:rPr>
          <w:rFonts w:ascii="Arial" w:hAnsi="Arial" w:cs="Arial"/>
        </w:rPr>
        <w:t>organization</w:t>
      </w:r>
      <w:r w:rsidRPr="00B824DB">
        <w:rPr>
          <w:rFonts w:ascii="Arial" w:hAnsi="Arial" w:cs="Arial"/>
        </w:rPr>
        <w:t xml:space="preserve"> depends heavily on succession planning and talent management </w:t>
      </w:r>
      <w:r w:rsidR="00A51D02">
        <w:rPr>
          <w:rFonts w:ascii="Arial" w:hAnsi="Arial" w:cs="Arial"/>
        </w:rPr>
        <w:t>programs</w:t>
      </w:r>
      <w:r w:rsidRPr="00B824DB">
        <w:rPr>
          <w:rFonts w:ascii="Arial" w:hAnsi="Arial" w:cs="Arial"/>
        </w:rPr>
        <w:t xml:space="preserve">. Human resources may identify high-potential workers and give them focused development opportunities, coaching, and exposure to significant initiatives </w:t>
      </w:r>
      <w:r w:rsidR="00A51D02">
        <w:rPr>
          <w:rFonts w:ascii="Arial" w:hAnsi="Arial" w:cs="Arial"/>
        </w:rPr>
        <w:t>to</w:t>
      </w:r>
      <w:r w:rsidRPr="00B824DB">
        <w:rPr>
          <w:rFonts w:ascii="Arial" w:hAnsi="Arial" w:cs="Arial"/>
        </w:rPr>
        <w:t xml:space="preserve"> prepare them for future strategic responsibilities (Ready &amp; Conger, 2007). Succession planning creates a pipeline of trained and competent personnel ready to contribute to the long-term strategic goals of the organisation.</w:t>
      </w:r>
    </w:p>
    <w:p w14:paraId="13A50A03" w14:textId="1E894670" w:rsidR="000660BC" w:rsidRDefault="00B42227" w:rsidP="00CC0A49">
      <w:pPr>
        <w:pStyle w:val="ListParagraph"/>
        <w:numPr>
          <w:ilvl w:val="0"/>
          <w:numId w:val="3"/>
        </w:numPr>
        <w:spacing w:line="360" w:lineRule="auto"/>
        <w:ind w:left="-142"/>
        <w:jc w:val="both"/>
        <w:rPr>
          <w:rFonts w:ascii="Arial" w:hAnsi="Arial" w:cs="Arial"/>
        </w:rPr>
      </w:pPr>
      <w:r w:rsidRPr="00B42227">
        <w:rPr>
          <w:rFonts w:ascii="Arial" w:hAnsi="Arial" w:cs="Arial"/>
        </w:rPr>
        <w:t>Evaluating the Effectiveness of Employee Development:</w:t>
      </w:r>
    </w:p>
    <w:p w14:paraId="63D7A5B6" w14:textId="00E92122" w:rsidR="00B42227" w:rsidRDefault="00947D8F" w:rsidP="00CC0A49">
      <w:pPr>
        <w:pStyle w:val="ListParagraph"/>
        <w:spacing w:line="360" w:lineRule="auto"/>
        <w:ind w:left="-142"/>
        <w:jc w:val="both"/>
        <w:rPr>
          <w:rFonts w:ascii="Arial" w:hAnsi="Arial" w:cs="Arial"/>
        </w:rPr>
      </w:pPr>
      <w:r w:rsidRPr="00947D8F">
        <w:rPr>
          <w:rFonts w:ascii="Arial" w:hAnsi="Arial" w:cs="Arial"/>
        </w:rPr>
        <w:lastRenderedPageBreak/>
        <w:t>To determine the effectiveness of employee development efforts in achieving strategic goals, HR can adopt various evaluation methods:</w:t>
      </w:r>
    </w:p>
    <w:p w14:paraId="6D6D5055" w14:textId="15EB44EE" w:rsidR="00207AD1" w:rsidRDefault="00207AD1" w:rsidP="00CC0A49">
      <w:pPr>
        <w:pStyle w:val="ListParagraph"/>
        <w:numPr>
          <w:ilvl w:val="0"/>
          <w:numId w:val="6"/>
        </w:numPr>
        <w:spacing w:line="360" w:lineRule="auto"/>
        <w:ind w:left="-142"/>
        <w:jc w:val="both"/>
        <w:rPr>
          <w:rFonts w:ascii="Arial" w:hAnsi="Arial" w:cs="Arial"/>
        </w:rPr>
      </w:pPr>
      <w:r w:rsidRPr="00207AD1">
        <w:rPr>
          <w:rFonts w:ascii="Arial" w:hAnsi="Arial" w:cs="Arial"/>
        </w:rPr>
        <w:t>Performance Metrics and Indicators:</w:t>
      </w:r>
    </w:p>
    <w:p w14:paraId="4BF01C32" w14:textId="0D937B3E" w:rsidR="00207AD1" w:rsidRDefault="000C7403" w:rsidP="00CC0A49">
      <w:pPr>
        <w:pStyle w:val="ListParagraph"/>
        <w:spacing w:line="360" w:lineRule="auto"/>
        <w:ind w:left="-142"/>
        <w:jc w:val="both"/>
        <w:rPr>
          <w:rFonts w:ascii="Arial" w:hAnsi="Arial" w:cs="Arial"/>
        </w:rPr>
      </w:pPr>
      <w:r w:rsidRPr="000C7403">
        <w:rPr>
          <w:rFonts w:ascii="Arial" w:hAnsi="Arial" w:cs="Arial"/>
        </w:rPr>
        <w:t xml:space="preserve">Setting up performance measures and indicators that are connected with strategic goals allows you to track the impact of staff development on intended results. Key performance indicators (KPIs), customer satisfaction ratings, financial data, or other relevant benchmarks may be included (Tannenbaum et al., 2010). When comparing pre- and post-development performance measures, insights </w:t>
      </w:r>
      <w:r w:rsidR="00A51D02">
        <w:rPr>
          <w:rFonts w:ascii="Arial" w:hAnsi="Arial" w:cs="Arial"/>
        </w:rPr>
        <w:t>into</w:t>
      </w:r>
      <w:r w:rsidRPr="000C7403">
        <w:rPr>
          <w:rFonts w:ascii="Arial" w:hAnsi="Arial" w:cs="Arial"/>
        </w:rPr>
        <w:t xml:space="preserve"> the success of development projects may be gained.</w:t>
      </w:r>
    </w:p>
    <w:p w14:paraId="0EA82561" w14:textId="4052AE89" w:rsidR="000C7403" w:rsidRDefault="00AD1F51" w:rsidP="00CC0A49">
      <w:pPr>
        <w:pStyle w:val="ListParagraph"/>
        <w:numPr>
          <w:ilvl w:val="0"/>
          <w:numId w:val="6"/>
        </w:numPr>
        <w:spacing w:line="360" w:lineRule="auto"/>
        <w:ind w:left="-142"/>
        <w:jc w:val="both"/>
        <w:rPr>
          <w:rFonts w:ascii="Arial" w:hAnsi="Arial" w:cs="Arial"/>
        </w:rPr>
      </w:pPr>
      <w:r w:rsidRPr="00AD1F51">
        <w:rPr>
          <w:rFonts w:ascii="Arial" w:hAnsi="Arial" w:cs="Arial"/>
        </w:rPr>
        <w:t>Feedback and Engagement Surveys:</w:t>
      </w:r>
    </w:p>
    <w:p w14:paraId="40BB6822" w14:textId="1753462B" w:rsidR="00572BD4" w:rsidRDefault="00C64465" w:rsidP="00CC0A49">
      <w:pPr>
        <w:pStyle w:val="ListParagraph"/>
        <w:spacing w:line="360" w:lineRule="auto"/>
        <w:ind w:left="-142"/>
        <w:jc w:val="both"/>
        <w:rPr>
          <w:rFonts w:ascii="Arial" w:hAnsi="Arial" w:cs="Arial"/>
        </w:rPr>
      </w:pPr>
      <w:r w:rsidRPr="00C64465">
        <w:rPr>
          <w:rFonts w:ascii="Arial" w:hAnsi="Arial" w:cs="Arial"/>
        </w:rPr>
        <w:t xml:space="preserve">Collecting input from employees and management via surveys, focus groups, or interviews gives important insights into the perceived impact of development initiatives on strategic goals (Liu et al., 2016). Employee engagement levels and satisfaction with development opportunities are assessed to help HR judge the efficacy of their </w:t>
      </w:r>
      <w:r w:rsidR="00A51D02">
        <w:rPr>
          <w:rFonts w:ascii="Arial" w:hAnsi="Arial" w:cs="Arial"/>
        </w:rPr>
        <w:t>programs</w:t>
      </w:r>
      <w:r w:rsidRPr="00C64465">
        <w:rPr>
          <w:rFonts w:ascii="Arial" w:hAnsi="Arial" w:cs="Arial"/>
        </w:rPr>
        <w:t xml:space="preserve"> and make the required modifications.</w:t>
      </w:r>
    </w:p>
    <w:p w14:paraId="417F9584" w14:textId="385A3599" w:rsidR="00C64465" w:rsidRDefault="004343D0" w:rsidP="00CC0A49">
      <w:pPr>
        <w:pStyle w:val="ListParagraph"/>
        <w:numPr>
          <w:ilvl w:val="0"/>
          <w:numId w:val="6"/>
        </w:numPr>
        <w:spacing w:line="360" w:lineRule="auto"/>
        <w:ind w:left="-142"/>
        <w:jc w:val="both"/>
        <w:rPr>
          <w:rFonts w:ascii="Arial" w:hAnsi="Arial" w:cs="Arial"/>
        </w:rPr>
      </w:pPr>
      <w:r w:rsidRPr="004343D0">
        <w:rPr>
          <w:rFonts w:ascii="Arial" w:hAnsi="Arial" w:cs="Arial"/>
        </w:rPr>
        <w:t xml:space="preserve"> Long-Term Impact on Organizational Performance:</w:t>
      </w:r>
    </w:p>
    <w:p w14:paraId="2941CCEB" w14:textId="1A7C1CA7" w:rsidR="004343D0" w:rsidRDefault="00785A1D" w:rsidP="00CC0A49">
      <w:pPr>
        <w:pStyle w:val="ListParagraph"/>
        <w:spacing w:line="360" w:lineRule="auto"/>
        <w:ind w:left="-142"/>
        <w:jc w:val="both"/>
        <w:rPr>
          <w:rFonts w:ascii="Arial" w:hAnsi="Arial" w:cs="Arial"/>
        </w:rPr>
      </w:pPr>
      <w:r w:rsidRPr="00785A1D">
        <w:rPr>
          <w:rFonts w:ascii="Arial" w:hAnsi="Arial" w:cs="Arial"/>
        </w:rPr>
        <w:t>The ultimate measure of the effectiveness of employee development lies in its impact on overall organizational performance. Longitudinal studies and comparative analysis can help assess the long-term contribution of employee development initiatives to strategic goals (Huselid, 1995).</w:t>
      </w:r>
    </w:p>
    <w:p w14:paraId="6E008C3B" w14:textId="4ECF346E" w:rsidR="0062282E" w:rsidRDefault="0062282E" w:rsidP="00CC0A49">
      <w:pPr>
        <w:pStyle w:val="ListParagraph"/>
        <w:numPr>
          <w:ilvl w:val="0"/>
          <w:numId w:val="1"/>
        </w:numPr>
        <w:spacing w:line="360" w:lineRule="auto"/>
        <w:ind w:left="-142"/>
        <w:jc w:val="both"/>
        <w:rPr>
          <w:rFonts w:ascii="Arial" w:hAnsi="Arial" w:cs="Arial"/>
          <w:b/>
          <w:bCs/>
        </w:rPr>
      </w:pPr>
      <w:r w:rsidRPr="0062282E">
        <w:rPr>
          <w:rFonts w:ascii="Arial" w:hAnsi="Arial" w:cs="Arial"/>
          <w:b/>
          <w:bCs/>
        </w:rPr>
        <w:t>What organisational climate factors affect the effectiveness of HR strategy?</w:t>
      </w:r>
    </w:p>
    <w:p w14:paraId="35404783" w14:textId="28509987" w:rsidR="00896EC9" w:rsidRDefault="004E7107" w:rsidP="00896EC9">
      <w:pPr>
        <w:pStyle w:val="ListParagraph"/>
        <w:numPr>
          <w:ilvl w:val="0"/>
          <w:numId w:val="8"/>
        </w:numPr>
        <w:spacing w:line="360" w:lineRule="auto"/>
        <w:ind w:left="-142"/>
        <w:jc w:val="both"/>
        <w:rPr>
          <w:rFonts w:ascii="Arial" w:hAnsi="Arial" w:cs="Arial"/>
        </w:rPr>
      </w:pPr>
      <w:r w:rsidRPr="00735B35">
        <w:rPr>
          <w:rFonts w:ascii="Arial" w:hAnsi="Arial" w:cs="Arial"/>
        </w:rPr>
        <w:t>Supportive Leadership:</w:t>
      </w:r>
    </w:p>
    <w:p w14:paraId="2A54A3B8" w14:textId="24421D08" w:rsidR="00896EC9" w:rsidRPr="00896EC9" w:rsidRDefault="00896EC9" w:rsidP="00896EC9">
      <w:pPr>
        <w:pStyle w:val="ListParagraph"/>
        <w:spacing w:line="360" w:lineRule="auto"/>
        <w:ind w:left="-142"/>
        <w:jc w:val="both"/>
        <w:rPr>
          <w:rFonts w:ascii="Arial" w:hAnsi="Arial" w:cs="Arial"/>
        </w:rPr>
      </w:pPr>
      <w:r w:rsidRPr="00896EC9">
        <w:rPr>
          <w:rFonts w:ascii="Arial" w:hAnsi="Arial" w:cs="Arial"/>
        </w:rPr>
        <w:t>Schneider et al. (2013) define supportive leadership as "leadership that values and promotes HR practises." This sort of leadership has a tremendous impact on the effectiveness of an HR strategy. Leaders that advocate for employee development, recognise and reward achievement, and actively participate in HR activities create an environment that allows HR strategies to be implemented effectively (Luthans et al., 2015). This leadership style encourages employee trust and commitment, which leads to enhanced engagement and alignment with strategic goals.</w:t>
      </w:r>
    </w:p>
    <w:p w14:paraId="22AA3F65" w14:textId="68618AC3" w:rsidR="00735B35" w:rsidRDefault="00880066" w:rsidP="00CC0A49">
      <w:pPr>
        <w:pStyle w:val="ListParagraph"/>
        <w:numPr>
          <w:ilvl w:val="0"/>
          <w:numId w:val="8"/>
        </w:numPr>
        <w:spacing w:line="360" w:lineRule="auto"/>
        <w:ind w:left="-142"/>
        <w:jc w:val="both"/>
        <w:rPr>
          <w:rFonts w:ascii="Arial" w:hAnsi="Arial" w:cs="Arial"/>
        </w:rPr>
      </w:pPr>
      <w:r w:rsidRPr="00880066">
        <w:rPr>
          <w:rFonts w:ascii="Arial" w:hAnsi="Arial" w:cs="Arial"/>
        </w:rPr>
        <w:t>Open Communication and Participation:</w:t>
      </w:r>
    </w:p>
    <w:p w14:paraId="35130A74" w14:textId="53AF354E" w:rsidR="00E7337A" w:rsidRDefault="00896EC9" w:rsidP="00E7337A">
      <w:pPr>
        <w:pStyle w:val="ListParagraph"/>
        <w:spacing w:line="360" w:lineRule="auto"/>
        <w:ind w:left="-142"/>
        <w:jc w:val="both"/>
        <w:rPr>
          <w:rFonts w:ascii="Arial" w:hAnsi="Arial" w:cs="Arial"/>
        </w:rPr>
      </w:pPr>
      <w:r w:rsidRPr="00896EC9">
        <w:rPr>
          <w:rFonts w:ascii="Arial" w:hAnsi="Arial" w:cs="Arial"/>
        </w:rPr>
        <w:t>The efficacy of HR regulations is enhanced by a workplace culture that values open communication and employee involvement. Employees' viewpoints are respected when they participate in decision-making processes, which leads to improved engagement and ownership (Bordia et al., 2004). Through open channels of communication, employees may offer feedback, voice issues, and contribute suggestions, leading to the creation and execution of more successful HR practises (Denison, 1996). This open and friendly environment increases the connection between HR strategy and employee engagement.</w:t>
      </w:r>
    </w:p>
    <w:p w14:paraId="5510DABD" w14:textId="735605FF" w:rsidR="0089745B" w:rsidRDefault="00EF135B" w:rsidP="00CC0A49">
      <w:pPr>
        <w:pStyle w:val="ListParagraph"/>
        <w:numPr>
          <w:ilvl w:val="0"/>
          <w:numId w:val="8"/>
        </w:numPr>
        <w:spacing w:line="360" w:lineRule="auto"/>
        <w:ind w:left="-142"/>
        <w:jc w:val="both"/>
        <w:rPr>
          <w:rFonts w:ascii="Arial" w:hAnsi="Arial" w:cs="Arial"/>
        </w:rPr>
      </w:pPr>
      <w:r w:rsidRPr="00EF135B">
        <w:rPr>
          <w:rFonts w:ascii="Arial" w:hAnsi="Arial" w:cs="Arial"/>
        </w:rPr>
        <w:t>Supportive HRM Practices:</w:t>
      </w:r>
    </w:p>
    <w:p w14:paraId="55725FF2" w14:textId="370D890E" w:rsidR="00896EC9" w:rsidRDefault="00896EC9" w:rsidP="00896EC9">
      <w:pPr>
        <w:pStyle w:val="ListParagraph"/>
        <w:spacing w:line="360" w:lineRule="auto"/>
        <w:ind w:left="-142"/>
        <w:jc w:val="both"/>
        <w:rPr>
          <w:rFonts w:ascii="Arial" w:hAnsi="Arial" w:cs="Arial"/>
        </w:rPr>
      </w:pPr>
      <w:r w:rsidRPr="00896EC9">
        <w:rPr>
          <w:rFonts w:ascii="Arial" w:hAnsi="Arial" w:cs="Arial"/>
        </w:rPr>
        <w:lastRenderedPageBreak/>
        <w:t xml:space="preserve">The context in which HR </w:t>
      </w:r>
      <w:r w:rsidR="005858EA" w:rsidRPr="00896EC9">
        <w:rPr>
          <w:rFonts w:ascii="Arial" w:hAnsi="Arial" w:cs="Arial"/>
        </w:rPr>
        <w:t>strategy’s</w:t>
      </w:r>
      <w:r w:rsidRPr="00896EC9">
        <w:rPr>
          <w:rFonts w:ascii="Arial" w:hAnsi="Arial" w:cs="Arial"/>
        </w:rPr>
        <w:t xml:space="preserve"> function is shaped by HRM practises. Employee views of fairness, trust, and support from the organisation are all influenced by performance management, training and development, and employee recognition (Kuvaas et al., 2007). Employee motivation, satisfaction, and commitment are enhanced in an environment that values fair and equitable treatment, opportunity for advancement, and appreciation of employee efforts (Eisenberger et al., 2010).</w:t>
      </w:r>
    </w:p>
    <w:p w14:paraId="191816ED" w14:textId="77777777" w:rsidR="00896EC9" w:rsidRDefault="00896EC9" w:rsidP="00896EC9">
      <w:pPr>
        <w:pStyle w:val="ListParagraph"/>
        <w:spacing w:line="360" w:lineRule="auto"/>
        <w:ind w:left="-142"/>
        <w:jc w:val="both"/>
        <w:rPr>
          <w:rFonts w:ascii="Arial" w:hAnsi="Arial" w:cs="Arial"/>
        </w:rPr>
      </w:pPr>
    </w:p>
    <w:p w14:paraId="1B87350E" w14:textId="324EEE48" w:rsidR="00346ABB" w:rsidRDefault="00472443" w:rsidP="00896EC9">
      <w:pPr>
        <w:pStyle w:val="ListParagraph"/>
        <w:numPr>
          <w:ilvl w:val="0"/>
          <w:numId w:val="8"/>
        </w:numPr>
        <w:spacing w:line="360" w:lineRule="auto"/>
        <w:ind w:left="-142"/>
        <w:jc w:val="both"/>
        <w:rPr>
          <w:rFonts w:ascii="Arial" w:hAnsi="Arial" w:cs="Arial"/>
        </w:rPr>
      </w:pPr>
      <w:r w:rsidRPr="00E7337A">
        <w:rPr>
          <w:rFonts w:ascii="Arial" w:hAnsi="Arial" w:cs="Arial"/>
        </w:rPr>
        <w:t>Organizational Culture:</w:t>
      </w:r>
    </w:p>
    <w:p w14:paraId="03637BEA" w14:textId="3F581CA0" w:rsidR="00896EC9" w:rsidRPr="00E7337A" w:rsidRDefault="00896EC9" w:rsidP="00896EC9">
      <w:pPr>
        <w:pStyle w:val="ListParagraph"/>
        <w:spacing w:line="360" w:lineRule="auto"/>
        <w:ind w:left="-142"/>
        <w:jc w:val="both"/>
        <w:rPr>
          <w:rFonts w:ascii="Arial" w:hAnsi="Arial" w:cs="Arial"/>
        </w:rPr>
      </w:pPr>
      <w:r w:rsidRPr="00896EC9">
        <w:rPr>
          <w:rFonts w:ascii="Arial" w:hAnsi="Arial" w:cs="Arial"/>
        </w:rPr>
        <w:t>Another important environmental factor affecting the effectiveness of HR strategies is organisational culture, which is described as shared values, beliefs, and customs inside a company (Schein, 1990). A culture that promotes continuous learning, creativity, and adaptability facilitates the implementation of HR policies targeted at boosting employees' skills and competences (Fey et al., 2000). On the other side, a culture that is resistant to change or fails to prioritise employee development may jeopardise the effectiveness of an HR strategy.</w:t>
      </w:r>
    </w:p>
    <w:p w14:paraId="10C06721" w14:textId="4C9921F9" w:rsidR="001F562C" w:rsidRDefault="001F562C" w:rsidP="00CC0A49">
      <w:pPr>
        <w:pStyle w:val="ListParagraph"/>
        <w:numPr>
          <w:ilvl w:val="0"/>
          <w:numId w:val="8"/>
        </w:numPr>
        <w:spacing w:line="360" w:lineRule="auto"/>
        <w:ind w:left="-142"/>
        <w:jc w:val="both"/>
        <w:rPr>
          <w:rFonts w:ascii="Arial" w:hAnsi="Arial" w:cs="Arial"/>
        </w:rPr>
      </w:pPr>
      <w:r w:rsidRPr="001F562C">
        <w:rPr>
          <w:rFonts w:ascii="Arial" w:hAnsi="Arial" w:cs="Arial"/>
        </w:rPr>
        <w:t>Employee Engagement and Trust</w:t>
      </w:r>
      <w:r>
        <w:rPr>
          <w:rFonts w:ascii="Arial" w:hAnsi="Arial" w:cs="Arial"/>
        </w:rPr>
        <w:t>:</w:t>
      </w:r>
    </w:p>
    <w:p w14:paraId="389E2249" w14:textId="3A587AC6" w:rsidR="00896EC9" w:rsidRDefault="00896EC9" w:rsidP="00896EC9">
      <w:pPr>
        <w:pStyle w:val="ListParagraph"/>
        <w:spacing w:line="360" w:lineRule="auto"/>
        <w:ind w:left="-142"/>
        <w:jc w:val="both"/>
        <w:rPr>
          <w:rFonts w:ascii="Arial" w:hAnsi="Arial" w:cs="Arial"/>
        </w:rPr>
      </w:pPr>
      <w:r w:rsidRPr="00896EC9">
        <w:rPr>
          <w:rFonts w:ascii="Arial" w:hAnsi="Arial" w:cs="Arial"/>
        </w:rPr>
        <w:t>According to Gonring et al. (2019), the effectiveness of HR initiatives is positively impacted by employee engagement and internal trust. Employees that are engaged and trust their leaders and HR systems are more likely to embrace and actively participate in HR projects, which leads to better implementation and outcomes (Kahn, 1990). A culture of trust and engagement drives people to give their utmost, to align their behaviours with strategic goals, and to contribute to the overall success of the company.</w:t>
      </w:r>
    </w:p>
    <w:p w14:paraId="44481E60" w14:textId="77777777" w:rsidR="00FC5DB1" w:rsidRDefault="00FC5DB1" w:rsidP="00896EC9">
      <w:pPr>
        <w:pStyle w:val="ListParagraph"/>
        <w:spacing w:line="360" w:lineRule="auto"/>
        <w:ind w:left="-142"/>
        <w:jc w:val="both"/>
        <w:rPr>
          <w:rFonts w:ascii="Arial" w:hAnsi="Arial" w:cs="Arial"/>
        </w:rPr>
      </w:pPr>
    </w:p>
    <w:p w14:paraId="3DAEC1A6" w14:textId="77777777" w:rsidR="00FC5DB1" w:rsidRDefault="00FC5DB1" w:rsidP="00896EC9">
      <w:pPr>
        <w:pStyle w:val="ListParagraph"/>
        <w:spacing w:line="360" w:lineRule="auto"/>
        <w:ind w:left="-142"/>
        <w:jc w:val="both"/>
        <w:rPr>
          <w:rFonts w:ascii="Arial" w:hAnsi="Arial" w:cs="Arial"/>
        </w:rPr>
      </w:pPr>
    </w:p>
    <w:p w14:paraId="04CA6476" w14:textId="77777777" w:rsidR="00FC5DB1" w:rsidRDefault="00FC5DB1" w:rsidP="00896EC9">
      <w:pPr>
        <w:pStyle w:val="ListParagraph"/>
        <w:spacing w:line="360" w:lineRule="auto"/>
        <w:ind w:left="-142"/>
        <w:jc w:val="both"/>
        <w:rPr>
          <w:rFonts w:ascii="Arial" w:hAnsi="Arial" w:cs="Arial"/>
        </w:rPr>
      </w:pPr>
    </w:p>
    <w:p w14:paraId="407DB5E3" w14:textId="77777777" w:rsidR="00FC5DB1" w:rsidRDefault="00FC5DB1" w:rsidP="00896EC9">
      <w:pPr>
        <w:pStyle w:val="ListParagraph"/>
        <w:spacing w:line="360" w:lineRule="auto"/>
        <w:ind w:left="-142"/>
        <w:jc w:val="both"/>
        <w:rPr>
          <w:rFonts w:ascii="Arial" w:hAnsi="Arial" w:cs="Arial"/>
        </w:rPr>
      </w:pPr>
    </w:p>
    <w:p w14:paraId="6953A871" w14:textId="77777777" w:rsidR="00FC5DB1" w:rsidRDefault="00FC5DB1" w:rsidP="00896EC9">
      <w:pPr>
        <w:pStyle w:val="ListParagraph"/>
        <w:spacing w:line="360" w:lineRule="auto"/>
        <w:ind w:left="-142"/>
        <w:jc w:val="both"/>
        <w:rPr>
          <w:rFonts w:ascii="Arial" w:hAnsi="Arial" w:cs="Arial"/>
        </w:rPr>
      </w:pPr>
    </w:p>
    <w:p w14:paraId="17E6EB68" w14:textId="77777777" w:rsidR="002C1582" w:rsidRDefault="002C1582" w:rsidP="00896EC9">
      <w:pPr>
        <w:pStyle w:val="ListParagraph"/>
        <w:spacing w:line="360" w:lineRule="auto"/>
        <w:ind w:left="-142"/>
        <w:jc w:val="both"/>
        <w:rPr>
          <w:rFonts w:ascii="Arial" w:hAnsi="Arial" w:cs="Arial"/>
        </w:rPr>
      </w:pPr>
    </w:p>
    <w:p w14:paraId="3EC99D93" w14:textId="77777777" w:rsidR="002C1582" w:rsidRDefault="002C1582" w:rsidP="00896EC9">
      <w:pPr>
        <w:pStyle w:val="ListParagraph"/>
        <w:spacing w:line="360" w:lineRule="auto"/>
        <w:ind w:left="-142"/>
        <w:jc w:val="both"/>
        <w:rPr>
          <w:rFonts w:ascii="Arial" w:hAnsi="Arial" w:cs="Arial"/>
        </w:rPr>
      </w:pPr>
    </w:p>
    <w:p w14:paraId="6E5CC72C" w14:textId="77777777" w:rsidR="002C1582" w:rsidRDefault="002C1582" w:rsidP="00896EC9">
      <w:pPr>
        <w:pStyle w:val="ListParagraph"/>
        <w:spacing w:line="360" w:lineRule="auto"/>
        <w:ind w:left="-142"/>
        <w:jc w:val="both"/>
        <w:rPr>
          <w:rFonts w:ascii="Arial" w:hAnsi="Arial" w:cs="Arial"/>
        </w:rPr>
      </w:pPr>
    </w:p>
    <w:p w14:paraId="273D11DF" w14:textId="1853100B" w:rsidR="007E262F" w:rsidRPr="005B0664" w:rsidRDefault="007E262F" w:rsidP="00CC0A49">
      <w:pPr>
        <w:pStyle w:val="ListParagraph"/>
        <w:spacing w:line="360" w:lineRule="auto"/>
        <w:ind w:left="-142"/>
        <w:jc w:val="both"/>
        <w:rPr>
          <w:rFonts w:ascii="Arial" w:hAnsi="Arial" w:cs="Arial"/>
          <w:b/>
          <w:bCs/>
        </w:rPr>
      </w:pPr>
      <w:r w:rsidRPr="005B0664">
        <w:rPr>
          <w:rFonts w:ascii="Arial" w:hAnsi="Arial" w:cs="Arial"/>
          <w:b/>
          <w:bCs/>
        </w:rPr>
        <w:t>Conclusion</w:t>
      </w:r>
      <w:r w:rsidR="00FD4624" w:rsidRPr="005B0664">
        <w:rPr>
          <w:rFonts w:ascii="Arial" w:hAnsi="Arial" w:cs="Arial"/>
          <w:b/>
          <w:bCs/>
        </w:rPr>
        <w:t>:</w:t>
      </w:r>
    </w:p>
    <w:p w14:paraId="6C50CE28" w14:textId="37C90EC4" w:rsidR="00C123E2" w:rsidRDefault="0059337F" w:rsidP="00CC0A49">
      <w:pPr>
        <w:pStyle w:val="ListParagraph"/>
        <w:spacing w:line="360" w:lineRule="auto"/>
        <w:ind w:left="-142"/>
        <w:jc w:val="both"/>
        <w:rPr>
          <w:rFonts w:ascii="Arial" w:hAnsi="Arial" w:cs="Arial"/>
        </w:rPr>
      </w:pPr>
      <w:r w:rsidRPr="0059337F">
        <w:rPr>
          <w:rFonts w:ascii="Arial" w:hAnsi="Arial" w:cs="Arial"/>
        </w:rPr>
        <w:t xml:space="preserve">Because of the differences in settings and goals, HR functions in the commercial and public sectors differ. The private sector places a premium on flexibility, market-driven </w:t>
      </w:r>
      <w:r w:rsidR="00A51D02">
        <w:rPr>
          <w:rFonts w:ascii="Arial" w:hAnsi="Arial" w:cs="Arial"/>
        </w:rPr>
        <w:t>practices</w:t>
      </w:r>
      <w:r w:rsidRPr="0059337F">
        <w:rPr>
          <w:rFonts w:ascii="Arial" w:hAnsi="Arial" w:cs="Arial"/>
        </w:rPr>
        <w:t xml:space="preserve">, and individual success, whereas the public sector places a premium on fairness, transparency, and compliance with rules. While private sector human resources tend to be more strategic in nature, public sector human resources frequently function inside bureaucratic institutions, focused on compliance and collective employee connections. It is critical for organisations to assess the success of HR initiatives </w:t>
      </w:r>
      <w:r w:rsidR="00A51D02">
        <w:rPr>
          <w:rFonts w:ascii="Arial" w:hAnsi="Arial" w:cs="Arial"/>
        </w:rPr>
        <w:t>to</w:t>
      </w:r>
      <w:r w:rsidRPr="0059337F">
        <w:rPr>
          <w:rFonts w:ascii="Arial" w:hAnsi="Arial" w:cs="Arial"/>
        </w:rPr>
        <w:t xml:space="preserve"> improve performance and remain competitive. Agency </w:t>
      </w:r>
      <w:r w:rsidRPr="0059337F">
        <w:rPr>
          <w:rFonts w:ascii="Arial" w:hAnsi="Arial" w:cs="Arial"/>
        </w:rPr>
        <w:lastRenderedPageBreak/>
        <w:t xml:space="preserve">theory is a useful paradigm for studying the interactions between agents and principals. HR tactics may be </w:t>
      </w:r>
      <w:r w:rsidR="00A51D02">
        <w:rPr>
          <w:rFonts w:ascii="Arial" w:hAnsi="Arial" w:cs="Arial"/>
        </w:rPr>
        <w:t>optimized</w:t>
      </w:r>
      <w:r w:rsidRPr="0059337F">
        <w:rPr>
          <w:rFonts w:ascii="Arial" w:hAnsi="Arial" w:cs="Arial"/>
        </w:rPr>
        <w:t xml:space="preserve"> for increased efficacy by concentrating on the interaction between agents and customers, resolving misunderstandings, and decreasing distrust. HR is critical to developing people to meet strategic objectives. Key tactics for effective development include aligning staff development with </w:t>
      </w:r>
      <w:r w:rsidR="00A51D02">
        <w:rPr>
          <w:rFonts w:ascii="Arial" w:hAnsi="Arial" w:cs="Arial"/>
        </w:rPr>
        <w:t>organizational</w:t>
      </w:r>
      <w:r w:rsidRPr="0059337F">
        <w:rPr>
          <w:rFonts w:ascii="Arial" w:hAnsi="Arial" w:cs="Arial"/>
        </w:rPr>
        <w:t xml:space="preserve"> goals, performing needs assessments, fostering a culture of continuous learning, and implementing talent management </w:t>
      </w:r>
      <w:r w:rsidR="00A51D02">
        <w:rPr>
          <w:rFonts w:ascii="Arial" w:hAnsi="Arial" w:cs="Arial"/>
        </w:rPr>
        <w:t>programs</w:t>
      </w:r>
      <w:r w:rsidRPr="0059337F">
        <w:rPr>
          <w:rFonts w:ascii="Arial" w:hAnsi="Arial" w:cs="Arial"/>
        </w:rPr>
        <w:t xml:space="preserve">. Evaluating the success of development activities through performance measures, feedback, and the long-term influence on organisational performance ensures that HR </w:t>
      </w:r>
      <w:r w:rsidR="00A51D02">
        <w:rPr>
          <w:rFonts w:ascii="Arial" w:hAnsi="Arial" w:cs="Arial"/>
        </w:rPr>
        <w:t>programs</w:t>
      </w:r>
      <w:r w:rsidRPr="0059337F">
        <w:rPr>
          <w:rFonts w:ascii="Arial" w:hAnsi="Arial" w:cs="Arial"/>
        </w:rPr>
        <w:t xml:space="preserve"> support strategic goals. HR may improve employee competencies, connect their talents with business objectives, and promote organisational success by using these techniques. </w:t>
      </w:r>
    </w:p>
    <w:p w14:paraId="1E7EE02C" w14:textId="17A99309" w:rsidR="00C222FE" w:rsidRDefault="0059337F" w:rsidP="00CC0A49">
      <w:pPr>
        <w:pStyle w:val="ListParagraph"/>
        <w:spacing w:line="360" w:lineRule="auto"/>
        <w:ind w:left="-142"/>
        <w:jc w:val="both"/>
        <w:rPr>
          <w:rFonts w:ascii="Arial" w:hAnsi="Arial" w:cs="Arial"/>
        </w:rPr>
      </w:pPr>
      <w:r w:rsidRPr="0059337F">
        <w:rPr>
          <w:rFonts w:ascii="Arial" w:hAnsi="Arial" w:cs="Arial"/>
        </w:rPr>
        <w:t xml:space="preserve">The success of HR initiatives is heavily influenced by organisational environmental considerations. Supportive leadership, open communication, and employee involvement foster an environment </w:t>
      </w:r>
      <w:r w:rsidR="005858EA">
        <w:rPr>
          <w:rFonts w:ascii="Arial" w:hAnsi="Arial" w:cs="Arial"/>
        </w:rPr>
        <w:t>favourable</w:t>
      </w:r>
      <w:r w:rsidRPr="0059337F">
        <w:rPr>
          <w:rFonts w:ascii="Arial" w:hAnsi="Arial" w:cs="Arial"/>
        </w:rPr>
        <w:t xml:space="preserve"> to the successful implementation of HR strategies. Employee motivation and commitment are increased through supportive HRM </w:t>
      </w:r>
      <w:r w:rsidR="00A51D02">
        <w:rPr>
          <w:rFonts w:ascii="Arial" w:hAnsi="Arial" w:cs="Arial"/>
        </w:rPr>
        <w:t>practices</w:t>
      </w:r>
      <w:r w:rsidRPr="0059337F">
        <w:rPr>
          <w:rFonts w:ascii="Arial" w:hAnsi="Arial" w:cs="Arial"/>
        </w:rPr>
        <w:t xml:space="preserve"> such as fair treatment and employee appreciation. Employee engagement and trust create active involvement and ownership, while organisational culture determines the alignment of HR initiatives with organisational goals. </w:t>
      </w:r>
      <w:r w:rsidR="00A51D02">
        <w:rPr>
          <w:rFonts w:ascii="Arial" w:hAnsi="Arial" w:cs="Arial"/>
        </w:rPr>
        <w:t>Recognizing</w:t>
      </w:r>
      <w:r w:rsidRPr="0059337F">
        <w:rPr>
          <w:rFonts w:ascii="Arial" w:hAnsi="Arial" w:cs="Arial"/>
        </w:rPr>
        <w:t xml:space="preserve"> and managing these climate elements is critical for developing and executing successful human resource strategies that provide desired results and contribute to organisational success.</w:t>
      </w:r>
    </w:p>
    <w:p w14:paraId="4B9DE340" w14:textId="77777777" w:rsidR="00241F69" w:rsidRDefault="00241F69" w:rsidP="00CC0A49">
      <w:pPr>
        <w:pStyle w:val="ListParagraph"/>
        <w:spacing w:line="360" w:lineRule="auto"/>
        <w:ind w:left="-142"/>
        <w:jc w:val="both"/>
        <w:rPr>
          <w:rFonts w:ascii="Arial" w:hAnsi="Arial" w:cs="Arial"/>
        </w:rPr>
      </w:pPr>
    </w:p>
    <w:p w14:paraId="3ADD8E9C" w14:textId="6DC05D3C" w:rsidR="005858EA" w:rsidRPr="005858EA" w:rsidRDefault="008872D3" w:rsidP="005858EA">
      <w:pPr>
        <w:pStyle w:val="ListParagraph"/>
        <w:spacing w:line="360" w:lineRule="auto"/>
        <w:ind w:left="-142"/>
        <w:jc w:val="both"/>
        <w:rPr>
          <w:rFonts w:ascii="Arial" w:hAnsi="Arial" w:cs="Arial"/>
        </w:rPr>
      </w:pPr>
      <w:r w:rsidRPr="008872D3">
        <w:rPr>
          <w:rFonts w:ascii="Arial" w:hAnsi="Arial" w:cs="Arial"/>
        </w:rPr>
        <w:t>References</w:t>
      </w:r>
    </w:p>
    <w:p w14:paraId="60B4CD70" w14:textId="77777777" w:rsidR="005858EA" w:rsidRDefault="005858EA" w:rsidP="00241F69">
      <w:pPr>
        <w:pStyle w:val="ListParagraph"/>
        <w:spacing w:line="360" w:lineRule="auto"/>
        <w:ind w:left="-142"/>
        <w:jc w:val="both"/>
        <w:rPr>
          <w:rFonts w:ascii="Arial" w:hAnsi="Arial" w:cs="Arial"/>
        </w:rPr>
      </w:pPr>
      <w:r w:rsidRPr="00EF2591">
        <w:rPr>
          <w:rFonts w:ascii="Arial" w:hAnsi="Arial" w:cs="Arial"/>
        </w:rPr>
        <w:t>Bassi, L., &amp; McMurrer, D. (2007). The ASTD competency study: Mapping the future. American Society for Training and Development</w:t>
      </w:r>
      <w:r>
        <w:rPr>
          <w:rFonts w:ascii="Arial" w:hAnsi="Arial" w:cs="Arial"/>
        </w:rPr>
        <w:t>.</w:t>
      </w:r>
    </w:p>
    <w:p w14:paraId="133A2891" w14:textId="77777777" w:rsidR="005858EA" w:rsidRDefault="005858EA" w:rsidP="00CC0A49">
      <w:pPr>
        <w:pStyle w:val="ListParagraph"/>
        <w:spacing w:line="360" w:lineRule="auto"/>
        <w:ind w:left="-142"/>
        <w:jc w:val="both"/>
        <w:rPr>
          <w:rFonts w:ascii="Arial" w:hAnsi="Arial" w:cs="Arial"/>
        </w:rPr>
      </w:pPr>
      <w:r w:rsidRPr="00737B1C">
        <w:rPr>
          <w:rFonts w:ascii="Arial" w:hAnsi="Arial" w:cs="Arial"/>
        </w:rPr>
        <w:t xml:space="preserve">Batt, R. (2012). Managing Customer Services: Human Resource Practices, Quit Rates, and Sales Growth. Academy of Management Journal, 45(3), </w:t>
      </w:r>
      <w:r>
        <w:rPr>
          <w:rFonts w:ascii="Arial" w:hAnsi="Arial" w:cs="Arial"/>
        </w:rPr>
        <w:t>pp.</w:t>
      </w:r>
      <w:r w:rsidRPr="00737B1C">
        <w:rPr>
          <w:rFonts w:ascii="Arial" w:hAnsi="Arial" w:cs="Arial"/>
        </w:rPr>
        <w:t>587-597.</w:t>
      </w:r>
    </w:p>
    <w:p w14:paraId="39330536" w14:textId="77777777" w:rsidR="005858EA" w:rsidRDefault="005858EA" w:rsidP="00CC0A49">
      <w:pPr>
        <w:pStyle w:val="ListParagraph"/>
        <w:spacing w:line="360" w:lineRule="auto"/>
        <w:ind w:left="-142"/>
        <w:jc w:val="both"/>
        <w:rPr>
          <w:rFonts w:ascii="Arial" w:hAnsi="Arial" w:cs="Arial"/>
        </w:rPr>
      </w:pPr>
      <w:r w:rsidRPr="0023794D">
        <w:rPr>
          <w:rFonts w:ascii="Arial" w:hAnsi="Arial" w:cs="Arial"/>
        </w:rPr>
        <w:t>Bordia, P., Hobman, E., Jones, E., Gallois, C., &amp; Callan, V. (2004). Uncertainty during organizational change: Managing perceptions through communication. Journal of Change Management, 4(4),</w:t>
      </w:r>
      <w:r>
        <w:rPr>
          <w:rFonts w:ascii="Arial" w:hAnsi="Arial" w:cs="Arial"/>
        </w:rPr>
        <w:t xml:space="preserve"> pp.</w:t>
      </w:r>
      <w:r w:rsidRPr="0023794D">
        <w:rPr>
          <w:rFonts w:ascii="Arial" w:hAnsi="Arial" w:cs="Arial"/>
        </w:rPr>
        <w:t xml:space="preserve"> 367-386.</w:t>
      </w:r>
    </w:p>
    <w:p w14:paraId="755BCDD8" w14:textId="77777777" w:rsidR="005858EA" w:rsidRDefault="005858EA" w:rsidP="00241F69">
      <w:pPr>
        <w:pStyle w:val="ListParagraph"/>
        <w:spacing w:line="360" w:lineRule="auto"/>
        <w:ind w:left="-142"/>
        <w:jc w:val="both"/>
        <w:rPr>
          <w:rFonts w:ascii="Arial" w:hAnsi="Arial" w:cs="Arial"/>
        </w:rPr>
      </w:pPr>
      <w:r w:rsidRPr="008C50C6">
        <w:rPr>
          <w:rFonts w:ascii="Arial" w:hAnsi="Arial" w:cs="Arial"/>
        </w:rPr>
        <w:t>Boxall, P., &amp; Purcell, J. (2011). Strategy and Human Resource Management (3rd ed.). Palgrave Macmillan.</w:t>
      </w:r>
    </w:p>
    <w:p w14:paraId="5DF4C084" w14:textId="77777777" w:rsidR="005858EA" w:rsidRDefault="005858EA" w:rsidP="00CC0A49">
      <w:pPr>
        <w:pStyle w:val="ListParagraph"/>
        <w:spacing w:line="360" w:lineRule="auto"/>
        <w:ind w:left="-142"/>
        <w:jc w:val="both"/>
        <w:rPr>
          <w:rFonts w:ascii="Arial" w:hAnsi="Arial" w:cs="Arial"/>
        </w:rPr>
      </w:pPr>
      <w:r w:rsidRPr="0082246B">
        <w:rPr>
          <w:rFonts w:ascii="Arial" w:hAnsi="Arial" w:cs="Arial"/>
        </w:rPr>
        <w:t>Brewster, C., &amp; Hegewisch, A. (2017). Policy and Practice in European Human Resource Management: The Price Waterhouse Cranfield Survey. Routledge.</w:t>
      </w:r>
    </w:p>
    <w:p w14:paraId="118A7B45" w14:textId="77777777" w:rsidR="005858EA" w:rsidRDefault="005858EA" w:rsidP="00CC0A49">
      <w:pPr>
        <w:pStyle w:val="ListParagraph"/>
        <w:spacing w:line="360" w:lineRule="auto"/>
        <w:ind w:left="-142"/>
        <w:jc w:val="both"/>
        <w:rPr>
          <w:rFonts w:ascii="Arial" w:hAnsi="Arial" w:cs="Arial"/>
        </w:rPr>
      </w:pPr>
      <w:r w:rsidRPr="008C50C6">
        <w:rPr>
          <w:rFonts w:ascii="Arial" w:hAnsi="Arial" w:cs="Arial"/>
        </w:rPr>
        <w:t>Budhwar, P. S., &amp; Debrah, Y. A. (2013). Human Resource Management in Developing Countries. Routledge.</w:t>
      </w:r>
    </w:p>
    <w:p w14:paraId="08A7CE73" w14:textId="77777777" w:rsidR="005858EA" w:rsidRDefault="005858EA" w:rsidP="00CC0A49">
      <w:pPr>
        <w:pStyle w:val="ListParagraph"/>
        <w:spacing w:line="360" w:lineRule="auto"/>
        <w:ind w:left="-142"/>
        <w:jc w:val="both"/>
        <w:rPr>
          <w:rFonts w:ascii="Arial" w:hAnsi="Arial" w:cs="Arial"/>
        </w:rPr>
      </w:pPr>
      <w:r w:rsidRPr="00766C54">
        <w:rPr>
          <w:rFonts w:ascii="Arial" w:hAnsi="Arial" w:cs="Arial"/>
        </w:rPr>
        <w:t xml:space="preserve">Cappelli, P. (2015). Talent management for the twenty-first century. Harvard Business Review, 93(3), </w:t>
      </w:r>
      <w:r>
        <w:rPr>
          <w:rFonts w:ascii="Arial" w:hAnsi="Arial" w:cs="Arial"/>
        </w:rPr>
        <w:t>pp.</w:t>
      </w:r>
      <w:r w:rsidRPr="00766C54">
        <w:rPr>
          <w:rFonts w:ascii="Arial" w:hAnsi="Arial" w:cs="Arial"/>
        </w:rPr>
        <w:t>74-81.</w:t>
      </w:r>
    </w:p>
    <w:p w14:paraId="28A7D716" w14:textId="77777777" w:rsidR="005858EA" w:rsidRDefault="005858EA" w:rsidP="00CC0A49">
      <w:pPr>
        <w:pStyle w:val="ListParagraph"/>
        <w:spacing w:line="360" w:lineRule="auto"/>
        <w:ind w:left="-142"/>
        <w:jc w:val="both"/>
        <w:rPr>
          <w:rFonts w:ascii="Arial" w:hAnsi="Arial" w:cs="Arial"/>
        </w:rPr>
      </w:pPr>
      <w:r w:rsidRPr="003257FE">
        <w:rPr>
          <w:rFonts w:ascii="Arial" w:hAnsi="Arial" w:cs="Arial"/>
        </w:rPr>
        <w:lastRenderedPageBreak/>
        <w:t xml:space="preserve">Connelly, C. E., Tihanyi, L., &amp; Crook, T. R. (2011). Exploring the Link between Misconduct and Agency Theory: A Study of Mutual Funds. Academy of Management Journal, 54(5), </w:t>
      </w:r>
      <w:r>
        <w:rPr>
          <w:rFonts w:ascii="Arial" w:hAnsi="Arial" w:cs="Arial"/>
        </w:rPr>
        <w:t>pp.</w:t>
      </w:r>
      <w:r w:rsidRPr="003257FE">
        <w:rPr>
          <w:rFonts w:ascii="Arial" w:hAnsi="Arial" w:cs="Arial"/>
        </w:rPr>
        <w:t>1035-1055.</w:t>
      </w:r>
    </w:p>
    <w:p w14:paraId="49F34181" w14:textId="77777777" w:rsidR="005858EA" w:rsidRDefault="005858EA" w:rsidP="00CC0A49">
      <w:pPr>
        <w:pStyle w:val="ListParagraph"/>
        <w:spacing w:line="360" w:lineRule="auto"/>
        <w:ind w:left="-142"/>
        <w:jc w:val="both"/>
        <w:rPr>
          <w:rFonts w:ascii="Arial" w:hAnsi="Arial" w:cs="Arial"/>
        </w:rPr>
      </w:pPr>
      <w:r w:rsidRPr="00766C54">
        <w:rPr>
          <w:rFonts w:ascii="Arial" w:hAnsi="Arial" w:cs="Arial"/>
        </w:rPr>
        <w:t xml:space="preserve">Denison, D. R. (1996). What is the difference between organizational culture and organizational climate? A native's point of view on a decade of paradigm wars. Academy of Management Review, 21(3), </w:t>
      </w:r>
      <w:r>
        <w:rPr>
          <w:rFonts w:ascii="Arial" w:hAnsi="Arial" w:cs="Arial"/>
        </w:rPr>
        <w:t>pp.</w:t>
      </w:r>
      <w:r w:rsidRPr="00766C54">
        <w:rPr>
          <w:rFonts w:ascii="Arial" w:hAnsi="Arial" w:cs="Arial"/>
        </w:rPr>
        <w:t>619-654.</w:t>
      </w:r>
    </w:p>
    <w:p w14:paraId="1424DBE4" w14:textId="77777777" w:rsidR="005858EA" w:rsidRDefault="005858EA" w:rsidP="00CC0A49">
      <w:pPr>
        <w:pStyle w:val="ListParagraph"/>
        <w:spacing w:line="360" w:lineRule="auto"/>
        <w:ind w:left="-142"/>
        <w:jc w:val="both"/>
        <w:rPr>
          <w:rFonts w:ascii="Arial" w:hAnsi="Arial" w:cs="Arial"/>
        </w:rPr>
      </w:pPr>
      <w:r w:rsidRPr="00EF2591">
        <w:rPr>
          <w:rFonts w:ascii="Arial" w:hAnsi="Arial" w:cs="Arial"/>
        </w:rPr>
        <w:t xml:space="preserve">Dries, N., &amp; Pepermans, R. (2012). Talent management and strategic HRM: A proposed taxonomy of interventions and outcomes. Human Resource Management Review, 22(4), </w:t>
      </w:r>
      <w:r>
        <w:rPr>
          <w:rFonts w:ascii="Arial" w:hAnsi="Arial" w:cs="Arial"/>
        </w:rPr>
        <w:t>pp.</w:t>
      </w:r>
      <w:r w:rsidRPr="00EF2591">
        <w:rPr>
          <w:rFonts w:ascii="Arial" w:hAnsi="Arial" w:cs="Arial"/>
        </w:rPr>
        <w:t>1-19.</w:t>
      </w:r>
    </w:p>
    <w:p w14:paraId="65146E20" w14:textId="77777777" w:rsidR="005858EA" w:rsidRDefault="005858EA" w:rsidP="00CC0A49">
      <w:pPr>
        <w:pStyle w:val="ListParagraph"/>
        <w:spacing w:line="360" w:lineRule="auto"/>
        <w:ind w:left="-142"/>
        <w:jc w:val="both"/>
        <w:rPr>
          <w:rFonts w:ascii="Arial" w:hAnsi="Arial" w:cs="Arial"/>
        </w:rPr>
      </w:pPr>
      <w:r w:rsidRPr="00306569">
        <w:rPr>
          <w:rFonts w:ascii="Arial" w:hAnsi="Arial" w:cs="Arial"/>
        </w:rPr>
        <w:t>Eisenberger, R., Huntington, R., Hutchison, S., &amp; Sowa, D. (2010). Perceived organizational support. Journal of Applied Psychology, 75(1),</w:t>
      </w:r>
      <w:r>
        <w:rPr>
          <w:rFonts w:ascii="Arial" w:hAnsi="Arial" w:cs="Arial"/>
        </w:rPr>
        <w:t xml:space="preserve"> pp.</w:t>
      </w:r>
      <w:r w:rsidRPr="00306569">
        <w:rPr>
          <w:rFonts w:ascii="Arial" w:hAnsi="Arial" w:cs="Arial"/>
        </w:rPr>
        <w:t xml:space="preserve"> 51-59.</w:t>
      </w:r>
    </w:p>
    <w:p w14:paraId="5BD1B995" w14:textId="77777777" w:rsidR="005858EA" w:rsidRPr="0023794D" w:rsidRDefault="005858EA" w:rsidP="00CC0A49">
      <w:pPr>
        <w:pStyle w:val="ListParagraph"/>
        <w:spacing w:line="360" w:lineRule="auto"/>
        <w:ind w:left="-142"/>
        <w:jc w:val="both"/>
        <w:rPr>
          <w:rFonts w:ascii="Arial" w:hAnsi="Arial" w:cs="Arial"/>
        </w:rPr>
      </w:pPr>
      <w:r w:rsidRPr="0023794D">
        <w:rPr>
          <w:rFonts w:ascii="Arial" w:hAnsi="Arial" w:cs="Arial"/>
        </w:rPr>
        <w:t xml:space="preserve">Fey, C. F., Denison, D. R., &amp; McDaniel, R. R. (2000). A new framework for understanding organizational culture change. Journal of Applied Behavioural Science, 36(4), </w:t>
      </w:r>
      <w:r>
        <w:rPr>
          <w:rFonts w:ascii="Arial" w:hAnsi="Arial" w:cs="Arial"/>
        </w:rPr>
        <w:t>pp.</w:t>
      </w:r>
      <w:r w:rsidRPr="0023794D">
        <w:rPr>
          <w:rFonts w:ascii="Arial" w:hAnsi="Arial" w:cs="Arial"/>
        </w:rPr>
        <w:t>490-505.</w:t>
      </w:r>
    </w:p>
    <w:p w14:paraId="17C981EB" w14:textId="77777777" w:rsidR="005858EA" w:rsidRDefault="005858EA" w:rsidP="00CC0A49">
      <w:pPr>
        <w:pStyle w:val="ListParagraph"/>
        <w:spacing w:line="360" w:lineRule="auto"/>
        <w:ind w:left="-142"/>
        <w:jc w:val="both"/>
        <w:rPr>
          <w:rFonts w:ascii="Arial" w:hAnsi="Arial" w:cs="Arial"/>
        </w:rPr>
      </w:pPr>
      <w:r w:rsidRPr="0023794D">
        <w:rPr>
          <w:rFonts w:ascii="Arial" w:hAnsi="Arial" w:cs="Arial"/>
        </w:rPr>
        <w:t xml:space="preserve">Gonring, M. P., Morgeson, F. P., &amp; Campion, M. A. (2019). Why trust matters: A review of the role of trust in achieving sustained superior performance. Journal of Organizational Behaviour, 40(7), </w:t>
      </w:r>
      <w:r>
        <w:rPr>
          <w:rFonts w:ascii="Arial" w:hAnsi="Arial" w:cs="Arial"/>
        </w:rPr>
        <w:t>pp.</w:t>
      </w:r>
      <w:r w:rsidRPr="0023794D">
        <w:rPr>
          <w:rFonts w:ascii="Arial" w:hAnsi="Arial" w:cs="Arial"/>
        </w:rPr>
        <w:t>775-802.</w:t>
      </w:r>
    </w:p>
    <w:p w14:paraId="2889C05B" w14:textId="77777777" w:rsidR="005858EA" w:rsidRPr="0023794D" w:rsidRDefault="005858EA" w:rsidP="00CC0A49">
      <w:pPr>
        <w:pStyle w:val="ListParagraph"/>
        <w:spacing w:line="360" w:lineRule="auto"/>
        <w:ind w:left="-142"/>
        <w:jc w:val="both"/>
        <w:rPr>
          <w:rFonts w:ascii="Arial" w:hAnsi="Arial" w:cs="Arial"/>
        </w:rPr>
      </w:pPr>
      <w:r w:rsidRPr="00EF2591">
        <w:rPr>
          <w:rFonts w:ascii="Arial" w:hAnsi="Arial" w:cs="Arial"/>
        </w:rPr>
        <w:t xml:space="preserve">Huselid, M. A. (1995). The impact of human resource management practices on turnover, productivity, and corporate financial performance. Academy of Management Journal, 38(3), </w:t>
      </w:r>
      <w:r>
        <w:rPr>
          <w:rFonts w:ascii="Arial" w:hAnsi="Arial" w:cs="Arial"/>
        </w:rPr>
        <w:t>pp.</w:t>
      </w:r>
      <w:r w:rsidRPr="00EF2591">
        <w:rPr>
          <w:rFonts w:ascii="Arial" w:hAnsi="Arial" w:cs="Arial"/>
        </w:rPr>
        <w:t>635-672</w:t>
      </w:r>
    </w:p>
    <w:p w14:paraId="47A52E70" w14:textId="77777777" w:rsidR="005858EA" w:rsidRPr="0023794D" w:rsidRDefault="005858EA" w:rsidP="00CC0A49">
      <w:pPr>
        <w:pStyle w:val="ListParagraph"/>
        <w:spacing w:line="360" w:lineRule="auto"/>
        <w:ind w:left="-142"/>
        <w:jc w:val="both"/>
        <w:rPr>
          <w:rFonts w:ascii="Arial" w:hAnsi="Arial" w:cs="Arial"/>
        </w:rPr>
      </w:pPr>
      <w:r w:rsidRPr="0023794D">
        <w:rPr>
          <w:rFonts w:ascii="Arial" w:hAnsi="Arial" w:cs="Arial"/>
        </w:rPr>
        <w:t xml:space="preserve">Kahn, W. A. (1990). Psychological conditions of personal engagement and disengagement at work. Academy of Management Journal, 33(4), </w:t>
      </w:r>
      <w:r>
        <w:rPr>
          <w:rFonts w:ascii="Arial" w:hAnsi="Arial" w:cs="Arial"/>
        </w:rPr>
        <w:t>pp.</w:t>
      </w:r>
      <w:r w:rsidRPr="0023794D">
        <w:rPr>
          <w:rFonts w:ascii="Arial" w:hAnsi="Arial" w:cs="Arial"/>
        </w:rPr>
        <w:t>692-724.</w:t>
      </w:r>
    </w:p>
    <w:p w14:paraId="26F34E30" w14:textId="77777777" w:rsidR="005858EA" w:rsidRDefault="005858EA" w:rsidP="00CC0A49">
      <w:pPr>
        <w:pStyle w:val="ListParagraph"/>
        <w:spacing w:line="360" w:lineRule="auto"/>
        <w:ind w:left="-142"/>
        <w:jc w:val="both"/>
        <w:rPr>
          <w:rFonts w:ascii="Arial" w:hAnsi="Arial" w:cs="Arial"/>
        </w:rPr>
      </w:pPr>
      <w:r w:rsidRPr="008C50C6">
        <w:rPr>
          <w:rFonts w:ascii="Arial" w:hAnsi="Arial" w:cs="Arial"/>
        </w:rPr>
        <w:t>Kellough, J. E. (2012). The Changing Nature of Human Resource Management in the Public Sector. Public Personnel Management, 41(1),</w:t>
      </w:r>
      <w:r>
        <w:rPr>
          <w:rFonts w:ascii="Arial" w:hAnsi="Arial" w:cs="Arial"/>
        </w:rPr>
        <w:t xml:space="preserve"> pp.</w:t>
      </w:r>
      <w:r w:rsidRPr="008C50C6">
        <w:rPr>
          <w:rFonts w:ascii="Arial" w:hAnsi="Arial" w:cs="Arial"/>
        </w:rPr>
        <w:t xml:space="preserve"> 63-88.</w:t>
      </w:r>
    </w:p>
    <w:p w14:paraId="5F0B568F" w14:textId="77777777" w:rsidR="005858EA" w:rsidRPr="00737B1C" w:rsidRDefault="005858EA" w:rsidP="00CC0A49">
      <w:pPr>
        <w:pStyle w:val="ListParagraph"/>
        <w:spacing w:line="360" w:lineRule="auto"/>
        <w:ind w:left="-142"/>
        <w:jc w:val="both"/>
        <w:rPr>
          <w:rFonts w:ascii="Arial" w:hAnsi="Arial" w:cs="Arial"/>
        </w:rPr>
      </w:pPr>
      <w:r w:rsidRPr="00737B1C">
        <w:rPr>
          <w:rFonts w:ascii="Arial" w:hAnsi="Arial" w:cs="Arial"/>
        </w:rPr>
        <w:t xml:space="preserve">Kleingeld, A., van Mierlo, H., &amp; Arends, L. (2011). The Effectiveness of Training Strategies for Improving Human Performance: A Meta-Analysis. International Journal of Training and Development, 15(2), </w:t>
      </w:r>
      <w:r>
        <w:rPr>
          <w:rFonts w:ascii="Arial" w:hAnsi="Arial" w:cs="Arial"/>
        </w:rPr>
        <w:t>pp.</w:t>
      </w:r>
      <w:r w:rsidRPr="00737B1C">
        <w:rPr>
          <w:rFonts w:ascii="Arial" w:hAnsi="Arial" w:cs="Arial"/>
        </w:rPr>
        <w:t>110-121.</w:t>
      </w:r>
    </w:p>
    <w:p w14:paraId="5104A4F5" w14:textId="77777777" w:rsidR="005858EA" w:rsidRDefault="005858EA" w:rsidP="00CC0A49">
      <w:pPr>
        <w:pStyle w:val="ListParagraph"/>
        <w:spacing w:line="360" w:lineRule="auto"/>
        <w:ind w:left="-142"/>
        <w:jc w:val="both"/>
        <w:rPr>
          <w:rFonts w:ascii="Arial" w:hAnsi="Arial" w:cs="Arial"/>
        </w:rPr>
      </w:pPr>
      <w:r w:rsidRPr="0023794D">
        <w:rPr>
          <w:rFonts w:ascii="Arial" w:hAnsi="Arial" w:cs="Arial"/>
        </w:rPr>
        <w:t xml:space="preserve">Kuvaas, B., Buch, R., &amp; Dysvik, A. (2007). An investigation of how the employee–organization relationship drives employee willingness to engage in organizational citizenship behaviors. Journal of Applied Psychology, 92(4), </w:t>
      </w:r>
      <w:r>
        <w:rPr>
          <w:rFonts w:ascii="Arial" w:hAnsi="Arial" w:cs="Arial"/>
        </w:rPr>
        <w:t>pp.</w:t>
      </w:r>
      <w:r w:rsidRPr="0023794D">
        <w:rPr>
          <w:rFonts w:ascii="Arial" w:hAnsi="Arial" w:cs="Arial"/>
        </w:rPr>
        <w:t>952-965.</w:t>
      </w:r>
    </w:p>
    <w:p w14:paraId="3A393241" w14:textId="77777777" w:rsidR="005858EA" w:rsidRPr="00EF2591" w:rsidRDefault="005858EA" w:rsidP="00CC0A49">
      <w:pPr>
        <w:pStyle w:val="ListParagraph"/>
        <w:spacing w:line="360" w:lineRule="auto"/>
        <w:ind w:left="-142"/>
        <w:jc w:val="both"/>
        <w:rPr>
          <w:rFonts w:ascii="Arial" w:hAnsi="Arial" w:cs="Arial"/>
        </w:rPr>
      </w:pPr>
      <w:r w:rsidRPr="00EF2591">
        <w:rPr>
          <w:rFonts w:ascii="Arial" w:hAnsi="Arial" w:cs="Arial"/>
        </w:rPr>
        <w:t xml:space="preserve">Liu, D., Liao, H., &amp; Loi, R. (2016). The dark side of leadership: A three-level investigation of the cascading effect of abusive supervision on employee creativity. Academy of Management Journal, 59(5), </w:t>
      </w:r>
      <w:r>
        <w:rPr>
          <w:rFonts w:ascii="Arial" w:hAnsi="Arial" w:cs="Arial"/>
        </w:rPr>
        <w:t>pp.</w:t>
      </w:r>
      <w:r w:rsidRPr="00EF2591">
        <w:rPr>
          <w:rFonts w:ascii="Arial" w:hAnsi="Arial" w:cs="Arial"/>
        </w:rPr>
        <w:t>1388-1410.</w:t>
      </w:r>
    </w:p>
    <w:p w14:paraId="3F49CCFE" w14:textId="77777777" w:rsidR="005858EA" w:rsidRDefault="005858EA" w:rsidP="00CC0A49">
      <w:pPr>
        <w:pStyle w:val="ListParagraph"/>
        <w:spacing w:line="360" w:lineRule="auto"/>
        <w:ind w:left="-142"/>
        <w:jc w:val="both"/>
        <w:rPr>
          <w:rFonts w:ascii="Arial" w:hAnsi="Arial" w:cs="Arial"/>
        </w:rPr>
      </w:pPr>
      <w:r w:rsidRPr="0023794D">
        <w:rPr>
          <w:rFonts w:ascii="Arial" w:hAnsi="Arial" w:cs="Arial"/>
        </w:rPr>
        <w:t>Luthans, F., Youssef, C. M., &amp; Avolio, B. J. (2015). Psychological capital: Developing the human competitive edge. Oxford University Press.</w:t>
      </w:r>
    </w:p>
    <w:p w14:paraId="0D49FCE6" w14:textId="77777777" w:rsidR="005858EA" w:rsidRDefault="005858EA" w:rsidP="00CC0A49">
      <w:pPr>
        <w:pStyle w:val="ListParagraph"/>
        <w:spacing w:line="360" w:lineRule="auto"/>
        <w:ind w:left="-142"/>
        <w:jc w:val="both"/>
        <w:rPr>
          <w:rFonts w:ascii="Arial" w:hAnsi="Arial" w:cs="Arial"/>
        </w:rPr>
      </w:pPr>
      <w:r w:rsidRPr="00EF2591">
        <w:rPr>
          <w:rFonts w:ascii="Arial" w:hAnsi="Arial" w:cs="Arial"/>
        </w:rPr>
        <w:t>Noe, R. A., Hollenbeck, J. R., Gerhart, B., &amp; Wright, P. M. (2017). Human resource management: Gaining a competitive advantage. McGraw-Hill Education.</w:t>
      </w:r>
    </w:p>
    <w:p w14:paraId="6A77C81D" w14:textId="77777777" w:rsidR="005858EA" w:rsidRDefault="005858EA" w:rsidP="00CC0A49">
      <w:pPr>
        <w:pStyle w:val="ListParagraph"/>
        <w:spacing w:line="360" w:lineRule="auto"/>
        <w:ind w:left="-142"/>
        <w:jc w:val="both"/>
        <w:rPr>
          <w:rFonts w:ascii="Arial" w:hAnsi="Arial" w:cs="Arial"/>
        </w:rPr>
      </w:pPr>
      <w:r w:rsidRPr="00EF2591">
        <w:rPr>
          <w:rFonts w:ascii="Arial" w:hAnsi="Arial" w:cs="Arial"/>
        </w:rPr>
        <w:lastRenderedPageBreak/>
        <w:t xml:space="preserve">Ready, D. A., &amp; Conger, J. A. (2007). Make your company a talent factory. Harvard Business Review, 85(6), </w:t>
      </w:r>
      <w:r>
        <w:rPr>
          <w:rFonts w:ascii="Arial" w:hAnsi="Arial" w:cs="Arial"/>
        </w:rPr>
        <w:t>pp.</w:t>
      </w:r>
      <w:r w:rsidRPr="00EF2591">
        <w:rPr>
          <w:rFonts w:ascii="Arial" w:hAnsi="Arial" w:cs="Arial"/>
        </w:rPr>
        <w:t>68-77.</w:t>
      </w:r>
    </w:p>
    <w:p w14:paraId="1044E218" w14:textId="77777777" w:rsidR="005858EA" w:rsidRDefault="005858EA" w:rsidP="00CC0A49">
      <w:pPr>
        <w:pStyle w:val="ListParagraph"/>
        <w:spacing w:line="360" w:lineRule="auto"/>
        <w:ind w:left="-142"/>
        <w:jc w:val="both"/>
        <w:rPr>
          <w:rFonts w:ascii="Arial" w:hAnsi="Arial" w:cs="Arial"/>
        </w:rPr>
      </w:pPr>
      <w:r w:rsidRPr="0023794D">
        <w:rPr>
          <w:rFonts w:ascii="Arial" w:hAnsi="Arial" w:cs="Arial"/>
        </w:rPr>
        <w:t xml:space="preserve">Schein, E. H. (1990). Organizational culture. American Psychologist, 45(2), </w:t>
      </w:r>
      <w:r>
        <w:rPr>
          <w:rFonts w:ascii="Arial" w:hAnsi="Arial" w:cs="Arial"/>
        </w:rPr>
        <w:t>pp.</w:t>
      </w:r>
      <w:r w:rsidRPr="0023794D">
        <w:rPr>
          <w:rFonts w:ascii="Arial" w:hAnsi="Arial" w:cs="Arial"/>
        </w:rPr>
        <w:t>109-119.</w:t>
      </w:r>
    </w:p>
    <w:p w14:paraId="3DA2793A" w14:textId="77777777" w:rsidR="005858EA" w:rsidRDefault="005858EA" w:rsidP="00CC0A49">
      <w:pPr>
        <w:pStyle w:val="ListParagraph"/>
        <w:spacing w:line="360" w:lineRule="auto"/>
        <w:ind w:left="-142"/>
        <w:jc w:val="both"/>
        <w:rPr>
          <w:rFonts w:ascii="Arial" w:hAnsi="Arial" w:cs="Arial"/>
        </w:rPr>
      </w:pPr>
      <w:r w:rsidRPr="00107FF2">
        <w:rPr>
          <w:rFonts w:ascii="Arial" w:hAnsi="Arial" w:cs="Arial"/>
        </w:rPr>
        <w:t xml:space="preserve">Schneider, B., Ehrhart, M. G., Mayer, D. M., Saltz, J. L., &amp; Niles-Jolly, K. (2013). Understanding organization-customer links in service settings. Academy of Management Journal, 56(6), </w:t>
      </w:r>
      <w:r>
        <w:rPr>
          <w:rFonts w:ascii="Arial" w:hAnsi="Arial" w:cs="Arial"/>
        </w:rPr>
        <w:t>pp.</w:t>
      </w:r>
      <w:r w:rsidRPr="00107FF2">
        <w:rPr>
          <w:rFonts w:ascii="Arial" w:hAnsi="Arial" w:cs="Arial"/>
        </w:rPr>
        <w:t>1614-1634.</w:t>
      </w:r>
    </w:p>
    <w:p w14:paraId="1D117CFD" w14:textId="77777777" w:rsidR="005858EA" w:rsidRPr="00107FF2" w:rsidRDefault="005858EA" w:rsidP="00CC0A49">
      <w:pPr>
        <w:pStyle w:val="ListParagraph"/>
        <w:spacing w:line="360" w:lineRule="auto"/>
        <w:ind w:left="-142"/>
        <w:jc w:val="both"/>
        <w:rPr>
          <w:rFonts w:ascii="Arial" w:hAnsi="Arial" w:cs="Arial"/>
        </w:rPr>
      </w:pPr>
      <w:r w:rsidRPr="00EF2591">
        <w:rPr>
          <w:rFonts w:ascii="Arial" w:hAnsi="Arial" w:cs="Arial"/>
        </w:rPr>
        <w:t>Swanson, R. A., &amp; Holton, E. F. (2009). Foundations of human resource development. Berrett-Koehler Publishers</w:t>
      </w:r>
    </w:p>
    <w:p w14:paraId="42F4C45C" w14:textId="77777777" w:rsidR="005858EA" w:rsidRPr="00EF2591" w:rsidRDefault="005858EA" w:rsidP="00CC0A49">
      <w:pPr>
        <w:pStyle w:val="ListParagraph"/>
        <w:spacing w:line="360" w:lineRule="auto"/>
        <w:ind w:left="-142"/>
        <w:jc w:val="both"/>
        <w:rPr>
          <w:rFonts w:ascii="Arial" w:hAnsi="Arial" w:cs="Arial"/>
        </w:rPr>
      </w:pPr>
      <w:r w:rsidRPr="00EF2591">
        <w:rPr>
          <w:rFonts w:ascii="Arial" w:hAnsi="Arial" w:cs="Arial"/>
        </w:rPr>
        <w:t xml:space="preserve">Tannenbaum, S. I., &amp; Yukl, G. (1992). Training and development in work organizations. Annual Review of Psychology, 43(1), </w:t>
      </w:r>
      <w:r>
        <w:rPr>
          <w:rFonts w:ascii="Arial" w:hAnsi="Arial" w:cs="Arial"/>
        </w:rPr>
        <w:t>pp.</w:t>
      </w:r>
      <w:r w:rsidRPr="00EF2591">
        <w:rPr>
          <w:rFonts w:ascii="Arial" w:hAnsi="Arial" w:cs="Arial"/>
        </w:rPr>
        <w:t>399-441.</w:t>
      </w:r>
    </w:p>
    <w:p w14:paraId="431DDE14" w14:textId="77777777" w:rsidR="005858EA" w:rsidRPr="008872D3" w:rsidRDefault="005858EA" w:rsidP="00CC0A49">
      <w:pPr>
        <w:pStyle w:val="ListParagraph"/>
        <w:spacing w:line="360" w:lineRule="auto"/>
        <w:ind w:left="-142"/>
        <w:jc w:val="both"/>
        <w:rPr>
          <w:rFonts w:ascii="Arial" w:hAnsi="Arial" w:cs="Arial"/>
        </w:rPr>
      </w:pPr>
      <w:r w:rsidRPr="00EF2591">
        <w:rPr>
          <w:rFonts w:ascii="Arial" w:hAnsi="Arial" w:cs="Arial"/>
        </w:rPr>
        <w:t xml:space="preserve">Tannenbaum, S. I., Beard, R. L., &amp; Salas, E. (2010). Assessing team performance: Getting back to basics. Journal of Applied Psychology, 95(3), </w:t>
      </w:r>
      <w:r>
        <w:rPr>
          <w:rFonts w:ascii="Arial" w:hAnsi="Arial" w:cs="Arial"/>
        </w:rPr>
        <w:t>pp.</w:t>
      </w:r>
      <w:r w:rsidRPr="00EF2591">
        <w:rPr>
          <w:rFonts w:ascii="Arial" w:hAnsi="Arial" w:cs="Arial"/>
        </w:rPr>
        <w:t>404-417.</w:t>
      </w:r>
    </w:p>
    <w:p w14:paraId="6BDD8B3E" w14:textId="17DC7EED" w:rsidR="005858EA" w:rsidRDefault="005858EA" w:rsidP="00CC0A49">
      <w:pPr>
        <w:pStyle w:val="ListParagraph"/>
        <w:spacing w:line="360" w:lineRule="auto"/>
        <w:ind w:left="-142"/>
        <w:jc w:val="both"/>
        <w:rPr>
          <w:rFonts w:ascii="Arial" w:hAnsi="Arial" w:cs="Arial"/>
        </w:rPr>
      </w:pPr>
      <w:r w:rsidRPr="008C50C6">
        <w:rPr>
          <w:rFonts w:ascii="Arial" w:hAnsi="Arial" w:cs="Arial"/>
        </w:rPr>
        <w:t>Ulrich, D., Brockbank, W., Johnson, D., Sandholtz, K., &amp; Younger, J. (2017). HR from the Outside in Six Competencies for the Future of Human Resources. McGraw-Hill Education</w:t>
      </w:r>
    </w:p>
    <w:p w14:paraId="362D6EFE" w14:textId="374D215B" w:rsidR="00EF2591" w:rsidRPr="00EF2591" w:rsidRDefault="00EF2591" w:rsidP="00CC0A49">
      <w:pPr>
        <w:pStyle w:val="ListParagraph"/>
        <w:spacing w:line="360" w:lineRule="auto"/>
        <w:ind w:left="-142"/>
        <w:jc w:val="both"/>
        <w:rPr>
          <w:rFonts w:ascii="Arial" w:hAnsi="Arial" w:cs="Arial"/>
        </w:rPr>
      </w:pPr>
    </w:p>
    <w:p w14:paraId="0807D4E1" w14:textId="77777777" w:rsidR="00EF2591" w:rsidRPr="00EF2591" w:rsidRDefault="00EF2591" w:rsidP="00CC0A49">
      <w:pPr>
        <w:pStyle w:val="ListParagraph"/>
        <w:spacing w:line="360" w:lineRule="auto"/>
        <w:ind w:left="-142"/>
        <w:jc w:val="both"/>
        <w:rPr>
          <w:rFonts w:ascii="Arial" w:hAnsi="Arial" w:cs="Arial"/>
        </w:rPr>
      </w:pPr>
    </w:p>
    <w:p w14:paraId="1DD9E10C" w14:textId="77777777" w:rsidR="00EF2591" w:rsidRPr="00EF2591" w:rsidRDefault="00EF2591" w:rsidP="00CC0A49">
      <w:pPr>
        <w:pStyle w:val="ListParagraph"/>
        <w:spacing w:line="360" w:lineRule="auto"/>
        <w:ind w:left="-142"/>
        <w:jc w:val="both"/>
        <w:rPr>
          <w:rFonts w:ascii="Arial" w:hAnsi="Arial" w:cs="Arial"/>
        </w:rPr>
      </w:pPr>
    </w:p>
    <w:sectPr w:rsidR="00EF2591" w:rsidRPr="00EF2591" w:rsidSect="00733695">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69004" w14:textId="77777777" w:rsidR="00185D9B" w:rsidRDefault="00185D9B" w:rsidP="005B0664">
      <w:pPr>
        <w:spacing w:after="0" w:line="240" w:lineRule="auto"/>
      </w:pPr>
      <w:r>
        <w:separator/>
      </w:r>
    </w:p>
  </w:endnote>
  <w:endnote w:type="continuationSeparator" w:id="0">
    <w:p w14:paraId="3BF855E2" w14:textId="77777777" w:rsidR="00185D9B" w:rsidRDefault="00185D9B" w:rsidP="005B0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8A200" w14:textId="77777777" w:rsidR="00185D9B" w:rsidRDefault="00185D9B" w:rsidP="005B0664">
      <w:pPr>
        <w:spacing w:after="0" w:line="240" w:lineRule="auto"/>
      </w:pPr>
      <w:r>
        <w:separator/>
      </w:r>
    </w:p>
  </w:footnote>
  <w:footnote w:type="continuationSeparator" w:id="0">
    <w:p w14:paraId="50BFD7E0" w14:textId="77777777" w:rsidR="00185D9B" w:rsidRDefault="00185D9B" w:rsidP="005B0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932182"/>
      <w:docPartObj>
        <w:docPartGallery w:val="Page Numbers (Top of Page)"/>
        <w:docPartUnique/>
      </w:docPartObj>
    </w:sdtPr>
    <w:sdtEndPr>
      <w:rPr>
        <w:noProof/>
      </w:rPr>
    </w:sdtEndPr>
    <w:sdtContent>
      <w:p w14:paraId="3CC93885" w14:textId="3E289F5A" w:rsidR="002C1582" w:rsidRDefault="002C158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2AC2B97" w14:textId="77777777" w:rsidR="005B0664" w:rsidRDefault="005B06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414DE"/>
    <w:multiLevelType w:val="hybridMultilevel"/>
    <w:tmpl w:val="760C0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E1596"/>
    <w:multiLevelType w:val="hybridMultilevel"/>
    <w:tmpl w:val="7CE6E4C8"/>
    <w:lvl w:ilvl="0" w:tplc="08090001">
      <w:start w:val="1"/>
      <w:numFmt w:val="bullet"/>
      <w:lvlText w:val=""/>
      <w:lvlJc w:val="left"/>
      <w:pPr>
        <w:ind w:left="1790" w:hanging="360"/>
      </w:pPr>
      <w:rPr>
        <w:rFonts w:ascii="Symbol" w:hAnsi="Symbol" w:hint="default"/>
      </w:rPr>
    </w:lvl>
    <w:lvl w:ilvl="1" w:tplc="08090003" w:tentative="1">
      <w:start w:val="1"/>
      <w:numFmt w:val="bullet"/>
      <w:lvlText w:val="o"/>
      <w:lvlJc w:val="left"/>
      <w:pPr>
        <w:ind w:left="2510" w:hanging="360"/>
      </w:pPr>
      <w:rPr>
        <w:rFonts w:ascii="Courier New" w:hAnsi="Courier New" w:cs="Courier New" w:hint="default"/>
      </w:rPr>
    </w:lvl>
    <w:lvl w:ilvl="2" w:tplc="08090005" w:tentative="1">
      <w:start w:val="1"/>
      <w:numFmt w:val="bullet"/>
      <w:lvlText w:val=""/>
      <w:lvlJc w:val="left"/>
      <w:pPr>
        <w:ind w:left="3230" w:hanging="360"/>
      </w:pPr>
      <w:rPr>
        <w:rFonts w:ascii="Wingdings" w:hAnsi="Wingdings" w:hint="default"/>
      </w:rPr>
    </w:lvl>
    <w:lvl w:ilvl="3" w:tplc="08090001" w:tentative="1">
      <w:start w:val="1"/>
      <w:numFmt w:val="bullet"/>
      <w:lvlText w:val=""/>
      <w:lvlJc w:val="left"/>
      <w:pPr>
        <w:ind w:left="3950" w:hanging="360"/>
      </w:pPr>
      <w:rPr>
        <w:rFonts w:ascii="Symbol" w:hAnsi="Symbol" w:hint="default"/>
      </w:rPr>
    </w:lvl>
    <w:lvl w:ilvl="4" w:tplc="08090003" w:tentative="1">
      <w:start w:val="1"/>
      <w:numFmt w:val="bullet"/>
      <w:lvlText w:val="o"/>
      <w:lvlJc w:val="left"/>
      <w:pPr>
        <w:ind w:left="4670" w:hanging="360"/>
      </w:pPr>
      <w:rPr>
        <w:rFonts w:ascii="Courier New" w:hAnsi="Courier New" w:cs="Courier New" w:hint="default"/>
      </w:rPr>
    </w:lvl>
    <w:lvl w:ilvl="5" w:tplc="08090005" w:tentative="1">
      <w:start w:val="1"/>
      <w:numFmt w:val="bullet"/>
      <w:lvlText w:val=""/>
      <w:lvlJc w:val="left"/>
      <w:pPr>
        <w:ind w:left="5390" w:hanging="360"/>
      </w:pPr>
      <w:rPr>
        <w:rFonts w:ascii="Wingdings" w:hAnsi="Wingdings" w:hint="default"/>
      </w:rPr>
    </w:lvl>
    <w:lvl w:ilvl="6" w:tplc="08090001" w:tentative="1">
      <w:start w:val="1"/>
      <w:numFmt w:val="bullet"/>
      <w:lvlText w:val=""/>
      <w:lvlJc w:val="left"/>
      <w:pPr>
        <w:ind w:left="6110" w:hanging="360"/>
      </w:pPr>
      <w:rPr>
        <w:rFonts w:ascii="Symbol" w:hAnsi="Symbol" w:hint="default"/>
      </w:rPr>
    </w:lvl>
    <w:lvl w:ilvl="7" w:tplc="08090003" w:tentative="1">
      <w:start w:val="1"/>
      <w:numFmt w:val="bullet"/>
      <w:lvlText w:val="o"/>
      <w:lvlJc w:val="left"/>
      <w:pPr>
        <w:ind w:left="6830" w:hanging="360"/>
      </w:pPr>
      <w:rPr>
        <w:rFonts w:ascii="Courier New" w:hAnsi="Courier New" w:cs="Courier New" w:hint="default"/>
      </w:rPr>
    </w:lvl>
    <w:lvl w:ilvl="8" w:tplc="08090005" w:tentative="1">
      <w:start w:val="1"/>
      <w:numFmt w:val="bullet"/>
      <w:lvlText w:val=""/>
      <w:lvlJc w:val="left"/>
      <w:pPr>
        <w:ind w:left="7550" w:hanging="360"/>
      </w:pPr>
      <w:rPr>
        <w:rFonts w:ascii="Wingdings" w:hAnsi="Wingdings" w:hint="default"/>
      </w:rPr>
    </w:lvl>
  </w:abstractNum>
  <w:abstractNum w:abstractNumId="2" w15:restartNumberingAfterBreak="0">
    <w:nsid w:val="16A037BE"/>
    <w:multiLevelType w:val="hybridMultilevel"/>
    <w:tmpl w:val="85C0B5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912AB2"/>
    <w:multiLevelType w:val="hybridMultilevel"/>
    <w:tmpl w:val="CCAA09B4"/>
    <w:lvl w:ilvl="0" w:tplc="0809000F">
      <w:start w:val="1"/>
      <w:numFmt w:val="decimal"/>
      <w:lvlText w:val="%1."/>
      <w:lvlJc w:val="left"/>
      <w:pPr>
        <w:ind w:left="436" w:hanging="360"/>
      </w:p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4" w15:restartNumberingAfterBreak="0">
    <w:nsid w:val="24980A8F"/>
    <w:multiLevelType w:val="hybridMultilevel"/>
    <w:tmpl w:val="2D1A92D6"/>
    <w:lvl w:ilvl="0" w:tplc="E874609E">
      <w:start w:val="1"/>
      <w:numFmt w:val="lowerLetter"/>
      <w:lvlText w:val="%1."/>
      <w:lvlJc w:val="left"/>
      <w:pPr>
        <w:ind w:left="1222" w:hanging="360"/>
      </w:pPr>
      <w:rPr>
        <w:rFonts w:hint="default"/>
      </w:rPr>
    </w:lvl>
    <w:lvl w:ilvl="1" w:tplc="08090019" w:tentative="1">
      <w:start w:val="1"/>
      <w:numFmt w:val="lowerLetter"/>
      <w:lvlText w:val="%2."/>
      <w:lvlJc w:val="left"/>
      <w:pPr>
        <w:ind w:left="1942" w:hanging="360"/>
      </w:pPr>
    </w:lvl>
    <w:lvl w:ilvl="2" w:tplc="0809001B" w:tentative="1">
      <w:start w:val="1"/>
      <w:numFmt w:val="lowerRoman"/>
      <w:lvlText w:val="%3."/>
      <w:lvlJc w:val="right"/>
      <w:pPr>
        <w:ind w:left="2662" w:hanging="180"/>
      </w:pPr>
    </w:lvl>
    <w:lvl w:ilvl="3" w:tplc="0809000F" w:tentative="1">
      <w:start w:val="1"/>
      <w:numFmt w:val="decimal"/>
      <w:lvlText w:val="%4."/>
      <w:lvlJc w:val="left"/>
      <w:pPr>
        <w:ind w:left="3382" w:hanging="360"/>
      </w:pPr>
    </w:lvl>
    <w:lvl w:ilvl="4" w:tplc="08090019" w:tentative="1">
      <w:start w:val="1"/>
      <w:numFmt w:val="lowerLetter"/>
      <w:lvlText w:val="%5."/>
      <w:lvlJc w:val="left"/>
      <w:pPr>
        <w:ind w:left="4102" w:hanging="360"/>
      </w:pPr>
    </w:lvl>
    <w:lvl w:ilvl="5" w:tplc="0809001B" w:tentative="1">
      <w:start w:val="1"/>
      <w:numFmt w:val="lowerRoman"/>
      <w:lvlText w:val="%6."/>
      <w:lvlJc w:val="right"/>
      <w:pPr>
        <w:ind w:left="4822" w:hanging="180"/>
      </w:pPr>
    </w:lvl>
    <w:lvl w:ilvl="6" w:tplc="0809000F" w:tentative="1">
      <w:start w:val="1"/>
      <w:numFmt w:val="decimal"/>
      <w:lvlText w:val="%7."/>
      <w:lvlJc w:val="left"/>
      <w:pPr>
        <w:ind w:left="5542" w:hanging="360"/>
      </w:pPr>
    </w:lvl>
    <w:lvl w:ilvl="7" w:tplc="08090019" w:tentative="1">
      <w:start w:val="1"/>
      <w:numFmt w:val="lowerLetter"/>
      <w:lvlText w:val="%8."/>
      <w:lvlJc w:val="left"/>
      <w:pPr>
        <w:ind w:left="6262" w:hanging="360"/>
      </w:pPr>
    </w:lvl>
    <w:lvl w:ilvl="8" w:tplc="0809001B" w:tentative="1">
      <w:start w:val="1"/>
      <w:numFmt w:val="lowerRoman"/>
      <w:lvlText w:val="%9."/>
      <w:lvlJc w:val="right"/>
      <w:pPr>
        <w:ind w:left="6982" w:hanging="180"/>
      </w:pPr>
    </w:lvl>
  </w:abstractNum>
  <w:abstractNum w:abstractNumId="5" w15:restartNumberingAfterBreak="0">
    <w:nsid w:val="250445A4"/>
    <w:multiLevelType w:val="hybridMultilevel"/>
    <w:tmpl w:val="D9D44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70591C"/>
    <w:multiLevelType w:val="hybridMultilevel"/>
    <w:tmpl w:val="E4529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7A6FD1"/>
    <w:multiLevelType w:val="hybridMultilevel"/>
    <w:tmpl w:val="EEF25CCE"/>
    <w:lvl w:ilvl="0" w:tplc="0809000F">
      <w:start w:val="1"/>
      <w:numFmt w:val="decimal"/>
      <w:lvlText w:val="%1."/>
      <w:lvlJc w:val="left"/>
      <w:pPr>
        <w:ind w:left="1582" w:hanging="360"/>
      </w:pPr>
    </w:lvl>
    <w:lvl w:ilvl="1" w:tplc="08090019" w:tentative="1">
      <w:start w:val="1"/>
      <w:numFmt w:val="lowerLetter"/>
      <w:lvlText w:val="%2."/>
      <w:lvlJc w:val="left"/>
      <w:pPr>
        <w:ind w:left="2302" w:hanging="360"/>
      </w:pPr>
    </w:lvl>
    <w:lvl w:ilvl="2" w:tplc="0809001B" w:tentative="1">
      <w:start w:val="1"/>
      <w:numFmt w:val="lowerRoman"/>
      <w:lvlText w:val="%3."/>
      <w:lvlJc w:val="right"/>
      <w:pPr>
        <w:ind w:left="3022" w:hanging="180"/>
      </w:pPr>
    </w:lvl>
    <w:lvl w:ilvl="3" w:tplc="0809000F" w:tentative="1">
      <w:start w:val="1"/>
      <w:numFmt w:val="decimal"/>
      <w:lvlText w:val="%4."/>
      <w:lvlJc w:val="left"/>
      <w:pPr>
        <w:ind w:left="3742" w:hanging="360"/>
      </w:pPr>
    </w:lvl>
    <w:lvl w:ilvl="4" w:tplc="08090019" w:tentative="1">
      <w:start w:val="1"/>
      <w:numFmt w:val="lowerLetter"/>
      <w:lvlText w:val="%5."/>
      <w:lvlJc w:val="left"/>
      <w:pPr>
        <w:ind w:left="4462" w:hanging="360"/>
      </w:pPr>
    </w:lvl>
    <w:lvl w:ilvl="5" w:tplc="0809001B" w:tentative="1">
      <w:start w:val="1"/>
      <w:numFmt w:val="lowerRoman"/>
      <w:lvlText w:val="%6."/>
      <w:lvlJc w:val="right"/>
      <w:pPr>
        <w:ind w:left="5182" w:hanging="180"/>
      </w:pPr>
    </w:lvl>
    <w:lvl w:ilvl="6" w:tplc="0809000F" w:tentative="1">
      <w:start w:val="1"/>
      <w:numFmt w:val="decimal"/>
      <w:lvlText w:val="%7."/>
      <w:lvlJc w:val="left"/>
      <w:pPr>
        <w:ind w:left="5902" w:hanging="360"/>
      </w:pPr>
    </w:lvl>
    <w:lvl w:ilvl="7" w:tplc="08090019" w:tentative="1">
      <w:start w:val="1"/>
      <w:numFmt w:val="lowerLetter"/>
      <w:lvlText w:val="%8."/>
      <w:lvlJc w:val="left"/>
      <w:pPr>
        <w:ind w:left="6622" w:hanging="360"/>
      </w:pPr>
    </w:lvl>
    <w:lvl w:ilvl="8" w:tplc="0809001B" w:tentative="1">
      <w:start w:val="1"/>
      <w:numFmt w:val="lowerRoman"/>
      <w:lvlText w:val="%9."/>
      <w:lvlJc w:val="right"/>
      <w:pPr>
        <w:ind w:left="7342" w:hanging="180"/>
      </w:pPr>
    </w:lvl>
  </w:abstractNum>
  <w:abstractNum w:abstractNumId="8" w15:restartNumberingAfterBreak="0">
    <w:nsid w:val="3109620E"/>
    <w:multiLevelType w:val="hybridMultilevel"/>
    <w:tmpl w:val="02F6E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A85D74"/>
    <w:multiLevelType w:val="hybridMultilevel"/>
    <w:tmpl w:val="07106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5067E9"/>
    <w:multiLevelType w:val="hybridMultilevel"/>
    <w:tmpl w:val="EB6E5DD2"/>
    <w:lvl w:ilvl="0" w:tplc="E874609E">
      <w:start w:val="1"/>
      <w:numFmt w:val="lowerLetter"/>
      <w:lvlText w:val="%1."/>
      <w:lvlJc w:val="left"/>
      <w:pPr>
        <w:ind w:left="1070" w:hanging="360"/>
      </w:pPr>
      <w:rPr>
        <w:rFonts w:hint="default"/>
        <w:b/>
        <w:bCs/>
      </w:rPr>
    </w:lvl>
    <w:lvl w:ilvl="1" w:tplc="08090019" w:tentative="1">
      <w:start w:val="1"/>
      <w:numFmt w:val="lowerLetter"/>
      <w:lvlText w:val="%2."/>
      <w:lvlJc w:val="left"/>
      <w:pPr>
        <w:ind w:left="1288" w:hanging="360"/>
      </w:pPr>
    </w:lvl>
    <w:lvl w:ilvl="2" w:tplc="0809001B" w:tentative="1">
      <w:start w:val="1"/>
      <w:numFmt w:val="lowerRoman"/>
      <w:lvlText w:val="%3."/>
      <w:lvlJc w:val="right"/>
      <w:pPr>
        <w:ind w:left="2008" w:hanging="180"/>
      </w:pPr>
    </w:lvl>
    <w:lvl w:ilvl="3" w:tplc="0809000F" w:tentative="1">
      <w:start w:val="1"/>
      <w:numFmt w:val="decimal"/>
      <w:lvlText w:val="%4."/>
      <w:lvlJc w:val="left"/>
      <w:pPr>
        <w:ind w:left="2728" w:hanging="360"/>
      </w:pPr>
    </w:lvl>
    <w:lvl w:ilvl="4" w:tplc="08090019" w:tentative="1">
      <w:start w:val="1"/>
      <w:numFmt w:val="lowerLetter"/>
      <w:lvlText w:val="%5."/>
      <w:lvlJc w:val="left"/>
      <w:pPr>
        <w:ind w:left="3448" w:hanging="360"/>
      </w:pPr>
    </w:lvl>
    <w:lvl w:ilvl="5" w:tplc="0809001B" w:tentative="1">
      <w:start w:val="1"/>
      <w:numFmt w:val="lowerRoman"/>
      <w:lvlText w:val="%6."/>
      <w:lvlJc w:val="right"/>
      <w:pPr>
        <w:ind w:left="4168" w:hanging="180"/>
      </w:pPr>
    </w:lvl>
    <w:lvl w:ilvl="6" w:tplc="0809000F" w:tentative="1">
      <w:start w:val="1"/>
      <w:numFmt w:val="decimal"/>
      <w:lvlText w:val="%7."/>
      <w:lvlJc w:val="left"/>
      <w:pPr>
        <w:ind w:left="4888" w:hanging="360"/>
      </w:pPr>
    </w:lvl>
    <w:lvl w:ilvl="7" w:tplc="08090019" w:tentative="1">
      <w:start w:val="1"/>
      <w:numFmt w:val="lowerLetter"/>
      <w:lvlText w:val="%8."/>
      <w:lvlJc w:val="left"/>
      <w:pPr>
        <w:ind w:left="5608" w:hanging="360"/>
      </w:pPr>
    </w:lvl>
    <w:lvl w:ilvl="8" w:tplc="0809001B" w:tentative="1">
      <w:start w:val="1"/>
      <w:numFmt w:val="lowerRoman"/>
      <w:lvlText w:val="%9."/>
      <w:lvlJc w:val="right"/>
      <w:pPr>
        <w:ind w:left="6328" w:hanging="180"/>
      </w:pPr>
    </w:lvl>
  </w:abstractNum>
  <w:abstractNum w:abstractNumId="11" w15:restartNumberingAfterBreak="0">
    <w:nsid w:val="5B2306C9"/>
    <w:multiLevelType w:val="hybridMultilevel"/>
    <w:tmpl w:val="1BB2FED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D7A63AB"/>
    <w:multiLevelType w:val="hybridMultilevel"/>
    <w:tmpl w:val="BB125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256EED"/>
    <w:multiLevelType w:val="hybridMultilevel"/>
    <w:tmpl w:val="B40EF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2D35AF"/>
    <w:multiLevelType w:val="hybridMultilevel"/>
    <w:tmpl w:val="76E2434C"/>
    <w:lvl w:ilvl="0" w:tplc="0809000F">
      <w:start w:val="1"/>
      <w:numFmt w:val="decimal"/>
      <w:lvlText w:val="%1."/>
      <w:lvlJc w:val="left"/>
      <w:pPr>
        <w:ind w:left="1156" w:hanging="360"/>
      </w:pPr>
    </w:lvl>
    <w:lvl w:ilvl="1" w:tplc="08090019" w:tentative="1">
      <w:start w:val="1"/>
      <w:numFmt w:val="lowerLetter"/>
      <w:lvlText w:val="%2."/>
      <w:lvlJc w:val="left"/>
      <w:pPr>
        <w:ind w:left="1876" w:hanging="360"/>
      </w:pPr>
    </w:lvl>
    <w:lvl w:ilvl="2" w:tplc="0809001B" w:tentative="1">
      <w:start w:val="1"/>
      <w:numFmt w:val="lowerRoman"/>
      <w:lvlText w:val="%3."/>
      <w:lvlJc w:val="right"/>
      <w:pPr>
        <w:ind w:left="2596" w:hanging="180"/>
      </w:pPr>
    </w:lvl>
    <w:lvl w:ilvl="3" w:tplc="0809000F" w:tentative="1">
      <w:start w:val="1"/>
      <w:numFmt w:val="decimal"/>
      <w:lvlText w:val="%4."/>
      <w:lvlJc w:val="left"/>
      <w:pPr>
        <w:ind w:left="3316" w:hanging="360"/>
      </w:pPr>
    </w:lvl>
    <w:lvl w:ilvl="4" w:tplc="08090019" w:tentative="1">
      <w:start w:val="1"/>
      <w:numFmt w:val="lowerLetter"/>
      <w:lvlText w:val="%5."/>
      <w:lvlJc w:val="left"/>
      <w:pPr>
        <w:ind w:left="4036" w:hanging="360"/>
      </w:pPr>
    </w:lvl>
    <w:lvl w:ilvl="5" w:tplc="0809001B" w:tentative="1">
      <w:start w:val="1"/>
      <w:numFmt w:val="lowerRoman"/>
      <w:lvlText w:val="%6."/>
      <w:lvlJc w:val="right"/>
      <w:pPr>
        <w:ind w:left="4756" w:hanging="180"/>
      </w:pPr>
    </w:lvl>
    <w:lvl w:ilvl="6" w:tplc="0809000F" w:tentative="1">
      <w:start w:val="1"/>
      <w:numFmt w:val="decimal"/>
      <w:lvlText w:val="%7."/>
      <w:lvlJc w:val="left"/>
      <w:pPr>
        <w:ind w:left="5476" w:hanging="360"/>
      </w:pPr>
    </w:lvl>
    <w:lvl w:ilvl="7" w:tplc="08090019" w:tentative="1">
      <w:start w:val="1"/>
      <w:numFmt w:val="lowerLetter"/>
      <w:lvlText w:val="%8."/>
      <w:lvlJc w:val="left"/>
      <w:pPr>
        <w:ind w:left="6196" w:hanging="360"/>
      </w:pPr>
    </w:lvl>
    <w:lvl w:ilvl="8" w:tplc="0809001B" w:tentative="1">
      <w:start w:val="1"/>
      <w:numFmt w:val="lowerRoman"/>
      <w:lvlText w:val="%9."/>
      <w:lvlJc w:val="right"/>
      <w:pPr>
        <w:ind w:left="6916" w:hanging="180"/>
      </w:pPr>
    </w:lvl>
  </w:abstractNum>
  <w:abstractNum w:abstractNumId="15" w15:restartNumberingAfterBreak="0">
    <w:nsid w:val="69496B05"/>
    <w:multiLevelType w:val="hybridMultilevel"/>
    <w:tmpl w:val="18C48468"/>
    <w:lvl w:ilvl="0" w:tplc="0809000F">
      <w:start w:val="1"/>
      <w:numFmt w:val="decimal"/>
      <w:lvlText w:val="%1."/>
      <w:lvlJc w:val="left"/>
      <w:pPr>
        <w:ind w:left="1582" w:hanging="360"/>
      </w:pPr>
    </w:lvl>
    <w:lvl w:ilvl="1" w:tplc="08090019" w:tentative="1">
      <w:start w:val="1"/>
      <w:numFmt w:val="lowerLetter"/>
      <w:lvlText w:val="%2."/>
      <w:lvlJc w:val="left"/>
      <w:pPr>
        <w:ind w:left="2302" w:hanging="360"/>
      </w:pPr>
    </w:lvl>
    <w:lvl w:ilvl="2" w:tplc="0809001B" w:tentative="1">
      <w:start w:val="1"/>
      <w:numFmt w:val="lowerRoman"/>
      <w:lvlText w:val="%3."/>
      <w:lvlJc w:val="right"/>
      <w:pPr>
        <w:ind w:left="3022" w:hanging="180"/>
      </w:pPr>
    </w:lvl>
    <w:lvl w:ilvl="3" w:tplc="0809000F" w:tentative="1">
      <w:start w:val="1"/>
      <w:numFmt w:val="decimal"/>
      <w:lvlText w:val="%4."/>
      <w:lvlJc w:val="left"/>
      <w:pPr>
        <w:ind w:left="3742" w:hanging="360"/>
      </w:pPr>
    </w:lvl>
    <w:lvl w:ilvl="4" w:tplc="08090019" w:tentative="1">
      <w:start w:val="1"/>
      <w:numFmt w:val="lowerLetter"/>
      <w:lvlText w:val="%5."/>
      <w:lvlJc w:val="left"/>
      <w:pPr>
        <w:ind w:left="4462" w:hanging="360"/>
      </w:pPr>
    </w:lvl>
    <w:lvl w:ilvl="5" w:tplc="0809001B" w:tentative="1">
      <w:start w:val="1"/>
      <w:numFmt w:val="lowerRoman"/>
      <w:lvlText w:val="%6."/>
      <w:lvlJc w:val="right"/>
      <w:pPr>
        <w:ind w:left="5182" w:hanging="180"/>
      </w:pPr>
    </w:lvl>
    <w:lvl w:ilvl="6" w:tplc="0809000F" w:tentative="1">
      <w:start w:val="1"/>
      <w:numFmt w:val="decimal"/>
      <w:lvlText w:val="%7."/>
      <w:lvlJc w:val="left"/>
      <w:pPr>
        <w:ind w:left="5902" w:hanging="360"/>
      </w:pPr>
    </w:lvl>
    <w:lvl w:ilvl="7" w:tplc="08090019" w:tentative="1">
      <w:start w:val="1"/>
      <w:numFmt w:val="lowerLetter"/>
      <w:lvlText w:val="%8."/>
      <w:lvlJc w:val="left"/>
      <w:pPr>
        <w:ind w:left="6622" w:hanging="360"/>
      </w:pPr>
    </w:lvl>
    <w:lvl w:ilvl="8" w:tplc="0809001B" w:tentative="1">
      <w:start w:val="1"/>
      <w:numFmt w:val="lowerRoman"/>
      <w:lvlText w:val="%9."/>
      <w:lvlJc w:val="right"/>
      <w:pPr>
        <w:ind w:left="7342" w:hanging="180"/>
      </w:pPr>
    </w:lvl>
  </w:abstractNum>
  <w:abstractNum w:abstractNumId="16" w15:restartNumberingAfterBreak="0">
    <w:nsid w:val="6F247FA0"/>
    <w:multiLevelType w:val="hybridMultilevel"/>
    <w:tmpl w:val="C3727A8A"/>
    <w:lvl w:ilvl="0" w:tplc="0809000F">
      <w:start w:val="1"/>
      <w:numFmt w:val="decimal"/>
      <w:lvlText w:val="%1."/>
      <w:lvlJc w:val="left"/>
      <w:pPr>
        <w:ind w:left="862" w:hanging="360"/>
      </w:pPr>
      <w:rPr>
        <w:rFonts w:hint="default"/>
      </w:rPr>
    </w:lvl>
    <w:lvl w:ilvl="1" w:tplc="08090019">
      <w:start w:val="1"/>
      <w:numFmt w:val="lowerLetter"/>
      <w:lvlText w:val="%2."/>
      <w:lvlJc w:val="left"/>
      <w:pPr>
        <w:ind w:left="1582" w:hanging="360"/>
      </w:pPr>
    </w:lvl>
    <w:lvl w:ilvl="2" w:tplc="0809001B">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16cid:durableId="424692646">
    <w:abstractNumId w:val="11"/>
  </w:num>
  <w:num w:numId="2" w16cid:durableId="1081826868">
    <w:abstractNumId w:val="8"/>
  </w:num>
  <w:num w:numId="3" w16cid:durableId="967397116">
    <w:abstractNumId w:val="16"/>
  </w:num>
  <w:num w:numId="4" w16cid:durableId="1059478503">
    <w:abstractNumId w:val="4"/>
  </w:num>
  <w:num w:numId="5" w16cid:durableId="905533420">
    <w:abstractNumId w:val="10"/>
  </w:num>
  <w:num w:numId="6" w16cid:durableId="694616507">
    <w:abstractNumId w:val="1"/>
  </w:num>
  <w:num w:numId="7" w16cid:durableId="67534313">
    <w:abstractNumId w:val="7"/>
  </w:num>
  <w:num w:numId="8" w16cid:durableId="80294677">
    <w:abstractNumId w:val="15"/>
  </w:num>
  <w:num w:numId="9" w16cid:durableId="429130959">
    <w:abstractNumId w:val="3"/>
  </w:num>
  <w:num w:numId="10" w16cid:durableId="1076898726">
    <w:abstractNumId w:val="6"/>
  </w:num>
  <w:num w:numId="11" w16cid:durableId="1937518880">
    <w:abstractNumId w:val="14"/>
  </w:num>
  <w:num w:numId="12" w16cid:durableId="804812429">
    <w:abstractNumId w:val="12"/>
  </w:num>
  <w:num w:numId="13" w16cid:durableId="2039508185">
    <w:abstractNumId w:val="0"/>
  </w:num>
  <w:num w:numId="14" w16cid:durableId="1956789942">
    <w:abstractNumId w:val="2"/>
  </w:num>
  <w:num w:numId="15" w16cid:durableId="38869658">
    <w:abstractNumId w:val="9"/>
  </w:num>
  <w:num w:numId="16" w16cid:durableId="263925341">
    <w:abstractNumId w:val="13"/>
  </w:num>
  <w:num w:numId="17" w16cid:durableId="7180199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021"/>
    <w:rsid w:val="00007083"/>
    <w:rsid w:val="00013AA0"/>
    <w:rsid w:val="000237BB"/>
    <w:rsid w:val="00023A54"/>
    <w:rsid w:val="00044611"/>
    <w:rsid w:val="0005082A"/>
    <w:rsid w:val="00061CB6"/>
    <w:rsid w:val="000660BC"/>
    <w:rsid w:val="00093E49"/>
    <w:rsid w:val="000B2802"/>
    <w:rsid w:val="000C0788"/>
    <w:rsid w:val="000C7403"/>
    <w:rsid w:val="000D5BA5"/>
    <w:rsid w:val="000E7884"/>
    <w:rsid w:val="00105549"/>
    <w:rsid w:val="00107FF2"/>
    <w:rsid w:val="00122021"/>
    <w:rsid w:val="0012249F"/>
    <w:rsid w:val="00170CA9"/>
    <w:rsid w:val="00185D9B"/>
    <w:rsid w:val="00187F21"/>
    <w:rsid w:val="00192337"/>
    <w:rsid w:val="0019552B"/>
    <w:rsid w:val="001A3070"/>
    <w:rsid w:val="001B4B4F"/>
    <w:rsid w:val="001F562C"/>
    <w:rsid w:val="001F5926"/>
    <w:rsid w:val="002013C1"/>
    <w:rsid w:val="0020530B"/>
    <w:rsid w:val="00207AD1"/>
    <w:rsid w:val="0023794D"/>
    <w:rsid w:val="00241F69"/>
    <w:rsid w:val="00247858"/>
    <w:rsid w:val="00261528"/>
    <w:rsid w:val="00297A93"/>
    <w:rsid w:val="002A4366"/>
    <w:rsid w:val="002C0100"/>
    <w:rsid w:val="002C1317"/>
    <w:rsid w:val="002C1582"/>
    <w:rsid w:val="002C3667"/>
    <w:rsid w:val="002D5126"/>
    <w:rsid w:val="002F7D11"/>
    <w:rsid w:val="00300A8D"/>
    <w:rsid w:val="00306569"/>
    <w:rsid w:val="0031695A"/>
    <w:rsid w:val="00323920"/>
    <w:rsid w:val="003257FE"/>
    <w:rsid w:val="00325E16"/>
    <w:rsid w:val="00344049"/>
    <w:rsid w:val="00345DC7"/>
    <w:rsid w:val="00346ABB"/>
    <w:rsid w:val="003952E1"/>
    <w:rsid w:val="003A3CAC"/>
    <w:rsid w:val="003B487E"/>
    <w:rsid w:val="003F6FB0"/>
    <w:rsid w:val="00402321"/>
    <w:rsid w:val="004130A6"/>
    <w:rsid w:val="00415CB2"/>
    <w:rsid w:val="00430971"/>
    <w:rsid w:val="004343D0"/>
    <w:rsid w:val="00436913"/>
    <w:rsid w:val="0044446F"/>
    <w:rsid w:val="00452686"/>
    <w:rsid w:val="00454B7B"/>
    <w:rsid w:val="00463F74"/>
    <w:rsid w:val="00472443"/>
    <w:rsid w:val="004907C5"/>
    <w:rsid w:val="00497019"/>
    <w:rsid w:val="004C0912"/>
    <w:rsid w:val="004C390B"/>
    <w:rsid w:val="004C3A37"/>
    <w:rsid w:val="004C6F9F"/>
    <w:rsid w:val="004D0159"/>
    <w:rsid w:val="004E7107"/>
    <w:rsid w:val="00501E15"/>
    <w:rsid w:val="0050570E"/>
    <w:rsid w:val="00517698"/>
    <w:rsid w:val="005206D8"/>
    <w:rsid w:val="00557A0F"/>
    <w:rsid w:val="00572BD4"/>
    <w:rsid w:val="00580249"/>
    <w:rsid w:val="005858EA"/>
    <w:rsid w:val="005869E5"/>
    <w:rsid w:val="0059337F"/>
    <w:rsid w:val="005965C8"/>
    <w:rsid w:val="00597B21"/>
    <w:rsid w:val="005A1EB7"/>
    <w:rsid w:val="005B0664"/>
    <w:rsid w:val="005B1D19"/>
    <w:rsid w:val="005D114F"/>
    <w:rsid w:val="005E0CF2"/>
    <w:rsid w:val="005F70C2"/>
    <w:rsid w:val="0062282E"/>
    <w:rsid w:val="0065722F"/>
    <w:rsid w:val="006640C6"/>
    <w:rsid w:val="00671ED7"/>
    <w:rsid w:val="00697EB4"/>
    <w:rsid w:val="006D2458"/>
    <w:rsid w:val="0072147D"/>
    <w:rsid w:val="00733695"/>
    <w:rsid w:val="00735B35"/>
    <w:rsid w:val="00737B1C"/>
    <w:rsid w:val="00766C54"/>
    <w:rsid w:val="0077764B"/>
    <w:rsid w:val="00785A1D"/>
    <w:rsid w:val="00797DA4"/>
    <w:rsid w:val="007A7095"/>
    <w:rsid w:val="007C1FC7"/>
    <w:rsid w:val="007D2F55"/>
    <w:rsid w:val="007D5E0A"/>
    <w:rsid w:val="007E210B"/>
    <w:rsid w:val="007E262F"/>
    <w:rsid w:val="008019AA"/>
    <w:rsid w:val="008075E4"/>
    <w:rsid w:val="0082246B"/>
    <w:rsid w:val="00852483"/>
    <w:rsid w:val="0086447E"/>
    <w:rsid w:val="00866C17"/>
    <w:rsid w:val="00876AA0"/>
    <w:rsid w:val="00880066"/>
    <w:rsid w:val="008806CD"/>
    <w:rsid w:val="008872D3"/>
    <w:rsid w:val="00891427"/>
    <w:rsid w:val="00896EC9"/>
    <w:rsid w:val="0089745B"/>
    <w:rsid w:val="008A23D3"/>
    <w:rsid w:val="008C50C6"/>
    <w:rsid w:val="008D23A1"/>
    <w:rsid w:val="008D420C"/>
    <w:rsid w:val="0090320E"/>
    <w:rsid w:val="00915F27"/>
    <w:rsid w:val="009246C1"/>
    <w:rsid w:val="00924F1A"/>
    <w:rsid w:val="00942460"/>
    <w:rsid w:val="00943BC8"/>
    <w:rsid w:val="00946D45"/>
    <w:rsid w:val="00947D8F"/>
    <w:rsid w:val="0096053F"/>
    <w:rsid w:val="00963CCD"/>
    <w:rsid w:val="009672D4"/>
    <w:rsid w:val="009842DF"/>
    <w:rsid w:val="0098449F"/>
    <w:rsid w:val="009A39CE"/>
    <w:rsid w:val="009A5614"/>
    <w:rsid w:val="009B443C"/>
    <w:rsid w:val="009E33D8"/>
    <w:rsid w:val="009F74F8"/>
    <w:rsid w:val="009F7A5A"/>
    <w:rsid w:val="00A01C98"/>
    <w:rsid w:val="00A13859"/>
    <w:rsid w:val="00A30A79"/>
    <w:rsid w:val="00A35A44"/>
    <w:rsid w:val="00A37C60"/>
    <w:rsid w:val="00A40B4A"/>
    <w:rsid w:val="00A51D02"/>
    <w:rsid w:val="00A5368F"/>
    <w:rsid w:val="00A60D8E"/>
    <w:rsid w:val="00A70284"/>
    <w:rsid w:val="00A70FEA"/>
    <w:rsid w:val="00A93415"/>
    <w:rsid w:val="00AB7C68"/>
    <w:rsid w:val="00AC2566"/>
    <w:rsid w:val="00AD1F51"/>
    <w:rsid w:val="00AF76FC"/>
    <w:rsid w:val="00B014BB"/>
    <w:rsid w:val="00B201A6"/>
    <w:rsid w:val="00B42227"/>
    <w:rsid w:val="00B7164E"/>
    <w:rsid w:val="00B824DB"/>
    <w:rsid w:val="00B8468D"/>
    <w:rsid w:val="00B975E2"/>
    <w:rsid w:val="00BB3F66"/>
    <w:rsid w:val="00BC1FFA"/>
    <w:rsid w:val="00BE74A0"/>
    <w:rsid w:val="00BF38A2"/>
    <w:rsid w:val="00C123E2"/>
    <w:rsid w:val="00C222FE"/>
    <w:rsid w:val="00C414D4"/>
    <w:rsid w:val="00C64465"/>
    <w:rsid w:val="00C76D12"/>
    <w:rsid w:val="00C85EFF"/>
    <w:rsid w:val="00CB34FF"/>
    <w:rsid w:val="00CC0A49"/>
    <w:rsid w:val="00CD6990"/>
    <w:rsid w:val="00CF0191"/>
    <w:rsid w:val="00D07CFA"/>
    <w:rsid w:val="00D333CB"/>
    <w:rsid w:val="00D3711B"/>
    <w:rsid w:val="00D40FCD"/>
    <w:rsid w:val="00D74655"/>
    <w:rsid w:val="00D903E2"/>
    <w:rsid w:val="00D96546"/>
    <w:rsid w:val="00DA2CCB"/>
    <w:rsid w:val="00DC4CDB"/>
    <w:rsid w:val="00DE6DC6"/>
    <w:rsid w:val="00DF110E"/>
    <w:rsid w:val="00E24915"/>
    <w:rsid w:val="00E7337A"/>
    <w:rsid w:val="00E77F4D"/>
    <w:rsid w:val="00E9630C"/>
    <w:rsid w:val="00ED118E"/>
    <w:rsid w:val="00EF135B"/>
    <w:rsid w:val="00EF2591"/>
    <w:rsid w:val="00F30700"/>
    <w:rsid w:val="00F45646"/>
    <w:rsid w:val="00F46062"/>
    <w:rsid w:val="00FC5DB1"/>
    <w:rsid w:val="00FC6322"/>
    <w:rsid w:val="00FC6E42"/>
    <w:rsid w:val="00FD27F2"/>
    <w:rsid w:val="00FD2ACD"/>
    <w:rsid w:val="00FD4624"/>
    <w:rsid w:val="00FE4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A6352"/>
  <w15:docId w15:val="{AC8419BC-4EC4-4599-9977-9BFF32C84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A54"/>
  </w:style>
  <w:style w:type="paragraph" w:styleId="Heading1">
    <w:name w:val="heading 1"/>
    <w:basedOn w:val="Normal"/>
    <w:next w:val="Normal"/>
    <w:link w:val="Heading1Char"/>
    <w:uiPriority w:val="9"/>
    <w:qFormat/>
    <w:rsid w:val="00023A54"/>
    <w:pPr>
      <w:keepNext/>
      <w:keepLines/>
      <w:spacing w:before="400" w:after="40" w:line="240" w:lineRule="auto"/>
      <w:outlineLvl w:val="0"/>
    </w:pPr>
    <w:rPr>
      <w:rFonts w:asciiTheme="majorHAnsi" w:eastAsiaTheme="majorEastAsia" w:hAnsiTheme="majorHAnsi" w:cstheme="majorBidi"/>
      <w:color w:val="486113" w:themeColor="accent1" w:themeShade="80"/>
      <w:sz w:val="36"/>
      <w:szCs w:val="36"/>
    </w:rPr>
  </w:style>
  <w:style w:type="paragraph" w:styleId="Heading2">
    <w:name w:val="heading 2"/>
    <w:basedOn w:val="Normal"/>
    <w:next w:val="Normal"/>
    <w:link w:val="Heading2Char"/>
    <w:uiPriority w:val="9"/>
    <w:semiHidden/>
    <w:unhideWhenUsed/>
    <w:qFormat/>
    <w:rsid w:val="00023A54"/>
    <w:pPr>
      <w:keepNext/>
      <w:keepLines/>
      <w:spacing w:before="40" w:after="0" w:line="240" w:lineRule="auto"/>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023A54"/>
    <w:pPr>
      <w:keepNext/>
      <w:keepLines/>
      <w:spacing w:before="40" w:after="0" w:line="240" w:lineRule="auto"/>
      <w:outlineLvl w:val="2"/>
    </w:pPr>
    <w:rPr>
      <w:rFonts w:asciiTheme="majorHAnsi" w:eastAsiaTheme="majorEastAsia" w:hAnsiTheme="majorHAnsi"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023A54"/>
    <w:pPr>
      <w:keepNext/>
      <w:keepLines/>
      <w:spacing w:before="40" w:after="0"/>
      <w:outlineLvl w:val="3"/>
    </w:pPr>
    <w:rPr>
      <w:rFonts w:asciiTheme="majorHAnsi" w:eastAsiaTheme="majorEastAsia" w:hAnsiTheme="majorHAnsi" w:cstheme="majorBidi"/>
      <w:color w:val="6B911C" w:themeColor="accent1" w:themeShade="BF"/>
      <w:sz w:val="24"/>
      <w:szCs w:val="24"/>
    </w:rPr>
  </w:style>
  <w:style w:type="paragraph" w:styleId="Heading5">
    <w:name w:val="heading 5"/>
    <w:basedOn w:val="Normal"/>
    <w:next w:val="Normal"/>
    <w:link w:val="Heading5Char"/>
    <w:uiPriority w:val="9"/>
    <w:semiHidden/>
    <w:unhideWhenUsed/>
    <w:qFormat/>
    <w:rsid w:val="00023A54"/>
    <w:pPr>
      <w:keepNext/>
      <w:keepLines/>
      <w:spacing w:before="40" w:after="0"/>
      <w:outlineLvl w:val="4"/>
    </w:pPr>
    <w:rPr>
      <w:rFonts w:asciiTheme="majorHAnsi" w:eastAsiaTheme="majorEastAsia" w:hAnsiTheme="majorHAnsi" w:cstheme="majorBidi"/>
      <w:caps/>
      <w:color w:val="6B911C" w:themeColor="accent1" w:themeShade="BF"/>
    </w:rPr>
  </w:style>
  <w:style w:type="paragraph" w:styleId="Heading6">
    <w:name w:val="heading 6"/>
    <w:basedOn w:val="Normal"/>
    <w:next w:val="Normal"/>
    <w:link w:val="Heading6Char"/>
    <w:uiPriority w:val="9"/>
    <w:semiHidden/>
    <w:unhideWhenUsed/>
    <w:qFormat/>
    <w:rsid w:val="00023A54"/>
    <w:pPr>
      <w:keepNext/>
      <w:keepLines/>
      <w:spacing w:before="40" w:after="0"/>
      <w:outlineLvl w:val="5"/>
    </w:pPr>
    <w:rPr>
      <w:rFonts w:asciiTheme="majorHAnsi" w:eastAsiaTheme="majorEastAsia" w:hAnsiTheme="majorHAnsi" w:cstheme="majorBidi"/>
      <w:i/>
      <w:iCs/>
      <w:caps/>
      <w:color w:val="486113" w:themeColor="accent1" w:themeShade="80"/>
    </w:rPr>
  </w:style>
  <w:style w:type="paragraph" w:styleId="Heading7">
    <w:name w:val="heading 7"/>
    <w:basedOn w:val="Normal"/>
    <w:next w:val="Normal"/>
    <w:link w:val="Heading7Char"/>
    <w:uiPriority w:val="9"/>
    <w:semiHidden/>
    <w:unhideWhenUsed/>
    <w:qFormat/>
    <w:rsid w:val="00023A54"/>
    <w:pPr>
      <w:keepNext/>
      <w:keepLines/>
      <w:spacing w:before="40" w:after="0"/>
      <w:outlineLvl w:val="6"/>
    </w:pPr>
    <w:rPr>
      <w:rFonts w:asciiTheme="majorHAnsi" w:eastAsiaTheme="majorEastAsia" w:hAnsiTheme="majorHAnsi" w:cstheme="majorBidi"/>
      <w:b/>
      <w:bCs/>
      <w:color w:val="486113" w:themeColor="accent1" w:themeShade="80"/>
    </w:rPr>
  </w:style>
  <w:style w:type="paragraph" w:styleId="Heading8">
    <w:name w:val="heading 8"/>
    <w:basedOn w:val="Normal"/>
    <w:next w:val="Normal"/>
    <w:link w:val="Heading8Char"/>
    <w:uiPriority w:val="9"/>
    <w:semiHidden/>
    <w:unhideWhenUsed/>
    <w:qFormat/>
    <w:rsid w:val="00023A54"/>
    <w:pPr>
      <w:keepNext/>
      <w:keepLines/>
      <w:spacing w:before="40" w:after="0"/>
      <w:outlineLvl w:val="7"/>
    </w:pPr>
    <w:rPr>
      <w:rFonts w:asciiTheme="majorHAnsi" w:eastAsiaTheme="majorEastAsia" w:hAnsiTheme="majorHAnsi" w:cstheme="majorBidi"/>
      <w:b/>
      <w:bCs/>
      <w:i/>
      <w:iCs/>
      <w:color w:val="486113" w:themeColor="accent1" w:themeShade="80"/>
    </w:rPr>
  </w:style>
  <w:style w:type="paragraph" w:styleId="Heading9">
    <w:name w:val="heading 9"/>
    <w:basedOn w:val="Normal"/>
    <w:next w:val="Normal"/>
    <w:link w:val="Heading9Char"/>
    <w:uiPriority w:val="9"/>
    <w:semiHidden/>
    <w:unhideWhenUsed/>
    <w:qFormat/>
    <w:rsid w:val="00023A54"/>
    <w:pPr>
      <w:keepNext/>
      <w:keepLines/>
      <w:spacing w:before="40" w:after="0"/>
      <w:outlineLvl w:val="8"/>
    </w:pPr>
    <w:rPr>
      <w:rFonts w:asciiTheme="majorHAnsi" w:eastAsiaTheme="majorEastAsia" w:hAnsiTheme="majorHAnsi" w:cstheme="majorBidi"/>
      <w:i/>
      <w:iCs/>
      <w:color w:val="486113"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1317"/>
    <w:pPr>
      <w:ind w:left="720"/>
      <w:contextualSpacing/>
    </w:pPr>
  </w:style>
  <w:style w:type="character" w:customStyle="1" w:styleId="Heading1Char">
    <w:name w:val="Heading 1 Char"/>
    <w:basedOn w:val="DefaultParagraphFont"/>
    <w:link w:val="Heading1"/>
    <w:uiPriority w:val="9"/>
    <w:rsid w:val="00023A54"/>
    <w:rPr>
      <w:rFonts w:asciiTheme="majorHAnsi" w:eastAsiaTheme="majorEastAsia" w:hAnsiTheme="majorHAnsi" w:cstheme="majorBidi"/>
      <w:color w:val="486113" w:themeColor="accent1" w:themeShade="80"/>
      <w:sz w:val="36"/>
      <w:szCs w:val="36"/>
    </w:rPr>
  </w:style>
  <w:style w:type="character" w:customStyle="1" w:styleId="Heading2Char">
    <w:name w:val="Heading 2 Char"/>
    <w:basedOn w:val="DefaultParagraphFont"/>
    <w:link w:val="Heading2"/>
    <w:uiPriority w:val="9"/>
    <w:semiHidden/>
    <w:rsid w:val="00023A54"/>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023A54"/>
    <w:rPr>
      <w:rFonts w:asciiTheme="majorHAnsi" w:eastAsiaTheme="majorEastAsia" w:hAnsiTheme="majorHAnsi"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023A54"/>
    <w:rPr>
      <w:rFonts w:asciiTheme="majorHAnsi" w:eastAsiaTheme="majorEastAsia" w:hAnsiTheme="majorHAnsi" w:cstheme="majorBidi"/>
      <w:color w:val="6B911C" w:themeColor="accent1" w:themeShade="BF"/>
      <w:sz w:val="24"/>
      <w:szCs w:val="24"/>
    </w:rPr>
  </w:style>
  <w:style w:type="character" w:customStyle="1" w:styleId="Heading5Char">
    <w:name w:val="Heading 5 Char"/>
    <w:basedOn w:val="DefaultParagraphFont"/>
    <w:link w:val="Heading5"/>
    <w:uiPriority w:val="9"/>
    <w:semiHidden/>
    <w:rsid w:val="00023A54"/>
    <w:rPr>
      <w:rFonts w:asciiTheme="majorHAnsi" w:eastAsiaTheme="majorEastAsia" w:hAnsiTheme="majorHAnsi" w:cstheme="majorBidi"/>
      <w:caps/>
      <w:color w:val="6B911C" w:themeColor="accent1" w:themeShade="BF"/>
    </w:rPr>
  </w:style>
  <w:style w:type="character" w:customStyle="1" w:styleId="Heading6Char">
    <w:name w:val="Heading 6 Char"/>
    <w:basedOn w:val="DefaultParagraphFont"/>
    <w:link w:val="Heading6"/>
    <w:uiPriority w:val="9"/>
    <w:semiHidden/>
    <w:rsid w:val="00023A54"/>
    <w:rPr>
      <w:rFonts w:asciiTheme="majorHAnsi" w:eastAsiaTheme="majorEastAsia" w:hAnsiTheme="majorHAnsi" w:cstheme="majorBidi"/>
      <w:i/>
      <w:iCs/>
      <w:caps/>
      <w:color w:val="486113" w:themeColor="accent1" w:themeShade="80"/>
    </w:rPr>
  </w:style>
  <w:style w:type="character" w:customStyle="1" w:styleId="Heading7Char">
    <w:name w:val="Heading 7 Char"/>
    <w:basedOn w:val="DefaultParagraphFont"/>
    <w:link w:val="Heading7"/>
    <w:uiPriority w:val="9"/>
    <w:semiHidden/>
    <w:rsid w:val="00023A54"/>
    <w:rPr>
      <w:rFonts w:asciiTheme="majorHAnsi" w:eastAsiaTheme="majorEastAsia" w:hAnsiTheme="majorHAnsi" w:cstheme="majorBidi"/>
      <w:b/>
      <w:bCs/>
      <w:color w:val="486113" w:themeColor="accent1" w:themeShade="80"/>
    </w:rPr>
  </w:style>
  <w:style w:type="character" w:customStyle="1" w:styleId="Heading8Char">
    <w:name w:val="Heading 8 Char"/>
    <w:basedOn w:val="DefaultParagraphFont"/>
    <w:link w:val="Heading8"/>
    <w:uiPriority w:val="9"/>
    <w:semiHidden/>
    <w:rsid w:val="00023A54"/>
    <w:rPr>
      <w:rFonts w:asciiTheme="majorHAnsi" w:eastAsiaTheme="majorEastAsia" w:hAnsiTheme="majorHAnsi" w:cstheme="majorBidi"/>
      <w:b/>
      <w:bCs/>
      <w:i/>
      <w:iCs/>
      <w:color w:val="486113" w:themeColor="accent1" w:themeShade="80"/>
    </w:rPr>
  </w:style>
  <w:style w:type="character" w:customStyle="1" w:styleId="Heading9Char">
    <w:name w:val="Heading 9 Char"/>
    <w:basedOn w:val="DefaultParagraphFont"/>
    <w:link w:val="Heading9"/>
    <w:uiPriority w:val="9"/>
    <w:semiHidden/>
    <w:rsid w:val="00023A54"/>
    <w:rPr>
      <w:rFonts w:asciiTheme="majorHAnsi" w:eastAsiaTheme="majorEastAsia" w:hAnsiTheme="majorHAnsi" w:cstheme="majorBidi"/>
      <w:i/>
      <w:iCs/>
      <w:color w:val="486113" w:themeColor="accent1" w:themeShade="80"/>
    </w:rPr>
  </w:style>
  <w:style w:type="paragraph" w:styleId="Caption">
    <w:name w:val="caption"/>
    <w:basedOn w:val="Normal"/>
    <w:next w:val="Normal"/>
    <w:uiPriority w:val="35"/>
    <w:semiHidden/>
    <w:unhideWhenUsed/>
    <w:qFormat/>
    <w:rsid w:val="00023A54"/>
    <w:pPr>
      <w:spacing w:line="240" w:lineRule="auto"/>
    </w:pPr>
    <w:rPr>
      <w:b/>
      <w:bCs/>
      <w:smallCaps/>
      <w:color w:val="2C3C43" w:themeColor="text2"/>
    </w:rPr>
  </w:style>
  <w:style w:type="paragraph" w:styleId="Title">
    <w:name w:val="Title"/>
    <w:basedOn w:val="Normal"/>
    <w:next w:val="Normal"/>
    <w:link w:val="TitleChar"/>
    <w:uiPriority w:val="10"/>
    <w:qFormat/>
    <w:rsid w:val="00023A54"/>
    <w:pPr>
      <w:spacing w:after="0" w:line="204" w:lineRule="auto"/>
      <w:contextualSpacing/>
    </w:pPr>
    <w:rPr>
      <w:rFonts w:asciiTheme="majorHAnsi" w:eastAsiaTheme="majorEastAsia" w:hAnsiTheme="majorHAnsi" w:cstheme="majorBidi"/>
      <w:caps/>
      <w:color w:val="2C3C43" w:themeColor="text2"/>
      <w:spacing w:val="-15"/>
      <w:sz w:val="72"/>
      <w:szCs w:val="72"/>
    </w:rPr>
  </w:style>
  <w:style w:type="character" w:customStyle="1" w:styleId="TitleChar">
    <w:name w:val="Title Char"/>
    <w:basedOn w:val="DefaultParagraphFont"/>
    <w:link w:val="Title"/>
    <w:uiPriority w:val="10"/>
    <w:rsid w:val="00023A54"/>
    <w:rPr>
      <w:rFonts w:asciiTheme="majorHAnsi" w:eastAsiaTheme="majorEastAsia" w:hAnsiTheme="majorHAnsi" w:cstheme="majorBidi"/>
      <w:caps/>
      <w:color w:val="2C3C43" w:themeColor="text2"/>
      <w:spacing w:val="-15"/>
      <w:sz w:val="72"/>
      <w:szCs w:val="72"/>
    </w:rPr>
  </w:style>
  <w:style w:type="paragraph" w:styleId="Subtitle">
    <w:name w:val="Subtitle"/>
    <w:basedOn w:val="Normal"/>
    <w:next w:val="Normal"/>
    <w:link w:val="SubtitleChar"/>
    <w:uiPriority w:val="11"/>
    <w:qFormat/>
    <w:rsid w:val="00023A54"/>
    <w:pPr>
      <w:numPr>
        <w:ilvl w:val="1"/>
      </w:numPr>
      <w:spacing w:after="240" w:line="240" w:lineRule="auto"/>
    </w:pPr>
    <w:rPr>
      <w:rFonts w:asciiTheme="majorHAnsi" w:eastAsiaTheme="majorEastAsia" w:hAnsiTheme="majorHAnsi" w:cstheme="majorBidi"/>
      <w:color w:val="90C226" w:themeColor="accent1"/>
      <w:sz w:val="28"/>
      <w:szCs w:val="28"/>
    </w:rPr>
  </w:style>
  <w:style w:type="character" w:customStyle="1" w:styleId="SubtitleChar">
    <w:name w:val="Subtitle Char"/>
    <w:basedOn w:val="DefaultParagraphFont"/>
    <w:link w:val="Subtitle"/>
    <w:uiPriority w:val="11"/>
    <w:rsid w:val="00023A54"/>
    <w:rPr>
      <w:rFonts w:asciiTheme="majorHAnsi" w:eastAsiaTheme="majorEastAsia" w:hAnsiTheme="majorHAnsi" w:cstheme="majorBidi"/>
      <w:color w:val="90C226" w:themeColor="accent1"/>
      <w:sz w:val="28"/>
      <w:szCs w:val="28"/>
    </w:rPr>
  </w:style>
  <w:style w:type="character" w:styleId="Strong">
    <w:name w:val="Strong"/>
    <w:basedOn w:val="DefaultParagraphFont"/>
    <w:uiPriority w:val="22"/>
    <w:qFormat/>
    <w:rsid w:val="00023A54"/>
    <w:rPr>
      <w:b/>
      <w:bCs/>
    </w:rPr>
  </w:style>
  <w:style w:type="character" w:styleId="Emphasis">
    <w:name w:val="Emphasis"/>
    <w:basedOn w:val="DefaultParagraphFont"/>
    <w:uiPriority w:val="20"/>
    <w:qFormat/>
    <w:rsid w:val="00023A54"/>
    <w:rPr>
      <w:i/>
      <w:iCs/>
    </w:rPr>
  </w:style>
  <w:style w:type="paragraph" w:styleId="NoSpacing">
    <w:name w:val="No Spacing"/>
    <w:uiPriority w:val="1"/>
    <w:qFormat/>
    <w:rsid w:val="00023A54"/>
    <w:pPr>
      <w:spacing w:after="0" w:line="240" w:lineRule="auto"/>
    </w:pPr>
  </w:style>
  <w:style w:type="paragraph" w:styleId="Quote">
    <w:name w:val="Quote"/>
    <w:basedOn w:val="Normal"/>
    <w:next w:val="Normal"/>
    <w:link w:val="QuoteChar"/>
    <w:uiPriority w:val="29"/>
    <w:qFormat/>
    <w:rsid w:val="00023A54"/>
    <w:pPr>
      <w:spacing w:before="120" w:after="120"/>
      <w:ind w:left="720"/>
    </w:pPr>
    <w:rPr>
      <w:color w:val="2C3C43" w:themeColor="text2"/>
      <w:sz w:val="24"/>
      <w:szCs w:val="24"/>
    </w:rPr>
  </w:style>
  <w:style w:type="character" w:customStyle="1" w:styleId="QuoteChar">
    <w:name w:val="Quote Char"/>
    <w:basedOn w:val="DefaultParagraphFont"/>
    <w:link w:val="Quote"/>
    <w:uiPriority w:val="29"/>
    <w:rsid w:val="00023A54"/>
    <w:rPr>
      <w:color w:val="2C3C43" w:themeColor="text2"/>
      <w:sz w:val="24"/>
      <w:szCs w:val="24"/>
    </w:rPr>
  </w:style>
  <w:style w:type="paragraph" w:styleId="IntenseQuote">
    <w:name w:val="Intense Quote"/>
    <w:basedOn w:val="Normal"/>
    <w:next w:val="Normal"/>
    <w:link w:val="IntenseQuoteChar"/>
    <w:uiPriority w:val="30"/>
    <w:qFormat/>
    <w:rsid w:val="00023A54"/>
    <w:pPr>
      <w:spacing w:before="100" w:beforeAutospacing="1" w:after="240" w:line="240" w:lineRule="auto"/>
      <w:ind w:left="720"/>
      <w:jc w:val="center"/>
    </w:pPr>
    <w:rPr>
      <w:rFonts w:asciiTheme="majorHAnsi" w:eastAsiaTheme="majorEastAsia" w:hAnsiTheme="majorHAnsi" w:cstheme="majorBidi"/>
      <w:color w:val="2C3C43" w:themeColor="text2"/>
      <w:spacing w:val="-6"/>
      <w:sz w:val="32"/>
      <w:szCs w:val="32"/>
    </w:rPr>
  </w:style>
  <w:style w:type="character" w:customStyle="1" w:styleId="IntenseQuoteChar">
    <w:name w:val="Intense Quote Char"/>
    <w:basedOn w:val="DefaultParagraphFont"/>
    <w:link w:val="IntenseQuote"/>
    <w:uiPriority w:val="30"/>
    <w:rsid w:val="00023A54"/>
    <w:rPr>
      <w:rFonts w:asciiTheme="majorHAnsi" w:eastAsiaTheme="majorEastAsia" w:hAnsiTheme="majorHAnsi" w:cstheme="majorBidi"/>
      <w:color w:val="2C3C43" w:themeColor="text2"/>
      <w:spacing w:val="-6"/>
      <w:sz w:val="32"/>
      <w:szCs w:val="32"/>
    </w:rPr>
  </w:style>
  <w:style w:type="character" w:styleId="SubtleEmphasis">
    <w:name w:val="Subtle Emphasis"/>
    <w:basedOn w:val="DefaultParagraphFont"/>
    <w:uiPriority w:val="19"/>
    <w:qFormat/>
    <w:rsid w:val="00023A54"/>
    <w:rPr>
      <w:i/>
      <w:iCs/>
      <w:color w:val="595959" w:themeColor="text1" w:themeTint="A6"/>
    </w:rPr>
  </w:style>
  <w:style w:type="character" w:styleId="IntenseEmphasis">
    <w:name w:val="Intense Emphasis"/>
    <w:basedOn w:val="DefaultParagraphFont"/>
    <w:uiPriority w:val="21"/>
    <w:qFormat/>
    <w:rsid w:val="00023A54"/>
    <w:rPr>
      <w:b/>
      <w:bCs/>
      <w:i/>
      <w:iCs/>
    </w:rPr>
  </w:style>
  <w:style w:type="character" w:styleId="SubtleReference">
    <w:name w:val="Subtle Reference"/>
    <w:basedOn w:val="DefaultParagraphFont"/>
    <w:uiPriority w:val="31"/>
    <w:qFormat/>
    <w:rsid w:val="00023A5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23A54"/>
    <w:rPr>
      <w:b/>
      <w:bCs/>
      <w:smallCaps/>
      <w:color w:val="2C3C43" w:themeColor="text2"/>
      <w:u w:val="single"/>
    </w:rPr>
  </w:style>
  <w:style w:type="character" w:styleId="BookTitle">
    <w:name w:val="Book Title"/>
    <w:basedOn w:val="DefaultParagraphFont"/>
    <w:uiPriority w:val="33"/>
    <w:qFormat/>
    <w:rsid w:val="00023A54"/>
    <w:rPr>
      <w:b/>
      <w:bCs/>
      <w:smallCaps/>
      <w:spacing w:val="10"/>
    </w:rPr>
  </w:style>
  <w:style w:type="paragraph" w:styleId="TOCHeading">
    <w:name w:val="TOC Heading"/>
    <w:basedOn w:val="Heading1"/>
    <w:next w:val="Normal"/>
    <w:uiPriority w:val="39"/>
    <w:semiHidden/>
    <w:unhideWhenUsed/>
    <w:qFormat/>
    <w:rsid w:val="00023A54"/>
    <w:pPr>
      <w:outlineLvl w:val="9"/>
    </w:pPr>
  </w:style>
  <w:style w:type="table" w:styleId="TableGrid">
    <w:name w:val="Table Grid"/>
    <w:basedOn w:val="TableNormal"/>
    <w:uiPriority w:val="39"/>
    <w:rsid w:val="008806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0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664"/>
  </w:style>
  <w:style w:type="paragraph" w:styleId="Footer">
    <w:name w:val="footer"/>
    <w:basedOn w:val="Normal"/>
    <w:link w:val="FooterChar"/>
    <w:uiPriority w:val="99"/>
    <w:unhideWhenUsed/>
    <w:rsid w:val="005B0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6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112959">
      <w:bodyDiv w:val="1"/>
      <w:marLeft w:val="0"/>
      <w:marRight w:val="0"/>
      <w:marTop w:val="0"/>
      <w:marBottom w:val="0"/>
      <w:divBdr>
        <w:top w:val="none" w:sz="0" w:space="0" w:color="auto"/>
        <w:left w:val="none" w:sz="0" w:space="0" w:color="auto"/>
        <w:bottom w:val="none" w:sz="0" w:space="0" w:color="auto"/>
        <w:right w:val="none" w:sz="0" w:space="0" w:color="auto"/>
      </w:divBdr>
    </w:div>
    <w:div w:id="651715973">
      <w:bodyDiv w:val="1"/>
      <w:marLeft w:val="0"/>
      <w:marRight w:val="0"/>
      <w:marTop w:val="0"/>
      <w:marBottom w:val="0"/>
      <w:divBdr>
        <w:top w:val="none" w:sz="0" w:space="0" w:color="auto"/>
        <w:left w:val="none" w:sz="0" w:space="0" w:color="auto"/>
        <w:bottom w:val="none" w:sz="0" w:space="0" w:color="auto"/>
        <w:right w:val="none" w:sz="0" w:space="0" w:color="auto"/>
      </w:divBdr>
    </w:div>
    <w:div w:id="911964972">
      <w:bodyDiv w:val="1"/>
      <w:marLeft w:val="0"/>
      <w:marRight w:val="0"/>
      <w:marTop w:val="0"/>
      <w:marBottom w:val="0"/>
      <w:divBdr>
        <w:top w:val="none" w:sz="0" w:space="0" w:color="auto"/>
        <w:left w:val="none" w:sz="0" w:space="0" w:color="auto"/>
        <w:bottom w:val="none" w:sz="0" w:space="0" w:color="auto"/>
        <w:right w:val="none" w:sz="0" w:space="0" w:color="auto"/>
      </w:divBdr>
    </w:div>
    <w:div w:id="1497766783">
      <w:bodyDiv w:val="1"/>
      <w:marLeft w:val="0"/>
      <w:marRight w:val="0"/>
      <w:marTop w:val="0"/>
      <w:marBottom w:val="0"/>
      <w:divBdr>
        <w:top w:val="none" w:sz="0" w:space="0" w:color="auto"/>
        <w:left w:val="none" w:sz="0" w:space="0" w:color="auto"/>
        <w:bottom w:val="none" w:sz="0" w:space="0" w:color="auto"/>
        <w:right w:val="none" w:sz="0" w:space="0" w:color="auto"/>
      </w:divBdr>
    </w:div>
    <w:div w:id="16158701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2013-06-23T00:00:00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31FF80-6712-464A-ADF8-BC943BF82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3159</Words>
  <Characters>19276</Characters>
  <Application>Microsoft Office Word</Application>
  <DocSecurity>0</DocSecurity>
  <Lines>1204</Lines>
  <Paragraphs>186</Paragraphs>
  <ScaleCrop>false</ScaleCrop>
  <HeadingPairs>
    <vt:vector size="2" baseType="variant">
      <vt:variant>
        <vt:lpstr>Title</vt:lpstr>
      </vt:variant>
      <vt:variant>
        <vt:i4>1</vt:i4>
      </vt:variant>
    </vt:vector>
  </HeadingPairs>
  <TitlesOfParts>
    <vt:vector size="1" baseType="lpstr">
      <vt:lpstr>HUMAN RESOURCEANAGEMENT</vt:lpstr>
    </vt:vector>
  </TitlesOfParts>
  <Company/>
  <LinksUpToDate>false</LinksUpToDate>
  <CharactersWithSpaces>22249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RESOURCEANAGEMENT</dc:title>
  <dc:subject/>
  <dc:creator>Digvijaysinh solanki</dc:creator>
  <cp:keywords/>
  <dc:description/>
  <cp:lastModifiedBy>Digvijaysinh solanki</cp:lastModifiedBy>
  <cp:revision>6</cp:revision>
  <dcterms:created xsi:type="dcterms:W3CDTF">2023-06-19T19:52:00Z</dcterms:created>
  <dcterms:modified xsi:type="dcterms:W3CDTF">2023-06-22T21:33:00Z</dcterms:modified>
  <cp:category>MASTER OF BUSINESS ADMINITRATION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86890f6f416717192d49ac5e117eacc01ec7c19a885d37537a3c7b94677bf0bd</vt:lpwstr>
  </property>
</Properties>
</file>