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4624549"/>
        <w:docPartObj>
          <w:docPartGallery w:val="Cover Pages"/>
          <w:docPartUnique/>
        </w:docPartObj>
      </w:sdtPr>
      <w:sdtEndPr>
        <w:rPr>
          <w:b/>
          <w:bCs/>
          <w:u w:val="single"/>
        </w:rPr>
      </w:sdtEndPr>
      <w:sdtContent>
        <w:p w14:paraId="54194DA5" w14:textId="761DD55C" w:rsidR="001615BE" w:rsidRDefault="001615BE">
          <w:r>
            <w:rPr>
              <w:noProof/>
            </w:rPr>
            <mc:AlternateContent>
              <mc:Choice Requires="wpg">
                <w:drawing>
                  <wp:anchor distT="0" distB="0" distL="114300" distR="114300" simplePos="0" relativeHeight="251662336" behindDoc="0" locked="0" layoutInCell="1" allowOverlap="1" wp14:anchorId="69C492B3" wp14:editId="353CBC1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3A263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096B44" wp14:editId="6264FB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825183" w14:textId="396133D3" w:rsidR="001615BE" w:rsidRPr="001615BE" w:rsidRDefault="001615BE">
                                    <w:pPr>
                                      <w:pStyle w:val="NoSpacing"/>
                                      <w:jc w:val="right"/>
                                      <w:rPr>
                                        <w:color w:val="595959" w:themeColor="text1" w:themeTint="A6"/>
                                        <w:sz w:val="28"/>
                                        <w:szCs w:val="28"/>
                                        <w:lang w:val="pt-PT"/>
                                      </w:rPr>
                                    </w:pPr>
                                    <w:r w:rsidRPr="001615BE">
                                      <w:rPr>
                                        <w:color w:val="595959" w:themeColor="text1" w:themeTint="A6"/>
                                        <w:sz w:val="28"/>
                                        <w:szCs w:val="28"/>
                                        <w:lang w:val="pt-PT"/>
                                      </w:rPr>
                                      <w:t>Maria Dalia Varela Catraio De Boa Morte (2429427)</w:t>
                                    </w:r>
                                  </w:p>
                                </w:sdtContent>
                              </w:sdt>
                              <w:p w14:paraId="147DC717" w14:textId="7D2533E4" w:rsidR="001615BE" w:rsidRDefault="001615B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096B4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825183" w14:textId="396133D3" w:rsidR="001615BE" w:rsidRPr="001615BE" w:rsidRDefault="001615BE">
                              <w:pPr>
                                <w:pStyle w:val="NoSpacing"/>
                                <w:jc w:val="right"/>
                                <w:rPr>
                                  <w:color w:val="595959" w:themeColor="text1" w:themeTint="A6"/>
                                  <w:sz w:val="28"/>
                                  <w:szCs w:val="28"/>
                                  <w:lang w:val="pt-PT"/>
                                </w:rPr>
                              </w:pPr>
                              <w:r w:rsidRPr="001615BE">
                                <w:rPr>
                                  <w:color w:val="595959" w:themeColor="text1" w:themeTint="A6"/>
                                  <w:sz w:val="28"/>
                                  <w:szCs w:val="28"/>
                                  <w:lang w:val="pt-PT"/>
                                </w:rPr>
                                <w:t>Maria Dalia Varela Catraio De Boa Morte (2429427)</w:t>
                              </w:r>
                            </w:p>
                          </w:sdtContent>
                        </w:sdt>
                        <w:p w14:paraId="147DC717" w14:textId="7D2533E4" w:rsidR="001615BE" w:rsidRDefault="001615B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122C34" wp14:editId="6F36AFA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52FE5" w14:textId="5CE36BCA" w:rsidR="001615BE" w:rsidRDefault="001615BE">
                                <w:pPr>
                                  <w:pStyle w:val="NoSpacing"/>
                                  <w:jc w:val="right"/>
                                  <w:rPr>
                                    <w:color w:val="156082" w:themeColor="accent1"/>
                                    <w:sz w:val="28"/>
                                    <w:szCs w:val="28"/>
                                  </w:rPr>
                                </w:pPr>
                                <w:r>
                                  <w:rPr>
                                    <w:color w:val="156082" w:themeColor="accent1"/>
                                    <w:sz w:val="28"/>
                                    <w:szCs w:val="28"/>
                                  </w:rPr>
                                  <w:t>Module Title</w:t>
                                </w:r>
                              </w:p>
                              <w:p w14:paraId="6C5B5DAD" w14:textId="4E50E326" w:rsidR="001615BE" w:rsidRDefault="001615BE">
                                <w:pPr>
                                  <w:pStyle w:val="NoSpacing"/>
                                  <w:jc w:val="right"/>
                                  <w:rPr>
                                    <w:color w:val="156082" w:themeColor="accent1"/>
                                    <w:sz w:val="28"/>
                                    <w:szCs w:val="28"/>
                                  </w:rPr>
                                </w:pPr>
                                <w:r>
                                  <w:rPr>
                                    <w:color w:val="156082" w:themeColor="accent1"/>
                                    <w:sz w:val="28"/>
                                    <w:szCs w:val="28"/>
                                  </w:rPr>
                                  <w:t xml:space="preserve">Psychology in Health and Social Care </w:t>
                                </w:r>
                              </w:p>
                              <w:p w14:paraId="450A6C31" w14:textId="6C6FAA15" w:rsidR="001615BE" w:rsidRDefault="001615BE">
                                <w:pPr>
                                  <w:pStyle w:val="NoSpacing"/>
                                  <w:jc w:val="right"/>
                                  <w:rPr>
                                    <w:color w:val="156082" w:themeColor="accent1"/>
                                    <w:sz w:val="28"/>
                                    <w:szCs w:val="28"/>
                                  </w:rPr>
                                </w:pPr>
                                <w:r>
                                  <w:rPr>
                                    <w:color w:val="156082" w:themeColor="accent1"/>
                                    <w:sz w:val="28"/>
                                    <w:szCs w:val="28"/>
                                  </w:rPr>
                                  <w:t>Module code -LCHS4010</w:t>
                                </w:r>
                              </w:p>
                              <w:p w14:paraId="3F85CA66" w14:textId="20FAA538" w:rsidR="001615BE" w:rsidRDefault="001615BE">
                                <w:pPr>
                                  <w:pStyle w:val="NoSpacing"/>
                                  <w:jc w:val="right"/>
                                  <w:rPr>
                                    <w:color w:val="156082" w:themeColor="accent1"/>
                                    <w:sz w:val="28"/>
                                    <w:szCs w:val="28"/>
                                  </w:rPr>
                                </w:pPr>
                                <w:r>
                                  <w:rPr>
                                    <w:color w:val="156082" w:themeColor="accent1"/>
                                    <w:sz w:val="28"/>
                                    <w:szCs w:val="28"/>
                                  </w:rPr>
                                  <w:t>Lecturer Name -</w:t>
                                </w:r>
                              </w:p>
                              <w:p w14:paraId="0AD637A6" w14:textId="77777777" w:rsidR="001615BE" w:rsidRDefault="001615BE">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93B4B85" w14:textId="72312DB3" w:rsidR="001615BE" w:rsidRDefault="001615BE" w:rsidP="001615BE">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122C3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F52FE5" w14:textId="5CE36BCA" w:rsidR="001615BE" w:rsidRDefault="001615BE">
                          <w:pPr>
                            <w:pStyle w:val="NoSpacing"/>
                            <w:jc w:val="right"/>
                            <w:rPr>
                              <w:color w:val="156082" w:themeColor="accent1"/>
                              <w:sz w:val="28"/>
                              <w:szCs w:val="28"/>
                            </w:rPr>
                          </w:pPr>
                          <w:r>
                            <w:rPr>
                              <w:color w:val="156082" w:themeColor="accent1"/>
                              <w:sz w:val="28"/>
                              <w:szCs w:val="28"/>
                            </w:rPr>
                            <w:t>Module Title</w:t>
                          </w:r>
                        </w:p>
                        <w:p w14:paraId="6C5B5DAD" w14:textId="4E50E326" w:rsidR="001615BE" w:rsidRDefault="001615BE">
                          <w:pPr>
                            <w:pStyle w:val="NoSpacing"/>
                            <w:jc w:val="right"/>
                            <w:rPr>
                              <w:color w:val="156082" w:themeColor="accent1"/>
                              <w:sz w:val="28"/>
                              <w:szCs w:val="28"/>
                            </w:rPr>
                          </w:pPr>
                          <w:r>
                            <w:rPr>
                              <w:color w:val="156082" w:themeColor="accent1"/>
                              <w:sz w:val="28"/>
                              <w:szCs w:val="28"/>
                            </w:rPr>
                            <w:t xml:space="preserve">Psychology in Health and Social Care </w:t>
                          </w:r>
                        </w:p>
                        <w:p w14:paraId="450A6C31" w14:textId="6C6FAA15" w:rsidR="001615BE" w:rsidRDefault="001615BE">
                          <w:pPr>
                            <w:pStyle w:val="NoSpacing"/>
                            <w:jc w:val="right"/>
                            <w:rPr>
                              <w:color w:val="156082" w:themeColor="accent1"/>
                              <w:sz w:val="28"/>
                              <w:szCs w:val="28"/>
                            </w:rPr>
                          </w:pPr>
                          <w:r>
                            <w:rPr>
                              <w:color w:val="156082" w:themeColor="accent1"/>
                              <w:sz w:val="28"/>
                              <w:szCs w:val="28"/>
                            </w:rPr>
                            <w:t>Module code -LCHS4010</w:t>
                          </w:r>
                        </w:p>
                        <w:p w14:paraId="3F85CA66" w14:textId="20FAA538" w:rsidR="001615BE" w:rsidRDefault="001615BE">
                          <w:pPr>
                            <w:pStyle w:val="NoSpacing"/>
                            <w:jc w:val="right"/>
                            <w:rPr>
                              <w:color w:val="156082" w:themeColor="accent1"/>
                              <w:sz w:val="28"/>
                              <w:szCs w:val="28"/>
                            </w:rPr>
                          </w:pPr>
                          <w:r>
                            <w:rPr>
                              <w:color w:val="156082" w:themeColor="accent1"/>
                              <w:sz w:val="28"/>
                              <w:szCs w:val="28"/>
                            </w:rPr>
                            <w:t>Lecturer Name -</w:t>
                          </w:r>
                        </w:p>
                        <w:p w14:paraId="0AD637A6" w14:textId="77777777" w:rsidR="001615BE" w:rsidRDefault="001615BE">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93B4B85" w14:textId="72312DB3" w:rsidR="001615BE" w:rsidRDefault="001615BE" w:rsidP="001615BE">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FCFDDF" wp14:editId="47A41F0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9E9D79" w14:textId="7CF518EA" w:rsidR="001615BE" w:rsidRDefault="001615B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assig</w:t>
                                    </w:r>
                                    <w:r w:rsidR="00F05CA4">
                                      <w:rPr>
                                        <w:caps/>
                                        <w:color w:val="156082" w:themeColor="accent1"/>
                                        <w:sz w:val="64"/>
                                        <w:szCs w:val="64"/>
                                      </w:rPr>
                                      <w:t>nm</w:t>
                                    </w:r>
                                    <w:r>
                                      <w:rPr>
                                        <w:caps/>
                                        <w:color w:val="156082" w:themeColor="accent1"/>
                                        <w:sz w:val="64"/>
                                        <w:szCs w:val="64"/>
                                      </w:rPr>
                                      <w:t>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0C1640" w14:textId="349FDA73" w:rsidR="001615BE" w:rsidRDefault="001615BE">
                                    <w:pPr>
                                      <w:jc w:val="right"/>
                                      <w:rPr>
                                        <w:smallCaps/>
                                        <w:color w:val="404040" w:themeColor="text1" w:themeTint="BF"/>
                                        <w:sz w:val="36"/>
                                        <w:szCs w:val="36"/>
                                      </w:rPr>
                                    </w:pPr>
                                    <w:r>
                                      <w:rPr>
                                        <w:color w:val="404040" w:themeColor="text1" w:themeTint="BF"/>
                                        <w:sz w:val="36"/>
                                        <w:szCs w:val="36"/>
                                      </w:rPr>
                                      <w:t xml:space="preserve">Level 4 assessment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FCFDD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B9E9D79" w14:textId="7CF518EA" w:rsidR="001615BE" w:rsidRDefault="001615B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assig</w:t>
                              </w:r>
                              <w:r w:rsidR="00F05CA4">
                                <w:rPr>
                                  <w:caps/>
                                  <w:color w:val="156082" w:themeColor="accent1"/>
                                  <w:sz w:val="64"/>
                                  <w:szCs w:val="64"/>
                                </w:rPr>
                                <w:t>nm</w:t>
                              </w:r>
                              <w:r>
                                <w:rPr>
                                  <w:caps/>
                                  <w:color w:val="156082" w:themeColor="accent1"/>
                                  <w:sz w:val="64"/>
                                  <w:szCs w:val="64"/>
                                </w:rPr>
                                <w:t>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0C1640" w14:textId="349FDA73" w:rsidR="001615BE" w:rsidRDefault="001615BE">
                              <w:pPr>
                                <w:jc w:val="right"/>
                                <w:rPr>
                                  <w:smallCaps/>
                                  <w:color w:val="404040" w:themeColor="text1" w:themeTint="BF"/>
                                  <w:sz w:val="36"/>
                                  <w:szCs w:val="36"/>
                                </w:rPr>
                              </w:pPr>
                              <w:r>
                                <w:rPr>
                                  <w:color w:val="404040" w:themeColor="text1" w:themeTint="BF"/>
                                  <w:sz w:val="36"/>
                                  <w:szCs w:val="36"/>
                                </w:rPr>
                                <w:t xml:space="preserve">Level 4 assessment  </w:t>
                              </w:r>
                            </w:p>
                          </w:sdtContent>
                        </w:sdt>
                      </w:txbxContent>
                    </v:textbox>
                    <w10:wrap type="square" anchorx="page" anchory="page"/>
                  </v:shape>
                </w:pict>
              </mc:Fallback>
            </mc:AlternateContent>
          </w:r>
        </w:p>
        <w:p w14:paraId="6DDC133C" w14:textId="25A208FB" w:rsidR="001615BE" w:rsidRDefault="001615BE">
          <w:pPr>
            <w:rPr>
              <w:b/>
              <w:bCs/>
              <w:u w:val="single"/>
            </w:rPr>
          </w:pPr>
          <w:r>
            <w:rPr>
              <w:b/>
              <w:bCs/>
              <w:u w:val="single"/>
            </w:rPr>
            <w:br w:type="page"/>
          </w:r>
        </w:p>
      </w:sdtContent>
    </w:sdt>
    <w:p w14:paraId="1FBF9BA1" w14:textId="77777777" w:rsidR="004729B3" w:rsidRDefault="004729B3">
      <w:pPr>
        <w:rPr>
          <w:lang w:val="pt-PT"/>
        </w:rPr>
      </w:pPr>
    </w:p>
    <w:p w14:paraId="7850DD8D" w14:textId="4C4C3280" w:rsidR="004729B3" w:rsidRPr="005D5318" w:rsidRDefault="004729B3">
      <w:pPr>
        <w:rPr>
          <w:b/>
          <w:bCs/>
          <w:i/>
          <w:iCs/>
          <w:u w:val="single"/>
          <w:lang w:val="pt-PT"/>
        </w:rPr>
      </w:pPr>
      <w:r w:rsidRPr="005D5318">
        <w:rPr>
          <w:b/>
          <w:bCs/>
          <w:i/>
          <w:iCs/>
          <w:u w:val="single"/>
          <w:lang w:val="pt-PT"/>
        </w:rPr>
        <w:t>Introduction</w:t>
      </w:r>
    </w:p>
    <w:p w14:paraId="4A6ECBA1" w14:textId="072B9FB2" w:rsidR="004729B3" w:rsidRDefault="004729B3">
      <w:r w:rsidRPr="006A25E9">
        <w:t xml:space="preserve">This report aims to guide </w:t>
      </w:r>
      <w:r w:rsidR="006A25E9" w:rsidRPr="006A25E9">
        <w:t>H</w:t>
      </w:r>
      <w:r w:rsidR="006A25E9">
        <w:t xml:space="preserve">ealth and Social Care professionals in understanding how </w:t>
      </w:r>
      <w:r w:rsidR="005D5318">
        <w:t>psychological</w:t>
      </w:r>
      <w:r w:rsidR="006A25E9">
        <w:t xml:space="preserve"> theories can be used to support adults aged 65 and over who are living in a dementia care home. Dementia, is a cognitive disorder that affects the memory, thinking, and behaviour, so </w:t>
      </w:r>
      <w:r w:rsidR="005D5318">
        <w:t>it’s</w:t>
      </w:r>
      <w:r w:rsidR="006A25E9">
        <w:t xml:space="preserve"> important to understand how different psychological ideas can help in providing better care. This report will explain to psychological theories and show how they can be used to support people with dementia.</w:t>
      </w:r>
    </w:p>
    <w:p w14:paraId="23D15D63" w14:textId="77777777" w:rsidR="006A25E9" w:rsidRDefault="006A25E9"/>
    <w:p w14:paraId="211A6CB9" w14:textId="393C4637" w:rsidR="006A25E9" w:rsidRPr="005D5318" w:rsidRDefault="006A25E9">
      <w:pPr>
        <w:rPr>
          <w:b/>
          <w:bCs/>
          <w:i/>
          <w:iCs/>
          <w:u w:val="single"/>
        </w:rPr>
      </w:pPr>
      <w:r w:rsidRPr="005D5318">
        <w:rPr>
          <w:b/>
          <w:bCs/>
          <w:i/>
          <w:iCs/>
          <w:u w:val="single"/>
        </w:rPr>
        <w:t xml:space="preserve">Overview of two psychological theories </w:t>
      </w:r>
    </w:p>
    <w:p w14:paraId="3B4F5156" w14:textId="77777777" w:rsidR="006A25E9" w:rsidRDefault="006A25E9"/>
    <w:p w14:paraId="71E98B4D" w14:textId="77777777" w:rsidR="005D5318" w:rsidRDefault="005D5318">
      <w:pPr>
        <w:rPr>
          <w:b/>
          <w:bCs/>
          <w:i/>
          <w:iCs/>
          <w:u w:val="single"/>
        </w:rPr>
      </w:pPr>
    </w:p>
    <w:p w14:paraId="495E5F2A" w14:textId="0BD9A506" w:rsidR="005D5318" w:rsidRPr="00F863DE" w:rsidRDefault="006A25E9">
      <w:pPr>
        <w:rPr>
          <w:b/>
          <w:bCs/>
          <w:i/>
          <w:iCs/>
          <w:u w:val="single"/>
        </w:rPr>
      </w:pPr>
      <w:r w:rsidRPr="005D5318">
        <w:rPr>
          <w:b/>
          <w:bCs/>
          <w:i/>
          <w:iCs/>
          <w:u w:val="single"/>
        </w:rPr>
        <w:t xml:space="preserve">Piaget’s Cognitive Development theory: </w:t>
      </w:r>
    </w:p>
    <w:p w14:paraId="1D82ED7E" w14:textId="0CF5B646" w:rsidR="006A25E9" w:rsidRDefault="006A25E9">
      <w:r>
        <w:t>Piaget’s theory is about peoples thinking and understanding change as they grow. Piaget’s cognitive development is based on childhood development but how it progresses throughout their development and declines in older adults and particularly in dementia care.</w:t>
      </w:r>
      <w:r w:rsidR="005D5318">
        <w:t xml:space="preserve"> Piaget’s theory explains how individuals cognitive change and adapts to their environment. In the context of dementia care Piaget’s stage of development can be used to understand how cognitive abilities deteriorate over time, which can inform the creation of supportive environments that adapt to these changing needs. By understanding Piaget’s ideas, care givers can make sure they give activities that matches the persons current ability, without cause frustration.</w:t>
      </w:r>
    </w:p>
    <w:p w14:paraId="0E0CA359" w14:textId="77777777" w:rsidR="00F863DE" w:rsidRDefault="00F863DE"/>
    <w:p w14:paraId="535A3948" w14:textId="77777777" w:rsidR="00F863DE" w:rsidRDefault="00F863DE"/>
    <w:p w14:paraId="09F55FAA" w14:textId="77777777" w:rsidR="00F863DE" w:rsidRDefault="00F863DE"/>
    <w:p w14:paraId="7F04C197" w14:textId="77777777" w:rsidR="00F863DE" w:rsidRDefault="00F863DE"/>
    <w:p w14:paraId="4DB24EE9" w14:textId="68290970" w:rsidR="00F863DE" w:rsidRPr="001615BE" w:rsidRDefault="00F863DE">
      <w:pPr>
        <w:rPr>
          <w:b/>
          <w:bCs/>
          <w:u w:val="single"/>
        </w:rPr>
      </w:pPr>
      <w:r w:rsidRPr="001615BE">
        <w:rPr>
          <w:b/>
          <w:bCs/>
          <w:u w:val="single"/>
        </w:rPr>
        <w:t>Erikson</w:t>
      </w:r>
      <w:r w:rsidR="001615BE">
        <w:rPr>
          <w:b/>
          <w:bCs/>
          <w:u w:val="single"/>
        </w:rPr>
        <w:t>’</w:t>
      </w:r>
      <w:r w:rsidRPr="001615BE">
        <w:rPr>
          <w:b/>
          <w:bCs/>
          <w:u w:val="single"/>
        </w:rPr>
        <w:t>s Psychosocial Development Theory:</w:t>
      </w:r>
    </w:p>
    <w:p w14:paraId="7E1EEB9C" w14:textId="77777777" w:rsidR="00F863DE" w:rsidRPr="001615BE" w:rsidRDefault="00F863DE">
      <w:pPr>
        <w:rPr>
          <w:u w:val="single"/>
        </w:rPr>
      </w:pPr>
    </w:p>
    <w:p w14:paraId="5E0A3272" w14:textId="7C621FDF" w:rsidR="00F863DE" w:rsidRDefault="00F863DE">
      <w:r>
        <w:t xml:space="preserve">Eriksons theory focuses on eight stages of psychosocial development throughout life, with the final stage being “Integrity vs. Despair”, this means older people reflect on their lives and either feel proud or regretful which is particularly relevant for adults. For individuals with dementia, this theory helps explain the importance of maintaining a sense of identity, purpose, and social connection. It suggests that older adults may experience a sense of despair if they cannot make sense of their lives, which can be </w:t>
      </w:r>
      <w:r>
        <w:lastRenderedPageBreak/>
        <w:t xml:space="preserve">increased by dementia. </w:t>
      </w:r>
      <w:r w:rsidR="0076357E">
        <w:t>By focusing on maintaining a sense of integrity and avoiding despair, care givers can greatly improve the emotional and psychological wellbeing of individuals with dementia.</w:t>
      </w:r>
    </w:p>
    <w:p w14:paraId="1B25B5B2" w14:textId="77777777" w:rsidR="0076357E" w:rsidRDefault="0076357E"/>
    <w:p w14:paraId="01FEDDB6" w14:textId="3E79988A" w:rsidR="0076357E" w:rsidRPr="001615BE" w:rsidRDefault="0076357E">
      <w:pPr>
        <w:rPr>
          <w:b/>
          <w:bCs/>
          <w:i/>
          <w:iCs/>
          <w:sz w:val="28"/>
          <w:szCs w:val="28"/>
          <w:u w:val="single"/>
        </w:rPr>
      </w:pPr>
      <w:r w:rsidRPr="001615BE">
        <w:rPr>
          <w:b/>
          <w:bCs/>
          <w:i/>
          <w:iCs/>
          <w:sz w:val="28"/>
          <w:szCs w:val="28"/>
          <w:u w:val="single"/>
        </w:rPr>
        <w:t>Application of the Theories in a Dementia Care Setting</w:t>
      </w:r>
    </w:p>
    <w:p w14:paraId="2C20195D" w14:textId="77777777" w:rsidR="0076357E" w:rsidRDefault="0076357E"/>
    <w:p w14:paraId="59395302" w14:textId="04E045A3" w:rsidR="0076357E" w:rsidRPr="00E6345C" w:rsidRDefault="0076357E">
      <w:pPr>
        <w:rPr>
          <w:b/>
          <w:bCs/>
        </w:rPr>
      </w:pPr>
      <w:r w:rsidRPr="00E6345C">
        <w:rPr>
          <w:b/>
          <w:bCs/>
        </w:rPr>
        <w:t xml:space="preserve">Application of Piaget’s </w:t>
      </w:r>
      <w:r w:rsidR="00E6345C" w:rsidRPr="00E6345C">
        <w:rPr>
          <w:b/>
          <w:bCs/>
        </w:rPr>
        <w:t>Cognitive</w:t>
      </w:r>
      <w:r w:rsidRPr="00E6345C">
        <w:rPr>
          <w:b/>
          <w:bCs/>
        </w:rPr>
        <w:t xml:space="preserve"> Development Theory:</w:t>
      </w:r>
    </w:p>
    <w:p w14:paraId="4623190E" w14:textId="77777777" w:rsidR="0076357E" w:rsidRDefault="0076357E"/>
    <w:p w14:paraId="48E44866" w14:textId="5A9CAAC4" w:rsidR="0076357E" w:rsidRDefault="00E6345C">
      <w:r>
        <w:t>Piaget’s</w:t>
      </w:r>
      <w:r w:rsidR="0076357E">
        <w:t xml:space="preserve"> theory helps us understand how the cognitive abilities of individuals with dementia may decline. Care givers can use this knowledge to provide activities and communication styles, allowing patients to engage at their cognitive level</w:t>
      </w:r>
      <w:r>
        <w:t xml:space="preserve">. For example, a care giver might use simple, concrete tasks to engage individuals in activities rather than complex cognitive tasks that could cause frustration. </w:t>
      </w:r>
      <w:r w:rsidR="00F05CA4">
        <w:t>Piaget’s</w:t>
      </w:r>
      <w:r>
        <w:t xml:space="preserve"> cognitive development theory can help guide dementia care by reminding us that, as dementia progresses, a </w:t>
      </w:r>
      <w:r w:rsidR="00F05CA4">
        <w:t xml:space="preserve">person’s </w:t>
      </w:r>
      <w:r>
        <w:t xml:space="preserve">thinking may move from complex and logical to more concrete and sensory based. This means communication needs to become simple, using short sentences, clear instructions, and avoid abstract ideas that may cause confusion. </w:t>
      </w:r>
      <w:r w:rsidR="00F05CA4">
        <w:t>Activities</w:t>
      </w:r>
      <w:r>
        <w:t xml:space="preserve"> should be hands on and familiar, such as f</w:t>
      </w:r>
      <w:r w:rsidR="001C67FA">
        <w:t xml:space="preserve">olding towels or watering plants, because concrete tasks are easier to understand than ones that require planning or problem solving. As memory and reasoning decline, sensory experiences like music, touch, familiar scent, or looking at photos can help the person feel calm and connected even when words are harder to use. </w:t>
      </w:r>
      <w:r w:rsidR="00F05CA4">
        <w:t>Piaget’s</w:t>
      </w:r>
      <w:r w:rsidR="001C67FA">
        <w:t xml:space="preserve"> ideas also show why people with dementia may struggle with decision making. They often cannot manage abstract or multistep choices, so it </w:t>
      </w:r>
      <w:r w:rsidR="00F05CA4">
        <w:t>helps</w:t>
      </w:r>
      <w:r w:rsidR="001C67FA">
        <w:t xml:space="preserve"> to offer small, guided options rather than expecting them to work things out on their own. When they say things that are not factually correct, directly arguing can cause distress, </w:t>
      </w:r>
      <w:r w:rsidR="00F05CA4">
        <w:t>provide</w:t>
      </w:r>
      <w:r w:rsidR="001C67FA">
        <w:t xml:space="preserve"> reassurance and gently </w:t>
      </w:r>
      <w:proofErr w:type="gramStart"/>
      <w:r w:rsidR="001C67FA">
        <w:t>entering</w:t>
      </w:r>
      <w:proofErr w:type="gramEnd"/>
      <w:r w:rsidR="001C67FA">
        <w:t xml:space="preserve"> their sense of reality is more comforting. Overall, applying </w:t>
      </w:r>
      <w:r w:rsidR="00F05CA4">
        <w:t>Piaget’s</w:t>
      </w:r>
      <w:r w:rsidR="001C67FA">
        <w:t xml:space="preserve"> theory in dementia care means meeting the person at their current level of thinking, keeping routines predictable, lowering cognitive demands, and focusing on connection rather than correctness.</w:t>
      </w:r>
    </w:p>
    <w:p w14:paraId="5070DB54" w14:textId="77777777" w:rsidR="00F52C17" w:rsidRDefault="00F52C17"/>
    <w:p w14:paraId="1AA4A7D3" w14:textId="63DC47E1" w:rsidR="00F52C17" w:rsidRPr="00567A3D" w:rsidRDefault="00F52C17">
      <w:pPr>
        <w:rPr>
          <w:b/>
          <w:bCs/>
          <w:i/>
          <w:iCs/>
        </w:rPr>
      </w:pPr>
      <w:r w:rsidRPr="00567A3D">
        <w:rPr>
          <w:b/>
          <w:bCs/>
          <w:i/>
          <w:iCs/>
        </w:rPr>
        <w:t>Application of Erikson</w:t>
      </w:r>
      <w:r w:rsidR="00EC21A1">
        <w:rPr>
          <w:b/>
          <w:bCs/>
          <w:i/>
          <w:iCs/>
        </w:rPr>
        <w:t>’</w:t>
      </w:r>
      <w:r w:rsidRPr="00567A3D">
        <w:rPr>
          <w:b/>
          <w:bCs/>
          <w:i/>
          <w:iCs/>
        </w:rPr>
        <w:t>s Psychosocial Development Theory in Dementia Care:</w:t>
      </w:r>
    </w:p>
    <w:p w14:paraId="3A0E1E6D" w14:textId="77777777" w:rsidR="00F52C17" w:rsidRDefault="00F52C17"/>
    <w:p w14:paraId="29C57FB4" w14:textId="7887EC7C" w:rsidR="00F52C17" w:rsidRDefault="00F52C17">
      <w:r>
        <w:t>Erikson</w:t>
      </w:r>
      <w:r w:rsidR="00EC21A1">
        <w:t>’</w:t>
      </w:r>
      <w:r>
        <w:t xml:space="preserve">s theory can help caregivers focus on maintaining the patients sense of dignity and identity. The goal for patients in the final stage of life is to achieve integrity by reflecting on their lives with a sense of satisfaction rather than despair. Caregivers can foster meaningful conversations, and supports patients in recalling their life </w:t>
      </w:r>
      <w:r>
        <w:lastRenderedPageBreak/>
        <w:t xml:space="preserve">experiences, alongside enhancing their sense of worth and preventing feeling of despair. This theory can be applied to dementia care by focusing on the emotional needs that continue even as memory and thinking decline. For individuals with dementia, remembering their past may become difficult, but the need to feel valued, respected, and connected remains strong. Caregivers can support this by encouraging life stories using old </w:t>
      </w:r>
      <w:r w:rsidR="00EC21A1">
        <w:t>photos and</w:t>
      </w:r>
      <w:r>
        <w:t xml:space="preserve"> showing genuine appreciation for who the person has been throughout their life.</w:t>
      </w:r>
      <w:r w:rsidR="00567A3D">
        <w:t xml:space="preserve"> Even if they forget details the feeling from being recognised and respected still stay with them. Erikson also emphasized the importance of trust, especially when a person becomes dependant on others. People with dementia can feel confused or frightened, so offering kindness, consistency, and patience helps build emotional safety. They may also move back into earlier emotional needs, such as needing comfort, reassurance, or close connection, </w:t>
      </w:r>
      <w:proofErr w:type="gramStart"/>
      <w:r w:rsidR="00567A3D">
        <w:t>similar to</w:t>
      </w:r>
      <w:proofErr w:type="gramEnd"/>
      <w:r w:rsidR="00567A3D">
        <w:t xml:space="preserve"> how young children need dependable support. This means caregivers should respond gently to fear or confusion rather than correcting or confronting. Overall, using Erikson</w:t>
      </w:r>
      <w:r w:rsidR="00EC21A1">
        <w:t>’</w:t>
      </w:r>
      <w:r w:rsidR="00567A3D">
        <w:t>s theory in Dementia Care means focusing on supporting identity, dignity, trust, and emotional security, helping the people feel safe, valued, and connected even as their abilities change.</w:t>
      </w:r>
    </w:p>
    <w:p w14:paraId="4BFFA8C4" w14:textId="77777777" w:rsidR="00567A3D" w:rsidRDefault="00567A3D"/>
    <w:p w14:paraId="01C90739" w14:textId="75782B74" w:rsidR="00567A3D" w:rsidRDefault="00567A3D">
      <w:pPr>
        <w:rPr>
          <w:b/>
          <w:bCs/>
        </w:rPr>
      </w:pPr>
      <w:r w:rsidRPr="00A47FF6">
        <w:rPr>
          <w:b/>
          <w:bCs/>
        </w:rPr>
        <w:t>Challenges and strategies for professionals:</w:t>
      </w:r>
    </w:p>
    <w:p w14:paraId="4D3753CF" w14:textId="52A7E109" w:rsidR="00A47FF6" w:rsidRPr="00EC21A1" w:rsidRDefault="000C523A">
      <w:r w:rsidRPr="00EC21A1">
        <w:t xml:space="preserve">In Dementia care, professionals face several challenges when applying psychological theories like </w:t>
      </w:r>
      <w:r w:rsidR="00EC21A1" w:rsidRPr="00EC21A1">
        <w:t>Erikson’s</w:t>
      </w:r>
      <w:r w:rsidRPr="00EC21A1">
        <w:t xml:space="preserve"> and </w:t>
      </w:r>
      <w:r w:rsidR="00EC21A1" w:rsidRPr="00EC21A1">
        <w:t>Piaget’s</w:t>
      </w:r>
      <w:r w:rsidRPr="00EC21A1">
        <w:t xml:space="preserve">. One of the main challenges is dealing with the cognitive decline that comes with dementia. As the condition affects the memory and thinking, applying </w:t>
      </w:r>
      <w:r w:rsidR="00EC21A1" w:rsidRPr="00EC21A1">
        <w:t>Pi</w:t>
      </w:r>
      <w:r w:rsidR="00EC21A1">
        <w:t>a</w:t>
      </w:r>
      <w:r w:rsidR="00EC21A1" w:rsidRPr="00EC21A1">
        <w:t>get’s</w:t>
      </w:r>
      <w:r w:rsidRPr="00EC21A1">
        <w:t xml:space="preserve"> theory can be difficult because </w:t>
      </w:r>
      <w:r w:rsidR="00EC21A1" w:rsidRPr="00EC21A1">
        <w:t>individuals</w:t>
      </w:r>
      <w:r w:rsidRPr="00EC21A1">
        <w:t xml:space="preserve"> may struggle to perform tasks that were once easy for them. </w:t>
      </w:r>
      <w:r w:rsidR="00EC21A1" w:rsidRPr="00EC21A1">
        <w:t>Piaget’s</w:t>
      </w:r>
      <w:r w:rsidRPr="00EC21A1">
        <w:t xml:space="preserve"> ideas are about how peoples thinking changes, but in dementia, the opposite happens, and cognitive abilities often decline. This makes it harder for caregivers to use certain activities or methods that would be appropriate for other adults, especially when tasks require higher level thinking. Professionals </w:t>
      </w:r>
      <w:proofErr w:type="gramStart"/>
      <w:r w:rsidRPr="00EC21A1">
        <w:t>have to</w:t>
      </w:r>
      <w:proofErr w:type="gramEnd"/>
      <w:r w:rsidRPr="00EC21A1">
        <w:t xml:space="preserve"> constantly adjust the activities and </w:t>
      </w:r>
      <w:r w:rsidR="00EC21A1" w:rsidRPr="00EC21A1">
        <w:t>care plans</w:t>
      </w:r>
      <w:r w:rsidRPr="00EC21A1">
        <w:t xml:space="preserve"> to meet the changing abilities of the person their caring for. Another challenge is the </w:t>
      </w:r>
      <w:r w:rsidR="0099258C" w:rsidRPr="00EC21A1">
        <w:t>emotional</w:t>
      </w:r>
      <w:r w:rsidRPr="00EC21A1">
        <w:t xml:space="preserve"> aspect of dementia care. According to Erikson</w:t>
      </w:r>
      <w:r w:rsidR="00EC21A1">
        <w:t>’</w:t>
      </w:r>
      <w:r w:rsidRPr="00EC21A1">
        <w:t xml:space="preserve">s theory, older adults face the challenge of reflecting on their life and achieving a sense of integrity. However, people with dementia often have trouble remembering their past, which can lead to feeling of confusion, regret, and despair. They may not be able to make sense of live, which is crucial in Erikson final stage. </w:t>
      </w:r>
      <w:r w:rsidR="0099258C" w:rsidRPr="00EC21A1">
        <w:t xml:space="preserve">This emotional struggle can be very difficult for both patient and caregiver. Professionals in dementia must be sensitive to the emotional need of their patients and help them find a sense of peace despite the memory loss. To overcome these challenges, professionals can use several strategies. One key approach is person centred care, which focuses on treating </w:t>
      </w:r>
      <w:proofErr w:type="gramStart"/>
      <w:r w:rsidR="0099258C" w:rsidRPr="00EC21A1">
        <w:t>each individual</w:t>
      </w:r>
      <w:proofErr w:type="gramEnd"/>
      <w:r w:rsidR="0099258C" w:rsidRPr="00EC21A1">
        <w:t xml:space="preserve"> based on their unique needs, preference, and abilities. This method helps caregivers understand the persons current cognitive and emotional state and create care plans that are realistic and </w:t>
      </w:r>
      <w:r w:rsidR="0099258C" w:rsidRPr="00EC21A1">
        <w:lastRenderedPageBreak/>
        <w:t>compassionate. For example, rather than asking a person with dementia to do tasks that require to much thinking, caregivers can provide simpler, more manageable activities that still engage the person and make them feel valued. Another important strategy is promoting social interaction and emotion support. By encouraging patients to remember about their past or engage in conversations about their experiences, caregivers can help them feel a sense of identity and purpose, which is crucial for maintaining integrity. Additionally, creating a supportive environment where patients feel respected and valued can reduce feelings of despair and help them focus on the positive aspects of life. Professionals can involve family members in care, ensuring that patients feel connected to their loved ones, which can reduce isolation and improve their emotional wellbeing.</w:t>
      </w:r>
      <w:r w:rsidR="00EC21A1" w:rsidRPr="00EC21A1">
        <w:t xml:space="preserve"> </w:t>
      </w:r>
    </w:p>
    <w:p w14:paraId="5E5B8569" w14:textId="77777777" w:rsidR="00EC21A1" w:rsidRDefault="00EC21A1">
      <w:pPr>
        <w:rPr>
          <w:b/>
          <w:bCs/>
        </w:rPr>
      </w:pPr>
    </w:p>
    <w:p w14:paraId="161813B4" w14:textId="5CBA3C4B" w:rsidR="00EC21A1" w:rsidRPr="005340A9" w:rsidRDefault="00EC21A1">
      <w:pPr>
        <w:rPr>
          <w:b/>
          <w:bCs/>
          <w:u w:val="single"/>
        </w:rPr>
      </w:pPr>
      <w:r w:rsidRPr="005340A9">
        <w:rPr>
          <w:b/>
          <w:bCs/>
          <w:u w:val="single"/>
        </w:rPr>
        <w:t>Conclusion</w:t>
      </w:r>
    </w:p>
    <w:p w14:paraId="0E63AD2C" w14:textId="2DA9E9C8" w:rsidR="00EC21A1" w:rsidRDefault="00EC21A1">
      <w:r w:rsidRPr="005340A9">
        <w:t xml:space="preserve">The application of psychological theories such as </w:t>
      </w:r>
      <w:r w:rsidR="005340A9" w:rsidRPr="005340A9">
        <w:t>Piaget’s</w:t>
      </w:r>
      <w:r w:rsidRPr="005340A9">
        <w:t xml:space="preserve"> cognitive development theory and Erikson</w:t>
      </w:r>
      <w:r w:rsidR="005340A9" w:rsidRPr="005340A9">
        <w:t>’</w:t>
      </w:r>
      <w:r w:rsidRPr="005340A9">
        <w:t>s psyc</w:t>
      </w:r>
      <w:r w:rsidR="005340A9" w:rsidRPr="005340A9">
        <w:t>h</w:t>
      </w:r>
      <w:r w:rsidRPr="005340A9">
        <w:t xml:space="preserve">osocial development theory is essential in improving care for older adults with dementia. These theories provide valuable insights into how cognitive and emotional changes affects individuals with dementia and how care professionals can support them. By understanding these theories, caregivers can create more personalised, effective care plans that promote dignity, cognitive engagement, and emotional wellbeing. Despite challenges, the integration of these theories can significantly enhance </w:t>
      </w:r>
      <w:r w:rsidR="005340A9" w:rsidRPr="005340A9">
        <w:t xml:space="preserve">the quality of care for dementia patients, helping them maintain a sense of self and purpose in their later years. </w:t>
      </w:r>
    </w:p>
    <w:p w14:paraId="769A9C91" w14:textId="77777777" w:rsidR="005340A9" w:rsidRDefault="005340A9"/>
    <w:p w14:paraId="19F9C170" w14:textId="77777777" w:rsidR="005340A9" w:rsidRDefault="005340A9">
      <w:pPr>
        <w:rPr>
          <w:b/>
          <w:bCs/>
          <w:u w:val="single"/>
        </w:rPr>
      </w:pPr>
    </w:p>
    <w:p w14:paraId="1C7BF54B" w14:textId="77777777" w:rsidR="005340A9" w:rsidRDefault="005340A9">
      <w:pPr>
        <w:rPr>
          <w:b/>
          <w:bCs/>
          <w:u w:val="single"/>
        </w:rPr>
      </w:pPr>
    </w:p>
    <w:p w14:paraId="312CE426" w14:textId="77777777" w:rsidR="005340A9" w:rsidRDefault="005340A9">
      <w:pPr>
        <w:rPr>
          <w:b/>
          <w:bCs/>
          <w:u w:val="single"/>
        </w:rPr>
      </w:pPr>
    </w:p>
    <w:p w14:paraId="4E1E9515" w14:textId="36DE4833" w:rsidR="005340A9" w:rsidRPr="001615BE" w:rsidRDefault="005340A9">
      <w:pPr>
        <w:rPr>
          <w:b/>
          <w:bCs/>
          <w:sz w:val="32"/>
          <w:szCs w:val="32"/>
          <w:u w:val="single"/>
        </w:rPr>
      </w:pPr>
      <w:r w:rsidRPr="001615BE">
        <w:rPr>
          <w:b/>
          <w:bCs/>
          <w:sz w:val="32"/>
          <w:szCs w:val="32"/>
          <w:u w:val="single"/>
        </w:rPr>
        <w:t xml:space="preserve">Reference Page </w:t>
      </w:r>
    </w:p>
    <w:p w14:paraId="6D5E8DAD" w14:textId="77777777" w:rsidR="001615BE" w:rsidRDefault="001615BE">
      <w:pPr>
        <w:rPr>
          <w:b/>
          <w:bCs/>
          <w:u w:val="single"/>
        </w:rPr>
      </w:pPr>
    </w:p>
    <w:p w14:paraId="3EDAAB73"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340A9">
        <w:rPr>
          <w:rFonts w:ascii="Arial" w:eastAsia="Times New Roman" w:hAnsi="Arial" w:cs="Arial"/>
          <w:color w:val="222222"/>
          <w:kern w:val="0"/>
          <w:lang w:val="pt-PT" w:eastAsia="en-GB"/>
          <w14:ligatures w14:val="none"/>
        </w:rPr>
        <w:t>Piaget, J. (1977). </w:t>
      </w:r>
      <w:r w:rsidRPr="005340A9">
        <w:rPr>
          <w:rFonts w:ascii="Arial" w:eastAsia="Times New Roman" w:hAnsi="Arial" w:cs="Arial"/>
          <w:i/>
          <w:iCs/>
          <w:color w:val="222222"/>
          <w:kern w:val="0"/>
          <w:lang w:val="pt-PT" w:eastAsia="en-GB"/>
          <w14:ligatures w14:val="none"/>
        </w:rPr>
        <w:t>O desenvolvimento do pensamento: equilibração das estruturas cognitivas</w:t>
      </w:r>
      <w:r w:rsidRPr="005340A9">
        <w:rPr>
          <w:rFonts w:ascii="Arial" w:eastAsia="Times New Roman" w:hAnsi="Arial" w:cs="Arial"/>
          <w:color w:val="222222"/>
          <w:kern w:val="0"/>
          <w:lang w:val="pt-PT" w:eastAsia="en-GB"/>
          <w14:ligatures w14:val="none"/>
        </w:rPr>
        <w:t xml:space="preserve"> . </w:t>
      </w:r>
      <w:r w:rsidRPr="005340A9">
        <w:rPr>
          <w:rFonts w:ascii="Arial" w:eastAsia="Times New Roman" w:hAnsi="Arial" w:cs="Arial"/>
          <w:color w:val="222222"/>
          <w:kern w:val="0"/>
          <w:lang w:eastAsia="en-GB"/>
          <w14:ligatures w14:val="none"/>
        </w:rPr>
        <w:t>Viking Press.</w:t>
      </w:r>
    </w:p>
    <w:p w14:paraId="65F03331"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340A9">
        <w:rPr>
          <w:rFonts w:ascii="Arial" w:eastAsia="Times New Roman" w:hAnsi="Arial" w:cs="Arial"/>
          <w:color w:val="222222"/>
          <w:kern w:val="0"/>
          <w:lang w:val="pt-PT" w:eastAsia="en-GB"/>
          <w14:ligatures w14:val="none"/>
        </w:rPr>
        <w:t>Erikson, EH (1950). </w:t>
      </w:r>
      <w:r w:rsidRPr="005340A9">
        <w:rPr>
          <w:rFonts w:ascii="Arial" w:eastAsia="Times New Roman" w:hAnsi="Arial" w:cs="Arial"/>
          <w:i/>
          <w:iCs/>
          <w:color w:val="222222"/>
          <w:kern w:val="0"/>
          <w:lang w:val="pt-PT" w:eastAsia="en-GB"/>
          <w14:ligatures w14:val="none"/>
        </w:rPr>
        <w:t>Infância e Sociedade</w:t>
      </w:r>
      <w:r w:rsidRPr="005340A9">
        <w:rPr>
          <w:rFonts w:ascii="Arial" w:eastAsia="Times New Roman" w:hAnsi="Arial" w:cs="Arial"/>
          <w:color w:val="222222"/>
          <w:kern w:val="0"/>
          <w:lang w:val="pt-PT" w:eastAsia="en-GB"/>
          <w14:ligatures w14:val="none"/>
        </w:rPr>
        <w:t xml:space="preserve"> . </w:t>
      </w:r>
      <w:r w:rsidRPr="005340A9">
        <w:rPr>
          <w:rFonts w:ascii="Arial" w:eastAsia="Times New Roman" w:hAnsi="Arial" w:cs="Arial"/>
          <w:color w:val="222222"/>
          <w:kern w:val="0"/>
          <w:lang w:eastAsia="en-GB"/>
          <w14:ligatures w14:val="none"/>
        </w:rPr>
        <w:t>WW Norton &amp; Company.</w:t>
      </w:r>
    </w:p>
    <w:p w14:paraId="4AE8C587"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5340A9">
        <w:rPr>
          <w:rFonts w:ascii="Arial" w:eastAsia="Times New Roman" w:hAnsi="Arial" w:cs="Arial"/>
          <w:color w:val="222222"/>
          <w:kern w:val="0"/>
          <w:lang w:val="pt-PT" w:eastAsia="en-GB"/>
          <w14:ligatures w14:val="none"/>
        </w:rPr>
        <w:t>Kitwood, T. (1997). </w:t>
      </w:r>
      <w:r w:rsidRPr="005340A9">
        <w:rPr>
          <w:rFonts w:ascii="Arial" w:eastAsia="Times New Roman" w:hAnsi="Arial" w:cs="Arial"/>
          <w:i/>
          <w:iCs/>
          <w:color w:val="222222"/>
          <w:kern w:val="0"/>
          <w:lang w:val="pt-PT" w:eastAsia="en-GB"/>
          <w14:ligatures w14:val="none"/>
        </w:rPr>
        <w:t>Demência Reconsiderada: A Pessoa Vem em Primeiro Lugar</w:t>
      </w:r>
      <w:r w:rsidRPr="005340A9">
        <w:rPr>
          <w:rFonts w:ascii="Arial" w:eastAsia="Times New Roman" w:hAnsi="Arial" w:cs="Arial"/>
          <w:color w:val="222222"/>
          <w:kern w:val="0"/>
          <w:lang w:val="pt-PT" w:eastAsia="en-GB"/>
          <w14:ligatures w14:val="none"/>
        </w:rPr>
        <w:t xml:space="preserve"> . </w:t>
      </w:r>
      <w:r w:rsidRPr="005340A9">
        <w:rPr>
          <w:rFonts w:ascii="Arial" w:eastAsia="Times New Roman" w:hAnsi="Arial" w:cs="Arial"/>
          <w:color w:val="222222"/>
          <w:kern w:val="0"/>
          <w:lang w:eastAsia="en-GB"/>
          <w14:ligatures w14:val="none"/>
        </w:rPr>
        <w:t>Open University Press.</w:t>
      </w:r>
    </w:p>
    <w:p w14:paraId="5EEEA701"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val="pt-PT" w:eastAsia="en-GB"/>
          <w14:ligatures w14:val="none"/>
        </w:rPr>
      </w:pPr>
      <w:r w:rsidRPr="005340A9">
        <w:rPr>
          <w:rFonts w:ascii="Arial" w:eastAsia="Times New Roman" w:hAnsi="Arial" w:cs="Arial"/>
          <w:color w:val="222222"/>
          <w:kern w:val="0"/>
          <w:lang w:val="pt-PT" w:eastAsia="en-GB"/>
          <w14:ligatures w14:val="none"/>
        </w:rPr>
        <w:t>McKillop, A. (2019). 'Aspectos psicossociais do cuidado da demência: Apoio a idosos com comprometimento cognitivo', </w:t>
      </w:r>
      <w:r w:rsidRPr="005340A9">
        <w:rPr>
          <w:rFonts w:ascii="Arial" w:eastAsia="Times New Roman" w:hAnsi="Arial" w:cs="Arial"/>
          <w:i/>
          <w:iCs/>
          <w:color w:val="222222"/>
          <w:kern w:val="0"/>
          <w:lang w:val="pt-PT" w:eastAsia="en-GB"/>
          <w14:ligatures w14:val="none"/>
        </w:rPr>
        <w:t>Journal of Aging and Mental Health</w:t>
      </w:r>
      <w:r w:rsidRPr="005340A9">
        <w:rPr>
          <w:rFonts w:ascii="Arial" w:eastAsia="Times New Roman" w:hAnsi="Arial" w:cs="Arial"/>
          <w:color w:val="222222"/>
          <w:kern w:val="0"/>
          <w:lang w:val="pt-PT" w:eastAsia="en-GB"/>
          <w14:ligatures w14:val="none"/>
        </w:rPr>
        <w:t> , 23(5), pp. 1204-1212.</w:t>
      </w:r>
    </w:p>
    <w:p w14:paraId="0489BED6"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val="pt-PT" w:eastAsia="en-GB"/>
          <w14:ligatures w14:val="none"/>
        </w:rPr>
      </w:pPr>
      <w:r w:rsidRPr="005340A9">
        <w:rPr>
          <w:rFonts w:ascii="Arial" w:eastAsia="Times New Roman" w:hAnsi="Arial" w:cs="Arial"/>
          <w:color w:val="222222"/>
          <w:kern w:val="0"/>
          <w:lang w:val="pt-PT" w:eastAsia="en-GB"/>
          <w14:ligatures w14:val="none"/>
        </w:rPr>
        <w:lastRenderedPageBreak/>
        <w:t>Brooker, D. (2007). 'Cuidado centrado na pessoa com demência: Melhorando os serviços com a estrutura VIPS', </w:t>
      </w:r>
      <w:r w:rsidRPr="005340A9">
        <w:rPr>
          <w:rFonts w:ascii="Arial" w:eastAsia="Times New Roman" w:hAnsi="Arial" w:cs="Arial"/>
          <w:i/>
          <w:iCs/>
          <w:color w:val="222222"/>
          <w:kern w:val="0"/>
          <w:lang w:val="pt-PT" w:eastAsia="en-GB"/>
          <w14:ligatures w14:val="none"/>
        </w:rPr>
        <w:t>Journal of Dementia Care</w:t>
      </w:r>
      <w:r w:rsidRPr="005340A9">
        <w:rPr>
          <w:rFonts w:ascii="Arial" w:eastAsia="Times New Roman" w:hAnsi="Arial" w:cs="Arial"/>
          <w:color w:val="222222"/>
          <w:kern w:val="0"/>
          <w:lang w:val="pt-PT" w:eastAsia="en-GB"/>
          <w14:ligatures w14:val="none"/>
        </w:rPr>
        <w:t> , 15(6), pp. 7-10.</w:t>
      </w:r>
    </w:p>
    <w:p w14:paraId="336AD9AE" w14:textId="77777777" w:rsidR="005340A9" w:rsidRPr="005340A9" w:rsidRDefault="005340A9" w:rsidP="005340A9">
      <w:pPr>
        <w:numPr>
          <w:ilvl w:val="0"/>
          <w:numId w:val="2"/>
        </w:numPr>
        <w:shd w:val="clear" w:color="auto" w:fill="FFFFFF"/>
        <w:spacing w:before="100" w:beforeAutospacing="1" w:after="100" w:afterAutospacing="1" w:line="240" w:lineRule="auto"/>
        <w:ind w:left="945"/>
        <w:rPr>
          <w:rFonts w:ascii="Arial" w:eastAsia="Times New Roman" w:hAnsi="Arial" w:cs="Arial"/>
          <w:color w:val="222222"/>
          <w:kern w:val="0"/>
          <w:lang w:val="pt-PT" w:eastAsia="en-GB"/>
          <w14:ligatures w14:val="none"/>
        </w:rPr>
      </w:pPr>
      <w:r w:rsidRPr="005340A9">
        <w:rPr>
          <w:rFonts w:ascii="Arial" w:eastAsia="Times New Roman" w:hAnsi="Arial" w:cs="Arial"/>
          <w:color w:val="222222"/>
          <w:kern w:val="0"/>
          <w:lang w:val="pt-PT" w:eastAsia="en-GB"/>
          <w14:ligatures w14:val="none"/>
        </w:rPr>
        <w:t>Cummings, JL (2004). 'Demência frontotemporal: Visão geral e opções de tratamento', </w:t>
      </w:r>
      <w:r w:rsidRPr="005340A9">
        <w:rPr>
          <w:rFonts w:ascii="Arial" w:eastAsia="Times New Roman" w:hAnsi="Arial" w:cs="Arial"/>
          <w:i/>
          <w:iCs/>
          <w:color w:val="222222"/>
          <w:kern w:val="0"/>
          <w:lang w:val="pt-PT" w:eastAsia="en-GB"/>
          <w14:ligatures w14:val="none"/>
        </w:rPr>
        <w:t>Journal of Clinical Psychiatry</w:t>
      </w:r>
      <w:r w:rsidRPr="005340A9">
        <w:rPr>
          <w:rFonts w:ascii="Arial" w:eastAsia="Times New Roman" w:hAnsi="Arial" w:cs="Arial"/>
          <w:color w:val="222222"/>
          <w:kern w:val="0"/>
          <w:lang w:val="pt-PT" w:eastAsia="en-GB"/>
          <w14:ligatures w14:val="none"/>
        </w:rPr>
        <w:t> , 65(2), pp. 2-4.</w:t>
      </w:r>
    </w:p>
    <w:p w14:paraId="252DBC0F" w14:textId="4FCE8BBE" w:rsidR="005340A9" w:rsidRPr="005340A9" w:rsidRDefault="005340A9" w:rsidP="005340A9">
      <w:pPr>
        <w:shd w:val="clear" w:color="auto" w:fill="FFFFFF"/>
        <w:spacing w:after="0" w:line="240" w:lineRule="auto"/>
        <w:rPr>
          <w:rFonts w:ascii="Arial" w:eastAsia="Times New Roman" w:hAnsi="Arial" w:cs="Arial"/>
          <w:color w:val="222222"/>
          <w:kern w:val="0"/>
          <w:lang w:eastAsia="en-GB"/>
          <w14:ligatures w14:val="none"/>
        </w:rPr>
      </w:pPr>
    </w:p>
    <w:p w14:paraId="297B1B0F" w14:textId="77777777" w:rsidR="005340A9" w:rsidRPr="005340A9" w:rsidRDefault="005340A9" w:rsidP="001615BE">
      <w:pPr>
        <w:pStyle w:val="ListParagraph"/>
        <w:rPr>
          <w:b/>
          <w:bCs/>
          <w:u w:val="single"/>
        </w:rPr>
      </w:pPr>
    </w:p>
    <w:p w14:paraId="4BB9F42B" w14:textId="77777777" w:rsidR="005340A9" w:rsidRPr="005340A9" w:rsidRDefault="005340A9">
      <w:pPr>
        <w:rPr>
          <w:b/>
          <w:bCs/>
          <w:u w:val="single"/>
        </w:rPr>
      </w:pPr>
    </w:p>
    <w:p w14:paraId="43B6FCFD" w14:textId="77777777" w:rsidR="005340A9" w:rsidRPr="005340A9" w:rsidRDefault="005340A9"/>
    <w:p w14:paraId="04ED8616" w14:textId="77777777" w:rsidR="0099258C" w:rsidRPr="005340A9" w:rsidRDefault="0099258C"/>
    <w:p w14:paraId="51082227" w14:textId="77777777" w:rsidR="00A47FF6" w:rsidRDefault="00A47FF6"/>
    <w:p w14:paraId="34CC2564" w14:textId="77777777" w:rsidR="00A47FF6" w:rsidRDefault="00A47FF6"/>
    <w:p w14:paraId="661CCBDB" w14:textId="77777777" w:rsidR="00F52C17" w:rsidRDefault="00F52C17"/>
    <w:p w14:paraId="29D6CB74" w14:textId="77777777" w:rsidR="00F52C17" w:rsidRDefault="00F52C17"/>
    <w:p w14:paraId="082E887A" w14:textId="77777777" w:rsidR="0076357E" w:rsidRDefault="0076357E"/>
    <w:p w14:paraId="7F7A46A5" w14:textId="77777777" w:rsidR="00F863DE" w:rsidRDefault="00F863DE"/>
    <w:p w14:paraId="27E6C70E" w14:textId="77777777" w:rsidR="00F863DE" w:rsidRPr="006A25E9" w:rsidRDefault="00F863DE"/>
    <w:sectPr w:rsidR="00F863DE" w:rsidRPr="006A25E9" w:rsidSect="001615B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098AA" w14:textId="77777777" w:rsidR="00940EEA" w:rsidRDefault="00940EEA" w:rsidP="001615BE">
      <w:pPr>
        <w:spacing w:after="0" w:line="240" w:lineRule="auto"/>
      </w:pPr>
      <w:r>
        <w:separator/>
      </w:r>
    </w:p>
  </w:endnote>
  <w:endnote w:type="continuationSeparator" w:id="0">
    <w:p w14:paraId="584E6488" w14:textId="77777777" w:rsidR="00940EEA" w:rsidRDefault="00940EEA" w:rsidP="00161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522711"/>
      <w:docPartObj>
        <w:docPartGallery w:val="Page Numbers (Bottom of Page)"/>
        <w:docPartUnique/>
      </w:docPartObj>
    </w:sdtPr>
    <w:sdtContent>
      <w:p w14:paraId="411DA11A" w14:textId="3BD0605B" w:rsidR="001615BE" w:rsidRDefault="001615BE">
        <w:pPr>
          <w:pStyle w:val="Footer"/>
        </w:pPr>
        <w:r>
          <w:fldChar w:fldCharType="begin"/>
        </w:r>
        <w:r>
          <w:instrText>PAGE   \* MERGEFORMAT</w:instrText>
        </w:r>
        <w:r>
          <w:fldChar w:fldCharType="separate"/>
        </w:r>
        <w:r>
          <w:t>2</w:t>
        </w:r>
        <w:r>
          <w:fldChar w:fldCharType="end"/>
        </w:r>
      </w:p>
    </w:sdtContent>
  </w:sdt>
  <w:p w14:paraId="754034E6" w14:textId="77777777" w:rsidR="001615BE" w:rsidRDefault="00161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E172C" w14:textId="77777777" w:rsidR="00940EEA" w:rsidRDefault="00940EEA" w:rsidP="001615BE">
      <w:pPr>
        <w:spacing w:after="0" w:line="240" w:lineRule="auto"/>
      </w:pPr>
      <w:r>
        <w:separator/>
      </w:r>
    </w:p>
  </w:footnote>
  <w:footnote w:type="continuationSeparator" w:id="0">
    <w:p w14:paraId="38EEE05B" w14:textId="77777777" w:rsidR="00940EEA" w:rsidRDefault="00940EEA" w:rsidP="00161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76E12"/>
    <w:multiLevelType w:val="multilevel"/>
    <w:tmpl w:val="CD1C6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1B61CD"/>
    <w:multiLevelType w:val="hybridMultilevel"/>
    <w:tmpl w:val="885E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271508">
    <w:abstractNumId w:val="1"/>
  </w:num>
  <w:num w:numId="2" w16cid:durableId="1822042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9B3"/>
    <w:rsid w:val="000C523A"/>
    <w:rsid w:val="001615BE"/>
    <w:rsid w:val="001C67FA"/>
    <w:rsid w:val="004729B3"/>
    <w:rsid w:val="005340A9"/>
    <w:rsid w:val="00567A3D"/>
    <w:rsid w:val="005D5318"/>
    <w:rsid w:val="006A25E9"/>
    <w:rsid w:val="0076357E"/>
    <w:rsid w:val="00940EEA"/>
    <w:rsid w:val="0099258C"/>
    <w:rsid w:val="00A47FF6"/>
    <w:rsid w:val="00C646BC"/>
    <w:rsid w:val="00E6345C"/>
    <w:rsid w:val="00EC21A1"/>
    <w:rsid w:val="00F05CA4"/>
    <w:rsid w:val="00F52C17"/>
    <w:rsid w:val="00F86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4D1B6D"/>
  <w15:chartTrackingRefBased/>
  <w15:docId w15:val="{7395ED37-4B04-43C4-8966-A719FE4D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9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9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9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9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9B3"/>
    <w:rPr>
      <w:rFonts w:eastAsiaTheme="majorEastAsia" w:cstheme="majorBidi"/>
      <w:color w:val="272727" w:themeColor="text1" w:themeTint="D8"/>
    </w:rPr>
  </w:style>
  <w:style w:type="paragraph" w:styleId="Title">
    <w:name w:val="Title"/>
    <w:basedOn w:val="Normal"/>
    <w:next w:val="Normal"/>
    <w:link w:val="TitleChar"/>
    <w:uiPriority w:val="10"/>
    <w:qFormat/>
    <w:rsid w:val="00472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9B3"/>
    <w:pPr>
      <w:spacing w:before="160"/>
      <w:jc w:val="center"/>
    </w:pPr>
    <w:rPr>
      <w:i/>
      <w:iCs/>
      <w:color w:val="404040" w:themeColor="text1" w:themeTint="BF"/>
    </w:rPr>
  </w:style>
  <w:style w:type="character" w:customStyle="1" w:styleId="QuoteChar">
    <w:name w:val="Quote Char"/>
    <w:basedOn w:val="DefaultParagraphFont"/>
    <w:link w:val="Quote"/>
    <w:uiPriority w:val="29"/>
    <w:rsid w:val="004729B3"/>
    <w:rPr>
      <w:i/>
      <w:iCs/>
      <w:color w:val="404040" w:themeColor="text1" w:themeTint="BF"/>
    </w:rPr>
  </w:style>
  <w:style w:type="paragraph" w:styleId="ListParagraph">
    <w:name w:val="List Paragraph"/>
    <w:basedOn w:val="Normal"/>
    <w:uiPriority w:val="34"/>
    <w:qFormat/>
    <w:rsid w:val="004729B3"/>
    <w:pPr>
      <w:ind w:left="720"/>
      <w:contextualSpacing/>
    </w:pPr>
  </w:style>
  <w:style w:type="character" w:styleId="IntenseEmphasis">
    <w:name w:val="Intense Emphasis"/>
    <w:basedOn w:val="DefaultParagraphFont"/>
    <w:uiPriority w:val="21"/>
    <w:qFormat/>
    <w:rsid w:val="004729B3"/>
    <w:rPr>
      <w:i/>
      <w:iCs/>
      <w:color w:val="0F4761" w:themeColor="accent1" w:themeShade="BF"/>
    </w:rPr>
  </w:style>
  <w:style w:type="paragraph" w:styleId="IntenseQuote">
    <w:name w:val="Intense Quote"/>
    <w:basedOn w:val="Normal"/>
    <w:next w:val="Normal"/>
    <w:link w:val="IntenseQuoteChar"/>
    <w:uiPriority w:val="30"/>
    <w:qFormat/>
    <w:rsid w:val="00472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9B3"/>
    <w:rPr>
      <w:i/>
      <w:iCs/>
      <w:color w:val="0F4761" w:themeColor="accent1" w:themeShade="BF"/>
    </w:rPr>
  </w:style>
  <w:style w:type="character" w:styleId="IntenseReference">
    <w:name w:val="Intense Reference"/>
    <w:basedOn w:val="DefaultParagraphFont"/>
    <w:uiPriority w:val="32"/>
    <w:qFormat/>
    <w:rsid w:val="004729B3"/>
    <w:rPr>
      <w:b/>
      <w:bCs/>
      <w:smallCaps/>
      <w:color w:val="0F4761" w:themeColor="accent1" w:themeShade="BF"/>
      <w:spacing w:val="5"/>
    </w:rPr>
  </w:style>
  <w:style w:type="paragraph" w:styleId="NormalWeb">
    <w:name w:val="Normal (Web)"/>
    <w:basedOn w:val="Normal"/>
    <w:uiPriority w:val="99"/>
    <w:semiHidden/>
    <w:unhideWhenUsed/>
    <w:rsid w:val="005340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340A9"/>
    <w:rPr>
      <w:i/>
      <w:iCs/>
    </w:rPr>
  </w:style>
  <w:style w:type="paragraph" w:styleId="Header">
    <w:name w:val="header"/>
    <w:basedOn w:val="Normal"/>
    <w:link w:val="HeaderChar"/>
    <w:uiPriority w:val="99"/>
    <w:unhideWhenUsed/>
    <w:rsid w:val="00161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5BE"/>
  </w:style>
  <w:style w:type="paragraph" w:styleId="Footer">
    <w:name w:val="footer"/>
    <w:basedOn w:val="Normal"/>
    <w:link w:val="FooterChar"/>
    <w:uiPriority w:val="99"/>
    <w:unhideWhenUsed/>
    <w:rsid w:val="00161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5BE"/>
  </w:style>
  <w:style w:type="paragraph" w:styleId="NoSpacing">
    <w:name w:val="No Spacing"/>
    <w:link w:val="NoSpacingChar"/>
    <w:uiPriority w:val="1"/>
    <w:qFormat/>
    <w:rsid w:val="001615B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615BE"/>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9AC7F-CB77-4D7A-8C37-0184C0A04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Pages>
  <Words>1483</Words>
  <Characters>8456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Level 4 assessment</dc:subject>
  <dc:creator>Maria Dalia Varela Catraio De Boa Morte (2429427)</dc:creator>
  <cp:keywords/>
  <dc:description/>
  <cp:lastModifiedBy>Maria Dalia Varela Catraio De Boa Morte (2429427)</cp:lastModifiedBy>
  <cp:revision>2</cp:revision>
  <dcterms:created xsi:type="dcterms:W3CDTF">2025-11-29T14:14:00Z</dcterms:created>
  <dcterms:modified xsi:type="dcterms:W3CDTF">2025-11-29T16:52:00Z</dcterms:modified>
</cp:coreProperties>
</file>