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</w:rPr>
        <w:drawing>
          <wp:inline distB="0" distT="0" distL="0" distR="0">
            <wp:extent cx="4953000" cy="138430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38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Methods and Search Strategy Academic Poster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Student name: Kamran Khan</w:t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Student ID: 2246128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Module name: Independent Report</w:t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Module code: BMHP 6020</w:t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Lecturer name: Chloe Harries</w:t>
      </w:r>
    </w:p>
    <w:p w:rsidR="00000000" w:rsidDel="00000000" w:rsidP="00000000" w:rsidRDefault="00000000" w:rsidRPr="00000000" w14:paraId="0000000D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Comparing Mental Health Outcomes and Academic Success Among Foster Care and Non-Foster Care Graduates</w:t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74"/>
        <w:gridCol w:w="6974"/>
        <w:tblGridChange w:id="0">
          <w:tblGrid>
            <w:gridCol w:w="6974"/>
            <w:gridCol w:w="6974"/>
          </w:tblGrid>
        </w:tblGridChange>
      </w:tblGrid>
      <w:tr>
        <w:trPr>
          <w:cantSplit w:val="0"/>
          <w:tblHeader w:val="0"/>
        </w:trPr>
        <w:tc>
          <w:tcPr>
            <w:shd w:fill="c1e4f5" w:val="clear"/>
          </w:tcPr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Introduction and Research Aim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A methods chapter explains how evidence was found, selected and analysed so the study is transparent and repeatable. This poster summarises my desk-based (secondary) systematic review method. Aim: to compare mental-health outcomes and academic/post-graduation success between graduates with foster-care histories and non-foster peers, and to identify protective factors and support implications.</w:t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Search Strategy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br w:type="textWrapping"/>
              <w:t xml:space="preserve">A search strategy is an organised structure of key terms used to search databases by combining the main concepts of a question to retrieve relevant results. I built keyword blocks (foster/care-experienced; mental health; higher-education/graduate), added synonyms, then used OR within blocks and AND between blocks. Pilot searches refined terms; all searches were recorded in a log (database, date, string, results).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ae2d6" w:val="clear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Searching for Information</w:t>
            </w:r>
            <w:sdt>
              <w:sdtPr>
                <w:id w:val="1627713319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br w:type="textWrapping"/>
                  <w:t xml:space="preserve">Databases: PubMed/MEDLINE, PsycINFO, Scopus, ERIC and CINAHL, plus targeted grey literature via Google Scholar. Limits: English; 2010–2025; humans; higher education; young adult/adult where available. Screening: remove duplicates → title/abstract screening → full-text screening, recording exclusion reasons. Data extraction captured study design, sample, care-history definition, comparator, outcomes and key findings.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f2d0" w:val="clear"/>
            <w:vAlign w:val="center"/>
          </w:tcPr>
          <w:p w:rsidR="00000000" w:rsidDel="00000000" w:rsidP="00000000" w:rsidRDefault="00000000" w:rsidRPr="00000000" w14:paraId="0000001C">
            <w:pPr>
              <w:pStyle w:val="Heading1"/>
              <w:shd w:fill="ffffff" w:val="clear"/>
              <w:spacing w:after="0" w:before="0" w:lineRule="auto"/>
              <w:jc w:val="center"/>
              <w:rPr>
                <w:rFonts w:ascii="Roboto" w:cs="Roboto" w:eastAsia="Roboto" w:hAnsi="Roboto"/>
                <w:b w:val="0"/>
                <w:bCs w:val="0"/>
                <w:color w:val="111111"/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color w:val="111111"/>
                <w:sz w:val="18"/>
                <w:szCs w:val="18"/>
                <w:rtl w:val="0"/>
              </w:rPr>
              <w:t xml:space="preserve">Direct relationship between mental health scores and English scores of college students (Chen and Kim, 2024)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</w:rPr>
              <w:drawing>
                <wp:inline distB="0" distT="0" distL="0" distR="0">
                  <wp:extent cx="4278093" cy="2430525"/>
                  <wp:effectExtent b="0" l="0" r="0" t="0"/>
                  <wp:docPr descr="Direct relationship between mental health scores and English scores of college students" id="6" name="image1.png"/>
                  <a:graphic>
                    <a:graphicData uri="http://schemas.openxmlformats.org/drawingml/2006/picture">
                      <pic:pic>
                        <pic:nvPicPr>
                          <pic:cNvPr descr="Direct relationship between mental health scores and English scores of college students"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8093" cy="2430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83caeb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Research Validation and Analysis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br w:type="textWrapping"/>
              <w:t xml:space="preserve">Validation in secondary research means ensuring included sources are credible through quality appraisal and an audit trail. Reliability is consistency; validity is accuracy of measurement. I used explicit criteria plus CASP-aligned checks (methods clarity, sampling, bias risks, outcome measurement) and triangulated across studies. Limits: heterogeneity and self-report reduce causal certainty. Analysis used Braun &amp; Clarke’s thematic analysis: familiarisation, coding, building sub-themes, then refining into 3 final themes for Chapter 4.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  <w:drawing>
                <wp:inline distB="0" distT="0" distL="0" distR="0">
                  <wp:extent cx="5763882" cy="1954495"/>
                  <wp:effectExtent b="0" l="0" r="0" t="0"/>
                  <wp:docPr id="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3882" cy="1954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ae2d6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Inclusion Criteria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br w:type="textWrapping"/>
              <w:t xml:space="preserve">English (2010–2025); foster-care history pre-18; non-foster comparator; peer-reviewed or high-quality grey sources; reports mental health and/or academic/graduate outcomes; accessible full text.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 Exclusion Criteria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br w:type="textWrapping"/>
              <w:t xml:space="preserve">No clear foster-care measure; not HE/graduate-relevant; opinion/low-credibility sources; non-English; duplicates/inaccessible texts.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Ethical Considerations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br w:type="textWrapping"/>
              <w:t xml:space="preserve">Ethics in secondary research focuses on integrity: accurate citation and paraphrasing, avoiding plagiarism, using reputable sources, and respecting privacy/confidentiality where sensitive data are reported (GDPR awareness).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rPr>
          <w:rFonts w:ascii="Arial" w:cs="Arial" w:eastAsia="Arial" w:hAnsi="Arial"/>
          <w:b w:val="1"/>
          <w:bCs w:val="1"/>
          <w:sz w:val="28"/>
          <w:szCs w:val="28"/>
        </w:rPr>
        <w:sectPr>
          <w:type w:val="nextPage"/>
          <w:pgSz w:h="11906" w:w="16838" w:orient="landscape"/>
          <w:pgMar w:bottom="1440" w:top="1440" w:left="1440" w:right="144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References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Braun, V. and Clarke, V. (2006) ‘Using Thematic Analysis in Psychology’,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Qualitative Research in Psychology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3(2), pp. 77–101. Available at: https://doi.org/10.1191/1478088706qp063oa.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22222"/>
          <w:sz w:val="22"/>
          <w:szCs w:val="22"/>
          <w:highlight w:val="white"/>
          <w:u w:val="none"/>
          <w:vertAlign w:val="baseline"/>
          <w:rtl w:val="0"/>
        </w:rPr>
        <w:t xml:space="preserve">Chen, X. and Kim, H.K. (2024) ‘The relationship between emotional intelligence, mental health, and the English achievement of college students based on big data statistical analysis’, 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22222"/>
          <w:sz w:val="22"/>
          <w:szCs w:val="22"/>
          <w:highlight w:val="white"/>
          <w:u w:val="none"/>
          <w:vertAlign w:val="baseline"/>
          <w:rtl w:val="0"/>
        </w:rPr>
        <w:t xml:space="preserve">International Journal of Web-Based Learning and Teaching Technologies (IJWLTT)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22222"/>
          <w:sz w:val="22"/>
          <w:szCs w:val="22"/>
          <w:highlight w:val="white"/>
          <w:u w:val="none"/>
          <w:vertAlign w:val="baseline"/>
          <w:rtl w:val="0"/>
        </w:rPr>
        <w:t xml:space="preserve">, 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222222"/>
          <w:sz w:val="22"/>
          <w:szCs w:val="22"/>
          <w:highlight w:val="white"/>
          <w:u w:val="none"/>
          <w:vertAlign w:val="baseline"/>
          <w:rtl w:val="0"/>
        </w:rPr>
        <w:t xml:space="preserve">19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222222"/>
          <w:sz w:val="22"/>
          <w:szCs w:val="22"/>
          <w:highlight w:val="white"/>
          <w:u w:val="none"/>
          <w:vertAlign w:val="baseline"/>
          <w:rtl w:val="0"/>
        </w:rPr>
        <w:t xml:space="preserve">(1), pp.1-16.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Gusenbauer, M. and Haddaway, N.R. (2020) ‘Which Academic Search Systems Are Suitable for Systematic Reviews or meta</w:t>
      </w:r>
      <w:r w:rsidDel="00000000" w:rsidR="00000000" w:rsidRPr="00000000">
        <w:rPr>
          <w:rFonts w:ascii="Cambria Math" w:cs="Cambria Math" w:eastAsia="Cambria Math" w:hAnsi="Cambria Math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‐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analyses? Evaluating Retrieval Qualities of Google Scholar, PubMed, and 26 Other Resources’,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Research Synthesis Methods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11(2), pp. 181–217. Available at: https://doi.org/10.1002/jrsm.1378.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Muis, K.R., Denton, C. and Dubé, A. (2022) ‘Identifying CRAAP on the Internet: a Source Evaluation Intervention’,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Advances in Social Sciences Research Journal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9(7), pp. 239–265.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Saunders, M.N., Lewis, P. and Thornhill, A. (2019) ‘Understanding research philosophy and approaches to theory development’, in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Research Methods for Business Students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Pearson Education, Limited, pp. 128–171.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Vaismoradi, M., Turunen, H. and Bondas, T. (2013) ‘Content analysis and thematic analysis: Implications for conducting a qualitative descriptive study’,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Nursing &amp; Health Sciences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15(3), pp. 398–405. Available at: https://doi.org/10.1111/nhs.12048.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Cambria Math">
    <w:embedRegular w:fontKey="{00000000-0000-0000-0000-000000000000}" r:id="rId7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-PK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color w:val="0f476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b w:val="1"/>
      <w:bCs w:val="1"/>
      <w:color w:val="0f476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b w:val="1"/>
      <w:bCs w:val="1"/>
      <w:i w:val="1"/>
      <w:iCs w:val="1"/>
      <w:color w:val="0f4761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elmrIjTzeJ+Psepww7UTTrv6zA==">CgMxLjAaJAoBMBIfCh0IB0IZCgVBcmlhbBIQQXJpYWwgVW5pY29kZSBNUzgAciExUl9YNVY1UXhGUTFSTU5aSG04UG51V2lna1JIOHFkMXM=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