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F42C7" w14:textId="3E2568FB" w:rsidR="00EF3270" w:rsidRPr="001760EA" w:rsidRDefault="001053AC" w:rsidP="001053AC">
      <w:pPr>
        <w:spacing w:after="320"/>
        <w:jc w:val="center"/>
      </w:pPr>
      <w:r>
        <w:fldChar w:fldCharType="begin"/>
      </w:r>
      <w:r>
        <w:instrText xml:space="preserve"> INCLUDEPICTURE "/Users/ijtehad/Library/Group Containers/UBF8T346G9.ms/WebArchiveCopyPasteTempFiles/com.microsoft.Word/UWTSD-Logo-fi.jpg" \* MERGEFORMATINET </w:instrText>
      </w:r>
      <w:r>
        <w:fldChar w:fldCharType="separate"/>
      </w:r>
      <w:r>
        <w:rPr>
          <w:noProof/>
        </w:rPr>
        <w:drawing>
          <wp:inline distT="0" distB="0" distL="0" distR="0" wp14:anchorId="7BF76263" wp14:editId="514D44E5">
            <wp:extent cx="5664567" cy="2267712"/>
            <wp:effectExtent l="0" t="0" r="0" b="5715"/>
            <wp:docPr id="1831251445" name="Picture 2"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8764" cy="2313429"/>
                    </a:xfrm>
                    <a:prstGeom prst="rect">
                      <a:avLst/>
                    </a:prstGeom>
                    <a:noFill/>
                    <a:ln>
                      <a:noFill/>
                    </a:ln>
                  </pic:spPr>
                </pic:pic>
              </a:graphicData>
            </a:graphic>
          </wp:inline>
        </w:drawing>
      </w:r>
      <w:r>
        <w:fldChar w:fldCharType="end"/>
      </w:r>
    </w:p>
    <w:p w14:paraId="76606CCA" w14:textId="1C58E181" w:rsidR="001053AC" w:rsidRPr="00781CA1" w:rsidRDefault="00781CA1" w:rsidP="00C7059D">
      <w:pPr>
        <w:spacing w:after="360"/>
        <w:jc w:val="center"/>
        <w:rPr>
          <w:b/>
          <w:bCs/>
          <w:color w:val="000000"/>
          <w:sz w:val="32"/>
        </w:rPr>
      </w:pPr>
      <w:r w:rsidRPr="00781CA1">
        <w:rPr>
          <w:b/>
          <w:bCs/>
          <w:color w:val="000000"/>
          <w:sz w:val="32"/>
        </w:rPr>
        <w:t>The Impact of Employment Rights Awareness on Organisational Commitment Among UK Retail Employees: The Mediating Role of Organisational Justice</w:t>
      </w:r>
    </w:p>
    <w:p w14:paraId="2892C145" w14:textId="77777777" w:rsidR="001053AC" w:rsidRPr="001053AC" w:rsidRDefault="001053AC" w:rsidP="001053AC">
      <w:pPr>
        <w:pStyle w:val="s10"/>
        <w:spacing w:before="90" w:beforeAutospacing="0" w:after="90" w:afterAutospacing="0"/>
        <w:jc w:val="center"/>
        <w:rPr>
          <w:rFonts w:ascii="-webkit-standard" w:hAnsi="-webkit-standard"/>
          <w:b/>
          <w:bCs/>
          <w:color w:val="000000"/>
          <w:sz w:val="26"/>
          <w:szCs w:val="28"/>
        </w:rPr>
      </w:pPr>
      <w:r w:rsidRPr="001053AC">
        <w:rPr>
          <w:rStyle w:val="s9"/>
          <w:rFonts w:eastAsiaTheme="majorEastAsia"/>
          <w:b/>
          <w:bCs/>
          <w:color w:val="000000"/>
          <w:sz w:val="28"/>
          <w:szCs w:val="28"/>
        </w:rPr>
        <w:t>Master of Business Administration Programme</w:t>
      </w:r>
    </w:p>
    <w:p w14:paraId="210D34E2" w14:textId="77777777" w:rsidR="001053AC" w:rsidRPr="001053AC" w:rsidRDefault="001053AC" w:rsidP="001053AC">
      <w:pPr>
        <w:pStyle w:val="s11"/>
        <w:spacing w:before="90" w:beforeAutospacing="0" w:after="120" w:afterAutospacing="0"/>
        <w:jc w:val="center"/>
        <w:rPr>
          <w:rFonts w:ascii="-webkit-standard" w:hAnsi="-webkit-standard"/>
          <w:b/>
          <w:bCs/>
          <w:color w:val="000000"/>
          <w:sz w:val="26"/>
          <w:szCs w:val="28"/>
        </w:rPr>
      </w:pPr>
      <w:r w:rsidRPr="001053AC">
        <w:rPr>
          <w:rStyle w:val="s9"/>
          <w:rFonts w:eastAsiaTheme="majorEastAsia"/>
          <w:b/>
          <w:bCs/>
          <w:color w:val="000000"/>
          <w:sz w:val="28"/>
          <w:szCs w:val="28"/>
        </w:rPr>
        <w:t>LCMB7035 – Dissertation</w:t>
      </w:r>
    </w:p>
    <w:p w14:paraId="12B27A27" w14:textId="77777777" w:rsidR="001053AC" w:rsidRPr="001053AC" w:rsidRDefault="001053AC" w:rsidP="001053AC">
      <w:pPr>
        <w:pStyle w:val="s8"/>
        <w:spacing w:before="90" w:beforeAutospacing="0" w:after="120" w:afterAutospacing="0"/>
        <w:jc w:val="center"/>
        <w:rPr>
          <w:rFonts w:ascii="-webkit-standard" w:hAnsi="-webkit-standard"/>
          <w:b/>
          <w:bCs/>
          <w:color w:val="000000"/>
        </w:rPr>
      </w:pPr>
      <w:r w:rsidRPr="001053AC">
        <w:rPr>
          <w:rFonts w:ascii="-webkit-standard" w:hAnsi="-webkit-standard"/>
          <w:b/>
          <w:bCs/>
          <w:color w:val="000000"/>
        </w:rPr>
        <w:t> </w:t>
      </w:r>
    </w:p>
    <w:p w14:paraId="2AA71F8D" w14:textId="77777777" w:rsidR="001053AC" w:rsidRDefault="001053AC" w:rsidP="001053AC">
      <w:pPr>
        <w:pStyle w:val="s13"/>
        <w:spacing w:before="90" w:beforeAutospacing="0" w:after="90" w:afterAutospacing="0"/>
        <w:jc w:val="center"/>
        <w:rPr>
          <w:rStyle w:val="s12"/>
          <w:b/>
          <w:bCs/>
          <w:color w:val="000000"/>
        </w:rPr>
      </w:pPr>
    </w:p>
    <w:p w14:paraId="6404D88C" w14:textId="6403267D" w:rsidR="001053AC" w:rsidRPr="00566303" w:rsidRDefault="001053AC" w:rsidP="001053AC">
      <w:pPr>
        <w:pStyle w:val="s13"/>
        <w:spacing w:before="90" w:beforeAutospacing="0" w:after="90" w:afterAutospacing="0"/>
        <w:jc w:val="center"/>
        <w:rPr>
          <w:rFonts w:ascii="-webkit-standard" w:hAnsi="-webkit-standard"/>
          <w:b/>
          <w:bCs/>
          <w:color w:val="000000"/>
          <w:lang w:val="en-US"/>
        </w:rPr>
      </w:pPr>
      <w:r w:rsidRPr="001053AC">
        <w:rPr>
          <w:rStyle w:val="s12"/>
          <w:b/>
          <w:bCs/>
          <w:color w:val="000000"/>
        </w:rPr>
        <w:t>Supervisor:</w:t>
      </w:r>
      <w:r w:rsidR="00566303">
        <w:rPr>
          <w:rStyle w:val="s12"/>
          <w:b/>
          <w:bCs/>
          <w:color w:val="000000"/>
          <w:lang w:val="en-US"/>
        </w:rPr>
        <w:t xml:space="preserve"> </w:t>
      </w:r>
      <w:r w:rsidR="00566303" w:rsidRPr="00566303">
        <w:rPr>
          <w:rStyle w:val="s12"/>
          <w:b/>
          <w:bCs/>
          <w:color w:val="000000"/>
          <w:lang w:val="en-US"/>
        </w:rPr>
        <w:t>Alireza Nazarian</w:t>
      </w:r>
    </w:p>
    <w:p w14:paraId="28F45D69" w14:textId="77777777" w:rsidR="001053AC" w:rsidRPr="001053AC" w:rsidRDefault="001053AC" w:rsidP="001053AC">
      <w:pPr>
        <w:pStyle w:val="s14"/>
        <w:spacing w:before="90" w:beforeAutospacing="0" w:after="90" w:afterAutospacing="0"/>
        <w:jc w:val="both"/>
        <w:rPr>
          <w:rFonts w:ascii="-webkit-standard" w:hAnsi="-webkit-standard"/>
          <w:b/>
          <w:bCs/>
          <w:color w:val="000000"/>
        </w:rPr>
      </w:pPr>
      <w:r w:rsidRPr="001053AC">
        <w:rPr>
          <w:rFonts w:ascii="-webkit-standard" w:hAnsi="-webkit-standard"/>
          <w:b/>
          <w:bCs/>
          <w:color w:val="000000"/>
        </w:rPr>
        <w:t> </w:t>
      </w:r>
    </w:p>
    <w:p w14:paraId="41B043DC" w14:textId="77777777" w:rsidR="001053AC" w:rsidRPr="001053AC" w:rsidRDefault="001053AC" w:rsidP="001053AC">
      <w:pPr>
        <w:pStyle w:val="s14"/>
        <w:spacing w:before="90" w:beforeAutospacing="0" w:after="90" w:afterAutospacing="0"/>
        <w:jc w:val="both"/>
        <w:rPr>
          <w:rFonts w:ascii="-webkit-standard" w:hAnsi="-webkit-standard"/>
          <w:b/>
          <w:bCs/>
          <w:color w:val="000000"/>
        </w:rPr>
      </w:pPr>
      <w:r w:rsidRPr="001053AC">
        <w:rPr>
          <w:rFonts w:ascii="-webkit-standard" w:hAnsi="-webkit-standard"/>
          <w:b/>
          <w:bCs/>
          <w:color w:val="000000"/>
        </w:rPr>
        <w:t> </w:t>
      </w:r>
    </w:p>
    <w:p w14:paraId="22282A09" w14:textId="77777777" w:rsidR="001053AC" w:rsidRPr="001053AC" w:rsidRDefault="001053AC" w:rsidP="001053AC">
      <w:pPr>
        <w:pStyle w:val="s14"/>
        <w:spacing w:before="90" w:beforeAutospacing="0" w:after="90" w:afterAutospacing="0"/>
        <w:jc w:val="both"/>
        <w:rPr>
          <w:rFonts w:ascii="-webkit-standard" w:hAnsi="-webkit-standard"/>
          <w:b/>
          <w:bCs/>
          <w:color w:val="000000"/>
        </w:rPr>
      </w:pPr>
      <w:r w:rsidRPr="001053AC">
        <w:rPr>
          <w:rFonts w:ascii="-webkit-standard" w:hAnsi="-webkit-standard"/>
          <w:b/>
          <w:bCs/>
          <w:color w:val="000000"/>
        </w:rPr>
        <w:t> </w:t>
      </w:r>
    </w:p>
    <w:p w14:paraId="79E1704F" w14:textId="0F0202F8" w:rsidR="001053AC" w:rsidRPr="00566303" w:rsidRDefault="001053AC" w:rsidP="001053AC">
      <w:pPr>
        <w:pStyle w:val="s16"/>
        <w:spacing w:before="90" w:beforeAutospacing="0" w:after="90" w:afterAutospacing="0"/>
        <w:jc w:val="both"/>
        <w:rPr>
          <w:rFonts w:ascii="-webkit-standard" w:hAnsi="-webkit-standard"/>
          <w:color w:val="000000"/>
          <w:lang w:val="en-US"/>
        </w:rPr>
      </w:pPr>
      <w:r w:rsidRPr="001053AC">
        <w:rPr>
          <w:rStyle w:val="s15"/>
          <w:b/>
          <w:bCs/>
          <w:color w:val="000000"/>
        </w:rPr>
        <w:t>Student Name:</w:t>
      </w:r>
      <w:r w:rsidR="00566303">
        <w:rPr>
          <w:rStyle w:val="s15"/>
          <w:b/>
          <w:bCs/>
          <w:color w:val="000000"/>
          <w:lang w:val="en-US"/>
        </w:rPr>
        <w:t xml:space="preserve"> </w:t>
      </w:r>
      <w:r w:rsidR="00566303" w:rsidRPr="00566303">
        <w:rPr>
          <w:rStyle w:val="s15"/>
          <w:b/>
          <w:bCs/>
          <w:color w:val="000000"/>
          <w:lang w:val="en-US"/>
        </w:rPr>
        <w:t>Rabin Hasan</w:t>
      </w:r>
    </w:p>
    <w:p w14:paraId="589E8D1F" w14:textId="73B4EED5" w:rsidR="001053AC" w:rsidRPr="00566303" w:rsidRDefault="001053AC" w:rsidP="001053AC">
      <w:pPr>
        <w:pStyle w:val="s16"/>
        <w:spacing w:before="90" w:beforeAutospacing="0" w:after="90" w:afterAutospacing="0"/>
        <w:jc w:val="both"/>
        <w:rPr>
          <w:rFonts w:ascii="-webkit-standard" w:hAnsi="-webkit-standard"/>
          <w:color w:val="000000"/>
          <w:lang w:val="en-US"/>
        </w:rPr>
      </w:pPr>
      <w:r w:rsidRPr="001053AC">
        <w:rPr>
          <w:rStyle w:val="s15"/>
          <w:b/>
          <w:bCs/>
          <w:color w:val="000000"/>
        </w:rPr>
        <w:t>Student ID:</w:t>
      </w:r>
      <w:r w:rsidR="00566303">
        <w:rPr>
          <w:rStyle w:val="s15"/>
          <w:b/>
          <w:bCs/>
          <w:color w:val="000000"/>
          <w:lang w:val="en-US"/>
        </w:rPr>
        <w:t xml:space="preserve"> </w:t>
      </w:r>
      <w:r w:rsidR="00566303" w:rsidRPr="00566303">
        <w:rPr>
          <w:rStyle w:val="s15"/>
          <w:b/>
          <w:bCs/>
          <w:color w:val="000000"/>
          <w:lang w:val="en-US"/>
        </w:rPr>
        <w:t xml:space="preserve">2504378 </w:t>
      </w:r>
    </w:p>
    <w:p w14:paraId="5598B2DB" w14:textId="1327E98F" w:rsidR="001053AC" w:rsidRPr="001053AC" w:rsidRDefault="001053AC" w:rsidP="001053AC">
      <w:pPr>
        <w:pStyle w:val="s14"/>
        <w:spacing w:before="90" w:beforeAutospacing="0" w:after="90" w:afterAutospacing="0"/>
        <w:jc w:val="both"/>
        <w:rPr>
          <w:rFonts w:ascii="-webkit-standard" w:hAnsi="-webkit-standard"/>
          <w:b/>
          <w:bCs/>
          <w:color w:val="000000"/>
        </w:rPr>
      </w:pPr>
      <w:r w:rsidRPr="001053AC">
        <w:rPr>
          <w:rStyle w:val="s15"/>
          <w:b/>
          <w:bCs/>
          <w:color w:val="000000"/>
        </w:rPr>
        <w:t>Word Count:</w:t>
      </w:r>
      <w:r w:rsidR="00804EBB">
        <w:rPr>
          <w:rStyle w:val="s15"/>
          <w:b/>
          <w:bCs/>
          <w:color w:val="000000"/>
        </w:rPr>
        <w:t xml:space="preserve"> 14848</w:t>
      </w:r>
    </w:p>
    <w:p w14:paraId="5E12582B" w14:textId="77777777" w:rsidR="001053AC" w:rsidRPr="001053AC" w:rsidRDefault="001053AC" w:rsidP="001053AC">
      <w:pPr>
        <w:pStyle w:val="s16"/>
        <w:spacing w:before="90" w:beforeAutospacing="0" w:after="90" w:afterAutospacing="0"/>
        <w:jc w:val="both"/>
        <w:rPr>
          <w:rFonts w:ascii="-webkit-standard" w:hAnsi="-webkit-standard"/>
          <w:color w:val="000000"/>
        </w:rPr>
      </w:pPr>
      <w:r w:rsidRPr="001053AC">
        <w:rPr>
          <w:rFonts w:ascii="-webkit-standard" w:hAnsi="-webkit-standard"/>
          <w:color w:val="000000"/>
        </w:rPr>
        <w:t> </w:t>
      </w:r>
    </w:p>
    <w:p w14:paraId="00CD56F2" w14:textId="77777777" w:rsidR="001053AC" w:rsidRPr="001053AC" w:rsidRDefault="001053AC" w:rsidP="001053AC">
      <w:pPr>
        <w:pStyle w:val="s17"/>
        <w:spacing w:before="90" w:beforeAutospacing="0" w:after="120" w:afterAutospacing="0"/>
        <w:jc w:val="center"/>
        <w:rPr>
          <w:rFonts w:ascii="-webkit-standard" w:hAnsi="-webkit-standard"/>
          <w:b/>
          <w:bCs/>
          <w:color w:val="000000"/>
        </w:rPr>
      </w:pPr>
      <w:r w:rsidRPr="001053AC">
        <w:rPr>
          <w:rFonts w:ascii="-webkit-standard" w:hAnsi="-webkit-standard"/>
          <w:b/>
          <w:bCs/>
          <w:color w:val="000000"/>
        </w:rPr>
        <w:t> </w:t>
      </w:r>
    </w:p>
    <w:p w14:paraId="245A2E19" w14:textId="0BB38F50" w:rsidR="001053AC" w:rsidRPr="001053AC" w:rsidRDefault="001053AC" w:rsidP="00C7059D">
      <w:pPr>
        <w:pStyle w:val="s17"/>
        <w:spacing w:before="90" w:beforeAutospacing="0" w:after="120" w:afterAutospacing="0"/>
        <w:jc w:val="center"/>
        <w:rPr>
          <w:rFonts w:ascii="-webkit-standard" w:hAnsi="-webkit-standard"/>
          <w:b/>
          <w:bCs/>
          <w:color w:val="000000"/>
        </w:rPr>
      </w:pPr>
      <w:r w:rsidRPr="001053AC">
        <w:rPr>
          <w:rFonts w:ascii="-webkit-standard" w:hAnsi="-webkit-standard"/>
          <w:b/>
          <w:bCs/>
          <w:color w:val="000000"/>
        </w:rPr>
        <w:t>  </w:t>
      </w:r>
    </w:p>
    <w:p w14:paraId="18FF390F" w14:textId="77777777" w:rsidR="001053AC" w:rsidRDefault="001053AC" w:rsidP="001053AC">
      <w:pPr>
        <w:pStyle w:val="s17"/>
        <w:spacing w:before="90" w:beforeAutospacing="0" w:after="120" w:afterAutospacing="0"/>
        <w:jc w:val="center"/>
        <w:rPr>
          <w:rStyle w:val="s15"/>
          <w:b/>
          <w:bCs/>
          <w:color w:val="000000"/>
        </w:rPr>
      </w:pPr>
    </w:p>
    <w:p w14:paraId="27480CB2" w14:textId="37DD5E2A" w:rsidR="00C16B84" w:rsidRDefault="001053AC" w:rsidP="00C7059D">
      <w:pPr>
        <w:pStyle w:val="s17"/>
        <w:spacing w:before="90" w:beforeAutospacing="0" w:after="120" w:afterAutospacing="0"/>
        <w:jc w:val="center"/>
        <w:rPr>
          <w:rStyle w:val="s15"/>
          <w:b/>
          <w:bCs/>
          <w:color w:val="000000"/>
        </w:rPr>
      </w:pPr>
      <w:r w:rsidRPr="001053AC">
        <w:rPr>
          <w:rStyle w:val="s15"/>
          <w:b/>
          <w:bCs/>
          <w:color w:val="000000"/>
        </w:rPr>
        <w:t>Date of Submission:</w:t>
      </w:r>
      <w:r w:rsidR="00D37BAE">
        <w:rPr>
          <w:rStyle w:val="s15"/>
          <w:b/>
          <w:bCs/>
          <w:color w:val="000000"/>
        </w:rPr>
        <w:t xml:space="preserve"> 24 September 2026</w:t>
      </w:r>
    </w:p>
    <w:p w14:paraId="520CA933" w14:textId="77777777" w:rsidR="00C16B84" w:rsidRDefault="00C16B84">
      <w:pPr>
        <w:spacing w:before="0" w:after="160" w:line="259" w:lineRule="auto"/>
        <w:jc w:val="left"/>
        <w:rPr>
          <w:rStyle w:val="s15"/>
          <w:b/>
          <w:bCs/>
          <w:color w:val="000000"/>
          <w:kern w:val="0"/>
          <w:szCs w:val="24"/>
          <w:lang w:bidi="bn-IN"/>
          <w14:ligatures w14:val="none"/>
        </w:rPr>
      </w:pPr>
      <w:r>
        <w:rPr>
          <w:rStyle w:val="s15"/>
          <w:b/>
          <w:bCs/>
          <w:color w:val="000000"/>
        </w:rPr>
        <w:br w:type="page"/>
      </w:r>
    </w:p>
    <w:p w14:paraId="481FC5B1" w14:textId="6F530D56" w:rsidR="00C16B84" w:rsidRPr="00C16B84" w:rsidRDefault="008B1D0B" w:rsidP="008B1D0B">
      <w:pPr>
        <w:pStyle w:val="Heading1"/>
        <w:rPr>
          <w:rFonts w:cs="Times New Roman"/>
        </w:rPr>
      </w:pPr>
      <w:bookmarkStart w:id="0" w:name="_Toc240321797"/>
      <w:r w:rsidRPr="008B1D0B">
        <w:lastRenderedPageBreak/>
        <w:t>Declaration</w:t>
      </w:r>
      <w:bookmarkEnd w:id="0"/>
    </w:p>
    <w:p w14:paraId="05EFEAB3" w14:textId="77777777" w:rsidR="00C16B84" w:rsidRPr="00C16B84" w:rsidRDefault="00C16B84" w:rsidP="00C16B84">
      <w:pPr>
        <w:pBdr>
          <w:top w:val="single" w:sz="4" w:space="1" w:color="auto"/>
          <w:left w:val="single" w:sz="4" w:space="4" w:color="auto"/>
          <w:bottom w:val="single" w:sz="4" w:space="1" w:color="auto"/>
          <w:right w:val="single" w:sz="4" w:space="4" w:color="auto"/>
        </w:pBdr>
        <w:jc w:val="center"/>
      </w:pPr>
      <w:r w:rsidRPr="00C16B84">
        <w:rPr>
          <w:noProof/>
        </w:rPr>
        <w:drawing>
          <wp:inline distT="0" distB="0" distL="0" distR="0" wp14:anchorId="7D4E8474" wp14:editId="469A436F">
            <wp:extent cx="2843530" cy="1170305"/>
            <wp:effectExtent l="0" t="0" r="0" b="0"/>
            <wp:docPr id="1206469076" name="Picture 1206469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3530" cy="1170305"/>
                    </a:xfrm>
                    <a:prstGeom prst="rect">
                      <a:avLst/>
                    </a:prstGeom>
                    <a:noFill/>
                    <a:ln>
                      <a:noFill/>
                    </a:ln>
                  </pic:spPr>
                </pic:pic>
              </a:graphicData>
            </a:graphic>
          </wp:inline>
        </w:drawing>
      </w:r>
    </w:p>
    <w:p w14:paraId="600B8EDF" w14:textId="77777777" w:rsidR="00C16B84" w:rsidRPr="00C16B84" w:rsidRDefault="00C16B84" w:rsidP="00C16B84">
      <w:pPr>
        <w:pBdr>
          <w:top w:val="single" w:sz="4" w:space="1" w:color="auto"/>
          <w:left w:val="single" w:sz="4" w:space="4" w:color="auto"/>
          <w:bottom w:val="single" w:sz="4" w:space="1" w:color="auto"/>
          <w:right w:val="single" w:sz="4" w:space="4" w:color="auto"/>
        </w:pBdr>
        <w:jc w:val="center"/>
        <w:rPr>
          <w:b/>
          <w:sz w:val="28"/>
          <w:szCs w:val="28"/>
        </w:rPr>
      </w:pPr>
    </w:p>
    <w:p w14:paraId="3674E38B" w14:textId="77777777" w:rsidR="00C16B84" w:rsidRPr="00C16B84" w:rsidRDefault="00C16B84" w:rsidP="00C16B84">
      <w:pPr>
        <w:pBdr>
          <w:top w:val="single" w:sz="4" w:space="1" w:color="auto"/>
          <w:left w:val="single" w:sz="4" w:space="4" w:color="auto"/>
          <w:bottom w:val="single" w:sz="4" w:space="1" w:color="auto"/>
          <w:right w:val="single" w:sz="4" w:space="4" w:color="auto"/>
        </w:pBdr>
        <w:jc w:val="center"/>
        <w:rPr>
          <w:sz w:val="28"/>
          <w:szCs w:val="28"/>
        </w:rPr>
      </w:pPr>
      <w:r w:rsidRPr="00C16B84">
        <w:rPr>
          <w:b/>
          <w:sz w:val="28"/>
          <w:szCs w:val="28"/>
        </w:rPr>
        <w:t>Master’s Degrees by Examination and Dissertation</w:t>
      </w:r>
    </w:p>
    <w:p w14:paraId="3D4A1FDE" w14:textId="77777777" w:rsidR="00C16B84" w:rsidRPr="00C16B84" w:rsidRDefault="00C16B84" w:rsidP="00C16B84">
      <w:pPr>
        <w:pBdr>
          <w:top w:val="single" w:sz="4" w:space="1" w:color="auto"/>
          <w:left w:val="single" w:sz="4" w:space="4" w:color="auto"/>
          <w:bottom w:val="single" w:sz="4" w:space="1" w:color="auto"/>
          <w:right w:val="single" w:sz="4" w:space="4" w:color="auto"/>
        </w:pBdr>
        <w:jc w:val="center"/>
        <w:rPr>
          <w:sz w:val="28"/>
          <w:szCs w:val="28"/>
        </w:rPr>
      </w:pPr>
      <w:r w:rsidRPr="00C16B84">
        <w:rPr>
          <w:b/>
          <w:sz w:val="28"/>
          <w:szCs w:val="28"/>
        </w:rPr>
        <w:t>Declaration Form</w:t>
      </w:r>
      <w:r w:rsidRPr="00C16B84">
        <w:rPr>
          <w:sz w:val="28"/>
          <w:szCs w:val="28"/>
        </w:rPr>
        <w:t>.</w:t>
      </w:r>
    </w:p>
    <w:p w14:paraId="5FB54F5A" w14:textId="77777777"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p>
    <w:p w14:paraId="49B22961" w14:textId="2EB56D5D"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r w:rsidRPr="00C16B84">
        <w:t xml:space="preserve">I, Rabin Hasan,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2EA477A" w14:textId="77777777"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r w:rsidRPr="00C16B84">
        <w:t xml:space="preserve"> </w:t>
      </w:r>
    </w:p>
    <w:p w14:paraId="00C4F9FA" w14:textId="79159805"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r w:rsidRPr="00C16B84">
        <w:t>Signature: ………………… Rabin Hasan ……………........</w:t>
      </w:r>
    </w:p>
    <w:p w14:paraId="1FB69974" w14:textId="77777777"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r w:rsidRPr="00C16B84">
        <w:t xml:space="preserve"> </w:t>
      </w:r>
    </w:p>
    <w:p w14:paraId="3B29C25F" w14:textId="58974630" w:rsidR="00C16B84" w:rsidRPr="00C16B84" w:rsidRDefault="00C16B84" w:rsidP="00C16B84">
      <w:pPr>
        <w:pBdr>
          <w:top w:val="single" w:sz="4" w:space="1" w:color="auto"/>
          <w:left w:val="single" w:sz="4" w:space="4" w:color="auto"/>
          <w:bottom w:val="single" w:sz="4" w:space="1" w:color="auto"/>
          <w:right w:val="single" w:sz="4" w:space="4" w:color="auto"/>
        </w:pBdr>
        <w:spacing w:line="480" w:lineRule="auto"/>
      </w:pPr>
      <w:r w:rsidRPr="00C16B84">
        <w:t>Date:         …………………</w:t>
      </w:r>
      <w:r>
        <w:t>12/09/26</w:t>
      </w:r>
      <w:r w:rsidRPr="00C16B84">
        <w:t>…………….................</w:t>
      </w:r>
    </w:p>
    <w:p w14:paraId="4C128393" w14:textId="77777777" w:rsidR="00C16B84" w:rsidRPr="00C16B84" w:rsidRDefault="00C16B84" w:rsidP="00C16B84">
      <w:pPr>
        <w:pBdr>
          <w:top w:val="single" w:sz="4" w:space="1" w:color="auto"/>
          <w:left w:val="single" w:sz="4" w:space="4" w:color="auto"/>
          <w:bottom w:val="single" w:sz="4" w:space="1" w:color="auto"/>
          <w:right w:val="single" w:sz="4" w:space="4" w:color="auto"/>
        </w:pBdr>
      </w:pPr>
    </w:p>
    <w:p w14:paraId="5383316B" w14:textId="77777777" w:rsidR="008B1D0B" w:rsidRDefault="008B1D0B">
      <w:pPr>
        <w:spacing w:before="0" w:after="160" w:line="259" w:lineRule="auto"/>
        <w:jc w:val="left"/>
        <w:rPr>
          <w:kern w:val="0"/>
          <w:szCs w:val="24"/>
          <w:lang w:bidi="bn-IN"/>
          <w14:ligatures w14:val="none"/>
        </w:rPr>
      </w:pPr>
      <w:r>
        <w:br w:type="page"/>
      </w:r>
    </w:p>
    <w:p w14:paraId="2AB0996C" w14:textId="77777777" w:rsidR="008B1D0B" w:rsidRPr="008B1D0B" w:rsidRDefault="008B1D0B" w:rsidP="008B1D0B">
      <w:pPr>
        <w:pStyle w:val="Heading1"/>
        <w:rPr>
          <w:lang w:val="en-US"/>
        </w:rPr>
      </w:pPr>
      <w:bookmarkStart w:id="1" w:name="_Toc240321798"/>
      <w:r w:rsidRPr="008B1D0B">
        <w:rPr>
          <w:lang w:val="en-US"/>
        </w:rPr>
        <w:lastRenderedPageBreak/>
        <w:t>AI Use Acknowledgement</w:t>
      </w:r>
      <w:bookmarkEnd w:id="1"/>
    </w:p>
    <w:p w14:paraId="53FA7ED4" w14:textId="3E381D81" w:rsidR="008B1D0B" w:rsidRPr="008B1D0B" w:rsidRDefault="008B1D0B" w:rsidP="008B1D0B">
      <w:pPr>
        <w:rPr>
          <w:kern w:val="0"/>
          <w:szCs w:val="24"/>
          <w:lang w:val="en-US"/>
          <w14:ligatures w14:val="none"/>
        </w:rPr>
      </w:pPr>
      <w:r w:rsidRPr="008B1D0B">
        <w:rPr>
          <w:kern w:val="0"/>
          <w:szCs w:val="24"/>
          <w:lang w:val="en-US"/>
          <w14:ligatures w14:val="none"/>
        </w:rPr>
        <w:t xml:space="preserve">I acknowledge the use of artificial intelligence </w:t>
      </w:r>
      <w:r>
        <w:rPr>
          <w:kern w:val="0"/>
          <w:szCs w:val="24"/>
          <w:lang w:val="en-US"/>
          <w14:ligatures w14:val="none"/>
        </w:rPr>
        <w:t>in</w:t>
      </w:r>
      <w:r w:rsidRPr="008B1D0B">
        <w:rPr>
          <w:kern w:val="0"/>
          <w:szCs w:val="24"/>
          <w:lang w:val="en-US"/>
          <w14:ligatures w14:val="none"/>
        </w:rPr>
        <w:t xml:space="preserve"> the preparation of this dissertation. </w:t>
      </w:r>
      <w:r w:rsidRPr="008B1D0B">
        <w:t>I have used artificial intelligence tools to prepare this dissertation. AI tools were used only to assist with improving the clarity of language, organisation and proofreading. The research design, research analysis, interpretation of research findings, and the academic judgement are my own</w:t>
      </w:r>
      <w:r w:rsidRPr="008B1D0B">
        <w:rPr>
          <w:kern w:val="0"/>
          <w:szCs w:val="24"/>
          <w:lang w:val="en-US"/>
          <w14:ligatures w14:val="none"/>
        </w:rPr>
        <w:t>.</w:t>
      </w:r>
    </w:p>
    <w:p w14:paraId="3E50998C" w14:textId="77777777" w:rsidR="008B1D0B" w:rsidRDefault="008B1D0B">
      <w:pPr>
        <w:spacing w:before="0" w:after="160" w:line="259" w:lineRule="auto"/>
        <w:jc w:val="left"/>
        <w:rPr>
          <w:kern w:val="0"/>
          <w:szCs w:val="24"/>
          <w:lang w:bidi="bn-IN"/>
          <w14:ligatures w14:val="none"/>
        </w:rPr>
      </w:pPr>
      <w:r>
        <w:br w:type="page"/>
      </w:r>
    </w:p>
    <w:p w14:paraId="351F6414" w14:textId="77777777" w:rsidR="008B1D0B" w:rsidRPr="008B1D0B" w:rsidRDefault="008B1D0B" w:rsidP="008B1D0B">
      <w:pPr>
        <w:pStyle w:val="Heading1"/>
        <w:rPr>
          <w:lang w:val="en-US"/>
        </w:rPr>
      </w:pPr>
      <w:bookmarkStart w:id="2" w:name="_Toc240321799"/>
      <w:r w:rsidRPr="008B1D0B">
        <w:rPr>
          <w:lang w:val="en-US"/>
        </w:rPr>
        <w:lastRenderedPageBreak/>
        <w:t>Acknowledgements</w:t>
      </w:r>
      <w:bookmarkEnd w:id="2"/>
    </w:p>
    <w:p w14:paraId="4B4EF1B6" w14:textId="77777777" w:rsidR="008B1D0B" w:rsidRDefault="008B1D0B" w:rsidP="008B1D0B">
      <w:pPr>
        <w:rPr>
          <w:lang w:val="en-BD"/>
        </w:rPr>
      </w:pPr>
      <w:r w:rsidRPr="008B1D0B">
        <w:rPr>
          <w:lang w:val="en-BD"/>
        </w:rPr>
        <w:t xml:space="preserve">I would like to acknowledge and appreciate my supervisor, Alireza Nazarian, for all the guidance, encouragement and constructive feedback provided during the preparation of this dissertation. I should also like to thank the University of Wales Trinity Saint David for affording me the opportunity to research in an academic environment and with access to the resources I needed. Many thanks to all those who participated </w:t>
      </w:r>
      <w:r>
        <w:rPr>
          <w:lang w:val="en-BD"/>
        </w:rPr>
        <w:t>and</w:t>
      </w:r>
      <w:r w:rsidRPr="008B1D0B">
        <w:rPr>
          <w:lang w:val="en-BD"/>
        </w:rPr>
        <w:t xml:space="preserve"> gave of their time and responses to this study. </w:t>
      </w:r>
    </w:p>
    <w:p w14:paraId="63D11DD1" w14:textId="2D2DA63B" w:rsidR="008B1D0B" w:rsidRPr="008B1D0B" w:rsidRDefault="008B1D0B" w:rsidP="008B1D0B">
      <w:pPr>
        <w:rPr>
          <w:lang w:val="en-BD"/>
        </w:rPr>
      </w:pPr>
      <w:r w:rsidRPr="008B1D0B">
        <w:rPr>
          <w:lang w:val="en-BD"/>
        </w:rPr>
        <w:t xml:space="preserve">Lastly, a special thanks to my family, my friends and all others who have supported me in my MBA experience. </w:t>
      </w:r>
    </w:p>
    <w:p w14:paraId="104F3367" w14:textId="3308632A" w:rsidR="008B1D0B" w:rsidRPr="008B1D0B" w:rsidRDefault="008B1D0B" w:rsidP="008B1D0B">
      <w:pPr>
        <w:pStyle w:val="s17"/>
        <w:spacing w:before="90" w:after="120"/>
        <w:jc w:val="both"/>
        <w:rPr>
          <w:lang w:val="en-US"/>
        </w:rPr>
      </w:pPr>
    </w:p>
    <w:p w14:paraId="5A7FAA5D" w14:textId="77777777" w:rsidR="008B1D0B" w:rsidRDefault="008B1D0B">
      <w:pPr>
        <w:spacing w:before="0" w:after="160" w:line="259" w:lineRule="auto"/>
        <w:jc w:val="left"/>
        <w:rPr>
          <w:kern w:val="0"/>
          <w:szCs w:val="24"/>
          <w:lang w:bidi="bn-IN"/>
          <w14:ligatures w14:val="none"/>
        </w:rPr>
      </w:pPr>
      <w:r>
        <w:br w:type="page"/>
      </w:r>
    </w:p>
    <w:p w14:paraId="1E226E3C" w14:textId="5FFF9632" w:rsidR="008B1D0B" w:rsidRDefault="008B1D0B" w:rsidP="008B1D0B">
      <w:pPr>
        <w:pStyle w:val="Heading1"/>
      </w:pPr>
      <w:bookmarkStart w:id="3" w:name="_Toc240321800"/>
      <w:r>
        <w:lastRenderedPageBreak/>
        <w:t>Abstract</w:t>
      </w:r>
      <w:bookmarkEnd w:id="3"/>
    </w:p>
    <w:p w14:paraId="53A795A1" w14:textId="66409EF1" w:rsidR="008B1D0B" w:rsidRDefault="008B1D0B" w:rsidP="008B1D0B">
      <w:r>
        <w:t xml:space="preserve">The aim of this dissertation is to explore the effect of employment rights awareness on the level of organisational commitment of UK retail employees, with organisational justice being a mediating variable. The study is based on the assumption that employees' awareness of the rights in the workplace can have an impact on their perception of organisational practices such as fairness, treatment, communication, and decision-making processes. The dissertation investigates the possibility that an understanding of the rights helps to increase organisational commitment directly or indirectly via an employee's perception of organisational justice. The research is specifically focused on the retail economy in the UK, which has a high prevalence of flexible working, shift working and other forms of varied employment settings. </w:t>
      </w:r>
    </w:p>
    <w:p w14:paraId="0B388927" w14:textId="4ED897B3" w:rsidR="008B1D0B" w:rsidRDefault="008B1D0B" w:rsidP="008B1D0B">
      <w:r>
        <w:t xml:space="preserve">The background of the research is presented in Chapter 1 along with the problem statement, aim of the research, research objectives, research questions, hypotheses, significance and dissertation structure. It sets forth the significance of awareness of employment rights, organisational justice and organisational commitment in the retail employment environment/setting.  Chapter 2 provides a critical review of the existing literature and theoretical perspectives such as social exchange theory and psychological contract theory and also critically examines the previous studies on employment rights awareness, organisational justice, organisational commitment and the identified research gap.  The methodology used in the study is presented in Chapter 3, where the philosophy of the study, the deductive approach, quantitative survey strategy, cross-sectional design, sampling method, data collection method, ethical considerations and analytical method have been explained.  This study explored and analysed the results from primary research of 75 retail employees in the United Kingdom; that analysis is detailed in Chapter 4. This consists of the usual demographic analysis, reliability testing, hypothesis testing and correlation analysis, along with regression analysis, mediation analysis and interpretation of the results along with relevant literature.  Chapter 5 ends the dissertation by summarising both the research aim and objectives, discussing the contents of the dissertation, both in conceptual and operational terms, and making recommendations for retail organisations, followed by limitations in the study and suggestions for future studies. </w:t>
      </w:r>
    </w:p>
    <w:p w14:paraId="53D9D065" w14:textId="6E9114D1" w:rsidR="00850973" w:rsidRPr="00C16B84" w:rsidRDefault="008B1D0B" w:rsidP="008B1D0B">
      <w:pPr>
        <w:rPr>
          <w:b/>
          <w:bCs/>
          <w:color w:val="000000"/>
        </w:rPr>
      </w:pPr>
      <w:r>
        <w:t xml:space="preserve">Data were collected using an online questionnaire to get primary data from retail employees in the UK, and a quantitative research design was used. Descriptive statistics, reliability tests, correlation, regression and mediation analysis were conducted to explore the relationships </w:t>
      </w:r>
      <w:r>
        <w:lastRenderedPageBreak/>
        <w:t>between the variables in line with the proposed hypotheses.  The research on employment relations contributes to employment relations literature by clarifying how employee awareness of their rights can affect employee perceptions of fairness and, thus, commitment to an organisation. The literature in organisational behaviour likewise contributes to this research by identifying how the occurrence of employee rights consciousness can influence employee perceptions of fairness and, as a result, employee commitment to the organisation. The results offer retailers valuable guidance in trying to boost employee engagement through better workplace practices, communication, and employee voice.</w:t>
      </w:r>
      <w:r w:rsidR="00850973" w:rsidRPr="00C16B84">
        <w:br w:type="page"/>
      </w:r>
    </w:p>
    <w:sdt>
      <w:sdtPr>
        <w:rPr>
          <w:b/>
        </w:rPr>
        <w:id w:val="1595282650"/>
        <w:docPartObj>
          <w:docPartGallery w:val="Table of Contents"/>
          <w:docPartUnique/>
        </w:docPartObj>
      </w:sdtPr>
      <w:sdtEndPr>
        <w:rPr>
          <w:b w:val="0"/>
          <w:bCs/>
          <w:noProof/>
        </w:rPr>
      </w:sdtEndPr>
      <w:sdtContent>
        <w:p w14:paraId="7B68EECB" w14:textId="3F6E0400" w:rsidR="00850973" w:rsidRPr="00CF6B23" w:rsidRDefault="00850973">
          <w:pPr>
            <w:rPr>
              <w:b/>
              <w:bCs/>
              <w:color w:val="4472C4" w:themeColor="accent1"/>
              <w:sz w:val="28"/>
              <w:szCs w:val="24"/>
            </w:rPr>
          </w:pPr>
          <w:r w:rsidRPr="00CF6B23">
            <w:rPr>
              <w:b/>
              <w:bCs/>
              <w:color w:val="4472C4" w:themeColor="accent1"/>
              <w:sz w:val="28"/>
              <w:szCs w:val="24"/>
            </w:rPr>
            <w:t>Table of Contents</w:t>
          </w:r>
        </w:p>
        <w:p w14:paraId="5F76B466" w14:textId="659B9E01" w:rsidR="008B1D0B" w:rsidRPr="008B1D0B" w:rsidRDefault="00850973"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r w:rsidRPr="008B1D0B">
            <w:rPr>
              <w:rFonts w:ascii="Times New Roman" w:hAnsi="Times New Roman" w:cs="Times New Roman"/>
              <w:b w:val="0"/>
              <w:bCs w:val="0"/>
              <w:i w:val="0"/>
              <w:iCs w:val="0"/>
              <w:szCs w:val="24"/>
            </w:rPr>
            <w:fldChar w:fldCharType="begin"/>
          </w:r>
          <w:r w:rsidRPr="008B1D0B">
            <w:rPr>
              <w:rFonts w:ascii="Times New Roman" w:hAnsi="Times New Roman" w:cs="Times New Roman"/>
              <w:b w:val="0"/>
              <w:bCs w:val="0"/>
              <w:i w:val="0"/>
              <w:iCs w:val="0"/>
              <w:szCs w:val="24"/>
            </w:rPr>
            <w:instrText xml:space="preserve"> TOC \o "1-3" \h \z \u </w:instrText>
          </w:r>
          <w:r w:rsidRPr="008B1D0B">
            <w:rPr>
              <w:rFonts w:ascii="Times New Roman" w:hAnsi="Times New Roman" w:cs="Times New Roman"/>
              <w:b w:val="0"/>
              <w:bCs w:val="0"/>
              <w:i w:val="0"/>
              <w:iCs w:val="0"/>
              <w:szCs w:val="24"/>
            </w:rPr>
            <w:fldChar w:fldCharType="separate"/>
          </w:r>
          <w:hyperlink w:anchor="_Toc240321797" w:history="1">
            <w:r w:rsidR="008B1D0B" w:rsidRPr="008B1D0B">
              <w:rPr>
                <w:rStyle w:val="Hyperlink"/>
                <w:rFonts w:ascii="Times New Roman" w:hAnsi="Times New Roman" w:cs="Times New Roman"/>
                <w:b w:val="0"/>
                <w:bCs w:val="0"/>
                <w:i w:val="0"/>
                <w:iCs w:val="0"/>
                <w:noProof/>
                <w:szCs w:val="24"/>
              </w:rPr>
              <w:t>Declaration</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_Toc240321797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2</w:t>
            </w:r>
            <w:r w:rsidR="008B1D0B" w:rsidRPr="008B1D0B">
              <w:rPr>
                <w:rFonts w:ascii="Times New Roman" w:hAnsi="Times New Roman" w:cs="Times New Roman"/>
                <w:b w:val="0"/>
                <w:bCs w:val="0"/>
                <w:i w:val="0"/>
                <w:iCs w:val="0"/>
                <w:noProof/>
                <w:webHidden/>
                <w:szCs w:val="24"/>
              </w:rPr>
              <w:fldChar w:fldCharType="end"/>
            </w:r>
          </w:hyperlink>
        </w:p>
        <w:p w14:paraId="67F39521" w14:textId="15FAD288"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798" w:history="1">
            <w:r w:rsidR="008B1D0B" w:rsidRPr="008B1D0B">
              <w:rPr>
                <w:rStyle w:val="Hyperlink"/>
                <w:rFonts w:ascii="Times New Roman" w:hAnsi="Times New Roman" w:cs="Times New Roman"/>
                <w:b w:val="0"/>
                <w:bCs w:val="0"/>
                <w:i w:val="0"/>
                <w:iCs w:val="0"/>
                <w:noProof/>
                <w:szCs w:val="24"/>
                <w:lang w:val="en-US"/>
              </w:rPr>
              <w:t>AI Use Acknowledgement</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_Toc240321798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3</w:t>
            </w:r>
            <w:r w:rsidR="008B1D0B" w:rsidRPr="008B1D0B">
              <w:rPr>
                <w:rFonts w:ascii="Times New Roman" w:hAnsi="Times New Roman" w:cs="Times New Roman"/>
                <w:b w:val="0"/>
                <w:bCs w:val="0"/>
                <w:i w:val="0"/>
                <w:iCs w:val="0"/>
                <w:noProof/>
                <w:webHidden/>
                <w:szCs w:val="24"/>
              </w:rPr>
              <w:fldChar w:fldCharType="end"/>
            </w:r>
          </w:hyperlink>
        </w:p>
        <w:p w14:paraId="06ACF84C" w14:textId="548D093A"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799" w:history="1">
            <w:r w:rsidR="008B1D0B" w:rsidRPr="008B1D0B">
              <w:rPr>
                <w:rStyle w:val="Hyperlink"/>
                <w:rFonts w:ascii="Times New Roman" w:hAnsi="Times New Roman" w:cs="Times New Roman"/>
                <w:b w:val="0"/>
                <w:bCs w:val="0"/>
                <w:i w:val="0"/>
                <w:iCs w:val="0"/>
                <w:noProof/>
                <w:szCs w:val="24"/>
                <w:lang w:val="en-US"/>
              </w:rPr>
              <w:t>Acknowledgements</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_Toc240321799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4</w:t>
            </w:r>
            <w:r w:rsidR="008B1D0B" w:rsidRPr="008B1D0B">
              <w:rPr>
                <w:rFonts w:ascii="Times New Roman" w:hAnsi="Times New Roman" w:cs="Times New Roman"/>
                <w:b w:val="0"/>
                <w:bCs w:val="0"/>
                <w:i w:val="0"/>
                <w:iCs w:val="0"/>
                <w:noProof/>
                <w:webHidden/>
                <w:szCs w:val="24"/>
              </w:rPr>
              <w:fldChar w:fldCharType="end"/>
            </w:r>
          </w:hyperlink>
        </w:p>
        <w:p w14:paraId="34BE1EE7" w14:textId="2651CB30"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00" w:history="1">
            <w:r w:rsidR="008B1D0B" w:rsidRPr="008B1D0B">
              <w:rPr>
                <w:rStyle w:val="Hyperlink"/>
                <w:rFonts w:ascii="Times New Roman" w:hAnsi="Times New Roman" w:cs="Times New Roman"/>
                <w:b w:val="0"/>
                <w:bCs w:val="0"/>
                <w:i w:val="0"/>
                <w:iCs w:val="0"/>
                <w:noProof/>
                <w:szCs w:val="24"/>
              </w:rPr>
              <w:t>Abstract</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_Toc240321800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5</w:t>
            </w:r>
            <w:r w:rsidR="008B1D0B" w:rsidRPr="008B1D0B">
              <w:rPr>
                <w:rFonts w:ascii="Times New Roman" w:hAnsi="Times New Roman" w:cs="Times New Roman"/>
                <w:b w:val="0"/>
                <w:bCs w:val="0"/>
                <w:i w:val="0"/>
                <w:iCs w:val="0"/>
                <w:noProof/>
                <w:webHidden/>
                <w:szCs w:val="24"/>
              </w:rPr>
              <w:fldChar w:fldCharType="end"/>
            </w:r>
          </w:hyperlink>
        </w:p>
        <w:p w14:paraId="7CB44C98" w14:textId="72395D70"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01" w:history="1">
            <w:r w:rsidR="008B1D0B" w:rsidRPr="008B1D0B">
              <w:rPr>
                <w:rStyle w:val="Hyperlink"/>
                <w:rFonts w:ascii="Times New Roman" w:hAnsi="Times New Roman" w:cs="Times New Roman"/>
                <w:b w:val="0"/>
                <w:bCs w:val="0"/>
                <w:i w:val="0"/>
                <w:iCs w:val="0"/>
                <w:noProof/>
                <w:szCs w:val="24"/>
              </w:rPr>
              <w:t xml:space="preserve">Chapter </w:t>
            </w:r>
            <w:r w:rsidR="008B1D0B" w:rsidRPr="008B1D0B">
              <w:rPr>
                <w:rStyle w:val="Hyperlink"/>
                <w:rFonts w:ascii="Times New Roman" w:hAnsi="Times New Roman" w:cs="Times New Roman"/>
                <w:b w:val="0"/>
                <w:bCs w:val="0"/>
                <w:i w:val="0"/>
                <w:iCs w:val="0"/>
                <w:noProof/>
                <w:szCs w:val="24"/>
                <w:lang w:val="en-US"/>
              </w:rPr>
              <w:t>1</w:t>
            </w:r>
            <w:r w:rsidR="008B1D0B" w:rsidRPr="008B1D0B">
              <w:rPr>
                <w:rStyle w:val="Hyperlink"/>
                <w:rFonts w:ascii="Times New Roman" w:hAnsi="Times New Roman" w:cs="Times New Roman"/>
                <w:b w:val="0"/>
                <w:bCs w:val="0"/>
                <w:i w:val="0"/>
                <w:iCs w:val="0"/>
                <w:noProof/>
                <w:szCs w:val="24"/>
              </w:rPr>
              <w:t>: Introduction</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_Toc240321801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11</w:t>
            </w:r>
            <w:r w:rsidR="008B1D0B" w:rsidRPr="008B1D0B">
              <w:rPr>
                <w:rFonts w:ascii="Times New Roman" w:hAnsi="Times New Roman" w:cs="Times New Roman"/>
                <w:b w:val="0"/>
                <w:bCs w:val="0"/>
                <w:i w:val="0"/>
                <w:iCs w:val="0"/>
                <w:noProof/>
                <w:webHidden/>
                <w:szCs w:val="24"/>
              </w:rPr>
              <w:fldChar w:fldCharType="end"/>
            </w:r>
          </w:hyperlink>
        </w:p>
        <w:p w14:paraId="2BEB6AC4" w14:textId="6947A2DB"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02" w:history="1">
            <w:r w:rsidR="008B1D0B" w:rsidRPr="008B1D0B">
              <w:rPr>
                <w:rStyle w:val="Hyperlink"/>
                <w:rFonts w:ascii="Times New Roman" w:hAnsi="Times New Roman" w:cs="Times New Roman"/>
                <w:b w:val="0"/>
                <w:bCs w:val="0"/>
                <w:noProof/>
                <w:sz w:val="24"/>
                <w:szCs w:val="24"/>
              </w:rPr>
              <w:t>1.1 Introduction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_Toc240321802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11</w:t>
            </w:r>
            <w:r w:rsidR="008B1D0B" w:rsidRPr="008B1D0B">
              <w:rPr>
                <w:rFonts w:ascii="Times New Roman" w:hAnsi="Times New Roman" w:cs="Times New Roman"/>
                <w:b w:val="0"/>
                <w:bCs w:val="0"/>
                <w:noProof/>
                <w:webHidden/>
                <w:sz w:val="24"/>
                <w:szCs w:val="24"/>
              </w:rPr>
              <w:fldChar w:fldCharType="end"/>
            </w:r>
          </w:hyperlink>
        </w:p>
        <w:p w14:paraId="016BAB50" w14:textId="26CB696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03" w:history="1">
            <w:r w:rsidR="008B1D0B" w:rsidRPr="008B1D0B">
              <w:rPr>
                <w:rStyle w:val="Hyperlink"/>
                <w:rFonts w:ascii="Times New Roman" w:hAnsi="Times New Roman" w:cs="Times New Roman"/>
                <w:b w:val="0"/>
                <w:bCs w:val="0"/>
                <w:noProof/>
                <w:sz w:val="24"/>
                <w:szCs w:val="24"/>
              </w:rPr>
              <w:t>1.2 Background Study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_Toc240321803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11</w:t>
            </w:r>
            <w:r w:rsidR="008B1D0B" w:rsidRPr="008B1D0B">
              <w:rPr>
                <w:rFonts w:ascii="Times New Roman" w:hAnsi="Times New Roman" w:cs="Times New Roman"/>
                <w:b w:val="0"/>
                <w:bCs w:val="0"/>
                <w:noProof/>
                <w:webHidden/>
                <w:sz w:val="24"/>
                <w:szCs w:val="24"/>
              </w:rPr>
              <w:fldChar w:fldCharType="end"/>
            </w:r>
          </w:hyperlink>
        </w:p>
        <w:p w14:paraId="1A97C1D4" w14:textId="136D0AD3"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04" w:history="1">
            <w:r w:rsidR="008B1D0B" w:rsidRPr="008B1D0B">
              <w:rPr>
                <w:rStyle w:val="Hyperlink"/>
                <w:rFonts w:ascii="Times New Roman" w:hAnsi="Times New Roman" w:cs="Times New Roman"/>
                <w:b w:val="0"/>
                <w:bCs w:val="0"/>
                <w:noProof/>
                <w:sz w:val="24"/>
                <w:szCs w:val="24"/>
              </w:rPr>
              <w:t>1.3 Problem Statement</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_Toc240321804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13</w:t>
            </w:r>
            <w:r w:rsidR="008B1D0B" w:rsidRPr="008B1D0B">
              <w:rPr>
                <w:rFonts w:ascii="Times New Roman" w:hAnsi="Times New Roman" w:cs="Times New Roman"/>
                <w:b w:val="0"/>
                <w:bCs w:val="0"/>
                <w:noProof/>
                <w:webHidden/>
                <w:sz w:val="24"/>
                <w:szCs w:val="24"/>
              </w:rPr>
              <w:fldChar w:fldCharType="end"/>
            </w:r>
          </w:hyperlink>
        </w:p>
        <w:p w14:paraId="4AF3AA79" w14:textId="1AC79572"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05" w:history="1">
            <w:r w:rsidR="008B1D0B" w:rsidRPr="008B1D0B">
              <w:rPr>
                <w:rStyle w:val="Hyperlink"/>
                <w:rFonts w:ascii="Times New Roman" w:hAnsi="Times New Roman" w:cs="Times New Roman"/>
                <w:b w:val="0"/>
                <w:bCs w:val="0"/>
                <w:noProof/>
                <w:sz w:val="24"/>
                <w:szCs w:val="24"/>
              </w:rPr>
              <w:t>1.4 Scope of the Study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_Toc240321805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13</w:t>
            </w:r>
            <w:r w:rsidR="008B1D0B" w:rsidRPr="008B1D0B">
              <w:rPr>
                <w:rFonts w:ascii="Times New Roman" w:hAnsi="Times New Roman" w:cs="Times New Roman"/>
                <w:b w:val="0"/>
                <w:bCs w:val="0"/>
                <w:noProof/>
                <w:webHidden/>
                <w:sz w:val="24"/>
                <w:szCs w:val="24"/>
              </w:rPr>
              <w:fldChar w:fldCharType="end"/>
            </w:r>
          </w:hyperlink>
        </w:p>
        <w:p w14:paraId="00DFBBBD" w14:textId="5C135C34"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06" w:history="1">
            <w:r w:rsidR="008B1D0B" w:rsidRPr="008B1D0B">
              <w:rPr>
                <w:rStyle w:val="Hyperlink"/>
                <w:rFonts w:ascii="Times New Roman" w:hAnsi="Times New Roman" w:cs="Times New Roman"/>
                <w:noProof/>
                <w:sz w:val="24"/>
              </w:rPr>
              <w:t>Research Aim</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_Toc240321806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14</w:t>
            </w:r>
            <w:r w:rsidR="008B1D0B" w:rsidRPr="008B1D0B">
              <w:rPr>
                <w:rFonts w:ascii="Times New Roman" w:hAnsi="Times New Roman" w:cs="Times New Roman"/>
                <w:noProof/>
                <w:webHidden/>
                <w:sz w:val="24"/>
              </w:rPr>
              <w:fldChar w:fldCharType="end"/>
            </w:r>
          </w:hyperlink>
        </w:p>
        <w:p w14:paraId="22320061" w14:textId="157BEF8C"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07" w:history="1">
            <w:r w:rsidR="008B1D0B" w:rsidRPr="008B1D0B">
              <w:rPr>
                <w:rStyle w:val="Hyperlink"/>
                <w:rFonts w:ascii="Times New Roman" w:hAnsi="Times New Roman" w:cs="Times New Roman"/>
                <w:noProof/>
                <w:sz w:val="24"/>
              </w:rPr>
              <w:t>Research Objectives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_Toc240321807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14</w:t>
            </w:r>
            <w:r w:rsidR="008B1D0B" w:rsidRPr="008B1D0B">
              <w:rPr>
                <w:rFonts w:ascii="Times New Roman" w:hAnsi="Times New Roman" w:cs="Times New Roman"/>
                <w:noProof/>
                <w:webHidden/>
                <w:sz w:val="24"/>
              </w:rPr>
              <w:fldChar w:fldCharType="end"/>
            </w:r>
          </w:hyperlink>
        </w:p>
        <w:p w14:paraId="73453DFC" w14:textId="67EE6E95"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08" w:history="1">
            <w:r w:rsidR="008B1D0B" w:rsidRPr="008B1D0B">
              <w:rPr>
                <w:rStyle w:val="Hyperlink"/>
                <w:rFonts w:ascii="Times New Roman" w:hAnsi="Times New Roman" w:cs="Times New Roman"/>
                <w:noProof/>
                <w:sz w:val="24"/>
              </w:rPr>
              <w:t>Main Research Question</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_Toc240321808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14</w:t>
            </w:r>
            <w:r w:rsidR="008B1D0B" w:rsidRPr="008B1D0B">
              <w:rPr>
                <w:rFonts w:ascii="Times New Roman" w:hAnsi="Times New Roman" w:cs="Times New Roman"/>
                <w:noProof/>
                <w:webHidden/>
                <w:sz w:val="24"/>
              </w:rPr>
              <w:fldChar w:fldCharType="end"/>
            </w:r>
          </w:hyperlink>
        </w:p>
        <w:p w14:paraId="4267F375" w14:textId="681EA168"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09" w:history="1">
            <w:r w:rsidR="008B1D0B" w:rsidRPr="008B1D0B">
              <w:rPr>
                <w:rStyle w:val="Hyperlink"/>
                <w:rFonts w:ascii="Times New Roman" w:hAnsi="Times New Roman" w:cs="Times New Roman"/>
                <w:noProof/>
                <w:sz w:val="24"/>
              </w:rPr>
              <w:t>Research Hypotheses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_Toc240321809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14</w:t>
            </w:r>
            <w:r w:rsidR="008B1D0B" w:rsidRPr="008B1D0B">
              <w:rPr>
                <w:rFonts w:ascii="Times New Roman" w:hAnsi="Times New Roman" w:cs="Times New Roman"/>
                <w:noProof/>
                <w:webHidden/>
                <w:sz w:val="24"/>
              </w:rPr>
              <w:fldChar w:fldCharType="end"/>
            </w:r>
          </w:hyperlink>
        </w:p>
        <w:p w14:paraId="28F397D0" w14:textId="507655D0"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0" w:history="1">
            <w:r w:rsidR="008B1D0B" w:rsidRPr="008B1D0B">
              <w:rPr>
                <w:rStyle w:val="Hyperlink"/>
                <w:rFonts w:ascii="Times New Roman" w:hAnsi="Times New Roman" w:cs="Times New Roman"/>
                <w:b w:val="0"/>
                <w:bCs w:val="0"/>
                <w:noProof/>
                <w:sz w:val="24"/>
                <w:szCs w:val="24"/>
              </w:rPr>
              <w:t>1.5 Outline of the Methodology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_Toc240321810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15</w:t>
            </w:r>
            <w:r w:rsidR="008B1D0B" w:rsidRPr="008B1D0B">
              <w:rPr>
                <w:rFonts w:ascii="Times New Roman" w:hAnsi="Times New Roman" w:cs="Times New Roman"/>
                <w:b w:val="0"/>
                <w:bCs w:val="0"/>
                <w:noProof/>
                <w:webHidden/>
                <w:sz w:val="24"/>
                <w:szCs w:val="24"/>
              </w:rPr>
              <w:fldChar w:fldCharType="end"/>
            </w:r>
          </w:hyperlink>
        </w:p>
        <w:p w14:paraId="2413C4E8" w14:textId="3DAF5A9D"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1" w:history="1">
            <w:r w:rsidR="008B1D0B" w:rsidRPr="008B1D0B">
              <w:rPr>
                <w:rStyle w:val="Hyperlink"/>
                <w:rFonts w:ascii="Times New Roman" w:hAnsi="Times New Roman" w:cs="Times New Roman"/>
                <w:b w:val="0"/>
                <w:bCs w:val="0"/>
                <w:noProof/>
                <w:sz w:val="24"/>
                <w:szCs w:val="24"/>
              </w:rPr>
              <w:t>1.6 Significance of the Study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_Toc240321811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15</w:t>
            </w:r>
            <w:r w:rsidR="008B1D0B" w:rsidRPr="008B1D0B">
              <w:rPr>
                <w:rFonts w:ascii="Times New Roman" w:hAnsi="Times New Roman" w:cs="Times New Roman"/>
                <w:b w:val="0"/>
                <w:bCs w:val="0"/>
                <w:noProof/>
                <w:webHidden/>
                <w:sz w:val="24"/>
                <w:szCs w:val="24"/>
              </w:rPr>
              <w:fldChar w:fldCharType="end"/>
            </w:r>
          </w:hyperlink>
        </w:p>
        <w:p w14:paraId="2575B08E" w14:textId="6D2D5CFF"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2" w:history="1">
            <w:r w:rsidR="008B1D0B" w:rsidRPr="008B1D0B">
              <w:rPr>
                <w:rStyle w:val="Hyperlink"/>
                <w:rFonts w:ascii="Times New Roman" w:hAnsi="Times New Roman" w:cs="Times New Roman"/>
                <w:b w:val="0"/>
                <w:bCs w:val="0"/>
                <w:noProof/>
                <w:sz w:val="24"/>
                <w:szCs w:val="24"/>
              </w:rPr>
              <w:t>1.7 Dissertation Structure</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16</w:t>
            </w:r>
            <w:r w:rsidR="008B1D0B" w:rsidRPr="008B1D0B">
              <w:rPr>
                <w:rFonts w:ascii="Times New Roman" w:hAnsi="Times New Roman" w:cs="Times New Roman"/>
                <w:b w:val="0"/>
                <w:bCs w:val="0"/>
                <w:noProof/>
                <w:webHidden/>
                <w:sz w:val="24"/>
                <w:szCs w:val="24"/>
              </w:rPr>
              <w:fldChar w:fldCharType="end"/>
            </w:r>
          </w:hyperlink>
        </w:p>
        <w:p w14:paraId="2F02FADF" w14:textId="35121CE3"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13" w:history="1">
            <w:r w:rsidR="008B1D0B" w:rsidRPr="008B1D0B">
              <w:rPr>
                <w:rStyle w:val="Hyperlink"/>
                <w:rFonts w:ascii="Times New Roman" w:hAnsi="Times New Roman" w:cs="Times New Roman"/>
                <w:b w:val="0"/>
                <w:bCs w:val="0"/>
                <w:i w:val="0"/>
                <w:iCs w:val="0"/>
                <w:noProof/>
                <w:szCs w:val="24"/>
              </w:rPr>
              <w:t xml:space="preserve">Chapter </w:t>
            </w:r>
            <w:r w:rsidR="008B1D0B" w:rsidRPr="008B1D0B">
              <w:rPr>
                <w:rStyle w:val="Hyperlink"/>
                <w:rFonts w:ascii="Times New Roman" w:hAnsi="Times New Roman" w:cs="Times New Roman"/>
                <w:b w:val="0"/>
                <w:bCs w:val="0"/>
                <w:i w:val="0"/>
                <w:iCs w:val="0"/>
                <w:noProof/>
                <w:szCs w:val="24"/>
                <w:lang w:val="en-US"/>
              </w:rPr>
              <w:t>2</w:t>
            </w:r>
            <w:r w:rsidR="008B1D0B" w:rsidRPr="008B1D0B">
              <w:rPr>
                <w:rStyle w:val="Hyperlink"/>
                <w:rFonts w:ascii="Times New Roman" w:hAnsi="Times New Roman" w:cs="Times New Roman"/>
                <w:b w:val="0"/>
                <w:bCs w:val="0"/>
                <w:i w:val="0"/>
                <w:iCs w:val="0"/>
                <w:noProof/>
                <w:szCs w:val="24"/>
              </w:rPr>
              <w:t>: Literature Review</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_Toc240321813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17</w:t>
            </w:r>
            <w:r w:rsidR="008B1D0B" w:rsidRPr="008B1D0B">
              <w:rPr>
                <w:rFonts w:ascii="Times New Roman" w:hAnsi="Times New Roman" w:cs="Times New Roman"/>
                <w:b w:val="0"/>
                <w:bCs w:val="0"/>
                <w:i w:val="0"/>
                <w:iCs w:val="0"/>
                <w:noProof/>
                <w:webHidden/>
                <w:szCs w:val="24"/>
              </w:rPr>
              <w:fldChar w:fldCharType="end"/>
            </w:r>
          </w:hyperlink>
        </w:p>
        <w:p w14:paraId="205F1B33" w14:textId="54356B12"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4" w:history="1">
            <w:r w:rsidR="008B1D0B" w:rsidRPr="008B1D0B">
              <w:rPr>
                <w:rStyle w:val="Hyperlink"/>
                <w:rFonts w:ascii="Times New Roman" w:hAnsi="Times New Roman" w:cs="Times New Roman"/>
                <w:b w:val="0"/>
                <w:bCs w:val="0"/>
                <w:noProof/>
                <w:sz w:val="24"/>
                <w:szCs w:val="24"/>
              </w:rPr>
              <w:t>2.1 Introduction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_Toc240321814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17</w:t>
            </w:r>
            <w:r w:rsidR="008B1D0B" w:rsidRPr="008B1D0B">
              <w:rPr>
                <w:rFonts w:ascii="Times New Roman" w:hAnsi="Times New Roman" w:cs="Times New Roman"/>
                <w:b w:val="0"/>
                <w:bCs w:val="0"/>
                <w:noProof/>
                <w:webHidden/>
                <w:sz w:val="24"/>
                <w:szCs w:val="24"/>
              </w:rPr>
              <w:fldChar w:fldCharType="end"/>
            </w:r>
          </w:hyperlink>
        </w:p>
        <w:p w14:paraId="7BA3335D" w14:textId="348570D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5" w:history="1">
            <w:r w:rsidR="008B1D0B" w:rsidRPr="008B1D0B">
              <w:rPr>
                <w:rStyle w:val="Hyperlink"/>
                <w:rFonts w:ascii="Times New Roman" w:hAnsi="Times New Roman" w:cs="Times New Roman"/>
                <w:b w:val="0"/>
                <w:bCs w:val="0"/>
                <w:noProof/>
                <w:sz w:val="24"/>
                <w:szCs w:val="24"/>
              </w:rPr>
              <w:t>2.2 Theoretical Foundations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17</w:t>
            </w:r>
            <w:r w:rsidR="008B1D0B" w:rsidRPr="008B1D0B">
              <w:rPr>
                <w:rFonts w:ascii="Times New Roman" w:hAnsi="Times New Roman" w:cs="Times New Roman"/>
                <w:b w:val="0"/>
                <w:bCs w:val="0"/>
                <w:noProof/>
                <w:webHidden/>
                <w:sz w:val="24"/>
                <w:szCs w:val="24"/>
              </w:rPr>
              <w:fldChar w:fldCharType="end"/>
            </w:r>
          </w:hyperlink>
        </w:p>
        <w:p w14:paraId="3EF66DB2" w14:textId="0104A7D1"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16" w:history="1">
            <w:r w:rsidR="008B1D0B" w:rsidRPr="008B1D0B">
              <w:rPr>
                <w:rStyle w:val="Hyperlink"/>
                <w:rFonts w:ascii="Times New Roman" w:hAnsi="Times New Roman" w:cs="Times New Roman"/>
                <w:noProof/>
                <w:sz w:val="24"/>
              </w:rPr>
              <w:t>2.2.1 Social Exchange and Organisational Justice</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_Toc240321816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17</w:t>
            </w:r>
            <w:r w:rsidR="008B1D0B" w:rsidRPr="008B1D0B">
              <w:rPr>
                <w:rFonts w:ascii="Times New Roman" w:hAnsi="Times New Roman" w:cs="Times New Roman"/>
                <w:noProof/>
                <w:webHidden/>
                <w:sz w:val="24"/>
              </w:rPr>
              <w:fldChar w:fldCharType="end"/>
            </w:r>
          </w:hyperlink>
        </w:p>
        <w:p w14:paraId="0EDB29B2" w14:textId="0C8AD2C8"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17" w:history="1">
            <w:r w:rsidR="008B1D0B" w:rsidRPr="008B1D0B">
              <w:rPr>
                <w:rStyle w:val="Hyperlink"/>
                <w:rFonts w:ascii="Times New Roman" w:hAnsi="Times New Roman" w:cs="Times New Roman"/>
                <w:noProof/>
                <w:sz w:val="24"/>
              </w:rPr>
              <w:t>2.2.2 Psychological Contract Theory</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_Toc240321817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18</w:t>
            </w:r>
            <w:r w:rsidR="008B1D0B" w:rsidRPr="008B1D0B">
              <w:rPr>
                <w:rFonts w:ascii="Times New Roman" w:hAnsi="Times New Roman" w:cs="Times New Roman"/>
                <w:noProof/>
                <w:webHidden/>
                <w:sz w:val="24"/>
              </w:rPr>
              <w:fldChar w:fldCharType="end"/>
            </w:r>
          </w:hyperlink>
        </w:p>
        <w:p w14:paraId="08DB57F3" w14:textId="659945C0"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8" w:history="1">
            <w:r w:rsidR="008B1D0B" w:rsidRPr="008B1D0B">
              <w:rPr>
                <w:rStyle w:val="Hyperlink"/>
                <w:rFonts w:ascii="Times New Roman" w:hAnsi="Times New Roman" w:cs="Times New Roman"/>
                <w:b w:val="0"/>
                <w:bCs w:val="0"/>
                <w:noProof/>
                <w:sz w:val="24"/>
                <w:szCs w:val="24"/>
              </w:rPr>
              <w:t>2.3 Employment Rights Awareness and Employee Voice</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_Toc240321818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19</w:t>
            </w:r>
            <w:r w:rsidR="008B1D0B" w:rsidRPr="008B1D0B">
              <w:rPr>
                <w:rFonts w:ascii="Times New Roman" w:hAnsi="Times New Roman" w:cs="Times New Roman"/>
                <w:b w:val="0"/>
                <w:bCs w:val="0"/>
                <w:noProof/>
                <w:webHidden/>
                <w:sz w:val="24"/>
                <w:szCs w:val="24"/>
              </w:rPr>
              <w:fldChar w:fldCharType="end"/>
            </w:r>
          </w:hyperlink>
        </w:p>
        <w:p w14:paraId="61C9C74A" w14:textId="65CED84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19" w:history="1">
            <w:r w:rsidR="008B1D0B" w:rsidRPr="008B1D0B">
              <w:rPr>
                <w:rStyle w:val="Hyperlink"/>
                <w:rFonts w:ascii="Times New Roman" w:hAnsi="Times New Roman" w:cs="Times New Roman"/>
                <w:b w:val="0"/>
                <w:bCs w:val="0"/>
                <w:noProof/>
                <w:sz w:val="24"/>
                <w:szCs w:val="24"/>
              </w:rPr>
              <w:t>2.4 Organisational Justice</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_Toc240321819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20</w:t>
            </w:r>
            <w:r w:rsidR="008B1D0B" w:rsidRPr="008B1D0B">
              <w:rPr>
                <w:rFonts w:ascii="Times New Roman" w:hAnsi="Times New Roman" w:cs="Times New Roman"/>
                <w:b w:val="0"/>
                <w:bCs w:val="0"/>
                <w:noProof/>
                <w:webHidden/>
                <w:sz w:val="24"/>
                <w:szCs w:val="24"/>
              </w:rPr>
              <w:fldChar w:fldCharType="end"/>
            </w:r>
          </w:hyperlink>
        </w:p>
        <w:p w14:paraId="14EF3CB3" w14:textId="3F0176FA"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20" w:history="1">
            <w:r w:rsidR="008B1D0B" w:rsidRPr="008B1D0B">
              <w:rPr>
                <w:rStyle w:val="Hyperlink"/>
                <w:rFonts w:ascii="Times New Roman" w:hAnsi="Times New Roman" w:cs="Times New Roman"/>
                <w:b w:val="0"/>
                <w:bCs w:val="0"/>
                <w:noProof/>
                <w:sz w:val="24"/>
                <w:szCs w:val="24"/>
              </w:rPr>
              <w:t>2.5 Organisational Commitment</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_Toc240321820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21</w:t>
            </w:r>
            <w:r w:rsidR="008B1D0B" w:rsidRPr="008B1D0B">
              <w:rPr>
                <w:rFonts w:ascii="Times New Roman" w:hAnsi="Times New Roman" w:cs="Times New Roman"/>
                <w:b w:val="0"/>
                <w:bCs w:val="0"/>
                <w:noProof/>
                <w:webHidden/>
                <w:sz w:val="24"/>
                <w:szCs w:val="24"/>
              </w:rPr>
              <w:fldChar w:fldCharType="end"/>
            </w:r>
          </w:hyperlink>
        </w:p>
        <w:p w14:paraId="38F85833" w14:textId="7E54FB96"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21" w:history="1">
            <w:r w:rsidR="008B1D0B" w:rsidRPr="008B1D0B">
              <w:rPr>
                <w:rStyle w:val="Hyperlink"/>
                <w:rFonts w:ascii="Times New Roman" w:hAnsi="Times New Roman" w:cs="Times New Roman"/>
                <w:b w:val="0"/>
                <w:bCs w:val="0"/>
                <w:noProof/>
                <w:sz w:val="24"/>
                <w:szCs w:val="24"/>
              </w:rPr>
              <w:t>2.6 Relationships Among the Variables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_Toc240321821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22</w:t>
            </w:r>
            <w:r w:rsidR="008B1D0B" w:rsidRPr="008B1D0B">
              <w:rPr>
                <w:rFonts w:ascii="Times New Roman" w:hAnsi="Times New Roman" w:cs="Times New Roman"/>
                <w:b w:val="0"/>
                <w:bCs w:val="0"/>
                <w:noProof/>
                <w:webHidden/>
                <w:sz w:val="24"/>
                <w:szCs w:val="24"/>
              </w:rPr>
              <w:fldChar w:fldCharType="end"/>
            </w:r>
          </w:hyperlink>
        </w:p>
        <w:p w14:paraId="2A5C66B5" w14:textId="298DC9BE"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22" w:history="1">
            <w:r w:rsidR="008B1D0B" w:rsidRPr="008B1D0B">
              <w:rPr>
                <w:rStyle w:val="Hyperlink"/>
                <w:rFonts w:ascii="Times New Roman" w:hAnsi="Times New Roman" w:cs="Times New Roman"/>
                <w:noProof/>
                <w:sz w:val="24"/>
              </w:rPr>
              <w:t>2.6.1 Employment Rights Awareness and Organisational Justice</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_Toc240321822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22</w:t>
            </w:r>
            <w:r w:rsidR="008B1D0B" w:rsidRPr="008B1D0B">
              <w:rPr>
                <w:rFonts w:ascii="Times New Roman" w:hAnsi="Times New Roman" w:cs="Times New Roman"/>
                <w:noProof/>
                <w:webHidden/>
                <w:sz w:val="24"/>
              </w:rPr>
              <w:fldChar w:fldCharType="end"/>
            </w:r>
          </w:hyperlink>
        </w:p>
        <w:p w14:paraId="35DD00DA" w14:textId="232183E4"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23" w:history="1">
            <w:r w:rsidR="008B1D0B" w:rsidRPr="008B1D0B">
              <w:rPr>
                <w:rStyle w:val="Hyperlink"/>
                <w:rFonts w:ascii="Times New Roman" w:hAnsi="Times New Roman" w:cs="Times New Roman"/>
                <w:noProof/>
                <w:sz w:val="24"/>
              </w:rPr>
              <w:t>2.6.2 Employment Rights Awareness and Organisational Commitment</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_Toc240321823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23</w:t>
            </w:r>
            <w:r w:rsidR="008B1D0B" w:rsidRPr="008B1D0B">
              <w:rPr>
                <w:rFonts w:ascii="Times New Roman" w:hAnsi="Times New Roman" w:cs="Times New Roman"/>
                <w:noProof/>
                <w:webHidden/>
                <w:sz w:val="24"/>
              </w:rPr>
              <w:fldChar w:fldCharType="end"/>
            </w:r>
          </w:hyperlink>
        </w:p>
        <w:p w14:paraId="7A766F87" w14:textId="39ECC793"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24" w:history="1">
            <w:r w:rsidR="008B1D0B" w:rsidRPr="008B1D0B">
              <w:rPr>
                <w:rStyle w:val="Hyperlink"/>
                <w:rFonts w:ascii="Times New Roman" w:hAnsi="Times New Roman" w:cs="Times New Roman"/>
                <w:noProof/>
                <w:sz w:val="24"/>
              </w:rPr>
              <w:t>2.6.3 Organisational Justice and Organisational Commitment</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_Toc240321824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23</w:t>
            </w:r>
            <w:r w:rsidR="008B1D0B" w:rsidRPr="008B1D0B">
              <w:rPr>
                <w:rFonts w:ascii="Times New Roman" w:hAnsi="Times New Roman" w:cs="Times New Roman"/>
                <w:noProof/>
                <w:webHidden/>
                <w:sz w:val="24"/>
              </w:rPr>
              <w:fldChar w:fldCharType="end"/>
            </w:r>
          </w:hyperlink>
        </w:p>
        <w:p w14:paraId="2CA1810F" w14:textId="1702AAFA"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25" w:history="1">
            <w:r w:rsidR="008B1D0B" w:rsidRPr="008B1D0B">
              <w:rPr>
                <w:rStyle w:val="Hyperlink"/>
                <w:rFonts w:ascii="Times New Roman" w:hAnsi="Times New Roman" w:cs="Times New Roman"/>
                <w:noProof/>
                <w:sz w:val="24"/>
              </w:rPr>
              <w:t>2.6.4 Mediating Role of Organisational Justice</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_Toc240321825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24</w:t>
            </w:r>
            <w:r w:rsidR="008B1D0B" w:rsidRPr="008B1D0B">
              <w:rPr>
                <w:rFonts w:ascii="Times New Roman" w:hAnsi="Times New Roman" w:cs="Times New Roman"/>
                <w:noProof/>
                <w:webHidden/>
                <w:sz w:val="24"/>
              </w:rPr>
              <w:fldChar w:fldCharType="end"/>
            </w:r>
          </w:hyperlink>
        </w:p>
        <w:p w14:paraId="4AE0EF65" w14:textId="428401FC"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26" w:history="1">
            <w:r w:rsidR="008B1D0B" w:rsidRPr="008B1D0B">
              <w:rPr>
                <w:rStyle w:val="Hyperlink"/>
                <w:rFonts w:ascii="Times New Roman" w:hAnsi="Times New Roman" w:cs="Times New Roman"/>
                <w:b w:val="0"/>
                <w:bCs w:val="0"/>
                <w:noProof/>
                <w:sz w:val="24"/>
                <w:szCs w:val="24"/>
              </w:rPr>
              <w:t>2.7 Research Gap and Conceptual Synthesis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_Toc240321826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24</w:t>
            </w:r>
            <w:r w:rsidR="008B1D0B" w:rsidRPr="008B1D0B">
              <w:rPr>
                <w:rFonts w:ascii="Times New Roman" w:hAnsi="Times New Roman" w:cs="Times New Roman"/>
                <w:b w:val="0"/>
                <w:bCs w:val="0"/>
                <w:noProof/>
                <w:webHidden/>
                <w:sz w:val="24"/>
                <w:szCs w:val="24"/>
              </w:rPr>
              <w:fldChar w:fldCharType="end"/>
            </w:r>
          </w:hyperlink>
        </w:p>
        <w:p w14:paraId="324CD274" w14:textId="20DF35C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27" w:history="1">
            <w:r w:rsidR="008B1D0B" w:rsidRPr="008B1D0B">
              <w:rPr>
                <w:rStyle w:val="Hyperlink"/>
                <w:rFonts w:ascii="Times New Roman" w:hAnsi="Times New Roman" w:cs="Times New Roman"/>
                <w:b w:val="0"/>
                <w:bCs w:val="0"/>
                <w:noProof/>
                <w:sz w:val="24"/>
                <w:szCs w:val="24"/>
              </w:rPr>
              <w:t>2.8 Conclusion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_Toc240321827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25</w:t>
            </w:r>
            <w:r w:rsidR="008B1D0B" w:rsidRPr="008B1D0B">
              <w:rPr>
                <w:rFonts w:ascii="Times New Roman" w:hAnsi="Times New Roman" w:cs="Times New Roman"/>
                <w:b w:val="0"/>
                <w:bCs w:val="0"/>
                <w:noProof/>
                <w:webHidden/>
                <w:sz w:val="24"/>
                <w:szCs w:val="24"/>
              </w:rPr>
              <w:fldChar w:fldCharType="end"/>
            </w:r>
          </w:hyperlink>
        </w:p>
        <w:p w14:paraId="48328109" w14:textId="19B65C18"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28" w:history="1">
            <w:r w:rsidR="008B1D0B" w:rsidRPr="008B1D0B">
              <w:rPr>
                <w:rStyle w:val="Hyperlink"/>
                <w:rFonts w:ascii="Times New Roman" w:hAnsi="Times New Roman" w:cs="Times New Roman"/>
                <w:b w:val="0"/>
                <w:bCs w:val="0"/>
                <w:i w:val="0"/>
                <w:iCs w:val="0"/>
                <w:noProof/>
                <w:szCs w:val="24"/>
              </w:rPr>
              <w:t xml:space="preserve">Chapter </w:t>
            </w:r>
            <w:r w:rsidR="008B1D0B" w:rsidRPr="008B1D0B">
              <w:rPr>
                <w:rStyle w:val="Hyperlink"/>
                <w:rFonts w:ascii="Times New Roman" w:hAnsi="Times New Roman" w:cs="Times New Roman"/>
                <w:b w:val="0"/>
                <w:bCs w:val="0"/>
                <w:i w:val="0"/>
                <w:iCs w:val="0"/>
                <w:noProof/>
                <w:szCs w:val="24"/>
                <w:lang w:val="en-US"/>
              </w:rPr>
              <w:t>3</w:t>
            </w:r>
            <w:r w:rsidR="008B1D0B" w:rsidRPr="008B1D0B">
              <w:rPr>
                <w:rStyle w:val="Hyperlink"/>
                <w:rFonts w:ascii="Times New Roman" w:hAnsi="Times New Roman" w:cs="Times New Roman"/>
                <w:b w:val="0"/>
                <w:bCs w:val="0"/>
                <w:i w:val="0"/>
                <w:iCs w:val="0"/>
                <w:noProof/>
                <w:szCs w:val="24"/>
              </w:rPr>
              <w:t>: Methodology</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_Toc240321828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26</w:t>
            </w:r>
            <w:r w:rsidR="008B1D0B" w:rsidRPr="008B1D0B">
              <w:rPr>
                <w:rFonts w:ascii="Times New Roman" w:hAnsi="Times New Roman" w:cs="Times New Roman"/>
                <w:b w:val="0"/>
                <w:bCs w:val="0"/>
                <w:i w:val="0"/>
                <w:iCs w:val="0"/>
                <w:noProof/>
                <w:webHidden/>
                <w:szCs w:val="24"/>
              </w:rPr>
              <w:fldChar w:fldCharType="end"/>
            </w:r>
          </w:hyperlink>
        </w:p>
        <w:p w14:paraId="548D0864" w14:textId="64C0ED5F"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29" w:history="1">
            <w:r w:rsidR="008B1D0B" w:rsidRPr="008B1D0B">
              <w:rPr>
                <w:rStyle w:val="Hyperlink"/>
                <w:rFonts w:ascii="Times New Roman" w:hAnsi="Times New Roman" w:cs="Times New Roman"/>
                <w:b w:val="0"/>
                <w:bCs w:val="0"/>
                <w:noProof/>
                <w:sz w:val="24"/>
                <w:szCs w:val="24"/>
              </w:rPr>
              <w:t>3.1 Chapter Overview and Introduction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_Toc240321829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26</w:t>
            </w:r>
            <w:r w:rsidR="008B1D0B" w:rsidRPr="008B1D0B">
              <w:rPr>
                <w:rFonts w:ascii="Times New Roman" w:hAnsi="Times New Roman" w:cs="Times New Roman"/>
                <w:b w:val="0"/>
                <w:bCs w:val="0"/>
                <w:noProof/>
                <w:webHidden/>
                <w:sz w:val="24"/>
                <w:szCs w:val="24"/>
              </w:rPr>
              <w:fldChar w:fldCharType="end"/>
            </w:r>
          </w:hyperlink>
        </w:p>
        <w:p w14:paraId="4187C12A" w14:textId="06DF7BAB"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0" w:history="1">
            <w:r w:rsidR="008B1D0B" w:rsidRPr="008B1D0B">
              <w:rPr>
                <w:rStyle w:val="Hyperlink"/>
                <w:rFonts w:ascii="Times New Roman" w:hAnsi="Times New Roman" w:cs="Times New Roman"/>
                <w:b w:val="0"/>
                <w:bCs w:val="0"/>
                <w:noProof/>
                <w:sz w:val="24"/>
                <w:szCs w:val="24"/>
              </w:rPr>
              <w:t>3.2 Research Onion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_Toc240321830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26</w:t>
            </w:r>
            <w:r w:rsidR="008B1D0B" w:rsidRPr="008B1D0B">
              <w:rPr>
                <w:rFonts w:ascii="Times New Roman" w:hAnsi="Times New Roman" w:cs="Times New Roman"/>
                <w:b w:val="0"/>
                <w:bCs w:val="0"/>
                <w:noProof/>
                <w:webHidden/>
                <w:sz w:val="24"/>
                <w:szCs w:val="24"/>
              </w:rPr>
              <w:fldChar w:fldCharType="end"/>
            </w:r>
          </w:hyperlink>
        </w:p>
        <w:p w14:paraId="100A4420" w14:textId="609EFA93"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1" w:history="1">
            <w:r w:rsidR="008B1D0B" w:rsidRPr="008B1D0B">
              <w:rPr>
                <w:rStyle w:val="Hyperlink"/>
                <w:rFonts w:ascii="Times New Roman" w:hAnsi="Times New Roman" w:cs="Times New Roman"/>
                <w:b w:val="0"/>
                <w:bCs w:val="0"/>
                <w:noProof/>
                <w:sz w:val="24"/>
                <w:szCs w:val="24"/>
              </w:rPr>
              <w:t>3.3 Research Philosophy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_Toc240321831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27</w:t>
            </w:r>
            <w:r w:rsidR="008B1D0B" w:rsidRPr="008B1D0B">
              <w:rPr>
                <w:rFonts w:ascii="Times New Roman" w:hAnsi="Times New Roman" w:cs="Times New Roman"/>
                <w:b w:val="0"/>
                <w:bCs w:val="0"/>
                <w:noProof/>
                <w:webHidden/>
                <w:sz w:val="24"/>
                <w:szCs w:val="24"/>
              </w:rPr>
              <w:fldChar w:fldCharType="end"/>
            </w:r>
          </w:hyperlink>
        </w:p>
        <w:p w14:paraId="74E42742" w14:textId="710CAA68"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2" w:history="1">
            <w:r w:rsidR="008B1D0B" w:rsidRPr="008B1D0B">
              <w:rPr>
                <w:rStyle w:val="Hyperlink"/>
                <w:rFonts w:ascii="Times New Roman" w:hAnsi="Times New Roman" w:cs="Times New Roman"/>
                <w:b w:val="0"/>
                <w:bCs w:val="0"/>
                <w:noProof/>
                <w:sz w:val="24"/>
                <w:szCs w:val="24"/>
              </w:rPr>
              <w:t>3.4 Research Approach</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27</w:t>
            </w:r>
            <w:r w:rsidR="008B1D0B" w:rsidRPr="008B1D0B">
              <w:rPr>
                <w:rFonts w:ascii="Times New Roman" w:hAnsi="Times New Roman" w:cs="Times New Roman"/>
                <w:b w:val="0"/>
                <w:bCs w:val="0"/>
                <w:noProof/>
                <w:webHidden/>
                <w:sz w:val="24"/>
                <w:szCs w:val="24"/>
              </w:rPr>
              <w:fldChar w:fldCharType="end"/>
            </w:r>
          </w:hyperlink>
        </w:p>
        <w:p w14:paraId="6FC3128C" w14:textId="124B43E6"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3" w:history="1">
            <w:r w:rsidR="008B1D0B" w:rsidRPr="008B1D0B">
              <w:rPr>
                <w:rStyle w:val="Hyperlink"/>
                <w:rFonts w:ascii="Times New Roman" w:hAnsi="Times New Roman" w:cs="Times New Roman"/>
                <w:b w:val="0"/>
                <w:bCs w:val="0"/>
                <w:noProof/>
                <w:sz w:val="24"/>
                <w:szCs w:val="24"/>
              </w:rPr>
              <w:t>3.5 Research Strategy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_Toc240321833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28</w:t>
            </w:r>
            <w:r w:rsidR="008B1D0B" w:rsidRPr="008B1D0B">
              <w:rPr>
                <w:rFonts w:ascii="Times New Roman" w:hAnsi="Times New Roman" w:cs="Times New Roman"/>
                <w:b w:val="0"/>
                <w:bCs w:val="0"/>
                <w:noProof/>
                <w:webHidden/>
                <w:sz w:val="24"/>
                <w:szCs w:val="24"/>
              </w:rPr>
              <w:fldChar w:fldCharType="end"/>
            </w:r>
          </w:hyperlink>
        </w:p>
        <w:p w14:paraId="29AB8391" w14:textId="0854B6FB"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4" w:history="1">
            <w:r w:rsidR="008B1D0B" w:rsidRPr="008B1D0B">
              <w:rPr>
                <w:rStyle w:val="Hyperlink"/>
                <w:rFonts w:ascii="Times New Roman" w:hAnsi="Times New Roman" w:cs="Times New Roman"/>
                <w:b w:val="0"/>
                <w:bCs w:val="0"/>
                <w:noProof/>
                <w:sz w:val="24"/>
                <w:szCs w:val="24"/>
              </w:rPr>
              <w:t>3.6 Research Method Choice</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_Toc240321834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28</w:t>
            </w:r>
            <w:r w:rsidR="008B1D0B" w:rsidRPr="008B1D0B">
              <w:rPr>
                <w:rFonts w:ascii="Times New Roman" w:hAnsi="Times New Roman" w:cs="Times New Roman"/>
                <w:b w:val="0"/>
                <w:bCs w:val="0"/>
                <w:noProof/>
                <w:webHidden/>
                <w:sz w:val="24"/>
                <w:szCs w:val="24"/>
              </w:rPr>
              <w:fldChar w:fldCharType="end"/>
            </w:r>
          </w:hyperlink>
        </w:p>
        <w:p w14:paraId="33E30B26" w14:textId="401A589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5" w:history="1">
            <w:r w:rsidR="008B1D0B" w:rsidRPr="008B1D0B">
              <w:rPr>
                <w:rStyle w:val="Hyperlink"/>
                <w:rFonts w:ascii="Times New Roman" w:hAnsi="Times New Roman" w:cs="Times New Roman"/>
                <w:b w:val="0"/>
                <w:bCs w:val="0"/>
                <w:noProof/>
                <w:sz w:val="24"/>
                <w:szCs w:val="24"/>
              </w:rPr>
              <w:t>3.7 Research Time Horizon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29</w:t>
            </w:r>
            <w:r w:rsidR="008B1D0B" w:rsidRPr="008B1D0B">
              <w:rPr>
                <w:rFonts w:ascii="Times New Roman" w:hAnsi="Times New Roman" w:cs="Times New Roman"/>
                <w:b w:val="0"/>
                <w:bCs w:val="0"/>
                <w:noProof/>
                <w:webHidden/>
                <w:sz w:val="24"/>
                <w:szCs w:val="24"/>
              </w:rPr>
              <w:fldChar w:fldCharType="end"/>
            </w:r>
          </w:hyperlink>
        </w:p>
        <w:p w14:paraId="282F707F" w14:textId="447B0BA8"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6" w:history="1">
            <w:r w:rsidR="008B1D0B" w:rsidRPr="008B1D0B">
              <w:rPr>
                <w:rStyle w:val="Hyperlink"/>
                <w:rFonts w:ascii="Times New Roman" w:hAnsi="Times New Roman" w:cs="Times New Roman"/>
                <w:b w:val="0"/>
                <w:bCs w:val="0"/>
                <w:noProof/>
                <w:sz w:val="24"/>
                <w:szCs w:val="24"/>
              </w:rPr>
              <w:t>3.8 Research Techniques and Procedures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_Toc240321836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29</w:t>
            </w:r>
            <w:r w:rsidR="008B1D0B" w:rsidRPr="008B1D0B">
              <w:rPr>
                <w:rFonts w:ascii="Times New Roman" w:hAnsi="Times New Roman" w:cs="Times New Roman"/>
                <w:b w:val="0"/>
                <w:bCs w:val="0"/>
                <w:noProof/>
                <w:webHidden/>
                <w:sz w:val="24"/>
                <w:szCs w:val="24"/>
              </w:rPr>
              <w:fldChar w:fldCharType="end"/>
            </w:r>
          </w:hyperlink>
        </w:p>
        <w:p w14:paraId="3EFB7AC0" w14:textId="4EDC6213"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37" w:history="1">
            <w:r w:rsidR="008B1D0B" w:rsidRPr="008B1D0B">
              <w:rPr>
                <w:rStyle w:val="Hyperlink"/>
                <w:rFonts w:ascii="Times New Roman" w:hAnsi="Times New Roman" w:cs="Times New Roman"/>
                <w:noProof/>
                <w:sz w:val="24"/>
              </w:rPr>
              <w:t>3.8.1 Data Collection Methods and Tools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_Toc240321837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29</w:t>
            </w:r>
            <w:r w:rsidR="008B1D0B" w:rsidRPr="008B1D0B">
              <w:rPr>
                <w:rFonts w:ascii="Times New Roman" w:hAnsi="Times New Roman" w:cs="Times New Roman"/>
                <w:noProof/>
                <w:webHidden/>
                <w:sz w:val="24"/>
              </w:rPr>
              <w:fldChar w:fldCharType="end"/>
            </w:r>
          </w:hyperlink>
        </w:p>
        <w:p w14:paraId="50A0DD95" w14:textId="4EBBE58C"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38" w:history="1">
            <w:r w:rsidR="008B1D0B" w:rsidRPr="008B1D0B">
              <w:rPr>
                <w:rStyle w:val="Hyperlink"/>
                <w:rFonts w:ascii="Times New Roman" w:hAnsi="Times New Roman" w:cs="Times New Roman"/>
                <w:noProof/>
                <w:sz w:val="24"/>
              </w:rPr>
              <w:t>3.8.2 Data Analysis Methods and Tools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_Toc240321838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30</w:t>
            </w:r>
            <w:r w:rsidR="008B1D0B" w:rsidRPr="008B1D0B">
              <w:rPr>
                <w:rFonts w:ascii="Times New Roman" w:hAnsi="Times New Roman" w:cs="Times New Roman"/>
                <w:noProof/>
                <w:webHidden/>
                <w:sz w:val="24"/>
              </w:rPr>
              <w:fldChar w:fldCharType="end"/>
            </w:r>
          </w:hyperlink>
        </w:p>
        <w:p w14:paraId="4661820F" w14:textId="08CE21C4"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39" w:history="1">
            <w:r w:rsidR="008B1D0B" w:rsidRPr="008B1D0B">
              <w:rPr>
                <w:rStyle w:val="Hyperlink"/>
                <w:rFonts w:ascii="Times New Roman" w:hAnsi="Times New Roman" w:cs="Times New Roman"/>
                <w:b w:val="0"/>
                <w:bCs w:val="0"/>
                <w:noProof/>
                <w:sz w:val="24"/>
                <w:szCs w:val="24"/>
              </w:rPr>
              <w:t>3.9 Ethical Considerations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_Toc240321839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31</w:t>
            </w:r>
            <w:r w:rsidR="008B1D0B" w:rsidRPr="008B1D0B">
              <w:rPr>
                <w:rFonts w:ascii="Times New Roman" w:hAnsi="Times New Roman" w:cs="Times New Roman"/>
                <w:b w:val="0"/>
                <w:bCs w:val="0"/>
                <w:noProof/>
                <w:webHidden/>
                <w:sz w:val="24"/>
                <w:szCs w:val="24"/>
              </w:rPr>
              <w:fldChar w:fldCharType="end"/>
            </w:r>
          </w:hyperlink>
        </w:p>
        <w:p w14:paraId="25C746A1" w14:textId="77EAFB2B"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0" w:history="1">
            <w:r w:rsidR="008B1D0B" w:rsidRPr="008B1D0B">
              <w:rPr>
                <w:rStyle w:val="Hyperlink"/>
                <w:rFonts w:ascii="Times New Roman" w:hAnsi="Times New Roman" w:cs="Times New Roman"/>
                <w:b w:val="0"/>
                <w:bCs w:val="0"/>
                <w:noProof/>
                <w:sz w:val="24"/>
                <w:szCs w:val="24"/>
              </w:rPr>
              <w:t>3.10 Chapter Summary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_Toc240321840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31</w:t>
            </w:r>
            <w:r w:rsidR="008B1D0B" w:rsidRPr="008B1D0B">
              <w:rPr>
                <w:rFonts w:ascii="Times New Roman" w:hAnsi="Times New Roman" w:cs="Times New Roman"/>
                <w:b w:val="0"/>
                <w:bCs w:val="0"/>
                <w:noProof/>
                <w:webHidden/>
                <w:sz w:val="24"/>
                <w:szCs w:val="24"/>
              </w:rPr>
              <w:fldChar w:fldCharType="end"/>
            </w:r>
          </w:hyperlink>
        </w:p>
        <w:p w14:paraId="68ED4569" w14:textId="6B2417B7"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41" w:history="1">
            <w:r w:rsidR="008B1D0B" w:rsidRPr="008B1D0B">
              <w:rPr>
                <w:rStyle w:val="Hyperlink"/>
                <w:rFonts w:ascii="Times New Roman" w:hAnsi="Times New Roman" w:cs="Times New Roman"/>
                <w:b w:val="0"/>
                <w:bCs w:val="0"/>
                <w:i w:val="0"/>
                <w:iCs w:val="0"/>
                <w:noProof/>
                <w:szCs w:val="24"/>
              </w:rPr>
              <w:t>Chapter 4: Findings and Discussion</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_Toc240321841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32</w:t>
            </w:r>
            <w:r w:rsidR="008B1D0B" w:rsidRPr="008B1D0B">
              <w:rPr>
                <w:rFonts w:ascii="Times New Roman" w:hAnsi="Times New Roman" w:cs="Times New Roman"/>
                <w:b w:val="0"/>
                <w:bCs w:val="0"/>
                <w:i w:val="0"/>
                <w:iCs w:val="0"/>
                <w:noProof/>
                <w:webHidden/>
                <w:szCs w:val="24"/>
              </w:rPr>
              <w:fldChar w:fldCharType="end"/>
            </w:r>
          </w:hyperlink>
        </w:p>
        <w:p w14:paraId="718CAC73" w14:textId="046632AD"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2" w:history="1">
            <w:r w:rsidR="008B1D0B" w:rsidRPr="008B1D0B">
              <w:rPr>
                <w:rStyle w:val="Hyperlink"/>
                <w:rFonts w:ascii="Times New Roman" w:hAnsi="Times New Roman" w:cs="Times New Roman"/>
                <w:b w:val="0"/>
                <w:bCs w:val="0"/>
                <w:noProof/>
                <w:sz w:val="24"/>
                <w:szCs w:val="24"/>
              </w:rPr>
              <w:t>4.1 Introduction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32</w:t>
            </w:r>
            <w:r w:rsidR="008B1D0B" w:rsidRPr="008B1D0B">
              <w:rPr>
                <w:rFonts w:ascii="Times New Roman" w:hAnsi="Times New Roman" w:cs="Times New Roman"/>
                <w:b w:val="0"/>
                <w:bCs w:val="0"/>
                <w:noProof/>
                <w:webHidden/>
                <w:sz w:val="24"/>
                <w:szCs w:val="24"/>
              </w:rPr>
              <w:fldChar w:fldCharType="end"/>
            </w:r>
          </w:hyperlink>
        </w:p>
        <w:p w14:paraId="3CC0B9C7" w14:textId="001856AA"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3" w:history="1">
            <w:r w:rsidR="008B1D0B" w:rsidRPr="008B1D0B">
              <w:rPr>
                <w:rStyle w:val="Hyperlink"/>
                <w:rFonts w:ascii="Times New Roman" w:hAnsi="Times New Roman" w:cs="Times New Roman"/>
                <w:b w:val="0"/>
                <w:bCs w:val="0"/>
                <w:noProof/>
                <w:sz w:val="24"/>
                <w:szCs w:val="24"/>
              </w:rPr>
              <w:t>4.2 Background to the UK Retail Industry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_Toc240321843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32</w:t>
            </w:r>
            <w:r w:rsidR="008B1D0B" w:rsidRPr="008B1D0B">
              <w:rPr>
                <w:rFonts w:ascii="Times New Roman" w:hAnsi="Times New Roman" w:cs="Times New Roman"/>
                <w:b w:val="0"/>
                <w:bCs w:val="0"/>
                <w:noProof/>
                <w:webHidden/>
                <w:sz w:val="24"/>
                <w:szCs w:val="24"/>
              </w:rPr>
              <w:fldChar w:fldCharType="end"/>
            </w:r>
          </w:hyperlink>
        </w:p>
        <w:p w14:paraId="48A3E6D4" w14:textId="4397D1B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4" w:history="1">
            <w:r w:rsidR="008B1D0B" w:rsidRPr="008B1D0B">
              <w:rPr>
                <w:rStyle w:val="Hyperlink"/>
                <w:rFonts w:ascii="Times New Roman" w:hAnsi="Times New Roman" w:cs="Times New Roman"/>
                <w:b w:val="0"/>
                <w:bCs w:val="0"/>
                <w:noProof/>
                <w:sz w:val="24"/>
                <w:szCs w:val="24"/>
              </w:rPr>
              <w:t>4.3 Demographic Analysis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_Toc240321844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33</w:t>
            </w:r>
            <w:r w:rsidR="008B1D0B" w:rsidRPr="008B1D0B">
              <w:rPr>
                <w:rFonts w:ascii="Times New Roman" w:hAnsi="Times New Roman" w:cs="Times New Roman"/>
                <w:b w:val="0"/>
                <w:bCs w:val="0"/>
                <w:noProof/>
                <w:webHidden/>
                <w:sz w:val="24"/>
                <w:szCs w:val="24"/>
              </w:rPr>
              <w:fldChar w:fldCharType="end"/>
            </w:r>
          </w:hyperlink>
        </w:p>
        <w:p w14:paraId="52DB1D32" w14:textId="25EC2B33"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5" w:history="1">
            <w:r w:rsidR="008B1D0B" w:rsidRPr="008B1D0B">
              <w:rPr>
                <w:rStyle w:val="Hyperlink"/>
                <w:rFonts w:ascii="Times New Roman" w:hAnsi="Times New Roman" w:cs="Times New Roman"/>
                <w:b w:val="0"/>
                <w:bCs w:val="0"/>
                <w:noProof/>
                <w:sz w:val="24"/>
                <w:szCs w:val="24"/>
              </w:rPr>
              <w:t>4.4 Reliability Test Analysis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35</w:t>
            </w:r>
            <w:r w:rsidR="008B1D0B" w:rsidRPr="008B1D0B">
              <w:rPr>
                <w:rFonts w:ascii="Times New Roman" w:hAnsi="Times New Roman" w:cs="Times New Roman"/>
                <w:b w:val="0"/>
                <w:bCs w:val="0"/>
                <w:noProof/>
                <w:webHidden/>
                <w:sz w:val="24"/>
                <w:szCs w:val="24"/>
              </w:rPr>
              <w:fldChar w:fldCharType="end"/>
            </w:r>
          </w:hyperlink>
        </w:p>
        <w:p w14:paraId="3AFBDA43" w14:textId="52350A0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46" w:history="1">
            <w:r w:rsidR="008B1D0B" w:rsidRPr="008B1D0B">
              <w:rPr>
                <w:rStyle w:val="Hyperlink"/>
                <w:rFonts w:ascii="Times New Roman" w:hAnsi="Times New Roman" w:cs="Times New Roman"/>
                <w:b w:val="0"/>
                <w:bCs w:val="0"/>
                <w:noProof/>
                <w:sz w:val="24"/>
                <w:szCs w:val="24"/>
              </w:rPr>
              <w:t>4.5 Hypothesis Testing</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_Toc240321846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36</w:t>
            </w:r>
            <w:r w:rsidR="008B1D0B" w:rsidRPr="008B1D0B">
              <w:rPr>
                <w:rFonts w:ascii="Times New Roman" w:hAnsi="Times New Roman" w:cs="Times New Roman"/>
                <w:b w:val="0"/>
                <w:bCs w:val="0"/>
                <w:noProof/>
                <w:webHidden/>
                <w:sz w:val="24"/>
                <w:szCs w:val="24"/>
              </w:rPr>
              <w:fldChar w:fldCharType="end"/>
            </w:r>
          </w:hyperlink>
        </w:p>
        <w:p w14:paraId="6AF100AC" w14:textId="0E59EFCF"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47" w:history="1">
            <w:r w:rsidR="008B1D0B" w:rsidRPr="008B1D0B">
              <w:rPr>
                <w:rStyle w:val="Hyperlink"/>
                <w:rFonts w:ascii="Times New Roman" w:hAnsi="Times New Roman" w:cs="Times New Roman"/>
                <w:noProof/>
                <w:sz w:val="24"/>
              </w:rPr>
              <w:t>4.5.1 Descriptive Results and Assumption Checks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_Toc240321847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36</w:t>
            </w:r>
            <w:r w:rsidR="008B1D0B" w:rsidRPr="008B1D0B">
              <w:rPr>
                <w:rFonts w:ascii="Times New Roman" w:hAnsi="Times New Roman" w:cs="Times New Roman"/>
                <w:noProof/>
                <w:webHidden/>
                <w:sz w:val="24"/>
              </w:rPr>
              <w:fldChar w:fldCharType="end"/>
            </w:r>
          </w:hyperlink>
        </w:p>
        <w:p w14:paraId="3AB3B980" w14:textId="21A99837"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48" w:history="1">
            <w:r w:rsidR="008B1D0B" w:rsidRPr="008B1D0B">
              <w:rPr>
                <w:rStyle w:val="Hyperlink"/>
                <w:rFonts w:ascii="Times New Roman" w:hAnsi="Times New Roman" w:cs="Times New Roman"/>
                <w:noProof/>
                <w:sz w:val="24"/>
              </w:rPr>
              <w:t>4.5.2 Correlation Analysis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_Toc240321848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40</w:t>
            </w:r>
            <w:r w:rsidR="008B1D0B" w:rsidRPr="008B1D0B">
              <w:rPr>
                <w:rFonts w:ascii="Times New Roman" w:hAnsi="Times New Roman" w:cs="Times New Roman"/>
                <w:noProof/>
                <w:webHidden/>
                <w:sz w:val="24"/>
              </w:rPr>
              <w:fldChar w:fldCharType="end"/>
            </w:r>
          </w:hyperlink>
        </w:p>
        <w:p w14:paraId="1BE03673" w14:textId="7EC44519"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49" w:history="1">
            <w:r w:rsidR="008B1D0B" w:rsidRPr="008B1D0B">
              <w:rPr>
                <w:rStyle w:val="Hyperlink"/>
                <w:rFonts w:ascii="Times New Roman" w:hAnsi="Times New Roman" w:cs="Times New Roman"/>
                <w:noProof/>
                <w:sz w:val="24"/>
              </w:rPr>
              <w:t>4.5.3 Regression Analysis for Each Hypothesis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_Toc240321849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42</w:t>
            </w:r>
            <w:r w:rsidR="008B1D0B" w:rsidRPr="008B1D0B">
              <w:rPr>
                <w:rFonts w:ascii="Times New Roman" w:hAnsi="Times New Roman" w:cs="Times New Roman"/>
                <w:noProof/>
                <w:webHidden/>
                <w:sz w:val="24"/>
              </w:rPr>
              <w:fldChar w:fldCharType="end"/>
            </w:r>
          </w:hyperlink>
        </w:p>
        <w:p w14:paraId="0395902E" w14:textId="5475C626"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50" w:history="1">
            <w:r w:rsidR="008B1D0B" w:rsidRPr="008B1D0B">
              <w:rPr>
                <w:rStyle w:val="Hyperlink"/>
                <w:rFonts w:ascii="Times New Roman" w:hAnsi="Times New Roman" w:cs="Times New Roman"/>
                <w:noProof/>
                <w:sz w:val="24"/>
              </w:rPr>
              <w:t>4.5.4 Mediation Analysis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_Toc240321850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43</w:t>
            </w:r>
            <w:r w:rsidR="008B1D0B" w:rsidRPr="008B1D0B">
              <w:rPr>
                <w:rFonts w:ascii="Times New Roman" w:hAnsi="Times New Roman" w:cs="Times New Roman"/>
                <w:noProof/>
                <w:webHidden/>
                <w:sz w:val="24"/>
              </w:rPr>
              <w:fldChar w:fldCharType="end"/>
            </w:r>
          </w:hyperlink>
        </w:p>
        <w:p w14:paraId="1BC8E33E" w14:textId="76B02ADD"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51" w:history="1">
            <w:r w:rsidR="008B1D0B" w:rsidRPr="008B1D0B">
              <w:rPr>
                <w:rStyle w:val="Hyperlink"/>
                <w:rFonts w:ascii="Times New Roman" w:hAnsi="Times New Roman" w:cs="Times New Roman"/>
                <w:noProof/>
                <w:sz w:val="24"/>
              </w:rPr>
              <w:t>4.5.5 Hypothesis Decisions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_Toc240321851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44</w:t>
            </w:r>
            <w:r w:rsidR="008B1D0B" w:rsidRPr="008B1D0B">
              <w:rPr>
                <w:rFonts w:ascii="Times New Roman" w:hAnsi="Times New Roman" w:cs="Times New Roman"/>
                <w:noProof/>
                <w:webHidden/>
                <w:sz w:val="24"/>
              </w:rPr>
              <w:fldChar w:fldCharType="end"/>
            </w:r>
          </w:hyperlink>
        </w:p>
        <w:p w14:paraId="04C293A6" w14:textId="3B232728"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52" w:history="1">
            <w:r w:rsidR="008B1D0B" w:rsidRPr="008B1D0B">
              <w:rPr>
                <w:rStyle w:val="Hyperlink"/>
                <w:rFonts w:ascii="Times New Roman" w:hAnsi="Times New Roman" w:cs="Times New Roman"/>
                <w:b w:val="0"/>
                <w:bCs w:val="0"/>
                <w:noProof/>
                <w:sz w:val="24"/>
                <w:szCs w:val="24"/>
              </w:rPr>
              <w:t>4.6 Discussion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_Toc240321852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45</w:t>
            </w:r>
            <w:r w:rsidR="008B1D0B" w:rsidRPr="008B1D0B">
              <w:rPr>
                <w:rFonts w:ascii="Times New Roman" w:hAnsi="Times New Roman" w:cs="Times New Roman"/>
                <w:b w:val="0"/>
                <w:bCs w:val="0"/>
                <w:noProof/>
                <w:webHidden/>
                <w:sz w:val="24"/>
                <w:szCs w:val="24"/>
              </w:rPr>
              <w:fldChar w:fldCharType="end"/>
            </w:r>
          </w:hyperlink>
        </w:p>
        <w:p w14:paraId="37A6FDC7" w14:textId="1BF5CC2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53" w:history="1">
            <w:r w:rsidR="008B1D0B" w:rsidRPr="008B1D0B">
              <w:rPr>
                <w:rStyle w:val="Hyperlink"/>
                <w:rFonts w:ascii="Times New Roman" w:hAnsi="Times New Roman" w:cs="Times New Roman"/>
                <w:b w:val="0"/>
                <w:bCs w:val="0"/>
                <w:noProof/>
                <w:sz w:val="24"/>
                <w:szCs w:val="24"/>
              </w:rPr>
              <w:t>4.7 Conclusion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_Toc240321853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47</w:t>
            </w:r>
            <w:r w:rsidR="008B1D0B" w:rsidRPr="008B1D0B">
              <w:rPr>
                <w:rFonts w:ascii="Times New Roman" w:hAnsi="Times New Roman" w:cs="Times New Roman"/>
                <w:b w:val="0"/>
                <w:bCs w:val="0"/>
                <w:noProof/>
                <w:webHidden/>
                <w:sz w:val="24"/>
                <w:szCs w:val="24"/>
              </w:rPr>
              <w:fldChar w:fldCharType="end"/>
            </w:r>
          </w:hyperlink>
        </w:p>
        <w:p w14:paraId="1C629728" w14:textId="0E20BA8B"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54" w:history="1">
            <w:r w:rsidR="008B1D0B" w:rsidRPr="008B1D0B">
              <w:rPr>
                <w:rStyle w:val="Hyperlink"/>
                <w:rFonts w:ascii="Times New Roman" w:hAnsi="Times New Roman" w:cs="Times New Roman"/>
                <w:b w:val="0"/>
                <w:bCs w:val="0"/>
                <w:i w:val="0"/>
                <w:iCs w:val="0"/>
                <w:noProof/>
                <w:szCs w:val="24"/>
              </w:rPr>
              <w:t>Chapter 5: Conclusion and Recommendations</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_Toc240321854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48</w:t>
            </w:r>
            <w:r w:rsidR="008B1D0B" w:rsidRPr="008B1D0B">
              <w:rPr>
                <w:rFonts w:ascii="Times New Roman" w:hAnsi="Times New Roman" w:cs="Times New Roman"/>
                <w:b w:val="0"/>
                <w:bCs w:val="0"/>
                <w:i w:val="0"/>
                <w:iCs w:val="0"/>
                <w:noProof/>
                <w:webHidden/>
                <w:szCs w:val="24"/>
              </w:rPr>
              <w:fldChar w:fldCharType="end"/>
            </w:r>
          </w:hyperlink>
        </w:p>
        <w:p w14:paraId="0D4DA789" w14:textId="5E138E8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55" w:history="1">
            <w:r w:rsidR="008B1D0B" w:rsidRPr="008B1D0B">
              <w:rPr>
                <w:rStyle w:val="Hyperlink"/>
                <w:rFonts w:ascii="Times New Roman" w:hAnsi="Times New Roman" w:cs="Times New Roman"/>
                <w:b w:val="0"/>
                <w:bCs w:val="0"/>
                <w:noProof/>
                <w:sz w:val="24"/>
                <w:szCs w:val="24"/>
              </w:rPr>
              <w:t>5.1 Introduction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_Toc240321855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48</w:t>
            </w:r>
            <w:r w:rsidR="008B1D0B" w:rsidRPr="008B1D0B">
              <w:rPr>
                <w:rFonts w:ascii="Times New Roman" w:hAnsi="Times New Roman" w:cs="Times New Roman"/>
                <w:b w:val="0"/>
                <w:bCs w:val="0"/>
                <w:noProof/>
                <w:webHidden/>
                <w:sz w:val="24"/>
                <w:szCs w:val="24"/>
              </w:rPr>
              <w:fldChar w:fldCharType="end"/>
            </w:r>
          </w:hyperlink>
        </w:p>
        <w:p w14:paraId="7720E99D" w14:textId="24DB17AE"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56" w:history="1">
            <w:r w:rsidR="008B1D0B" w:rsidRPr="008B1D0B">
              <w:rPr>
                <w:rStyle w:val="Hyperlink"/>
                <w:rFonts w:ascii="Times New Roman" w:hAnsi="Times New Roman" w:cs="Times New Roman"/>
                <w:b w:val="0"/>
                <w:bCs w:val="0"/>
                <w:noProof/>
                <w:sz w:val="24"/>
                <w:szCs w:val="24"/>
              </w:rPr>
              <w:t>5.2 Revisit of the Research Aim and Objectives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_Toc240321856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48</w:t>
            </w:r>
            <w:r w:rsidR="008B1D0B" w:rsidRPr="008B1D0B">
              <w:rPr>
                <w:rFonts w:ascii="Times New Roman" w:hAnsi="Times New Roman" w:cs="Times New Roman"/>
                <w:b w:val="0"/>
                <w:bCs w:val="0"/>
                <w:noProof/>
                <w:webHidden/>
                <w:sz w:val="24"/>
                <w:szCs w:val="24"/>
              </w:rPr>
              <w:fldChar w:fldCharType="end"/>
            </w:r>
          </w:hyperlink>
        </w:p>
        <w:p w14:paraId="44AF2ABD" w14:textId="18A48044"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57" w:history="1">
            <w:r w:rsidR="008B1D0B" w:rsidRPr="008B1D0B">
              <w:rPr>
                <w:rStyle w:val="Hyperlink"/>
                <w:rFonts w:ascii="Times New Roman" w:hAnsi="Times New Roman" w:cs="Times New Roman"/>
                <w:b w:val="0"/>
                <w:bCs w:val="0"/>
                <w:noProof/>
                <w:sz w:val="24"/>
                <w:szCs w:val="24"/>
              </w:rPr>
              <w:t>5.3 Summary of Key Findings and Answers to the Research Questions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_Toc240321857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49</w:t>
            </w:r>
            <w:r w:rsidR="008B1D0B" w:rsidRPr="008B1D0B">
              <w:rPr>
                <w:rFonts w:ascii="Times New Roman" w:hAnsi="Times New Roman" w:cs="Times New Roman"/>
                <w:b w:val="0"/>
                <w:bCs w:val="0"/>
                <w:noProof/>
                <w:webHidden/>
                <w:sz w:val="24"/>
                <w:szCs w:val="24"/>
              </w:rPr>
              <w:fldChar w:fldCharType="end"/>
            </w:r>
          </w:hyperlink>
        </w:p>
        <w:p w14:paraId="0F07747F" w14:textId="364786F6"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58" w:history="1">
            <w:r w:rsidR="008B1D0B" w:rsidRPr="008B1D0B">
              <w:rPr>
                <w:rStyle w:val="Hyperlink"/>
                <w:rFonts w:ascii="Times New Roman" w:hAnsi="Times New Roman" w:cs="Times New Roman"/>
                <w:noProof/>
                <w:sz w:val="24"/>
              </w:rPr>
              <w:t>5.3.1 Levels of the Three Study Variables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_Toc240321858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49</w:t>
            </w:r>
            <w:r w:rsidR="008B1D0B" w:rsidRPr="008B1D0B">
              <w:rPr>
                <w:rFonts w:ascii="Times New Roman" w:hAnsi="Times New Roman" w:cs="Times New Roman"/>
                <w:noProof/>
                <w:webHidden/>
                <w:sz w:val="24"/>
              </w:rPr>
              <w:fldChar w:fldCharType="end"/>
            </w:r>
          </w:hyperlink>
        </w:p>
        <w:p w14:paraId="2C0CEBD4" w14:textId="154782CD"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59" w:history="1">
            <w:r w:rsidR="008B1D0B" w:rsidRPr="008B1D0B">
              <w:rPr>
                <w:rStyle w:val="Hyperlink"/>
                <w:rFonts w:ascii="Times New Roman" w:hAnsi="Times New Roman" w:cs="Times New Roman"/>
                <w:noProof/>
                <w:sz w:val="24"/>
              </w:rPr>
              <w:t>5.3.2 Relationships Among the Variables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_Toc240321859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49</w:t>
            </w:r>
            <w:r w:rsidR="008B1D0B" w:rsidRPr="008B1D0B">
              <w:rPr>
                <w:rFonts w:ascii="Times New Roman" w:hAnsi="Times New Roman" w:cs="Times New Roman"/>
                <w:noProof/>
                <w:webHidden/>
                <w:sz w:val="24"/>
              </w:rPr>
              <w:fldChar w:fldCharType="end"/>
            </w:r>
          </w:hyperlink>
        </w:p>
        <w:p w14:paraId="06BFE6A1" w14:textId="277871B5"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0" w:history="1">
            <w:r w:rsidR="008B1D0B" w:rsidRPr="008B1D0B">
              <w:rPr>
                <w:rStyle w:val="Hyperlink"/>
                <w:rFonts w:ascii="Times New Roman" w:hAnsi="Times New Roman" w:cs="Times New Roman"/>
                <w:noProof/>
                <w:sz w:val="24"/>
              </w:rPr>
              <w:t>5.3.3 Mediating Role of Organisational Justice</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_Toc240321860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50</w:t>
            </w:r>
            <w:r w:rsidR="008B1D0B" w:rsidRPr="008B1D0B">
              <w:rPr>
                <w:rFonts w:ascii="Times New Roman" w:hAnsi="Times New Roman" w:cs="Times New Roman"/>
                <w:noProof/>
                <w:webHidden/>
                <w:sz w:val="24"/>
              </w:rPr>
              <w:fldChar w:fldCharType="end"/>
            </w:r>
          </w:hyperlink>
        </w:p>
        <w:p w14:paraId="0AFF7453" w14:textId="003858A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61" w:history="1">
            <w:r w:rsidR="008B1D0B" w:rsidRPr="008B1D0B">
              <w:rPr>
                <w:rStyle w:val="Hyperlink"/>
                <w:rFonts w:ascii="Times New Roman" w:hAnsi="Times New Roman" w:cs="Times New Roman"/>
                <w:b w:val="0"/>
                <w:bCs w:val="0"/>
                <w:noProof/>
                <w:sz w:val="24"/>
                <w:szCs w:val="24"/>
              </w:rPr>
              <w:t>5.4 Conclusions in Relation to the Hypotheses and Research Gap</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_Toc240321861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50</w:t>
            </w:r>
            <w:r w:rsidR="008B1D0B" w:rsidRPr="008B1D0B">
              <w:rPr>
                <w:rFonts w:ascii="Times New Roman" w:hAnsi="Times New Roman" w:cs="Times New Roman"/>
                <w:b w:val="0"/>
                <w:bCs w:val="0"/>
                <w:noProof/>
                <w:webHidden/>
                <w:sz w:val="24"/>
                <w:szCs w:val="24"/>
              </w:rPr>
              <w:fldChar w:fldCharType="end"/>
            </w:r>
          </w:hyperlink>
        </w:p>
        <w:p w14:paraId="051E52B9" w14:textId="30D23E74"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62" w:history="1">
            <w:r w:rsidR="008B1D0B" w:rsidRPr="008B1D0B">
              <w:rPr>
                <w:rStyle w:val="Hyperlink"/>
                <w:rFonts w:ascii="Times New Roman" w:hAnsi="Times New Roman" w:cs="Times New Roman"/>
                <w:b w:val="0"/>
                <w:bCs w:val="0"/>
                <w:noProof/>
                <w:sz w:val="24"/>
                <w:szCs w:val="24"/>
              </w:rPr>
              <w:t>5.5 Contribution of the Study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_Toc240321862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51</w:t>
            </w:r>
            <w:r w:rsidR="008B1D0B" w:rsidRPr="008B1D0B">
              <w:rPr>
                <w:rFonts w:ascii="Times New Roman" w:hAnsi="Times New Roman" w:cs="Times New Roman"/>
                <w:b w:val="0"/>
                <w:bCs w:val="0"/>
                <w:noProof/>
                <w:webHidden/>
                <w:sz w:val="24"/>
                <w:szCs w:val="24"/>
              </w:rPr>
              <w:fldChar w:fldCharType="end"/>
            </w:r>
          </w:hyperlink>
        </w:p>
        <w:p w14:paraId="77582A04" w14:textId="692BE1BE"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3" w:history="1">
            <w:r w:rsidR="008B1D0B" w:rsidRPr="008B1D0B">
              <w:rPr>
                <w:rStyle w:val="Hyperlink"/>
                <w:rFonts w:ascii="Times New Roman" w:hAnsi="Times New Roman" w:cs="Times New Roman"/>
                <w:noProof/>
                <w:sz w:val="24"/>
              </w:rPr>
              <w:t>5.5.1 Theoretical Contribution</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_Toc240321863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51</w:t>
            </w:r>
            <w:r w:rsidR="008B1D0B" w:rsidRPr="008B1D0B">
              <w:rPr>
                <w:rFonts w:ascii="Times New Roman" w:hAnsi="Times New Roman" w:cs="Times New Roman"/>
                <w:noProof/>
                <w:webHidden/>
                <w:sz w:val="24"/>
              </w:rPr>
              <w:fldChar w:fldCharType="end"/>
            </w:r>
          </w:hyperlink>
        </w:p>
        <w:p w14:paraId="0C50DF1B" w14:textId="54E19A15"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4" w:history="1">
            <w:r w:rsidR="008B1D0B" w:rsidRPr="008B1D0B">
              <w:rPr>
                <w:rStyle w:val="Hyperlink"/>
                <w:rFonts w:ascii="Times New Roman" w:hAnsi="Times New Roman" w:cs="Times New Roman"/>
                <w:noProof/>
                <w:sz w:val="24"/>
              </w:rPr>
              <w:t>5.5.2 Practical Contribution</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_Toc240321864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51</w:t>
            </w:r>
            <w:r w:rsidR="008B1D0B" w:rsidRPr="008B1D0B">
              <w:rPr>
                <w:rFonts w:ascii="Times New Roman" w:hAnsi="Times New Roman" w:cs="Times New Roman"/>
                <w:noProof/>
                <w:webHidden/>
                <w:sz w:val="24"/>
              </w:rPr>
              <w:fldChar w:fldCharType="end"/>
            </w:r>
          </w:hyperlink>
        </w:p>
        <w:p w14:paraId="158BC7D5" w14:textId="08693763"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65" w:history="1">
            <w:r w:rsidR="008B1D0B" w:rsidRPr="008B1D0B">
              <w:rPr>
                <w:rStyle w:val="Hyperlink"/>
                <w:rFonts w:ascii="Times New Roman" w:hAnsi="Times New Roman" w:cs="Times New Roman"/>
                <w:b w:val="0"/>
                <w:bCs w:val="0"/>
                <w:noProof/>
                <w:sz w:val="24"/>
                <w:szCs w:val="24"/>
              </w:rPr>
              <w:t>5.6 Recommendations for Retail Organisations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_Toc240321865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52</w:t>
            </w:r>
            <w:r w:rsidR="008B1D0B" w:rsidRPr="008B1D0B">
              <w:rPr>
                <w:rFonts w:ascii="Times New Roman" w:hAnsi="Times New Roman" w:cs="Times New Roman"/>
                <w:b w:val="0"/>
                <w:bCs w:val="0"/>
                <w:noProof/>
                <w:webHidden/>
                <w:sz w:val="24"/>
                <w:szCs w:val="24"/>
              </w:rPr>
              <w:fldChar w:fldCharType="end"/>
            </w:r>
          </w:hyperlink>
        </w:p>
        <w:p w14:paraId="2E7DF29F" w14:textId="380D1BD8"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6" w:history="1">
            <w:r w:rsidR="008B1D0B" w:rsidRPr="008B1D0B">
              <w:rPr>
                <w:rStyle w:val="Hyperlink"/>
                <w:rFonts w:ascii="Times New Roman" w:hAnsi="Times New Roman" w:cs="Times New Roman"/>
                <w:noProof/>
                <w:sz w:val="24"/>
              </w:rPr>
              <w:t>5.6.1 Provide Targeted Employment Rights Education</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_Toc240321866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52</w:t>
            </w:r>
            <w:r w:rsidR="008B1D0B" w:rsidRPr="008B1D0B">
              <w:rPr>
                <w:rFonts w:ascii="Times New Roman" w:hAnsi="Times New Roman" w:cs="Times New Roman"/>
                <w:noProof/>
                <w:webHidden/>
                <w:sz w:val="24"/>
              </w:rPr>
              <w:fldChar w:fldCharType="end"/>
            </w:r>
          </w:hyperlink>
        </w:p>
        <w:p w14:paraId="30D1991A" w14:textId="1961021D"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7" w:history="1">
            <w:r w:rsidR="008B1D0B" w:rsidRPr="008B1D0B">
              <w:rPr>
                <w:rStyle w:val="Hyperlink"/>
                <w:rFonts w:ascii="Times New Roman" w:hAnsi="Times New Roman" w:cs="Times New Roman"/>
                <w:noProof/>
                <w:sz w:val="24"/>
              </w:rPr>
              <w:t>5.6.2 Strengthen Fairness in Pay, Scheduling and Leave</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_Toc240321867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52</w:t>
            </w:r>
            <w:r w:rsidR="008B1D0B" w:rsidRPr="008B1D0B">
              <w:rPr>
                <w:rFonts w:ascii="Times New Roman" w:hAnsi="Times New Roman" w:cs="Times New Roman"/>
                <w:noProof/>
                <w:webHidden/>
                <w:sz w:val="24"/>
              </w:rPr>
              <w:fldChar w:fldCharType="end"/>
            </w:r>
          </w:hyperlink>
        </w:p>
        <w:p w14:paraId="73EB3E07" w14:textId="4D395132"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8" w:history="1">
            <w:r w:rsidR="008B1D0B" w:rsidRPr="008B1D0B">
              <w:rPr>
                <w:rStyle w:val="Hyperlink"/>
                <w:rFonts w:ascii="Times New Roman" w:hAnsi="Times New Roman" w:cs="Times New Roman"/>
                <w:noProof/>
                <w:sz w:val="24"/>
              </w:rPr>
              <w:t>5.6.3 Improve Employee Voice and Grievance Processes</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_Toc240321868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52</w:t>
            </w:r>
            <w:r w:rsidR="008B1D0B" w:rsidRPr="008B1D0B">
              <w:rPr>
                <w:rFonts w:ascii="Times New Roman" w:hAnsi="Times New Roman" w:cs="Times New Roman"/>
                <w:noProof/>
                <w:webHidden/>
                <w:sz w:val="24"/>
              </w:rPr>
              <w:fldChar w:fldCharType="end"/>
            </w:r>
          </w:hyperlink>
        </w:p>
        <w:p w14:paraId="22B78C9A" w14:textId="050FD7AC" w:rsidR="008B1D0B" w:rsidRPr="008B1D0B" w:rsidRDefault="00000000" w:rsidP="008B1D0B">
          <w:pPr>
            <w:pStyle w:val="TOC3"/>
            <w:tabs>
              <w:tab w:val="right" w:leader="dot" w:pos="9010"/>
            </w:tabs>
            <w:rPr>
              <w:rFonts w:ascii="Times New Roman" w:eastAsiaTheme="minorEastAsia" w:hAnsi="Times New Roman" w:cs="Times New Roman"/>
              <w:noProof/>
              <w:sz w:val="24"/>
              <w:lang w:val="en-BD" w:bidi="bn-IN"/>
            </w:rPr>
          </w:pPr>
          <w:hyperlink w:anchor="_Toc240321869" w:history="1">
            <w:r w:rsidR="008B1D0B" w:rsidRPr="008B1D0B">
              <w:rPr>
                <w:rStyle w:val="Hyperlink"/>
                <w:rFonts w:ascii="Times New Roman" w:hAnsi="Times New Roman" w:cs="Times New Roman"/>
                <w:noProof/>
                <w:sz w:val="24"/>
              </w:rPr>
              <w:t>5.6.4 Monitor Justice and Commitment Together</w:t>
            </w:r>
            <w:r w:rsidR="008B1D0B" w:rsidRPr="008B1D0B">
              <w:rPr>
                <w:rFonts w:ascii="Times New Roman" w:hAnsi="Times New Roman" w:cs="Times New Roman"/>
                <w:noProof/>
                <w:webHidden/>
                <w:sz w:val="24"/>
              </w:rPr>
              <w:tab/>
            </w:r>
            <w:r w:rsidR="008B1D0B" w:rsidRPr="008B1D0B">
              <w:rPr>
                <w:rFonts w:ascii="Times New Roman" w:hAnsi="Times New Roman" w:cs="Times New Roman"/>
                <w:noProof/>
                <w:webHidden/>
                <w:sz w:val="24"/>
              </w:rPr>
              <w:fldChar w:fldCharType="begin"/>
            </w:r>
            <w:r w:rsidR="008B1D0B" w:rsidRPr="008B1D0B">
              <w:rPr>
                <w:rFonts w:ascii="Times New Roman" w:hAnsi="Times New Roman" w:cs="Times New Roman"/>
                <w:noProof/>
                <w:webHidden/>
                <w:sz w:val="24"/>
              </w:rPr>
              <w:instrText xml:space="preserve"> PAGEREF _Toc240321869 \h </w:instrText>
            </w:r>
            <w:r w:rsidR="008B1D0B" w:rsidRPr="008B1D0B">
              <w:rPr>
                <w:rFonts w:ascii="Times New Roman" w:hAnsi="Times New Roman" w:cs="Times New Roman"/>
                <w:noProof/>
                <w:webHidden/>
                <w:sz w:val="24"/>
              </w:rPr>
            </w:r>
            <w:r w:rsidR="008B1D0B" w:rsidRPr="008B1D0B">
              <w:rPr>
                <w:rFonts w:ascii="Times New Roman" w:hAnsi="Times New Roman" w:cs="Times New Roman"/>
                <w:noProof/>
                <w:webHidden/>
                <w:sz w:val="24"/>
              </w:rPr>
              <w:fldChar w:fldCharType="separate"/>
            </w:r>
            <w:r w:rsidR="008B1D0B" w:rsidRPr="008B1D0B">
              <w:rPr>
                <w:rFonts w:ascii="Times New Roman" w:hAnsi="Times New Roman" w:cs="Times New Roman"/>
                <w:noProof/>
                <w:webHidden/>
                <w:sz w:val="24"/>
              </w:rPr>
              <w:t>53</w:t>
            </w:r>
            <w:r w:rsidR="008B1D0B" w:rsidRPr="008B1D0B">
              <w:rPr>
                <w:rFonts w:ascii="Times New Roman" w:hAnsi="Times New Roman" w:cs="Times New Roman"/>
                <w:noProof/>
                <w:webHidden/>
                <w:sz w:val="24"/>
              </w:rPr>
              <w:fldChar w:fldCharType="end"/>
            </w:r>
          </w:hyperlink>
        </w:p>
        <w:p w14:paraId="7699C5BC" w14:textId="1BDDF059"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0" w:history="1">
            <w:r w:rsidR="008B1D0B" w:rsidRPr="008B1D0B">
              <w:rPr>
                <w:rStyle w:val="Hyperlink"/>
                <w:rFonts w:ascii="Times New Roman" w:hAnsi="Times New Roman" w:cs="Times New Roman"/>
                <w:b w:val="0"/>
                <w:bCs w:val="0"/>
                <w:noProof/>
                <w:sz w:val="24"/>
                <w:szCs w:val="24"/>
              </w:rPr>
              <w:t>5.7 Limitations of the Study</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_Toc240321870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53</w:t>
            </w:r>
            <w:r w:rsidR="008B1D0B" w:rsidRPr="008B1D0B">
              <w:rPr>
                <w:rFonts w:ascii="Times New Roman" w:hAnsi="Times New Roman" w:cs="Times New Roman"/>
                <w:b w:val="0"/>
                <w:bCs w:val="0"/>
                <w:noProof/>
                <w:webHidden/>
                <w:sz w:val="24"/>
                <w:szCs w:val="24"/>
              </w:rPr>
              <w:fldChar w:fldCharType="end"/>
            </w:r>
          </w:hyperlink>
        </w:p>
        <w:p w14:paraId="0443BCAE" w14:textId="20A74801"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1" w:history="1">
            <w:r w:rsidR="008B1D0B" w:rsidRPr="008B1D0B">
              <w:rPr>
                <w:rStyle w:val="Hyperlink"/>
                <w:rFonts w:ascii="Times New Roman" w:hAnsi="Times New Roman" w:cs="Times New Roman"/>
                <w:b w:val="0"/>
                <w:bCs w:val="0"/>
                <w:noProof/>
                <w:sz w:val="24"/>
                <w:szCs w:val="24"/>
              </w:rPr>
              <w:t>5.8 Recommendations for Future Research</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_Toc240321871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54</w:t>
            </w:r>
            <w:r w:rsidR="008B1D0B" w:rsidRPr="008B1D0B">
              <w:rPr>
                <w:rFonts w:ascii="Times New Roman" w:hAnsi="Times New Roman" w:cs="Times New Roman"/>
                <w:b w:val="0"/>
                <w:bCs w:val="0"/>
                <w:noProof/>
                <w:webHidden/>
                <w:sz w:val="24"/>
                <w:szCs w:val="24"/>
              </w:rPr>
              <w:fldChar w:fldCharType="end"/>
            </w:r>
          </w:hyperlink>
        </w:p>
        <w:p w14:paraId="35AA0A98" w14:textId="0E856B9F"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2" w:history="1">
            <w:r w:rsidR="008B1D0B" w:rsidRPr="008B1D0B">
              <w:rPr>
                <w:rStyle w:val="Hyperlink"/>
                <w:rFonts w:ascii="Times New Roman" w:hAnsi="Times New Roman" w:cs="Times New Roman"/>
                <w:b w:val="0"/>
                <w:bCs w:val="0"/>
                <w:noProof/>
                <w:sz w:val="24"/>
                <w:szCs w:val="24"/>
              </w:rPr>
              <w:t>5.9 Final Conclusion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_Toc240321872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54</w:t>
            </w:r>
            <w:r w:rsidR="008B1D0B" w:rsidRPr="008B1D0B">
              <w:rPr>
                <w:rFonts w:ascii="Times New Roman" w:hAnsi="Times New Roman" w:cs="Times New Roman"/>
                <w:b w:val="0"/>
                <w:bCs w:val="0"/>
                <w:noProof/>
                <w:webHidden/>
                <w:sz w:val="24"/>
                <w:szCs w:val="24"/>
              </w:rPr>
              <w:fldChar w:fldCharType="end"/>
            </w:r>
          </w:hyperlink>
        </w:p>
        <w:p w14:paraId="57654993" w14:textId="7B2EE057"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73" w:history="1">
            <w:r w:rsidR="008B1D0B" w:rsidRPr="008B1D0B">
              <w:rPr>
                <w:rStyle w:val="Hyperlink"/>
                <w:rFonts w:ascii="Times New Roman" w:hAnsi="Times New Roman" w:cs="Times New Roman"/>
                <w:b w:val="0"/>
                <w:bCs w:val="0"/>
                <w:i w:val="0"/>
                <w:iCs w:val="0"/>
                <w:noProof/>
                <w:szCs w:val="24"/>
              </w:rPr>
              <w:t>References</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_Toc240321873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56</w:t>
            </w:r>
            <w:r w:rsidR="008B1D0B" w:rsidRPr="008B1D0B">
              <w:rPr>
                <w:rFonts w:ascii="Times New Roman" w:hAnsi="Times New Roman" w:cs="Times New Roman"/>
                <w:b w:val="0"/>
                <w:bCs w:val="0"/>
                <w:i w:val="0"/>
                <w:iCs w:val="0"/>
                <w:noProof/>
                <w:webHidden/>
                <w:szCs w:val="24"/>
              </w:rPr>
              <w:fldChar w:fldCharType="end"/>
            </w:r>
          </w:hyperlink>
        </w:p>
        <w:p w14:paraId="63C47CDE" w14:textId="4458152A" w:rsidR="008B1D0B" w:rsidRPr="008B1D0B" w:rsidRDefault="00000000" w:rsidP="008B1D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40321874" w:history="1">
            <w:r w:rsidR="008B1D0B" w:rsidRPr="008B1D0B">
              <w:rPr>
                <w:rStyle w:val="Hyperlink"/>
                <w:rFonts w:ascii="Times New Roman" w:hAnsi="Times New Roman" w:cs="Times New Roman"/>
                <w:b w:val="0"/>
                <w:bCs w:val="0"/>
                <w:i w:val="0"/>
                <w:iCs w:val="0"/>
                <w:noProof/>
                <w:szCs w:val="24"/>
              </w:rPr>
              <w:t>Appendices</w:t>
            </w:r>
            <w:r w:rsidR="008B1D0B" w:rsidRPr="008B1D0B">
              <w:rPr>
                <w:rFonts w:ascii="Times New Roman" w:hAnsi="Times New Roman" w:cs="Times New Roman"/>
                <w:b w:val="0"/>
                <w:bCs w:val="0"/>
                <w:i w:val="0"/>
                <w:iCs w:val="0"/>
                <w:noProof/>
                <w:webHidden/>
                <w:szCs w:val="24"/>
              </w:rPr>
              <w:tab/>
            </w:r>
            <w:r w:rsidR="008B1D0B" w:rsidRPr="008B1D0B">
              <w:rPr>
                <w:rFonts w:ascii="Times New Roman" w:hAnsi="Times New Roman" w:cs="Times New Roman"/>
                <w:b w:val="0"/>
                <w:bCs w:val="0"/>
                <w:i w:val="0"/>
                <w:iCs w:val="0"/>
                <w:noProof/>
                <w:webHidden/>
                <w:szCs w:val="24"/>
              </w:rPr>
              <w:fldChar w:fldCharType="begin"/>
            </w:r>
            <w:r w:rsidR="008B1D0B" w:rsidRPr="008B1D0B">
              <w:rPr>
                <w:rFonts w:ascii="Times New Roman" w:hAnsi="Times New Roman" w:cs="Times New Roman"/>
                <w:b w:val="0"/>
                <w:bCs w:val="0"/>
                <w:i w:val="0"/>
                <w:iCs w:val="0"/>
                <w:noProof/>
                <w:webHidden/>
                <w:szCs w:val="24"/>
              </w:rPr>
              <w:instrText xml:space="preserve"> PAGEREF _Toc240321874 \h </w:instrText>
            </w:r>
            <w:r w:rsidR="008B1D0B" w:rsidRPr="008B1D0B">
              <w:rPr>
                <w:rFonts w:ascii="Times New Roman" w:hAnsi="Times New Roman" w:cs="Times New Roman"/>
                <w:b w:val="0"/>
                <w:bCs w:val="0"/>
                <w:i w:val="0"/>
                <w:iCs w:val="0"/>
                <w:noProof/>
                <w:webHidden/>
                <w:szCs w:val="24"/>
              </w:rPr>
            </w:r>
            <w:r w:rsidR="008B1D0B" w:rsidRPr="008B1D0B">
              <w:rPr>
                <w:rFonts w:ascii="Times New Roman" w:hAnsi="Times New Roman" w:cs="Times New Roman"/>
                <w:b w:val="0"/>
                <w:bCs w:val="0"/>
                <w:i w:val="0"/>
                <w:iCs w:val="0"/>
                <w:noProof/>
                <w:webHidden/>
                <w:szCs w:val="24"/>
              </w:rPr>
              <w:fldChar w:fldCharType="separate"/>
            </w:r>
            <w:r w:rsidR="008B1D0B" w:rsidRPr="008B1D0B">
              <w:rPr>
                <w:rFonts w:ascii="Times New Roman" w:hAnsi="Times New Roman" w:cs="Times New Roman"/>
                <w:b w:val="0"/>
                <w:bCs w:val="0"/>
                <w:i w:val="0"/>
                <w:iCs w:val="0"/>
                <w:noProof/>
                <w:webHidden/>
                <w:szCs w:val="24"/>
              </w:rPr>
              <w:t>63</w:t>
            </w:r>
            <w:r w:rsidR="008B1D0B" w:rsidRPr="008B1D0B">
              <w:rPr>
                <w:rFonts w:ascii="Times New Roman" w:hAnsi="Times New Roman" w:cs="Times New Roman"/>
                <w:b w:val="0"/>
                <w:bCs w:val="0"/>
                <w:i w:val="0"/>
                <w:iCs w:val="0"/>
                <w:noProof/>
                <w:webHidden/>
                <w:szCs w:val="24"/>
              </w:rPr>
              <w:fldChar w:fldCharType="end"/>
            </w:r>
          </w:hyperlink>
        </w:p>
        <w:p w14:paraId="03F74325" w14:textId="36945F4A"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5" w:history="1">
            <w:r w:rsidR="008B1D0B" w:rsidRPr="008B1D0B">
              <w:rPr>
                <w:rStyle w:val="Hyperlink"/>
                <w:rFonts w:ascii="Times New Roman" w:hAnsi="Times New Roman" w:cs="Times New Roman"/>
                <w:b w:val="0"/>
                <w:bCs w:val="0"/>
                <w:noProof/>
                <w:sz w:val="24"/>
                <w:szCs w:val="24"/>
              </w:rPr>
              <w:t>Appendix A: Variable Coding and Composite Construction</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_Toc240321875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63</w:t>
            </w:r>
            <w:r w:rsidR="008B1D0B" w:rsidRPr="008B1D0B">
              <w:rPr>
                <w:rFonts w:ascii="Times New Roman" w:hAnsi="Times New Roman" w:cs="Times New Roman"/>
                <w:b w:val="0"/>
                <w:bCs w:val="0"/>
                <w:noProof/>
                <w:webHidden/>
                <w:sz w:val="24"/>
                <w:szCs w:val="24"/>
              </w:rPr>
              <w:fldChar w:fldCharType="end"/>
            </w:r>
          </w:hyperlink>
        </w:p>
        <w:p w14:paraId="3FD78489" w14:textId="03393866"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6" w:history="1">
            <w:r w:rsidR="008B1D0B" w:rsidRPr="008B1D0B">
              <w:rPr>
                <w:rStyle w:val="Hyperlink"/>
                <w:rFonts w:ascii="Times New Roman" w:hAnsi="Times New Roman" w:cs="Times New Roman"/>
                <w:b w:val="0"/>
                <w:bCs w:val="0"/>
                <w:noProof/>
                <w:sz w:val="24"/>
                <w:szCs w:val="24"/>
              </w:rPr>
              <w:t>Appendix B: Statistical Analysis Audit Trail</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_Toc240321876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63</w:t>
            </w:r>
            <w:r w:rsidR="008B1D0B" w:rsidRPr="008B1D0B">
              <w:rPr>
                <w:rFonts w:ascii="Times New Roman" w:hAnsi="Times New Roman" w:cs="Times New Roman"/>
                <w:b w:val="0"/>
                <w:bCs w:val="0"/>
                <w:noProof/>
                <w:webHidden/>
                <w:sz w:val="24"/>
                <w:szCs w:val="24"/>
              </w:rPr>
              <w:fldChar w:fldCharType="end"/>
            </w:r>
          </w:hyperlink>
        </w:p>
        <w:p w14:paraId="4A04480C" w14:textId="5EE99105"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7" w:history="1">
            <w:r w:rsidR="008B1D0B" w:rsidRPr="008B1D0B">
              <w:rPr>
                <w:rStyle w:val="Hyperlink"/>
                <w:rFonts w:ascii="Times New Roman" w:hAnsi="Times New Roman" w:cs="Times New Roman"/>
                <w:b w:val="0"/>
                <w:bCs w:val="0"/>
                <w:noProof/>
                <w:sz w:val="24"/>
                <w:szCs w:val="24"/>
              </w:rPr>
              <w:t>Appendix C: Supplementary Item Statistics</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_Toc240321877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64</w:t>
            </w:r>
            <w:r w:rsidR="008B1D0B" w:rsidRPr="008B1D0B">
              <w:rPr>
                <w:rFonts w:ascii="Times New Roman" w:hAnsi="Times New Roman" w:cs="Times New Roman"/>
                <w:b w:val="0"/>
                <w:bCs w:val="0"/>
                <w:noProof/>
                <w:webHidden/>
                <w:sz w:val="24"/>
                <w:szCs w:val="24"/>
              </w:rPr>
              <w:fldChar w:fldCharType="end"/>
            </w:r>
          </w:hyperlink>
        </w:p>
        <w:p w14:paraId="214CCAC1" w14:textId="7BE2A4C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8" w:history="1">
            <w:r w:rsidR="008B1D0B" w:rsidRPr="008B1D0B">
              <w:rPr>
                <w:rStyle w:val="Hyperlink"/>
                <w:rFonts w:ascii="Times New Roman" w:hAnsi="Times New Roman" w:cs="Times New Roman"/>
                <w:b w:val="0"/>
                <w:bCs w:val="0"/>
                <w:noProof/>
                <w:sz w:val="24"/>
                <w:szCs w:val="24"/>
              </w:rPr>
              <w:t>Appendix D: Data Evidence</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_Toc240321878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66</w:t>
            </w:r>
            <w:r w:rsidR="008B1D0B" w:rsidRPr="008B1D0B">
              <w:rPr>
                <w:rFonts w:ascii="Times New Roman" w:hAnsi="Times New Roman" w:cs="Times New Roman"/>
                <w:b w:val="0"/>
                <w:bCs w:val="0"/>
                <w:noProof/>
                <w:webHidden/>
                <w:sz w:val="24"/>
                <w:szCs w:val="24"/>
              </w:rPr>
              <w:fldChar w:fldCharType="end"/>
            </w:r>
          </w:hyperlink>
        </w:p>
        <w:p w14:paraId="1A0B1227" w14:textId="04F95A57" w:rsidR="008B1D0B" w:rsidRPr="008B1D0B" w:rsidRDefault="00000000" w:rsidP="008B1D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40321879" w:history="1">
            <w:r w:rsidR="008B1D0B" w:rsidRPr="008B1D0B">
              <w:rPr>
                <w:rStyle w:val="Hyperlink"/>
                <w:rFonts w:ascii="Times New Roman" w:hAnsi="Times New Roman" w:cs="Times New Roman"/>
                <w:b w:val="0"/>
                <w:bCs w:val="0"/>
                <w:noProof/>
                <w:sz w:val="24"/>
                <w:szCs w:val="24"/>
              </w:rPr>
              <w:t>Appendix E: Literature Review Matrix</w:t>
            </w:r>
            <w:r w:rsidR="008B1D0B" w:rsidRPr="008B1D0B">
              <w:rPr>
                <w:rFonts w:ascii="Times New Roman" w:hAnsi="Times New Roman" w:cs="Times New Roman"/>
                <w:b w:val="0"/>
                <w:bCs w:val="0"/>
                <w:noProof/>
                <w:webHidden/>
                <w:sz w:val="24"/>
                <w:szCs w:val="24"/>
              </w:rPr>
              <w:tab/>
            </w:r>
            <w:r w:rsidR="008B1D0B" w:rsidRPr="008B1D0B">
              <w:rPr>
                <w:rFonts w:ascii="Times New Roman" w:hAnsi="Times New Roman" w:cs="Times New Roman"/>
                <w:b w:val="0"/>
                <w:bCs w:val="0"/>
                <w:noProof/>
                <w:webHidden/>
                <w:sz w:val="24"/>
                <w:szCs w:val="24"/>
              </w:rPr>
              <w:fldChar w:fldCharType="begin"/>
            </w:r>
            <w:r w:rsidR="008B1D0B" w:rsidRPr="008B1D0B">
              <w:rPr>
                <w:rFonts w:ascii="Times New Roman" w:hAnsi="Times New Roman" w:cs="Times New Roman"/>
                <w:b w:val="0"/>
                <w:bCs w:val="0"/>
                <w:noProof/>
                <w:webHidden/>
                <w:sz w:val="24"/>
                <w:szCs w:val="24"/>
              </w:rPr>
              <w:instrText xml:space="preserve"> PAGEREF _Toc240321879 \h </w:instrText>
            </w:r>
            <w:r w:rsidR="008B1D0B" w:rsidRPr="008B1D0B">
              <w:rPr>
                <w:rFonts w:ascii="Times New Roman" w:hAnsi="Times New Roman" w:cs="Times New Roman"/>
                <w:b w:val="0"/>
                <w:bCs w:val="0"/>
                <w:noProof/>
                <w:webHidden/>
                <w:sz w:val="24"/>
                <w:szCs w:val="24"/>
              </w:rPr>
            </w:r>
            <w:r w:rsidR="008B1D0B" w:rsidRPr="008B1D0B">
              <w:rPr>
                <w:rFonts w:ascii="Times New Roman" w:hAnsi="Times New Roman" w:cs="Times New Roman"/>
                <w:b w:val="0"/>
                <w:bCs w:val="0"/>
                <w:noProof/>
                <w:webHidden/>
                <w:sz w:val="24"/>
                <w:szCs w:val="24"/>
              </w:rPr>
              <w:fldChar w:fldCharType="separate"/>
            </w:r>
            <w:r w:rsidR="008B1D0B" w:rsidRPr="008B1D0B">
              <w:rPr>
                <w:rFonts w:ascii="Times New Roman" w:hAnsi="Times New Roman" w:cs="Times New Roman"/>
                <w:b w:val="0"/>
                <w:bCs w:val="0"/>
                <w:noProof/>
                <w:webHidden/>
                <w:sz w:val="24"/>
                <w:szCs w:val="24"/>
              </w:rPr>
              <w:t>73</w:t>
            </w:r>
            <w:r w:rsidR="008B1D0B" w:rsidRPr="008B1D0B">
              <w:rPr>
                <w:rFonts w:ascii="Times New Roman" w:hAnsi="Times New Roman" w:cs="Times New Roman"/>
                <w:b w:val="0"/>
                <w:bCs w:val="0"/>
                <w:noProof/>
                <w:webHidden/>
                <w:sz w:val="24"/>
                <w:szCs w:val="24"/>
              </w:rPr>
              <w:fldChar w:fldCharType="end"/>
            </w:r>
          </w:hyperlink>
        </w:p>
        <w:p w14:paraId="2163B371" w14:textId="77777777" w:rsidR="008B1D0B" w:rsidRDefault="00850973" w:rsidP="008B1D0B">
          <w:pPr>
            <w:rPr>
              <w:bCs/>
              <w:noProof/>
            </w:rPr>
          </w:pPr>
          <w:r w:rsidRPr="008B1D0B">
            <w:rPr>
              <w:noProof/>
              <w:szCs w:val="24"/>
            </w:rPr>
            <w:fldChar w:fldCharType="end"/>
          </w:r>
        </w:p>
      </w:sdtContent>
    </w:sdt>
    <w:p w14:paraId="37D74C25" w14:textId="47C9BCFB" w:rsidR="00EF3270" w:rsidRPr="001760EA" w:rsidRDefault="00EF3270" w:rsidP="00EF3270">
      <w:r w:rsidRPr="001760EA">
        <w:br w:type="page"/>
      </w:r>
    </w:p>
    <w:p w14:paraId="44F4AA76" w14:textId="25CB4D1F" w:rsidR="00781CA1" w:rsidRPr="00781CA1" w:rsidRDefault="00781CA1" w:rsidP="00781CA1">
      <w:pPr>
        <w:pStyle w:val="Heading1"/>
        <w:rPr>
          <w:rFonts w:cs="Times New Roman"/>
        </w:rPr>
      </w:pPr>
      <w:bookmarkStart w:id="4" w:name="_Toc240321801"/>
      <w:r w:rsidRPr="001760EA">
        <w:lastRenderedPageBreak/>
        <w:t xml:space="preserve">Chapter </w:t>
      </w:r>
      <w:r w:rsidR="00D37BAE">
        <w:rPr>
          <w:lang w:val="en-US"/>
        </w:rPr>
        <w:t>One</w:t>
      </w:r>
      <w:r w:rsidRPr="001760EA">
        <w:t>: Introduction</w:t>
      </w:r>
      <w:bookmarkEnd w:id="4"/>
    </w:p>
    <w:p w14:paraId="407BDE99" w14:textId="77777777" w:rsidR="00D655AD" w:rsidRDefault="00D655AD" w:rsidP="008B1D0B">
      <w:pPr>
        <w:pStyle w:val="Heading2"/>
      </w:pPr>
      <w:bookmarkStart w:id="5" w:name="_Toc240321802"/>
      <w:r>
        <w:t>1.1 Introduction</w:t>
      </w:r>
      <w:bookmarkEnd w:id="5"/>
    </w:p>
    <w:p w14:paraId="6B1763AE" w14:textId="77777777" w:rsidR="00D655AD" w:rsidRDefault="00D655AD" w:rsidP="00D655AD">
      <w:r w:rsidRPr="00796015">
        <w:t>Employment rights entail minimum requirements which affect the working relationship between workers and employers</w:t>
      </w:r>
      <w:r>
        <w:t>,</w:t>
      </w:r>
      <w:r w:rsidRPr="00796015">
        <w:t xml:space="preserve"> such as provisions for minimum pay, annual leave, sick pay, working time, protection from discrimination, grievance procedure</w:t>
      </w:r>
      <w:r>
        <w:t>s</w:t>
      </w:r>
      <w:r w:rsidRPr="00796015">
        <w:t>, dismissal</w:t>
      </w:r>
      <w:r>
        <w:t>,</w:t>
      </w:r>
      <w:r w:rsidRPr="00796015">
        <w:t xml:space="preserve"> etc. But for workers, having a right does not equal knowing, understanding, and/or feeling comfortable using the right in practice</w:t>
      </w:r>
      <w:r>
        <w:t xml:space="preserve"> </w:t>
      </w:r>
      <w:r w:rsidRPr="00BF2102">
        <w:t>(Papadopoulos, Lopez‐Andreu and Jamalian, 2021)</w:t>
      </w:r>
      <w:r w:rsidRPr="00796015">
        <w:t xml:space="preserve">. This distinction is particularly relevant to the UK retail industry, where many people work shifts and are employed in part-time, customer-facing roles that are very flexible. Knowledge of employment rights can assist employees in determining whether they are </w:t>
      </w:r>
      <w:r>
        <w:t>treated consistentl</w:t>
      </w:r>
      <w:r w:rsidRPr="00796015">
        <w:t>y, lawful</w:t>
      </w:r>
      <w:r>
        <w:t>ly,</w:t>
      </w:r>
      <w:r w:rsidRPr="00796015">
        <w:t xml:space="preserve"> and fair</w:t>
      </w:r>
      <w:r>
        <w:t>ly</w:t>
      </w:r>
      <w:r w:rsidRPr="00796015">
        <w:t xml:space="preserve"> in employment decisions and managerial practices. This dissertation looks into the links between awareness of employment rights and organisational commitment for employees in the UK retail sector, where organisational justice acts as a mediator</w:t>
      </w:r>
      <w:r>
        <w:t xml:space="preserve"> </w:t>
      </w:r>
      <w:r w:rsidRPr="00BF2102">
        <w:t>(Díaz‐Linhart, Kochan, Minster, Park and Yang, 2025)</w:t>
      </w:r>
      <w:r w:rsidRPr="00796015">
        <w:t xml:space="preserve">. Organisational justice has to do with an employee's experience of fairness in terms of the outcomes, procedures, interpersonal treatment, and explanations that management provides. Organisational commitment is </w:t>
      </w:r>
      <w:r>
        <w:t xml:space="preserve">the </w:t>
      </w:r>
      <w:r w:rsidRPr="00796015">
        <w:t>psychological connection between employees and their organi</w:t>
      </w:r>
      <w:r>
        <w:t>s</w:t>
      </w:r>
      <w:r w:rsidRPr="00796015">
        <w:t xml:space="preserve">ations in terms of attachment, belonging, obligation and perceived </w:t>
      </w:r>
      <w:r>
        <w:t>reasons</w:t>
      </w:r>
      <w:r w:rsidRPr="00796015">
        <w:t xml:space="preserve"> </w:t>
      </w:r>
      <w:r>
        <w:t>to stay</w:t>
      </w:r>
      <w:r w:rsidRPr="00796015">
        <w:t>. The study thus provides a more direct link between a legal/employment relations topic and an organisational-behaviour outcome</w:t>
      </w:r>
      <w:r>
        <w:t xml:space="preserve"> </w:t>
      </w:r>
      <w:r w:rsidRPr="00BF2102">
        <w:t>(Badru, Karadaş and Olugbade, 2024)</w:t>
      </w:r>
      <w:r w:rsidRPr="00796015">
        <w:t>. Its core concept is that knowledge of rights does not necessarily lead to commitment; employees may process their knowledge in light of their sense of fairness at work. This chapter provides the background information of the study, problem statement, scope, methodological outline, significance and overall dissertation structure</w:t>
      </w:r>
      <w:r>
        <w:t>.</w:t>
      </w:r>
    </w:p>
    <w:p w14:paraId="7B57EAB7" w14:textId="77777777" w:rsidR="00D655AD" w:rsidRDefault="00D655AD" w:rsidP="008B1D0B">
      <w:pPr>
        <w:pStyle w:val="Heading2"/>
      </w:pPr>
      <w:bookmarkStart w:id="6" w:name="_Toc240321803"/>
      <w:r>
        <w:t>1.2 Background Study</w:t>
      </w:r>
      <w:bookmarkEnd w:id="6"/>
    </w:p>
    <w:p w14:paraId="76D46CE2" w14:textId="77777777" w:rsidR="00D655AD" w:rsidRDefault="00D655AD" w:rsidP="00D655AD">
      <w:pPr>
        <w:ind w:firstLine="432"/>
      </w:pPr>
      <w:r>
        <w:t xml:space="preserve">Employment rights are designed to safeguard workers and to establish minimum standards of rights. The value of this may be limited if workers are not aware of their rights or how to enforce them. As noted by </w:t>
      </w:r>
      <w:r w:rsidRPr="00BF2102">
        <w:t>Ahmad and Raja</w:t>
      </w:r>
      <w:r>
        <w:t xml:space="preserve"> (2021), employment rights in labour-intensive services are not effectively protected in practice due to limited awareness and challenges to enforcement. </w:t>
      </w:r>
      <w:r w:rsidRPr="00BF2102">
        <w:t>Murray and Holmes</w:t>
      </w:r>
      <w:r>
        <w:t xml:space="preserve"> (2021) also demonstrate that it is not just the formal regulation itself that increases the effectiveness of employment rights enforcement, but rather the institutional capacity by which they are enforced. Those same concerns apply to retail, as </w:t>
      </w:r>
      <w:r>
        <w:lastRenderedPageBreak/>
        <w:t>it has a great number of employees who may work irregular schedules, have small wages, and not have much leverage or power over line managers.</w:t>
      </w:r>
    </w:p>
    <w:p w14:paraId="4E62046D" w14:textId="77777777" w:rsidR="00D655AD" w:rsidRDefault="00D655AD" w:rsidP="00D655AD">
      <w:r>
        <w:t xml:space="preserve">Another environment where the legal rights are becoming apparent in day-to-day management choices is in the retail employment place. Pay, holidays, sickness absence, rotas, periods of rest, handling of grievances and disciplinary decisions are experienced in organisational procedures, not simply in the act of legislation. When employees are aware of their rights, they have a standard to apply in assessing practice in the workplace. As </w:t>
      </w:r>
      <w:r w:rsidRPr="00BF2102">
        <w:t>Sainju, Hartwell and Edwards</w:t>
      </w:r>
      <w:r>
        <w:t xml:space="preserve"> (</w:t>
      </w:r>
      <w:r w:rsidRPr="00BF2102">
        <w:t>2021)</w:t>
      </w:r>
      <w:r>
        <w:t xml:space="preserve"> also state, formal rights need to be meaningful, but this means the worker needs to be able to use them. The institutional context and internal conditions in the organisation influence employee voice. The concept of organisational justice can be of help in understanding this evaluative process. There are four types of justice in research: distributive justice on the fairness of results; procedural justice on the fairness and consistency of decision processes; interpersonal justice on dignity and respect. And informational justice on the adequacy and truthfulness of explanations </w:t>
      </w:r>
      <w:r w:rsidRPr="00BF2102">
        <w:t>Fernández-Kranz</w:t>
      </w:r>
      <w:r>
        <w:t xml:space="preserve"> and</w:t>
      </w:r>
      <w:r w:rsidRPr="00BF2102">
        <w:t xml:space="preserve"> Rodríguez-Planas (2021)</w:t>
      </w:r>
      <w:r>
        <w:t>. For those employed in retail, these dimensions can take the form of the perception of fair pay, equitable workloads, consistent rules, opportunities to raise concerns, fair grievance processes, engaging treatment, and correct information about employers' rules and policies. Workplace inequality and job quality matter to the employee's sense of justice, and they go on to explain how.</w:t>
      </w:r>
    </w:p>
    <w:p w14:paraId="215099D9" w14:textId="77777777" w:rsidR="00D655AD" w:rsidRDefault="00D655AD" w:rsidP="00D655AD">
      <w:r>
        <w:t xml:space="preserve">But commitment does not simply mean further working life. An employee may have a reason to stay that might be related to emotional ties. They felt they should stay, or it might be too expensive to walk out the door. Employee attitudes to a psychological contract and how these attitudes relate to psychological contract theory are explained. Commitment can be reinforced when the demands and promises that workers anticipate are being met, but it can be lost or weakened when there is either a breach or a mismatch </w:t>
      </w:r>
      <w:r w:rsidRPr="00BF2102">
        <w:t>(Zhang, Zhang and Zhou, 2021)</w:t>
      </w:r>
      <w:r>
        <w:t>. Social exchange theory may make a complementary contribution to this effect: Just treatment and respect may lead to counterproductive employees' reactions in the form of increased commitment. These views combine to indicate that organisational justice might relate to organisational commitment through rights awareness.</w:t>
      </w:r>
    </w:p>
    <w:p w14:paraId="2C2AE1EA" w14:textId="77777777" w:rsidR="00D655AD" w:rsidRDefault="00D655AD" w:rsidP="008B1D0B">
      <w:pPr>
        <w:pStyle w:val="Heading2"/>
      </w:pPr>
      <w:bookmarkStart w:id="7" w:name="_Toc240321804"/>
      <w:r>
        <w:lastRenderedPageBreak/>
        <w:t>1.3 Problem Statement</w:t>
      </w:r>
      <w:bookmarkEnd w:id="7"/>
    </w:p>
    <w:p w14:paraId="04299DCF" w14:textId="77777777" w:rsidR="00D655AD" w:rsidRDefault="00D655AD" w:rsidP="00D655AD">
      <w:r>
        <w:t xml:space="preserve">The issue of awareness about employment rights and organisational commitment are viewed as distinct. Typically, employment rights are an aspect of "law and regulation and compliance", and organisational commitment is an aspect of "human-resource or organisational-behaviour" </w:t>
      </w:r>
      <w:r w:rsidRPr="00BF2102">
        <w:t>(Gallie, Felstead, Green and Henseke, 2021)</w:t>
      </w:r>
      <w:r>
        <w:t>. A serious practical and theoretical issue this separation fails to take into account is: Does an employee's knowledge about their rights relate to their commitment to the organisation they experience those rights in?</w:t>
      </w:r>
    </w:p>
    <w:p w14:paraId="4B97D2D5" w14:textId="319E1C5F" w:rsidR="00D655AD" w:rsidRDefault="00D655AD" w:rsidP="00D655AD">
      <w:r>
        <w:t xml:space="preserve">Research in the literature is relevant in terms of employee voice, job quality, psychological contract fulfilment, organisational justice and commitment. There is little direct evidence which has focused on examining employment rights awareness, organisational justice and organisational commitment together amongst UK retail employees. The connection also is barely likely to be positive automatically </w:t>
      </w:r>
      <w:r w:rsidRPr="00BF2102">
        <w:t>(Gallie, Felstead, Green and Henseke, 2021)</w:t>
      </w:r>
      <w:r>
        <w:t xml:space="preserve">. So, increased awareness can help reinforce the fact that an employer is handling the situation fairly, but it can also reveal any inconsistencies, lack of access, or felt violations. This dissertation thus seeks to fill an evidence gap by examining the research problem within the context of the </w:t>
      </w:r>
      <w:r w:rsidR="000C6B24" w:rsidRPr="000C6B24">
        <w:t>UK retail secto</w:t>
      </w:r>
      <w:r>
        <w:t>r. It examines the relationships between employment rights awareness and both affective and continuance commitment to the organisation amongst paid employees in the UK retail sector, and introduces the study of the impact of organisational justice as one explanation for these relationships.</w:t>
      </w:r>
    </w:p>
    <w:p w14:paraId="1A801DE8" w14:textId="77777777" w:rsidR="00D655AD" w:rsidRDefault="00D655AD" w:rsidP="008B1D0B">
      <w:pPr>
        <w:pStyle w:val="Heading2"/>
      </w:pPr>
      <w:bookmarkStart w:id="8" w:name="_Toc240321805"/>
      <w:r>
        <w:t>1.4 Scope of the Study</w:t>
      </w:r>
      <w:bookmarkEnd w:id="8"/>
    </w:p>
    <w:p w14:paraId="40080FAB" w14:textId="77777777" w:rsidR="00D655AD" w:rsidRDefault="00D655AD" w:rsidP="00D655AD">
      <w:r w:rsidRPr="00796015">
        <w:t xml:space="preserve">The study is based on current employees in </w:t>
      </w:r>
      <w:r>
        <w:t xml:space="preserve">the </w:t>
      </w:r>
      <w:r w:rsidRPr="00796015">
        <w:t xml:space="preserve">retail industry in </w:t>
      </w:r>
      <w:r>
        <w:t xml:space="preserve">the </w:t>
      </w:r>
      <w:r w:rsidRPr="00796015">
        <w:t>United Kingdom. It explores 3 constructs</w:t>
      </w:r>
      <w:r>
        <w:t>,</w:t>
      </w:r>
      <w:r w:rsidRPr="00796015">
        <w:t xml:space="preserve"> which </w:t>
      </w:r>
      <w:r>
        <w:t>ar</w:t>
      </w:r>
      <w:r w:rsidRPr="00796015">
        <w:t xml:space="preserve">e employment rights awareness as </w:t>
      </w:r>
      <w:r>
        <w:t xml:space="preserve">an </w:t>
      </w:r>
      <w:r w:rsidRPr="00796015">
        <w:t>independent variable, organisational justice as a mediating variable, and organisational Commitment as a dependent variable. Employment rights awareness includes understanding of minimum wage, paid annual leave, statutory sick pay, working hours and rest, protection from discrimination and formal grievance procedures and dismissal/ redundancy rights</w:t>
      </w:r>
      <w:r>
        <w:t xml:space="preserve"> </w:t>
      </w:r>
      <w:r w:rsidRPr="00BF2102">
        <w:t>(Mustchin and Martínez Lucio, 2020)</w:t>
      </w:r>
      <w:r w:rsidRPr="00796015">
        <w:t>. Organisational justice relates to features like fairness of payment and rewards, shifts and leave, uniformity of rules, asking employees for opinions, handling complaints, respecting employee dignity, giving reasons and providing information about policies. Organisational commitment relates to emotional attachment, belonging, pride, reluctance to leave, obligation to stay and perceived costs or difficulty of leaving.</w:t>
      </w:r>
    </w:p>
    <w:p w14:paraId="104DEA6A" w14:textId="77777777" w:rsidR="00D655AD" w:rsidRPr="00D42DC4" w:rsidRDefault="00D655AD" w:rsidP="008B1D0B">
      <w:pPr>
        <w:pStyle w:val="Heading3"/>
      </w:pPr>
      <w:bookmarkStart w:id="9" w:name="_Toc240321806"/>
      <w:r w:rsidRPr="00D42DC4">
        <w:lastRenderedPageBreak/>
        <w:t>Research Aim</w:t>
      </w:r>
      <w:bookmarkEnd w:id="9"/>
    </w:p>
    <w:p w14:paraId="1826AF70" w14:textId="77777777" w:rsidR="00D655AD" w:rsidRDefault="00D655AD" w:rsidP="00D655AD">
      <w:r>
        <w:t>This study aims to examine the relationship between employment rights awareness and organisational commitment among UK retail employees and to investigate the mediating role of organisational justice.</w:t>
      </w:r>
    </w:p>
    <w:p w14:paraId="1F2527BE" w14:textId="77777777" w:rsidR="00D655AD" w:rsidRPr="00D42DC4" w:rsidRDefault="00D655AD" w:rsidP="008B1D0B">
      <w:pPr>
        <w:pStyle w:val="Heading3"/>
      </w:pPr>
      <w:bookmarkStart w:id="10" w:name="_Toc240321807"/>
      <w:r w:rsidRPr="00D42DC4">
        <w:t>Research Objectives</w:t>
      </w:r>
      <w:bookmarkEnd w:id="10"/>
    </w:p>
    <w:p w14:paraId="6F726582" w14:textId="77777777" w:rsidR="00D655AD" w:rsidRDefault="00D655AD" w:rsidP="00D655AD">
      <w:pPr>
        <w:pStyle w:val="ListParagraph"/>
        <w:numPr>
          <w:ilvl w:val="0"/>
          <w:numId w:val="43"/>
        </w:numPr>
        <w:spacing w:after="120"/>
      </w:pPr>
      <w:r>
        <w:t>To assess the levels of employment rights awareness, organisational justice and organisational commitment among UK retail employees.</w:t>
      </w:r>
    </w:p>
    <w:p w14:paraId="12AD22FE" w14:textId="77777777" w:rsidR="00D655AD" w:rsidRDefault="00D655AD" w:rsidP="00D655AD">
      <w:pPr>
        <w:pStyle w:val="ListParagraph"/>
        <w:numPr>
          <w:ilvl w:val="0"/>
          <w:numId w:val="43"/>
        </w:numPr>
        <w:spacing w:after="120"/>
      </w:pPr>
      <w:r>
        <w:t>To examine the relationships among employment rights awareness, organisational justice and organisational commitment among UK retail employees.</w:t>
      </w:r>
    </w:p>
    <w:p w14:paraId="5F0666E3" w14:textId="0E95E821" w:rsidR="00D655AD" w:rsidRDefault="00D655AD" w:rsidP="00D655AD">
      <w:pPr>
        <w:pStyle w:val="ListParagraph"/>
        <w:numPr>
          <w:ilvl w:val="0"/>
          <w:numId w:val="43"/>
        </w:numPr>
        <w:spacing w:after="120"/>
      </w:pPr>
      <w:r>
        <w:t>To determine whether organisational justice mediates the relationship between employment rights awareness and organisational commitment among UK retail employees.</w:t>
      </w:r>
    </w:p>
    <w:p w14:paraId="13A5FA18" w14:textId="77777777" w:rsidR="00D655AD" w:rsidRPr="00D42DC4" w:rsidRDefault="00D655AD" w:rsidP="008B1D0B">
      <w:pPr>
        <w:pStyle w:val="Heading3"/>
      </w:pPr>
      <w:bookmarkStart w:id="11" w:name="_Toc240321808"/>
      <w:r w:rsidRPr="00D42DC4">
        <w:t>Main Research Question</w:t>
      </w:r>
      <w:bookmarkEnd w:id="11"/>
    </w:p>
    <w:p w14:paraId="61782636" w14:textId="77777777" w:rsidR="00D655AD" w:rsidRDefault="00D655AD" w:rsidP="00D655AD">
      <w:r>
        <w:t>What is the relationship among employment rights awareness, organisational justice and organisational commitment among UK retail employees?</w:t>
      </w:r>
    </w:p>
    <w:p w14:paraId="595EC7FF" w14:textId="45BBEE84" w:rsidR="00D655AD" w:rsidRPr="00D42DC4" w:rsidRDefault="00D655AD" w:rsidP="00D655AD">
      <w:pPr>
        <w:rPr>
          <w:b/>
          <w:bCs/>
        </w:rPr>
      </w:pPr>
      <w:r w:rsidRPr="00D42DC4">
        <w:rPr>
          <w:b/>
          <w:bCs/>
        </w:rPr>
        <w:t>Sub</w:t>
      </w:r>
      <w:r w:rsidR="008B1D0B">
        <w:rPr>
          <w:b/>
          <w:bCs/>
        </w:rPr>
        <w:t>-</w:t>
      </w:r>
      <w:r w:rsidRPr="00D42DC4">
        <w:rPr>
          <w:b/>
          <w:bCs/>
        </w:rPr>
        <w:t>questions</w:t>
      </w:r>
      <w:r>
        <w:rPr>
          <w:b/>
          <w:bCs/>
        </w:rPr>
        <w:t>:</w:t>
      </w:r>
    </w:p>
    <w:p w14:paraId="242B6E6F" w14:textId="77777777" w:rsidR="00D655AD" w:rsidRDefault="00D655AD" w:rsidP="00D655AD">
      <w:pPr>
        <w:pStyle w:val="ListParagraph"/>
        <w:numPr>
          <w:ilvl w:val="0"/>
          <w:numId w:val="42"/>
        </w:numPr>
        <w:spacing w:after="120"/>
      </w:pPr>
      <w:r>
        <w:t>What are the levels of employment rights awareness, organisational justice and organisational commitment among UK retail employees?</w:t>
      </w:r>
    </w:p>
    <w:p w14:paraId="31386846" w14:textId="77777777" w:rsidR="00D655AD" w:rsidRDefault="00D655AD" w:rsidP="00D655AD">
      <w:pPr>
        <w:pStyle w:val="ListParagraph"/>
        <w:numPr>
          <w:ilvl w:val="0"/>
          <w:numId w:val="42"/>
        </w:numPr>
        <w:spacing w:after="120"/>
      </w:pPr>
      <w:r>
        <w:t>What are the relationships between employment rights awareness and organisational justice, employment rights awareness and organisational commitment, and organisational justice and organisational commitment?</w:t>
      </w:r>
    </w:p>
    <w:p w14:paraId="5C051800" w14:textId="77777777" w:rsidR="00D655AD" w:rsidRDefault="00D655AD" w:rsidP="00D655AD">
      <w:pPr>
        <w:pStyle w:val="ListParagraph"/>
        <w:numPr>
          <w:ilvl w:val="0"/>
          <w:numId w:val="42"/>
        </w:numPr>
        <w:spacing w:after="120"/>
      </w:pPr>
      <w:r>
        <w:t>Does organisational justice mediate the relationship between employment rights awareness and organisational commitment among UK retail employees?</w:t>
      </w:r>
    </w:p>
    <w:p w14:paraId="4A769848" w14:textId="77777777" w:rsidR="00D655AD" w:rsidRPr="00D42DC4" w:rsidRDefault="00D655AD" w:rsidP="008B1D0B">
      <w:pPr>
        <w:pStyle w:val="Heading3"/>
      </w:pPr>
      <w:bookmarkStart w:id="12" w:name="_Toc240321809"/>
      <w:r w:rsidRPr="00D42DC4">
        <w:t>Research Hypotheses</w:t>
      </w:r>
      <w:bookmarkEnd w:id="12"/>
    </w:p>
    <w:p w14:paraId="42BCEBA8" w14:textId="77777777" w:rsidR="00D655AD" w:rsidRDefault="00D655AD" w:rsidP="00D655AD">
      <w:pPr>
        <w:pStyle w:val="ListParagraph"/>
        <w:numPr>
          <w:ilvl w:val="0"/>
          <w:numId w:val="44"/>
        </w:numPr>
        <w:spacing w:after="120"/>
      </w:pPr>
      <w:r w:rsidRPr="00D42DC4">
        <w:rPr>
          <w:b/>
          <w:bCs/>
        </w:rPr>
        <w:t>H1:</w:t>
      </w:r>
      <w:r>
        <w:t xml:space="preserve"> Employment rights awareness is positively associated with organisational justice.</w:t>
      </w:r>
    </w:p>
    <w:p w14:paraId="64A95C47" w14:textId="77777777" w:rsidR="00D655AD" w:rsidRDefault="00D655AD" w:rsidP="00D655AD">
      <w:pPr>
        <w:pStyle w:val="ListParagraph"/>
        <w:numPr>
          <w:ilvl w:val="0"/>
          <w:numId w:val="44"/>
        </w:numPr>
        <w:spacing w:after="120"/>
      </w:pPr>
      <w:r w:rsidRPr="00D42DC4">
        <w:rPr>
          <w:b/>
          <w:bCs/>
        </w:rPr>
        <w:t>H2:</w:t>
      </w:r>
      <w:r>
        <w:t xml:space="preserve"> Employment rights awareness is positively associated with organisational commitment.</w:t>
      </w:r>
    </w:p>
    <w:p w14:paraId="5045FE3D" w14:textId="77777777" w:rsidR="00D655AD" w:rsidRDefault="00D655AD" w:rsidP="00D655AD">
      <w:pPr>
        <w:pStyle w:val="ListParagraph"/>
        <w:numPr>
          <w:ilvl w:val="0"/>
          <w:numId w:val="44"/>
        </w:numPr>
        <w:spacing w:after="120"/>
      </w:pPr>
      <w:r w:rsidRPr="00D42DC4">
        <w:rPr>
          <w:b/>
          <w:bCs/>
        </w:rPr>
        <w:t>H3:</w:t>
      </w:r>
      <w:r>
        <w:t xml:space="preserve"> Organisational justice is positively associated with organisational commitment.</w:t>
      </w:r>
    </w:p>
    <w:p w14:paraId="283739F6" w14:textId="77777777" w:rsidR="00D655AD" w:rsidRDefault="00D655AD" w:rsidP="00D655AD">
      <w:pPr>
        <w:pStyle w:val="ListParagraph"/>
        <w:numPr>
          <w:ilvl w:val="0"/>
          <w:numId w:val="44"/>
        </w:numPr>
        <w:spacing w:after="120"/>
      </w:pPr>
      <w:r w:rsidRPr="00D42DC4">
        <w:rPr>
          <w:b/>
          <w:bCs/>
        </w:rPr>
        <w:t>H4:</w:t>
      </w:r>
      <w:r>
        <w:t xml:space="preserve"> Organisational justice mediates the relationship between employment rights awareness and organisational commitment.</w:t>
      </w:r>
    </w:p>
    <w:p w14:paraId="69B75700" w14:textId="77777777" w:rsidR="00D655AD" w:rsidRDefault="00D655AD" w:rsidP="008B1D0B">
      <w:pPr>
        <w:pStyle w:val="Heading2"/>
      </w:pPr>
      <w:bookmarkStart w:id="13" w:name="_Toc240321810"/>
      <w:r>
        <w:lastRenderedPageBreak/>
        <w:t xml:space="preserve">1.5 Outline of the </w:t>
      </w:r>
      <w:r w:rsidRPr="008B1D0B">
        <w:t>Methodology</w:t>
      </w:r>
      <w:bookmarkEnd w:id="13"/>
    </w:p>
    <w:p w14:paraId="39918387" w14:textId="77777777" w:rsidR="00D655AD" w:rsidRDefault="00D655AD" w:rsidP="00D655AD">
      <w:r w:rsidRPr="00796015">
        <w:t>The study philosophy is positivist</w:t>
      </w:r>
      <w:r>
        <w:t>,</w:t>
      </w:r>
      <w:r w:rsidRPr="00796015">
        <w:t xml:space="preserve"> and the approach is deductive, which is done by testing the relationships that have been informed by theory using measurable variables and structured quantitative data. The time horizon of the study is cross</w:t>
      </w:r>
      <w:r>
        <w:t>-sectional,</w:t>
      </w:r>
      <w:r w:rsidRPr="00796015">
        <w:t xml:space="preserve"> and the method of research is </w:t>
      </w:r>
      <w:r>
        <w:t xml:space="preserve">a </w:t>
      </w:r>
      <w:r w:rsidRPr="00796015">
        <w:t xml:space="preserve">quantitative survey, employing </w:t>
      </w:r>
      <w:r>
        <w:t xml:space="preserve">a </w:t>
      </w:r>
      <w:r w:rsidRPr="00796015">
        <w:t>mono-method</w:t>
      </w:r>
      <w:r>
        <w:t xml:space="preserve"> </w:t>
      </w:r>
      <w:r w:rsidRPr="00BF2102">
        <w:t>(Liang and Yeh, 2020)</w:t>
      </w:r>
      <w:r w:rsidRPr="00796015">
        <w:t>. Convenience sampling and network sampling were used</w:t>
      </w:r>
      <w:r>
        <w:t>,</w:t>
      </w:r>
      <w:r w:rsidRPr="00796015">
        <w:t xml:space="preserve"> and 75 UK retail workers completed an anonymous online questionnaire to provide primary data. There was no request for identifying information (names, individual personal email addresses, employer names</w:t>
      </w:r>
      <w:r>
        <w:t>,</w:t>
      </w:r>
      <w:r w:rsidRPr="00796015">
        <w:t xml:space="preserve"> etc.), participation was voluntary and informed consent was obtained. Five</w:t>
      </w:r>
      <w:r>
        <w:t>-point</w:t>
      </w:r>
      <w:r w:rsidRPr="00796015">
        <w:t xml:space="preserve"> Likert-type items were used to assess three main constructs. The seven items used to measure employment rights awareness, the eight items used to measure organisational justice and the eight items used to measure organisational commitment. After screening data and establishing reliability, scores were computed as the mean of the scores for the appropriate items</w:t>
      </w:r>
      <w:r>
        <w:t xml:space="preserve"> </w:t>
      </w:r>
      <w:r w:rsidRPr="00BF2102">
        <w:t>(Liang and Yeh, 2020)</w:t>
      </w:r>
      <w:r w:rsidRPr="00796015">
        <w:t xml:space="preserve">. Descriptive statistics, Cronbach's alpha, an assumption and influence check, Pearson correlation, ordinary least squares regression, </w:t>
      </w:r>
      <w:r>
        <w:t xml:space="preserve">and </w:t>
      </w:r>
      <w:r w:rsidRPr="00796015">
        <w:t>regression-based mediation analysis w</w:t>
      </w:r>
      <w:r>
        <w:t>ere</w:t>
      </w:r>
      <w:r w:rsidRPr="00796015">
        <w:t xml:space="preserve"> performed. The indirect effect was tested using a 95 per cent confidence interval for 5000 bootstrap resamples. All variables were collected simultaneously, so this is an association</w:t>
      </w:r>
      <w:r>
        <w:t>,</w:t>
      </w:r>
      <w:r w:rsidRPr="00796015">
        <w:t xml:space="preserve"> not necessarily a temporal effect or causal relationship</w:t>
      </w:r>
      <w:r>
        <w:t>.</w:t>
      </w:r>
    </w:p>
    <w:p w14:paraId="1E6F946F" w14:textId="77777777" w:rsidR="00D655AD" w:rsidRDefault="00D655AD" w:rsidP="008B1D0B">
      <w:pPr>
        <w:pStyle w:val="Heading2"/>
      </w:pPr>
      <w:bookmarkStart w:id="14" w:name="_Toc240321811"/>
      <w:r>
        <w:t>1.6 Significance of the Study</w:t>
      </w:r>
      <w:bookmarkEnd w:id="14"/>
    </w:p>
    <w:p w14:paraId="399E1741" w14:textId="77777777" w:rsidR="00D655AD" w:rsidRDefault="00D655AD" w:rsidP="00D655AD">
      <w:r>
        <w:t xml:space="preserve">This research is important as it combines two different domains – “employment rights awareness” and “organisational behaviour” – in one empirical model. This boosts employment studies of the present day. This integration is especially important in the retail sector, where it often happens that issues of employment standards, line-management decisions and employee attitudes overlap, with fairness relevant in day-to-day operations and not just a compliance issue </w:t>
      </w:r>
      <w:r w:rsidRPr="00BF2102">
        <w:t>(Tedone and Bruk-Lee, 2022)</w:t>
      </w:r>
      <w:r>
        <w:t>. In terms of academics, it fills the gap between studies that emphasise the legal and regulatory aspects of employment rights and studies that emphasise attitudes toward the workplace and human-resource practices and explain commitment. Having organisational justice as the mediator is theoretically appropriate as it's a way to link these fields, and the concept of social exchange and psychological contract processes can be extended to UK retail employment.</w:t>
      </w:r>
    </w:p>
    <w:p w14:paraId="0F765AFF" w14:textId="7042F189" w:rsidR="00EF3270" w:rsidRPr="00BF2102" w:rsidRDefault="00D655AD" w:rsidP="00EF3270">
      <w:r>
        <w:lastRenderedPageBreak/>
        <w:t xml:space="preserve">The study is also useful for those who employ people in retail stores and those who manage those stores. Formal statements regarding legal rights may be inadequate to reinforce employee engagement if the day-to-day decisions regarding pay, schedules, leave, grievances, or treatment are felt unfair to the employee </w:t>
      </w:r>
      <w:r w:rsidRPr="00BF2102">
        <w:t>(Anner, 2020)</w:t>
      </w:r>
      <w:r>
        <w:t xml:space="preserve">. So, the effective communication of rights must go hand-in-hand with regular methods, clear explanations, and respectful engagement and opportunities for employee voice. The study highlights that understanding and awareness of rights offer empowering ground for judging the treatment in the workplace for employees. It brings to the fore the dichotomy between formal entitlements and tangible rights in the real world for the eyes of policy makers and employment-relations practitioners </w:t>
      </w:r>
      <w:r w:rsidRPr="00BF2102">
        <w:t>(Anner, 2020)</w:t>
      </w:r>
      <w:r>
        <w:t>. While this study's convenience sample of small size restricts the ability to generalise, it does provide some sector-specific evidence that can be used in informing larger-scale future research, as well as longitudinal design or objective tests of employment-rights knowledge</w:t>
      </w:r>
      <w:r w:rsidR="00EF3270" w:rsidRPr="001760EA">
        <w:t>.</w:t>
      </w:r>
    </w:p>
    <w:p w14:paraId="4A8DAFF8" w14:textId="4E53F84F" w:rsidR="00EF3270" w:rsidRPr="001760EA" w:rsidRDefault="00EF3270" w:rsidP="00EF3270">
      <w:pPr>
        <w:pStyle w:val="Heading2"/>
        <w:rPr>
          <w:rFonts w:cs="Times New Roman"/>
        </w:rPr>
      </w:pPr>
      <w:bookmarkStart w:id="15" w:name="_Toc240321812"/>
      <w:r w:rsidRPr="001760EA">
        <w:rPr>
          <w:rFonts w:cs="Times New Roman"/>
        </w:rPr>
        <w:t>1.</w:t>
      </w:r>
      <w:r w:rsidR="00D655AD">
        <w:rPr>
          <w:rFonts w:cs="Times New Roman"/>
        </w:rPr>
        <w:t>7</w:t>
      </w:r>
      <w:r w:rsidRPr="001760EA">
        <w:rPr>
          <w:rFonts w:cs="Times New Roman"/>
        </w:rPr>
        <w:t xml:space="preserve"> Dissertation Structure</w:t>
      </w:r>
      <w:bookmarkEnd w:id="15"/>
    </w:p>
    <w:tbl>
      <w:tblPr>
        <w:tblStyle w:val="ListTable3-Accent1"/>
        <w:tblW w:w="0" w:type="auto"/>
        <w:tblLook w:val="04A0" w:firstRow="1" w:lastRow="0" w:firstColumn="1" w:lastColumn="0" w:noHBand="0" w:noVBand="1"/>
      </w:tblPr>
      <w:tblGrid>
        <w:gridCol w:w="1070"/>
        <w:gridCol w:w="1915"/>
        <w:gridCol w:w="6025"/>
      </w:tblGrid>
      <w:tr w:rsidR="00D42265" w:rsidRPr="00D42265" w14:paraId="3D2B8C04" w14:textId="77777777" w:rsidTr="00D655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EECB5E" w14:textId="77777777" w:rsidR="00D42265" w:rsidRPr="00D42265" w:rsidRDefault="00D42265" w:rsidP="00D42265">
            <w:pPr>
              <w:spacing w:line="276" w:lineRule="auto"/>
              <w:jc w:val="center"/>
              <w:rPr>
                <w:b w:val="0"/>
                <w:bCs w:val="0"/>
                <w:lang w:bidi="bn-IN"/>
              </w:rPr>
            </w:pPr>
            <w:r w:rsidRPr="00D42265">
              <w:rPr>
                <w:lang w:bidi="bn-IN"/>
              </w:rPr>
              <w:t>Chapter</w:t>
            </w:r>
          </w:p>
        </w:tc>
        <w:tc>
          <w:tcPr>
            <w:tcW w:w="0" w:type="auto"/>
            <w:hideMark/>
          </w:tcPr>
          <w:p w14:paraId="00FCA301" w14:textId="77777777" w:rsidR="00D42265" w:rsidRPr="00D42265" w:rsidRDefault="00D42265" w:rsidP="00D42265">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lang w:bidi="bn-IN"/>
              </w:rPr>
            </w:pPr>
            <w:r w:rsidRPr="00D42265">
              <w:rPr>
                <w:lang w:bidi="bn-IN"/>
              </w:rPr>
              <w:t>Title</w:t>
            </w:r>
          </w:p>
        </w:tc>
        <w:tc>
          <w:tcPr>
            <w:tcW w:w="0" w:type="auto"/>
            <w:hideMark/>
          </w:tcPr>
          <w:p w14:paraId="77060645" w14:textId="77777777" w:rsidR="00D42265" w:rsidRPr="00D42265" w:rsidRDefault="00D42265" w:rsidP="00D42265">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lang w:bidi="bn-IN"/>
              </w:rPr>
            </w:pPr>
            <w:r w:rsidRPr="00D42265">
              <w:rPr>
                <w:lang w:bidi="bn-IN"/>
              </w:rPr>
              <w:t>Focus</w:t>
            </w:r>
          </w:p>
        </w:tc>
      </w:tr>
      <w:tr w:rsidR="00D42265" w:rsidRPr="00D42265" w14:paraId="23C28544" w14:textId="77777777" w:rsidTr="00D65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73990" w14:textId="77777777" w:rsidR="00D42265" w:rsidRPr="00D42265" w:rsidRDefault="00D42265" w:rsidP="00D42265">
            <w:pPr>
              <w:spacing w:line="276" w:lineRule="auto"/>
              <w:rPr>
                <w:lang w:bidi="bn-IN"/>
              </w:rPr>
            </w:pPr>
            <w:r w:rsidRPr="00D42265">
              <w:rPr>
                <w:lang w:bidi="bn-IN"/>
              </w:rPr>
              <w:t>1</w:t>
            </w:r>
          </w:p>
        </w:tc>
        <w:tc>
          <w:tcPr>
            <w:tcW w:w="0" w:type="auto"/>
            <w:hideMark/>
          </w:tcPr>
          <w:p w14:paraId="0C58276D"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Introduction</w:t>
            </w:r>
          </w:p>
        </w:tc>
        <w:tc>
          <w:tcPr>
            <w:tcW w:w="0" w:type="auto"/>
            <w:hideMark/>
          </w:tcPr>
          <w:p w14:paraId="2CED3978"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Background, problem, aim, objectives, questions and hypotheses</w:t>
            </w:r>
          </w:p>
        </w:tc>
      </w:tr>
      <w:tr w:rsidR="00D42265" w:rsidRPr="00D42265" w14:paraId="3BDFEFDC" w14:textId="77777777" w:rsidTr="00D655AD">
        <w:tc>
          <w:tcPr>
            <w:cnfStyle w:val="001000000000" w:firstRow="0" w:lastRow="0" w:firstColumn="1" w:lastColumn="0" w:oddVBand="0" w:evenVBand="0" w:oddHBand="0" w:evenHBand="0" w:firstRowFirstColumn="0" w:firstRowLastColumn="0" w:lastRowFirstColumn="0" w:lastRowLastColumn="0"/>
            <w:tcW w:w="0" w:type="auto"/>
            <w:hideMark/>
          </w:tcPr>
          <w:p w14:paraId="787F3EEB" w14:textId="77777777" w:rsidR="00D42265" w:rsidRPr="00D42265" w:rsidRDefault="00D42265" w:rsidP="00D42265">
            <w:pPr>
              <w:spacing w:line="276" w:lineRule="auto"/>
              <w:rPr>
                <w:lang w:bidi="bn-IN"/>
              </w:rPr>
            </w:pPr>
            <w:r w:rsidRPr="00D42265">
              <w:rPr>
                <w:lang w:bidi="bn-IN"/>
              </w:rPr>
              <w:t>2</w:t>
            </w:r>
          </w:p>
        </w:tc>
        <w:tc>
          <w:tcPr>
            <w:tcW w:w="0" w:type="auto"/>
            <w:hideMark/>
          </w:tcPr>
          <w:p w14:paraId="449DA692"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Literature Review</w:t>
            </w:r>
          </w:p>
        </w:tc>
        <w:tc>
          <w:tcPr>
            <w:tcW w:w="0" w:type="auto"/>
            <w:hideMark/>
          </w:tcPr>
          <w:p w14:paraId="6F0C09C6"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Theories, variables, relationships and research gap</w:t>
            </w:r>
          </w:p>
        </w:tc>
      </w:tr>
      <w:tr w:rsidR="00D42265" w:rsidRPr="00D42265" w14:paraId="10BE8C43" w14:textId="77777777" w:rsidTr="00D65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01993A" w14:textId="77777777" w:rsidR="00D42265" w:rsidRPr="00D42265" w:rsidRDefault="00D42265" w:rsidP="00D42265">
            <w:pPr>
              <w:spacing w:line="276" w:lineRule="auto"/>
              <w:rPr>
                <w:lang w:bidi="bn-IN"/>
              </w:rPr>
            </w:pPr>
            <w:r w:rsidRPr="00D42265">
              <w:rPr>
                <w:lang w:bidi="bn-IN"/>
              </w:rPr>
              <w:t>3</w:t>
            </w:r>
          </w:p>
        </w:tc>
        <w:tc>
          <w:tcPr>
            <w:tcW w:w="0" w:type="auto"/>
            <w:hideMark/>
          </w:tcPr>
          <w:p w14:paraId="6D5FF26D"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Methodology</w:t>
            </w:r>
          </w:p>
        </w:tc>
        <w:tc>
          <w:tcPr>
            <w:tcW w:w="0" w:type="auto"/>
            <w:hideMark/>
          </w:tcPr>
          <w:p w14:paraId="14E42DD2"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Design, sampling, questionnaire, ethics and analysis</w:t>
            </w:r>
          </w:p>
        </w:tc>
      </w:tr>
      <w:tr w:rsidR="00D42265" w:rsidRPr="00D42265" w14:paraId="64A08F7B" w14:textId="77777777" w:rsidTr="00D655AD">
        <w:tc>
          <w:tcPr>
            <w:cnfStyle w:val="001000000000" w:firstRow="0" w:lastRow="0" w:firstColumn="1" w:lastColumn="0" w:oddVBand="0" w:evenVBand="0" w:oddHBand="0" w:evenHBand="0" w:firstRowFirstColumn="0" w:firstRowLastColumn="0" w:lastRowFirstColumn="0" w:lastRowLastColumn="0"/>
            <w:tcW w:w="0" w:type="auto"/>
            <w:hideMark/>
          </w:tcPr>
          <w:p w14:paraId="791797F0" w14:textId="77777777" w:rsidR="00D42265" w:rsidRPr="00D42265" w:rsidRDefault="00D42265" w:rsidP="00D42265">
            <w:pPr>
              <w:spacing w:line="276" w:lineRule="auto"/>
              <w:rPr>
                <w:lang w:bidi="bn-IN"/>
              </w:rPr>
            </w:pPr>
            <w:r w:rsidRPr="00D42265">
              <w:rPr>
                <w:lang w:bidi="bn-IN"/>
              </w:rPr>
              <w:t>4</w:t>
            </w:r>
          </w:p>
        </w:tc>
        <w:tc>
          <w:tcPr>
            <w:tcW w:w="0" w:type="auto"/>
            <w:hideMark/>
          </w:tcPr>
          <w:p w14:paraId="192CDBD5"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Findings</w:t>
            </w:r>
          </w:p>
        </w:tc>
        <w:tc>
          <w:tcPr>
            <w:tcW w:w="0" w:type="auto"/>
            <w:hideMark/>
          </w:tcPr>
          <w:p w14:paraId="68FA47C7"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Descriptive, correlation, regression and mediation results</w:t>
            </w:r>
          </w:p>
        </w:tc>
      </w:tr>
      <w:tr w:rsidR="00D42265" w:rsidRPr="00D42265" w14:paraId="66B5AA61" w14:textId="77777777" w:rsidTr="00D65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D5AFD" w14:textId="77777777" w:rsidR="00D42265" w:rsidRPr="00D42265" w:rsidRDefault="00D42265" w:rsidP="00D42265">
            <w:pPr>
              <w:spacing w:line="276" w:lineRule="auto"/>
              <w:rPr>
                <w:lang w:bidi="bn-IN"/>
              </w:rPr>
            </w:pPr>
            <w:r w:rsidRPr="00D42265">
              <w:rPr>
                <w:lang w:bidi="bn-IN"/>
              </w:rPr>
              <w:t>5</w:t>
            </w:r>
          </w:p>
        </w:tc>
        <w:tc>
          <w:tcPr>
            <w:tcW w:w="0" w:type="auto"/>
            <w:hideMark/>
          </w:tcPr>
          <w:p w14:paraId="5B889F09"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Discussion</w:t>
            </w:r>
          </w:p>
        </w:tc>
        <w:tc>
          <w:tcPr>
            <w:tcW w:w="0" w:type="auto"/>
            <w:hideMark/>
          </w:tcPr>
          <w:p w14:paraId="2349F12A" w14:textId="77777777" w:rsidR="00D42265" w:rsidRPr="00D42265" w:rsidRDefault="00D42265" w:rsidP="00D42265">
            <w:pPr>
              <w:spacing w:line="276" w:lineRule="auto"/>
              <w:cnfStyle w:val="000000100000" w:firstRow="0" w:lastRow="0" w:firstColumn="0" w:lastColumn="0" w:oddVBand="0" w:evenVBand="0" w:oddHBand="1" w:evenHBand="0" w:firstRowFirstColumn="0" w:firstRowLastColumn="0" w:lastRowFirstColumn="0" w:lastRowLastColumn="0"/>
              <w:rPr>
                <w:lang w:bidi="bn-IN"/>
              </w:rPr>
            </w:pPr>
            <w:r w:rsidRPr="00D42265">
              <w:rPr>
                <w:lang w:bidi="bn-IN"/>
              </w:rPr>
              <w:t>Interpretation of findings and comparison with literature</w:t>
            </w:r>
          </w:p>
        </w:tc>
      </w:tr>
      <w:tr w:rsidR="00D42265" w:rsidRPr="00D42265" w14:paraId="123C1D1B" w14:textId="77777777" w:rsidTr="00D655AD">
        <w:tc>
          <w:tcPr>
            <w:cnfStyle w:val="001000000000" w:firstRow="0" w:lastRow="0" w:firstColumn="1" w:lastColumn="0" w:oddVBand="0" w:evenVBand="0" w:oddHBand="0" w:evenHBand="0" w:firstRowFirstColumn="0" w:firstRowLastColumn="0" w:lastRowFirstColumn="0" w:lastRowLastColumn="0"/>
            <w:tcW w:w="0" w:type="auto"/>
            <w:hideMark/>
          </w:tcPr>
          <w:p w14:paraId="62562813" w14:textId="77777777" w:rsidR="00D42265" w:rsidRPr="00D42265" w:rsidRDefault="00D42265" w:rsidP="00D42265">
            <w:pPr>
              <w:spacing w:line="276" w:lineRule="auto"/>
              <w:rPr>
                <w:lang w:bidi="bn-IN"/>
              </w:rPr>
            </w:pPr>
            <w:r w:rsidRPr="00D42265">
              <w:rPr>
                <w:lang w:bidi="bn-IN"/>
              </w:rPr>
              <w:t>6</w:t>
            </w:r>
          </w:p>
        </w:tc>
        <w:tc>
          <w:tcPr>
            <w:tcW w:w="0" w:type="auto"/>
            <w:hideMark/>
          </w:tcPr>
          <w:p w14:paraId="1E4C3CC4"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Conclusion</w:t>
            </w:r>
          </w:p>
        </w:tc>
        <w:tc>
          <w:tcPr>
            <w:tcW w:w="0" w:type="auto"/>
            <w:hideMark/>
          </w:tcPr>
          <w:p w14:paraId="6DC3F933" w14:textId="77777777" w:rsidR="00D42265" w:rsidRPr="00D42265" w:rsidRDefault="00D42265" w:rsidP="00D42265">
            <w:pPr>
              <w:spacing w:line="276" w:lineRule="auto"/>
              <w:cnfStyle w:val="000000000000" w:firstRow="0" w:lastRow="0" w:firstColumn="0" w:lastColumn="0" w:oddVBand="0" w:evenVBand="0" w:oddHBand="0" w:evenHBand="0" w:firstRowFirstColumn="0" w:firstRowLastColumn="0" w:lastRowFirstColumn="0" w:lastRowLastColumn="0"/>
              <w:rPr>
                <w:lang w:bidi="bn-IN"/>
              </w:rPr>
            </w:pPr>
            <w:r w:rsidRPr="00D42265">
              <w:rPr>
                <w:lang w:bidi="bn-IN"/>
              </w:rPr>
              <w:t>Summary, limitations, recommendations and future research</w:t>
            </w:r>
          </w:p>
        </w:tc>
      </w:tr>
    </w:tbl>
    <w:p w14:paraId="2FD91458" w14:textId="77777777" w:rsidR="00781CA1" w:rsidRDefault="00781CA1">
      <w:pPr>
        <w:spacing w:before="0" w:after="160" w:line="259" w:lineRule="auto"/>
        <w:jc w:val="left"/>
      </w:pPr>
    </w:p>
    <w:p w14:paraId="12D8481D" w14:textId="77777777" w:rsidR="00781CA1" w:rsidRDefault="00781CA1">
      <w:pPr>
        <w:spacing w:before="0" w:after="160" w:line="259" w:lineRule="auto"/>
        <w:jc w:val="left"/>
      </w:pPr>
    </w:p>
    <w:p w14:paraId="2C1E44D0" w14:textId="77777777" w:rsidR="00781CA1" w:rsidRDefault="00781CA1">
      <w:pPr>
        <w:spacing w:before="0" w:after="160" w:line="259" w:lineRule="auto"/>
        <w:jc w:val="left"/>
      </w:pPr>
      <w:r>
        <w:br w:type="page"/>
      </w:r>
    </w:p>
    <w:p w14:paraId="4F446B43" w14:textId="138E3925" w:rsidR="00781CA1" w:rsidRPr="00907C7F" w:rsidRDefault="00781CA1" w:rsidP="00781CA1">
      <w:pPr>
        <w:pStyle w:val="Heading1"/>
      </w:pPr>
      <w:bookmarkStart w:id="16" w:name="_Toc240321813"/>
      <w:r w:rsidRPr="00907C7F">
        <w:lastRenderedPageBreak/>
        <w:t xml:space="preserve">Chapter </w:t>
      </w:r>
      <w:r w:rsidR="00D37BAE">
        <w:rPr>
          <w:lang w:val="en-US"/>
        </w:rPr>
        <w:t>Two</w:t>
      </w:r>
      <w:r w:rsidRPr="00907C7F">
        <w:t>: Literature Review</w:t>
      </w:r>
      <w:bookmarkEnd w:id="16"/>
    </w:p>
    <w:p w14:paraId="0ED3B9AB" w14:textId="77777777" w:rsidR="00781CA1" w:rsidRPr="00907C7F" w:rsidRDefault="00781CA1" w:rsidP="00781CA1">
      <w:pPr>
        <w:pStyle w:val="Heading2"/>
      </w:pPr>
      <w:bookmarkStart w:id="17" w:name="_Toc240321814"/>
      <w:r w:rsidRPr="00907C7F">
        <w:t>2.1 Introduction</w:t>
      </w:r>
      <w:bookmarkEnd w:id="17"/>
    </w:p>
    <w:p w14:paraId="6B867DCE" w14:textId="77777777" w:rsidR="00781CA1" w:rsidRDefault="00781CA1" w:rsidP="00781CA1">
      <w:pPr>
        <w:rPr>
          <w:color w:val="000000"/>
          <w:kern w:val="0"/>
          <w:szCs w:val="24"/>
          <w:lang w:bidi="bn-IN"/>
          <w14:ligatures w14:val="none"/>
        </w:rPr>
      </w:pPr>
      <w:r w:rsidRPr="00907C7F">
        <w:rPr>
          <w:color w:val="000000"/>
          <w:kern w:val="0"/>
          <w:szCs w:val="24"/>
          <w:lang w:bidi="bn-IN"/>
          <w14:ligatures w14:val="none"/>
        </w:rPr>
        <w:t>This chapter examines the literature on Employment rights awareness, Organisational justice and Organisational commitment critically. The basic premise is that simply knowing about rights does not necessitate commitment</w:t>
      </w:r>
      <w:r>
        <w:rPr>
          <w:color w:val="000000"/>
          <w:kern w:val="0"/>
          <w:szCs w:val="24"/>
          <w:lang w:val="en-US" w:bidi="bn-IN"/>
          <w14:ligatures w14:val="none"/>
        </w:rPr>
        <w:t>,</w:t>
      </w:r>
      <w:r w:rsidRPr="00907C7F">
        <w:rPr>
          <w:color w:val="000000"/>
          <w:kern w:val="0"/>
          <w:szCs w:val="24"/>
          <w:lang w:bidi="bn-IN"/>
          <w14:ligatures w14:val="none"/>
        </w:rPr>
        <w:t xml:space="preserve"> given that employees make sense of rights within the organisation</w:t>
      </w:r>
      <w:r>
        <w:rPr>
          <w:color w:val="000000"/>
          <w:kern w:val="0"/>
          <w:szCs w:val="24"/>
          <w:lang w:bidi="bn-IN"/>
          <w14:ligatures w14:val="none"/>
        </w:rPr>
        <w:t>'s</w:t>
      </w:r>
      <w:r w:rsidRPr="00907C7F">
        <w:rPr>
          <w:color w:val="000000"/>
          <w:kern w:val="0"/>
          <w:szCs w:val="24"/>
          <w:lang w:bidi="bn-IN"/>
          <w14:ligatures w14:val="none"/>
        </w:rPr>
        <w:t xml:space="preserve"> procedures, outcomes, or interpersonal treatment. </w:t>
      </w:r>
      <w:r>
        <w:rPr>
          <w:color w:val="000000"/>
          <w:kern w:val="0"/>
          <w:szCs w:val="24"/>
          <w:lang w:bidi="bn-IN"/>
          <w14:ligatures w14:val="none"/>
        </w:rPr>
        <w:t>Sun et al. (2022)</w:t>
      </w:r>
      <w:r w:rsidRPr="00907C7F">
        <w:rPr>
          <w:color w:val="000000"/>
          <w:kern w:val="0"/>
          <w:szCs w:val="24"/>
          <w:lang w:bidi="bn-IN"/>
          <w14:ligatures w14:val="none"/>
        </w:rPr>
        <w:t xml:space="preserve"> reach a common conclusion about formal protections and employee voice – that it is important</w:t>
      </w:r>
      <w:r>
        <w:rPr>
          <w:color w:val="000000"/>
          <w:kern w:val="0"/>
          <w:szCs w:val="24"/>
          <w:lang w:val="en-US" w:bidi="bn-IN"/>
          <w14:ligatures w14:val="none"/>
        </w:rPr>
        <w:t>,</w:t>
      </w:r>
      <w:r w:rsidRPr="00907C7F">
        <w:rPr>
          <w:color w:val="000000"/>
          <w:kern w:val="0"/>
          <w:szCs w:val="24"/>
          <w:lang w:bidi="bn-IN"/>
          <w14:ligatures w14:val="none"/>
        </w:rPr>
        <w:t xml:space="preserve"> but there is debate about whether it can be said to engender positive attitudes, or whether it exposes deficiencies that lead to a reduction in attachment. These disagreements reflect differences of opinion and a mix of theory, industry, national context, measurement, </w:t>
      </w:r>
      <w:r>
        <w:rPr>
          <w:color w:val="000000"/>
          <w:kern w:val="0"/>
          <w:szCs w:val="24"/>
          <w:lang w:val="en-US" w:bidi="bn-IN"/>
          <w14:ligatures w14:val="none"/>
        </w:rPr>
        <w:t xml:space="preserve">and </w:t>
      </w:r>
      <w:r w:rsidRPr="00907C7F">
        <w:rPr>
          <w:color w:val="000000"/>
          <w:kern w:val="0"/>
          <w:szCs w:val="24"/>
          <w:lang w:bidi="bn-IN"/>
          <w14:ligatures w14:val="none"/>
        </w:rPr>
        <w:t>research design. Therefore, evidence is contrasted regarding rights focal voicing as well as the fundamental justice dimensions</w:t>
      </w:r>
      <w:r>
        <w:rPr>
          <w:color w:val="000000"/>
          <w:kern w:val="0"/>
          <w:szCs w:val="24"/>
          <w:lang w:val="en-US" w:bidi="bn-IN"/>
          <w14:ligatures w14:val="none"/>
        </w:rPr>
        <w:t>,</w:t>
      </w:r>
      <w:r w:rsidRPr="00907C7F">
        <w:rPr>
          <w:color w:val="000000"/>
          <w:kern w:val="0"/>
          <w:szCs w:val="24"/>
          <w:lang w:bidi="bn-IN"/>
          <w14:ligatures w14:val="none"/>
        </w:rPr>
        <w:t xml:space="preserve"> and chapter appraisal of psychological-contract fulfilment and commitment forms are then used to test organisational justice as a mediator. The review also outlines the reasons for the limited applicability of evidence from the sample public and hospitality sectors to retail employment in the UK, as well as evidence from the information technology sector and international samples.</w:t>
      </w:r>
    </w:p>
    <w:p w14:paraId="219539E1" w14:textId="77777777" w:rsidR="00781CA1" w:rsidRPr="00907C7F" w:rsidRDefault="00781CA1" w:rsidP="00781CA1">
      <w:pPr>
        <w:pStyle w:val="Heading2"/>
      </w:pPr>
      <w:bookmarkStart w:id="18" w:name="_Toc240321815"/>
      <w:r w:rsidRPr="00907C7F">
        <w:t>2.2 Theoretical Foundations</w:t>
      </w:r>
      <w:bookmarkEnd w:id="18"/>
    </w:p>
    <w:p w14:paraId="74DA31BF" w14:textId="77777777" w:rsidR="00781CA1" w:rsidRPr="00907C7F" w:rsidRDefault="00781CA1" w:rsidP="00781CA1">
      <w:pPr>
        <w:pStyle w:val="Heading3"/>
      </w:pPr>
      <w:bookmarkStart w:id="19" w:name="_Toc240321816"/>
      <w:r w:rsidRPr="00907C7F">
        <w:t>2.2.1 Social Exchange and Organisational Justice</w:t>
      </w:r>
      <w:bookmarkEnd w:id="19"/>
    </w:p>
    <w:p w14:paraId="71B35163"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The social exchange theory is the best explanation as to how fair treatment can foster commitment. Respectful communication</w:t>
      </w:r>
      <w:r>
        <w:rPr>
          <w:color w:val="000000"/>
          <w:kern w:val="0"/>
          <w:szCs w:val="24"/>
          <w:lang w:val="en-US" w:bidi="bn-IN"/>
          <w14:ligatures w14:val="none"/>
        </w:rPr>
        <w:t>,</w:t>
      </w:r>
      <w:r w:rsidRPr="00907C7F">
        <w:rPr>
          <w:color w:val="000000"/>
          <w:kern w:val="0"/>
          <w:szCs w:val="24"/>
          <w:lang w:bidi="bn-IN"/>
          <w14:ligatures w14:val="none"/>
        </w:rPr>
        <w:t xml:space="preserve"> equitable outcomes and consistent procedures can lead to trust, attachment and less withdrawal from employees. But there is now evidence that this exchange doesn't happen automatically. Aggarwal, Jaisinghani and Nobi (2022) concluded that commitment increased due to </w:t>
      </w:r>
      <w:r>
        <w:rPr>
          <w:color w:val="000000"/>
          <w:kern w:val="0"/>
          <w:szCs w:val="24"/>
          <w:lang w:val="en-US" w:bidi="bn-IN"/>
          <w14:ligatures w14:val="none"/>
        </w:rPr>
        <w:t xml:space="preserve">the </w:t>
      </w:r>
      <w:r w:rsidRPr="00907C7F">
        <w:rPr>
          <w:color w:val="000000"/>
          <w:kern w:val="0"/>
          <w:szCs w:val="24"/>
          <w:lang w:bidi="bn-IN"/>
          <w14:ligatures w14:val="none"/>
        </w:rPr>
        <w:t>effects of justice on engagement, while Gomes and Marques (2025) did not observe engagement or satisfaction to medi</w:t>
      </w:r>
      <w:r>
        <w:rPr>
          <w:color w:val="000000"/>
          <w:kern w:val="0"/>
          <w:szCs w:val="24"/>
          <w:lang w:bidi="bn-IN"/>
          <w14:ligatures w14:val="none"/>
        </w:rPr>
        <w:t>ate</w:t>
      </w:r>
      <w:r w:rsidRPr="00907C7F">
        <w:rPr>
          <w:color w:val="000000"/>
          <w:kern w:val="0"/>
          <w:szCs w:val="24"/>
          <w:lang w:bidi="bn-IN"/>
          <w14:ligatures w14:val="none"/>
        </w:rPr>
        <w:t xml:space="preserve"> the direct impacts of justice, which was also observed. The conflict implies that fairness could function in novel judgment and also via subsequent psychological responses. This may be due to the different industries among the respondents. For information-technology employees, justice might be a choice given on developmental opportunities and organisational support, or for consultancy employees it might be a direct response to reward systems and decisions.</w:t>
      </w:r>
    </w:p>
    <w:p w14:paraId="07463D7A"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Similarly</w:t>
      </w:r>
      <w:r>
        <w:rPr>
          <w:color w:val="000000"/>
          <w:kern w:val="0"/>
          <w:szCs w:val="24"/>
          <w:lang w:val="en-US" w:bidi="bn-IN"/>
          <w14:ligatures w14:val="none"/>
        </w:rPr>
        <w:t>,</w:t>
      </w:r>
      <w:r w:rsidRPr="00907C7F">
        <w:rPr>
          <w:color w:val="000000"/>
          <w:kern w:val="0"/>
          <w:szCs w:val="24"/>
          <w:lang w:bidi="bn-IN"/>
          <w14:ligatures w14:val="none"/>
        </w:rPr>
        <w:t xml:space="preserve"> in the findings of Sun et al. (2022), supervisor trust and job satisfaction were identified as the components of the justice–commitment relationship among Nigerian Police </w:t>
      </w:r>
      <w:r w:rsidRPr="00907C7F">
        <w:rPr>
          <w:color w:val="000000"/>
          <w:kern w:val="0"/>
          <w:szCs w:val="24"/>
          <w:lang w:bidi="bn-IN"/>
          <w14:ligatures w14:val="none"/>
        </w:rPr>
        <w:lastRenderedPageBreak/>
        <w:t>officers. In contrast, values of public service were found as a partial mechanism in public organisations by Jang, Lee and Kwon (2021). These studies uphold exchange reasoning, but show that the exchanged resource varies by context. For police services</w:t>
      </w:r>
      <w:r>
        <w:rPr>
          <w:color w:val="000000"/>
          <w:kern w:val="0"/>
          <w:szCs w:val="24"/>
          <w:lang w:val="en-US" w:bidi="bn-IN"/>
          <w14:ligatures w14:val="none"/>
        </w:rPr>
        <w:t>,</w:t>
      </w:r>
      <w:r w:rsidRPr="00907C7F">
        <w:rPr>
          <w:color w:val="000000"/>
          <w:kern w:val="0"/>
          <w:szCs w:val="24"/>
          <w:lang w:bidi="bn-IN"/>
          <w14:ligatures w14:val="none"/>
        </w:rPr>
        <w:t xml:space="preserve"> the actors might be the police employees who respond to good supervision</w:t>
      </w:r>
      <w:r>
        <w:rPr>
          <w:color w:val="000000"/>
          <w:kern w:val="0"/>
          <w:szCs w:val="24"/>
          <w:lang w:val="en-US" w:bidi="bn-IN"/>
          <w14:ligatures w14:val="none"/>
        </w:rPr>
        <w:t>,</w:t>
      </w:r>
      <w:r w:rsidRPr="00907C7F">
        <w:rPr>
          <w:color w:val="000000"/>
          <w:kern w:val="0"/>
          <w:szCs w:val="24"/>
          <w:lang w:bidi="bn-IN"/>
          <w14:ligatures w14:val="none"/>
        </w:rPr>
        <w:t xml:space="preserve"> but for public services, fairness might be related to ‘service values'. Thus, organisational justice cannot be considered merely one singular stimulus leading to the same response. Perhaps the most tangible aspect of fairness in UK retail is in terms of shifts, pay and leave, along with the handling of grievances and manager</w:t>
      </w:r>
      <w:r>
        <w:rPr>
          <w:color w:val="000000"/>
          <w:kern w:val="0"/>
          <w:szCs w:val="24"/>
          <w:lang w:bidi="bn-IN"/>
          <w14:ligatures w14:val="none"/>
        </w:rPr>
        <w:t>s'</w:t>
      </w:r>
      <w:r w:rsidRPr="00907C7F">
        <w:rPr>
          <w:color w:val="000000"/>
          <w:kern w:val="0"/>
          <w:szCs w:val="24"/>
          <w:lang w:bidi="bn-IN"/>
          <w14:ligatures w14:val="none"/>
        </w:rPr>
        <w:t xml:space="preserve"> respect.</w:t>
      </w:r>
    </w:p>
    <w:p w14:paraId="2CB12433" w14:textId="77777777" w:rsidR="00781CA1" w:rsidRDefault="00781CA1" w:rsidP="00781CA1">
      <w:pPr>
        <w:rPr>
          <w:color w:val="000000"/>
          <w:kern w:val="0"/>
          <w:szCs w:val="24"/>
          <w:lang w:bidi="bn-IN"/>
          <w14:ligatures w14:val="none"/>
        </w:rPr>
      </w:pPr>
      <w:r w:rsidRPr="00907C7F">
        <w:rPr>
          <w:color w:val="000000"/>
          <w:kern w:val="0"/>
          <w:szCs w:val="24"/>
          <w:lang w:bidi="bn-IN"/>
          <w14:ligatures w14:val="none"/>
        </w:rPr>
        <w:t>To further support this interpretation, Adamovic (2023) demonstrated the multidimensional and context-dependency of organisational justice. He differentiates between distributive, procedural, interpersonal and informational justice in the review, with several empirical studies focusing only on two or three dimensions. This measurement gr</w:t>
      </w:r>
      <w:r>
        <w:rPr>
          <w:color w:val="000000"/>
          <w:kern w:val="0"/>
          <w:szCs w:val="24"/>
          <w:lang w:val="en-US" w:bidi="bn-IN"/>
          <w14:ligatures w14:val="none"/>
        </w:rPr>
        <w:t>e</w:t>
      </w:r>
      <w:r w:rsidRPr="00907C7F">
        <w:rPr>
          <w:color w:val="000000"/>
          <w:kern w:val="0"/>
          <w:szCs w:val="24"/>
          <w:lang w:bidi="bn-IN"/>
          <w14:ligatures w14:val="none"/>
        </w:rPr>
        <w:t xml:space="preserve">y area is important since an employee may not perceive the pay distribution as fair, though the grievance procedure and explanations of management may be perceived as fair. Therefore, the intersection of these dimensions as captured in a single score might also mask mixed experiences. </w:t>
      </w:r>
      <w:r>
        <w:rPr>
          <w:color w:val="000000"/>
          <w:kern w:val="0"/>
          <w:szCs w:val="24"/>
          <w:lang w:bidi="bn-IN"/>
          <w14:ligatures w14:val="none"/>
        </w:rPr>
        <w:t>Lambert et al. (2021)</w:t>
      </w:r>
      <w:r w:rsidRPr="00907C7F">
        <w:rPr>
          <w:color w:val="000000"/>
          <w:kern w:val="0"/>
          <w:szCs w:val="24"/>
          <w:lang w:bidi="bn-IN"/>
          <w14:ligatures w14:val="none"/>
        </w:rPr>
        <w:t xml:space="preserve"> discovered that commitment was related to all three types of justice noted (distributive, procedural and interpersonal); however, procedural and interpersonal justice were more appropriately associated with satisfaction. However, Ghaderi et al. (2023) determined that distributive justice was the best predictive measure among hotel workers as compared to several other dimensions. The contrast suggests that the conditions in the industry can make a difference in the degree to which one fairness dimension is salient.</w:t>
      </w:r>
    </w:p>
    <w:p w14:paraId="22C678D1" w14:textId="77777777" w:rsidR="00781CA1" w:rsidRPr="00907C7F" w:rsidRDefault="00781CA1" w:rsidP="00781CA1">
      <w:pPr>
        <w:pStyle w:val="Heading3"/>
      </w:pPr>
      <w:bookmarkStart w:id="20" w:name="_Toc240321817"/>
      <w:r w:rsidRPr="00907C7F">
        <w:t>2.2.2 Psychological Contract Theory</w:t>
      </w:r>
      <w:bookmarkEnd w:id="20"/>
    </w:p>
    <w:p w14:paraId="3315BDEC"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 xml:space="preserve">Psychological contract theory is complementary </w:t>
      </w:r>
      <w:r>
        <w:rPr>
          <w:color w:val="000000"/>
          <w:kern w:val="0"/>
          <w:szCs w:val="24"/>
          <w:lang w:bidi="bn-IN"/>
          <w14:ligatures w14:val="none"/>
        </w:rPr>
        <w:t>to</w:t>
      </w:r>
      <w:r w:rsidRPr="00907C7F">
        <w:rPr>
          <w:color w:val="000000"/>
          <w:kern w:val="0"/>
          <w:szCs w:val="24"/>
          <w:lang w:bidi="bn-IN"/>
          <w14:ligatures w14:val="none"/>
        </w:rPr>
        <w:t xml:space="preserve"> social exchange theory as the awareness of rights suggests what they think the employers do owe them. Access to information on pay, leave, working</w:t>
      </w:r>
      <w:r>
        <w:rPr>
          <w:color w:val="000000"/>
          <w:kern w:val="0"/>
          <w:szCs w:val="24"/>
          <w:lang w:val="en-US" w:bidi="bn-IN"/>
          <w14:ligatures w14:val="none"/>
        </w:rPr>
        <w:t xml:space="preserve"> </w:t>
      </w:r>
      <w:r w:rsidRPr="00907C7F">
        <w:rPr>
          <w:color w:val="000000"/>
          <w:kern w:val="0"/>
          <w:szCs w:val="24"/>
          <w:lang w:bidi="bn-IN"/>
          <w14:ligatures w14:val="none"/>
        </w:rPr>
        <w:t>time, discrimination and grievance may have an impact on legal requirements</w:t>
      </w:r>
      <w:r>
        <w:rPr>
          <w:color w:val="000000"/>
          <w:kern w:val="0"/>
          <w:szCs w:val="24"/>
          <w:lang w:val="en-US" w:bidi="bn-IN"/>
          <w14:ligatures w14:val="none"/>
        </w:rPr>
        <w:t>,</w:t>
      </w:r>
      <w:r w:rsidRPr="00907C7F">
        <w:rPr>
          <w:color w:val="000000"/>
          <w:kern w:val="0"/>
          <w:szCs w:val="24"/>
          <w:lang w:bidi="bn-IN"/>
          <w14:ligatures w14:val="none"/>
        </w:rPr>
        <w:t xml:space="preserve"> translating to perceived organisational responsibilities. Fulfilment should demonstrate commitment</w:t>
      </w:r>
      <w:r>
        <w:rPr>
          <w:color w:val="000000"/>
          <w:kern w:val="0"/>
          <w:szCs w:val="24"/>
          <w:lang w:val="en-US" w:bidi="bn-IN"/>
          <w14:ligatures w14:val="none"/>
        </w:rPr>
        <w:t>. B</w:t>
      </w:r>
      <w:r w:rsidRPr="00907C7F">
        <w:rPr>
          <w:color w:val="000000"/>
          <w:kern w:val="0"/>
          <w:szCs w:val="24"/>
          <w:lang w:bidi="bn-IN"/>
          <w14:ligatures w14:val="none"/>
        </w:rPr>
        <w:t>reach should show what the formal promises have been and actual practice. Karani, Trivedi and Thanki (2022) concluded that engagement and coworker support led to increased fulfilment and consequently increased commitment and satisfaction. This is similar to the findings by Ababneh, Dedousis and Braendle (2022)</w:t>
      </w:r>
      <w:r>
        <w:rPr>
          <w:color w:val="000000"/>
          <w:kern w:val="0"/>
          <w:szCs w:val="24"/>
          <w:lang w:val="en-US" w:bidi="bn-IN"/>
          <w14:ligatures w14:val="none"/>
        </w:rPr>
        <w:t>,</w:t>
      </w:r>
      <w:r w:rsidRPr="00907C7F">
        <w:rPr>
          <w:color w:val="000000"/>
          <w:kern w:val="0"/>
          <w:szCs w:val="24"/>
          <w:lang w:bidi="bn-IN"/>
          <w14:ligatures w14:val="none"/>
        </w:rPr>
        <w:t xml:space="preserve"> who performed a similar experiment in an experimental field design, showing that non-fulfilment caused a decrease in trust, commitment and willingness to recommend the organisation. The methodological </w:t>
      </w:r>
      <w:r w:rsidRPr="00907C7F">
        <w:rPr>
          <w:color w:val="000000"/>
          <w:kern w:val="0"/>
          <w:szCs w:val="24"/>
          <w:lang w:bidi="bn-IN"/>
          <w14:ligatures w14:val="none"/>
        </w:rPr>
        <w:lastRenderedPageBreak/>
        <w:t>difference enhances the underlying argument, as the experimental evidence is better suited to answer questions of causality than Karani, Trivedi and Thanki's cross-sectional survey.</w:t>
      </w:r>
    </w:p>
    <w:p w14:paraId="6423D1F6"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However</w:t>
      </w:r>
      <w:r>
        <w:rPr>
          <w:color w:val="000000"/>
          <w:kern w:val="0"/>
          <w:szCs w:val="24"/>
          <w:lang w:val="en-US" w:bidi="bn-IN"/>
          <w14:ligatures w14:val="none"/>
        </w:rPr>
        <w:t>,</w:t>
      </w:r>
      <w:r w:rsidRPr="00907C7F">
        <w:rPr>
          <w:color w:val="000000"/>
          <w:kern w:val="0"/>
          <w:szCs w:val="24"/>
          <w:lang w:bidi="bn-IN"/>
          <w14:ligatures w14:val="none"/>
        </w:rPr>
        <w:t xml:space="preserve"> there is </w:t>
      </w:r>
      <w:r>
        <w:rPr>
          <w:color w:val="000000"/>
          <w:kern w:val="0"/>
          <w:szCs w:val="24"/>
          <w:lang w:val="en-US" w:bidi="bn-IN"/>
          <w14:ligatures w14:val="none"/>
        </w:rPr>
        <w:t xml:space="preserve">a </w:t>
      </w:r>
      <w:r w:rsidRPr="00907C7F">
        <w:rPr>
          <w:color w:val="000000"/>
          <w:kern w:val="0"/>
          <w:szCs w:val="24"/>
          <w:lang w:bidi="bn-IN"/>
          <w14:ligatures w14:val="none"/>
        </w:rPr>
        <w:t xml:space="preserve">difference in impact when it comes to the type of contract. Manolopoulos et al. (2022) reported that the formal employment determinant has influenced the psychological-contract breach to commitment and satisfaction in hotels, as well as intentions to leave. Fantinelli et al. (2023) also identified </w:t>
      </w:r>
      <w:r>
        <w:rPr>
          <w:color w:val="000000"/>
          <w:kern w:val="0"/>
          <w:szCs w:val="24"/>
          <w:lang w:bidi="bn-IN"/>
          <w14:ligatures w14:val="none"/>
        </w:rPr>
        <w:t xml:space="preserve">a difference </w:t>
      </w:r>
      <w:r w:rsidRPr="00907C7F">
        <w:rPr>
          <w:color w:val="000000"/>
          <w:kern w:val="0"/>
          <w:szCs w:val="24"/>
          <w:lang w:bidi="bn-IN"/>
          <w14:ligatures w14:val="none"/>
        </w:rPr>
        <w:t>between transactional contracts and relational contracts among the call centre workers. Trans</w:t>
      </w:r>
      <w:r>
        <w:rPr>
          <w:color w:val="000000"/>
          <w:kern w:val="0"/>
          <w:szCs w:val="24"/>
          <w:lang w:bidi="bn-IN"/>
          <w14:ligatures w14:val="none"/>
        </w:rPr>
        <w:t>ac</w:t>
      </w:r>
      <w:r w:rsidRPr="00907C7F">
        <w:rPr>
          <w:color w:val="000000"/>
          <w:kern w:val="0"/>
          <w:szCs w:val="24"/>
          <w:lang w:bidi="bn-IN"/>
          <w14:ligatures w14:val="none"/>
        </w:rPr>
        <w:t>tional contracts correlated negatively and affective and normative contracts positively with less desirable commitment patterns. Such results contradict any notion about job retention being an indicator of loyalty. Access to livelihood options might be constrained</w:t>
      </w:r>
      <w:r>
        <w:rPr>
          <w:color w:val="000000"/>
          <w:kern w:val="0"/>
          <w:szCs w:val="24"/>
          <w:lang w:val="en-US" w:bidi="bn-IN"/>
          <w14:ligatures w14:val="none"/>
        </w:rPr>
        <w:t>,</w:t>
      </w:r>
      <w:r w:rsidRPr="00907C7F">
        <w:rPr>
          <w:color w:val="000000"/>
          <w:kern w:val="0"/>
          <w:szCs w:val="24"/>
          <w:lang w:bidi="bn-IN"/>
          <w14:ligatures w14:val="none"/>
        </w:rPr>
        <w:t xml:space="preserve"> and retail workers might also remain even if rights implementation is considered unfair. Thus, meaningful attachment and continued use for necessity reasons have to be separated within the dissertation.</w:t>
      </w:r>
    </w:p>
    <w:p w14:paraId="4D3AB24B" w14:textId="77777777" w:rsidR="00781CA1" w:rsidRPr="00BB74CE" w:rsidRDefault="00781CA1" w:rsidP="00781CA1">
      <w:pPr>
        <w:pStyle w:val="Heading2"/>
      </w:pPr>
      <w:bookmarkStart w:id="21" w:name="_Toc240321818"/>
      <w:r w:rsidRPr="00907C7F">
        <w:t>2.3 Employment Rights Awareness and Employee Voice</w:t>
      </w:r>
      <w:bookmarkEnd w:id="21"/>
    </w:p>
    <w:p w14:paraId="5FD6BE9C" w14:textId="77777777" w:rsidR="00781CA1" w:rsidRPr="00BB74CE" w:rsidRDefault="00781CA1" w:rsidP="00781CA1">
      <w:pPr>
        <w:rPr>
          <w:color w:val="000000"/>
          <w:kern w:val="0"/>
          <w:szCs w:val="24"/>
          <w:lang w:bidi="bn-IN"/>
          <w14:ligatures w14:val="none"/>
        </w:rPr>
      </w:pPr>
      <w:r w:rsidRPr="00BB74CE">
        <w:rPr>
          <w:color w:val="000000"/>
          <w:kern w:val="0"/>
          <w:szCs w:val="24"/>
          <w:lang w:bidi="bn-IN"/>
          <w14:ligatures w14:val="none"/>
        </w:rPr>
        <w:t xml:space="preserve">Awareness of employment rights is rarely assessed directly in recent research on organisations. Rather, topics like ‘voice capability </w:t>
      </w:r>
      <w:r>
        <w:rPr>
          <w:color w:val="000000"/>
          <w:kern w:val="0"/>
          <w:szCs w:val="24"/>
          <w:lang w:val="en-US" w:bidi="bn-IN"/>
          <w14:ligatures w14:val="none"/>
        </w:rPr>
        <w:t>‘,</w:t>
      </w:r>
      <w:r w:rsidRPr="00BB74CE">
        <w:rPr>
          <w:color w:val="000000"/>
          <w:kern w:val="0"/>
          <w:szCs w:val="24"/>
          <w:lang w:bidi="bn-IN"/>
          <w14:ligatures w14:val="none"/>
        </w:rPr>
        <w:t xml:space="preserve"> ‘access to grievance</w:t>
      </w:r>
      <w:r>
        <w:rPr>
          <w:color w:val="000000"/>
          <w:kern w:val="0"/>
          <w:szCs w:val="24"/>
          <w:lang w:bidi="bn-IN"/>
          <w14:ligatures w14:val="none"/>
        </w:rPr>
        <w:t xml:space="preserve"> ',</w:t>
      </w:r>
      <w:r w:rsidRPr="00BB74CE">
        <w:rPr>
          <w:color w:val="000000"/>
          <w:kern w:val="0"/>
          <w:szCs w:val="24"/>
          <w:lang w:bidi="bn-IN"/>
          <w14:ligatures w14:val="none"/>
        </w:rPr>
        <w:t xml:space="preserve"> and ‘job quality' are studied. Regier (2024) calls for a new labour practice, the transition from formal compliance to ‘usable rights' to ensure that labour law enhances wellbeing only when employees are </w:t>
      </w:r>
      <w:r>
        <w:rPr>
          <w:color w:val="000000"/>
          <w:kern w:val="0"/>
          <w:szCs w:val="24"/>
          <w:lang w:bidi="bn-IN"/>
          <w14:ligatures w14:val="none"/>
        </w:rPr>
        <w:t>allowed</w:t>
      </w:r>
      <w:r w:rsidRPr="00BB74CE">
        <w:rPr>
          <w:color w:val="000000"/>
          <w:kern w:val="0"/>
          <w:szCs w:val="24"/>
          <w:lang w:bidi="bn-IN"/>
          <w14:ligatures w14:val="none"/>
        </w:rPr>
        <w:t xml:space="preserve"> to exercise their voice in practice. This is confirmed by the study of Prouska et al. (2022), which interviewed participants </w:t>
      </w:r>
      <w:r>
        <w:rPr>
          <w:color w:val="000000"/>
          <w:kern w:val="0"/>
          <w:szCs w:val="24"/>
          <w:lang w:bidi="bn-IN"/>
          <w14:ligatures w14:val="none"/>
        </w:rPr>
        <w:t>in</w:t>
      </w:r>
      <w:r w:rsidRPr="00BB74CE">
        <w:rPr>
          <w:color w:val="000000"/>
          <w:kern w:val="0"/>
          <w:szCs w:val="24"/>
          <w:lang w:bidi="bn-IN"/>
          <w14:ligatures w14:val="none"/>
        </w:rPr>
        <w:t xml:space="preserve"> the United Kingdom, Thailand and Nigeria, indicating that national institutions and internal management impact voice experiences. The differences in their outcomes suggested in this comparative design formulation suggest that formal rights can produce different outcomes if the organisational relationship is different.</w:t>
      </w:r>
    </w:p>
    <w:p w14:paraId="4C5B5EEE" w14:textId="77777777" w:rsidR="00781CA1" w:rsidRPr="00BB74CE" w:rsidRDefault="00781CA1" w:rsidP="00781CA1">
      <w:pPr>
        <w:rPr>
          <w:color w:val="000000"/>
          <w:kern w:val="0"/>
          <w:szCs w:val="24"/>
          <w:lang w:bidi="bn-IN"/>
          <w14:ligatures w14:val="none"/>
        </w:rPr>
      </w:pPr>
      <w:r w:rsidRPr="00BB74CE">
        <w:rPr>
          <w:color w:val="000000"/>
          <w:kern w:val="0"/>
          <w:szCs w:val="24"/>
          <w:lang w:bidi="bn-IN"/>
          <w14:ligatures w14:val="none"/>
        </w:rPr>
        <w:t>But stressing managerial behavio</w:t>
      </w:r>
      <w:r>
        <w:rPr>
          <w:color w:val="000000"/>
          <w:kern w:val="0"/>
          <w:szCs w:val="24"/>
          <w:lang w:val="en-US" w:bidi="bn-IN"/>
          <w14:ligatures w14:val="none"/>
        </w:rPr>
        <w:t>u</w:t>
      </w:r>
      <w:r w:rsidRPr="00BB74CE">
        <w:rPr>
          <w:color w:val="000000"/>
          <w:kern w:val="0"/>
          <w:szCs w:val="24"/>
          <w:lang w:bidi="bn-IN"/>
          <w14:ligatures w14:val="none"/>
        </w:rPr>
        <w:t xml:space="preserve">r, Mowbray, Wilkinson and Tse (2022) </w:t>
      </w:r>
      <w:r>
        <w:rPr>
          <w:color w:val="000000"/>
          <w:kern w:val="0"/>
          <w:szCs w:val="24"/>
          <w:lang w:bidi="bn-IN"/>
          <w14:ligatures w14:val="none"/>
        </w:rPr>
        <w:t>argue that t</w:t>
      </w:r>
      <w:r w:rsidRPr="00BB74CE">
        <w:rPr>
          <w:color w:val="000000"/>
          <w:kern w:val="0"/>
          <w:szCs w:val="24"/>
          <w:lang w:bidi="bn-IN"/>
          <w14:ligatures w14:val="none"/>
        </w:rPr>
        <w:t xml:space="preserve">heir case studies reveal that managers can turn voice mechanisms to focus on performance objectives and peripheralise the voice of the employee. This implies that line managers in particular protect the voice in institutions less than they did in the past </w:t>
      </w:r>
      <w:r>
        <w:rPr>
          <w:color w:val="000000"/>
          <w:kern w:val="0"/>
          <w:szCs w:val="24"/>
          <w:lang w:bidi="bn-IN"/>
          <w14:ligatures w14:val="none"/>
        </w:rPr>
        <w:t>(Prouska et al., 2022)</w:t>
      </w:r>
      <w:r w:rsidRPr="00BB74CE">
        <w:rPr>
          <w:color w:val="000000"/>
          <w:kern w:val="0"/>
          <w:szCs w:val="24"/>
          <w:lang w:bidi="bn-IN"/>
          <w14:ligatures w14:val="none"/>
        </w:rPr>
        <w:t>. Rights awareness is thus only important if the employees think that when they raise issues they will have an impact on decisions, not just on productivity.</w:t>
      </w:r>
    </w:p>
    <w:p w14:paraId="6855BEC1" w14:textId="77777777" w:rsidR="00781CA1" w:rsidRPr="00BB74CE" w:rsidRDefault="00781CA1" w:rsidP="00781CA1">
      <w:pPr>
        <w:rPr>
          <w:color w:val="000000"/>
          <w:kern w:val="0"/>
          <w:szCs w:val="24"/>
          <w:lang w:bidi="bn-IN"/>
          <w14:ligatures w14:val="none"/>
        </w:rPr>
      </w:pPr>
      <w:r w:rsidRPr="00BB74CE">
        <w:rPr>
          <w:color w:val="000000"/>
          <w:kern w:val="0"/>
          <w:szCs w:val="24"/>
          <w:lang w:bidi="bn-IN"/>
          <w14:ligatures w14:val="none"/>
        </w:rPr>
        <w:t xml:space="preserve">Díaz-Linhart et al. (2025) offer quantitative evidence showing that the gap between desired and experienced voice was related to lower satisfaction and lower wellbeing, as well as to increased burnout and intention to leave. Their sample of 1,307 workers provides more </w:t>
      </w:r>
      <w:r w:rsidRPr="00BB74CE">
        <w:rPr>
          <w:color w:val="000000"/>
          <w:kern w:val="0"/>
          <w:szCs w:val="24"/>
          <w:lang w:bidi="bn-IN"/>
          <w14:ligatures w14:val="none"/>
        </w:rPr>
        <w:lastRenderedPageBreak/>
        <w:t>confidence, but is in the U.S. context</w:t>
      </w:r>
      <w:r>
        <w:rPr>
          <w:color w:val="000000"/>
          <w:kern w:val="0"/>
          <w:szCs w:val="24"/>
          <w:lang w:val="en-US" w:bidi="bn-IN"/>
          <w14:ligatures w14:val="none"/>
        </w:rPr>
        <w:t>,</w:t>
      </w:r>
      <w:r w:rsidRPr="00BB74CE">
        <w:rPr>
          <w:color w:val="000000"/>
          <w:kern w:val="0"/>
          <w:szCs w:val="24"/>
          <w:lang w:bidi="bn-IN"/>
          <w14:ligatures w14:val="none"/>
        </w:rPr>
        <w:t xml:space="preserve"> which only enables application to retail in the UK. In a two-wave study in Taiwan, Liang and Yeh (2020) further complicate matters by demonstrating how voice can increase satisfaction with voice and also inadvertently increase vulnerability to experiencing bullying.</w:t>
      </w:r>
    </w:p>
    <w:p w14:paraId="3C83DA57" w14:textId="1D843FA4" w:rsidR="00781CA1" w:rsidRDefault="00781CA1" w:rsidP="00781CA1">
      <w:pPr>
        <w:rPr>
          <w:color w:val="000000"/>
          <w:kern w:val="0"/>
          <w:szCs w:val="24"/>
          <w:lang w:bidi="bn-IN"/>
          <w14:ligatures w14:val="none"/>
        </w:rPr>
      </w:pPr>
      <w:r w:rsidRPr="00BB74CE">
        <w:rPr>
          <w:color w:val="000000"/>
          <w:kern w:val="0"/>
          <w:szCs w:val="24"/>
          <w:lang w:bidi="bn-IN"/>
          <w14:ligatures w14:val="none"/>
        </w:rPr>
        <w:t>Research of a similar quality comes to the same conclusion: jobs. Jenkins and Chivers (2022) showed that employee ownership had a positive effect on voice only when governance and resources signalled an active process and encouraged participation</w:t>
      </w:r>
      <w:r>
        <w:rPr>
          <w:color w:val="000000"/>
          <w:kern w:val="0"/>
          <w:szCs w:val="24"/>
          <w:lang w:val="en-US" w:bidi="bn-IN"/>
          <w14:ligatures w14:val="none"/>
        </w:rPr>
        <w:t>,</w:t>
      </w:r>
      <w:r w:rsidRPr="00BB74CE">
        <w:rPr>
          <w:color w:val="000000"/>
          <w:kern w:val="0"/>
          <w:szCs w:val="24"/>
          <w:lang w:bidi="bn-IN"/>
          <w14:ligatures w14:val="none"/>
        </w:rPr>
        <w:t xml:space="preserve"> and </w:t>
      </w:r>
      <w:r>
        <w:rPr>
          <w:color w:val="000000"/>
          <w:kern w:val="0"/>
          <w:szCs w:val="24"/>
          <w:lang w:bidi="bn-IN"/>
          <w14:ligatures w14:val="none"/>
        </w:rPr>
        <w:t>Bryson, Forth</w:t>
      </w:r>
      <w:r>
        <w:rPr>
          <w:color w:val="000000"/>
          <w:kern w:val="0"/>
          <w:szCs w:val="24"/>
          <w:lang w:val="en-US" w:bidi="bn-IN"/>
          <w14:ligatures w14:val="none"/>
        </w:rPr>
        <w:t>,</w:t>
      </w:r>
      <w:r>
        <w:rPr>
          <w:color w:val="000000"/>
          <w:kern w:val="0"/>
          <w:szCs w:val="24"/>
          <w:lang w:bidi="bn-IN"/>
          <w14:ligatures w14:val="none"/>
        </w:rPr>
        <w:t xml:space="preserve"> and Green (2026)</w:t>
      </w:r>
      <w:r w:rsidRPr="00BB74CE">
        <w:rPr>
          <w:color w:val="000000"/>
          <w:kern w:val="0"/>
          <w:szCs w:val="24"/>
          <w:lang w:bidi="bn-IN"/>
          <w14:ligatures w14:val="none"/>
        </w:rPr>
        <w:t xml:space="preserve"> found that good non-pay job quality was best explained by British establishments. Considered all together, these studies reveal that it is workplace conditions, and not awareness per se, that drive outcomes. In terms of mediators</w:t>
      </w:r>
      <w:r>
        <w:rPr>
          <w:color w:val="000000"/>
          <w:kern w:val="0"/>
          <w:szCs w:val="24"/>
          <w:lang w:val="en-US" w:bidi="bn-IN"/>
          <w14:ligatures w14:val="none"/>
        </w:rPr>
        <w:t>,</w:t>
      </w:r>
      <w:r w:rsidRPr="00BB74CE">
        <w:rPr>
          <w:color w:val="000000"/>
          <w:kern w:val="0"/>
          <w:szCs w:val="24"/>
          <w:lang w:bidi="bn-IN"/>
          <w14:ligatures w14:val="none"/>
        </w:rPr>
        <w:t xml:space="preserve"> awareness </w:t>
      </w:r>
      <w:r>
        <w:rPr>
          <w:color w:val="000000"/>
          <w:kern w:val="0"/>
          <w:szCs w:val="24"/>
          <w:lang w:bidi="bn-IN"/>
          <w14:ligatures w14:val="none"/>
        </w:rPr>
        <w:t>may be</w:t>
      </w:r>
      <w:r w:rsidRPr="00BB74CE">
        <w:rPr>
          <w:color w:val="000000"/>
          <w:kern w:val="0"/>
          <w:szCs w:val="24"/>
          <w:lang w:bidi="bn-IN"/>
          <w14:ligatures w14:val="none"/>
        </w:rPr>
        <w:t xml:space="preserve"> bringing to light procedures not available or considered safe, which in turn may lead to a sense of organisational justice that in turn might lead to commitment for the shoppers.</w:t>
      </w:r>
    </w:p>
    <w:p w14:paraId="295C087C" w14:textId="77777777" w:rsidR="00781CA1" w:rsidRPr="00907C7F" w:rsidRDefault="00781CA1" w:rsidP="00781CA1">
      <w:pPr>
        <w:pStyle w:val="Heading2"/>
      </w:pPr>
      <w:bookmarkStart w:id="22" w:name="_Toc240321819"/>
      <w:r w:rsidRPr="00907C7F">
        <w:t>2.4 Organisational Justice</w:t>
      </w:r>
      <w:bookmarkEnd w:id="22"/>
    </w:p>
    <w:p w14:paraId="4ABE3E75"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 xml:space="preserve">Organisational justice provides an employee </w:t>
      </w:r>
      <w:r>
        <w:rPr>
          <w:color w:val="000000"/>
          <w:kern w:val="0"/>
          <w:szCs w:val="24"/>
          <w:lang w:val="en-US" w:bidi="bn-IN"/>
          <w14:ligatures w14:val="none"/>
        </w:rPr>
        <w:t xml:space="preserve">with </w:t>
      </w:r>
      <w:r w:rsidRPr="00907C7F">
        <w:rPr>
          <w:color w:val="000000"/>
          <w:kern w:val="0"/>
          <w:szCs w:val="24"/>
          <w:lang w:bidi="bn-IN"/>
          <w14:ligatures w14:val="none"/>
        </w:rPr>
        <w:t xml:space="preserve">an understanding of how rights and obligations are applied justly. Distributive justice involves results (pay, hours, etc., leave). Procedural justice – consistency, voice and appeal in scheduling, grievance and disciplinary decisions. </w:t>
      </w:r>
      <w:r>
        <w:rPr>
          <w:color w:val="000000"/>
          <w:kern w:val="0"/>
          <w:szCs w:val="24"/>
          <w:lang w:val="en-US" w:bidi="bn-IN"/>
          <w14:ligatures w14:val="none"/>
        </w:rPr>
        <w:t>I</w:t>
      </w:r>
      <w:r w:rsidRPr="00907C7F">
        <w:rPr>
          <w:color w:val="000000"/>
          <w:kern w:val="0"/>
          <w:szCs w:val="24"/>
          <w:lang w:bidi="bn-IN"/>
          <w14:ligatures w14:val="none"/>
        </w:rPr>
        <w:t xml:space="preserve">nterpersonal justice is about dignity and respect, and informational justice is about proper explanations. Adamovic (2023) believes that it is crucial </w:t>
      </w:r>
      <w:r>
        <w:rPr>
          <w:color w:val="000000"/>
          <w:kern w:val="0"/>
          <w:szCs w:val="24"/>
          <w:lang w:val="en-US" w:bidi="bn-IN"/>
          <w14:ligatures w14:val="none"/>
        </w:rPr>
        <w:t xml:space="preserve">that </w:t>
      </w:r>
      <w:r w:rsidRPr="00907C7F">
        <w:rPr>
          <w:color w:val="000000"/>
          <w:kern w:val="0"/>
          <w:szCs w:val="24"/>
          <w:lang w:bidi="bn-IN"/>
          <w14:ligatures w14:val="none"/>
        </w:rPr>
        <w:t>these dimensions are kept analytically distinct, but recent empirical studies often apply combinations. Because a study that just finds distributive and procedural justice is incomplete in the scope of what it could accurately find is part of it that makes it harder to compare.</w:t>
      </w:r>
    </w:p>
    <w:p w14:paraId="7F6EFE4B"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 xml:space="preserve">There are consistent links to evidence connecting justice and positive attitudes, with varying effects. Pimentel, Serras Pires and Almeida (2020) identified </w:t>
      </w:r>
      <w:r>
        <w:rPr>
          <w:color w:val="000000"/>
          <w:kern w:val="0"/>
          <w:szCs w:val="24"/>
          <w:lang w:val="en-US" w:bidi="bn-IN"/>
          <w14:ligatures w14:val="none"/>
        </w:rPr>
        <w:t xml:space="preserve">a </w:t>
      </w:r>
      <w:r w:rsidRPr="00907C7F">
        <w:rPr>
          <w:color w:val="000000"/>
          <w:kern w:val="0"/>
          <w:szCs w:val="24"/>
          <w:lang w:bidi="bn-IN"/>
          <w14:ligatures w14:val="none"/>
        </w:rPr>
        <w:t xml:space="preserve">greater relationship with affective commitment than with other types of commitments, and highlighted the distinction between family firms and non-family firms. </w:t>
      </w:r>
      <w:r w:rsidRPr="00D51AE4">
        <w:rPr>
          <w:color w:val="000000"/>
          <w:kern w:val="0"/>
          <w:szCs w:val="24"/>
          <w:lang w:bidi="bn-IN"/>
          <w14:ligatures w14:val="none"/>
        </w:rPr>
        <w:t>Lambert et al. (2021) found that three dimensions of organisational justice were positively associated with employee commitment.</w:t>
      </w:r>
      <w:r w:rsidRPr="00907C7F">
        <w:rPr>
          <w:color w:val="000000"/>
          <w:kern w:val="0"/>
          <w:szCs w:val="24"/>
          <w:lang w:bidi="bn-IN"/>
          <w14:ligatures w14:val="none"/>
        </w:rPr>
        <w:t xml:space="preserve"> AlMazrouei and Zacca (2021) found that despite the important role of justice in commitment, part of the results is explained by decision latitude in their study of expatriates working in Dubai. The pattern in Portugal, Nigeria and Dubai has </w:t>
      </w:r>
      <w:r>
        <w:rPr>
          <w:color w:val="000000"/>
          <w:kern w:val="0"/>
          <w:szCs w:val="24"/>
          <w:lang w:bidi="bn-IN"/>
          <w14:ligatures w14:val="none"/>
        </w:rPr>
        <w:t>given</w:t>
      </w:r>
      <w:r w:rsidRPr="00907C7F">
        <w:rPr>
          <w:color w:val="000000"/>
          <w:kern w:val="0"/>
          <w:szCs w:val="24"/>
          <w:lang w:bidi="bn-IN"/>
          <w14:ligatures w14:val="none"/>
        </w:rPr>
        <w:t xml:space="preserve"> the impression of a high linkage, but due to different occupations and actions</w:t>
      </w:r>
      <w:r>
        <w:rPr>
          <w:color w:val="000000"/>
          <w:kern w:val="0"/>
          <w:szCs w:val="24"/>
          <w:lang w:val="en-US" w:bidi="bn-IN"/>
          <w14:ligatures w14:val="none"/>
        </w:rPr>
        <w:t>,</w:t>
      </w:r>
      <w:r w:rsidRPr="00907C7F">
        <w:rPr>
          <w:color w:val="000000"/>
          <w:kern w:val="0"/>
          <w:szCs w:val="24"/>
          <w:lang w:bidi="bn-IN"/>
          <w14:ligatures w14:val="none"/>
        </w:rPr>
        <w:t xml:space="preserve"> it is impossible to think of a common size effect.</w:t>
      </w:r>
    </w:p>
    <w:p w14:paraId="601E83BF"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lastRenderedPageBreak/>
        <w:t>Contradictory evidence seems to arise from meta</w:t>
      </w:r>
      <w:r>
        <w:rPr>
          <w:color w:val="000000"/>
          <w:kern w:val="0"/>
          <w:szCs w:val="24"/>
          <w:lang w:val="en-US" w:bidi="bn-IN"/>
          <w14:ligatures w14:val="none"/>
        </w:rPr>
        <w:t>-</w:t>
      </w:r>
      <w:r w:rsidRPr="00907C7F">
        <w:rPr>
          <w:color w:val="000000"/>
          <w:kern w:val="0"/>
          <w:szCs w:val="24"/>
          <w:lang w:bidi="bn-IN"/>
          <w14:ligatures w14:val="none"/>
        </w:rPr>
        <w:t xml:space="preserve">analysis. Tosun's (2025) </w:t>
      </w:r>
      <w:r>
        <w:rPr>
          <w:color w:val="000000"/>
          <w:kern w:val="0"/>
          <w:szCs w:val="24"/>
          <w:lang w:val="en-US" w:bidi="bn-IN"/>
          <w14:ligatures w14:val="none"/>
        </w:rPr>
        <w:t xml:space="preserve">study </w:t>
      </w:r>
      <w:r w:rsidRPr="00907C7F">
        <w:rPr>
          <w:color w:val="000000"/>
          <w:kern w:val="0"/>
          <w:szCs w:val="24"/>
          <w:lang w:bidi="bn-IN"/>
          <w14:ligatures w14:val="none"/>
        </w:rPr>
        <w:t>indicated that the relationship between justice and commitment was positive and significant at Turkish educational organi</w:t>
      </w:r>
      <w:r>
        <w:rPr>
          <w:color w:val="000000"/>
          <w:kern w:val="0"/>
          <w:szCs w:val="24"/>
          <w:lang w:val="en-US" w:bidi="bn-IN"/>
          <w14:ligatures w14:val="none"/>
        </w:rPr>
        <w:t>s</w:t>
      </w:r>
      <w:r w:rsidRPr="00907C7F">
        <w:rPr>
          <w:color w:val="000000"/>
          <w:kern w:val="0"/>
          <w:szCs w:val="24"/>
          <w:lang w:bidi="bn-IN"/>
          <w14:ligatures w14:val="none"/>
        </w:rPr>
        <w:t xml:space="preserve">ations, and Çiçeklioğlu, Özkan and Yazıcı's (2026) </w:t>
      </w:r>
      <w:r>
        <w:rPr>
          <w:color w:val="000000"/>
          <w:kern w:val="0"/>
          <w:szCs w:val="24"/>
          <w:lang w:val="en-US" w:bidi="bn-IN"/>
          <w14:ligatures w14:val="none"/>
        </w:rPr>
        <w:t xml:space="preserve">study </w:t>
      </w:r>
      <w:r w:rsidRPr="00907C7F">
        <w:rPr>
          <w:color w:val="000000"/>
          <w:kern w:val="0"/>
          <w:szCs w:val="24"/>
          <w:lang w:bidi="bn-IN"/>
          <w14:ligatures w14:val="none"/>
        </w:rPr>
        <w:t xml:space="preserve">showed that when the recent studies were analysed, the relationship between justice and commitment was positive as a whole. Both syntheses, however, had a sample of only 10 studies and were limited by language, sector or period. Their results hence increase trust in association but not the universality. Politics or mixed jobs could see large effects, but it is unlikely to be the </w:t>
      </w:r>
      <w:r>
        <w:rPr>
          <w:color w:val="000000"/>
          <w:kern w:val="0"/>
          <w:szCs w:val="24"/>
          <w:lang w:bidi="bn-IN"/>
          <w14:ligatures w14:val="none"/>
        </w:rPr>
        <w:t>retail</w:t>
      </w:r>
      <w:r w:rsidRPr="00907C7F">
        <w:rPr>
          <w:color w:val="000000"/>
          <w:kern w:val="0"/>
          <w:szCs w:val="24"/>
          <w:lang w:bidi="bn-IN"/>
          <w14:ligatures w14:val="none"/>
        </w:rPr>
        <w:t xml:space="preserve"> </w:t>
      </w:r>
      <w:r>
        <w:rPr>
          <w:color w:val="000000"/>
          <w:kern w:val="0"/>
          <w:szCs w:val="24"/>
          <w:lang w:bidi="bn-IN"/>
          <w14:ligatures w14:val="none"/>
        </w:rPr>
        <w:t>case</w:t>
      </w:r>
      <w:r w:rsidRPr="00907C7F">
        <w:rPr>
          <w:color w:val="000000"/>
          <w:kern w:val="0"/>
          <w:szCs w:val="24"/>
          <w:lang w:bidi="bn-IN"/>
          <w14:ligatures w14:val="none"/>
        </w:rPr>
        <w:t>, given turnover, part-time work and limited progression can easily make people stop caring about the job.</w:t>
      </w:r>
    </w:p>
    <w:p w14:paraId="0DB12403" w14:textId="77777777" w:rsidR="00781CA1" w:rsidRDefault="00781CA1" w:rsidP="00781CA1">
      <w:pPr>
        <w:rPr>
          <w:color w:val="000000"/>
          <w:kern w:val="0"/>
          <w:szCs w:val="24"/>
          <w:lang w:bidi="bn-IN"/>
          <w14:ligatures w14:val="none"/>
        </w:rPr>
      </w:pPr>
      <w:r w:rsidRPr="00907C7F">
        <w:rPr>
          <w:color w:val="000000"/>
          <w:kern w:val="0"/>
          <w:szCs w:val="24"/>
          <w:lang w:bidi="bn-IN"/>
          <w14:ligatures w14:val="none"/>
        </w:rPr>
        <w:t>A further piece of evidence about hospitality in the recent world also suggests not linking together the justice dimensions and commitment outcomes uncritically. Thus, Viseu et al. (2023) revealed that justice facilitated affective commitment through psychological capital and engagement during the pandemic. Ghaderi et al. (2023), however, identified that distributive justice and normative commitment were found to be significant in the prediction of satisfaction</w:t>
      </w:r>
      <w:r>
        <w:rPr>
          <w:color w:val="000000"/>
          <w:kern w:val="0"/>
          <w:szCs w:val="24"/>
          <w:lang w:val="en-US" w:bidi="bn-IN"/>
          <w14:ligatures w14:val="none"/>
        </w:rPr>
        <w:t>,</w:t>
      </w:r>
      <w:r w:rsidRPr="00907C7F">
        <w:rPr>
          <w:color w:val="000000"/>
          <w:kern w:val="0"/>
          <w:szCs w:val="24"/>
          <w:lang w:bidi="bn-IN"/>
          <w14:ligatures w14:val="none"/>
        </w:rPr>
        <w:t xml:space="preserve"> while several dimensions were not found to be significant. The discrepancy could be due to the difference in </w:t>
      </w:r>
      <w:r>
        <w:rPr>
          <w:color w:val="000000"/>
          <w:kern w:val="0"/>
          <w:szCs w:val="24"/>
          <w:lang w:val="en-US" w:bidi="bn-IN"/>
          <w14:ligatures w14:val="none"/>
        </w:rPr>
        <w:t xml:space="preserve">the </w:t>
      </w:r>
      <w:r w:rsidRPr="00907C7F">
        <w:rPr>
          <w:color w:val="000000"/>
          <w:kern w:val="0"/>
          <w:szCs w:val="24"/>
          <w:lang w:bidi="bn-IN"/>
          <w14:ligatures w14:val="none"/>
        </w:rPr>
        <w:t>nature of measurements and situation: Viseu et al. examined a structural pathway in the crisis; Ghaderi et al. had a small cross</w:t>
      </w:r>
      <w:r>
        <w:rPr>
          <w:color w:val="000000"/>
          <w:kern w:val="0"/>
          <w:szCs w:val="24"/>
          <w:lang w:val="en-US" w:bidi="bn-IN"/>
          <w14:ligatures w14:val="none"/>
        </w:rPr>
        <w:t>-</w:t>
      </w:r>
      <w:r w:rsidRPr="00907C7F">
        <w:rPr>
          <w:color w:val="000000"/>
          <w:kern w:val="0"/>
          <w:szCs w:val="24"/>
          <w:lang w:bidi="bn-IN"/>
          <w14:ligatures w14:val="none"/>
        </w:rPr>
        <w:t>sectional sample in Tehran. This means that assessments of justice impact on the type of employee outcome chosen, and the circumstances in which fairness is evaluated.</w:t>
      </w:r>
    </w:p>
    <w:p w14:paraId="5FBF3099" w14:textId="77777777" w:rsidR="00781CA1" w:rsidRPr="00907C7F" w:rsidRDefault="00781CA1" w:rsidP="00781CA1">
      <w:pPr>
        <w:pStyle w:val="Heading2"/>
      </w:pPr>
      <w:bookmarkStart w:id="23" w:name="_Toc240321820"/>
      <w:r w:rsidRPr="00907C7F">
        <w:t>2.5 Organisational Commitment</w:t>
      </w:r>
      <w:bookmarkEnd w:id="23"/>
    </w:p>
    <w:p w14:paraId="44B84F8C"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Organisational commitment does not necessarily mean that a staff member will stay. Emotional attachment and felt obligation and perceived costs in departure were differentiated in recent literature</w:t>
      </w:r>
      <w:r>
        <w:rPr>
          <w:color w:val="000000"/>
          <w:kern w:val="0"/>
          <w:szCs w:val="24"/>
          <w:lang w:val="en-US" w:bidi="bn-IN"/>
          <w14:ligatures w14:val="none"/>
        </w:rPr>
        <w:t>,</w:t>
      </w:r>
      <w:r w:rsidRPr="00907C7F">
        <w:rPr>
          <w:color w:val="000000"/>
          <w:kern w:val="0"/>
          <w:szCs w:val="24"/>
          <w:lang w:bidi="bn-IN"/>
          <w14:ligatures w14:val="none"/>
        </w:rPr>
        <w:t xml:space="preserve"> but it is not consistently measured in studies. Affective commitment was highlighted by Pimentel, Serras Pires and Almeida (2020), while Fantinelli et al. (2023) demonstrated that affective and normative commitment were positively reinforced by relational contracts compared to transactional contracts. Ghaderi et al. (2023) showed that normative commitment is relevant to satisfaction as a positive attitudinal association; it can be possible to have a positive association with an attitudinal aspect in the form of obligation. Obligation, however, can manifest as cultural or occupational expectations and doesn't always indicate </w:t>
      </w:r>
      <w:r>
        <w:rPr>
          <w:color w:val="000000"/>
          <w:kern w:val="0"/>
          <w:szCs w:val="24"/>
          <w:lang w:val="en-US" w:bidi="bn-IN"/>
          <w14:ligatures w14:val="none"/>
        </w:rPr>
        <w:t xml:space="preserve">that </w:t>
      </w:r>
      <w:r w:rsidRPr="00907C7F">
        <w:rPr>
          <w:color w:val="000000"/>
          <w:kern w:val="0"/>
          <w:szCs w:val="24"/>
          <w:lang w:bidi="bn-IN"/>
          <w14:ligatures w14:val="none"/>
        </w:rPr>
        <w:t>an employee really considers herself as belonging to the employer.</w:t>
      </w:r>
    </w:p>
    <w:p w14:paraId="6DD09243"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lastRenderedPageBreak/>
        <w:t xml:space="preserve">Evidence is still scant in the retail sector. </w:t>
      </w:r>
      <w:r>
        <w:rPr>
          <w:color w:val="000000"/>
          <w:kern w:val="0"/>
          <w:szCs w:val="24"/>
          <w:lang w:bidi="bn-IN"/>
          <w14:ligatures w14:val="none"/>
        </w:rPr>
        <w:t>Trang, Do and Le</w:t>
      </w:r>
      <w:r w:rsidRPr="00907C7F">
        <w:rPr>
          <w:color w:val="000000"/>
          <w:kern w:val="0"/>
          <w:szCs w:val="24"/>
          <w:lang w:bidi="bn-IN"/>
          <w14:ligatures w14:val="none"/>
        </w:rPr>
        <w:t xml:space="preserve"> (2026) revealed that empowerment, supervisor support, work–life balance, job security and mindfulness influenced satisfaction and commitment of </w:t>
      </w:r>
      <w:r>
        <w:rPr>
          <w:color w:val="000000"/>
          <w:kern w:val="0"/>
          <w:szCs w:val="24"/>
          <w:lang w:val="en-US" w:bidi="bn-IN"/>
          <w14:ligatures w14:val="none"/>
        </w:rPr>
        <w:t>G</w:t>
      </w:r>
      <w:r w:rsidRPr="00907C7F">
        <w:rPr>
          <w:color w:val="000000"/>
          <w:kern w:val="0"/>
          <w:szCs w:val="24"/>
          <w:lang w:bidi="bn-IN"/>
          <w14:ligatures w14:val="none"/>
        </w:rPr>
        <w:t xml:space="preserve">eneration Z retail workers in Ho Chi Minh City. This study is valuable </w:t>
      </w:r>
      <w:r>
        <w:rPr>
          <w:color w:val="000000"/>
          <w:kern w:val="0"/>
          <w:szCs w:val="24"/>
          <w:lang w:bidi="bn-IN"/>
          <w14:ligatures w14:val="none"/>
        </w:rPr>
        <w:t>because</w:t>
      </w:r>
      <w:r w:rsidRPr="00907C7F">
        <w:rPr>
          <w:color w:val="000000"/>
          <w:kern w:val="0"/>
          <w:szCs w:val="24"/>
          <w:lang w:bidi="bn-IN"/>
          <w14:ligatures w14:val="none"/>
        </w:rPr>
        <w:t xml:space="preserve"> it is </w:t>
      </w:r>
      <w:r>
        <w:rPr>
          <w:color w:val="000000"/>
          <w:kern w:val="0"/>
          <w:szCs w:val="24"/>
          <w:lang w:val="en-US" w:bidi="bn-IN"/>
          <w14:ligatures w14:val="none"/>
        </w:rPr>
        <w:t xml:space="preserve">a </w:t>
      </w:r>
      <w:r w:rsidRPr="00907C7F">
        <w:rPr>
          <w:color w:val="000000"/>
          <w:kern w:val="0"/>
          <w:szCs w:val="24"/>
          <w:lang w:bidi="bn-IN"/>
          <w14:ligatures w14:val="none"/>
        </w:rPr>
        <w:t>direct examination of retail and it used 335 respondents with partial least squares structural equation modelling. However</w:t>
      </w:r>
      <w:r>
        <w:rPr>
          <w:color w:val="000000"/>
          <w:kern w:val="0"/>
          <w:szCs w:val="24"/>
          <w:lang w:val="en-US" w:bidi="bn-IN"/>
          <w14:ligatures w14:val="none"/>
        </w:rPr>
        <w:t>,</w:t>
      </w:r>
      <w:r w:rsidRPr="00907C7F">
        <w:rPr>
          <w:color w:val="000000"/>
          <w:kern w:val="0"/>
          <w:szCs w:val="24"/>
          <w:lang w:bidi="bn-IN"/>
          <w14:ligatures w14:val="none"/>
        </w:rPr>
        <w:t xml:space="preserve"> this is a generational and national focus</w:t>
      </w:r>
      <w:r>
        <w:rPr>
          <w:color w:val="000000"/>
          <w:kern w:val="0"/>
          <w:szCs w:val="24"/>
          <w:lang w:val="en-US" w:bidi="bn-IN"/>
          <w14:ligatures w14:val="none"/>
        </w:rPr>
        <w:t>,</w:t>
      </w:r>
      <w:r w:rsidRPr="00907C7F">
        <w:rPr>
          <w:color w:val="000000"/>
          <w:kern w:val="0"/>
          <w:szCs w:val="24"/>
          <w:lang w:bidi="bn-IN"/>
          <w14:ligatures w14:val="none"/>
        </w:rPr>
        <w:t xml:space="preserve"> and the transfer of this does not apply to the wide range of employees within the UK retail sector. Job security and supervisory support can mean different things to young Vietnam</w:t>
      </w:r>
      <w:r>
        <w:rPr>
          <w:color w:val="000000"/>
          <w:kern w:val="0"/>
          <w:szCs w:val="24"/>
          <w:lang w:val="en-US" w:bidi="bn-IN"/>
          <w14:ligatures w14:val="none"/>
        </w:rPr>
        <w:t>ese</w:t>
      </w:r>
      <w:r w:rsidRPr="00907C7F">
        <w:rPr>
          <w:color w:val="000000"/>
          <w:kern w:val="0"/>
          <w:szCs w:val="24"/>
          <w:lang w:bidi="bn-IN"/>
          <w14:ligatures w14:val="none"/>
        </w:rPr>
        <w:t xml:space="preserve"> employees as compared to older, migrant and part-time UK staff.</w:t>
      </w:r>
    </w:p>
    <w:p w14:paraId="7587FD76"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For other sectors, it appears to come from other types of mechanisms. Jang, Lee and Kwon (2021) cite values of the public service, Sun et al. (2022) cite trust in the supervisor, Viseu et al. (2023) cite psychological capital and engagement</w:t>
      </w:r>
      <w:r>
        <w:rPr>
          <w:color w:val="000000"/>
          <w:kern w:val="0"/>
          <w:szCs w:val="24"/>
          <w:lang w:val="en-US" w:bidi="bn-IN"/>
          <w14:ligatures w14:val="none"/>
        </w:rPr>
        <w:t>,</w:t>
      </w:r>
      <w:r w:rsidRPr="00907C7F">
        <w:rPr>
          <w:color w:val="000000"/>
          <w:kern w:val="0"/>
          <w:szCs w:val="24"/>
          <w:lang w:bidi="bn-IN"/>
          <w14:ligatures w14:val="none"/>
        </w:rPr>
        <w:t xml:space="preserve"> and Aggarwal, Jaisinghani and Nobi (2022) cite engagement and organisational support. While all of these studies agree that commitment is a social product, there is disagreement on what the immediate mechanism</w:t>
      </w:r>
      <w:r>
        <w:rPr>
          <w:color w:val="000000"/>
          <w:kern w:val="0"/>
          <w:szCs w:val="24"/>
          <w:lang w:val="en-US" w:bidi="bn-IN"/>
          <w14:ligatures w14:val="none"/>
        </w:rPr>
        <w:t xml:space="preserve"> is</w:t>
      </w:r>
      <w:r w:rsidRPr="00907C7F">
        <w:rPr>
          <w:color w:val="000000"/>
          <w:kern w:val="0"/>
          <w:szCs w:val="24"/>
          <w:lang w:bidi="bn-IN"/>
          <w14:ligatures w14:val="none"/>
        </w:rPr>
        <w:t>. The disagreement is in theory helpful as it may contribute to a wider evaluative process which mechanisms in the sectors could go through. A sense of fairness enhances trust, engagement/value alignment, though pathways can vary.</w:t>
      </w:r>
    </w:p>
    <w:p w14:paraId="7D139212" w14:textId="77777777" w:rsidR="00781CA1" w:rsidRPr="00907C7F" w:rsidRDefault="00781CA1" w:rsidP="00781CA1">
      <w:pPr>
        <w:pStyle w:val="Heading2"/>
      </w:pPr>
      <w:bookmarkStart w:id="24" w:name="_Toc240321821"/>
      <w:r w:rsidRPr="00907C7F">
        <w:t>2.6 Relationships Among the Variables</w:t>
      </w:r>
      <w:bookmarkEnd w:id="24"/>
    </w:p>
    <w:p w14:paraId="72D7C6A1" w14:textId="77777777" w:rsidR="00781CA1" w:rsidRPr="00907C7F" w:rsidRDefault="00781CA1" w:rsidP="00781CA1">
      <w:pPr>
        <w:pStyle w:val="Heading3"/>
      </w:pPr>
      <w:bookmarkStart w:id="25" w:name="_Toc240321822"/>
      <w:r w:rsidRPr="00907C7F">
        <w:t>2.6.1 Employment Rights Awareness and Organisational Justice</w:t>
      </w:r>
      <w:bookmarkEnd w:id="25"/>
    </w:p>
    <w:p w14:paraId="5AEC05B3"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 xml:space="preserve">Evidence of direct effect of rights awareness </w:t>
      </w:r>
      <w:r>
        <w:rPr>
          <w:color w:val="000000"/>
          <w:kern w:val="0"/>
          <w:szCs w:val="24"/>
          <w:lang w:bidi="bn-IN"/>
          <w14:ligatures w14:val="none"/>
        </w:rPr>
        <w:t>on</w:t>
      </w:r>
      <w:r w:rsidRPr="00907C7F">
        <w:rPr>
          <w:color w:val="000000"/>
          <w:kern w:val="0"/>
          <w:szCs w:val="24"/>
          <w:lang w:bidi="bn-IN"/>
          <w14:ligatures w14:val="none"/>
        </w:rPr>
        <w:t xml:space="preserve"> organisational justice is limited. Lastly, while most studies focus on voice, psychological contract fulfilment or job quality, they do not focus on legal knowledge. Legal protections have value after the formal mechanism is put </w:t>
      </w:r>
      <w:r>
        <w:rPr>
          <w:color w:val="000000"/>
          <w:kern w:val="0"/>
          <w:szCs w:val="24"/>
          <w:lang w:val="en-US" w:bidi="bn-IN"/>
          <w14:ligatures w14:val="none"/>
        </w:rPr>
        <w:t>in</w:t>
      </w:r>
      <w:r w:rsidRPr="00907C7F">
        <w:rPr>
          <w:color w:val="000000"/>
          <w:kern w:val="0"/>
          <w:szCs w:val="24"/>
          <w:lang w:bidi="bn-IN"/>
          <w14:ligatures w14:val="none"/>
        </w:rPr>
        <w:t xml:space="preserve">to practice to afford a voice, as suggested by Regier (2024), and legal mechanisms can also be hijacked by managers, per Mowbray, Wilkinson and Tse (2022). Prouska et al. (2022) continue to say that institutional and organisational context determines the meaningfulness of voice. These findings suggest that raising awareness of some aspect of justice is only effective when an employee compares what is owed to him or her </w:t>
      </w:r>
      <w:r>
        <w:rPr>
          <w:color w:val="000000"/>
          <w:kern w:val="0"/>
          <w:szCs w:val="24"/>
          <w:lang w:bidi="bn-IN"/>
          <w14:ligatures w14:val="none"/>
        </w:rPr>
        <w:t>with</w:t>
      </w:r>
      <w:r w:rsidRPr="00907C7F">
        <w:rPr>
          <w:color w:val="000000"/>
          <w:kern w:val="0"/>
          <w:szCs w:val="24"/>
          <w:lang w:bidi="bn-IN"/>
          <w14:ligatures w14:val="none"/>
        </w:rPr>
        <w:t xml:space="preserve"> what is actually done or how he or she is treated.</w:t>
      </w:r>
    </w:p>
    <w:p w14:paraId="2BA37D91" w14:textId="77777777" w:rsidR="00781CA1" w:rsidRDefault="00781CA1" w:rsidP="00781CA1">
      <w:pPr>
        <w:rPr>
          <w:color w:val="000000"/>
          <w:kern w:val="0"/>
          <w:szCs w:val="24"/>
          <w:lang w:bidi="bn-IN"/>
          <w14:ligatures w14:val="none"/>
        </w:rPr>
      </w:pPr>
      <w:r w:rsidRPr="00907C7F">
        <w:rPr>
          <w:color w:val="000000"/>
          <w:kern w:val="0"/>
          <w:szCs w:val="24"/>
          <w:lang w:bidi="bn-IN"/>
          <w14:ligatures w14:val="none"/>
        </w:rPr>
        <w:t>Direction can be forward (positive) or backward (negative). Consistent practices related to pay, scheduling and grievance can enhance justice when employees are aware. On the other hand</w:t>
      </w:r>
      <w:r>
        <w:rPr>
          <w:color w:val="000000"/>
          <w:kern w:val="0"/>
          <w:szCs w:val="24"/>
          <w:lang w:val="en-US" w:bidi="bn-IN"/>
          <w14:ligatures w14:val="none"/>
        </w:rPr>
        <w:t>,</w:t>
      </w:r>
      <w:r w:rsidRPr="00907C7F">
        <w:rPr>
          <w:color w:val="000000"/>
          <w:kern w:val="0"/>
          <w:szCs w:val="24"/>
          <w:lang w:bidi="bn-IN"/>
          <w14:ligatures w14:val="none"/>
        </w:rPr>
        <w:t xml:space="preserve"> it can diminish justice if knowledge indicates that there is a breach or that proceedings are inaccessible. Ababneh, Dedousis and Braendle (2022) provide experimental evidence that </w:t>
      </w:r>
      <w:r w:rsidRPr="00907C7F">
        <w:rPr>
          <w:color w:val="000000"/>
          <w:kern w:val="0"/>
          <w:szCs w:val="24"/>
          <w:lang w:bidi="bn-IN"/>
          <w14:ligatures w14:val="none"/>
        </w:rPr>
        <w:lastRenderedPageBreak/>
        <w:t xml:space="preserve">unfulfilled promises lower trust, commitment, and Manolopoulos et al. (2022) </w:t>
      </w:r>
      <w:r>
        <w:rPr>
          <w:color w:val="000000"/>
          <w:kern w:val="0"/>
          <w:szCs w:val="24"/>
          <w:lang w:val="en-US" w:bidi="bn-IN"/>
          <w14:ligatures w14:val="none"/>
        </w:rPr>
        <w:t xml:space="preserve">provide </w:t>
      </w:r>
      <w:r w:rsidRPr="00907C7F">
        <w:rPr>
          <w:color w:val="000000"/>
          <w:kern w:val="0"/>
          <w:szCs w:val="24"/>
          <w:lang w:bidi="bn-IN"/>
          <w14:ligatures w14:val="none"/>
        </w:rPr>
        <w:t>evidence that reactions to breaches depend on the formal state of contracts. Thus, the first connection is an evaluative comparison, rather than just a positive effect.</w:t>
      </w:r>
    </w:p>
    <w:p w14:paraId="3A14FFD7" w14:textId="77777777" w:rsidR="00781CA1" w:rsidRPr="00907C7F" w:rsidRDefault="00781CA1" w:rsidP="00781CA1">
      <w:pPr>
        <w:rPr>
          <w:b/>
          <w:bCs/>
          <w:color w:val="000000"/>
          <w:kern w:val="0"/>
          <w:szCs w:val="24"/>
          <w:lang w:bidi="bn-IN"/>
          <w14:ligatures w14:val="none"/>
        </w:rPr>
      </w:pPr>
      <w:r w:rsidRPr="00907C7F">
        <w:rPr>
          <w:b/>
          <w:bCs/>
          <w:color w:val="000000"/>
          <w:kern w:val="0"/>
          <w:szCs w:val="24"/>
          <w:lang w:bidi="bn-IN"/>
          <w14:ligatures w14:val="none"/>
        </w:rPr>
        <w:t>H1: Employment rights awareness is positively associated with organisational justice.</w:t>
      </w:r>
    </w:p>
    <w:p w14:paraId="52A79E9D" w14:textId="77777777" w:rsidR="00781CA1" w:rsidRPr="00907C7F" w:rsidRDefault="00781CA1" w:rsidP="00781CA1">
      <w:pPr>
        <w:pStyle w:val="Heading3"/>
      </w:pPr>
      <w:bookmarkStart w:id="26" w:name="_Toc240321823"/>
      <w:r w:rsidRPr="00907C7F">
        <w:t>2.6.2 Employment Rights Awareness and Organisational Commitment</w:t>
      </w:r>
      <w:bookmarkEnd w:id="26"/>
    </w:p>
    <w:p w14:paraId="037CE021"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The direct awareness–commitment relationship is even less established. Expectations are not questioned; voice-gap evidence indicates that, when expectations are not met, satisfaction is l</w:t>
      </w:r>
      <w:r>
        <w:rPr>
          <w:color w:val="000000"/>
          <w:kern w:val="0"/>
          <w:szCs w:val="24"/>
          <w:lang w:bidi="bn-IN"/>
          <w14:ligatures w14:val="none"/>
        </w:rPr>
        <w:t>ower</w:t>
      </w:r>
      <w:r w:rsidRPr="00907C7F">
        <w:rPr>
          <w:color w:val="000000"/>
          <w:kern w:val="0"/>
          <w:szCs w:val="24"/>
          <w:lang w:bidi="bn-IN"/>
          <w14:ligatures w14:val="none"/>
        </w:rPr>
        <w:t xml:space="preserve"> and the intention to quit is great</w:t>
      </w:r>
      <w:r>
        <w:rPr>
          <w:color w:val="000000"/>
          <w:kern w:val="0"/>
          <w:szCs w:val="24"/>
          <w:lang w:val="en-US" w:bidi="bn-IN"/>
          <w14:ligatures w14:val="none"/>
        </w:rPr>
        <w:t>er</w:t>
      </w:r>
      <w:r w:rsidRPr="00907C7F">
        <w:rPr>
          <w:color w:val="000000"/>
          <w:kern w:val="0"/>
          <w:szCs w:val="24"/>
          <w:lang w:bidi="bn-IN"/>
          <w14:ligatures w14:val="none"/>
        </w:rPr>
        <w:t>. When desired voice is not equal to experienced voice, it leads to a negative outcome for the employees according to Díaz-Linhart et al. (2025), while it can bring criticism and also bullying according to Liang and Yeh (2020). The results suggest that awareness can stimulate action, with commitment requiring an organisation</w:t>
      </w:r>
      <w:r>
        <w:rPr>
          <w:color w:val="000000"/>
          <w:kern w:val="0"/>
          <w:szCs w:val="24"/>
          <w:lang w:val="en-US" w:bidi="bn-IN"/>
          <w14:ligatures w14:val="none"/>
        </w:rPr>
        <w:t>al</w:t>
      </w:r>
      <w:r w:rsidRPr="00907C7F">
        <w:rPr>
          <w:color w:val="000000"/>
          <w:kern w:val="0"/>
          <w:szCs w:val="24"/>
          <w:lang w:bidi="bn-IN"/>
          <w14:ligatures w14:val="none"/>
        </w:rPr>
        <w:t xml:space="preserve"> response.</w:t>
      </w:r>
    </w:p>
    <w:p w14:paraId="68AF0576"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This conditional interpretation is in line with studies on psychological</w:t>
      </w:r>
      <w:r>
        <w:rPr>
          <w:color w:val="000000"/>
          <w:kern w:val="0"/>
          <w:szCs w:val="24"/>
          <w:lang w:val="en-US" w:bidi="bn-IN"/>
          <w14:ligatures w14:val="none"/>
        </w:rPr>
        <w:t xml:space="preserve"> </w:t>
      </w:r>
      <w:r w:rsidRPr="00907C7F">
        <w:rPr>
          <w:color w:val="000000"/>
          <w:kern w:val="0"/>
          <w:szCs w:val="24"/>
          <w:lang w:bidi="bn-IN"/>
          <w14:ligatures w14:val="none"/>
        </w:rPr>
        <w:t xml:space="preserve">contracts. Fantinelli et al. (2023) demonstrate </w:t>
      </w:r>
      <w:r>
        <w:rPr>
          <w:color w:val="000000"/>
          <w:kern w:val="0"/>
          <w:szCs w:val="24"/>
          <w:lang w:val="en-US" w:bidi="bn-IN"/>
          <w14:ligatures w14:val="none"/>
        </w:rPr>
        <w:t xml:space="preserve">that </w:t>
      </w:r>
      <w:r w:rsidRPr="00907C7F">
        <w:rPr>
          <w:color w:val="000000"/>
          <w:kern w:val="0"/>
          <w:szCs w:val="24"/>
          <w:lang w:bidi="bn-IN"/>
          <w14:ligatures w14:val="none"/>
        </w:rPr>
        <w:t xml:space="preserve">healthy commitment relationships are the result of fulfilment that is relational, rather than transactional </w:t>
      </w:r>
      <w:r>
        <w:rPr>
          <w:color w:val="000000"/>
          <w:kern w:val="0"/>
          <w:szCs w:val="24"/>
          <w:lang w:bidi="bn-IN"/>
          <w14:ligatures w14:val="none"/>
        </w:rPr>
        <w:t xml:space="preserve">fulfilment, </w:t>
      </w:r>
      <w:r w:rsidRPr="00907C7F">
        <w:rPr>
          <w:color w:val="000000"/>
          <w:kern w:val="0"/>
          <w:szCs w:val="24"/>
          <w:lang w:bidi="bn-IN"/>
          <w14:ligatures w14:val="none"/>
        </w:rPr>
        <w:t>and Karani, Trivedi and Thanki (2022) connect fulfilment with commitment. Therefore, it is not always necessary that awareness will lead to commitment. Whereas it may reinforce commitment if rights are protected, it could undermine commitment if there is a failure from a legal perspective.</w:t>
      </w:r>
    </w:p>
    <w:p w14:paraId="1D7177E8" w14:textId="77777777" w:rsidR="00781CA1" w:rsidRPr="00907C7F" w:rsidRDefault="00781CA1" w:rsidP="00781CA1">
      <w:pPr>
        <w:rPr>
          <w:b/>
          <w:bCs/>
          <w:color w:val="000000"/>
          <w:kern w:val="0"/>
          <w:szCs w:val="24"/>
          <w:lang w:bidi="bn-IN"/>
          <w14:ligatures w14:val="none"/>
        </w:rPr>
      </w:pPr>
      <w:r w:rsidRPr="00907C7F">
        <w:rPr>
          <w:b/>
          <w:bCs/>
          <w:color w:val="000000"/>
          <w:kern w:val="0"/>
          <w:szCs w:val="24"/>
          <w:lang w:bidi="bn-IN"/>
          <w14:ligatures w14:val="none"/>
        </w:rPr>
        <w:t>H2: Employment rights awareness is positively associated with organisational commitment.</w:t>
      </w:r>
    </w:p>
    <w:p w14:paraId="2511B24F" w14:textId="77777777" w:rsidR="00781CA1" w:rsidRPr="00907C7F" w:rsidRDefault="00781CA1" w:rsidP="00781CA1">
      <w:pPr>
        <w:pStyle w:val="Heading3"/>
      </w:pPr>
      <w:bookmarkStart w:id="27" w:name="_Toc240321824"/>
      <w:r w:rsidRPr="00907C7F">
        <w:t>2.6.3 Organisational Justice and Organisational Commitment</w:t>
      </w:r>
      <w:bookmarkEnd w:id="27"/>
    </w:p>
    <w:p w14:paraId="32F24EED"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The justice – commitment nexus is the relationship that is best empirically supported. Pimentel, Serras Pires and Almeida (2020), Lambert et al. (2021), Jang, Lee and Kwon (2021) and AlMazrouei and Zacca (2021) all found positive relationships in their different countries and occupations. This is further supported by the results of two meta-analyses by Tosun (2025) and Çiçeklioğlu, Özkan and Yazıcı (2026). Yet, some pathways are not indirect (Gomes and Marques, 2025)</w:t>
      </w:r>
      <w:r>
        <w:rPr>
          <w:color w:val="000000"/>
          <w:kern w:val="0"/>
          <w:szCs w:val="24"/>
          <w:lang w:val="en-US" w:bidi="bn-IN"/>
          <w14:ligatures w14:val="none"/>
        </w:rPr>
        <w:t>,</w:t>
      </w:r>
      <w:r w:rsidRPr="00907C7F">
        <w:rPr>
          <w:color w:val="000000"/>
          <w:kern w:val="0"/>
          <w:szCs w:val="24"/>
          <w:lang w:bidi="bn-IN"/>
          <w14:ligatures w14:val="none"/>
        </w:rPr>
        <w:t xml:space="preserve"> and some effects </w:t>
      </w:r>
      <w:r>
        <w:rPr>
          <w:color w:val="000000"/>
          <w:kern w:val="0"/>
          <w:szCs w:val="24"/>
          <w:lang w:bidi="bn-IN"/>
          <w14:ligatures w14:val="none"/>
        </w:rPr>
        <w:t>ar</w:t>
      </w:r>
      <w:r w:rsidRPr="00907C7F">
        <w:rPr>
          <w:color w:val="000000"/>
          <w:kern w:val="0"/>
          <w:szCs w:val="24"/>
          <w:lang w:bidi="bn-IN"/>
          <w14:ligatures w14:val="none"/>
        </w:rPr>
        <w:t>e dimension-specific</w:t>
      </w:r>
      <w:r>
        <w:rPr>
          <w:color w:val="000000"/>
          <w:kern w:val="0"/>
          <w:szCs w:val="24"/>
          <w:lang w:val="en-US" w:bidi="bn-IN"/>
          <w14:ligatures w14:val="none"/>
        </w:rPr>
        <w:t>,</w:t>
      </w:r>
      <w:r w:rsidRPr="00907C7F">
        <w:rPr>
          <w:color w:val="000000"/>
          <w:kern w:val="0"/>
          <w:szCs w:val="24"/>
          <w:lang w:bidi="bn-IN"/>
          <w14:ligatures w14:val="none"/>
        </w:rPr>
        <w:t xml:space="preserve"> not universal (Ghaderi et al., 2023). So, justice, while certainly correlated with commitment, is somehow and somewhere in return.</w:t>
      </w:r>
    </w:p>
    <w:p w14:paraId="14CAA5DA" w14:textId="77777777" w:rsidR="00781CA1" w:rsidRPr="00907C7F" w:rsidRDefault="00781CA1" w:rsidP="00781CA1">
      <w:pPr>
        <w:rPr>
          <w:b/>
          <w:bCs/>
          <w:color w:val="000000"/>
          <w:kern w:val="0"/>
          <w:szCs w:val="24"/>
          <w:lang w:bidi="bn-IN"/>
          <w14:ligatures w14:val="none"/>
        </w:rPr>
      </w:pPr>
      <w:r w:rsidRPr="00907C7F">
        <w:rPr>
          <w:b/>
          <w:bCs/>
          <w:color w:val="000000"/>
          <w:kern w:val="0"/>
          <w:szCs w:val="24"/>
          <w:lang w:bidi="bn-IN"/>
          <w14:ligatures w14:val="none"/>
        </w:rPr>
        <w:t>H3: Organisational justice is positively associated with organisational commitment.</w:t>
      </w:r>
    </w:p>
    <w:p w14:paraId="3D49682C" w14:textId="77777777" w:rsidR="00781CA1" w:rsidRPr="00907C7F" w:rsidRDefault="00781CA1" w:rsidP="00781CA1">
      <w:pPr>
        <w:pStyle w:val="Heading3"/>
      </w:pPr>
      <w:bookmarkStart w:id="28" w:name="_Toc240321825"/>
      <w:r w:rsidRPr="00907C7F">
        <w:lastRenderedPageBreak/>
        <w:t>2.6.4 Mediating Role of Organisational Justice</w:t>
      </w:r>
      <w:bookmarkEnd w:id="28"/>
    </w:p>
    <w:p w14:paraId="442E40DE"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The argument used in the mediation is more integrated in relation to the literature used in comparison with the direct model representation. Rights awareness provides the criteria by which the employee judges the treatment</w:t>
      </w:r>
      <w:r>
        <w:rPr>
          <w:color w:val="000000"/>
          <w:kern w:val="0"/>
          <w:szCs w:val="24"/>
          <w:lang w:val="en-US" w:bidi="bn-IN"/>
          <w14:ligatures w14:val="none"/>
        </w:rPr>
        <w:t>;</w:t>
      </w:r>
      <w:r w:rsidRPr="00907C7F">
        <w:rPr>
          <w:color w:val="000000"/>
          <w:kern w:val="0"/>
          <w:szCs w:val="24"/>
          <w:lang w:bidi="bn-IN"/>
          <w14:ligatures w14:val="none"/>
        </w:rPr>
        <w:t xml:space="preserve"> organisational justice relates to th</w:t>
      </w:r>
      <w:r>
        <w:rPr>
          <w:color w:val="000000"/>
          <w:kern w:val="0"/>
          <w:szCs w:val="24"/>
          <w:lang w:bidi="bn-IN"/>
          <w14:ligatures w14:val="none"/>
        </w:rPr>
        <w:t>ese</w:t>
      </w:r>
      <w:r w:rsidRPr="00907C7F">
        <w:rPr>
          <w:color w:val="000000"/>
          <w:kern w:val="0"/>
          <w:szCs w:val="24"/>
          <w:lang w:bidi="bn-IN"/>
          <w14:ligatures w14:val="none"/>
        </w:rPr>
        <w:t xml:space="preserve"> evaluations, and commitment is the expression of resulting attachment. There is no matrix study test for this very model with three variables</w:t>
      </w:r>
      <w:r>
        <w:rPr>
          <w:color w:val="000000"/>
          <w:kern w:val="0"/>
          <w:szCs w:val="24"/>
          <w:lang w:val="en-US" w:bidi="bn-IN"/>
          <w14:ligatures w14:val="none"/>
        </w:rPr>
        <w:t>,</w:t>
      </w:r>
      <w:r w:rsidRPr="00907C7F">
        <w:rPr>
          <w:color w:val="000000"/>
          <w:kern w:val="0"/>
          <w:szCs w:val="24"/>
          <w:lang w:bidi="bn-IN"/>
          <w14:ligatures w14:val="none"/>
        </w:rPr>
        <w:t xml:space="preserve"> but there </w:t>
      </w:r>
      <w:r>
        <w:rPr>
          <w:color w:val="000000"/>
          <w:kern w:val="0"/>
          <w:szCs w:val="24"/>
          <w:lang w:bidi="bn-IN"/>
          <w14:ligatures w14:val="none"/>
        </w:rPr>
        <w:t>is</w:t>
      </w:r>
      <w:r w:rsidRPr="00907C7F">
        <w:rPr>
          <w:color w:val="000000"/>
          <w:kern w:val="0"/>
          <w:szCs w:val="24"/>
          <w:lang w:bidi="bn-IN"/>
          <w14:ligatures w14:val="none"/>
        </w:rPr>
        <w:t xml:space="preserve"> evidence for each of those stages. The relationship between usable rights and voice conditions </w:t>
      </w:r>
      <w:r>
        <w:rPr>
          <w:color w:val="000000"/>
          <w:kern w:val="0"/>
          <w:szCs w:val="24"/>
          <w:lang w:bidi="bn-IN"/>
          <w14:ligatures w14:val="none"/>
        </w:rPr>
        <w:t>is</w:t>
      </w:r>
      <w:r w:rsidRPr="00907C7F">
        <w:rPr>
          <w:color w:val="000000"/>
          <w:kern w:val="0"/>
          <w:szCs w:val="24"/>
          <w:lang w:bidi="bn-IN"/>
          <w14:ligatures w14:val="none"/>
        </w:rPr>
        <w:t xml:space="preserve"> discussed by Regier (2024) and Prouska et al. (2022). As demonstrated by Ababneh, Dedousis and Braendle (2022) and Manolopoulos et al. (2022)</w:t>
      </w:r>
      <w:r>
        <w:rPr>
          <w:color w:val="000000"/>
          <w:kern w:val="0"/>
          <w:szCs w:val="24"/>
          <w:lang w:val="en-US" w:bidi="bn-IN"/>
          <w14:ligatures w14:val="none"/>
        </w:rPr>
        <w:t>,</w:t>
      </w:r>
      <w:r w:rsidRPr="00907C7F">
        <w:rPr>
          <w:color w:val="000000"/>
          <w:kern w:val="0"/>
          <w:szCs w:val="24"/>
          <w:lang w:bidi="bn-IN"/>
          <w14:ligatures w14:val="none"/>
        </w:rPr>
        <w:t xml:space="preserve"> attitudes change because of fulfilment or breach. Then, the results of the justice studies reveal that fairness is generalizable as a predictor of commitment in all areas.</w:t>
      </w:r>
    </w:p>
    <w:p w14:paraId="3D7B592B" w14:textId="77777777" w:rsidR="00781CA1" w:rsidRPr="00907C7F" w:rsidRDefault="00781CA1" w:rsidP="00781CA1">
      <w:pPr>
        <w:rPr>
          <w:color w:val="000000"/>
          <w:kern w:val="0"/>
          <w:szCs w:val="24"/>
          <w:lang w:bidi="bn-IN"/>
          <w14:ligatures w14:val="none"/>
        </w:rPr>
      </w:pPr>
      <w:r w:rsidRPr="00907C7F">
        <w:rPr>
          <w:color w:val="000000"/>
          <w:kern w:val="0"/>
          <w:szCs w:val="24"/>
          <w:lang w:bidi="bn-IN"/>
          <w14:ligatures w14:val="none"/>
        </w:rPr>
        <w:t xml:space="preserve">However, mediation shouldn't be taken on faith. Support for indirect pathways in relation to justice </w:t>
      </w:r>
      <w:r>
        <w:rPr>
          <w:color w:val="000000"/>
          <w:kern w:val="0"/>
          <w:szCs w:val="24"/>
          <w:lang w:bidi="bn-IN"/>
          <w14:ligatures w14:val="none"/>
        </w:rPr>
        <w:t>is</w:t>
      </w:r>
      <w:r w:rsidRPr="00907C7F">
        <w:rPr>
          <w:color w:val="000000"/>
          <w:kern w:val="0"/>
          <w:szCs w:val="24"/>
          <w:lang w:bidi="bn-IN"/>
          <w14:ligatures w14:val="none"/>
        </w:rPr>
        <w:t xml:space="preserve"> seen in Aggarwal, Jaisinghani and Nobi (2022), Sun et al. (2022) and Viseu et al. (2023)</w:t>
      </w:r>
      <w:r>
        <w:rPr>
          <w:color w:val="000000"/>
          <w:kern w:val="0"/>
          <w:szCs w:val="24"/>
          <w:lang w:val="en-US" w:bidi="bn-IN"/>
          <w14:ligatures w14:val="none"/>
        </w:rPr>
        <w:t>,</w:t>
      </w:r>
      <w:r w:rsidRPr="00907C7F">
        <w:rPr>
          <w:color w:val="000000"/>
          <w:kern w:val="0"/>
          <w:szCs w:val="24"/>
          <w:lang w:bidi="bn-IN"/>
          <w14:ligatures w14:val="none"/>
        </w:rPr>
        <w:t xml:space="preserve"> while direct effects without the proposed mediation are seen in Gomes and Marques (2025). Alternative mediators and sectoral conditions, sample sizes and cross</w:t>
      </w:r>
      <w:r>
        <w:rPr>
          <w:color w:val="000000"/>
          <w:kern w:val="0"/>
          <w:szCs w:val="24"/>
          <w:lang w:val="en-US" w:bidi="bn-IN"/>
          <w14:ligatures w14:val="none"/>
        </w:rPr>
        <w:t>-</w:t>
      </w:r>
      <w:r w:rsidRPr="00907C7F">
        <w:rPr>
          <w:color w:val="000000"/>
          <w:kern w:val="0"/>
          <w:szCs w:val="24"/>
          <w:lang w:bidi="bn-IN"/>
          <w14:ligatures w14:val="none"/>
        </w:rPr>
        <w:t>sectional designs might explain these differences. Organisational justice is therefore being considered as a possibly explanatory mechanism, rather than a preselected finding, for the present study.</w:t>
      </w:r>
    </w:p>
    <w:p w14:paraId="40189C44" w14:textId="77777777" w:rsidR="00781CA1" w:rsidRPr="00907C7F" w:rsidRDefault="00781CA1" w:rsidP="00781CA1">
      <w:pPr>
        <w:rPr>
          <w:b/>
          <w:bCs/>
          <w:color w:val="000000"/>
          <w:kern w:val="0"/>
          <w:szCs w:val="24"/>
          <w:lang w:bidi="bn-IN"/>
          <w14:ligatures w14:val="none"/>
        </w:rPr>
      </w:pPr>
      <w:r w:rsidRPr="00907C7F">
        <w:rPr>
          <w:b/>
          <w:bCs/>
          <w:color w:val="000000"/>
          <w:kern w:val="0"/>
          <w:szCs w:val="24"/>
          <w:lang w:bidi="bn-IN"/>
          <w14:ligatures w14:val="none"/>
        </w:rPr>
        <w:t>H4: Organisational justice mediates the relationship between employment rights awareness and organisational commitment.</w:t>
      </w:r>
    </w:p>
    <w:p w14:paraId="0B2FA7C9" w14:textId="77777777" w:rsidR="00781CA1" w:rsidRDefault="00781CA1" w:rsidP="00781CA1">
      <w:pPr>
        <w:rPr>
          <w:color w:val="000000"/>
          <w:kern w:val="0"/>
          <w:szCs w:val="24"/>
          <w:lang w:bidi="bn-IN"/>
          <w14:ligatures w14:val="none"/>
        </w:rPr>
      </w:pPr>
      <w:r w:rsidRPr="00907C7F">
        <w:rPr>
          <w:color w:val="000000"/>
          <w:kern w:val="0"/>
          <w:szCs w:val="24"/>
          <w:lang w:bidi="bn-IN"/>
          <w14:ligatures w14:val="none"/>
        </w:rPr>
        <w:t xml:space="preserve">Comparisons are permissible but methodological comparisons, which predicate caution. Aggarwal, Jaisinghani and Nobi (2022), Viseu et al. (2023) and </w:t>
      </w:r>
      <w:r>
        <w:rPr>
          <w:color w:val="000000"/>
          <w:kern w:val="0"/>
          <w:szCs w:val="24"/>
          <w:lang w:bidi="bn-IN"/>
          <w14:ligatures w14:val="none"/>
        </w:rPr>
        <w:t>Trang, Do and Le</w:t>
      </w:r>
      <w:r w:rsidRPr="00907C7F">
        <w:rPr>
          <w:color w:val="000000"/>
          <w:kern w:val="0"/>
          <w:szCs w:val="24"/>
          <w:lang w:bidi="bn-IN"/>
          <w14:ligatures w14:val="none"/>
        </w:rPr>
        <w:t xml:space="preserve"> (2026) model </w:t>
      </w:r>
      <w:r>
        <w:rPr>
          <w:color w:val="000000"/>
          <w:kern w:val="0"/>
          <w:szCs w:val="24"/>
          <w:lang w:bidi="bn-IN"/>
          <w14:ligatures w14:val="none"/>
        </w:rPr>
        <w:t>several</w:t>
      </w:r>
      <w:r w:rsidRPr="00907C7F">
        <w:rPr>
          <w:color w:val="000000"/>
          <w:kern w:val="0"/>
          <w:szCs w:val="24"/>
          <w:lang w:bidi="bn-IN"/>
          <w14:ligatures w14:val="none"/>
        </w:rPr>
        <w:t xml:space="preserve"> relationship</w:t>
      </w:r>
      <w:r>
        <w:rPr>
          <w:color w:val="000000"/>
          <w:kern w:val="0"/>
          <w:szCs w:val="24"/>
          <w:lang w:val="en-US" w:bidi="bn-IN"/>
          <w14:ligatures w14:val="none"/>
        </w:rPr>
        <w:t>s,</w:t>
      </w:r>
      <w:r w:rsidRPr="00907C7F">
        <w:rPr>
          <w:color w:val="000000"/>
          <w:kern w:val="0"/>
          <w:szCs w:val="24"/>
          <w:lang w:bidi="bn-IN"/>
          <w14:ligatures w14:val="none"/>
        </w:rPr>
        <w:t xml:space="preserve"> yet cross</w:t>
      </w:r>
      <w:r>
        <w:rPr>
          <w:color w:val="000000"/>
          <w:kern w:val="0"/>
          <w:szCs w:val="24"/>
          <w:lang w:val="en-US" w:bidi="bn-IN"/>
          <w14:ligatures w14:val="none"/>
        </w:rPr>
        <w:t>-</w:t>
      </w:r>
      <w:r w:rsidRPr="00907C7F">
        <w:rPr>
          <w:color w:val="000000"/>
          <w:kern w:val="0"/>
          <w:szCs w:val="24"/>
          <w:lang w:bidi="bn-IN"/>
          <w14:ligatures w14:val="none"/>
        </w:rPr>
        <w:t>sectional data still has a weak temporal order. Qualitative research will provide a more in-depth answer to the question of voice and governance, but small sample sizes will make it impossible to measure the strength of the relationships. Meta-analysis is an extension of synthesising, but Tosun (2025) or Çiçeklioğlu, Özkan and Yazıcı (2026) rely on disparate measures. Thus, while the questionnaire is able to estimate associations and mediations, the inferences are directly constrained by self-report and convenience sampling as well as lack of longitudinal data.</w:t>
      </w:r>
    </w:p>
    <w:p w14:paraId="632BFEB9" w14:textId="77777777" w:rsidR="009F12DB" w:rsidRPr="009F12DB" w:rsidRDefault="009F12DB" w:rsidP="009F12DB">
      <w:pPr>
        <w:pStyle w:val="Heading2"/>
      </w:pPr>
      <w:r w:rsidRPr="009F12DB">
        <w:t>2.7 Conceptual Framework</w:t>
      </w:r>
    </w:p>
    <w:p w14:paraId="51749E23" w14:textId="29D7F598" w:rsidR="009F12DB" w:rsidRDefault="009F12DB" w:rsidP="009F12DB">
      <w:pPr>
        <w:rPr>
          <w:color w:val="000000"/>
          <w:kern w:val="0"/>
          <w:szCs w:val="24"/>
          <w:lang w:bidi="bn-IN"/>
          <w14:ligatures w14:val="none"/>
        </w:rPr>
      </w:pPr>
      <w:r w:rsidRPr="009F12DB">
        <w:rPr>
          <w:color w:val="000000"/>
          <w:kern w:val="0"/>
          <w:szCs w:val="24"/>
          <w:lang w:bidi="bn-IN"/>
          <w14:ligatures w14:val="none"/>
        </w:rPr>
        <w:t xml:space="preserve">This study aims to provide a framework to investigate the link between employment rights awareness, organisational justice and organisational commitment among employees of UK retailers. The basic model variables include employment rights awareness as the independent </w:t>
      </w:r>
      <w:r w:rsidRPr="009F12DB">
        <w:rPr>
          <w:color w:val="000000"/>
          <w:kern w:val="0"/>
          <w:szCs w:val="24"/>
          <w:lang w:bidi="bn-IN"/>
          <w14:ligatures w14:val="none"/>
        </w:rPr>
        <w:lastRenderedPageBreak/>
        <w:t>variable, organisational justice as a mediator and organisational commitment as a dependent variable. The model implies that staff awareness of their entitlements – such as pay rates, working conditions, leave policy, promotion, grievance procedure etc. may affect their assessment of organisational practices within the workplace. These evaluations are manifested in perceptions of organisational justice, such as outcome, procedural, interpersonal and information justice. A sense of fairness could lead employees to feel more attached and committed to their organisation. Thus, organisational justice is suggested as a mechanism which can explain the impact of employment rights awareness on organisational commitment. The framework assists in creating hypotheses and empirically examines the relationships between the three constructs.</w:t>
      </w:r>
    </w:p>
    <w:p w14:paraId="5CFD5798" w14:textId="77777777" w:rsidR="009F12DB" w:rsidRDefault="009F12DB" w:rsidP="009F12DB">
      <w:pPr>
        <w:keepNext/>
        <w:jc w:val="center"/>
      </w:pPr>
      <w:r>
        <w:rPr>
          <w:noProof/>
          <w:color w:val="000000"/>
          <w:kern w:val="0"/>
          <w:szCs w:val="24"/>
          <w:lang w:bidi="bn-IN"/>
          <w14:ligatures w14:val="none"/>
        </w:rPr>
        <w:drawing>
          <wp:inline distT="0" distB="0" distL="0" distR="0" wp14:anchorId="06466D25" wp14:editId="77732DDF">
            <wp:extent cx="5726595" cy="2442117"/>
            <wp:effectExtent l="0" t="0" r="1270" b="0"/>
            <wp:docPr id="1377677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77679" name="Picture 1377677679"/>
                    <pic:cNvPicPr/>
                  </pic:nvPicPr>
                  <pic:blipFill rotWithShape="1">
                    <a:blip r:embed="rId10" cstate="print">
                      <a:extLst>
                        <a:ext uri="{28A0092B-C50C-407E-A947-70E740481C1C}">
                          <a14:useLocalDpi xmlns:a14="http://schemas.microsoft.com/office/drawing/2010/main" val="0"/>
                        </a:ext>
                      </a:extLst>
                    </a:blip>
                    <a:srcRect t="27550" b="7561"/>
                    <a:stretch/>
                  </pic:blipFill>
                  <pic:spPr bwMode="auto">
                    <a:xfrm>
                      <a:off x="0" y="0"/>
                      <a:ext cx="5727700" cy="2442588"/>
                    </a:xfrm>
                    <a:prstGeom prst="rect">
                      <a:avLst/>
                    </a:prstGeom>
                    <a:ln>
                      <a:noFill/>
                    </a:ln>
                    <a:extLst>
                      <a:ext uri="{53640926-AAD7-44D8-BBD7-CCE9431645EC}">
                        <a14:shadowObscured xmlns:a14="http://schemas.microsoft.com/office/drawing/2010/main"/>
                      </a:ext>
                    </a:extLst>
                  </pic:spPr>
                </pic:pic>
              </a:graphicData>
            </a:graphic>
          </wp:inline>
        </w:drawing>
      </w:r>
    </w:p>
    <w:p w14:paraId="27B080BA" w14:textId="5A4B0682" w:rsidR="009F12DB" w:rsidRDefault="009F12DB" w:rsidP="009F12DB">
      <w:pPr>
        <w:pStyle w:val="Caption"/>
        <w:rPr>
          <w:lang w:val="en-US"/>
        </w:rPr>
      </w:pPr>
      <w:r>
        <w:t xml:space="preserve">Figure </w:t>
      </w:r>
      <w:fldSimple w:instr=" SEQ Figure \* ARABIC ">
        <w:r>
          <w:rPr>
            <w:noProof/>
          </w:rPr>
          <w:t>1</w:t>
        </w:r>
      </w:fldSimple>
      <w:r>
        <w:rPr>
          <w:lang w:val="en-US"/>
        </w:rPr>
        <w:t xml:space="preserve">: </w:t>
      </w:r>
      <w:r w:rsidRPr="003D6E49">
        <w:rPr>
          <w:lang w:val="en-US"/>
        </w:rPr>
        <w:t>Conceptual Framework</w:t>
      </w:r>
    </w:p>
    <w:p w14:paraId="222840D5" w14:textId="2D296265" w:rsidR="009F12DB" w:rsidRPr="00907C7F" w:rsidRDefault="009F12DB" w:rsidP="009F12DB">
      <w:pPr>
        <w:pStyle w:val="Caption"/>
        <w:rPr>
          <w:color w:val="000000"/>
        </w:rPr>
      </w:pPr>
      <w:r>
        <w:rPr>
          <w:lang w:val="en-US"/>
        </w:rPr>
        <w:t>Source: Author</w:t>
      </w:r>
    </w:p>
    <w:p w14:paraId="3E447DA5" w14:textId="060C81A2" w:rsidR="00781CA1" w:rsidRPr="00907C7F" w:rsidRDefault="00781CA1" w:rsidP="00781CA1">
      <w:pPr>
        <w:pStyle w:val="Heading2"/>
      </w:pPr>
      <w:bookmarkStart w:id="29" w:name="_Toc240321826"/>
      <w:r w:rsidRPr="00907C7F">
        <w:t>2.</w:t>
      </w:r>
      <w:r w:rsidR="009F12DB">
        <w:t>8</w:t>
      </w:r>
      <w:r w:rsidRPr="00907C7F">
        <w:t xml:space="preserve"> Research Gap and Conceptual Synthesis</w:t>
      </w:r>
      <w:bookmarkEnd w:id="29"/>
    </w:p>
    <w:p w14:paraId="6495028C" w14:textId="77777777" w:rsidR="00781CA1" w:rsidRPr="001377FA" w:rsidRDefault="00781CA1" w:rsidP="00781CA1">
      <w:pPr>
        <w:rPr>
          <w:color w:val="000000"/>
          <w:kern w:val="0"/>
          <w:szCs w:val="24"/>
          <w:lang w:bidi="bn-IN"/>
          <w14:ligatures w14:val="none"/>
        </w:rPr>
      </w:pPr>
      <w:r w:rsidRPr="001377FA">
        <w:rPr>
          <w:color w:val="000000"/>
          <w:kern w:val="0"/>
          <w:szCs w:val="24"/>
          <w:lang w:bidi="bn-IN"/>
          <w14:ligatures w14:val="none"/>
        </w:rPr>
        <w:t>Four gaps emerge. First, recent studies do not often directly measure an awareness of employment rights. Overlaying it with voice and contract studies are useful proxies, but conceptually speaking</w:t>
      </w:r>
      <w:r>
        <w:rPr>
          <w:color w:val="000000"/>
          <w:kern w:val="0"/>
          <w:szCs w:val="24"/>
          <w:lang w:val="en-US" w:bidi="bn-IN"/>
          <w14:ligatures w14:val="none"/>
        </w:rPr>
        <w:t>,</w:t>
      </w:r>
      <w:r w:rsidRPr="001377FA">
        <w:rPr>
          <w:color w:val="000000"/>
          <w:kern w:val="0"/>
          <w:szCs w:val="24"/>
          <w:lang w:bidi="bn-IN"/>
          <w14:ligatures w14:val="none"/>
        </w:rPr>
        <w:t xml:space="preserve"> of statutory entitlements</w:t>
      </w:r>
      <w:r>
        <w:rPr>
          <w:color w:val="000000"/>
          <w:kern w:val="0"/>
          <w:szCs w:val="24"/>
          <w:lang w:val="en-US" w:bidi="bn-IN"/>
          <w14:ligatures w14:val="none"/>
        </w:rPr>
        <w:t>,</w:t>
      </w:r>
      <w:r w:rsidRPr="001377FA">
        <w:rPr>
          <w:color w:val="000000"/>
          <w:kern w:val="0"/>
          <w:szCs w:val="24"/>
          <w:lang w:bidi="bn-IN"/>
          <w14:ligatures w14:val="none"/>
        </w:rPr>
        <w:t xml:space="preserve"> you have to have knowledge, you have to speak up, and you have to perceive that fulfilment. Second, there is a public services, hospitality, education, consultancy and international sample bias for justice–commitment evidence. Workplace-level evidence clearly indicates that place-specific characteristics have a strong influence on job quality</w:t>
      </w:r>
      <w:r>
        <w:rPr>
          <w:color w:val="000000"/>
          <w:kern w:val="0"/>
          <w:szCs w:val="24"/>
          <w:lang w:val="en-US" w:bidi="bn-IN"/>
          <w14:ligatures w14:val="none"/>
        </w:rPr>
        <w:t>,</w:t>
      </w:r>
      <w:r w:rsidRPr="001377FA">
        <w:rPr>
          <w:color w:val="000000"/>
          <w:kern w:val="0"/>
          <w:szCs w:val="24"/>
          <w:lang w:bidi="bn-IN"/>
          <w14:ligatures w14:val="none"/>
        </w:rPr>
        <w:t xml:space="preserve"> and yet the link between place and retail employment in the UK is underexamined.</w:t>
      </w:r>
    </w:p>
    <w:p w14:paraId="438FAC5F" w14:textId="77777777" w:rsidR="00781CA1" w:rsidRPr="001377FA" w:rsidRDefault="00781CA1" w:rsidP="00781CA1">
      <w:pPr>
        <w:rPr>
          <w:color w:val="000000"/>
          <w:kern w:val="0"/>
          <w:szCs w:val="24"/>
          <w:lang w:bidi="bn-IN"/>
          <w14:ligatures w14:val="none"/>
        </w:rPr>
      </w:pPr>
      <w:r w:rsidRPr="001377FA">
        <w:rPr>
          <w:color w:val="000000"/>
          <w:kern w:val="0"/>
          <w:szCs w:val="24"/>
          <w:lang w:bidi="bn-IN"/>
          <w14:ligatures w14:val="none"/>
        </w:rPr>
        <w:lastRenderedPageBreak/>
        <w:t xml:space="preserve">Thirdly, there is an element of inconsistency in measurement. There are some studies that use overall justice, and others </w:t>
      </w:r>
      <w:r>
        <w:rPr>
          <w:color w:val="000000"/>
          <w:kern w:val="0"/>
          <w:szCs w:val="24"/>
          <w:lang w:val="en-US" w:bidi="bn-IN"/>
          <w14:ligatures w14:val="none"/>
        </w:rPr>
        <w:t xml:space="preserve">use </w:t>
      </w:r>
      <w:r w:rsidRPr="001377FA">
        <w:rPr>
          <w:color w:val="000000"/>
          <w:kern w:val="0"/>
          <w:szCs w:val="24"/>
          <w:lang w:bidi="bn-IN"/>
          <w14:ligatures w14:val="none"/>
        </w:rPr>
        <w:t>two</w:t>
      </w:r>
      <w:r>
        <w:rPr>
          <w:color w:val="000000"/>
          <w:kern w:val="0"/>
          <w:szCs w:val="24"/>
          <w:lang w:val="en-US" w:bidi="bn-IN"/>
          <w14:ligatures w14:val="none"/>
        </w:rPr>
        <w:t>,</w:t>
      </w:r>
      <w:r w:rsidRPr="001377FA">
        <w:rPr>
          <w:color w:val="000000"/>
          <w:kern w:val="0"/>
          <w:szCs w:val="24"/>
          <w:lang w:bidi="bn-IN"/>
          <w14:ligatures w14:val="none"/>
        </w:rPr>
        <w:t xml:space="preserve"> three or four dimensions of justice. Commitment sometimes is measured on a global level and sometimes on the affective, normative and continuance level. These decisions may have an impact on conclusions since distributive fairness would replicate gratification and relational therapy would replicate affective commitment. Fourth, most evidence is cross</w:t>
      </w:r>
      <w:r>
        <w:rPr>
          <w:color w:val="000000"/>
          <w:kern w:val="0"/>
          <w:szCs w:val="24"/>
          <w:lang w:val="en-US" w:bidi="bn-IN"/>
          <w14:ligatures w14:val="none"/>
        </w:rPr>
        <w:t>-</w:t>
      </w:r>
      <w:r w:rsidRPr="001377FA">
        <w:rPr>
          <w:color w:val="000000"/>
          <w:kern w:val="0"/>
          <w:szCs w:val="24"/>
          <w:lang w:bidi="bn-IN"/>
          <w14:ligatures w14:val="none"/>
        </w:rPr>
        <w:t>sectional and self</w:t>
      </w:r>
      <w:r>
        <w:rPr>
          <w:color w:val="000000"/>
          <w:kern w:val="0"/>
          <w:szCs w:val="24"/>
          <w:lang w:val="en-US" w:bidi="bn-IN"/>
          <w14:ligatures w14:val="none"/>
        </w:rPr>
        <w:t>-</w:t>
      </w:r>
      <w:r w:rsidRPr="001377FA">
        <w:rPr>
          <w:color w:val="000000"/>
          <w:kern w:val="0"/>
          <w:szCs w:val="24"/>
          <w:lang w:bidi="bn-IN"/>
          <w14:ligatures w14:val="none"/>
        </w:rPr>
        <w:t xml:space="preserve">reported. Two-wave, experimental and linked-data studies provide increased confidence but </w:t>
      </w:r>
      <w:r>
        <w:rPr>
          <w:color w:val="000000"/>
          <w:kern w:val="0"/>
          <w:szCs w:val="24"/>
          <w:lang w:bidi="bn-IN"/>
          <w14:ligatures w14:val="none"/>
        </w:rPr>
        <w:t>do</w:t>
      </w:r>
      <w:r w:rsidRPr="001377FA">
        <w:rPr>
          <w:color w:val="000000"/>
          <w:kern w:val="0"/>
          <w:szCs w:val="24"/>
          <w:lang w:bidi="bn-IN"/>
          <w14:ligatures w14:val="none"/>
        </w:rPr>
        <w:t xml:space="preserve"> not test the proposed UK retail mediation model.</w:t>
      </w:r>
    </w:p>
    <w:p w14:paraId="79D4877C" w14:textId="77777777" w:rsidR="00781CA1" w:rsidRPr="00907C7F" w:rsidRDefault="00781CA1" w:rsidP="00781CA1">
      <w:pPr>
        <w:rPr>
          <w:color w:val="000000"/>
          <w:kern w:val="0"/>
          <w:szCs w:val="24"/>
          <w:lang w:bidi="bn-IN"/>
          <w14:ligatures w14:val="none"/>
        </w:rPr>
      </w:pPr>
      <w:r w:rsidRPr="001377FA">
        <w:rPr>
          <w:color w:val="000000"/>
          <w:kern w:val="0"/>
          <w:szCs w:val="24"/>
          <w:lang w:bidi="bn-IN"/>
          <w14:ligatures w14:val="none"/>
        </w:rPr>
        <w:t>To this end, this dissertation seeks to investigate the link between employment rights awareness and organisational commitment, and to explain the link through organisational justice in the context of the retail sector in the UK. The model combines legal awareness</w:t>
      </w:r>
      <w:r>
        <w:rPr>
          <w:color w:val="000000"/>
          <w:kern w:val="0"/>
          <w:szCs w:val="24"/>
          <w:lang w:bidi="bn-IN"/>
          <w14:ligatures w14:val="none"/>
        </w:rPr>
        <w:t xml:space="preserve"> and</w:t>
      </w:r>
      <w:r w:rsidRPr="001377FA">
        <w:rPr>
          <w:color w:val="000000"/>
          <w:kern w:val="0"/>
          <w:szCs w:val="24"/>
          <w:lang w:bidi="bn-IN"/>
          <w14:ligatures w14:val="none"/>
        </w:rPr>
        <w:t xml:space="preserve"> organisational behavio</w:t>
      </w:r>
      <w:r>
        <w:rPr>
          <w:color w:val="000000"/>
          <w:kern w:val="0"/>
          <w:szCs w:val="24"/>
          <w:lang w:val="en-US" w:bidi="bn-IN"/>
          <w14:ligatures w14:val="none"/>
        </w:rPr>
        <w:t>u</w:t>
      </w:r>
      <w:r w:rsidRPr="001377FA">
        <w:rPr>
          <w:color w:val="000000"/>
          <w:kern w:val="0"/>
          <w:szCs w:val="24"/>
          <w:lang w:bidi="bn-IN"/>
          <w14:ligatures w14:val="none"/>
        </w:rPr>
        <w:t>r and takes cogni</w:t>
      </w:r>
      <w:r>
        <w:rPr>
          <w:color w:val="000000"/>
          <w:kern w:val="0"/>
          <w:szCs w:val="24"/>
          <w:lang w:val="en-US" w:bidi="bn-IN"/>
          <w14:ligatures w14:val="none"/>
        </w:rPr>
        <w:t>s</w:t>
      </w:r>
      <w:r w:rsidRPr="001377FA">
        <w:rPr>
          <w:color w:val="000000"/>
          <w:kern w:val="0"/>
          <w:szCs w:val="24"/>
          <w:lang w:bidi="bn-IN"/>
          <w14:ligatures w14:val="none"/>
        </w:rPr>
        <w:t>ance that awareness could provide confirmation of fairness or reveal unfairness. It also tries to overcome methodological fragmentation, as measures are obtained for all three constructs on a single quantitative level</w:t>
      </w:r>
      <w:r w:rsidRPr="00907C7F">
        <w:rPr>
          <w:color w:val="000000"/>
          <w:kern w:val="0"/>
          <w:szCs w:val="24"/>
          <w:lang w:bidi="bn-IN"/>
          <w14:ligatures w14:val="none"/>
        </w:rPr>
        <w:t>.</w:t>
      </w:r>
    </w:p>
    <w:p w14:paraId="695E8B1E" w14:textId="2DD80D05" w:rsidR="00781CA1" w:rsidRPr="00907C7F" w:rsidRDefault="00781CA1" w:rsidP="00781CA1">
      <w:pPr>
        <w:pStyle w:val="Heading2"/>
      </w:pPr>
      <w:bookmarkStart w:id="30" w:name="_Toc240321827"/>
      <w:r w:rsidRPr="00907C7F">
        <w:t>2.</w:t>
      </w:r>
      <w:r w:rsidR="009F12DB">
        <w:t>9</w:t>
      </w:r>
      <w:r w:rsidRPr="00907C7F">
        <w:t xml:space="preserve"> Conclusion</w:t>
      </w:r>
      <w:bookmarkEnd w:id="30"/>
    </w:p>
    <w:p w14:paraId="6B0BED77" w14:textId="77777777" w:rsidR="00781CA1" w:rsidRPr="00907C7F" w:rsidRDefault="00781CA1" w:rsidP="00781CA1">
      <w:pPr>
        <w:rPr>
          <w:color w:val="000000"/>
          <w:kern w:val="0"/>
          <w:szCs w:val="24"/>
          <w:lang w:bidi="bn-IN"/>
          <w14:ligatures w14:val="none"/>
        </w:rPr>
      </w:pPr>
      <w:r w:rsidRPr="001377FA">
        <w:rPr>
          <w:color w:val="000000"/>
          <w:kern w:val="0"/>
          <w:szCs w:val="24"/>
          <w:lang w:bidi="bn-IN"/>
          <w14:ligatures w14:val="none"/>
        </w:rPr>
        <w:t>The literature's strongest advocate currently for a relationship between awareness of employment rights and organisational commitment is organisational justice. Studies on voice, job-quality and psychological</w:t>
      </w:r>
      <w:r>
        <w:rPr>
          <w:color w:val="000000"/>
          <w:kern w:val="0"/>
          <w:szCs w:val="24"/>
          <w:lang w:val="en-US" w:bidi="bn-IN"/>
          <w14:ligatures w14:val="none"/>
        </w:rPr>
        <w:t xml:space="preserve"> </w:t>
      </w:r>
      <w:r w:rsidRPr="001377FA">
        <w:rPr>
          <w:color w:val="000000"/>
          <w:kern w:val="0"/>
          <w:szCs w:val="24"/>
          <w:lang w:bidi="bn-IN"/>
          <w14:ligatures w14:val="none"/>
        </w:rPr>
        <w:t>contracts reveal that the legal aspects are a reflection of the rather underdeveloped formal conditions of the workplaces. In the field of justice, commitment is always related to fairness of the outcome, processes and treatment, even with industries, countries and measures leading to various pathways. Commitment research also shows that commitment is not necessarily emotional attachment</w:t>
      </w:r>
      <w:r>
        <w:rPr>
          <w:color w:val="000000"/>
          <w:kern w:val="0"/>
          <w:szCs w:val="24"/>
          <w:lang w:val="en-US" w:bidi="bn-IN"/>
          <w14:ligatures w14:val="none"/>
        </w:rPr>
        <w:t>,</w:t>
      </w:r>
      <w:r w:rsidRPr="001377FA">
        <w:rPr>
          <w:color w:val="000000"/>
          <w:kern w:val="0"/>
          <w:szCs w:val="24"/>
          <w:lang w:bidi="bn-IN"/>
          <w14:ligatures w14:val="none"/>
        </w:rPr>
        <w:t xml:space="preserve"> to say it again. The question remains unanswered as to whether rights awareness can be translated into commitment directly, or in the form of fairness evaluation, for retail employees in the UK. This mediation model was therefore tested, taking up a clear conceptual, sectoral and methodological gap</w:t>
      </w:r>
      <w:r w:rsidRPr="00907C7F">
        <w:rPr>
          <w:color w:val="000000"/>
          <w:kern w:val="0"/>
          <w:szCs w:val="24"/>
          <w:lang w:bidi="bn-IN"/>
          <w14:ligatures w14:val="none"/>
        </w:rPr>
        <w:t>.</w:t>
      </w:r>
    </w:p>
    <w:p w14:paraId="71FE9694" w14:textId="77777777" w:rsidR="005A2EDD" w:rsidRDefault="005A2EDD">
      <w:pPr>
        <w:spacing w:before="0" w:after="160" w:line="259" w:lineRule="auto"/>
        <w:jc w:val="left"/>
      </w:pPr>
    </w:p>
    <w:p w14:paraId="0EE47F4C" w14:textId="77777777" w:rsidR="005A2EDD" w:rsidRDefault="005A2EDD">
      <w:pPr>
        <w:spacing w:before="0" w:after="160" w:line="259" w:lineRule="auto"/>
        <w:jc w:val="left"/>
      </w:pPr>
      <w:r>
        <w:br w:type="page"/>
      </w:r>
    </w:p>
    <w:p w14:paraId="6EF4306B" w14:textId="6E072E24" w:rsidR="005A2EDD" w:rsidRDefault="005A2EDD" w:rsidP="005A2EDD">
      <w:pPr>
        <w:pStyle w:val="Heading1"/>
      </w:pPr>
      <w:bookmarkStart w:id="31" w:name="_Toc240321828"/>
      <w:r>
        <w:lastRenderedPageBreak/>
        <w:t xml:space="preserve">Chapter </w:t>
      </w:r>
      <w:r w:rsidR="00D37BAE">
        <w:rPr>
          <w:lang w:val="en-US"/>
        </w:rPr>
        <w:t>Three</w:t>
      </w:r>
      <w:r>
        <w:t>: Methodology</w:t>
      </w:r>
      <w:bookmarkEnd w:id="31"/>
    </w:p>
    <w:p w14:paraId="28F26059" w14:textId="77777777" w:rsidR="005A2EDD" w:rsidRDefault="005A2EDD" w:rsidP="005A2EDD">
      <w:pPr>
        <w:pStyle w:val="Heading2"/>
      </w:pPr>
      <w:bookmarkStart w:id="32" w:name="_Toc240321829"/>
      <w:r>
        <w:t>3.1 Chapter Overview and Introduction</w:t>
      </w:r>
      <w:bookmarkEnd w:id="32"/>
    </w:p>
    <w:p w14:paraId="75670A53" w14:textId="2235F37C" w:rsidR="005A2EDD" w:rsidRDefault="005A2EDD" w:rsidP="005A2EDD">
      <w:r w:rsidRPr="005A2EDD">
        <w:t>This chapter describes the methodology for the study. It introduces the research options that were taken for the analysis of the conventional relation</w:t>
      </w:r>
      <w:r w:rsidR="004F1109">
        <w:t>ship</w:t>
      </w:r>
      <w:r w:rsidRPr="005A2EDD">
        <w:t xml:space="preserve"> between the understanding of employment rights and organisational commitment thereof among retail employees in the United Kingdom. The chapter is structured according to a Research Onion as created by </w:t>
      </w:r>
      <w:r w:rsidR="004F1109">
        <w:t>Saunders, Lewis and Thornhill</w:t>
      </w:r>
      <w:r w:rsidRPr="005A2EDD">
        <w:t xml:space="preserve"> (2023). This model enables the researcher to </w:t>
      </w:r>
      <w:r>
        <w:t>move</w:t>
      </w:r>
      <w:r w:rsidRPr="005A2EDD">
        <w:t xml:space="preserve"> from general assumptions to the specific decisions made when implementing data collection and analysis. This research is based on positivis</w:t>
      </w:r>
      <w:r>
        <w:t>t</w:t>
      </w:r>
      <w:r w:rsidRPr="005A2EDD">
        <w:t xml:space="preserve"> philosophy and </w:t>
      </w:r>
      <w:r>
        <w:t xml:space="preserve">a </w:t>
      </w:r>
      <w:r w:rsidRPr="005A2EDD">
        <w:t>deductive type of research. A survey strategy is employed because the research is expected to yield specific answer</w:t>
      </w:r>
      <w:r>
        <w:t>s</w:t>
      </w:r>
      <w:r w:rsidRPr="005A2EDD">
        <w:t xml:space="preserve"> or responses from retail employees. The study takes </w:t>
      </w:r>
      <w:r>
        <w:t xml:space="preserve">a </w:t>
      </w:r>
      <w:r w:rsidRPr="005A2EDD">
        <w:t xml:space="preserve">mono-method quantitative design and </w:t>
      </w:r>
      <w:r>
        <w:t xml:space="preserve">a </w:t>
      </w:r>
      <w:r w:rsidRPr="005A2EDD">
        <w:t xml:space="preserve">cross-sectional time horizon. To gather primary data, a </w:t>
      </w:r>
      <w:r>
        <w:t>G</w:t>
      </w:r>
      <w:r w:rsidRPr="005A2EDD">
        <w:t xml:space="preserve">oogle </w:t>
      </w:r>
      <w:r>
        <w:t>Form</w:t>
      </w:r>
      <w:r w:rsidRPr="005A2EDD">
        <w:t xml:space="preserve"> will be developed to create a questionnaire</w:t>
      </w:r>
      <w:r w:rsidR="004F1109">
        <w:t xml:space="preserve"> </w:t>
      </w:r>
      <w:r w:rsidR="004F1109" w:rsidRPr="004F1109">
        <w:t>(Aguinis, Bergh and Molina-Azorin, 2022)</w:t>
      </w:r>
      <w:r w:rsidRPr="005A2EDD">
        <w:t>. Target audience: Current employees working in the UK retail sector (</w:t>
      </w:r>
      <w:r w:rsidR="001053AC">
        <w:t>75</w:t>
      </w:r>
      <w:r w:rsidRPr="005A2EDD">
        <w:t xml:space="preserve"> people). Sampling, design of questionnaires, data analysis, and ethics are also covered in the chapter. Such decisions ensure the research is achievable and can be related to the research aim and objectives</w:t>
      </w:r>
      <w:r>
        <w:t>.</w:t>
      </w:r>
    </w:p>
    <w:p w14:paraId="0D0403BF" w14:textId="77777777" w:rsidR="005A2EDD" w:rsidRDefault="005A2EDD" w:rsidP="005A2EDD">
      <w:pPr>
        <w:pStyle w:val="Heading2"/>
      </w:pPr>
      <w:bookmarkStart w:id="33" w:name="_Toc240321830"/>
      <w:r>
        <w:t>3.2 Research Onion</w:t>
      </w:r>
      <w:bookmarkEnd w:id="33"/>
    </w:p>
    <w:p w14:paraId="1310F472" w14:textId="77777777" w:rsidR="009F12DB" w:rsidRDefault="005A2EDD" w:rsidP="005A2EDD">
      <w:r w:rsidRPr="005A2EDD">
        <w:t>The structure for this methodology is the Research Onion. Saunders, Lewis and Thornhill (2023) describe that there are several layers of considerations when making decisions about research. The superficial layers have to do with philosophy and approach. The middle strand is about cover</w:t>
      </w:r>
      <w:r>
        <w:t>age</w:t>
      </w:r>
      <w:r w:rsidRPr="005A2EDD">
        <w:t xml:space="preserve">, methodological approaches and time periods. </w:t>
      </w:r>
    </w:p>
    <w:p w14:paraId="7894A758" w14:textId="77777777" w:rsidR="009F12DB" w:rsidRDefault="009F12DB" w:rsidP="009F12DB">
      <w:pPr>
        <w:keepNext/>
        <w:jc w:val="center"/>
      </w:pPr>
      <w:r>
        <w:rPr>
          <w:noProof/>
          <w14:ligatures w14:val="none"/>
        </w:rPr>
        <w:lastRenderedPageBreak/>
        <w:drawing>
          <wp:inline distT="0" distB="0" distL="0" distR="0" wp14:anchorId="18858577" wp14:editId="5E30211D">
            <wp:extent cx="5567701" cy="3422595"/>
            <wp:effectExtent l="0" t="0" r="0" b="0"/>
            <wp:docPr id="547868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68868" name="Picture 547868868"/>
                    <pic:cNvPicPr/>
                  </pic:nvPicPr>
                  <pic:blipFill rotWithShape="1">
                    <a:blip r:embed="rId11" cstate="print">
                      <a:extLst>
                        <a:ext uri="{28A0092B-C50C-407E-A947-70E740481C1C}">
                          <a14:useLocalDpi xmlns:a14="http://schemas.microsoft.com/office/drawing/2010/main" val="0"/>
                        </a:ext>
                      </a:extLst>
                    </a:blip>
                    <a:srcRect t="10235"/>
                    <a:stretch/>
                  </pic:blipFill>
                  <pic:spPr bwMode="auto">
                    <a:xfrm>
                      <a:off x="0" y="0"/>
                      <a:ext cx="5595287" cy="3439553"/>
                    </a:xfrm>
                    <a:prstGeom prst="rect">
                      <a:avLst/>
                    </a:prstGeom>
                    <a:ln>
                      <a:noFill/>
                    </a:ln>
                    <a:extLst>
                      <a:ext uri="{53640926-AAD7-44D8-BBD7-CCE9431645EC}">
                        <a14:shadowObscured xmlns:a14="http://schemas.microsoft.com/office/drawing/2010/main"/>
                      </a:ext>
                    </a:extLst>
                  </pic:spPr>
                </pic:pic>
              </a:graphicData>
            </a:graphic>
          </wp:inline>
        </w:drawing>
      </w:r>
    </w:p>
    <w:p w14:paraId="51F570AA" w14:textId="6FFEAD28" w:rsidR="009F12DB" w:rsidRDefault="009F12DB" w:rsidP="009F12DB">
      <w:pPr>
        <w:pStyle w:val="Caption"/>
        <w:rPr>
          <w:lang w:val="en-US"/>
        </w:rPr>
      </w:pPr>
      <w:r>
        <w:t xml:space="preserve">Figure </w:t>
      </w:r>
      <w:fldSimple w:instr=" SEQ Figure \* ARABIC ">
        <w:r>
          <w:rPr>
            <w:noProof/>
          </w:rPr>
          <w:t>2</w:t>
        </w:r>
      </w:fldSimple>
      <w:r>
        <w:rPr>
          <w:lang w:val="en-US"/>
        </w:rPr>
        <w:t xml:space="preserve">: </w:t>
      </w:r>
      <w:r w:rsidRPr="009F12DB">
        <w:t>Research Onion</w:t>
      </w:r>
    </w:p>
    <w:p w14:paraId="6974B4E0" w14:textId="63F1E545" w:rsidR="009F12DB" w:rsidRDefault="009F12DB" w:rsidP="009F12DB">
      <w:pPr>
        <w:pStyle w:val="Caption"/>
      </w:pPr>
      <w:r>
        <w:rPr>
          <w:lang w:val="en-US"/>
        </w:rPr>
        <w:t>Source: Author (self-made)</w:t>
      </w:r>
    </w:p>
    <w:p w14:paraId="6E1077F2" w14:textId="0C7E6EFE" w:rsidR="005A2EDD" w:rsidRDefault="005A2EDD" w:rsidP="005A2EDD">
      <w:r w:rsidRPr="005A2EDD">
        <w:t>The inner layer covers the techniques used to collect and analyse data. The following layers are here followed logically. Positivism is selected as the philosophy. Deduction is selected as the approach. A survey is used as the strategy</w:t>
      </w:r>
      <w:r w:rsidR="004F1109">
        <w:t xml:space="preserve"> </w:t>
      </w:r>
      <w:r w:rsidR="004F1109" w:rsidRPr="004F1109">
        <w:t>(Aguinis, Bergh and Molina-Azorin, 2022)</w:t>
      </w:r>
      <w:r w:rsidRPr="005A2EDD">
        <w:t xml:space="preserve">. The research method used is </w:t>
      </w:r>
      <w:r>
        <w:t>a</w:t>
      </w:r>
      <w:r w:rsidRPr="005A2EDD">
        <w:t xml:space="preserve"> m</w:t>
      </w:r>
      <w:r>
        <w:t>ono-m</w:t>
      </w:r>
      <w:r w:rsidRPr="005A2EDD">
        <w:t xml:space="preserve">ethod quantitative research. Information </w:t>
      </w:r>
      <w:r w:rsidR="009F12DB">
        <w:t xml:space="preserve">is </w:t>
      </w:r>
      <w:r w:rsidRPr="005A2EDD">
        <w:t xml:space="preserve">collected during </w:t>
      </w:r>
      <w:r>
        <w:t>a</w:t>
      </w:r>
      <w:r w:rsidRPr="005A2EDD">
        <w:t xml:space="preserve"> </w:t>
      </w:r>
      <w:r>
        <w:t>one-</w:t>
      </w:r>
      <w:r w:rsidRPr="005A2EDD">
        <w:t>period</w:t>
      </w:r>
      <w:r>
        <w:t xml:space="preserve"> </w:t>
      </w:r>
      <w:r w:rsidRPr="005A2EDD">
        <w:t>cross</w:t>
      </w:r>
      <w:r>
        <w:t>-</w:t>
      </w:r>
      <w:r w:rsidRPr="005A2EDD">
        <w:t>sectional time horizon. The last layer concerns the online questionnaire, the use of convenience sampling, the coding</w:t>
      </w:r>
      <w:r>
        <w:t>,</w:t>
      </w:r>
      <w:r w:rsidRPr="005A2EDD">
        <w:t xml:space="preserve"> the descriptive statistics and the correlation analysis. Designing with the Research Onion makes it easier to explain and defend </w:t>
      </w:r>
      <w:r>
        <w:t xml:space="preserve">the </w:t>
      </w:r>
      <w:r w:rsidRPr="005A2EDD">
        <w:t>design. It also affords the opportunity to make sure that each decision is consistent with the same research objective. Each choice of method is also related to the aim of the enquiry</w:t>
      </w:r>
      <w:r>
        <w:t>.</w:t>
      </w:r>
    </w:p>
    <w:p w14:paraId="08D67CA6" w14:textId="77777777" w:rsidR="005A2EDD" w:rsidRDefault="005A2EDD" w:rsidP="005A2EDD">
      <w:pPr>
        <w:pStyle w:val="Heading2"/>
      </w:pPr>
      <w:bookmarkStart w:id="34" w:name="_Toc240321831"/>
      <w:r>
        <w:t>3.3 Research Philosophy</w:t>
      </w:r>
      <w:bookmarkEnd w:id="34"/>
    </w:p>
    <w:p w14:paraId="77BD3E32" w14:textId="00501AD9" w:rsidR="005A2EDD" w:rsidRDefault="005A2EDD" w:rsidP="005A2EDD">
      <w:r>
        <w:t xml:space="preserve">The research philosophy of the research is positivist. Positivism can be used wherever the research involves measurable variables and structured data, thus dealing with patterns or relationships. It is also appropriate if the researcher wants to minimise their own interpretation when collecting and analysing the data (Saunders, Lewis and Thornhill, 2023). This work is primarily not a collection of personal or extended narratives of work experience. Rather, it assesses the employees' knowledge of some specific rights and their declared level of </w:t>
      </w:r>
      <w:r>
        <w:lastRenderedPageBreak/>
        <w:t>attachment to the organisation. These ideas can be turned into numbers through closed questions and a rating scale.</w:t>
      </w:r>
    </w:p>
    <w:p w14:paraId="5865DB09" w14:textId="0A2CA374" w:rsidR="005A2EDD" w:rsidRDefault="005A2EDD" w:rsidP="005A2EDD">
      <w:r>
        <w:t>The planned analysis is also positivist. Responses may be coded, compared, summarised and analysed for relationships. All the participants will be asked to answer the following questionnaire. This helps to ensure consistent comparisons of answers. But employee attitudes are affected by experiences, including their personal and workplace experiences</w:t>
      </w:r>
      <w:r w:rsidR="004F1109">
        <w:t xml:space="preserve"> </w:t>
      </w:r>
      <w:r w:rsidR="004F1109" w:rsidRPr="004F1109">
        <w:t>(Aguinis, Bergh and Molina-Azorin, 2022)</w:t>
      </w:r>
      <w:r>
        <w:t>. With this variety of possibilities, a careful interpretation of the numerical results is therefore necessary. When looking at an employee's opinion, a score is not going to account for everything. The choice of positivism is due to the nature of the research questions and quantitative design and not due to the fact that employees' experiences are simpler.</w:t>
      </w:r>
    </w:p>
    <w:p w14:paraId="5690D07E" w14:textId="77777777" w:rsidR="005A2EDD" w:rsidRDefault="005A2EDD" w:rsidP="005A2EDD">
      <w:pPr>
        <w:pStyle w:val="Heading2"/>
      </w:pPr>
      <w:bookmarkStart w:id="35" w:name="_Toc240321832"/>
      <w:r>
        <w:t>3.4 Research Approach</w:t>
      </w:r>
      <w:bookmarkEnd w:id="35"/>
    </w:p>
    <w:p w14:paraId="5E52E7E9" w14:textId="7E298214" w:rsidR="005A2EDD" w:rsidRDefault="005A2EDD" w:rsidP="005A2EDD">
      <w:r>
        <w:t>The research approach that will be used is deductive. Deduction begins with an already proven theory, concepts and previous research. Data is then gathered and analysed to determine if the relationships mandated in the selected sample can be seen (Saunders, Lewis and Thornhill, 2023). This is appropriate because this study does not aim to propose a new theory. It draws on existing theories concerning employment rights, workplace equity, social exchanges, expectations and psychological and organisational loyalty.</w:t>
      </w:r>
    </w:p>
    <w:p w14:paraId="407F0BDE" w14:textId="73F160E8" w:rsidR="005A2EDD" w:rsidRDefault="005A2EDD" w:rsidP="005A2EDD">
      <w:r>
        <w:t>Employment rights awareness is an independent variable in the study, and organisational commitment is another dependent variable. It also acknowledges that fairness and trust might play a part in understanding employees' reactions to the communication and respect of their rights. The questionnaire and analysis are guided by these ideas. The deductive approach is thus used to connect the literature study and the empirical study</w:t>
      </w:r>
      <w:r w:rsidR="004F1109">
        <w:t xml:space="preserve"> </w:t>
      </w:r>
      <w:r w:rsidR="004F1109" w:rsidRPr="004F1109">
        <w:t>(Li et al., 2021)</w:t>
      </w:r>
      <w:r>
        <w:t>. The research will involve finding out if anticipated trends emerge across the British workforce selling food in shops. Results will be interpreted as sample evidence and not as evidence of a general relationship.</w:t>
      </w:r>
    </w:p>
    <w:p w14:paraId="64F70D14" w14:textId="77777777" w:rsidR="005A2EDD" w:rsidRDefault="005A2EDD" w:rsidP="005A2EDD">
      <w:pPr>
        <w:pStyle w:val="Heading2"/>
      </w:pPr>
      <w:bookmarkStart w:id="36" w:name="_Toc240321833"/>
      <w:r>
        <w:t>3.5 Research Strategy</w:t>
      </w:r>
      <w:bookmarkEnd w:id="36"/>
    </w:p>
    <w:p w14:paraId="58B13B17" w14:textId="3CC4D742" w:rsidR="000F5D3E" w:rsidRDefault="000F5D3E" w:rsidP="000F5D3E">
      <w:r>
        <w:t xml:space="preserve">The research strategy is a survey. A survey is appropriate as the study requires similar data from </w:t>
      </w:r>
      <w:r w:rsidR="001053AC">
        <w:t>75</w:t>
      </w:r>
      <w:r>
        <w:t xml:space="preserve"> retail workers in the UK within a short time frame. The same set of questions can be answered by each participant. This forms a framework that can be used in systematically analysing data. Retail employees whose shifts can change and who don't have as much time to </w:t>
      </w:r>
      <w:r>
        <w:lastRenderedPageBreak/>
        <w:t>spend on interviews could also benefit from the surveys</w:t>
      </w:r>
      <w:r w:rsidR="004F1109">
        <w:t xml:space="preserve"> </w:t>
      </w:r>
      <w:r w:rsidR="004F1109" w:rsidRPr="004F1109">
        <w:t>(Lock and Seele, 2015)</w:t>
      </w:r>
      <w:r>
        <w:t>.</w:t>
      </w:r>
      <w:r w:rsidR="004F1109">
        <w:t xml:space="preserve"> </w:t>
      </w:r>
      <w:r>
        <w:t>The delivery of the questionnaire will be made by Google Forms. Can display consent info, demographic questions, items on the rating scale, and instructions all in one location. It also documents responses and allows for exporting to analyse. The survey will be based on the variables proposed</w:t>
      </w:r>
      <w:r w:rsidR="004F1109">
        <w:t xml:space="preserve"> </w:t>
      </w:r>
      <w:r w:rsidR="004F1109" w:rsidRPr="004F1109">
        <w:t>(Saunders, Lewis and Thornhill, 2023)</w:t>
      </w:r>
      <w:r>
        <w:t>. Employment rights awareness will include minimum wage, holiday entitlement, sick pay, working hours, discrimination rights, complaints procedure and dismissal rights. Organisational commitment will be measured with the items trust, loyalty, emotional attachment, job satisfaction, and intention to remain. Also, some of the items might reflect a sense of justice at the workplace because it is included in the conceptual framework and hypotheses.</w:t>
      </w:r>
    </w:p>
    <w:p w14:paraId="35C8DAA3" w14:textId="0FAD11C8" w:rsidR="005A2EDD" w:rsidRDefault="000F5D3E" w:rsidP="000F5D3E">
      <w:r>
        <w:t>There are some drawbacks to the strategy. Surveys do not give as much detail as interviews and rely on self-reported responses. The wording and length of the questionnaire will be important, however, to make sure it is understandable. The survey provides some direct support for quantitative comparison across the sample, despite these restrictions.</w:t>
      </w:r>
    </w:p>
    <w:p w14:paraId="75786EF0" w14:textId="77777777" w:rsidR="005A2EDD" w:rsidRDefault="005A2EDD" w:rsidP="005A2EDD">
      <w:pPr>
        <w:pStyle w:val="Heading2"/>
      </w:pPr>
      <w:bookmarkStart w:id="37" w:name="_Toc240321834"/>
      <w:r>
        <w:t>3.6 Research Method Choice</w:t>
      </w:r>
      <w:bookmarkEnd w:id="37"/>
    </w:p>
    <w:p w14:paraId="0F3F9F9D" w14:textId="088F43E5" w:rsidR="000F5D3E" w:rsidRDefault="000F5D3E" w:rsidP="000F5D3E">
      <w:r>
        <w:t>The study is a mono-method quantitative one. Only the primary form of data collection will be used. The data for this will be the numerical data entered on the Google Forms questionnaire. Fixed response alternatives will be used for most types of research items. Participants will use Likert Scale questions to show with which they agree or disagree</w:t>
      </w:r>
      <w:r w:rsidR="004F1109">
        <w:t xml:space="preserve"> </w:t>
      </w:r>
      <w:r w:rsidR="004F1109" w:rsidRPr="004F1109">
        <w:t>(Saunders, Lewis and Thornhill, 2023)</w:t>
      </w:r>
      <w:r>
        <w:t>. This design allows the computation of frequencies, percentages, mean scores and correlation.</w:t>
      </w:r>
    </w:p>
    <w:p w14:paraId="731B17B3" w14:textId="50D5F49E" w:rsidR="005A2EDD" w:rsidRDefault="000F5D3E" w:rsidP="000F5D3E">
      <w:r>
        <w:t>Mono method design is appropriate as aims include level, pattern and relationships, but not personalised detail. It also ensures that the project remains manageable, with a manageable time frame and sample size</w:t>
      </w:r>
      <w:r w:rsidR="004F1109">
        <w:t xml:space="preserve"> </w:t>
      </w:r>
      <w:r w:rsidR="004F1109" w:rsidRPr="004F1109">
        <w:t>(Lock and Seele, 2015)</w:t>
      </w:r>
      <w:r>
        <w:t>. It may be beneficial to have more in-depth explanations using qualitative interviews. However, this is beyond the scope of the planned research. Importance is therefore placed on consistency and comparability (even though numbers don't tell the whole story about what happens to staff)</w:t>
      </w:r>
      <w:r w:rsidR="005A2EDD">
        <w:t>.</w:t>
      </w:r>
    </w:p>
    <w:p w14:paraId="71691D5E" w14:textId="77777777" w:rsidR="005A2EDD" w:rsidRDefault="005A2EDD" w:rsidP="005A2EDD">
      <w:pPr>
        <w:pStyle w:val="Heading2"/>
      </w:pPr>
      <w:bookmarkStart w:id="38" w:name="_Toc240321835"/>
      <w:r>
        <w:t>3.7 Research Time Horizon</w:t>
      </w:r>
      <w:bookmarkEnd w:id="38"/>
    </w:p>
    <w:p w14:paraId="41AD56E0" w14:textId="62C3CF12" w:rsidR="005A2EDD" w:rsidRDefault="000F5D3E" w:rsidP="000F5D3E">
      <w:r>
        <w:t xml:space="preserve">The time horizon in this study is the "cross-section". Data is gathered from participants from a specific time period, not from the same employees over months or years. This is suitable as the project seeks to obtain a snapshot of the awareness of employment rights and commitment of </w:t>
      </w:r>
      <w:r>
        <w:lastRenderedPageBreak/>
        <w:t xml:space="preserve">the organisations among the selected sample (Li et al., 2021). A cross-sectional design would be feasible for a small academic research project. Saves time and resources for participating in collecting data over and over again. It is also equivalent to the use of 1 online questionnaire. This type of design, however, does not allow for the display </w:t>
      </w:r>
      <w:r w:rsidR="004F1109">
        <w:t xml:space="preserve">of </w:t>
      </w:r>
      <w:r>
        <w:t>the evolution of awareness or commitment</w:t>
      </w:r>
      <w:r w:rsidR="004F1109">
        <w:t xml:space="preserve"> </w:t>
      </w:r>
      <w:r w:rsidR="004F1109" w:rsidRPr="004F1109">
        <w:t>(Lock and Seele, 2015)</w:t>
      </w:r>
      <w:r>
        <w:t>. It can't find a definitive cause and effect over time. The researcher could report an association but not the causation of one by the other if there is a relationship found</w:t>
      </w:r>
      <w:r w:rsidR="005A2EDD">
        <w:t>.</w:t>
      </w:r>
    </w:p>
    <w:p w14:paraId="31EA9D00" w14:textId="77777777" w:rsidR="005A2EDD" w:rsidRDefault="005A2EDD" w:rsidP="005A2EDD">
      <w:pPr>
        <w:pStyle w:val="Heading2"/>
      </w:pPr>
      <w:bookmarkStart w:id="39" w:name="_Toc240321836"/>
      <w:r>
        <w:t>3.8 Research Techniques and Procedures</w:t>
      </w:r>
      <w:bookmarkEnd w:id="39"/>
    </w:p>
    <w:p w14:paraId="1095E9BC" w14:textId="77777777" w:rsidR="005A2EDD" w:rsidRDefault="005A2EDD" w:rsidP="005A2EDD">
      <w:pPr>
        <w:pStyle w:val="Heading3"/>
      </w:pPr>
      <w:bookmarkStart w:id="40" w:name="_Toc240321837"/>
      <w:r>
        <w:t>3.8.1 Data Collection Methods and Tools</w:t>
      </w:r>
      <w:bookmarkEnd w:id="40"/>
    </w:p>
    <w:p w14:paraId="45264A9F" w14:textId="28B41A3D" w:rsidR="000F5D3E" w:rsidRDefault="000F5D3E" w:rsidP="000F5D3E">
      <w:r>
        <w:t>The data collection method to be used is data collection instruments in the form of questionnaires that have been structured with online media in Google Forms, and primary data will be collected. A short introduction/explanation will be used at the beginning of the questionnaire. It will help the study participants understand the reason for the study, who is eligible for participation, and how the information will be utilised. The main questions will be preceded by a consent statement</w:t>
      </w:r>
      <w:r w:rsidR="004F1109">
        <w:t xml:space="preserve"> </w:t>
      </w:r>
      <w:r w:rsidR="004F1109" w:rsidRPr="004F1109">
        <w:t>(Ragab and Arisha, 2017)</w:t>
      </w:r>
      <w:r>
        <w:t>. Participants will proceed only when they have positively acknowledged that they will participate voluntarily.</w:t>
      </w:r>
    </w:p>
    <w:p w14:paraId="2FEDAC13" w14:textId="33D87FDD" w:rsidR="000F5D3E" w:rsidRDefault="000F5D3E" w:rsidP="000F5D3E">
      <w:r>
        <w:t xml:space="preserve">The target population consists of the current employees in the UK retail sector. The intended number of respondents is </w:t>
      </w:r>
      <w:r w:rsidR="001053AC">
        <w:t>75</w:t>
      </w:r>
      <w:r>
        <w:t>, as reported in the proposal. Convenience sampling is going to be utilised. Available Web contacts and networks will be leveraged to reach participants. This methodology is feasible because there is no actual full sampling frame that can be obtained by the researcher. It also enables data collection to be accomplished within the project time frame. However, there may be selection bias with the use of convenience sampling</w:t>
      </w:r>
      <w:r w:rsidR="004F1109">
        <w:t xml:space="preserve"> </w:t>
      </w:r>
      <w:r w:rsidR="004F1109" w:rsidRPr="004F1109">
        <w:t>(Saunders, Lewis and Thornhill, 2023)</w:t>
      </w:r>
      <w:r>
        <w:t>. Therefore, the results will be descriptive of the sample and cannot be generalised to the wider population of retail staff in the United Kingdom. The questionnaire will feature a number of parts. The first section will gather demographic data including age group, gender, job role and work experience. The next section will assess awareness of employment rights. Topics will include minimum wage, holiday pay, sick pay, working hours, protection against discrimination, grievance process, and protections against dismissal</w:t>
      </w:r>
      <w:r w:rsidR="004F1109">
        <w:t xml:space="preserve"> </w:t>
      </w:r>
      <w:r w:rsidR="004F1109" w:rsidRPr="004F1109">
        <w:t>(Ragab and Arisha, 2017)</w:t>
      </w:r>
      <w:r>
        <w:t>. Organisational commitment will now be assessed by a range of statements relating to trust, loyalty, satisfaction, commitment and intent to stay. If relevant, workplace fairness items will be aligned with the conceptual framework.</w:t>
      </w:r>
    </w:p>
    <w:p w14:paraId="4924672C" w14:textId="6D1B1C37" w:rsidR="005A2EDD" w:rsidRDefault="000F5D3E" w:rsidP="000F5D3E">
      <w:r>
        <w:lastRenderedPageBreak/>
        <w:t>Questions will use simple language. This form will not gather names, e-mail or employers. It will be reviewed for clarity, order, repeated items and technical issues before distribution. This check will contribute towards improved quality responses</w:t>
      </w:r>
      <w:r w:rsidR="005A2EDD">
        <w:t>.</w:t>
      </w:r>
    </w:p>
    <w:p w14:paraId="1496E585" w14:textId="77777777" w:rsidR="005A2EDD" w:rsidRDefault="005A2EDD" w:rsidP="005A2EDD">
      <w:pPr>
        <w:pStyle w:val="Heading3"/>
      </w:pPr>
      <w:bookmarkStart w:id="41" w:name="_Toc240321838"/>
      <w:r>
        <w:t xml:space="preserve">3.8.2 Data Analysis </w:t>
      </w:r>
      <w:r w:rsidRPr="005A2EDD">
        <w:t>Methods</w:t>
      </w:r>
      <w:r>
        <w:t xml:space="preserve"> and Tools</w:t>
      </w:r>
      <w:bookmarkEnd w:id="41"/>
    </w:p>
    <w:p w14:paraId="6E329F0C" w14:textId="516B464E" w:rsidR="000F5D3E" w:rsidRDefault="000F5D3E" w:rsidP="000F5D3E">
      <w:r>
        <w:t>Google Forms will be exported to a Microsoft Excel spreadsheet. The data will be organised, coded, cleaned and analysed using the software Excel. Initial quality control of the data set will include checks for missing answers, obvious duplicate answers, and coding errors. Any responses not meeting the participation requirements will be disqualified. Likert scale responses will be given numerical codes for the purpose of comparing scores. First, descriptive statistics will be used</w:t>
      </w:r>
      <w:r w:rsidR="004F1109">
        <w:t xml:space="preserve"> </w:t>
      </w:r>
      <w:r w:rsidR="004F1109" w:rsidRPr="004F1109">
        <w:t>(Saunders, Lewis and Thornhill, 2023)</w:t>
      </w:r>
      <w:r>
        <w:t>. Demographic characteristics and the responses to the individual awareness questions will be summarised using frequencies and percentages. Mean scores will provide an overall picture of employment rights awareness and organisational commitment. Comparing means between rights areas can help to identify areas of higher and lower awareness. Like summaries will be prepared for commitment items.</w:t>
      </w:r>
    </w:p>
    <w:p w14:paraId="6F1BF2A2" w14:textId="371C09AD" w:rsidR="005A2EDD" w:rsidRDefault="000F5D3E" w:rsidP="000F5D3E">
      <w:r>
        <w:t>The main variables will then be inter-correlated using correlation analysis. It will provide an insight as to whether there is any relationship between employment rights awareness and organisational commitment, as well as the strength and direction of the relationship between these two variables. If conditions are suitable, the workplace relationships of fairness may also be included if present in the conceptual framework of the study and to address the study's hypotheses</w:t>
      </w:r>
      <w:r w:rsidR="004F1109">
        <w:t xml:space="preserve"> </w:t>
      </w:r>
      <w:r w:rsidR="004F1109" w:rsidRPr="004F1109">
        <w:t>(Lock and Seele, 2015)</w:t>
      </w:r>
      <w:r>
        <w:t>. The analysis will follow the same pattern as for the small sample and will involve basic quantitative techniques as in the proposal. The results will be provided in clear tables and charts. Findings will be presented in terms of plain language and will make connections to the research questions. Correlation will not be seen as proof of causation</w:t>
      </w:r>
      <w:r w:rsidR="005A2EDD">
        <w:t>.</w:t>
      </w:r>
    </w:p>
    <w:p w14:paraId="1E381362" w14:textId="77777777" w:rsidR="005A2EDD" w:rsidRDefault="005A2EDD" w:rsidP="005A2EDD">
      <w:pPr>
        <w:pStyle w:val="Heading2"/>
      </w:pPr>
      <w:bookmarkStart w:id="42" w:name="_Toc240321839"/>
      <w:r>
        <w:t>3.9 Ethical Considerations</w:t>
      </w:r>
      <w:bookmarkEnd w:id="42"/>
    </w:p>
    <w:p w14:paraId="44EFDD47" w14:textId="373EA734" w:rsidR="000F5D3E" w:rsidRDefault="000F5D3E" w:rsidP="000F5D3E">
      <w:r>
        <w:t>Collection of the information from employees on workplace rights and attitudes makes ethical care important. Otherwise, everyone will participate on a voluntary basis. Before the questionnaire, all participants will be given information regarding the purpose of the study clearly. Informed consent will be achieved by using the initial portion of Google Forms (Saunders, Lewis and Thornhill, 2023). Participants will be informed that they can terminate prior to handing in the sheet.</w:t>
      </w:r>
    </w:p>
    <w:p w14:paraId="3E5D7A78" w14:textId="374BBEB4" w:rsidR="005A2EDD" w:rsidRDefault="000F5D3E" w:rsidP="000F5D3E">
      <w:r>
        <w:lastRenderedPageBreak/>
        <w:t>No names, personal email addresses, employer names, or similar identifying information will be sought in the questionnaire. This minimises risk of association between the answers and any specific employee or workplace. Questions will be free from unnecessary pressuring or hurting. Questions for participants will not require specific accusations to be made against managers or employers</w:t>
      </w:r>
      <w:r w:rsidR="004F1109">
        <w:t xml:space="preserve"> </w:t>
      </w:r>
      <w:r w:rsidR="004F1109" w:rsidRPr="004F1109">
        <w:t>(Aguinis, Bergh and Molina-Azorin, 2022)</w:t>
      </w:r>
      <w:r>
        <w:t>. Data will not be misused and will be stored securely for use in academic pursuits only. The researcher will present factual findings. Any responses won't be altered to accommodate an expected outcome. The limitations will be addressed, including self-reported data, small sample size, and convenience sampling. These activities promote confidentiality, voluntary participation and responsible research practices</w:t>
      </w:r>
      <w:r w:rsidR="005A2EDD">
        <w:t>.</w:t>
      </w:r>
    </w:p>
    <w:p w14:paraId="23302736" w14:textId="77777777" w:rsidR="005A2EDD" w:rsidRDefault="005A2EDD" w:rsidP="005A2EDD">
      <w:pPr>
        <w:pStyle w:val="Heading2"/>
      </w:pPr>
      <w:bookmarkStart w:id="43" w:name="_Toc240321840"/>
      <w:r>
        <w:t>3.10 Chapter Summary</w:t>
      </w:r>
      <w:bookmarkEnd w:id="43"/>
    </w:p>
    <w:p w14:paraId="095CFF63" w14:textId="132C6D67" w:rsidR="005A2EDD" w:rsidRDefault="000F5D3E" w:rsidP="005A2EDD">
      <w:r w:rsidRPr="000F5D3E">
        <w:t>This chapter has outlined the methodology adopted for the study. The research follows the steps of Saunders</w:t>
      </w:r>
      <w:r>
        <w:t>’</w:t>
      </w:r>
      <w:r w:rsidRPr="000F5D3E">
        <w:t xml:space="preserve"> Research Onion and uses the concepts of positivism, deduction, survey strategy, mono-method quantitative choice and the cross-sectional time horizon</w:t>
      </w:r>
      <w:r w:rsidR="004F1109">
        <w:t xml:space="preserve"> </w:t>
      </w:r>
      <w:r w:rsidR="004F1109" w:rsidRPr="004F1109">
        <w:t>(Aguinis, Bergh and Molina-Azorin, 2022)</w:t>
      </w:r>
      <w:r w:rsidRPr="000F5D3E">
        <w:t xml:space="preserve">. The primary data will be obtained from </w:t>
      </w:r>
      <w:r w:rsidR="001053AC">
        <w:t>75</w:t>
      </w:r>
      <w:r w:rsidRPr="000F5D3E">
        <w:t xml:space="preserve"> employees working in the retail sector in the UK using convenience sampling and through Google Forms. Awareness of important employment rights and organisational commitment will be assessed using the questionnaire (where applicable, workplace fairness will be assessed as well). Coding, descriptive analysis, mean comparison and correlation analysis will be conducted using MS </w:t>
      </w:r>
      <w:r>
        <w:t>Excel</w:t>
      </w:r>
      <w:r w:rsidR="004F1109">
        <w:t xml:space="preserve"> </w:t>
      </w:r>
      <w:r w:rsidR="004F1109" w:rsidRPr="004F1109">
        <w:t>(Saunders, Lewis and Thornhill, 2023)</w:t>
      </w:r>
      <w:r w:rsidRPr="000F5D3E">
        <w:t>. The study will adhere to informed consent, firm protection of anonymity, secure handling of information and honest reporting. These choices ensure a feasible approach for the research questions and form an account of the limitations of a small cross</w:t>
      </w:r>
      <w:r>
        <w:t>-</w:t>
      </w:r>
      <w:r w:rsidRPr="000F5D3E">
        <w:t>sectional survey</w:t>
      </w:r>
      <w:r w:rsidR="005A2EDD">
        <w:t>.</w:t>
      </w:r>
    </w:p>
    <w:p w14:paraId="2F294ABC" w14:textId="77777777" w:rsidR="00455904" w:rsidRDefault="00455904">
      <w:pPr>
        <w:spacing w:before="0" w:after="160" w:line="259" w:lineRule="auto"/>
        <w:jc w:val="left"/>
      </w:pPr>
      <w:r>
        <w:br w:type="page"/>
      </w:r>
    </w:p>
    <w:p w14:paraId="0ECFF10D" w14:textId="5A5A3DB9" w:rsidR="00E37F20" w:rsidRDefault="00E37F20" w:rsidP="00E37F20">
      <w:pPr>
        <w:pStyle w:val="Heading1"/>
      </w:pPr>
      <w:bookmarkStart w:id="44" w:name="_Toc240321841"/>
      <w:r>
        <w:lastRenderedPageBreak/>
        <w:t xml:space="preserve">Chapter </w:t>
      </w:r>
      <w:r w:rsidR="00D37BAE">
        <w:t>Four</w:t>
      </w:r>
      <w:r>
        <w:t>: Findings and Discussion</w:t>
      </w:r>
      <w:bookmarkEnd w:id="44"/>
    </w:p>
    <w:p w14:paraId="5A5F34FF" w14:textId="77777777" w:rsidR="00E37F20" w:rsidRDefault="00E37F20" w:rsidP="00E37F20">
      <w:pPr>
        <w:pStyle w:val="Heading2"/>
      </w:pPr>
      <w:bookmarkStart w:id="45" w:name="_Toc240321842"/>
      <w:r>
        <w:t>4.1 Introduction</w:t>
      </w:r>
      <w:bookmarkEnd w:id="45"/>
    </w:p>
    <w:p w14:paraId="1180FA19" w14:textId="3F335A98" w:rsidR="00E37F20" w:rsidRDefault="00794018" w:rsidP="00E37F20">
      <w:r w:rsidRPr="00794018">
        <w:t>In this chapter, 75 questionnaires, which have already been filled out by the retail personnel in the United Kingdom, are analysed</w:t>
      </w:r>
      <w:r>
        <w:t>,</w:t>
      </w:r>
      <w:r w:rsidRPr="00794018">
        <w:t xml:space="preserve"> and four hypotheses from Chapter 2 are </w:t>
      </w:r>
      <w:r>
        <w:t>tes</w:t>
      </w:r>
      <w:r w:rsidRPr="00794018">
        <w:t>ted. A logical order is followed according to the sequence of the supervisor: Industry context, demographics, reliability testing, hypothesis testing, discussion and conclusion. Data were subjected to consent, eligibility and completeness and requested coders to check for accuracy and validity</w:t>
      </w:r>
      <w:r w:rsidR="00347332">
        <w:t xml:space="preserve"> </w:t>
      </w:r>
      <w:r w:rsidR="00347332" w:rsidRPr="00347332">
        <w:t>(Manolopoulos et al., 2022)</w:t>
      </w:r>
      <w:r w:rsidRPr="00794018">
        <w:t>. In all, responses were unanimous, no values were missing, and Likert data were in the correct range (1-5)</w:t>
      </w:r>
      <w:r>
        <w:t>. C</w:t>
      </w:r>
      <w:r w:rsidRPr="00794018">
        <w:t>ases were retained. The mean scores were for employment rights awareness (Q8–Q14), organisational justice (Q15–Q22) and organisational commitment (Q23–Q30), and both were non-reverse-coded. Association, rather than causation, was assessed by correlation, ordinary least squares regression and bootstrapped mediation analysis, and significance and different magnitudes were reported along with the ability to explain and uncertainty</w:t>
      </w:r>
      <w:r w:rsidR="00E37F20">
        <w:t>.</w:t>
      </w:r>
    </w:p>
    <w:p w14:paraId="1C07544C" w14:textId="77777777" w:rsidR="00E37F20" w:rsidRDefault="00E37F20" w:rsidP="00E37F20">
      <w:pPr>
        <w:pStyle w:val="Heading2"/>
      </w:pPr>
      <w:bookmarkStart w:id="46" w:name="_Toc240321843"/>
      <w:r>
        <w:t>4.2 Background to the UK Retail Industry</w:t>
      </w:r>
      <w:bookmarkEnd w:id="46"/>
    </w:p>
    <w:p w14:paraId="4D2214AE" w14:textId="2E7DDA86" w:rsidR="00794018" w:rsidRPr="00794018" w:rsidRDefault="00794018" w:rsidP="00794018">
      <w:r w:rsidRPr="00794018">
        <w:t xml:space="preserve">The UK retail sector is analytically significant since employment rights are lived through the operational choices, in addition to policy. Employers are paired with stores, warehouses and online </w:t>
      </w:r>
      <w:r>
        <w:t xml:space="preserve">operations </w:t>
      </w:r>
      <w:r w:rsidRPr="00794018">
        <w:t>that are dispersed. Employees across all of the aforementioned working positions are employed</w:t>
      </w:r>
      <w:r w:rsidR="00347332">
        <w:rPr>
          <w:lang w:val="en-US"/>
        </w:rPr>
        <w:t xml:space="preserve"> </w:t>
      </w:r>
      <w:r w:rsidR="00347332" w:rsidRPr="00347332">
        <w:t>(Jang et al., 2021)</w:t>
      </w:r>
      <w:r>
        <w:rPr>
          <w:lang w:val="en-US"/>
        </w:rPr>
        <w:t>. L</w:t>
      </w:r>
      <w:r w:rsidRPr="00794018">
        <w:t xml:space="preserve">ine managers are responsible for implementation through rotas, decisions on leave, performance management and grievance handling. However, given the differences in pay, flexibility of work time, stress of work and less autonomy is more significant in FIs, which makes fair implementation more important to be considered </w:t>
      </w:r>
      <w:r w:rsidR="00347332" w:rsidRPr="00347332">
        <w:t>(Lambert et al., 2021)</w:t>
      </w:r>
      <w:r w:rsidRPr="00794018">
        <w:t>. The employees' entit</w:t>
      </w:r>
      <w:r>
        <w:rPr>
          <w:lang w:val="en-US"/>
        </w:rPr>
        <w:t>l</w:t>
      </w:r>
      <w:r w:rsidRPr="00794018">
        <w:t>ement thus does not imply understanding, safe use of rights or a sense of justice.</w:t>
      </w:r>
    </w:p>
    <w:p w14:paraId="1C9AD131" w14:textId="075B455A" w:rsidR="00E37F20" w:rsidRPr="002E7344" w:rsidRDefault="00794018" w:rsidP="00794018">
      <w:r w:rsidRPr="00794018">
        <w:t>It is this difference that forms the basis for the conceptual model. During vulnerability, and during conflict, sick pay, grievances, working-time and dismissal rights come to the fore, while minimum wage and annual leave are routine and observable. Formal information would reinforce confidence if the practice is compliant, and also illustrate the inconsistencies</w:t>
      </w:r>
      <w:r w:rsidR="00347332">
        <w:rPr>
          <w:lang w:val="en-US"/>
        </w:rPr>
        <w:t xml:space="preserve"> </w:t>
      </w:r>
      <w:r w:rsidR="00347332" w:rsidRPr="00347332">
        <w:t>(Gallie et al., 2021)</w:t>
      </w:r>
      <w:r w:rsidRPr="00794018">
        <w:t>. Organisational justice hence is connected with employee perceptions regarding their organisation. Pay, shifts and leave are examples of outcomes for distributive justice</w:t>
      </w:r>
      <w:r>
        <w:rPr>
          <w:lang w:val="en-US"/>
        </w:rPr>
        <w:t>,</w:t>
      </w:r>
      <w:r w:rsidRPr="00794018">
        <w:t xml:space="preserve"> whilst procedural justice is about consistency, voice and appeals</w:t>
      </w:r>
      <w:r>
        <w:rPr>
          <w:lang w:val="en-US"/>
        </w:rPr>
        <w:t>,</w:t>
      </w:r>
      <w:r w:rsidRPr="00794018">
        <w:t xml:space="preserve"> and interactional and informational </w:t>
      </w:r>
      <w:r w:rsidRPr="00794018">
        <w:lastRenderedPageBreak/>
        <w:t xml:space="preserve">justice is about dignity and explanations </w:t>
      </w:r>
      <w:r w:rsidR="00347332" w:rsidRPr="00347332">
        <w:t>(Gallie et al., 2021)</w:t>
      </w:r>
      <w:r w:rsidRPr="00794018">
        <w:t>. The diverse workplaces and situational decisions faced by employees in retail therefore make it a setting where awareness of rights, perceptions of fairness, and commitment to the organisation can facilitate and/or conflict</w:t>
      </w:r>
      <w:r w:rsidR="00E37F20">
        <w:t>.</w:t>
      </w:r>
    </w:p>
    <w:p w14:paraId="7A5814F9" w14:textId="77777777" w:rsidR="00E37F20" w:rsidRDefault="00E37F20" w:rsidP="00E37F20">
      <w:pPr>
        <w:pStyle w:val="Heading2"/>
      </w:pPr>
      <w:bookmarkStart w:id="47" w:name="_Toc240321844"/>
      <w:r>
        <w:t>4.3 Demographic Analysis</w:t>
      </w:r>
      <w:bookmarkEnd w:id="47"/>
    </w:p>
    <w:p w14:paraId="75F994ED" w14:textId="20235FC9" w:rsidR="00794018" w:rsidRPr="00794018" w:rsidRDefault="00794018" w:rsidP="00794018">
      <w:r w:rsidRPr="00794018">
        <w:t>The characteristics of the sample are summarised in Table 4.1. Younger workers were prominent: 21 respondents were aged 18–24 and 21 were 25–34, together 56.0%; 16 were 35–44, 15 were 45–54, and two were 55 or above. Women were 50.7%. and men 45.3% and others or gender not disclosed w</w:t>
      </w:r>
      <w:r>
        <w:t>ere</w:t>
      </w:r>
      <w:r w:rsidRPr="00794018">
        <w:t xml:space="preserve"> 4%. There was a wide range of employment arrangements (52.0% full-time; 24.0% part-time; 10.7% zero-hours or casual; 8.0% agency and 2.7% in temporary employment and apprenticeship arrangements). Supermarket/grocery (30.7%) and department/general merchandise (30.7%) lead, with electronics/and home goods (14.7%), clothing/fashion (9.3%), pharmacy/health/beauty (6.7%), online retail (6.7%) and other retail (1.3%). Frontline/customer-service staff accounted for 53.3%, warehouse/stock for 21.3%, head-office for 12.0%, managers for 8.0% and supervisors for 5.3%.</w:t>
      </w:r>
    </w:p>
    <w:p w14:paraId="145331E2" w14:textId="0EEDD8DF" w:rsidR="00E37F20" w:rsidRPr="002E7344" w:rsidRDefault="00794018" w:rsidP="00794018">
      <w:r w:rsidRPr="00794018">
        <w:t>Convenience and network recruitment cause a limitation within the representativeness of the sample</w:t>
      </w:r>
      <w:r>
        <w:rPr>
          <w:lang w:val="en-US"/>
        </w:rPr>
        <w:t>,</w:t>
      </w:r>
      <w:r w:rsidRPr="00794018">
        <w:t xml:space="preserve"> as varied retail roles and contracts were obtained while management grades were scarce. Tenure enhances contextual responsibility – 61.0% have worked for at least three years, 22.7% worked for one to two years, and 16.0% less than one year. The majority were reexposed to decision makers' actions. But the number of participants in each of the subgroups did not prove to be appropriate for stable moderation analysis. Age thus fails to be an assessment of variance; rather, it is a boundary of a line of reasoning, particularly as frontline, warehouse, contingent and managerial workers may have distinct experiences of scheduling, rewards, policy and commitment in their retail workplaces</w:t>
      </w:r>
      <w:r w:rsidR="00E37F20">
        <w:t>.</w:t>
      </w:r>
    </w:p>
    <w:p w14:paraId="56AD5C1B" w14:textId="77777777" w:rsidR="00E37F20" w:rsidRDefault="00E37F20" w:rsidP="00E37F20">
      <w:r>
        <w:t>Table 4.1 Respondent profile</w:t>
      </w:r>
    </w:p>
    <w:tbl>
      <w:tblPr>
        <w:tblW w:w="8928" w:type="dxa"/>
        <w:jc w:val="center"/>
        <w:tblLayout w:type="fixed"/>
        <w:tblLook w:val="04A0" w:firstRow="1" w:lastRow="0" w:firstColumn="1" w:lastColumn="0" w:noHBand="0" w:noVBand="1"/>
      </w:tblPr>
      <w:tblGrid>
        <w:gridCol w:w="2189"/>
        <w:gridCol w:w="5256"/>
        <w:gridCol w:w="1483"/>
      </w:tblGrid>
      <w:tr w:rsidR="00E37F20" w14:paraId="46B04E59" w14:textId="77777777" w:rsidTr="000C6B24">
        <w:trPr>
          <w:tblHeader/>
          <w:jc w:val="center"/>
        </w:trPr>
        <w:tc>
          <w:tcPr>
            <w:tcW w:w="2189" w:type="dxa"/>
            <w:tcBorders>
              <w:top w:val="single" w:sz="12" w:space="0" w:color="000000"/>
              <w:left w:val="nil"/>
              <w:bottom w:val="single" w:sz="10" w:space="0" w:color="000000"/>
              <w:right w:val="nil"/>
            </w:tcBorders>
            <w:shd w:val="clear" w:color="auto" w:fill="B4C6E7"/>
            <w:tcMar>
              <w:top w:w="80" w:type="dxa"/>
              <w:left w:w="100" w:type="dxa"/>
              <w:bottom w:w="80" w:type="dxa"/>
              <w:right w:w="100" w:type="dxa"/>
            </w:tcMar>
            <w:vAlign w:val="center"/>
          </w:tcPr>
          <w:p w14:paraId="53B349B4" w14:textId="77777777" w:rsidR="00E37F20" w:rsidRDefault="00E37F20" w:rsidP="000C6B24">
            <w:pPr>
              <w:spacing w:after="0" w:line="240" w:lineRule="auto"/>
              <w:jc w:val="center"/>
            </w:pPr>
            <w:r>
              <w:rPr>
                <w:b/>
                <w:color w:val="000000"/>
                <w:sz w:val="18"/>
              </w:rPr>
              <w:t>Characteristic</w:t>
            </w:r>
          </w:p>
        </w:tc>
        <w:tc>
          <w:tcPr>
            <w:tcW w:w="5256" w:type="dxa"/>
            <w:tcBorders>
              <w:top w:val="single" w:sz="12" w:space="0" w:color="000000"/>
              <w:left w:val="nil"/>
              <w:bottom w:val="single" w:sz="10" w:space="0" w:color="000000"/>
              <w:right w:val="nil"/>
            </w:tcBorders>
            <w:shd w:val="clear" w:color="auto" w:fill="B4C6E7"/>
            <w:tcMar>
              <w:top w:w="80" w:type="dxa"/>
              <w:left w:w="100" w:type="dxa"/>
              <w:bottom w:w="80" w:type="dxa"/>
              <w:right w:w="100" w:type="dxa"/>
            </w:tcMar>
            <w:vAlign w:val="center"/>
          </w:tcPr>
          <w:p w14:paraId="201F6CB0" w14:textId="77777777" w:rsidR="00E37F20" w:rsidRDefault="00E37F20" w:rsidP="000C6B24">
            <w:pPr>
              <w:spacing w:after="0" w:line="240" w:lineRule="auto"/>
              <w:jc w:val="center"/>
            </w:pPr>
            <w:r>
              <w:rPr>
                <w:b/>
                <w:color w:val="000000"/>
                <w:sz w:val="18"/>
              </w:rPr>
              <w:t>Category</w:t>
            </w:r>
          </w:p>
        </w:tc>
        <w:tc>
          <w:tcPr>
            <w:tcW w:w="1483" w:type="dxa"/>
            <w:tcBorders>
              <w:top w:val="single" w:sz="12" w:space="0" w:color="000000"/>
              <w:left w:val="nil"/>
              <w:bottom w:val="single" w:sz="10" w:space="0" w:color="000000"/>
              <w:right w:val="nil"/>
            </w:tcBorders>
            <w:shd w:val="clear" w:color="auto" w:fill="B4C6E7"/>
            <w:tcMar>
              <w:top w:w="80" w:type="dxa"/>
              <w:left w:w="100" w:type="dxa"/>
              <w:bottom w:w="80" w:type="dxa"/>
              <w:right w:w="100" w:type="dxa"/>
            </w:tcMar>
            <w:vAlign w:val="center"/>
          </w:tcPr>
          <w:p w14:paraId="70995DCC" w14:textId="77777777" w:rsidR="00E37F20" w:rsidRDefault="00E37F20" w:rsidP="000C6B24">
            <w:pPr>
              <w:spacing w:after="0" w:line="240" w:lineRule="auto"/>
              <w:jc w:val="center"/>
            </w:pPr>
            <w:r>
              <w:rPr>
                <w:b/>
                <w:color w:val="000000"/>
                <w:sz w:val="18"/>
              </w:rPr>
              <w:t>n (%)</w:t>
            </w:r>
          </w:p>
        </w:tc>
      </w:tr>
      <w:tr w:rsidR="00E37F20" w14:paraId="625A802C"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74BA941B" w14:textId="77777777" w:rsidR="00E37F20" w:rsidRDefault="00E37F20" w:rsidP="000C6B24">
            <w:pPr>
              <w:spacing w:after="0" w:line="240" w:lineRule="auto"/>
              <w:jc w:val="left"/>
            </w:pPr>
            <w:r>
              <w:rPr>
                <w:b/>
                <w:color w:val="000000"/>
                <w:sz w:val="18"/>
              </w:rPr>
              <w:t>Age</w:t>
            </w:r>
          </w:p>
        </w:tc>
        <w:tc>
          <w:tcPr>
            <w:tcW w:w="5256" w:type="dxa"/>
            <w:tcBorders>
              <w:left w:val="nil"/>
              <w:bottom w:val="nil"/>
              <w:right w:val="nil"/>
            </w:tcBorders>
            <w:tcMar>
              <w:top w:w="80" w:type="dxa"/>
              <w:left w:w="100" w:type="dxa"/>
              <w:bottom w:w="80" w:type="dxa"/>
              <w:right w:w="100" w:type="dxa"/>
            </w:tcMar>
            <w:vAlign w:val="center"/>
          </w:tcPr>
          <w:p w14:paraId="34D0BF9A" w14:textId="77777777" w:rsidR="00E37F20" w:rsidRDefault="00E37F20" w:rsidP="000C6B24">
            <w:pPr>
              <w:spacing w:after="0" w:line="240" w:lineRule="auto"/>
              <w:jc w:val="left"/>
            </w:pPr>
            <w:r>
              <w:rPr>
                <w:color w:val="000000"/>
                <w:sz w:val="18"/>
              </w:rPr>
              <w:t>18–24</w:t>
            </w:r>
          </w:p>
        </w:tc>
        <w:tc>
          <w:tcPr>
            <w:tcW w:w="1483" w:type="dxa"/>
            <w:tcBorders>
              <w:left w:val="nil"/>
              <w:bottom w:val="nil"/>
              <w:right w:val="nil"/>
            </w:tcBorders>
            <w:tcMar>
              <w:top w:w="80" w:type="dxa"/>
              <w:left w:w="100" w:type="dxa"/>
              <w:bottom w:w="80" w:type="dxa"/>
              <w:right w:w="100" w:type="dxa"/>
            </w:tcMar>
            <w:vAlign w:val="center"/>
          </w:tcPr>
          <w:p w14:paraId="47535115" w14:textId="77777777" w:rsidR="00E37F20" w:rsidRDefault="00E37F20" w:rsidP="000C6B24">
            <w:pPr>
              <w:spacing w:after="0" w:line="240" w:lineRule="auto"/>
              <w:jc w:val="center"/>
            </w:pPr>
            <w:r>
              <w:rPr>
                <w:color w:val="000000"/>
                <w:sz w:val="18"/>
              </w:rPr>
              <w:t>21 (28.0%)</w:t>
            </w:r>
          </w:p>
        </w:tc>
      </w:tr>
      <w:tr w:rsidR="00E37F20" w14:paraId="280866B7"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44F40741"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60C71856" w14:textId="77777777" w:rsidR="00E37F20" w:rsidRDefault="00E37F20" w:rsidP="000C6B24">
            <w:pPr>
              <w:spacing w:after="0" w:line="240" w:lineRule="auto"/>
              <w:jc w:val="left"/>
            </w:pPr>
            <w:r>
              <w:rPr>
                <w:color w:val="000000"/>
                <w:sz w:val="18"/>
              </w:rPr>
              <w:t>25–34</w:t>
            </w:r>
          </w:p>
        </w:tc>
        <w:tc>
          <w:tcPr>
            <w:tcW w:w="1483" w:type="dxa"/>
            <w:tcBorders>
              <w:left w:val="nil"/>
              <w:bottom w:val="nil"/>
              <w:right w:val="nil"/>
            </w:tcBorders>
            <w:tcMar>
              <w:top w:w="80" w:type="dxa"/>
              <w:left w:w="100" w:type="dxa"/>
              <w:bottom w:w="80" w:type="dxa"/>
              <w:right w:w="100" w:type="dxa"/>
            </w:tcMar>
            <w:vAlign w:val="center"/>
          </w:tcPr>
          <w:p w14:paraId="50FD7F45" w14:textId="77777777" w:rsidR="00E37F20" w:rsidRDefault="00E37F20" w:rsidP="000C6B24">
            <w:pPr>
              <w:spacing w:after="0" w:line="240" w:lineRule="auto"/>
              <w:jc w:val="center"/>
            </w:pPr>
            <w:r>
              <w:rPr>
                <w:color w:val="000000"/>
                <w:sz w:val="18"/>
              </w:rPr>
              <w:t>21 (28.0%)</w:t>
            </w:r>
          </w:p>
        </w:tc>
      </w:tr>
      <w:tr w:rsidR="00E37F20" w14:paraId="599650B9"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65593C7E"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2B728897" w14:textId="77777777" w:rsidR="00E37F20" w:rsidRDefault="00E37F20" w:rsidP="000C6B24">
            <w:pPr>
              <w:spacing w:after="0" w:line="240" w:lineRule="auto"/>
              <w:jc w:val="left"/>
            </w:pPr>
            <w:r>
              <w:rPr>
                <w:color w:val="000000"/>
                <w:sz w:val="18"/>
              </w:rPr>
              <w:t>35–44</w:t>
            </w:r>
          </w:p>
        </w:tc>
        <w:tc>
          <w:tcPr>
            <w:tcW w:w="1483" w:type="dxa"/>
            <w:tcBorders>
              <w:left w:val="nil"/>
              <w:bottom w:val="nil"/>
              <w:right w:val="nil"/>
            </w:tcBorders>
            <w:tcMar>
              <w:top w:w="80" w:type="dxa"/>
              <w:left w:w="100" w:type="dxa"/>
              <w:bottom w:w="80" w:type="dxa"/>
              <w:right w:w="100" w:type="dxa"/>
            </w:tcMar>
            <w:vAlign w:val="center"/>
          </w:tcPr>
          <w:p w14:paraId="63EEC206" w14:textId="77777777" w:rsidR="00E37F20" w:rsidRDefault="00E37F20" w:rsidP="000C6B24">
            <w:pPr>
              <w:spacing w:after="0" w:line="240" w:lineRule="auto"/>
              <w:jc w:val="center"/>
            </w:pPr>
            <w:r>
              <w:rPr>
                <w:color w:val="000000"/>
                <w:sz w:val="18"/>
              </w:rPr>
              <w:t>16 (21.3%)</w:t>
            </w:r>
          </w:p>
        </w:tc>
      </w:tr>
      <w:tr w:rsidR="00E37F20" w14:paraId="48D098A9"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76A39C4D"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DB020AB" w14:textId="77777777" w:rsidR="00E37F20" w:rsidRDefault="00E37F20" w:rsidP="000C6B24">
            <w:pPr>
              <w:spacing w:after="0" w:line="240" w:lineRule="auto"/>
              <w:jc w:val="left"/>
            </w:pPr>
            <w:r>
              <w:rPr>
                <w:color w:val="000000"/>
                <w:sz w:val="18"/>
              </w:rPr>
              <w:t>45–54</w:t>
            </w:r>
          </w:p>
        </w:tc>
        <w:tc>
          <w:tcPr>
            <w:tcW w:w="1483" w:type="dxa"/>
            <w:tcBorders>
              <w:left w:val="nil"/>
              <w:bottom w:val="nil"/>
              <w:right w:val="nil"/>
            </w:tcBorders>
            <w:tcMar>
              <w:top w:w="80" w:type="dxa"/>
              <w:left w:w="100" w:type="dxa"/>
              <w:bottom w:w="80" w:type="dxa"/>
              <w:right w:w="100" w:type="dxa"/>
            </w:tcMar>
            <w:vAlign w:val="center"/>
          </w:tcPr>
          <w:p w14:paraId="68E23322" w14:textId="77777777" w:rsidR="00E37F20" w:rsidRDefault="00E37F20" w:rsidP="000C6B24">
            <w:pPr>
              <w:spacing w:after="0" w:line="240" w:lineRule="auto"/>
              <w:jc w:val="center"/>
            </w:pPr>
            <w:r>
              <w:rPr>
                <w:color w:val="000000"/>
                <w:sz w:val="18"/>
              </w:rPr>
              <w:t>15 (20.0%)</w:t>
            </w:r>
          </w:p>
        </w:tc>
      </w:tr>
      <w:tr w:rsidR="00E37F20" w14:paraId="29CB4DA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57D6829"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37119B6D" w14:textId="77777777" w:rsidR="00E37F20" w:rsidRDefault="00E37F20" w:rsidP="000C6B24">
            <w:pPr>
              <w:spacing w:after="0" w:line="240" w:lineRule="auto"/>
              <w:jc w:val="left"/>
            </w:pPr>
            <w:r>
              <w:rPr>
                <w:color w:val="000000"/>
                <w:sz w:val="18"/>
              </w:rPr>
              <w:t>55 or above</w:t>
            </w:r>
          </w:p>
        </w:tc>
        <w:tc>
          <w:tcPr>
            <w:tcW w:w="1483" w:type="dxa"/>
            <w:tcBorders>
              <w:left w:val="nil"/>
              <w:bottom w:val="nil"/>
              <w:right w:val="nil"/>
            </w:tcBorders>
            <w:tcMar>
              <w:top w:w="80" w:type="dxa"/>
              <w:left w:w="100" w:type="dxa"/>
              <w:bottom w:w="80" w:type="dxa"/>
              <w:right w:w="100" w:type="dxa"/>
            </w:tcMar>
            <w:vAlign w:val="center"/>
          </w:tcPr>
          <w:p w14:paraId="398476B8" w14:textId="77777777" w:rsidR="00E37F20" w:rsidRDefault="00E37F20" w:rsidP="000C6B24">
            <w:pPr>
              <w:spacing w:after="0" w:line="240" w:lineRule="auto"/>
              <w:jc w:val="center"/>
            </w:pPr>
            <w:r>
              <w:rPr>
                <w:color w:val="000000"/>
                <w:sz w:val="18"/>
              </w:rPr>
              <w:t>2 (2.7%)</w:t>
            </w:r>
          </w:p>
        </w:tc>
      </w:tr>
      <w:tr w:rsidR="00E37F20" w14:paraId="28DD3733" w14:textId="77777777" w:rsidTr="000C6B24">
        <w:trPr>
          <w:cantSplit/>
          <w:jc w:val="center"/>
        </w:trPr>
        <w:tc>
          <w:tcPr>
            <w:tcW w:w="2189" w:type="dxa"/>
            <w:tcBorders>
              <w:top w:val="single" w:sz="8" w:space="0" w:color="666666"/>
              <w:left w:val="nil"/>
              <w:bottom w:val="nil"/>
              <w:right w:val="nil"/>
            </w:tcBorders>
            <w:tcMar>
              <w:top w:w="80" w:type="dxa"/>
              <w:left w:w="100" w:type="dxa"/>
              <w:bottom w:w="80" w:type="dxa"/>
              <w:right w:w="100" w:type="dxa"/>
            </w:tcMar>
            <w:vAlign w:val="center"/>
          </w:tcPr>
          <w:p w14:paraId="776FE812" w14:textId="77777777" w:rsidR="00E37F20" w:rsidRDefault="00E37F20" w:rsidP="000C6B24">
            <w:pPr>
              <w:spacing w:after="0" w:line="240" w:lineRule="auto"/>
              <w:jc w:val="left"/>
            </w:pPr>
            <w:r>
              <w:rPr>
                <w:b/>
                <w:color w:val="000000"/>
                <w:sz w:val="18"/>
              </w:rPr>
              <w:t>Gender</w:t>
            </w:r>
          </w:p>
        </w:tc>
        <w:tc>
          <w:tcPr>
            <w:tcW w:w="5256" w:type="dxa"/>
            <w:tcBorders>
              <w:top w:val="single" w:sz="8" w:space="0" w:color="666666"/>
              <w:left w:val="nil"/>
              <w:bottom w:val="nil"/>
              <w:right w:val="nil"/>
            </w:tcBorders>
            <w:tcMar>
              <w:top w:w="80" w:type="dxa"/>
              <w:left w:w="100" w:type="dxa"/>
              <w:bottom w:w="80" w:type="dxa"/>
              <w:right w:w="100" w:type="dxa"/>
            </w:tcMar>
            <w:vAlign w:val="center"/>
          </w:tcPr>
          <w:p w14:paraId="1B26EEE8" w14:textId="77777777" w:rsidR="00E37F20" w:rsidRDefault="00E37F20" w:rsidP="000C6B24">
            <w:pPr>
              <w:spacing w:after="0" w:line="240" w:lineRule="auto"/>
              <w:jc w:val="left"/>
            </w:pPr>
            <w:r>
              <w:rPr>
                <w:color w:val="000000"/>
                <w:sz w:val="18"/>
              </w:rPr>
              <w:t>Female</w:t>
            </w:r>
          </w:p>
        </w:tc>
        <w:tc>
          <w:tcPr>
            <w:tcW w:w="1483" w:type="dxa"/>
            <w:tcBorders>
              <w:top w:val="single" w:sz="8" w:space="0" w:color="666666"/>
              <w:left w:val="nil"/>
              <w:bottom w:val="nil"/>
              <w:right w:val="nil"/>
            </w:tcBorders>
            <w:tcMar>
              <w:top w:w="80" w:type="dxa"/>
              <w:left w:w="100" w:type="dxa"/>
              <w:bottom w:w="80" w:type="dxa"/>
              <w:right w:w="100" w:type="dxa"/>
            </w:tcMar>
            <w:vAlign w:val="center"/>
          </w:tcPr>
          <w:p w14:paraId="3FA7F134" w14:textId="77777777" w:rsidR="00E37F20" w:rsidRDefault="00E37F20" w:rsidP="000C6B24">
            <w:pPr>
              <w:spacing w:after="0" w:line="240" w:lineRule="auto"/>
              <w:jc w:val="center"/>
            </w:pPr>
            <w:r>
              <w:rPr>
                <w:color w:val="000000"/>
                <w:sz w:val="18"/>
              </w:rPr>
              <w:t>38 (50.7%)</w:t>
            </w:r>
          </w:p>
        </w:tc>
      </w:tr>
      <w:tr w:rsidR="00E37F20" w14:paraId="7CA98F60"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499B7B2A"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6CD0D9B7" w14:textId="77777777" w:rsidR="00E37F20" w:rsidRDefault="00E37F20" w:rsidP="000C6B24">
            <w:pPr>
              <w:spacing w:after="0" w:line="240" w:lineRule="auto"/>
              <w:jc w:val="left"/>
            </w:pPr>
            <w:r>
              <w:rPr>
                <w:color w:val="000000"/>
                <w:sz w:val="18"/>
              </w:rPr>
              <w:t>Male</w:t>
            </w:r>
          </w:p>
        </w:tc>
        <w:tc>
          <w:tcPr>
            <w:tcW w:w="1483" w:type="dxa"/>
            <w:tcBorders>
              <w:left w:val="nil"/>
              <w:bottom w:val="nil"/>
              <w:right w:val="nil"/>
            </w:tcBorders>
            <w:tcMar>
              <w:top w:w="80" w:type="dxa"/>
              <w:left w:w="100" w:type="dxa"/>
              <w:bottom w:w="80" w:type="dxa"/>
              <w:right w:w="100" w:type="dxa"/>
            </w:tcMar>
            <w:vAlign w:val="center"/>
          </w:tcPr>
          <w:p w14:paraId="233D2B0E" w14:textId="77777777" w:rsidR="00E37F20" w:rsidRDefault="00E37F20" w:rsidP="000C6B24">
            <w:pPr>
              <w:spacing w:after="0" w:line="240" w:lineRule="auto"/>
              <w:jc w:val="center"/>
            </w:pPr>
            <w:r>
              <w:rPr>
                <w:color w:val="000000"/>
                <w:sz w:val="18"/>
              </w:rPr>
              <w:t>34 (45.3%)</w:t>
            </w:r>
          </w:p>
        </w:tc>
      </w:tr>
      <w:tr w:rsidR="00E37F20" w14:paraId="2B3E31A4"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FEE472B"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432D08AC" w14:textId="77777777" w:rsidR="00E37F20" w:rsidRDefault="00E37F20" w:rsidP="000C6B24">
            <w:pPr>
              <w:spacing w:after="0" w:line="240" w:lineRule="auto"/>
              <w:jc w:val="left"/>
            </w:pPr>
            <w:r>
              <w:rPr>
                <w:color w:val="000000"/>
                <w:sz w:val="18"/>
              </w:rPr>
              <w:t>Non-binary / another identity</w:t>
            </w:r>
          </w:p>
        </w:tc>
        <w:tc>
          <w:tcPr>
            <w:tcW w:w="1483" w:type="dxa"/>
            <w:tcBorders>
              <w:left w:val="nil"/>
              <w:bottom w:val="nil"/>
              <w:right w:val="nil"/>
            </w:tcBorders>
            <w:tcMar>
              <w:top w:w="80" w:type="dxa"/>
              <w:left w:w="100" w:type="dxa"/>
              <w:bottom w:w="80" w:type="dxa"/>
              <w:right w:w="100" w:type="dxa"/>
            </w:tcMar>
            <w:vAlign w:val="center"/>
          </w:tcPr>
          <w:p w14:paraId="31B29656" w14:textId="77777777" w:rsidR="00E37F20" w:rsidRDefault="00E37F20" w:rsidP="000C6B24">
            <w:pPr>
              <w:spacing w:after="0" w:line="240" w:lineRule="auto"/>
              <w:jc w:val="center"/>
            </w:pPr>
            <w:r>
              <w:rPr>
                <w:color w:val="000000"/>
                <w:sz w:val="18"/>
              </w:rPr>
              <w:t>1 (1.3%)</w:t>
            </w:r>
          </w:p>
        </w:tc>
      </w:tr>
      <w:tr w:rsidR="00E37F20" w14:paraId="19DDFD5A"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C033699"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2525323" w14:textId="77777777" w:rsidR="00E37F20" w:rsidRDefault="00E37F20" w:rsidP="000C6B24">
            <w:pPr>
              <w:spacing w:after="0" w:line="240" w:lineRule="auto"/>
              <w:jc w:val="left"/>
            </w:pPr>
            <w:r>
              <w:rPr>
                <w:color w:val="000000"/>
                <w:sz w:val="18"/>
              </w:rPr>
              <w:t>Prefer not to say</w:t>
            </w:r>
          </w:p>
        </w:tc>
        <w:tc>
          <w:tcPr>
            <w:tcW w:w="1483" w:type="dxa"/>
            <w:tcBorders>
              <w:left w:val="nil"/>
              <w:bottom w:val="nil"/>
              <w:right w:val="nil"/>
            </w:tcBorders>
            <w:tcMar>
              <w:top w:w="80" w:type="dxa"/>
              <w:left w:w="100" w:type="dxa"/>
              <w:bottom w:w="80" w:type="dxa"/>
              <w:right w:w="100" w:type="dxa"/>
            </w:tcMar>
            <w:vAlign w:val="center"/>
          </w:tcPr>
          <w:p w14:paraId="5B4C5176" w14:textId="77777777" w:rsidR="00E37F20" w:rsidRDefault="00E37F20" w:rsidP="000C6B24">
            <w:pPr>
              <w:spacing w:after="0" w:line="240" w:lineRule="auto"/>
              <w:jc w:val="center"/>
            </w:pPr>
            <w:r>
              <w:rPr>
                <w:color w:val="000000"/>
                <w:sz w:val="18"/>
              </w:rPr>
              <w:t>2 (2.7%)</w:t>
            </w:r>
          </w:p>
        </w:tc>
      </w:tr>
      <w:tr w:rsidR="00E37F20" w14:paraId="399E69FA" w14:textId="77777777" w:rsidTr="000C6B24">
        <w:trPr>
          <w:cantSplit/>
          <w:jc w:val="center"/>
        </w:trPr>
        <w:tc>
          <w:tcPr>
            <w:tcW w:w="2189" w:type="dxa"/>
            <w:tcBorders>
              <w:top w:val="single" w:sz="8" w:space="0" w:color="666666"/>
              <w:left w:val="nil"/>
              <w:bottom w:val="nil"/>
              <w:right w:val="nil"/>
            </w:tcBorders>
            <w:tcMar>
              <w:top w:w="80" w:type="dxa"/>
              <w:left w:w="100" w:type="dxa"/>
              <w:bottom w:w="80" w:type="dxa"/>
              <w:right w:w="100" w:type="dxa"/>
            </w:tcMar>
            <w:vAlign w:val="center"/>
          </w:tcPr>
          <w:p w14:paraId="744D253B" w14:textId="77777777" w:rsidR="00E37F20" w:rsidRDefault="00E37F20" w:rsidP="000C6B24">
            <w:pPr>
              <w:spacing w:after="0" w:line="240" w:lineRule="auto"/>
              <w:jc w:val="left"/>
            </w:pPr>
            <w:r>
              <w:rPr>
                <w:b/>
                <w:color w:val="000000"/>
                <w:sz w:val="18"/>
              </w:rPr>
              <w:t>Employment status</w:t>
            </w:r>
          </w:p>
        </w:tc>
        <w:tc>
          <w:tcPr>
            <w:tcW w:w="5256" w:type="dxa"/>
            <w:tcBorders>
              <w:top w:val="single" w:sz="8" w:space="0" w:color="666666"/>
              <w:left w:val="nil"/>
              <w:bottom w:val="nil"/>
              <w:right w:val="nil"/>
            </w:tcBorders>
            <w:tcMar>
              <w:top w:w="80" w:type="dxa"/>
              <w:left w:w="100" w:type="dxa"/>
              <w:bottom w:w="80" w:type="dxa"/>
              <w:right w:w="100" w:type="dxa"/>
            </w:tcMar>
            <w:vAlign w:val="center"/>
          </w:tcPr>
          <w:p w14:paraId="4E9A49D6" w14:textId="77777777" w:rsidR="00E37F20" w:rsidRDefault="00E37F20" w:rsidP="000C6B24">
            <w:pPr>
              <w:spacing w:after="0" w:line="240" w:lineRule="auto"/>
              <w:jc w:val="left"/>
            </w:pPr>
            <w:r>
              <w:rPr>
                <w:color w:val="000000"/>
                <w:sz w:val="18"/>
              </w:rPr>
              <w:t>Full-time</w:t>
            </w:r>
          </w:p>
        </w:tc>
        <w:tc>
          <w:tcPr>
            <w:tcW w:w="1483" w:type="dxa"/>
            <w:tcBorders>
              <w:top w:val="single" w:sz="8" w:space="0" w:color="666666"/>
              <w:left w:val="nil"/>
              <w:bottom w:val="nil"/>
              <w:right w:val="nil"/>
            </w:tcBorders>
            <w:tcMar>
              <w:top w:w="80" w:type="dxa"/>
              <w:left w:w="100" w:type="dxa"/>
              <w:bottom w:w="80" w:type="dxa"/>
              <w:right w:w="100" w:type="dxa"/>
            </w:tcMar>
            <w:vAlign w:val="center"/>
          </w:tcPr>
          <w:p w14:paraId="100F64E5" w14:textId="77777777" w:rsidR="00E37F20" w:rsidRDefault="00E37F20" w:rsidP="000C6B24">
            <w:pPr>
              <w:spacing w:after="0" w:line="240" w:lineRule="auto"/>
              <w:jc w:val="center"/>
            </w:pPr>
            <w:r>
              <w:rPr>
                <w:color w:val="000000"/>
                <w:sz w:val="18"/>
              </w:rPr>
              <w:t>39 (52.0%)</w:t>
            </w:r>
          </w:p>
        </w:tc>
      </w:tr>
      <w:tr w:rsidR="00E37F20" w14:paraId="4E49D59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D546BEC"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ABCF6E0" w14:textId="77777777" w:rsidR="00E37F20" w:rsidRDefault="00E37F20" w:rsidP="000C6B24">
            <w:pPr>
              <w:spacing w:after="0" w:line="240" w:lineRule="auto"/>
              <w:jc w:val="left"/>
            </w:pPr>
            <w:r>
              <w:rPr>
                <w:color w:val="000000"/>
                <w:sz w:val="18"/>
              </w:rPr>
              <w:t>Part-time</w:t>
            </w:r>
          </w:p>
        </w:tc>
        <w:tc>
          <w:tcPr>
            <w:tcW w:w="1483" w:type="dxa"/>
            <w:tcBorders>
              <w:left w:val="nil"/>
              <w:bottom w:val="nil"/>
              <w:right w:val="nil"/>
            </w:tcBorders>
            <w:tcMar>
              <w:top w:w="80" w:type="dxa"/>
              <w:left w:w="100" w:type="dxa"/>
              <w:bottom w:w="80" w:type="dxa"/>
              <w:right w:w="100" w:type="dxa"/>
            </w:tcMar>
            <w:vAlign w:val="center"/>
          </w:tcPr>
          <w:p w14:paraId="3E57EDC8" w14:textId="77777777" w:rsidR="00E37F20" w:rsidRDefault="00E37F20" w:rsidP="000C6B24">
            <w:pPr>
              <w:spacing w:after="0" w:line="240" w:lineRule="auto"/>
              <w:jc w:val="center"/>
            </w:pPr>
            <w:r>
              <w:rPr>
                <w:color w:val="000000"/>
                <w:sz w:val="18"/>
              </w:rPr>
              <w:t>18 (24.0%)</w:t>
            </w:r>
          </w:p>
        </w:tc>
      </w:tr>
      <w:tr w:rsidR="00E37F20" w14:paraId="50580E19"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194DE93"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472B6E84" w14:textId="77777777" w:rsidR="00E37F20" w:rsidRDefault="00E37F20" w:rsidP="000C6B24">
            <w:pPr>
              <w:spacing w:after="0" w:line="240" w:lineRule="auto"/>
              <w:jc w:val="left"/>
            </w:pPr>
            <w:r>
              <w:rPr>
                <w:color w:val="000000"/>
                <w:sz w:val="18"/>
              </w:rPr>
              <w:t>Temporary / fixed-term</w:t>
            </w:r>
          </w:p>
        </w:tc>
        <w:tc>
          <w:tcPr>
            <w:tcW w:w="1483" w:type="dxa"/>
            <w:tcBorders>
              <w:left w:val="nil"/>
              <w:bottom w:val="nil"/>
              <w:right w:val="nil"/>
            </w:tcBorders>
            <w:tcMar>
              <w:top w:w="80" w:type="dxa"/>
              <w:left w:w="100" w:type="dxa"/>
              <w:bottom w:w="80" w:type="dxa"/>
              <w:right w:w="100" w:type="dxa"/>
            </w:tcMar>
            <w:vAlign w:val="center"/>
          </w:tcPr>
          <w:p w14:paraId="683B91DF" w14:textId="77777777" w:rsidR="00E37F20" w:rsidRDefault="00E37F20" w:rsidP="000C6B24">
            <w:pPr>
              <w:spacing w:after="0" w:line="240" w:lineRule="auto"/>
              <w:jc w:val="center"/>
            </w:pPr>
            <w:r>
              <w:rPr>
                <w:color w:val="000000"/>
                <w:sz w:val="18"/>
              </w:rPr>
              <w:t>2 (2.7%)</w:t>
            </w:r>
          </w:p>
        </w:tc>
      </w:tr>
      <w:tr w:rsidR="00E37F20" w14:paraId="758CA1DC"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5D21B91C"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1C753D1" w14:textId="77777777" w:rsidR="00E37F20" w:rsidRDefault="00E37F20" w:rsidP="000C6B24">
            <w:pPr>
              <w:spacing w:after="0" w:line="240" w:lineRule="auto"/>
              <w:jc w:val="left"/>
            </w:pPr>
            <w:r>
              <w:rPr>
                <w:color w:val="000000"/>
                <w:sz w:val="18"/>
              </w:rPr>
              <w:t>Zero-hours / casual</w:t>
            </w:r>
          </w:p>
        </w:tc>
        <w:tc>
          <w:tcPr>
            <w:tcW w:w="1483" w:type="dxa"/>
            <w:tcBorders>
              <w:left w:val="nil"/>
              <w:bottom w:val="nil"/>
              <w:right w:val="nil"/>
            </w:tcBorders>
            <w:tcMar>
              <w:top w:w="80" w:type="dxa"/>
              <w:left w:w="100" w:type="dxa"/>
              <w:bottom w:w="80" w:type="dxa"/>
              <w:right w:w="100" w:type="dxa"/>
            </w:tcMar>
            <w:vAlign w:val="center"/>
          </w:tcPr>
          <w:p w14:paraId="06E7614E" w14:textId="77777777" w:rsidR="00E37F20" w:rsidRDefault="00E37F20" w:rsidP="000C6B24">
            <w:pPr>
              <w:spacing w:after="0" w:line="240" w:lineRule="auto"/>
              <w:jc w:val="center"/>
            </w:pPr>
            <w:r>
              <w:rPr>
                <w:color w:val="000000"/>
                <w:sz w:val="18"/>
              </w:rPr>
              <w:t>8 (10.7%)</w:t>
            </w:r>
          </w:p>
        </w:tc>
      </w:tr>
      <w:tr w:rsidR="00E37F20" w14:paraId="0BA30FA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2F2A5B6D"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07022AA9" w14:textId="77777777" w:rsidR="00E37F20" w:rsidRDefault="00E37F20" w:rsidP="000C6B24">
            <w:pPr>
              <w:spacing w:after="0" w:line="240" w:lineRule="auto"/>
              <w:jc w:val="left"/>
            </w:pPr>
            <w:r>
              <w:rPr>
                <w:color w:val="000000"/>
                <w:sz w:val="18"/>
              </w:rPr>
              <w:t>Agency worker</w:t>
            </w:r>
          </w:p>
        </w:tc>
        <w:tc>
          <w:tcPr>
            <w:tcW w:w="1483" w:type="dxa"/>
            <w:tcBorders>
              <w:left w:val="nil"/>
              <w:bottom w:val="nil"/>
              <w:right w:val="nil"/>
            </w:tcBorders>
            <w:tcMar>
              <w:top w:w="80" w:type="dxa"/>
              <w:left w:w="100" w:type="dxa"/>
              <w:bottom w:w="80" w:type="dxa"/>
              <w:right w:w="100" w:type="dxa"/>
            </w:tcMar>
            <w:vAlign w:val="center"/>
          </w:tcPr>
          <w:p w14:paraId="792B4280" w14:textId="77777777" w:rsidR="00E37F20" w:rsidRDefault="00E37F20" w:rsidP="000C6B24">
            <w:pPr>
              <w:spacing w:after="0" w:line="240" w:lineRule="auto"/>
              <w:jc w:val="center"/>
            </w:pPr>
            <w:r>
              <w:rPr>
                <w:color w:val="000000"/>
                <w:sz w:val="18"/>
              </w:rPr>
              <w:t>6 (8.0%)</w:t>
            </w:r>
          </w:p>
        </w:tc>
      </w:tr>
      <w:tr w:rsidR="00E37F20" w14:paraId="73DC48A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99D3E56"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06D1E97" w14:textId="77777777" w:rsidR="00E37F20" w:rsidRDefault="00E37F20" w:rsidP="000C6B24">
            <w:pPr>
              <w:spacing w:after="0" w:line="240" w:lineRule="auto"/>
              <w:jc w:val="left"/>
            </w:pPr>
            <w:r>
              <w:rPr>
                <w:color w:val="000000"/>
                <w:sz w:val="18"/>
              </w:rPr>
              <w:t>Apprentice</w:t>
            </w:r>
          </w:p>
        </w:tc>
        <w:tc>
          <w:tcPr>
            <w:tcW w:w="1483" w:type="dxa"/>
            <w:tcBorders>
              <w:left w:val="nil"/>
              <w:bottom w:val="nil"/>
              <w:right w:val="nil"/>
            </w:tcBorders>
            <w:tcMar>
              <w:top w:w="80" w:type="dxa"/>
              <w:left w:w="100" w:type="dxa"/>
              <w:bottom w:w="80" w:type="dxa"/>
              <w:right w:w="100" w:type="dxa"/>
            </w:tcMar>
            <w:vAlign w:val="center"/>
          </w:tcPr>
          <w:p w14:paraId="253B6D49" w14:textId="77777777" w:rsidR="00E37F20" w:rsidRDefault="00E37F20" w:rsidP="000C6B24">
            <w:pPr>
              <w:spacing w:after="0" w:line="240" w:lineRule="auto"/>
              <w:jc w:val="center"/>
            </w:pPr>
            <w:r>
              <w:rPr>
                <w:color w:val="000000"/>
                <w:sz w:val="18"/>
              </w:rPr>
              <w:t>2 (2.7%)</w:t>
            </w:r>
          </w:p>
        </w:tc>
      </w:tr>
      <w:tr w:rsidR="00E37F20" w14:paraId="650FF171" w14:textId="77777777" w:rsidTr="000C6B24">
        <w:trPr>
          <w:cantSplit/>
          <w:jc w:val="center"/>
        </w:trPr>
        <w:tc>
          <w:tcPr>
            <w:tcW w:w="2189" w:type="dxa"/>
            <w:tcBorders>
              <w:top w:val="single" w:sz="8" w:space="0" w:color="666666"/>
              <w:left w:val="nil"/>
              <w:bottom w:val="nil"/>
              <w:right w:val="nil"/>
            </w:tcBorders>
            <w:tcMar>
              <w:top w:w="80" w:type="dxa"/>
              <w:left w:w="100" w:type="dxa"/>
              <w:bottom w:w="80" w:type="dxa"/>
              <w:right w:w="100" w:type="dxa"/>
            </w:tcMar>
            <w:vAlign w:val="center"/>
          </w:tcPr>
          <w:p w14:paraId="64DD4022" w14:textId="77777777" w:rsidR="00E37F20" w:rsidRDefault="00E37F20" w:rsidP="000C6B24">
            <w:pPr>
              <w:spacing w:after="0" w:line="240" w:lineRule="auto"/>
              <w:jc w:val="left"/>
            </w:pPr>
            <w:r>
              <w:rPr>
                <w:b/>
                <w:color w:val="000000"/>
                <w:sz w:val="18"/>
              </w:rPr>
              <w:t>Retail subsector</w:t>
            </w:r>
          </w:p>
        </w:tc>
        <w:tc>
          <w:tcPr>
            <w:tcW w:w="5256" w:type="dxa"/>
            <w:tcBorders>
              <w:top w:val="single" w:sz="8" w:space="0" w:color="666666"/>
              <w:left w:val="nil"/>
              <w:bottom w:val="nil"/>
              <w:right w:val="nil"/>
            </w:tcBorders>
            <w:tcMar>
              <w:top w:w="80" w:type="dxa"/>
              <w:left w:w="100" w:type="dxa"/>
              <w:bottom w:w="80" w:type="dxa"/>
              <w:right w:w="100" w:type="dxa"/>
            </w:tcMar>
            <w:vAlign w:val="center"/>
          </w:tcPr>
          <w:p w14:paraId="16F23B09" w14:textId="77777777" w:rsidR="00E37F20" w:rsidRDefault="00E37F20" w:rsidP="000C6B24">
            <w:pPr>
              <w:spacing w:after="0" w:line="240" w:lineRule="auto"/>
              <w:jc w:val="left"/>
            </w:pPr>
            <w:r>
              <w:rPr>
                <w:color w:val="000000"/>
                <w:sz w:val="18"/>
              </w:rPr>
              <w:t>Supermarket / grocery</w:t>
            </w:r>
          </w:p>
        </w:tc>
        <w:tc>
          <w:tcPr>
            <w:tcW w:w="1483" w:type="dxa"/>
            <w:tcBorders>
              <w:top w:val="single" w:sz="8" w:space="0" w:color="666666"/>
              <w:left w:val="nil"/>
              <w:bottom w:val="nil"/>
              <w:right w:val="nil"/>
            </w:tcBorders>
            <w:tcMar>
              <w:top w:w="80" w:type="dxa"/>
              <w:left w:w="100" w:type="dxa"/>
              <w:bottom w:w="80" w:type="dxa"/>
              <w:right w:w="100" w:type="dxa"/>
            </w:tcMar>
            <w:vAlign w:val="center"/>
          </w:tcPr>
          <w:p w14:paraId="65CF8436" w14:textId="77777777" w:rsidR="00E37F20" w:rsidRDefault="00E37F20" w:rsidP="000C6B24">
            <w:pPr>
              <w:spacing w:after="0" w:line="240" w:lineRule="auto"/>
              <w:jc w:val="center"/>
            </w:pPr>
            <w:r>
              <w:rPr>
                <w:color w:val="000000"/>
                <w:sz w:val="18"/>
              </w:rPr>
              <w:t>23 (30.7%)</w:t>
            </w:r>
          </w:p>
        </w:tc>
      </w:tr>
      <w:tr w:rsidR="00E37F20" w14:paraId="0D475143"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2FAE767C"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5304453E" w14:textId="77777777" w:rsidR="00E37F20" w:rsidRDefault="00E37F20" w:rsidP="000C6B24">
            <w:pPr>
              <w:spacing w:after="0" w:line="240" w:lineRule="auto"/>
              <w:jc w:val="left"/>
            </w:pPr>
            <w:r>
              <w:rPr>
                <w:color w:val="000000"/>
                <w:sz w:val="18"/>
              </w:rPr>
              <w:t>Clothing / fashion</w:t>
            </w:r>
          </w:p>
        </w:tc>
        <w:tc>
          <w:tcPr>
            <w:tcW w:w="1483" w:type="dxa"/>
            <w:tcBorders>
              <w:left w:val="nil"/>
              <w:bottom w:val="nil"/>
              <w:right w:val="nil"/>
            </w:tcBorders>
            <w:tcMar>
              <w:top w:w="80" w:type="dxa"/>
              <w:left w:w="100" w:type="dxa"/>
              <w:bottom w:w="80" w:type="dxa"/>
              <w:right w:w="100" w:type="dxa"/>
            </w:tcMar>
            <w:vAlign w:val="center"/>
          </w:tcPr>
          <w:p w14:paraId="65E13F53" w14:textId="77777777" w:rsidR="00E37F20" w:rsidRDefault="00E37F20" w:rsidP="000C6B24">
            <w:pPr>
              <w:spacing w:after="0" w:line="240" w:lineRule="auto"/>
              <w:jc w:val="center"/>
            </w:pPr>
            <w:r>
              <w:rPr>
                <w:color w:val="000000"/>
                <w:sz w:val="18"/>
              </w:rPr>
              <w:t>7 (9.3%)</w:t>
            </w:r>
          </w:p>
        </w:tc>
      </w:tr>
      <w:tr w:rsidR="00E37F20" w14:paraId="11616AA9"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4051F5B"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53909962" w14:textId="77777777" w:rsidR="00E37F20" w:rsidRDefault="00E37F20" w:rsidP="000C6B24">
            <w:pPr>
              <w:spacing w:after="0" w:line="240" w:lineRule="auto"/>
              <w:jc w:val="left"/>
            </w:pPr>
            <w:r>
              <w:rPr>
                <w:color w:val="000000"/>
                <w:sz w:val="18"/>
              </w:rPr>
              <w:t>Department / general merchandise</w:t>
            </w:r>
          </w:p>
        </w:tc>
        <w:tc>
          <w:tcPr>
            <w:tcW w:w="1483" w:type="dxa"/>
            <w:tcBorders>
              <w:left w:val="nil"/>
              <w:bottom w:val="nil"/>
              <w:right w:val="nil"/>
            </w:tcBorders>
            <w:tcMar>
              <w:top w:w="80" w:type="dxa"/>
              <w:left w:w="100" w:type="dxa"/>
              <w:bottom w:w="80" w:type="dxa"/>
              <w:right w:w="100" w:type="dxa"/>
            </w:tcMar>
            <w:vAlign w:val="center"/>
          </w:tcPr>
          <w:p w14:paraId="6D592EB3" w14:textId="77777777" w:rsidR="00E37F20" w:rsidRDefault="00E37F20" w:rsidP="000C6B24">
            <w:pPr>
              <w:spacing w:after="0" w:line="240" w:lineRule="auto"/>
              <w:jc w:val="center"/>
            </w:pPr>
            <w:r>
              <w:rPr>
                <w:color w:val="000000"/>
                <w:sz w:val="18"/>
              </w:rPr>
              <w:t>23 (30.7%)</w:t>
            </w:r>
          </w:p>
        </w:tc>
      </w:tr>
      <w:tr w:rsidR="00E37F20" w14:paraId="4F012685"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6145A2F2"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4788F7AE" w14:textId="77777777" w:rsidR="00E37F20" w:rsidRDefault="00E37F20" w:rsidP="000C6B24">
            <w:pPr>
              <w:spacing w:after="0" w:line="240" w:lineRule="auto"/>
              <w:jc w:val="left"/>
            </w:pPr>
            <w:r>
              <w:rPr>
                <w:color w:val="000000"/>
                <w:sz w:val="18"/>
              </w:rPr>
              <w:t>Electronics / home goods</w:t>
            </w:r>
          </w:p>
        </w:tc>
        <w:tc>
          <w:tcPr>
            <w:tcW w:w="1483" w:type="dxa"/>
            <w:tcBorders>
              <w:left w:val="nil"/>
              <w:bottom w:val="nil"/>
              <w:right w:val="nil"/>
            </w:tcBorders>
            <w:tcMar>
              <w:top w:w="80" w:type="dxa"/>
              <w:left w:w="100" w:type="dxa"/>
              <w:bottom w:w="80" w:type="dxa"/>
              <w:right w:w="100" w:type="dxa"/>
            </w:tcMar>
            <w:vAlign w:val="center"/>
          </w:tcPr>
          <w:p w14:paraId="6C9298E9" w14:textId="77777777" w:rsidR="00E37F20" w:rsidRDefault="00E37F20" w:rsidP="000C6B24">
            <w:pPr>
              <w:spacing w:after="0" w:line="240" w:lineRule="auto"/>
              <w:jc w:val="center"/>
            </w:pPr>
            <w:r>
              <w:rPr>
                <w:color w:val="000000"/>
                <w:sz w:val="18"/>
              </w:rPr>
              <w:t>11 (14.7%)</w:t>
            </w:r>
          </w:p>
        </w:tc>
      </w:tr>
      <w:tr w:rsidR="00E37F20" w14:paraId="79B049F0"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7A2F8A2A"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0CD462E6" w14:textId="77777777" w:rsidR="00E37F20" w:rsidRDefault="00E37F20" w:rsidP="000C6B24">
            <w:pPr>
              <w:spacing w:after="0" w:line="240" w:lineRule="auto"/>
              <w:jc w:val="left"/>
            </w:pPr>
            <w:r>
              <w:rPr>
                <w:color w:val="000000"/>
                <w:sz w:val="18"/>
              </w:rPr>
              <w:t>Pharmacy / health / beauty</w:t>
            </w:r>
          </w:p>
        </w:tc>
        <w:tc>
          <w:tcPr>
            <w:tcW w:w="1483" w:type="dxa"/>
            <w:tcBorders>
              <w:left w:val="nil"/>
              <w:bottom w:val="nil"/>
              <w:right w:val="nil"/>
            </w:tcBorders>
            <w:tcMar>
              <w:top w:w="80" w:type="dxa"/>
              <w:left w:w="100" w:type="dxa"/>
              <w:bottom w:w="80" w:type="dxa"/>
              <w:right w:w="100" w:type="dxa"/>
            </w:tcMar>
            <w:vAlign w:val="center"/>
          </w:tcPr>
          <w:p w14:paraId="4AE2CBC6" w14:textId="77777777" w:rsidR="00E37F20" w:rsidRDefault="00E37F20" w:rsidP="000C6B24">
            <w:pPr>
              <w:spacing w:after="0" w:line="240" w:lineRule="auto"/>
              <w:jc w:val="center"/>
            </w:pPr>
            <w:r>
              <w:rPr>
                <w:color w:val="000000"/>
                <w:sz w:val="18"/>
              </w:rPr>
              <w:t>5 (6.7%)</w:t>
            </w:r>
          </w:p>
        </w:tc>
      </w:tr>
      <w:tr w:rsidR="00E37F20" w14:paraId="0FAB0CC1"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7B116250"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64F58714" w14:textId="77777777" w:rsidR="00E37F20" w:rsidRDefault="00E37F20" w:rsidP="000C6B24">
            <w:pPr>
              <w:spacing w:after="0" w:line="240" w:lineRule="auto"/>
              <w:jc w:val="left"/>
            </w:pPr>
            <w:r>
              <w:rPr>
                <w:color w:val="000000"/>
                <w:sz w:val="18"/>
              </w:rPr>
              <w:t>Online / e-commerce retail</w:t>
            </w:r>
          </w:p>
        </w:tc>
        <w:tc>
          <w:tcPr>
            <w:tcW w:w="1483" w:type="dxa"/>
            <w:tcBorders>
              <w:left w:val="nil"/>
              <w:bottom w:val="nil"/>
              <w:right w:val="nil"/>
            </w:tcBorders>
            <w:tcMar>
              <w:top w:w="80" w:type="dxa"/>
              <w:left w:w="100" w:type="dxa"/>
              <w:bottom w:w="80" w:type="dxa"/>
              <w:right w:w="100" w:type="dxa"/>
            </w:tcMar>
            <w:vAlign w:val="center"/>
          </w:tcPr>
          <w:p w14:paraId="3A4BF963" w14:textId="77777777" w:rsidR="00E37F20" w:rsidRDefault="00E37F20" w:rsidP="000C6B24">
            <w:pPr>
              <w:spacing w:after="0" w:line="240" w:lineRule="auto"/>
              <w:jc w:val="center"/>
            </w:pPr>
            <w:r>
              <w:rPr>
                <w:color w:val="000000"/>
                <w:sz w:val="18"/>
              </w:rPr>
              <w:t>5 (6.7%)</w:t>
            </w:r>
          </w:p>
        </w:tc>
      </w:tr>
      <w:tr w:rsidR="00E37F20" w14:paraId="47EE2F6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30150E06"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32C7C1B7" w14:textId="77777777" w:rsidR="00E37F20" w:rsidRDefault="00E37F20" w:rsidP="000C6B24">
            <w:pPr>
              <w:spacing w:after="0" w:line="240" w:lineRule="auto"/>
              <w:jc w:val="left"/>
            </w:pPr>
            <w:r>
              <w:rPr>
                <w:color w:val="000000"/>
                <w:sz w:val="18"/>
              </w:rPr>
              <w:t>Other retail subsector</w:t>
            </w:r>
          </w:p>
        </w:tc>
        <w:tc>
          <w:tcPr>
            <w:tcW w:w="1483" w:type="dxa"/>
            <w:tcBorders>
              <w:left w:val="nil"/>
              <w:bottom w:val="nil"/>
              <w:right w:val="nil"/>
            </w:tcBorders>
            <w:tcMar>
              <w:top w:w="80" w:type="dxa"/>
              <w:left w:w="100" w:type="dxa"/>
              <w:bottom w:w="80" w:type="dxa"/>
              <w:right w:w="100" w:type="dxa"/>
            </w:tcMar>
            <w:vAlign w:val="center"/>
          </w:tcPr>
          <w:p w14:paraId="345F5289" w14:textId="77777777" w:rsidR="00E37F20" w:rsidRDefault="00E37F20" w:rsidP="000C6B24">
            <w:pPr>
              <w:spacing w:after="0" w:line="240" w:lineRule="auto"/>
              <w:jc w:val="center"/>
            </w:pPr>
            <w:r>
              <w:rPr>
                <w:color w:val="000000"/>
                <w:sz w:val="18"/>
              </w:rPr>
              <w:t>1 (1.3%)</w:t>
            </w:r>
          </w:p>
        </w:tc>
      </w:tr>
      <w:tr w:rsidR="00E37F20" w14:paraId="60DC94E0" w14:textId="77777777" w:rsidTr="000C6B24">
        <w:trPr>
          <w:cantSplit/>
          <w:jc w:val="center"/>
        </w:trPr>
        <w:tc>
          <w:tcPr>
            <w:tcW w:w="2189" w:type="dxa"/>
            <w:tcBorders>
              <w:top w:val="single" w:sz="8" w:space="0" w:color="666666"/>
              <w:left w:val="nil"/>
              <w:bottom w:val="nil"/>
              <w:right w:val="nil"/>
            </w:tcBorders>
            <w:tcMar>
              <w:top w:w="80" w:type="dxa"/>
              <w:left w:w="100" w:type="dxa"/>
              <w:bottom w:w="80" w:type="dxa"/>
              <w:right w:w="100" w:type="dxa"/>
            </w:tcMar>
            <w:vAlign w:val="center"/>
          </w:tcPr>
          <w:p w14:paraId="179E6AC0" w14:textId="77777777" w:rsidR="00E37F20" w:rsidRDefault="00E37F20" w:rsidP="000C6B24">
            <w:pPr>
              <w:spacing w:after="0" w:line="240" w:lineRule="auto"/>
              <w:jc w:val="left"/>
            </w:pPr>
            <w:r>
              <w:rPr>
                <w:b/>
                <w:color w:val="000000"/>
                <w:sz w:val="18"/>
              </w:rPr>
              <w:t>Job level</w:t>
            </w:r>
          </w:p>
        </w:tc>
        <w:tc>
          <w:tcPr>
            <w:tcW w:w="5256" w:type="dxa"/>
            <w:tcBorders>
              <w:top w:val="single" w:sz="8" w:space="0" w:color="666666"/>
              <w:left w:val="nil"/>
              <w:bottom w:val="nil"/>
              <w:right w:val="nil"/>
            </w:tcBorders>
            <w:tcMar>
              <w:top w:w="80" w:type="dxa"/>
              <w:left w:w="100" w:type="dxa"/>
              <w:bottom w:w="80" w:type="dxa"/>
              <w:right w:w="100" w:type="dxa"/>
            </w:tcMar>
            <w:vAlign w:val="center"/>
          </w:tcPr>
          <w:p w14:paraId="33720EC8" w14:textId="77777777" w:rsidR="00E37F20" w:rsidRDefault="00E37F20" w:rsidP="000C6B24">
            <w:pPr>
              <w:spacing w:after="0" w:line="240" w:lineRule="auto"/>
              <w:jc w:val="left"/>
            </w:pPr>
            <w:r>
              <w:rPr>
                <w:color w:val="000000"/>
                <w:sz w:val="18"/>
              </w:rPr>
              <w:t>Frontline / customer service</w:t>
            </w:r>
          </w:p>
        </w:tc>
        <w:tc>
          <w:tcPr>
            <w:tcW w:w="1483" w:type="dxa"/>
            <w:tcBorders>
              <w:top w:val="single" w:sz="8" w:space="0" w:color="666666"/>
              <w:left w:val="nil"/>
              <w:bottom w:val="nil"/>
              <w:right w:val="nil"/>
            </w:tcBorders>
            <w:tcMar>
              <w:top w:w="80" w:type="dxa"/>
              <w:left w:w="100" w:type="dxa"/>
              <w:bottom w:w="80" w:type="dxa"/>
              <w:right w:w="100" w:type="dxa"/>
            </w:tcMar>
            <w:vAlign w:val="center"/>
          </w:tcPr>
          <w:p w14:paraId="39ADEFFD" w14:textId="77777777" w:rsidR="00E37F20" w:rsidRDefault="00E37F20" w:rsidP="000C6B24">
            <w:pPr>
              <w:spacing w:after="0" w:line="240" w:lineRule="auto"/>
              <w:jc w:val="center"/>
            </w:pPr>
            <w:r>
              <w:rPr>
                <w:color w:val="000000"/>
                <w:sz w:val="18"/>
              </w:rPr>
              <w:t>40 (53.3%)</w:t>
            </w:r>
          </w:p>
        </w:tc>
      </w:tr>
      <w:tr w:rsidR="00E37F20" w14:paraId="075D993A"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094838A9"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32B2525C" w14:textId="77777777" w:rsidR="00E37F20" w:rsidRDefault="00E37F20" w:rsidP="000C6B24">
            <w:pPr>
              <w:spacing w:after="0" w:line="240" w:lineRule="auto"/>
              <w:jc w:val="left"/>
            </w:pPr>
            <w:r>
              <w:rPr>
                <w:color w:val="000000"/>
                <w:sz w:val="18"/>
              </w:rPr>
              <w:t>Warehouse / stock role</w:t>
            </w:r>
          </w:p>
        </w:tc>
        <w:tc>
          <w:tcPr>
            <w:tcW w:w="1483" w:type="dxa"/>
            <w:tcBorders>
              <w:left w:val="nil"/>
              <w:bottom w:val="nil"/>
              <w:right w:val="nil"/>
            </w:tcBorders>
            <w:tcMar>
              <w:top w:w="80" w:type="dxa"/>
              <w:left w:w="100" w:type="dxa"/>
              <w:bottom w:w="80" w:type="dxa"/>
              <w:right w:w="100" w:type="dxa"/>
            </w:tcMar>
            <w:vAlign w:val="center"/>
          </w:tcPr>
          <w:p w14:paraId="7E0E5847" w14:textId="77777777" w:rsidR="00E37F20" w:rsidRDefault="00E37F20" w:rsidP="000C6B24">
            <w:pPr>
              <w:spacing w:after="0" w:line="240" w:lineRule="auto"/>
              <w:jc w:val="center"/>
            </w:pPr>
            <w:r>
              <w:rPr>
                <w:color w:val="000000"/>
                <w:sz w:val="18"/>
              </w:rPr>
              <w:t>16 (21.3%)</w:t>
            </w:r>
          </w:p>
        </w:tc>
      </w:tr>
      <w:tr w:rsidR="00E37F20" w14:paraId="3FA5223B"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2CCBFC18"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2892FD23" w14:textId="77777777" w:rsidR="00E37F20" w:rsidRDefault="00E37F20" w:rsidP="000C6B24">
            <w:pPr>
              <w:spacing w:after="0" w:line="240" w:lineRule="auto"/>
              <w:jc w:val="left"/>
            </w:pPr>
            <w:r>
              <w:rPr>
                <w:color w:val="000000"/>
                <w:sz w:val="18"/>
              </w:rPr>
              <w:t>Supervisor / team leader</w:t>
            </w:r>
          </w:p>
        </w:tc>
        <w:tc>
          <w:tcPr>
            <w:tcW w:w="1483" w:type="dxa"/>
            <w:tcBorders>
              <w:left w:val="nil"/>
              <w:bottom w:val="nil"/>
              <w:right w:val="nil"/>
            </w:tcBorders>
            <w:tcMar>
              <w:top w:w="80" w:type="dxa"/>
              <w:left w:w="100" w:type="dxa"/>
              <w:bottom w:w="80" w:type="dxa"/>
              <w:right w:w="100" w:type="dxa"/>
            </w:tcMar>
            <w:vAlign w:val="center"/>
          </w:tcPr>
          <w:p w14:paraId="2A05E814" w14:textId="77777777" w:rsidR="00E37F20" w:rsidRDefault="00E37F20" w:rsidP="000C6B24">
            <w:pPr>
              <w:spacing w:after="0" w:line="240" w:lineRule="auto"/>
              <w:jc w:val="center"/>
            </w:pPr>
            <w:r>
              <w:rPr>
                <w:color w:val="000000"/>
                <w:sz w:val="18"/>
              </w:rPr>
              <w:t>4 (5.3%)</w:t>
            </w:r>
          </w:p>
        </w:tc>
      </w:tr>
      <w:tr w:rsidR="00E37F20" w14:paraId="22C2D147"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3D1EF88B"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6831AE6E" w14:textId="77777777" w:rsidR="00E37F20" w:rsidRDefault="00E37F20" w:rsidP="000C6B24">
            <w:pPr>
              <w:spacing w:after="0" w:line="240" w:lineRule="auto"/>
              <w:jc w:val="left"/>
            </w:pPr>
            <w:r>
              <w:rPr>
                <w:color w:val="000000"/>
                <w:sz w:val="18"/>
              </w:rPr>
              <w:t>Manager</w:t>
            </w:r>
          </w:p>
        </w:tc>
        <w:tc>
          <w:tcPr>
            <w:tcW w:w="1483" w:type="dxa"/>
            <w:tcBorders>
              <w:left w:val="nil"/>
              <w:bottom w:val="nil"/>
              <w:right w:val="nil"/>
            </w:tcBorders>
            <w:tcMar>
              <w:top w:w="80" w:type="dxa"/>
              <w:left w:w="100" w:type="dxa"/>
              <w:bottom w:w="80" w:type="dxa"/>
              <w:right w:w="100" w:type="dxa"/>
            </w:tcMar>
            <w:vAlign w:val="center"/>
          </w:tcPr>
          <w:p w14:paraId="54FDAC2B" w14:textId="77777777" w:rsidR="00E37F20" w:rsidRDefault="00E37F20" w:rsidP="000C6B24">
            <w:pPr>
              <w:spacing w:after="0" w:line="240" w:lineRule="auto"/>
              <w:jc w:val="center"/>
            </w:pPr>
            <w:r>
              <w:rPr>
                <w:color w:val="000000"/>
                <w:sz w:val="18"/>
              </w:rPr>
              <w:t>6 (8.0%)</w:t>
            </w:r>
          </w:p>
        </w:tc>
      </w:tr>
      <w:tr w:rsidR="00E37F20" w14:paraId="7DA7D572"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26E35A99"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7B177632" w14:textId="77777777" w:rsidR="00E37F20" w:rsidRDefault="00E37F20" w:rsidP="000C6B24">
            <w:pPr>
              <w:spacing w:after="0" w:line="240" w:lineRule="auto"/>
              <w:jc w:val="left"/>
            </w:pPr>
            <w:r>
              <w:rPr>
                <w:color w:val="000000"/>
                <w:sz w:val="18"/>
              </w:rPr>
              <w:t>Head-office / administrative role</w:t>
            </w:r>
          </w:p>
        </w:tc>
        <w:tc>
          <w:tcPr>
            <w:tcW w:w="1483" w:type="dxa"/>
            <w:tcBorders>
              <w:left w:val="nil"/>
              <w:bottom w:val="nil"/>
              <w:right w:val="nil"/>
            </w:tcBorders>
            <w:tcMar>
              <w:top w:w="80" w:type="dxa"/>
              <w:left w:w="100" w:type="dxa"/>
              <w:bottom w:w="80" w:type="dxa"/>
              <w:right w:w="100" w:type="dxa"/>
            </w:tcMar>
            <w:vAlign w:val="center"/>
          </w:tcPr>
          <w:p w14:paraId="4E1E5B77" w14:textId="77777777" w:rsidR="00E37F20" w:rsidRDefault="00E37F20" w:rsidP="000C6B24">
            <w:pPr>
              <w:spacing w:after="0" w:line="240" w:lineRule="auto"/>
              <w:jc w:val="center"/>
            </w:pPr>
            <w:r>
              <w:rPr>
                <w:color w:val="000000"/>
                <w:sz w:val="18"/>
              </w:rPr>
              <w:t>9 (12.0%)</w:t>
            </w:r>
          </w:p>
        </w:tc>
      </w:tr>
      <w:tr w:rsidR="00E37F20" w14:paraId="43063485" w14:textId="77777777" w:rsidTr="000C6B24">
        <w:trPr>
          <w:cantSplit/>
          <w:jc w:val="center"/>
        </w:trPr>
        <w:tc>
          <w:tcPr>
            <w:tcW w:w="2189" w:type="dxa"/>
            <w:tcBorders>
              <w:top w:val="single" w:sz="8" w:space="0" w:color="666666"/>
              <w:left w:val="nil"/>
              <w:bottom w:val="nil"/>
              <w:right w:val="nil"/>
            </w:tcBorders>
            <w:tcMar>
              <w:top w:w="80" w:type="dxa"/>
              <w:left w:w="100" w:type="dxa"/>
              <w:bottom w:w="80" w:type="dxa"/>
              <w:right w:w="100" w:type="dxa"/>
            </w:tcMar>
            <w:vAlign w:val="center"/>
          </w:tcPr>
          <w:p w14:paraId="2AB461DD" w14:textId="77777777" w:rsidR="00E37F20" w:rsidRDefault="00E37F20" w:rsidP="000C6B24">
            <w:pPr>
              <w:spacing w:after="0" w:line="240" w:lineRule="auto"/>
              <w:jc w:val="left"/>
            </w:pPr>
            <w:r>
              <w:rPr>
                <w:b/>
                <w:color w:val="000000"/>
                <w:sz w:val="18"/>
              </w:rPr>
              <w:t>Tenure</w:t>
            </w:r>
          </w:p>
        </w:tc>
        <w:tc>
          <w:tcPr>
            <w:tcW w:w="5256" w:type="dxa"/>
            <w:tcBorders>
              <w:top w:val="single" w:sz="8" w:space="0" w:color="666666"/>
              <w:left w:val="nil"/>
              <w:bottom w:val="nil"/>
              <w:right w:val="nil"/>
            </w:tcBorders>
            <w:tcMar>
              <w:top w:w="80" w:type="dxa"/>
              <w:left w:w="100" w:type="dxa"/>
              <w:bottom w:w="80" w:type="dxa"/>
              <w:right w:w="100" w:type="dxa"/>
            </w:tcMar>
            <w:vAlign w:val="center"/>
          </w:tcPr>
          <w:p w14:paraId="651B20E4" w14:textId="77777777" w:rsidR="00E37F20" w:rsidRDefault="00E37F20" w:rsidP="000C6B24">
            <w:pPr>
              <w:spacing w:after="0" w:line="240" w:lineRule="auto"/>
              <w:jc w:val="left"/>
            </w:pPr>
            <w:r>
              <w:rPr>
                <w:color w:val="000000"/>
                <w:sz w:val="18"/>
              </w:rPr>
              <w:t>Less than 6 months</w:t>
            </w:r>
          </w:p>
        </w:tc>
        <w:tc>
          <w:tcPr>
            <w:tcW w:w="1483" w:type="dxa"/>
            <w:tcBorders>
              <w:top w:val="single" w:sz="8" w:space="0" w:color="666666"/>
              <w:left w:val="nil"/>
              <w:bottom w:val="nil"/>
              <w:right w:val="nil"/>
            </w:tcBorders>
            <w:tcMar>
              <w:top w:w="80" w:type="dxa"/>
              <w:left w:w="100" w:type="dxa"/>
              <w:bottom w:w="80" w:type="dxa"/>
              <w:right w:w="100" w:type="dxa"/>
            </w:tcMar>
            <w:vAlign w:val="center"/>
          </w:tcPr>
          <w:p w14:paraId="5CC9C137" w14:textId="77777777" w:rsidR="00E37F20" w:rsidRDefault="00E37F20" w:rsidP="000C6B24">
            <w:pPr>
              <w:spacing w:after="0" w:line="240" w:lineRule="auto"/>
              <w:jc w:val="center"/>
            </w:pPr>
            <w:r>
              <w:rPr>
                <w:color w:val="000000"/>
                <w:sz w:val="18"/>
              </w:rPr>
              <w:t>5 (6.7%)</w:t>
            </w:r>
          </w:p>
        </w:tc>
      </w:tr>
      <w:tr w:rsidR="00E37F20" w14:paraId="70628EAA"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6019AE7A"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54476831" w14:textId="77777777" w:rsidR="00E37F20" w:rsidRDefault="00E37F20" w:rsidP="000C6B24">
            <w:pPr>
              <w:spacing w:after="0" w:line="240" w:lineRule="auto"/>
              <w:jc w:val="left"/>
            </w:pPr>
            <w:r>
              <w:rPr>
                <w:color w:val="000000"/>
                <w:sz w:val="18"/>
              </w:rPr>
              <w:t>6–11 months</w:t>
            </w:r>
          </w:p>
        </w:tc>
        <w:tc>
          <w:tcPr>
            <w:tcW w:w="1483" w:type="dxa"/>
            <w:tcBorders>
              <w:left w:val="nil"/>
              <w:bottom w:val="nil"/>
              <w:right w:val="nil"/>
            </w:tcBorders>
            <w:tcMar>
              <w:top w:w="80" w:type="dxa"/>
              <w:left w:w="100" w:type="dxa"/>
              <w:bottom w:w="80" w:type="dxa"/>
              <w:right w:w="100" w:type="dxa"/>
            </w:tcMar>
            <w:vAlign w:val="center"/>
          </w:tcPr>
          <w:p w14:paraId="527512E4" w14:textId="77777777" w:rsidR="00E37F20" w:rsidRDefault="00E37F20" w:rsidP="000C6B24">
            <w:pPr>
              <w:spacing w:after="0" w:line="240" w:lineRule="auto"/>
              <w:jc w:val="center"/>
            </w:pPr>
            <w:r>
              <w:rPr>
                <w:color w:val="000000"/>
                <w:sz w:val="18"/>
              </w:rPr>
              <w:t>7 (9.3%)</w:t>
            </w:r>
          </w:p>
        </w:tc>
      </w:tr>
      <w:tr w:rsidR="00E37F20" w14:paraId="3B11954E"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100807CC"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1F1FD023" w14:textId="77777777" w:rsidR="00E37F20" w:rsidRDefault="00E37F20" w:rsidP="000C6B24">
            <w:pPr>
              <w:spacing w:after="0" w:line="240" w:lineRule="auto"/>
              <w:jc w:val="left"/>
            </w:pPr>
            <w:r>
              <w:rPr>
                <w:color w:val="000000"/>
                <w:sz w:val="18"/>
              </w:rPr>
              <w:t>1–2 years</w:t>
            </w:r>
          </w:p>
        </w:tc>
        <w:tc>
          <w:tcPr>
            <w:tcW w:w="1483" w:type="dxa"/>
            <w:tcBorders>
              <w:left w:val="nil"/>
              <w:bottom w:val="nil"/>
              <w:right w:val="nil"/>
            </w:tcBorders>
            <w:tcMar>
              <w:top w:w="80" w:type="dxa"/>
              <w:left w:w="100" w:type="dxa"/>
              <w:bottom w:w="80" w:type="dxa"/>
              <w:right w:w="100" w:type="dxa"/>
            </w:tcMar>
            <w:vAlign w:val="center"/>
          </w:tcPr>
          <w:p w14:paraId="22809CF1" w14:textId="77777777" w:rsidR="00E37F20" w:rsidRDefault="00E37F20" w:rsidP="000C6B24">
            <w:pPr>
              <w:spacing w:after="0" w:line="240" w:lineRule="auto"/>
              <w:jc w:val="center"/>
            </w:pPr>
            <w:r>
              <w:rPr>
                <w:color w:val="000000"/>
                <w:sz w:val="18"/>
              </w:rPr>
              <w:t>17 (22.7%)</w:t>
            </w:r>
          </w:p>
        </w:tc>
      </w:tr>
      <w:tr w:rsidR="00E37F20" w14:paraId="12D9C5F8" w14:textId="77777777" w:rsidTr="000C6B24">
        <w:trPr>
          <w:cantSplit/>
          <w:jc w:val="center"/>
        </w:trPr>
        <w:tc>
          <w:tcPr>
            <w:tcW w:w="2189" w:type="dxa"/>
            <w:tcBorders>
              <w:left w:val="nil"/>
              <w:bottom w:val="nil"/>
              <w:right w:val="nil"/>
            </w:tcBorders>
            <w:tcMar>
              <w:top w:w="80" w:type="dxa"/>
              <w:left w:w="100" w:type="dxa"/>
              <w:bottom w:w="80" w:type="dxa"/>
              <w:right w:w="100" w:type="dxa"/>
            </w:tcMar>
            <w:vAlign w:val="center"/>
          </w:tcPr>
          <w:p w14:paraId="2C999D51" w14:textId="77777777" w:rsidR="00E37F20" w:rsidRDefault="00E37F20" w:rsidP="000C6B24">
            <w:pPr>
              <w:spacing w:after="0" w:line="240" w:lineRule="auto"/>
              <w:jc w:val="left"/>
            </w:pPr>
          </w:p>
        </w:tc>
        <w:tc>
          <w:tcPr>
            <w:tcW w:w="5256" w:type="dxa"/>
            <w:tcBorders>
              <w:left w:val="nil"/>
              <w:bottom w:val="nil"/>
              <w:right w:val="nil"/>
            </w:tcBorders>
            <w:tcMar>
              <w:top w:w="80" w:type="dxa"/>
              <w:left w:w="100" w:type="dxa"/>
              <w:bottom w:w="80" w:type="dxa"/>
              <w:right w:w="100" w:type="dxa"/>
            </w:tcMar>
            <w:vAlign w:val="center"/>
          </w:tcPr>
          <w:p w14:paraId="1C34E6F3" w14:textId="77777777" w:rsidR="00E37F20" w:rsidRDefault="00E37F20" w:rsidP="000C6B24">
            <w:pPr>
              <w:spacing w:after="0" w:line="240" w:lineRule="auto"/>
              <w:jc w:val="left"/>
            </w:pPr>
            <w:r>
              <w:rPr>
                <w:color w:val="000000"/>
                <w:sz w:val="18"/>
              </w:rPr>
              <w:t>3–5 years</w:t>
            </w:r>
          </w:p>
        </w:tc>
        <w:tc>
          <w:tcPr>
            <w:tcW w:w="1483" w:type="dxa"/>
            <w:tcBorders>
              <w:left w:val="nil"/>
              <w:bottom w:val="nil"/>
              <w:right w:val="nil"/>
            </w:tcBorders>
            <w:tcMar>
              <w:top w:w="80" w:type="dxa"/>
              <w:left w:w="100" w:type="dxa"/>
              <w:bottom w:w="80" w:type="dxa"/>
              <w:right w:w="100" w:type="dxa"/>
            </w:tcMar>
            <w:vAlign w:val="center"/>
          </w:tcPr>
          <w:p w14:paraId="348CA66F" w14:textId="77777777" w:rsidR="00E37F20" w:rsidRDefault="00E37F20" w:rsidP="000C6B24">
            <w:pPr>
              <w:spacing w:after="0" w:line="240" w:lineRule="auto"/>
              <w:jc w:val="center"/>
            </w:pPr>
            <w:r>
              <w:rPr>
                <w:color w:val="000000"/>
                <w:sz w:val="18"/>
              </w:rPr>
              <w:t>31 (41.3%)</w:t>
            </w:r>
          </w:p>
        </w:tc>
      </w:tr>
      <w:tr w:rsidR="00E37F20" w14:paraId="7B8A2452" w14:textId="77777777" w:rsidTr="000C6B24">
        <w:trPr>
          <w:cantSplit/>
          <w:jc w:val="center"/>
        </w:trPr>
        <w:tc>
          <w:tcPr>
            <w:tcW w:w="2189" w:type="dxa"/>
            <w:tcBorders>
              <w:left w:val="nil"/>
              <w:bottom w:val="single" w:sz="12" w:space="0" w:color="000000"/>
              <w:right w:val="nil"/>
            </w:tcBorders>
            <w:tcMar>
              <w:top w:w="80" w:type="dxa"/>
              <w:left w:w="100" w:type="dxa"/>
              <w:bottom w:w="80" w:type="dxa"/>
              <w:right w:w="100" w:type="dxa"/>
            </w:tcMar>
            <w:vAlign w:val="center"/>
          </w:tcPr>
          <w:p w14:paraId="478C862C" w14:textId="77777777" w:rsidR="00E37F20" w:rsidRDefault="00E37F20" w:rsidP="000C6B24">
            <w:pPr>
              <w:spacing w:after="0" w:line="240" w:lineRule="auto"/>
              <w:jc w:val="left"/>
            </w:pPr>
          </w:p>
        </w:tc>
        <w:tc>
          <w:tcPr>
            <w:tcW w:w="5256" w:type="dxa"/>
            <w:tcBorders>
              <w:left w:val="nil"/>
              <w:bottom w:val="single" w:sz="12" w:space="0" w:color="000000"/>
              <w:right w:val="nil"/>
            </w:tcBorders>
            <w:tcMar>
              <w:top w:w="80" w:type="dxa"/>
              <w:left w:w="100" w:type="dxa"/>
              <w:bottom w:w="80" w:type="dxa"/>
              <w:right w:w="100" w:type="dxa"/>
            </w:tcMar>
            <w:vAlign w:val="center"/>
          </w:tcPr>
          <w:p w14:paraId="75041FF8" w14:textId="77777777" w:rsidR="00E37F20" w:rsidRDefault="00E37F20" w:rsidP="000C6B24">
            <w:pPr>
              <w:spacing w:after="0" w:line="240" w:lineRule="auto"/>
              <w:jc w:val="left"/>
            </w:pPr>
            <w:r>
              <w:rPr>
                <w:color w:val="000000"/>
                <w:sz w:val="18"/>
              </w:rPr>
              <w:t>More than 5 years</w:t>
            </w:r>
          </w:p>
        </w:tc>
        <w:tc>
          <w:tcPr>
            <w:tcW w:w="1483" w:type="dxa"/>
            <w:tcBorders>
              <w:left w:val="nil"/>
              <w:bottom w:val="single" w:sz="12" w:space="0" w:color="000000"/>
              <w:right w:val="nil"/>
            </w:tcBorders>
            <w:tcMar>
              <w:top w:w="80" w:type="dxa"/>
              <w:left w:w="100" w:type="dxa"/>
              <w:bottom w:w="80" w:type="dxa"/>
              <w:right w:w="100" w:type="dxa"/>
            </w:tcMar>
            <w:vAlign w:val="center"/>
          </w:tcPr>
          <w:p w14:paraId="3A4B7311" w14:textId="77777777" w:rsidR="00E37F20" w:rsidRDefault="00E37F20" w:rsidP="000C6B24">
            <w:pPr>
              <w:spacing w:after="0" w:line="240" w:lineRule="auto"/>
              <w:jc w:val="center"/>
            </w:pPr>
            <w:r>
              <w:rPr>
                <w:color w:val="000000"/>
                <w:sz w:val="18"/>
              </w:rPr>
              <w:t>15 (20.0%)</w:t>
            </w:r>
          </w:p>
        </w:tc>
      </w:tr>
    </w:tbl>
    <w:p w14:paraId="7DA05320" w14:textId="77777777" w:rsidR="00E37F20" w:rsidRDefault="00E37F20" w:rsidP="00E37F20">
      <w:pPr>
        <w:spacing w:after="0" w:line="48" w:lineRule="auto"/>
      </w:pPr>
    </w:p>
    <w:p w14:paraId="0AA1DDB3" w14:textId="77777777" w:rsidR="00E37F20" w:rsidRDefault="00E37F20" w:rsidP="00E37F20">
      <w:pPr>
        <w:pStyle w:val="Heading2"/>
      </w:pPr>
      <w:bookmarkStart w:id="48" w:name="_Toc240321845"/>
      <w:r>
        <w:t>4.4 Reliability Test Analysis</w:t>
      </w:r>
      <w:bookmarkEnd w:id="48"/>
    </w:p>
    <w:p w14:paraId="68A3A994" w14:textId="3E94F425" w:rsidR="00794018" w:rsidRDefault="00794018" w:rsidP="00794018">
      <w:r>
        <w:t>Prior to utilization of composite scores, internal consistency was tested. Table 4.2 displays Cronbach's alpha for the seven-item employment rights awareness, eight-item organisational justice and eight-item organisational commitment scales, respectively, as 0.777, 0.772 and 0.732. Both of these are above the traditional 0.70 limit, which generally allows for coherent aggregation of this sample. The lower level of commitment coefficient has been considered acceptable and conceptually plausible since the instrument measures affective, normative and continuance components</w:t>
      </w:r>
      <w:r w:rsidR="00347332">
        <w:t xml:space="preserve"> </w:t>
      </w:r>
      <w:r w:rsidR="00347332" w:rsidRPr="00347332">
        <w:t>(Aggarwal et al., 2022)</w:t>
      </w:r>
      <w:r w:rsidR="00347332">
        <w:t>. N</w:t>
      </w:r>
      <w:r>
        <w:t>ot necessarily have to increase or decrease uniformly.</w:t>
      </w:r>
    </w:p>
    <w:p w14:paraId="69AD8986" w14:textId="6E78BF0A" w:rsidR="00794018" w:rsidRDefault="00794018" w:rsidP="00794018">
      <w:r>
        <w:t xml:space="preserve">Coefficients are not sufficiently large to remove items simply to maximise alpha. Deletion of conceptually important ones will restrict the construct and create "falsifying" precision. Given that all planned items are retained, there is congruence with the questionnaire and theory. Likewise, alpha does not represent </w:t>
      </w:r>
      <w:r w:rsidRPr="00794018">
        <w:t>one-dimensionality</w:t>
      </w:r>
      <w:r>
        <w:t>, criterion validity, nor true legal knowledge</w:t>
      </w:r>
      <w:r w:rsidR="00347332">
        <w:t xml:space="preserve"> </w:t>
      </w:r>
      <w:r w:rsidR="00347332" w:rsidRPr="00347332">
        <w:t>(Díaz-Linhart et al., 2025)</w:t>
      </w:r>
      <w:r>
        <w:t>. But rather suggests a minimum level of covariation of respondents' responses to the extent that they can be summed and scored as a scale. Reliability thus permits the planned statistical comparisons despite the not complete elimination of measurement restrictions. It is significant at this 7th level analysis as the measurement of a technically acceptable coefficient is not enough for conceptual validity.</w:t>
      </w:r>
    </w:p>
    <w:p w14:paraId="71FEAA73" w14:textId="38719CB7" w:rsidR="00E37F20" w:rsidRDefault="00794018" w:rsidP="00794018">
      <w:r>
        <w:t xml:space="preserve">There is also a need for restraint when making comparisons between the values of the coefficients. The difference in awareness and justice alphas was 0.005, a substantially negligible difference. Lower alphas are typically viewed as signifying less importance of the commitment construct, but in fact, are suggestive of more heterogeneous components and may </w:t>
      </w:r>
      <w:r>
        <w:lastRenderedPageBreak/>
        <w:t>serve to dampen the relationships that are in existence</w:t>
      </w:r>
      <w:r w:rsidR="00347332">
        <w:t xml:space="preserve"> </w:t>
      </w:r>
      <w:r w:rsidR="00347332" w:rsidRPr="00347332">
        <w:t>(Ababneh et al., 2022)</w:t>
      </w:r>
      <w:r>
        <w:t>. For this reason, it is noteworthy, albeit an imperfect measure, that the justice-commitment coefficient is relatively high. The item allocation and the scoring are shown in Appendix A, and the diagnostic audit trail and reliability are reported in Appendix B, thus preserving the ability to reproduce the transformations</w:t>
      </w:r>
      <w:r w:rsidR="00E37F20">
        <w:t>.</w:t>
      </w:r>
    </w:p>
    <w:p w14:paraId="51DDEBEC" w14:textId="77777777" w:rsidR="00E37F20" w:rsidRDefault="00E37F20" w:rsidP="00E37F20">
      <w:r>
        <w:t>Table 4.2 Reliability of the study scales</w:t>
      </w:r>
    </w:p>
    <w:tbl>
      <w:tblPr>
        <w:tblW w:w="8640" w:type="dxa"/>
        <w:jc w:val="center"/>
        <w:tblLayout w:type="fixed"/>
        <w:tblLook w:val="04A0" w:firstRow="1" w:lastRow="0" w:firstColumn="1" w:lastColumn="0" w:noHBand="0" w:noVBand="1"/>
      </w:tblPr>
      <w:tblGrid>
        <w:gridCol w:w="3240"/>
        <w:gridCol w:w="936"/>
        <w:gridCol w:w="2088"/>
        <w:gridCol w:w="2376"/>
      </w:tblGrid>
      <w:tr w:rsidR="00E37F20" w14:paraId="61B96DEC" w14:textId="77777777" w:rsidTr="000C6B24">
        <w:trPr>
          <w:tblHeader/>
          <w:jc w:val="center"/>
        </w:trPr>
        <w:tc>
          <w:tcPr>
            <w:tcW w:w="324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9B09706" w14:textId="77777777" w:rsidR="00E37F20" w:rsidRDefault="00E37F20" w:rsidP="000C6B24">
            <w:pPr>
              <w:spacing w:after="0" w:line="240" w:lineRule="auto"/>
              <w:jc w:val="center"/>
            </w:pPr>
            <w:r>
              <w:rPr>
                <w:b/>
                <w:color w:val="000000"/>
                <w:sz w:val="19"/>
              </w:rPr>
              <w:t>Construct</w:t>
            </w:r>
          </w:p>
        </w:tc>
        <w:tc>
          <w:tcPr>
            <w:tcW w:w="93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69E964D" w14:textId="77777777" w:rsidR="00E37F20" w:rsidRDefault="00E37F20" w:rsidP="000C6B24">
            <w:pPr>
              <w:spacing w:after="0" w:line="240" w:lineRule="auto"/>
              <w:jc w:val="center"/>
            </w:pPr>
            <w:r>
              <w:rPr>
                <w:b/>
                <w:color w:val="000000"/>
                <w:sz w:val="19"/>
              </w:rPr>
              <w:t>Items</w:t>
            </w:r>
          </w:p>
        </w:tc>
        <w:tc>
          <w:tcPr>
            <w:tcW w:w="208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CF8C8A2" w14:textId="77777777" w:rsidR="00E37F20" w:rsidRDefault="00E37F20" w:rsidP="000C6B24">
            <w:pPr>
              <w:spacing w:after="0" w:line="240" w:lineRule="auto"/>
              <w:jc w:val="center"/>
            </w:pPr>
            <w:r>
              <w:rPr>
                <w:b/>
                <w:color w:val="000000"/>
                <w:sz w:val="19"/>
              </w:rPr>
              <w:t>Cronbach's alpha</w:t>
            </w:r>
          </w:p>
        </w:tc>
        <w:tc>
          <w:tcPr>
            <w:tcW w:w="237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F35E5B0" w14:textId="77777777" w:rsidR="00E37F20" w:rsidRDefault="00E37F20" w:rsidP="000C6B24">
            <w:pPr>
              <w:spacing w:after="0" w:line="240" w:lineRule="auto"/>
              <w:jc w:val="center"/>
            </w:pPr>
            <w:r>
              <w:rPr>
                <w:b/>
                <w:color w:val="000000"/>
                <w:sz w:val="19"/>
              </w:rPr>
              <w:t>Decision</w:t>
            </w:r>
          </w:p>
        </w:tc>
      </w:tr>
      <w:tr w:rsidR="00E37F20" w14:paraId="7B76ED61" w14:textId="77777777" w:rsidTr="000C6B24">
        <w:trPr>
          <w:cantSplit/>
          <w:jc w:val="center"/>
        </w:trPr>
        <w:tc>
          <w:tcPr>
            <w:tcW w:w="32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1BAE089" w14:textId="77777777" w:rsidR="00E37F20" w:rsidRDefault="00E37F20" w:rsidP="000C6B24">
            <w:pPr>
              <w:spacing w:after="0" w:line="240" w:lineRule="auto"/>
              <w:jc w:val="left"/>
            </w:pPr>
            <w:r>
              <w:rPr>
                <w:color w:val="000000"/>
                <w:sz w:val="19"/>
              </w:rPr>
              <w:t>Employment rights awareness</w:t>
            </w:r>
          </w:p>
        </w:tc>
        <w:tc>
          <w:tcPr>
            <w:tcW w:w="93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944AD88" w14:textId="77777777" w:rsidR="00E37F20" w:rsidRDefault="00E37F20" w:rsidP="000C6B24">
            <w:pPr>
              <w:spacing w:after="0" w:line="240" w:lineRule="auto"/>
              <w:jc w:val="center"/>
            </w:pPr>
            <w:r>
              <w:rPr>
                <w:color w:val="000000"/>
                <w:sz w:val="19"/>
              </w:rPr>
              <w:t>7</w:t>
            </w:r>
          </w:p>
        </w:tc>
        <w:tc>
          <w:tcPr>
            <w:tcW w:w="208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C1F200" w14:textId="77777777" w:rsidR="00E37F20" w:rsidRDefault="00E37F20" w:rsidP="000C6B24">
            <w:pPr>
              <w:spacing w:after="0" w:line="240" w:lineRule="auto"/>
              <w:jc w:val="center"/>
            </w:pPr>
            <w:r>
              <w:rPr>
                <w:color w:val="000000"/>
                <w:sz w:val="19"/>
              </w:rPr>
              <w:t>0.777</w:t>
            </w:r>
          </w:p>
        </w:tc>
        <w:tc>
          <w:tcPr>
            <w:tcW w:w="237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D6DE1A8" w14:textId="77777777" w:rsidR="00E37F20" w:rsidRDefault="00E37F20" w:rsidP="000C6B24">
            <w:pPr>
              <w:spacing w:after="0" w:line="240" w:lineRule="auto"/>
              <w:jc w:val="center"/>
            </w:pPr>
            <w:r>
              <w:rPr>
                <w:color w:val="000000"/>
                <w:sz w:val="19"/>
              </w:rPr>
              <w:t>Satisfactory</w:t>
            </w:r>
          </w:p>
        </w:tc>
      </w:tr>
      <w:tr w:rsidR="00E37F20" w14:paraId="59F30044" w14:textId="77777777" w:rsidTr="000C6B24">
        <w:trPr>
          <w:cantSplit/>
          <w:jc w:val="center"/>
        </w:trPr>
        <w:tc>
          <w:tcPr>
            <w:tcW w:w="32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7D8C1D" w14:textId="77777777" w:rsidR="00E37F20" w:rsidRDefault="00E37F20" w:rsidP="000C6B24">
            <w:pPr>
              <w:spacing w:after="0" w:line="240" w:lineRule="auto"/>
              <w:jc w:val="left"/>
            </w:pPr>
            <w:r>
              <w:rPr>
                <w:color w:val="000000"/>
                <w:sz w:val="19"/>
              </w:rPr>
              <w:t>Organisational justice</w:t>
            </w:r>
          </w:p>
        </w:tc>
        <w:tc>
          <w:tcPr>
            <w:tcW w:w="93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750157" w14:textId="77777777" w:rsidR="00E37F20" w:rsidRDefault="00E37F20" w:rsidP="000C6B24">
            <w:pPr>
              <w:spacing w:after="0" w:line="240" w:lineRule="auto"/>
              <w:jc w:val="center"/>
            </w:pPr>
            <w:r>
              <w:rPr>
                <w:color w:val="000000"/>
                <w:sz w:val="19"/>
              </w:rPr>
              <w:t>8</w:t>
            </w:r>
          </w:p>
        </w:tc>
        <w:tc>
          <w:tcPr>
            <w:tcW w:w="208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C1210C" w14:textId="77777777" w:rsidR="00E37F20" w:rsidRDefault="00E37F20" w:rsidP="000C6B24">
            <w:pPr>
              <w:spacing w:after="0" w:line="240" w:lineRule="auto"/>
              <w:jc w:val="center"/>
            </w:pPr>
            <w:r>
              <w:rPr>
                <w:color w:val="000000"/>
                <w:sz w:val="19"/>
              </w:rPr>
              <w:t>0.772</w:t>
            </w:r>
          </w:p>
        </w:tc>
        <w:tc>
          <w:tcPr>
            <w:tcW w:w="237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21DBD46" w14:textId="77777777" w:rsidR="00E37F20" w:rsidRDefault="00E37F20" w:rsidP="000C6B24">
            <w:pPr>
              <w:spacing w:after="0" w:line="240" w:lineRule="auto"/>
              <w:jc w:val="center"/>
            </w:pPr>
            <w:r>
              <w:rPr>
                <w:color w:val="000000"/>
                <w:sz w:val="19"/>
              </w:rPr>
              <w:t>Satisfactory</w:t>
            </w:r>
          </w:p>
        </w:tc>
      </w:tr>
      <w:tr w:rsidR="00E37F20" w14:paraId="4B6BE0E2" w14:textId="77777777" w:rsidTr="000C6B24">
        <w:trPr>
          <w:cantSplit/>
          <w:jc w:val="center"/>
        </w:trPr>
        <w:tc>
          <w:tcPr>
            <w:tcW w:w="32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A5E28BD" w14:textId="77777777" w:rsidR="00E37F20" w:rsidRDefault="00E37F20" w:rsidP="000C6B24">
            <w:pPr>
              <w:spacing w:after="0" w:line="240" w:lineRule="auto"/>
              <w:jc w:val="left"/>
            </w:pPr>
            <w:r>
              <w:rPr>
                <w:color w:val="000000"/>
                <w:sz w:val="19"/>
              </w:rPr>
              <w:t>Organisational commitment</w:t>
            </w:r>
          </w:p>
        </w:tc>
        <w:tc>
          <w:tcPr>
            <w:tcW w:w="93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94DB40C" w14:textId="77777777" w:rsidR="00E37F20" w:rsidRDefault="00E37F20" w:rsidP="000C6B24">
            <w:pPr>
              <w:spacing w:after="0" w:line="240" w:lineRule="auto"/>
              <w:jc w:val="center"/>
            </w:pPr>
            <w:r>
              <w:rPr>
                <w:color w:val="000000"/>
                <w:sz w:val="19"/>
              </w:rPr>
              <w:t>8</w:t>
            </w:r>
          </w:p>
        </w:tc>
        <w:tc>
          <w:tcPr>
            <w:tcW w:w="208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50124F2" w14:textId="77777777" w:rsidR="00E37F20" w:rsidRDefault="00E37F20" w:rsidP="000C6B24">
            <w:pPr>
              <w:spacing w:after="0" w:line="240" w:lineRule="auto"/>
              <w:jc w:val="center"/>
            </w:pPr>
            <w:r>
              <w:rPr>
                <w:color w:val="000000"/>
                <w:sz w:val="19"/>
              </w:rPr>
              <w:t>0.732</w:t>
            </w:r>
          </w:p>
        </w:tc>
        <w:tc>
          <w:tcPr>
            <w:tcW w:w="237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7F34A07" w14:textId="77777777" w:rsidR="00E37F20" w:rsidRDefault="00E37F20" w:rsidP="000C6B24">
            <w:pPr>
              <w:spacing w:after="0" w:line="240" w:lineRule="auto"/>
              <w:jc w:val="center"/>
            </w:pPr>
            <w:r>
              <w:rPr>
                <w:color w:val="000000"/>
                <w:sz w:val="19"/>
              </w:rPr>
              <w:t>Satisfactory</w:t>
            </w:r>
          </w:p>
        </w:tc>
      </w:tr>
    </w:tbl>
    <w:p w14:paraId="049F1EFD" w14:textId="77777777" w:rsidR="00E37F20" w:rsidRDefault="00E37F20" w:rsidP="00E37F20">
      <w:pPr>
        <w:spacing w:after="0" w:line="48" w:lineRule="auto"/>
      </w:pPr>
    </w:p>
    <w:p w14:paraId="67747E10" w14:textId="77777777" w:rsidR="00E37F20" w:rsidRDefault="00E37F20" w:rsidP="00E37F20">
      <w:pPr>
        <w:pStyle w:val="Heading2"/>
      </w:pPr>
      <w:bookmarkStart w:id="49" w:name="_Toc240321846"/>
      <w:r>
        <w:t>4.5 Hypothesis Testing</w:t>
      </w:r>
      <w:bookmarkEnd w:id="49"/>
    </w:p>
    <w:p w14:paraId="7B1527D1" w14:textId="77777777" w:rsidR="00E37F20" w:rsidRDefault="00E37F20" w:rsidP="00E37F20">
      <w:pPr>
        <w:pStyle w:val="Heading3"/>
      </w:pPr>
      <w:bookmarkStart w:id="50" w:name="_Toc240321847"/>
      <w:r>
        <w:t>4.5.1 Descriptive Results and Assumption Checks</w:t>
      </w:r>
      <w:bookmarkEnd w:id="50"/>
    </w:p>
    <w:p w14:paraId="75A56E5D" w14:textId="0F55BBC4" w:rsidR="00E37F20" w:rsidRDefault="00794018" w:rsidP="00E37F20">
      <w:r w:rsidRPr="00794018">
        <w:t xml:space="preserve">Relationships are interpreted based on composite statistics. The </w:t>
      </w:r>
      <w:r>
        <w:t>larg</w:t>
      </w:r>
      <w:r w:rsidRPr="00794018">
        <w:t>est scale mean was for employment rights awareness (M = 3.69, SD = 0.61), followed by M for organisational justice (3.52, SD = 0.61), and organisational commitment had the lowest scale mean (M = 3.28, SD = 0.61). All were above the neutral midpoint, but the descending trajectory is of significant magnitude. Respondents reported more knowledge about what employment should offer in terms of employment, as opposed to attachment to the organisation offering employment</w:t>
      </w:r>
      <w:r w:rsidR="00347332">
        <w:t xml:space="preserve"> </w:t>
      </w:r>
      <w:r w:rsidR="00347332" w:rsidRPr="00347332">
        <w:t>(Karani et al., 2022)</w:t>
      </w:r>
      <w:r w:rsidRPr="00794018">
        <w:t>. This difference is not an artefact of one scale being significantly more variable</w:t>
      </w:r>
      <w:r>
        <w:t>,</w:t>
      </w:r>
      <w:r w:rsidRPr="00794018">
        <w:t xml:space="preserve"> as the results show a similar dispersion across constructs. The awareness scores were in the range 2.43 to 4.71, the justice scores in the range 2.00 to 4.63, and the commitment scores in the range 1.63 to 4.75, indicating that the average of each of these scores is more favourable than they are individually</w:t>
      </w:r>
      <w:r w:rsidR="00E37F20">
        <w:t>.</w:t>
      </w:r>
    </w:p>
    <w:p w14:paraId="6687E623" w14:textId="77777777" w:rsidR="00E37F20" w:rsidRDefault="00E37F20" w:rsidP="00E37F20">
      <w:r>
        <w:t>Table 4.3 Descriptive statistics for composite variables</w:t>
      </w:r>
    </w:p>
    <w:tbl>
      <w:tblPr>
        <w:tblW w:w="8784" w:type="dxa"/>
        <w:jc w:val="center"/>
        <w:tblLayout w:type="fixed"/>
        <w:tblLook w:val="04A0" w:firstRow="1" w:lastRow="0" w:firstColumn="1" w:lastColumn="0" w:noHBand="0" w:noVBand="1"/>
      </w:tblPr>
      <w:tblGrid>
        <w:gridCol w:w="3024"/>
        <w:gridCol w:w="1368"/>
        <w:gridCol w:w="1368"/>
        <w:gridCol w:w="1512"/>
        <w:gridCol w:w="1512"/>
      </w:tblGrid>
      <w:tr w:rsidR="00E37F20" w14:paraId="70F6D12A" w14:textId="77777777" w:rsidTr="000C6B24">
        <w:trPr>
          <w:tblHeader/>
          <w:jc w:val="center"/>
        </w:trPr>
        <w:tc>
          <w:tcPr>
            <w:tcW w:w="3024"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694AC67" w14:textId="77777777" w:rsidR="00E37F20" w:rsidRDefault="00E37F20" w:rsidP="000C6B24">
            <w:pPr>
              <w:spacing w:after="0" w:line="240" w:lineRule="auto"/>
              <w:jc w:val="center"/>
            </w:pPr>
            <w:r>
              <w:rPr>
                <w:b/>
                <w:color w:val="000000"/>
                <w:sz w:val="19"/>
              </w:rPr>
              <w:t>Construct</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0A69D2C" w14:textId="77777777" w:rsidR="00E37F20" w:rsidRDefault="00E37F20" w:rsidP="000C6B24">
            <w:pPr>
              <w:spacing w:after="0" w:line="240" w:lineRule="auto"/>
              <w:jc w:val="center"/>
            </w:pPr>
            <w:r>
              <w:rPr>
                <w:b/>
                <w:color w:val="000000"/>
                <w:sz w:val="19"/>
              </w:rPr>
              <w:t>Mean</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2E86BD6" w14:textId="77777777" w:rsidR="00E37F20" w:rsidRDefault="00E37F20" w:rsidP="000C6B24">
            <w:pPr>
              <w:spacing w:after="0" w:line="240" w:lineRule="auto"/>
              <w:jc w:val="center"/>
            </w:pPr>
            <w:r>
              <w:rPr>
                <w:b/>
                <w:color w:val="000000"/>
                <w:sz w:val="19"/>
              </w:rPr>
              <w:t>SD</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97DDC31" w14:textId="77777777" w:rsidR="00E37F20" w:rsidRDefault="00E37F20" w:rsidP="000C6B24">
            <w:pPr>
              <w:spacing w:after="0" w:line="240" w:lineRule="auto"/>
              <w:jc w:val="center"/>
            </w:pPr>
            <w:r>
              <w:rPr>
                <w:b/>
                <w:color w:val="000000"/>
                <w:sz w:val="19"/>
              </w:rPr>
              <w:t>Minimum</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C750969" w14:textId="77777777" w:rsidR="00E37F20" w:rsidRDefault="00E37F20" w:rsidP="000C6B24">
            <w:pPr>
              <w:spacing w:after="0" w:line="240" w:lineRule="auto"/>
              <w:jc w:val="center"/>
            </w:pPr>
            <w:r>
              <w:rPr>
                <w:b/>
                <w:color w:val="000000"/>
                <w:sz w:val="19"/>
              </w:rPr>
              <w:t>Maximum</w:t>
            </w:r>
          </w:p>
        </w:tc>
      </w:tr>
      <w:tr w:rsidR="00E37F20" w14:paraId="65C9ADFD" w14:textId="77777777" w:rsidTr="000C6B24">
        <w:trPr>
          <w:cantSplit/>
          <w:jc w:val="center"/>
        </w:trPr>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7C33829" w14:textId="77777777" w:rsidR="00E37F20" w:rsidRDefault="00E37F20" w:rsidP="000C6B24">
            <w:pPr>
              <w:spacing w:after="0" w:line="240" w:lineRule="auto"/>
              <w:jc w:val="left"/>
            </w:pPr>
            <w:r>
              <w:rPr>
                <w:color w:val="000000"/>
                <w:sz w:val="19"/>
              </w:rPr>
              <w:t>Employment rights awareness</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74E5922" w14:textId="77777777" w:rsidR="00E37F20" w:rsidRDefault="00E37F20" w:rsidP="000C6B24">
            <w:pPr>
              <w:spacing w:after="0" w:line="240" w:lineRule="auto"/>
              <w:jc w:val="center"/>
            </w:pPr>
            <w:r>
              <w:rPr>
                <w:color w:val="000000"/>
                <w:sz w:val="19"/>
              </w:rPr>
              <w:t>3.69</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3BE37D6" w14:textId="77777777" w:rsidR="00E37F20" w:rsidRDefault="00E37F20" w:rsidP="000C6B24">
            <w:pPr>
              <w:spacing w:after="0" w:line="240" w:lineRule="auto"/>
              <w:jc w:val="center"/>
            </w:pPr>
            <w:r>
              <w:rPr>
                <w:color w:val="000000"/>
                <w:sz w:val="19"/>
              </w:rPr>
              <w:t>0.61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370AEFC" w14:textId="77777777" w:rsidR="00E37F20" w:rsidRDefault="00E37F20" w:rsidP="000C6B24">
            <w:pPr>
              <w:spacing w:after="0" w:line="240" w:lineRule="auto"/>
              <w:jc w:val="center"/>
            </w:pPr>
            <w:r>
              <w:rPr>
                <w:color w:val="000000"/>
                <w:sz w:val="19"/>
              </w:rPr>
              <w:t>2.43</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4F5D3C4" w14:textId="77777777" w:rsidR="00E37F20" w:rsidRDefault="00E37F20" w:rsidP="000C6B24">
            <w:pPr>
              <w:spacing w:after="0" w:line="240" w:lineRule="auto"/>
              <w:jc w:val="center"/>
            </w:pPr>
            <w:r>
              <w:rPr>
                <w:color w:val="000000"/>
                <w:sz w:val="19"/>
              </w:rPr>
              <w:t>4.71</w:t>
            </w:r>
          </w:p>
        </w:tc>
      </w:tr>
      <w:tr w:rsidR="00E37F20" w14:paraId="22247225" w14:textId="77777777" w:rsidTr="000C6B24">
        <w:trPr>
          <w:cantSplit/>
          <w:jc w:val="center"/>
        </w:trPr>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524AE10" w14:textId="77777777" w:rsidR="00E37F20" w:rsidRDefault="00E37F20" w:rsidP="000C6B24">
            <w:pPr>
              <w:spacing w:after="0" w:line="240" w:lineRule="auto"/>
              <w:jc w:val="left"/>
            </w:pPr>
            <w:r>
              <w:rPr>
                <w:color w:val="000000"/>
                <w:sz w:val="19"/>
              </w:rPr>
              <w:t>Organisational justice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B36458C" w14:textId="77777777" w:rsidR="00E37F20" w:rsidRDefault="00E37F20" w:rsidP="000C6B24">
            <w:pPr>
              <w:spacing w:after="0" w:line="240" w:lineRule="auto"/>
              <w:jc w:val="center"/>
            </w:pPr>
            <w:r>
              <w:rPr>
                <w:color w:val="000000"/>
                <w:sz w:val="19"/>
              </w:rPr>
              <w:t>3.52</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16EC5F" w14:textId="77777777" w:rsidR="00E37F20" w:rsidRDefault="00E37F20" w:rsidP="000C6B24">
            <w:pPr>
              <w:spacing w:after="0" w:line="240" w:lineRule="auto"/>
              <w:jc w:val="center"/>
            </w:pPr>
            <w:r>
              <w:rPr>
                <w:color w:val="000000"/>
                <w:sz w:val="19"/>
              </w:rPr>
              <w:t>0.61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676AA31" w14:textId="77777777" w:rsidR="00E37F20" w:rsidRDefault="00E37F20" w:rsidP="000C6B24">
            <w:pPr>
              <w:spacing w:after="0" w:line="240" w:lineRule="auto"/>
              <w:jc w:val="center"/>
            </w:pPr>
            <w:r>
              <w:rPr>
                <w:color w:val="000000"/>
                <w:sz w:val="19"/>
              </w:rPr>
              <w:t>2.00</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16BDDB1" w14:textId="77777777" w:rsidR="00E37F20" w:rsidRDefault="00E37F20" w:rsidP="000C6B24">
            <w:pPr>
              <w:spacing w:after="0" w:line="240" w:lineRule="auto"/>
              <w:jc w:val="center"/>
            </w:pPr>
            <w:r>
              <w:rPr>
                <w:color w:val="000000"/>
                <w:sz w:val="19"/>
              </w:rPr>
              <w:t>4.63</w:t>
            </w:r>
          </w:p>
        </w:tc>
      </w:tr>
      <w:tr w:rsidR="00E37F20" w14:paraId="1B1B4053" w14:textId="77777777" w:rsidTr="000C6B24">
        <w:trPr>
          <w:cantSplit/>
          <w:jc w:val="center"/>
        </w:trPr>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B3BBAAD" w14:textId="77777777" w:rsidR="00E37F20" w:rsidRDefault="00E37F20" w:rsidP="000C6B24">
            <w:pPr>
              <w:spacing w:after="0" w:line="240" w:lineRule="auto"/>
              <w:jc w:val="left"/>
            </w:pPr>
            <w:r>
              <w:rPr>
                <w:color w:val="000000"/>
                <w:sz w:val="19"/>
              </w:rPr>
              <w:t>Organisational commitment</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755DE4" w14:textId="77777777" w:rsidR="00E37F20" w:rsidRDefault="00E37F20" w:rsidP="000C6B24">
            <w:pPr>
              <w:spacing w:after="0" w:line="240" w:lineRule="auto"/>
              <w:jc w:val="center"/>
            </w:pPr>
            <w:r>
              <w:rPr>
                <w:color w:val="000000"/>
                <w:sz w:val="19"/>
              </w:rPr>
              <w:t>3.28</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A9FF095" w14:textId="77777777" w:rsidR="00E37F20" w:rsidRDefault="00E37F20" w:rsidP="000C6B24">
            <w:pPr>
              <w:spacing w:after="0" w:line="240" w:lineRule="auto"/>
              <w:jc w:val="center"/>
            </w:pPr>
            <w:r>
              <w:rPr>
                <w:color w:val="000000"/>
                <w:sz w:val="19"/>
              </w:rPr>
              <w:t>0.61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4DD6E99" w14:textId="77777777" w:rsidR="00E37F20" w:rsidRDefault="00E37F20" w:rsidP="000C6B24">
            <w:pPr>
              <w:spacing w:after="0" w:line="240" w:lineRule="auto"/>
              <w:jc w:val="center"/>
            </w:pPr>
            <w:r>
              <w:rPr>
                <w:color w:val="000000"/>
                <w:sz w:val="19"/>
              </w:rPr>
              <w:t>1.63</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E8E80E" w14:textId="77777777" w:rsidR="00E37F20" w:rsidRDefault="00E37F20" w:rsidP="000C6B24">
            <w:pPr>
              <w:spacing w:after="0" w:line="240" w:lineRule="auto"/>
              <w:jc w:val="center"/>
            </w:pPr>
            <w:r>
              <w:rPr>
                <w:color w:val="000000"/>
                <w:sz w:val="19"/>
              </w:rPr>
              <w:t>4.75</w:t>
            </w:r>
          </w:p>
        </w:tc>
      </w:tr>
    </w:tbl>
    <w:p w14:paraId="7F7F5E88" w14:textId="77777777" w:rsidR="00E37F20" w:rsidRDefault="00E37F20" w:rsidP="00E37F20">
      <w:pPr>
        <w:spacing w:after="0" w:line="48" w:lineRule="auto"/>
      </w:pPr>
    </w:p>
    <w:p w14:paraId="545A71F4" w14:textId="77777777" w:rsidR="00E37F20" w:rsidRDefault="00E37F20" w:rsidP="00E37F20">
      <w:pPr>
        <w:spacing w:line="240" w:lineRule="auto"/>
        <w:jc w:val="left"/>
      </w:pPr>
      <w:r>
        <w:rPr>
          <w:i/>
          <w:color w:val="000000"/>
          <w:sz w:val="20"/>
        </w:rPr>
        <w:lastRenderedPageBreak/>
        <w:t>SD means standard deviation.</w:t>
      </w:r>
    </w:p>
    <w:p w14:paraId="2CD282B8" w14:textId="77777777" w:rsidR="00E37F20" w:rsidRDefault="00E37F20" w:rsidP="00E37F20">
      <w:pPr>
        <w:keepNext/>
        <w:spacing w:before="80" w:after="0"/>
        <w:jc w:val="center"/>
      </w:pPr>
      <w:r>
        <w:rPr>
          <w:noProof/>
        </w:rPr>
        <w:drawing>
          <wp:inline distT="0" distB="0" distL="0" distR="0" wp14:anchorId="18B8D979" wp14:editId="067BB36E">
            <wp:extent cx="5394960" cy="3267979"/>
            <wp:effectExtent l="0" t="0" r="0" b="0"/>
            <wp:docPr id="1" name="Picture 1" descr="Column chart comparing the means of employment rights awareness, organisational justice, and organisational com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1_construct_means.png"/>
                    <pic:cNvPicPr/>
                  </pic:nvPicPr>
                  <pic:blipFill>
                    <a:blip r:embed="rId12"/>
                    <a:stretch>
                      <a:fillRect/>
                    </a:stretch>
                  </pic:blipFill>
                  <pic:spPr>
                    <a:xfrm>
                      <a:off x="0" y="0"/>
                      <a:ext cx="5394960" cy="3267979"/>
                    </a:xfrm>
                    <a:prstGeom prst="rect">
                      <a:avLst/>
                    </a:prstGeom>
                  </pic:spPr>
                </pic:pic>
              </a:graphicData>
            </a:graphic>
          </wp:inline>
        </w:drawing>
      </w:r>
    </w:p>
    <w:p w14:paraId="22EDA7F5" w14:textId="77777777" w:rsidR="00E37F20" w:rsidRDefault="00E37F20" w:rsidP="00E37F20">
      <w:r>
        <w:t>Figure 4.1 Mean scores of the three main constructs</w:t>
      </w:r>
    </w:p>
    <w:p w14:paraId="4DC90C1F" w14:textId="2FDC77C5" w:rsidR="00794018" w:rsidRDefault="00794018" w:rsidP="00794018">
      <w:r>
        <w:t>All of these interpretations are enhanced by item evidence. The lowest rates of disagreement were for minimum wage (M = 4.08, 76.0% agreement) and annual leave (M = 4.03, 77.3% agreement). It was lowest on sick pay, formal grievances, dismissal, notice and redundancy. About sick pay, 44.0% took a neutral stance; with regard to dismissal rights, a quarter (22.7%) disagreed, and a third (26.7%) were neutral. The pattern helps differentiate between rights that are common and accepted and exercised regularly and the rights that may be required when a person becomes ill, is involved in conflict, or is leaving school in an actual emergency</w:t>
      </w:r>
      <w:r w:rsidR="00347332">
        <w:t xml:space="preserve"> </w:t>
      </w:r>
      <w:r w:rsidR="00347332" w:rsidRPr="00347332">
        <w:t>(Viseu et al., 2023)</w:t>
      </w:r>
      <w:r>
        <w:t>. Legality should thus not be understood in a unidirectional way as the composite mean.</w:t>
      </w:r>
    </w:p>
    <w:p w14:paraId="50B9A76B" w14:textId="7B2E4337" w:rsidR="00E37F20" w:rsidRDefault="00794018" w:rsidP="00794018">
      <w:r>
        <w:t>Two implications follow. First, an induction content-only intervention would not address uncertainty that is unique to the event type handled, but instead the information already known best. Second, of course, neutral answers do not necessarily indicate proper knowledge; on a self-evaluation scale, they might express confusion or lack of acquaintance or hesitation to admit lack of knowledge</w:t>
      </w:r>
      <w:r w:rsidR="00347332">
        <w:t xml:space="preserve"> </w:t>
      </w:r>
      <w:r w:rsidR="00347332" w:rsidRPr="00347332">
        <w:t>(Viseu et al., 2023)</w:t>
      </w:r>
      <w:r>
        <w:t>. The instrument is aimed at perceived understanding, but not a legal examination per se. Thus, a high score can be misleading in that it might involve overconfidence, while a low procedural score might be more indicative of focused intervention</w:t>
      </w:r>
      <w:r w:rsidR="00E37F20">
        <w:t>.</w:t>
      </w:r>
    </w:p>
    <w:p w14:paraId="7D588876" w14:textId="77777777" w:rsidR="00E37F20" w:rsidRDefault="00E37F20" w:rsidP="00E37F20">
      <w:r>
        <w:lastRenderedPageBreak/>
        <w:t>Table 4.4 Employment rights awareness item results</w:t>
      </w:r>
    </w:p>
    <w:tbl>
      <w:tblPr>
        <w:tblW w:w="8928" w:type="dxa"/>
        <w:jc w:val="center"/>
        <w:tblLayout w:type="fixed"/>
        <w:tblLook w:val="04A0" w:firstRow="1" w:lastRow="0" w:firstColumn="1" w:lastColumn="0" w:noHBand="0" w:noVBand="1"/>
      </w:tblPr>
      <w:tblGrid>
        <w:gridCol w:w="4680"/>
        <w:gridCol w:w="1368"/>
        <w:gridCol w:w="1368"/>
        <w:gridCol w:w="1512"/>
      </w:tblGrid>
      <w:tr w:rsidR="00E37F20" w14:paraId="2C26830C" w14:textId="77777777" w:rsidTr="000C6B24">
        <w:trPr>
          <w:tblHeader/>
          <w:jc w:val="center"/>
        </w:trPr>
        <w:tc>
          <w:tcPr>
            <w:tcW w:w="468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87819D7" w14:textId="77777777" w:rsidR="00E37F20" w:rsidRDefault="00E37F20" w:rsidP="000C6B24">
            <w:pPr>
              <w:spacing w:after="0" w:line="240" w:lineRule="auto"/>
              <w:jc w:val="center"/>
            </w:pPr>
            <w:r>
              <w:rPr>
                <w:b/>
                <w:color w:val="000000"/>
                <w:sz w:val="19"/>
              </w:rPr>
              <w:t>Item</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2843A6D" w14:textId="77777777" w:rsidR="00E37F20" w:rsidRDefault="00E37F20" w:rsidP="000C6B24">
            <w:pPr>
              <w:spacing w:after="0" w:line="240" w:lineRule="auto"/>
              <w:jc w:val="center"/>
            </w:pPr>
            <w:r>
              <w:rPr>
                <w:b/>
                <w:color w:val="000000"/>
                <w:sz w:val="19"/>
              </w:rPr>
              <w:t>Mean</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5C241F6" w14:textId="77777777" w:rsidR="00E37F20" w:rsidRDefault="00E37F20" w:rsidP="000C6B24">
            <w:pPr>
              <w:spacing w:after="0" w:line="240" w:lineRule="auto"/>
              <w:jc w:val="center"/>
            </w:pPr>
            <w:r>
              <w:rPr>
                <w:b/>
                <w:color w:val="000000"/>
                <w:sz w:val="19"/>
              </w:rPr>
              <w:t>SD</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8695674" w14:textId="77777777" w:rsidR="00E37F20" w:rsidRDefault="00E37F20" w:rsidP="000C6B24">
            <w:pPr>
              <w:spacing w:after="0" w:line="240" w:lineRule="auto"/>
              <w:jc w:val="center"/>
            </w:pPr>
            <w:r>
              <w:rPr>
                <w:b/>
                <w:color w:val="000000"/>
                <w:sz w:val="19"/>
              </w:rPr>
              <w:t>Agree %</w:t>
            </w:r>
          </w:p>
        </w:tc>
      </w:tr>
      <w:tr w:rsidR="00E37F20" w14:paraId="5A81B5ED"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C7E3435" w14:textId="77777777" w:rsidR="00E37F20" w:rsidRDefault="00E37F20" w:rsidP="000C6B24">
            <w:pPr>
              <w:spacing w:after="0" w:line="240" w:lineRule="auto"/>
              <w:jc w:val="left"/>
            </w:pPr>
            <w:r>
              <w:rPr>
                <w:color w:val="000000"/>
                <w:sz w:val="19"/>
              </w:rPr>
              <w:t>Minimum wage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A5AEB7" w14:textId="77777777" w:rsidR="00E37F20" w:rsidRDefault="00E37F20" w:rsidP="000C6B24">
            <w:pPr>
              <w:spacing w:after="0" w:line="240" w:lineRule="auto"/>
              <w:jc w:val="center"/>
            </w:pPr>
            <w:r>
              <w:rPr>
                <w:color w:val="000000"/>
                <w:sz w:val="19"/>
              </w:rPr>
              <w:t>4.08</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2C9E0A" w14:textId="77777777" w:rsidR="00E37F20" w:rsidRDefault="00E37F20" w:rsidP="000C6B24">
            <w:pPr>
              <w:spacing w:after="0" w:line="240" w:lineRule="auto"/>
              <w:jc w:val="center"/>
            </w:pPr>
            <w:r>
              <w:rPr>
                <w:color w:val="000000"/>
                <w:sz w:val="19"/>
              </w:rPr>
              <w:t>0.91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DB7AD58" w14:textId="77777777" w:rsidR="00E37F20" w:rsidRDefault="00E37F20" w:rsidP="000C6B24">
            <w:pPr>
              <w:spacing w:after="0" w:line="240" w:lineRule="auto"/>
              <w:jc w:val="center"/>
            </w:pPr>
            <w:r>
              <w:rPr>
                <w:color w:val="000000"/>
                <w:sz w:val="19"/>
              </w:rPr>
              <w:t>76.0</w:t>
            </w:r>
          </w:p>
        </w:tc>
      </w:tr>
      <w:tr w:rsidR="00E37F20" w14:paraId="5A9665AF"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D2D1E56" w14:textId="77777777" w:rsidR="00E37F20" w:rsidRDefault="00E37F20" w:rsidP="000C6B24">
            <w:pPr>
              <w:spacing w:after="0" w:line="240" w:lineRule="auto"/>
              <w:jc w:val="left"/>
            </w:pPr>
            <w:r>
              <w:rPr>
                <w:color w:val="000000"/>
                <w:sz w:val="19"/>
              </w:rPr>
              <w:t>Paid annual leave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6F1AFE6" w14:textId="77777777" w:rsidR="00E37F20" w:rsidRDefault="00E37F20" w:rsidP="000C6B24">
            <w:pPr>
              <w:spacing w:after="0" w:line="240" w:lineRule="auto"/>
              <w:jc w:val="center"/>
            </w:pPr>
            <w:r>
              <w:rPr>
                <w:color w:val="000000"/>
                <w:sz w:val="19"/>
              </w:rPr>
              <w:t>4.03</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F5B831" w14:textId="77777777" w:rsidR="00E37F20" w:rsidRDefault="00E37F20" w:rsidP="000C6B24">
            <w:pPr>
              <w:spacing w:after="0" w:line="240" w:lineRule="auto"/>
              <w:jc w:val="center"/>
            </w:pPr>
            <w:r>
              <w:rPr>
                <w:color w:val="000000"/>
                <w:sz w:val="19"/>
              </w:rPr>
              <w:t>0.77</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A7D4AA" w14:textId="77777777" w:rsidR="00E37F20" w:rsidRDefault="00E37F20" w:rsidP="000C6B24">
            <w:pPr>
              <w:spacing w:after="0" w:line="240" w:lineRule="auto"/>
              <w:jc w:val="center"/>
            </w:pPr>
            <w:r>
              <w:rPr>
                <w:color w:val="000000"/>
                <w:sz w:val="19"/>
              </w:rPr>
              <w:t>77.3</w:t>
            </w:r>
          </w:p>
        </w:tc>
      </w:tr>
      <w:tr w:rsidR="00E37F20" w14:paraId="27174385"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6C7CD67" w14:textId="77777777" w:rsidR="00E37F20" w:rsidRDefault="00E37F20" w:rsidP="000C6B24">
            <w:pPr>
              <w:spacing w:after="0" w:line="240" w:lineRule="auto"/>
              <w:jc w:val="left"/>
            </w:pPr>
            <w:r>
              <w:rPr>
                <w:color w:val="000000"/>
                <w:sz w:val="19"/>
              </w:rPr>
              <w:t>Statutory sick pay</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A1FD8A9" w14:textId="77777777" w:rsidR="00E37F20" w:rsidRDefault="00E37F20" w:rsidP="000C6B24">
            <w:pPr>
              <w:spacing w:after="0" w:line="240" w:lineRule="auto"/>
              <w:jc w:val="center"/>
            </w:pPr>
            <w:r>
              <w:rPr>
                <w:color w:val="000000"/>
                <w:sz w:val="19"/>
              </w:rPr>
              <w:t>3.55</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2C7A8FB" w14:textId="77777777" w:rsidR="00E37F20" w:rsidRDefault="00E37F20" w:rsidP="000C6B24">
            <w:pPr>
              <w:spacing w:after="0" w:line="240" w:lineRule="auto"/>
              <w:jc w:val="center"/>
            </w:pPr>
            <w:r>
              <w:rPr>
                <w:color w:val="000000"/>
                <w:sz w:val="19"/>
              </w:rPr>
              <w:t>1.02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AA7A02" w14:textId="77777777" w:rsidR="00E37F20" w:rsidRDefault="00E37F20" w:rsidP="000C6B24">
            <w:pPr>
              <w:spacing w:after="0" w:line="240" w:lineRule="auto"/>
              <w:jc w:val="center"/>
            </w:pPr>
            <w:r>
              <w:rPr>
                <w:color w:val="000000"/>
                <w:sz w:val="19"/>
              </w:rPr>
              <w:t>45.3</w:t>
            </w:r>
          </w:p>
        </w:tc>
      </w:tr>
      <w:tr w:rsidR="00E37F20" w14:paraId="44C351A1"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285FFE9" w14:textId="77777777" w:rsidR="00E37F20" w:rsidRDefault="00E37F20" w:rsidP="000C6B24">
            <w:pPr>
              <w:spacing w:after="0" w:line="240" w:lineRule="auto"/>
              <w:jc w:val="left"/>
            </w:pPr>
            <w:r>
              <w:rPr>
                <w:color w:val="000000"/>
                <w:sz w:val="19"/>
              </w:rPr>
              <w:t>Working hours and rest</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9B774A3" w14:textId="77777777" w:rsidR="00E37F20" w:rsidRDefault="00E37F20" w:rsidP="000C6B24">
            <w:pPr>
              <w:spacing w:after="0" w:line="240" w:lineRule="auto"/>
              <w:jc w:val="center"/>
            </w:pPr>
            <w:r>
              <w:rPr>
                <w:color w:val="000000"/>
                <w:sz w:val="19"/>
              </w:rPr>
              <w:t>3.63</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024B0E" w14:textId="77777777" w:rsidR="00E37F20" w:rsidRDefault="00E37F20" w:rsidP="000C6B24">
            <w:pPr>
              <w:spacing w:after="0" w:line="240" w:lineRule="auto"/>
              <w:jc w:val="center"/>
            </w:pPr>
            <w:r>
              <w:rPr>
                <w:color w:val="000000"/>
                <w:sz w:val="19"/>
              </w:rPr>
              <w:t>0.90</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90660FB" w14:textId="77777777" w:rsidR="00E37F20" w:rsidRDefault="00E37F20" w:rsidP="000C6B24">
            <w:pPr>
              <w:spacing w:after="0" w:line="240" w:lineRule="auto"/>
              <w:jc w:val="center"/>
            </w:pPr>
            <w:r>
              <w:rPr>
                <w:color w:val="000000"/>
                <w:sz w:val="19"/>
              </w:rPr>
              <w:t>60.0</w:t>
            </w:r>
          </w:p>
        </w:tc>
      </w:tr>
      <w:tr w:rsidR="00E37F20" w14:paraId="496D1C4C"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41F5C2A" w14:textId="77777777" w:rsidR="00E37F20" w:rsidRDefault="00E37F20" w:rsidP="000C6B24">
            <w:pPr>
              <w:spacing w:after="0" w:line="240" w:lineRule="auto"/>
              <w:jc w:val="left"/>
            </w:pPr>
            <w:r>
              <w:rPr>
                <w:color w:val="000000"/>
                <w:sz w:val="19"/>
              </w:rPr>
              <w:t>Discrimination protection</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21F8676" w14:textId="77777777" w:rsidR="00E37F20" w:rsidRDefault="00E37F20" w:rsidP="000C6B24">
            <w:pPr>
              <w:spacing w:after="0" w:line="240" w:lineRule="auto"/>
              <w:jc w:val="center"/>
            </w:pPr>
            <w:r>
              <w:rPr>
                <w:color w:val="000000"/>
                <w:sz w:val="19"/>
              </w:rPr>
              <w:t>3.72</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E76101E" w14:textId="77777777" w:rsidR="00E37F20" w:rsidRDefault="00E37F20" w:rsidP="000C6B24">
            <w:pPr>
              <w:spacing w:after="0" w:line="240" w:lineRule="auto"/>
              <w:jc w:val="center"/>
            </w:pPr>
            <w:r>
              <w:rPr>
                <w:color w:val="000000"/>
                <w:sz w:val="19"/>
              </w:rPr>
              <w:t>1.02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2553207" w14:textId="77777777" w:rsidR="00E37F20" w:rsidRDefault="00E37F20" w:rsidP="000C6B24">
            <w:pPr>
              <w:spacing w:after="0" w:line="240" w:lineRule="auto"/>
              <w:jc w:val="center"/>
            </w:pPr>
            <w:r>
              <w:rPr>
                <w:color w:val="000000"/>
                <w:sz w:val="19"/>
              </w:rPr>
              <w:t>56.0</w:t>
            </w:r>
          </w:p>
        </w:tc>
      </w:tr>
      <w:tr w:rsidR="00E37F20" w14:paraId="6B7BA5DA"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9E35CB5" w14:textId="77777777" w:rsidR="00E37F20" w:rsidRDefault="00E37F20" w:rsidP="000C6B24">
            <w:pPr>
              <w:spacing w:after="0" w:line="240" w:lineRule="auto"/>
              <w:jc w:val="left"/>
            </w:pPr>
            <w:r>
              <w:rPr>
                <w:color w:val="000000"/>
                <w:sz w:val="19"/>
              </w:rPr>
              <w:t>Formal grievance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2688870" w14:textId="77777777" w:rsidR="00E37F20" w:rsidRDefault="00E37F20" w:rsidP="000C6B24">
            <w:pPr>
              <w:spacing w:after="0" w:line="240" w:lineRule="auto"/>
              <w:jc w:val="center"/>
            </w:pPr>
            <w:r>
              <w:rPr>
                <w:color w:val="000000"/>
                <w:sz w:val="19"/>
              </w:rPr>
              <w:t>3.47</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46EDC2" w14:textId="77777777" w:rsidR="00E37F20" w:rsidRDefault="00E37F20" w:rsidP="000C6B24">
            <w:pPr>
              <w:spacing w:after="0" w:line="240" w:lineRule="auto"/>
              <w:jc w:val="center"/>
            </w:pPr>
            <w:r>
              <w:rPr>
                <w:color w:val="000000"/>
                <w:sz w:val="19"/>
              </w:rPr>
              <w:t>0.92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1BE05F" w14:textId="77777777" w:rsidR="00E37F20" w:rsidRDefault="00E37F20" w:rsidP="000C6B24">
            <w:pPr>
              <w:spacing w:after="0" w:line="240" w:lineRule="auto"/>
              <w:jc w:val="center"/>
            </w:pPr>
            <w:r>
              <w:rPr>
                <w:color w:val="000000"/>
                <w:sz w:val="19"/>
              </w:rPr>
              <w:t>46.7</w:t>
            </w:r>
          </w:p>
        </w:tc>
      </w:tr>
      <w:tr w:rsidR="00E37F20" w14:paraId="2DA6B4C4"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1969A74" w14:textId="77777777" w:rsidR="00E37F20" w:rsidRDefault="00E37F20" w:rsidP="000C6B24">
            <w:pPr>
              <w:spacing w:after="0" w:line="240" w:lineRule="auto"/>
              <w:jc w:val="left"/>
            </w:pPr>
            <w:r>
              <w:rPr>
                <w:color w:val="000000"/>
                <w:sz w:val="19"/>
              </w:rPr>
              <w:t>Dismissal and redundancy</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9B00A2B" w14:textId="77777777" w:rsidR="00E37F20" w:rsidRDefault="00E37F20" w:rsidP="000C6B24">
            <w:pPr>
              <w:spacing w:after="0" w:line="240" w:lineRule="auto"/>
              <w:jc w:val="center"/>
            </w:pPr>
            <w:r>
              <w:rPr>
                <w:color w:val="000000"/>
                <w:sz w:val="19"/>
              </w:rPr>
              <w:t>3.36</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182C5AD" w14:textId="77777777" w:rsidR="00E37F20" w:rsidRDefault="00E37F20" w:rsidP="000C6B24">
            <w:pPr>
              <w:spacing w:after="0" w:line="240" w:lineRule="auto"/>
              <w:jc w:val="center"/>
            </w:pPr>
            <w:r>
              <w:rPr>
                <w:color w:val="000000"/>
                <w:sz w:val="19"/>
              </w:rPr>
              <w:t>0.97</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0E649B6" w14:textId="77777777" w:rsidR="00E37F20" w:rsidRDefault="00E37F20" w:rsidP="000C6B24">
            <w:pPr>
              <w:spacing w:after="0" w:line="240" w:lineRule="auto"/>
              <w:jc w:val="center"/>
            </w:pPr>
            <w:r>
              <w:rPr>
                <w:color w:val="000000"/>
                <w:sz w:val="19"/>
              </w:rPr>
              <w:t>50.7</w:t>
            </w:r>
          </w:p>
        </w:tc>
      </w:tr>
    </w:tbl>
    <w:p w14:paraId="6F71A163" w14:textId="77777777" w:rsidR="00E37F20" w:rsidRDefault="00E37F20" w:rsidP="00E37F20">
      <w:pPr>
        <w:spacing w:after="0" w:line="48" w:lineRule="auto"/>
      </w:pPr>
    </w:p>
    <w:p w14:paraId="7549392A" w14:textId="77777777" w:rsidR="00E37F20" w:rsidRDefault="00E37F20" w:rsidP="00E37F20">
      <w:pPr>
        <w:keepNext/>
        <w:spacing w:before="80" w:after="0"/>
        <w:jc w:val="center"/>
      </w:pPr>
      <w:r>
        <w:rPr>
          <w:noProof/>
        </w:rPr>
        <w:drawing>
          <wp:inline distT="0" distB="0" distL="0" distR="0" wp14:anchorId="529F267A" wp14:editId="3E93F3E8">
            <wp:extent cx="5257800" cy="3702781"/>
            <wp:effectExtent l="0" t="0" r="0" b="0"/>
            <wp:docPr id="2" name="Picture 2" descr="Horizontal bar chart showing mean employment rights awareness scores for seven questionnaire i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2_awareness_items.png"/>
                    <pic:cNvPicPr/>
                  </pic:nvPicPr>
                  <pic:blipFill>
                    <a:blip r:embed="rId13"/>
                    <a:stretch>
                      <a:fillRect/>
                    </a:stretch>
                  </pic:blipFill>
                  <pic:spPr>
                    <a:xfrm>
                      <a:off x="0" y="0"/>
                      <a:ext cx="5257800" cy="3702781"/>
                    </a:xfrm>
                    <a:prstGeom prst="rect">
                      <a:avLst/>
                    </a:prstGeom>
                  </pic:spPr>
                </pic:pic>
              </a:graphicData>
            </a:graphic>
          </wp:inline>
        </w:drawing>
      </w:r>
    </w:p>
    <w:p w14:paraId="1522F72C" w14:textId="77777777" w:rsidR="00E37F20" w:rsidRDefault="00E37F20" w:rsidP="00E37F20">
      <w:r>
        <w:t>Figure 4.2 Mean employment rights awareness scores by item</w:t>
      </w:r>
    </w:p>
    <w:p w14:paraId="797110A6" w14:textId="742E0A56" w:rsidR="00E37F20" w:rsidRDefault="00794018" w:rsidP="00E37F20">
      <w:r w:rsidRPr="00794018">
        <w:t>Justice was also unequally done. Managers' treatment with dignity and respect was the highest scoring item (M = 3.88), followed by sensible explanations (M = 3.77) and consistent rules (M = 3.68). Fair pay and rewards ranked lowest (M = 3.29, 40.0% agreement), employee voice averaged 3.31 and fair allocation of shifts and leave averaged 3.35. This separation calls into question any conclusion that soul</w:t>
      </w:r>
      <w:r>
        <w:t>-level</w:t>
      </w:r>
      <w:r w:rsidRPr="00794018">
        <w:t>ler supervis</w:t>
      </w:r>
      <w:r>
        <w:t>i</w:t>
      </w:r>
      <w:r w:rsidRPr="00794018">
        <w:t xml:space="preserve">on sets up a completely fair system of </w:t>
      </w:r>
      <w:r w:rsidRPr="00794018">
        <w:lastRenderedPageBreak/>
        <w:t>employment</w:t>
      </w:r>
      <w:r w:rsidR="00347332">
        <w:t xml:space="preserve"> </w:t>
      </w:r>
      <w:r w:rsidR="00347332" w:rsidRPr="00347332">
        <w:t>(Sun et al., 2022)</w:t>
      </w:r>
      <w:r w:rsidRPr="00794018">
        <w:t>. Retail decisions which have an impact on income, time and influence can be accompanied by interactional strengths and distributive and procedural uncertainty</w:t>
      </w:r>
      <w:r w:rsidR="00E37F20">
        <w:t>.</w:t>
      </w:r>
    </w:p>
    <w:p w14:paraId="01989CF4" w14:textId="77777777" w:rsidR="00E37F20" w:rsidRDefault="00E37F20" w:rsidP="00E37F20">
      <w:r>
        <w:t>Table 4.5 Organisational justice item results</w:t>
      </w:r>
    </w:p>
    <w:tbl>
      <w:tblPr>
        <w:tblW w:w="8928" w:type="dxa"/>
        <w:jc w:val="center"/>
        <w:tblLayout w:type="fixed"/>
        <w:tblLook w:val="04A0" w:firstRow="1" w:lastRow="0" w:firstColumn="1" w:lastColumn="0" w:noHBand="0" w:noVBand="1"/>
      </w:tblPr>
      <w:tblGrid>
        <w:gridCol w:w="4680"/>
        <w:gridCol w:w="1368"/>
        <w:gridCol w:w="1368"/>
        <w:gridCol w:w="1512"/>
      </w:tblGrid>
      <w:tr w:rsidR="00E37F20" w14:paraId="0B85E80D" w14:textId="77777777" w:rsidTr="000C6B24">
        <w:trPr>
          <w:tblHeader/>
          <w:jc w:val="center"/>
        </w:trPr>
        <w:tc>
          <w:tcPr>
            <w:tcW w:w="468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6C9FEA7" w14:textId="77777777" w:rsidR="00E37F20" w:rsidRDefault="00E37F20" w:rsidP="000C6B24">
            <w:pPr>
              <w:spacing w:after="0" w:line="240" w:lineRule="auto"/>
              <w:jc w:val="center"/>
            </w:pPr>
            <w:r>
              <w:rPr>
                <w:b/>
                <w:color w:val="000000"/>
                <w:sz w:val="19"/>
              </w:rPr>
              <w:t>Item</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E3B277C" w14:textId="77777777" w:rsidR="00E37F20" w:rsidRDefault="00E37F20" w:rsidP="000C6B24">
            <w:pPr>
              <w:spacing w:after="0" w:line="240" w:lineRule="auto"/>
              <w:jc w:val="center"/>
            </w:pPr>
            <w:r>
              <w:rPr>
                <w:b/>
                <w:color w:val="000000"/>
                <w:sz w:val="19"/>
              </w:rPr>
              <w:t>Mean</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E6684AE" w14:textId="77777777" w:rsidR="00E37F20" w:rsidRDefault="00E37F20" w:rsidP="000C6B24">
            <w:pPr>
              <w:spacing w:after="0" w:line="240" w:lineRule="auto"/>
              <w:jc w:val="center"/>
            </w:pPr>
            <w:r>
              <w:rPr>
                <w:b/>
                <w:color w:val="000000"/>
                <w:sz w:val="19"/>
              </w:rPr>
              <w:t>SD</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DFCEFBD" w14:textId="77777777" w:rsidR="00E37F20" w:rsidRDefault="00E37F20" w:rsidP="000C6B24">
            <w:pPr>
              <w:spacing w:after="0" w:line="240" w:lineRule="auto"/>
              <w:jc w:val="center"/>
            </w:pPr>
            <w:r>
              <w:rPr>
                <w:b/>
                <w:color w:val="000000"/>
                <w:sz w:val="19"/>
              </w:rPr>
              <w:t>Agree %</w:t>
            </w:r>
          </w:p>
        </w:tc>
      </w:tr>
      <w:tr w:rsidR="00E37F20" w14:paraId="1403B0CB"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B23EBA7" w14:textId="77777777" w:rsidR="00E37F20" w:rsidRDefault="00E37F20" w:rsidP="000C6B24">
            <w:pPr>
              <w:spacing w:after="0" w:line="240" w:lineRule="auto"/>
              <w:jc w:val="left"/>
            </w:pPr>
            <w:r>
              <w:rPr>
                <w:color w:val="000000"/>
                <w:sz w:val="19"/>
              </w:rPr>
              <w:t>Fair pay and rewards</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143099" w14:textId="77777777" w:rsidR="00E37F20" w:rsidRDefault="00E37F20" w:rsidP="000C6B24">
            <w:pPr>
              <w:spacing w:after="0" w:line="240" w:lineRule="auto"/>
              <w:jc w:val="center"/>
            </w:pPr>
            <w:r>
              <w:rPr>
                <w:color w:val="000000"/>
                <w:sz w:val="19"/>
              </w:rPr>
              <w:t>3.29</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9929A2" w14:textId="77777777" w:rsidR="00E37F20" w:rsidRDefault="00E37F20" w:rsidP="000C6B24">
            <w:pPr>
              <w:spacing w:after="0" w:line="240" w:lineRule="auto"/>
              <w:jc w:val="center"/>
            </w:pPr>
            <w:r>
              <w:rPr>
                <w:color w:val="000000"/>
                <w:sz w:val="19"/>
              </w:rPr>
              <w:t>1.00</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7DF13B5" w14:textId="77777777" w:rsidR="00E37F20" w:rsidRDefault="00E37F20" w:rsidP="000C6B24">
            <w:pPr>
              <w:spacing w:after="0" w:line="240" w:lineRule="auto"/>
              <w:jc w:val="center"/>
            </w:pPr>
            <w:r>
              <w:rPr>
                <w:color w:val="000000"/>
                <w:sz w:val="19"/>
              </w:rPr>
              <w:t>40.0</w:t>
            </w:r>
          </w:p>
        </w:tc>
      </w:tr>
      <w:tr w:rsidR="00E37F20" w14:paraId="7C9E2D4D"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CA20B66" w14:textId="77777777" w:rsidR="00E37F20" w:rsidRDefault="00E37F20" w:rsidP="000C6B24">
            <w:pPr>
              <w:spacing w:after="0" w:line="240" w:lineRule="auto"/>
              <w:jc w:val="left"/>
            </w:pPr>
            <w:r>
              <w:rPr>
                <w:color w:val="000000"/>
                <w:sz w:val="19"/>
              </w:rPr>
              <w:t>Fair shifts and leave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9C35FA" w14:textId="77777777" w:rsidR="00E37F20" w:rsidRDefault="00E37F20" w:rsidP="000C6B24">
            <w:pPr>
              <w:spacing w:after="0" w:line="240" w:lineRule="auto"/>
              <w:jc w:val="center"/>
            </w:pPr>
            <w:r>
              <w:rPr>
                <w:color w:val="000000"/>
                <w:sz w:val="19"/>
              </w:rPr>
              <w:t>3.35</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6CF7D47" w14:textId="77777777" w:rsidR="00E37F20" w:rsidRDefault="00E37F20" w:rsidP="000C6B24">
            <w:pPr>
              <w:spacing w:after="0" w:line="240" w:lineRule="auto"/>
              <w:jc w:val="center"/>
            </w:pPr>
            <w:r>
              <w:rPr>
                <w:color w:val="000000"/>
                <w:sz w:val="19"/>
              </w:rPr>
              <w:t>0.94</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105F53F" w14:textId="77777777" w:rsidR="00E37F20" w:rsidRDefault="00E37F20" w:rsidP="000C6B24">
            <w:pPr>
              <w:spacing w:after="0" w:line="240" w:lineRule="auto"/>
              <w:jc w:val="center"/>
            </w:pPr>
            <w:r>
              <w:rPr>
                <w:color w:val="000000"/>
                <w:sz w:val="19"/>
              </w:rPr>
              <w:t>40.0</w:t>
            </w:r>
          </w:p>
        </w:tc>
      </w:tr>
      <w:tr w:rsidR="00E37F20" w14:paraId="5BC28C2F"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B3CE4BF" w14:textId="77777777" w:rsidR="00E37F20" w:rsidRDefault="00E37F20" w:rsidP="000C6B24">
            <w:pPr>
              <w:spacing w:after="0" w:line="240" w:lineRule="auto"/>
              <w:jc w:val="left"/>
            </w:pPr>
            <w:r>
              <w:rPr>
                <w:color w:val="000000"/>
                <w:sz w:val="19"/>
              </w:rPr>
              <w:t>Consistent rules</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A20644E" w14:textId="77777777" w:rsidR="00E37F20" w:rsidRDefault="00E37F20" w:rsidP="000C6B24">
            <w:pPr>
              <w:spacing w:after="0" w:line="240" w:lineRule="auto"/>
              <w:jc w:val="center"/>
            </w:pPr>
            <w:r>
              <w:rPr>
                <w:color w:val="000000"/>
                <w:sz w:val="19"/>
              </w:rPr>
              <w:t>3.68</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7B4D3E9" w14:textId="77777777" w:rsidR="00E37F20" w:rsidRDefault="00E37F20" w:rsidP="000C6B24">
            <w:pPr>
              <w:spacing w:after="0" w:line="240" w:lineRule="auto"/>
              <w:jc w:val="center"/>
            </w:pPr>
            <w:r>
              <w:rPr>
                <w:color w:val="000000"/>
                <w:sz w:val="19"/>
              </w:rPr>
              <w:t>0.93</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F3267BD" w14:textId="77777777" w:rsidR="00E37F20" w:rsidRDefault="00E37F20" w:rsidP="000C6B24">
            <w:pPr>
              <w:spacing w:after="0" w:line="240" w:lineRule="auto"/>
              <w:jc w:val="center"/>
            </w:pPr>
            <w:r>
              <w:rPr>
                <w:color w:val="000000"/>
                <w:sz w:val="19"/>
              </w:rPr>
              <w:t>61.3</w:t>
            </w:r>
          </w:p>
        </w:tc>
      </w:tr>
      <w:tr w:rsidR="00E37F20" w14:paraId="7C72BFA1"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188CEB3" w14:textId="77777777" w:rsidR="00E37F20" w:rsidRDefault="00E37F20" w:rsidP="000C6B24">
            <w:pPr>
              <w:spacing w:after="0" w:line="240" w:lineRule="auto"/>
              <w:jc w:val="left"/>
            </w:pPr>
            <w:r>
              <w:rPr>
                <w:color w:val="000000"/>
                <w:sz w:val="19"/>
              </w:rPr>
              <w:t>Opportunity for voice</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86E8AE3" w14:textId="77777777" w:rsidR="00E37F20" w:rsidRDefault="00E37F20" w:rsidP="000C6B24">
            <w:pPr>
              <w:spacing w:after="0" w:line="240" w:lineRule="auto"/>
              <w:jc w:val="center"/>
            </w:pPr>
            <w:r>
              <w:rPr>
                <w:color w:val="000000"/>
                <w:sz w:val="19"/>
              </w:rPr>
              <w:t>3.31</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3D2E27C" w14:textId="77777777" w:rsidR="00E37F20" w:rsidRDefault="00E37F20" w:rsidP="000C6B24">
            <w:pPr>
              <w:spacing w:after="0" w:line="240" w:lineRule="auto"/>
              <w:jc w:val="center"/>
            </w:pPr>
            <w:r>
              <w:rPr>
                <w:color w:val="000000"/>
                <w:sz w:val="19"/>
              </w:rPr>
              <w:t>1.04</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47757B" w14:textId="77777777" w:rsidR="00E37F20" w:rsidRDefault="00E37F20" w:rsidP="000C6B24">
            <w:pPr>
              <w:spacing w:after="0" w:line="240" w:lineRule="auto"/>
              <w:jc w:val="center"/>
            </w:pPr>
            <w:r>
              <w:rPr>
                <w:color w:val="000000"/>
                <w:sz w:val="19"/>
              </w:rPr>
              <w:t>44.0</w:t>
            </w:r>
          </w:p>
        </w:tc>
      </w:tr>
      <w:tr w:rsidR="00E37F20" w14:paraId="09F86E6A"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92E7C6C" w14:textId="77777777" w:rsidR="00E37F20" w:rsidRDefault="00E37F20" w:rsidP="000C6B24">
            <w:pPr>
              <w:spacing w:after="0" w:line="240" w:lineRule="auto"/>
              <w:jc w:val="left"/>
            </w:pPr>
            <w:r>
              <w:rPr>
                <w:color w:val="000000"/>
                <w:sz w:val="19"/>
              </w:rPr>
              <w:t>Impartial grievances</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7681B84" w14:textId="77777777" w:rsidR="00E37F20" w:rsidRDefault="00E37F20" w:rsidP="000C6B24">
            <w:pPr>
              <w:spacing w:after="0" w:line="240" w:lineRule="auto"/>
              <w:jc w:val="center"/>
            </w:pPr>
            <w:r>
              <w:rPr>
                <w:color w:val="000000"/>
                <w:sz w:val="19"/>
              </w:rPr>
              <w:t>3.47</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F48074" w14:textId="77777777" w:rsidR="00E37F20" w:rsidRDefault="00E37F20" w:rsidP="000C6B24">
            <w:pPr>
              <w:spacing w:after="0" w:line="240" w:lineRule="auto"/>
              <w:jc w:val="center"/>
            </w:pPr>
            <w:r>
              <w:rPr>
                <w:color w:val="000000"/>
                <w:sz w:val="19"/>
              </w:rPr>
              <w:t>0.98</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1F0B265" w14:textId="77777777" w:rsidR="00E37F20" w:rsidRDefault="00E37F20" w:rsidP="000C6B24">
            <w:pPr>
              <w:spacing w:after="0" w:line="240" w:lineRule="auto"/>
              <w:jc w:val="center"/>
            </w:pPr>
            <w:r>
              <w:rPr>
                <w:color w:val="000000"/>
                <w:sz w:val="19"/>
              </w:rPr>
              <w:t>50.7</w:t>
            </w:r>
          </w:p>
        </w:tc>
      </w:tr>
      <w:tr w:rsidR="00E37F20" w14:paraId="49FBBCF3"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B081F3" w14:textId="77777777" w:rsidR="00E37F20" w:rsidRDefault="00E37F20" w:rsidP="000C6B24">
            <w:pPr>
              <w:spacing w:after="0" w:line="240" w:lineRule="auto"/>
              <w:jc w:val="left"/>
            </w:pPr>
            <w:r>
              <w:rPr>
                <w:color w:val="000000"/>
                <w:sz w:val="19"/>
              </w:rPr>
              <w:t>Dignity and respect</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75FC8C" w14:textId="77777777" w:rsidR="00E37F20" w:rsidRDefault="00E37F20" w:rsidP="000C6B24">
            <w:pPr>
              <w:spacing w:after="0" w:line="240" w:lineRule="auto"/>
              <w:jc w:val="center"/>
            </w:pPr>
            <w:r>
              <w:rPr>
                <w:color w:val="000000"/>
                <w:sz w:val="19"/>
              </w:rPr>
              <w:t>3.88</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96630B5" w14:textId="77777777" w:rsidR="00E37F20" w:rsidRDefault="00E37F20" w:rsidP="000C6B24">
            <w:pPr>
              <w:spacing w:after="0" w:line="240" w:lineRule="auto"/>
              <w:jc w:val="center"/>
            </w:pPr>
            <w:r>
              <w:rPr>
                <w:color w:val="000000"/>
                <w:sz w:val="19"/>
              </w:rPr>
              <w:t>0.96</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676788" w14:textId="77777777" w:rsidR="00E37F20" w:rsidRDefault="00E37F20" w:rsidP="000C6B24">
            <w:pPr>
              <w:spacing w:after="0" w:line="240" w:lineRule="auto"/>
              <w:jc w:val="center"/>
            </w:pPr>
            <w:r>
              <w:rPr>
                <w:color w:val="000000"/>
                <w:sz w:val="19"/>
              </w:rPr>
              <w:t>64.0</w:t>
            </w:r>
          </w:p>
        </w:tc>
      </w:tr>
      <w:tr w:rsidR="00E37F20" w14:paraId="584931DA"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98C895F" w14:textId="77777777" w:rsidR="00E37F20" w:rsidRDefault="00E37F20" w:rsidP="000C6B24">
            <w:pPr>
              <w:spacing w:after="0" w:line="240" w:lineRule="auto"/>
              <w:jc w:val="left"/>
            </w:pPr>
            <w:r>
              <w:rPr>
                <w:color w:val="000000"/>
                <w:sz w:val="19"/>
              </w:rPr>
              <w:t>Clear explanations</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7EEC35" w14:textId="77777777" w:rsidR="00E37F20" w:rsidRDefault="00E37F20" w:rsidP="000C6B24">
            <w:pPr>
              <w:spacing w:after="0" w:line="240" w:lineRule="auto"/>
              <w:jc w:val="center"/>
            </w:pPr>
            <w:r>
              <w:rPr>
                <w:color w:val="000000"/>
                <w:sz w:val="19"/>
              </w:rPr>
              <w:t>3.77</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338A045" w14:textId="77777777" w:rsidR="00E37F20" w:rsidRDefault="00E37F20" w:rsidP="000C6B24">
            <w:pPr>
              <w:spacing w:after="0" w:line="240" w:lineRule="auto"/>
              <w:jc w:val="center"/>
            </w:pPr>
            <w:r>
              <w:rPr>
                <w:color w:val="000000"/>
                <w:sz w:val="19"/>
              </w:rPr>
              <w:t>1.01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E694A02" w14:textId="77777777" w:rsidR="00E37F20" w:rsidRDefault="00E37F20" w:rsidP="000C6B24">
            <w:pPr>
              <w:spacing w:after="0" w:line="240" w:lineRule="auto"/>
              <w:jc w:val="center"/>
            </w:pPr>
            <w:r>
              <w:rPr>
                <w:color w:val="000000"/>
                <w:sz w:val="19"/>
              </w:rPr>
              <w:t>62.7</w:t>
            </w:r>
          </w:p>
        </w:tc>
      </w:tr>
      <w:tr w:rsidR="00E37F20" w14:paraId="32EB60B1"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B0A4D18" w14:textId="77777777" w:rsidR="00E37F20" w:rsidRDefault="00E37F20" w:rsidP="000C6B24">
            <w:pPr>
              <w:spacing w:after="0" w:line="240" w:lineRule="auto"/>
              <w:jc w:val="left"/>
            </w:pPr>
            <w:r>
              <w:rPr>
                <w:color w:val="000000"/>
                <w:sz w:val="19"/>
              </w:rPr>
              <w:t>Accurate policy information</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3C3D7B" w14:textId="77777777" w:rsidR="00E37F20" w:rsidRDefault="00E37F20" w:rsidP="000C6B24">
            <w:pPr>
              <w:spacing w:after="0" w:line="240" w:lineRule="auto"/>
              <w:jc w:val="center"/>
            </w:pPr>
            <w:r>
              <w:rPr>
                <w:color w:val="000000"/>
                <w:sz w:val="19"/>
              </w:rPr>
              <w:t>3.39</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30F4E29" w14:textId="77777777" w:rsidR="00E37F20" w:rsidRDefault="00E37F20" w:rsidP="000C6B24">
            <w:pPr>
              <w:spacing w:after="0" w:line="240" w:lineRule="auto"/>
              <w:jc w:val="center"/>
            </w:pPr>
            <w:r>
              <w:rPr>
                <w:color w:val="000000"/>
                <w:sz w:val="19"/>
              </w:rPr>
              <w:t>0.96</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363065" w14:textId="77777777" w:rsidR="00E37F20" w:rsidRDefault="00E37F20" w:rsidP="000C6B24">
            <w:pPr>
              <w:spacing w:after="0" w:line="240" w:lineRule="auto"/>
              <w:jc w:val="center"/>
            </w:pPr>
            <w:r>
              <w:rPr>
                <w:color w:val="000000"/>
                <w:sz w:val="19"/>
              </w:rPr>
              <w:t>52.0</w:t>
            </w:r>
          </w:p>
        </w:tc>
      </w:tr>
    </w:tbl>
    <w:p w14:paraId="0AE94384" w14:textId="77777777" w:rsidR="00E37F20" w:rsidRDefault="00E37F20" w:rsidP="00E37F20">
      <w:pPr>
        <w:spacing w:after="0" w:line="48" w:lineRule="auto"/>
      </w:pPr>
    </w:p>
    <w:p w14:paraId="31CFD0EE" w14:textId="12D5ECE2" w:rsidR="00E37F20" w:rsidRDefault="00794018" w:rsidP="00E37F20">
      <w:r w:rsidRPr="00794018">
        <w:t>Commitment was fairly weak. The three variables with the greatest mean scores in indicating 'willingness to stay' were 'willingness to stay for several years' (M = 3.72), 'pride' (M = 3.48), and 'emotional attachment' (M = 3.43). The mean scores were 3.00 for guilt about leaving, 3.04 for "difficulty finding alternatives"</w:t>
      </w:r>
      <w:r>
        <w:t>,</w:t>
      </w:r>
      <w:r w:rsidRPr="00794018">
        <w:t xml:space="preserve"> and 3.09 for "responsibility to remain. It is therefore more likely to be identification or intention rather than a sense of obligation or of depending on the labour market</w:t>
      </w:r>
      <w:r w:rsidR="00347332">
        <w:t xml:space="preserve"> </w:t>
      </w:r>
      <w:r w:rsidR="00347332" w:rsidRPr="00347332">
        <w:t>(Fantinelli et al., 2023)</w:t>
      </w:r>
      <w:r w:rsidRPr="00794018">
        <w:t>. Recalling their 'staying intention' should not automatically be considered an expression of 'loyalty</w:t>
      </w:r>
      <w:r>
        <w:t xml:space="preserve"> '. B</w:t>
      </w:r>
      <w:r w:rsidRPr="00794018">
        <w:t>ut as the pattern shows, their staying intention was not driven mainly by perceived exit costs (Pimentel et al., 2020)</w:t>
      </w:r>
      <w:r w:rsidR="00E37F20">
        <w:t>.</w:t>
      </w:r>
    </w:p>
    <w:p w14:paraId="0C8F1A39" w14:textId="3A866569" w:rsidR="00E37F20" w:rsidRDefault="00794018" w:rsidP="00E37F20">
      <w:r w:rsidRPr="00794018">
        <w:t xml:space="preserve">The 3.69 awareness mean and 3.28 commitment mean, on their own, are not statistically testable as they are composed of different items and were not intended for statistical interchangeability. It continues to have diagnostic importance: Being familiar with policies does not imply a high level of policy attachment. The finding points to </w:t>
      </w:r>
      <w:r>
        <w:t xml:space="preserve">a </w:t>
      </w:r>
      <w:r w:rsidRPr="00794018">
        <w:t>mechanism of an inferential analysis rather than level comparisons</w:t>
      </w:r>
      <w:r w:rsidR="00347332">
        <w:t xml:space="preserve"> </w:t>
      </w:r>
      <w:r w:rsidR="00347332" w:rsidRPr="00347332">
        <w:t>(Pimentel et al., 2020)</w:t>
      </w:r>
      <w:r w:rsidRPr="00794018">
        <w:t>. If the policing topic is connected to justice, the managerial question is whether the employees perceive the policing as fair or if another generic policy message can increase commitment there without necessarily promoting a shift in policy</w:t>
      </w:r>
      <w:r w:rsidR="00E37F20">
        <w:t>.</w:t>
      </w:r>
    </w:p>
    <w:p w14:paraId="68EDB56D" w14:textId="77777777" w:rsidR="00E37F20" w:rsidRDefault="00E37F20" w:rsidP="00E37F20">
      <w:r>
        <w:lastRenderedPageBreak/>
        <w:t>Table 4.6 Organisational commitment item results</w:t>
      </w:r>
    </w:p>
    <w:tbl>
      <w:tblPr>
        <w:tblW w:w="8928" w:type="dxa"/>
        <w:jc w:val="center"/>
        <w:tblLayout w:type="fixed"/>
        <w:tblLook w:val="04A0" w:firstRow="1" w:lastRow="0" w:firstColumn="1" w:lastColumn="0" w:noHBand="0" w:noVBand="1"/>
      </w:tblPr>
      <w:tblGrid>
        <w:gridCol w:w="4680"/>
        <w:gridCol w:w="1368"/>
        <w:gridCol w:w="1368"/>
        <w:gridCol w:w="1512"/>
      </w:tblGrid>
      <w:tr w:rsidR="00E37F20" w14:paraId="0D255845" w14:textId="77777777" w:rsidTr="000C6B24">
        <w:trPr>
          <w:tblHeader/>
          <w:jc w:val="center"/>
        </w:trPr>
        <w:tc>
          <w:tcPr>
            <w:tcW w:w="468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25603B3" w14:textId="77777777" w:rsidR="00E37F20" w:rsidRDefault="00E37F20" w:rsidP="000C6B24">
            <w:pPr>
              <w:spacing w:after="0" w:line="240" w:lineRule="auto"/>
              <w:jc w:val="center"/>
            </w:pPr>
            <w:r>
              <w:rPr>
                <w:b/>
                <w:color w:val="000000"/>
                <w:sz w:val="19"/>
              </w:rPr>
              <w:t>Item</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8D88920" w14:textId="77777777" w:rsidR="00E37F20" w:rsidRDefault="00E37F20" w:rsidP="000C6B24">
            <w:pPr>
              <w:spacing w:after="0" w:line="240" w:lineRule="auto"/>
              <w:jc w:val="center"/>
            </w:pPr>
            <w:r>
              <w:rPr>
                <w:b/>
                <w:color w:val="000000"/>
                <w:sz w:val="19"/>
              </w:rPr>
              <w:t>Mean</w:t>
            </w:r>
          </w:p>
        </w:tc>
        <w:tc>
          <w:tcPr>
            <w:tcW w:w="136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61152B6" w14:textId="77777777" w:rsidR="00E37F20" w:rsidRDefault="00E37F20" w:rsidP="000C6B24">
            <w:pPr>
              <w:spacing w:after="0" w:line="240" w:lineRule="auto"/>
              <w:jc w:val="center"/>
            </w:pPr>
            <w:r>
              <w:rPr>
                <w:b/>
                <w:color w:val="000000"/>
                <w:sz w:val="19"/>
              </w:rPr>
              <w:t>SD</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19F08E7" w14:textId="77777777" w:rsidR="00E37F20" w:rsidRDefault="00E37F20" w:rsidP="000C6B24">
            <w:pPr>
              <w:spacing w:after="0" w:line="240" w:lineRule="auto"/>
              <w:jc w:val="center"/>
            </w:pPr>
            <w:r>
              <w:rPr>
                <w:b/>
                <w:color w:val="000000"/>
                <w:sz w:val="19"/>
              </w:rPr>
              <w:t>Agree %</w:t>
            </w:r>
          </w:p>
        </w:tc>
      </w:tr>
      <w:tr w:rsidR="00E37F20" w14:paraId="79785AD9"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CB7F414" w14:textId="77777777" w:rsidR="00E37F20" w:rsidRDefault="00E37F20" w:rsidP="000C6B24">
            <w:pPr>
              <w:spacing w:after="0" w:line="240" w:lineRule="auto"/>
              <w:jc w:val="left"/>
            </w:pPr>
            <w:r>
              <w:rPr>
                <w:color w:val="000000"/>
                <w:sz w:val="19"/>
              </w:rPr>
              <w:t>Emotional attachment</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81B9920" w14:textId="77777777" w:rsidR="00E37F20" w:rsidRDefault="00E37F20" w:rsidP="000C6B24">
            <w:pPr>
              <w:spacing w:after="0" w:line="240" w:lineRule="auto"/>
              <w:jc w:val="center"/>
            </w:pPr>
            <w:r>
              <w:rPr>
                <w:color w:val="000000"/>
                <w:sz w:val="19"/>
              </w:rPr>
              <w:t>3.43</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5CE5631" w14:textId="77777777" w:rsidR="00E37F20" w:rsidRDefault="00E37F20" w:rsidP="000C6B24">
            <w:pPr>
              <w:spacing w:after="0" w:line="240" w:lineRule="auto"/>
              <w:jc w:val="center"/>
            </w:pPr>
            <w:r>
              <w:rPr>
                <w:color w:val="000000"/>
                <w:sz w:val="19"/>
              </w:rPr>
              <w:t>1.12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7CD490D" w14:textId="77777777" w:rsidR="00E37F20" w:rsidRDefault="00E37F20" w:rsidP="000C6B24">
            <w:pPr>
              <w:spacing w:after="0" w:line="240" w:lineRule="auto"/>
              <w:jc w:val="center"/>
            </w:pPr>
            <w:r>
              <w:rPr>
                <w:color w:val="000000"/>
                <w:sz w:val="19"/>
              </w:rPr>
              <w:t>53.3</w:t>
            </w:r>
          </w:p>
        </w:tc>
      </w:tr>
      <w:tr w:rsidR="00E37F20" w14:paraId="3F0D9FB7"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94242F3" w14:textId="77777777" w:rsidR="00E37F20" w:rsidRDefault="00E37F20" w:rsidP="000C6B24">
            <w:pPr>
              <w:spacing w:after="0" w:line="240" w:lineRule="auto"/>
              <w:jc w:val="left"/>
            </w:pPr>
            <w:r>
              <w:rPr>
                <w:color w:val="000000"/>
                <w:sz w:val="19"/>
              </w:rPr>
              <w:t>Sense of belonging</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E0F3162" w14:textId="77777777" w:rsidR="00E37F20" w:rsidRDefault="00E37F20" w:rsidP="000C6B24">
            <w:pPr>
              <w:spacing w:after="0" w:line="240" w:lineRule="auto"/>
              <w:jc w:val="center"/>
            </w:pPr>
            <w:r>
              <w:rPr>
                <w:color w:val="000000"/>
                <w:sz w:val="19"/>
              </w:rPr>
              <w:t>3.31</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7E62C8E" w14:textId="77777777" w:rsidR="00E37F20" w:rsidRDefault="00E37F20" w:rsidP="000C6B24">
            <w:pPr>
              <w:spacing w:after="0" w:line="240" w:lineRule="auto"/>
              <w:jc w:val="center"/>
            </w:pPr>
            <w:r>
              <w:rPr>
                <w:color w:val="000000"/>
                <w:sz w:val="19"/>
              </w:rPr>
              <w:t>1.09</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4482704" w14:textId="77777777" w:rsidR="00E37F20" w:rsidRDefault="00E37F20" w:rsidP="000C6B24">
            <w:pPr>
              <w:spacing w:after="0" w:line="240" w:lineRule="auto"/>
              <w:jc w:val="center"/>
            </w:pPr>
            <w:r>
              <w:rPr>
                <w:color w:val="000000"/>
                <w:sz w:val="19"/>
              </w:rPr>
              <w:t>48.0</w:t>
            </w:r>
          </w:p>
        </w:tc>
      </w:tr>
      <w:tr w:rsidR="00E37F20" w14:paraId="3EC78BA9"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8B51277" w14:textId="77777777" w:rsidR="00E37F20" w:rsidRDefault="00E37F20" w:rsidP="000C6B24">
            <w:pPr>
              <w:spacing w:after="0" w:line="240" w:lineRule="auto"/>
              <w:jc w:val="left"/>
            </w:pPr>
            <w:r>
              <w:rPr>
                <w:color w:val="000000"/>
                <w:sz w:val="19"/>
              </w:rPr>
              <w:t>Pride in organisation</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9210AF" w14:textId="77777777" w:rsidR="00E37F20" w:rsidRDefault="00E37F20" w:rsidP="000C6B24">
            <w:pPr>
              <w:spacing w:after="0" w:line="240" w:lineRule="auto"/>
              <w:jc w:val="center"/>
            </w:pPr>
            <w:r>
              <w:rPr>
                <w:color w:val="000000"/>
                <w:sz w:val="19"/>
              </w:rPr>
              <w:t>3.48</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F96DEEA" w14:textId="77777777" w:rsidR="00E37F20" w:rsidRDefault="00E37F20" w:rsidP="000C6B24">
            <w:pPr>
              <w:spacing w:after="0" w:line="240" w:lineRule="auto"/>
              <w:jc w:val="center"/>
            </w:pPr>
            <w:r>
              <w:rPr>
                <w:color w:val="000000"/>
                <w:sz w:val="19"/>
              </w:rPr>
              <w:t>1.04</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9F2B2F1" w14:textId="77777777" w:rsidR="00E37F20" w:rsidRDefault="00E37F20" w:rsidP="000C6B24">
            <w:pPr>
              <w:spacing w:after="0" w:line="240" w:lineRule="auto"/>
              <w:jc w:val="center"/>
            </w:pPr>
            <w:r>
              <w:rPr>
                <w:color w:val="000000"/>
                <w:sz w:val="19"/>
              </w:rPr>
              <w:t>57.3</w:t>
            </w:r>
          </w:p>
        </w:tc>
      </w:tr>
      <w:tr w:rsidR="00E37F20" w14:paraId="28D203CB"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845B082" w14:textId="77777777" w:rsidR="00E37F20" w:rsidRDefault="00E37F20" w:rsidP="000C6B24">
            <w:pPr>
              <w:spacing w:after="0" w:line="240" w:lineRule="auto"/>
              <w:jc w:val="left"/>
            </w:pPr>
            <w:r>
              <w:rPr>
                <w:color w:val="000000"/>
                <w:sz w:val="19"/>
              </w:rPr>
              <w:t>Happy to remain</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4912418" w14:textId="77777777" w:rsidR="00E37F20" w:rsidRDefault="00E37F20" w:rsidP="000C6B24">
            <w:pPr>
              <w:spacing w:after="0" w:line="240" w:lineRule="auto"/>
              <w:jc w:val="center"/>
            </w:pPr>
            <w:r>
              <w:rPr>
                <w:color w:val="000000"/>
                <w:sz w:val="19"/>
              </w:rPr>
              <w:t>3.72</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22A7BF" w14:textId="77777777" w:rsidR="00E37F20" w:rsidRDefault="00E37F20" w:rsidP="000C6B24">
            <w:pPr>
              <w:spacing w:after="0" w:line="240" w:lineRule="auto"/>
              <w:jc w:val="center"/>
            </w:pPr>
            <w:r>
              <w:rPr>
                <w:color w:val="000000"/>
                <w:sz w:val="19"/>
              </w:rPr>
              <w:t>0.92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F8A5454" w14:textId="77777777" w:rsidR="00E37F20" w:rsidRDefault="00E37F20" w:rsidP="000C6B24">
            <w:pPr>
              <w:spacing w:after="0" w:line="240" w:lineRule="auto"/>
              <w:jc w:val="center"/>
            </w:pPr>
            <w:r>
              <w:rPr>
                <w:color w:val="000000"/>
                <w:sz w:val="19"/>
              </w:rPr>
              <w:t>62.7</w:t>
            </w:r>
          </w:p>
        </w:tc>
      </w:tr>
      <w:tr w:rsidR="00E37F20" w14:paraId="50F2AF59"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E83E2B" w14:textId="77777777" w:rsidR="00E37F20" w:rsidRDefault="00E37F20" w:rsidP="000C6B24">
            <w:pPr>
              <w:spacing w:after="0" w:line="240" w:lineRule="auto"/>
              <w:jc w:val="left"/>
            </w:pPr>
            <w:r>
              <w:rPr>
                <w:color w:val="000000"/>
                <w:sz w:val="19"/>
              </w:rPr>
              <w:t>Responsibility to remain</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7A5ACAC" w14:textId="77777777" w:rsidR="00E37F20" w:rsidRDefault="00E37F20" w:rsidP="000C6B24">
            <w:pPr>
              <w:spacing w:after="0" w:line="240" w:lineRule="auto"/>
              <w:jc w:val="center"/>
            </w:pPr>
            <w:r>
              <w:rPr>
                <w:color w:val="000000"/>
                <w:sz w:val="19"/>
              </w:rPr>
              <w:t>3.09</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9DE0D09" w14:textId="77777777" w:rsidR="00E37F20" w:rsidRDefault="00E37F20" w:rsidP="000C6B24">
            <w:pPr>
              <w:spacing w:after="0" w:line="240" w:lineRule="auto"/>
              <w:jc w:val="center"/>
            </w:pPr>
            <w:r>
              <w:rPr>
                <w:color w:val="000000"/>
                <w:sz w:val="19"/>
              </w:rPr>
              <w:t>1.15</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6A70836" w14:textId="77777777" w:rsidR="00E37F20" w:rsidRDefault="00E37F20" w:rsidP="000C6B24">
            <w:pPr>
              <w:spacing w:after="0" w:line="240" w:lineRule="auto"/>
              <w:jc w:val="center"/>
            </w:pPr>
            <w:r>
              <w:rPr>
                <w:color w:val="000000"/>
                <w:sz w:val="19"/>
              </w:rPr>
              <w:t>36.0</w:t>
            </w:r>
          </w:p>
        </w:tc>
      </w:tr>
      <w:tr w:rsidR="00E37F20" w14:paraId="37E850E7"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93DB7DC" w14:textId="77777777" w:rsidR="00E37F20" w:rsidRDefault="00E37F20" w:rsidP="000C6B24">
            <w:pPr>
              <w:spacing w:after="0" w:line="240" w:lineRule="auto"/>
              <w:jc w:val="left"/>
            </w:pPr>
            <w:r>
              <w:rPr>
                <w:color w:val="000000"/>
                <w:sz w:val="19"/>
              </w:rPr>
              <w:t>Guilt about leaving</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C33430" w14:textId="77777777" w:rsidR="00E37F20" w:rsidRDefault="00E37F20" w:rsidP="000C6B24">
            <w:pPr>
              <w:spacing w:after="0" w:line="240" w:lineRule="auto"/>
              <w:jc w:val="center"/>
            </w:pPr>
            <w:r>
              <w:rPr>
                <w:color w:val="000000"/>
                <w:sz w:val="19"/>
              </w:rPr>
              <w:t>3.00</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EB5D0EF" w14:textId="77777777" w:rsidR="00E37F20" w:rsidRDefault="00E37F20" w:rsidP="000C6B24">
            <w:pPr>
              <w:spacing w:after="0" w:line="240" w:lineRule="auto"/>
              <w:jc w:val="center"/>
            </w:pPr>
            <w:r>
              <w:rPr>
                <w:color w:val="000000"/>
                <w:sz w:val="19"/>
              </w:rPr>
              <w:t>0.82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01D1CD8" w14:textId="77777777" w:rsidR="00E37F20" w:rsidRDefault="00E37F20" w:rsidP="000C6B24">
            <w:pPr>
              <w:spacing w:after="0" w:line="240" w:lineRule="auto"/>
              <w:jc w:val="center"/>
            </w:pPr>
            <w:r>
              <w:rPr>
                <w:color w:val="000000"/>
                <w:sz w:val="19"/>
              </w:rPr>
              <w:t>24.0</w:t>
            </w:r>
          </w:p>
        </w:tc>
      </w:tr>
      <w:tr w:rsidR="00E37F20" w14:paraId="46672560"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6747DDD" w14:textId="77777777" w:rsidR="00E37F20" w:rsidRDefault="00E37F20" w:rsidP="000C6B24">
            <w:pPr>
              <w:spacing w:after="0" w:line="240" w:lineRule="auto"/>
              <w:jc w:val="left"/>
            </w:pPr>
            <w:r>
              <w:rPr>
                <w:color w:val="000000"/>
                <w:sz w:val="19"/>
              </w:rPr>
              <w:t>Disruption from leaving</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E0D8039" w14:textId="77777777" w:rsidR="00E37F20" w:rsidRDefault="00E37F20" w:rsidP="000C6B24">
            <w:pPr>
              <w:spacing w:after="0" w:line="240" w:lineRule="auto"/>
              <w:jc w:val="center"/>
            </w:pPr>
            <w:r>
              <w:rPr>
                <w:color w:val="000000"/>
                <w:sz w:val="19"/>
              </w:rPr>
              <w:t>3.19</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6FCC4A1" w14:textId="77777777" w:rsidR="00E37F20" w:rsidRDefault="00E37F20" w:rsidP="000C6B24">
            <w:pPr>
              <w:spacing w:after="0" w:line="240" w:lineRule="auto"/>
              <w:jc w:val="center"/>
            </w:pPr>
            <w:r>
              <w:rPr>
                <w:color w:val="000000"/>
                <w:sz w:val="19"/>
              </w:rPr>
              <w:t>1.12</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A1017A0" w14:textId="77777777" w:rsidR="00E37F20" w:rsidRDefault="00E37F20" w:rsidP="000C6B24">
            <w:pPr>
              <w:spacing w:after="0" w:line="240" w:lineRule="auto"/>
              <w:jc w:val="center"/>
            </w:pPr>
            <w:r>
              <w:rPr>
                <w:color w:val="000000"/>
                <w:sz w:val="19"/>
              </w:rPr>
              <w:t>41.3</w:t>
            </w:r>
          </w:p>
        </w:tc>
      </w:tr>
      <w:tr w:rsidR="00E37F20" w14:paraId="2F66C98A"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119BF4" w14:textId="77777777" w:rsidR="00E37F20" w:rsidRDefault="00E37F20" w:rsidP="000C6B24">
            <w:pPr>
              <w:spacing w:after="0" w:line="240" w:lineRule="auto"/>
              <w:jc w:val="left"/>
            </w:pPr>
            <w:r>
              <w:rPr>
                <w:color w:val="000000"/>
                <w:sz w:val="19"/>
              </w:rPr>
              <w:t>Alternative employment difficult</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498D5CE" w14:textId="77777777" w:rsidR="00E37F20" w:rsidRDefault="00E37F20" w:rsidP="000C6B24">
            <w:pPr>
              <w:spacing w:after="0" w:line="240" w:lineRule="auto"/>
              <w:jc w:val="center"/>
            </w:pPr>
            <w:r>
              <w:rPr>
                <w:color w:val="000000"/>
                <w:sz w:val="19"/>
              </w:rPr>
              <w:t>3.04</w:t>
            </w:r>
          </w:p>
        </w:tc>
        <w:tc>
          <w:tcPr>
            <w:tcW w:w="136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64F048B" w14:textId="77777777" w:rsidR="00E37F20" w:rsidRDefault="00E37F20" w:rsidP="000C6B24">
            <w:pPr>
              <w:spacing w:after="0" w:line="240" w:lineRule="auto"/>
              <w:jc w:val="center"/>
            </w:pPr>
            <w:r>
              <w:rPr>
                <w:color w:val="000000"/>
                <w:sz w:val="19"/>
              </w:rPr>
              <w:t>0.91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06E37FD" w14:textId="77777777" w:rsidR="00E37F20" w:rsidRDefault="00E37F20" w:rsidP="000C6B24">
            <w:pPr>
              <w:spacing w:after="0" w:line="240" w:lineRule="auto"/>
              <w:jc w:val="center"/>
            </w:pPr>
            <w:r>
              <w:rPr>
                <w:color w:val="000000"/>
                <w:sz w:val="19"/>
              </w:rPr>
              <w:t>28.0</w:t>
            </w:r>
          </w:p>
        </w:tc>
      </w:tr>
    </w:tbl>
    <w:p w14:paraId="154E8ACD" w14:textId="77777777" w:rsidR="00E37F20" w:rsidRDefault="00E37F20" w:rsidP="00E37F20">
      <w:pPr>
        <w:spacing w:after="0" w:line="48" w:lineRule="auto"/>
      </w:pPr>
    </w:p>
    <w:p w14:paraId="012FA1E2" w14:textId="0236FAAB" w:rsidR="00E37F20" w:rsidRDefault="00794018" w:rsidP="00E37F20">
      <w:r w:rsidRPr="00794018">
        <w:t>Proportional Examination of the Assumptions was performed. Shapiro–Wilk tests detected departures for awareness, W = 0.963, p = 0.027, and justice, W = 0.939, p = 0.001, but not commitment, W = 0.974, p = 0.120. Awareness skewness was as small as −0.132, and justice skewness</w:t>
      </w:r>
      <w:r>
        <w:t xml:space="preserve"> was</w:t>
      </w:r>
      <w:r w:rsidRPr="00794018">
        <w:t xml:space="preserve"> −0.800, and the test can detect moderate deviations with 75 observations. More important</w:t>
      </w:r>
      <w:r>
        <w:t>ly</w:t>
      </w:r>
      <w:r w:rsidRPr="00794018">
        <w:t>, combined model residuals were close to normally distributed</w:t>
      </w:r>
      <w:r w:rsidR="00347332">
        <w:t>.</w:t>
      </w:r>
      <w:r w:rsidRPr="00794018">
        <w:t xml:space="preserve"> W = 0.989, p = 0.768</w:t>
      </w:r>
      <w:r w:rsidR="00347332">
        <w:t>. A</w:t>
      </w:r>
      <w:r w:rsidRPr="00794018">
        <w:t>nd there was no obvious nonlinear relationship. The maximum standardised residual was 2.74, the maximum Cook's distance was 0.070</w:t>
      </w:r>
      <w:r>
        <w:t>,</w:t>
      </w:r>
      <w:r w:rsidRPr="00794018">
        <w:t xml:space="preserve"> and the maximum variance inflation factors (VIFs) were 1.06. There was no case that had a major effect</w:t>
      </w:r>
      <w:r>
        <w:t>,</w:t>
      </w:r>
      <w:r w:rsidRPr="00794018">
        <w:t xml:space="preserve"> and there was no detectable multicollinearity</w:t>
      </w:r>
      <w:r w:rsidR="00347332">
        <w:t xml:space="preserve"> </w:t>
      </w:r>
      <w:r w:rsidR="00347332" w:rsidRPr="00347332">
        <w:t>(Gomes and Marques, 2025)</w:t>
      </w:r>
      <w:r w:rsidRPr="00794018">
        <w:t>. For the same reason, Pearson procedures and ordinary least squares procedures were kept</w:t>
      </w:r>
      <w:r>
        <w:t>,</w:t>
      </w:r>
      <w:r w:rsidRPr="00794018">
        <w:t xml:space="preserve"> and </w:t>
      </w:r>
      <w:r>
        <w:t xml:space="preserve">the </w:t>
      </w:r>
      <w:r w:rsidRPr="00794018">
        <w:t>modest sample size suggests caution in drawing inferences</w:t>
      </w:r>
      <w:r w:rsidR="00E37F20">
        <w:t>.</w:t>
      </w:r>
    </w:p>
    <w:p w14:paraId="1B62128D" w14:textId="77777777" w:rsidR="00E37F20" w:rsidRDefault="00E37F20" w:rsidP="00E37F20">
      <w:pPr>
        <w:pStyle w:val="Heading3"/>
      </w:pPr>
      <w:bookmarkStart w:id="51" w:name="_Toc240321848"/>
      <w:r>
        <w:t>4.5.2 Correlation Analysis</w:t>
      </w:r>
      <w:bookmarkEnd w:id="51"/>
    </w:p>
    <w:p w14:paraId="49805181" w14:textId="220EA5E1" w:rsidR="00794018" w:rsidRDefault="00794018" w:rsidP="00794018">
      <w:r>
        <w:t>The Pearson correlations are provided in Table 4.7. Correlation with employment rights awareness was positive with organisational justice, r = 0.244, p = 0.035. H1 was supported, but with a low coefficient, it indicates that there is around 6.0% shared variance. Knowledge can give a benchmark to recognise compliant practice, while most of the variation of justice is due to other factors such as outcomes, procedures and supervisors</w:t>
      </w:r>
      <w:r w:rsidR="00347332">
        <w:t xml:space="preserve"> </w:t>
      </w:r>
      <w:r w:rsidR="00347332" w:rsidRPr="00347332">
        <w:t>(Gomes and Marques, 2025)</w:t>
      </w:r>
      <w:r>
        <w:t>. Therefore, it's relevance, NOT sufficiency.</w:t>
      </w:r>
    </w:p>
    <w:p w14:paraId="5AC39808" w14:textId="7D62EACF" w:rsidR="00794018" w:rsidRDefault="00794018" w:rsidP="00794018">
      <w:r>
        <w:lastRenderedPageBreak/>
        <w:t>The same goes for the positive sign. Awareness may confirm compliance, but can also indicate that a resolution is in contradiction with an entitlement. The sample coefficient encompasses both possibilities, and represents which one prevailed</w:t>
      </w:r>
      <w:r w:rsidR="00347332">
        <w:t xml:space="preserve">. </w:t>
      </w:r>
      <w:r>
        <w:t>It does not specify that every respondent who stated that, in their view, the employer had a more positive attitude, was in fact so</w:t>
      </w:r>
      <w:r w:rsidR="00347332">
        <w:t xml:space="preserve"> </w:t>
      </w:r>
      <w:r w:rsidR="00347332" w:rsidRPr="00347332">
        <w:t>(AlMazrouei and Zacca, 2021)</w:t>
      </w:r>
      <w:r>
        <w:t>. This provides an understanding of the relationship being significant but small, and also guards against inadvertent faulting by assuming that more knowledge can only lead to more perceptions of justice.</w:t>
      </w:r>
    </w:p>
    <w:p w14:paraId="1CAC4067" w14:textId="72B4DFF7" w:rsidR="00794018" w:rsidRDefault="00794018" w:rsidP="00794018">
      <w:r>
        <w:t>There was a positive relation between awareness and commitment too (r = 0.301, p = 0.009) and H2 is supported. This small to moderate association suggests that perhaps legal literacy decreases the uncertainty or indicates legal transparency</w:t>
      </w:r>
      <w:r w:rsidR="00347332">
        <w:t xml:space="preserve"> </w:t>
      </w:r>
      <w:r w:rsidR="00347332" w:rsidRPr="00347332">
        <w:t>(Tosun, 2025)</w:t>
      </w:r>
      <w:r>
        <w:t>. However, it cannot account for the majority of attachment. The strongest correlation was between the two variables of organisational justice and commitment (r = 0.499, p &lt; 0.001), confirming H3. The upward relationship is depicted in Figure 4.3, along with a good amount of spread. Although fairness contributed to commitment, this was not necessarily definitive</w:t>
      </w:r>
      <w:r w:rsidR="00347332">
        <w:t xml:space="preserve"> </w:t>
      </w:r>
      <w:r w:rsidR="00347332" w:rsidRPr="00347332">
        <w:t>(Tosun, 2025)</w:t>
      </w:r>
      <w:r w:rsidR="00347332">
        <w:t>. E</w:t>
      </w:r>
      <w:r>
        <w:t>mployees with similar justice scores still differed on commitment, for example, caused by other factors like security, progression, workload and/or work–life balance.</w:t>
      </w:r>
    </w:p>
    <w:p w14:paraId="6A44D656" w14:textId="6E93679D" w:rsidR="00E37F20" w:rsidRDefault="00794018" w:rsidP="00794018">
      <w:r>
        <w:t>Ordering of the correlations is more informative than solely significance. Justice–commitment was about twice awareness–justice and larger than awareness–commitment. The response format was similar for scales, and dispersion was comparable, making it unlikely that this contrast was due to metric differences</w:t>
      </w:r>
      <w:r w:rsidR="00347332">
        <w:t xml:space="preserve"> </w:t>
      </w:r>
      <w:r w:rsidR="00347332" w:rsidRPr="00347332">
        <w:t>(Ghaderi et al., 2023)</w:t>
      </w:r>
      <w:r>
        <w:t xml:space="preserve">. It contributes to the theory that there is a greater correlation </w:t>
      </w:r>
      <w:r w:rsidR="00857741">
        <w:t>with</w:t>
      </w:r>
      <w:r>
        <w:t xml:space="preserve"> experienced fairness than with legal awareness and that an understanding of fairness is an important resource that could be used upstream as an evaluative theory</w:t>
      </w:r>
      <w:r w:rsidR="00E37F20">
        <w:t>.</w:t>
      </w:r>
    </w:p>
    <w:p w14:paraId="6DDF851E" w14:textId="77777777" w:rsidR="00E37F20" w:rsidRDefault="00E37F20" w:rsidP="00E37F20">
      <w:r>
        <w:t>Table 4.7 Pearson correlation matrix</w:t>
      </w:r>
    </w:p>
    <w:tbl>
      <w:tblPr>
        <w:tblW w:w="8568" w:type="dxa"/>
        <w:jc w:val="center"/>
        <w:tblLayout w:type="fixed"/>
        <w:tblLook w:val="04A0" w:firstRow="1" w:lastRow="0" w:firstColumn="1" w:lastColumn="0" w:noHBand="0" w:noVBand="1"/>
      </w:tblPr>
      <w:tblGrid>
        <w:gridCol w:w="4680"/>
        <w:gridCol w:w="1296"/>
        <w:gridCol w:w="1296"/>
        <w:gridCol w:w="1296"/>
      </w:tblGrid>
      <w:tr w:rsidR="00E37F20" w14:paraId="167158E9" w14:textId="77777777" w:rsidTr="000C6B24">
        <w:trPr>
          <w:tblHeader/>
          <w:jc w:val="center"/>
        </w:trPr>
        <w:tc>
          <w:tcPr>
            <w:tcW w:w="468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302D4F9" w14:textId="77777777" w:rsidR="00E37F20" w:rsidRDefault="00E37F20" w:rsidP="000C6B24">
            <w:pPr>
              <w:spacing w:after="0" w:line="240" w:lineRule="auto"/>
              <w:jc w:val="center"/>
            </w:pPr>
            <w:r>
              <w:rPr>
                <w:b/>
                <w:color w:val="000000"/>
                <w:sz w:val="19"/>
              </w:rPr>
              <w:t>Variable</w:t>
            </w:r>
          </w:p>
        </w:tc>
        <w:tc>
          <w:tcPr>
            <w:tcW w:w="129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EB11EB7" w14:textId="77777777" w:rsidR="00E37F20" w:rsidRDefault="00E37F20" w:rsidP="000C6B24">
            <w:pPr>
              <w:spacing w:after="0" w:line="240" w:lineRule="auto"/>
              <w:jc w:val="center"/>
            </w:pPr>
            <w:r>
              <w:rPr>
                <w:b/>
                <w:color w:val="000000"/>
                <w:sz w:val="19"/>
              </w:rPr>
              <w:t>1</w:t>
            </w:r>
          </w:p>
        </w:tc>
        <w:tc>
          <w:tcPr>
            <w:tcW w:w="129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BF4062E" w14:textId="77777777" w:rsidR="00E37F20" w:rsidRDefault="00E37F20" w:rsidP="000C6B24">
            <w:pPr>
              <w:spacing w:after="0" w:line="240" w:lineRule="auto"/>
              <w:jc w:val="center"/>
            </w:pPr>
            <w:r>
              <w:rPr>
                <w:b/>
                <w:color w:val="000000"/>
                <w:sz w:val="19"/>
              </w:rPr>
              <w:t>2</w:t>
            </w:r>
          </w:p>
        </w:tc>
        <w:tc>
          <w:tcPr>
            <w:tcW w:w="129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B9DF94A" w14:textId="77777777" w:rsidR="00E37F20" w:rsidRDefault="00E37F20" w:rsidP="000C6B24">
            <w:pPr>
              <w:spacing w:after="0" w:line="240" w:lineRule="auto"/>
              <w:jc w:val="center"/>
            </w:pPr>
            <w:r>
              <w:rPr>
                <w:b/>
                <w:color w:val="000000"/>
                <w:sz w:val="19"/>
              </w:rPr>
              <w:t>3</w:t>
            </w:r>
          </w:p>
        </w:tc>
      </w:tr>
      <w:tr w:rsidR="00E37F20" w14:paraId="2B7A4C46"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56CB1FF" w14:textId="77777777" w:rsidR="00E37F20" w:rsidRDefault="00E37F20" w:rsidP="000C6B24">
            <w:pPr>
              <w:spacing w:after="0" w:line="240" w:lineRule="auto"/>
              <w:jc w:val="left"/>
            </w:pPr>
            <w:r>
              <w:rPr>
                <w:color w:val="000000"/>
                <w:sz w:val="19"/>
              </w:rPr>
              <w:t>1. Employment rights awareness</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5F544D4" w14:textId="77777777" w:rsidR="00E37F20" w:rsidRDefault="00E37F20" w:rsidP="000C6B24">
            <w:pPr>
              <w:spacing w:after="0" w:line="240" w:lineRule="auto"/>
              <w:jc w:val="center"/>
            </w:pPr>
            <w:r>
              <w:rPr>
                <w:color w:val="000000"/>
                <w:sz w:val="19"/>
              </w:rPr>
              <w:t>1</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D5E2D8B" w14:textId="77777777" w:rsidR="00E37F20" w:rsidRDefault="00E37F20" w:rsidP="000C6B24">
            <w:pPr>
              <w:spacing w:after="0" w:line="240" w:lineRule="auto"/>
              <w:jc w:val="center"/>
            </w:pP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105EDA3" w14:textId="77777777" w:rsidR="00E37F20" w:rsidRDefault="00E37F20" w:rsidP="000C6B24">
            <w:pPr>
              <w:spacing w:after="0" w:line="240" w:lineRule="auto"/>
              <w:jc w:val="center"/>
            </w:pPr>
          </w:p>
        </w:tc>
      </w:tr>
      <w:tr w:rsidR="00E37F20" w14:paraId="2A402AAB"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DCCECE7" w14:textId="77777777" w:rsidR="00E37F20" w:rsidRDefault="00E37F20" w:rsidP="000C6B24">
            <w:pPr>
              <w:spacing w:after="0" w:line="240" w:lineRule="auto"/>
              <w:jc w:val="left"/>
            </w:pPr>
            <w:r>
              <w:rPr>
                <w:color w:val="000000"/>
                <w:sz w:val="19"/>
              </w:rPr>
              <w:t>2. Organisational justice</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9A91ABC" w14:textId="77777777" w:rsidR="00E37F20" w:rsidRDefault="00E37F20" w:rsidP="000C6B24">
            <w:pPr>
              <w:spacing w:after="0" w:line="240" w:lineRule="auto"/>
              <w:jc w:val="center"/>
            </w:pPr>
            <w:r>
              <w:rPr>
                <w:color w:val="000000"/>
                <w:sz w:val="19"/>
              </w:rPr>
              <w:t>0.244*</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7735658" w14:textId="77777777" w:rsidR="00E37F20" w:rsidRDefault="00E37F20" w:rsidP="000C6B24">
            <w:pPr>
              <w:spacing w:after="0" w:line="240" w:lineRule="auto"/>
              <w:jc w:val="center"/>
            </w:pPr>
            <w:r>
              <w:rPr>
                <w:color w:val="000000"/>
                <w:sz w:val="19"/>
              </w:rPr>
              <w:t>1</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EC442B6" w14:textId="77777777" w:rsidR="00E37F20" w:rsidRDefault="00E37F20" w:rsidP="000C6B24">
            <w:pPr>
              <w:spacing w:after="0" w:line="240" w:lineRule="auto"/>
              <w:jc w:val="center"/>
            </w:pPr>
          </w:p>
        </w:tc>
      </w:tr>
      <w:tr w:rsidR="00E37F20" w14:paraId="785E30F4" w14:textId="77777777" w:rsidTr="000C6B24">
        <w:trPr>
          <w:cantSplit/>
          <w:jc w:val="center"/>
        </w:trPr>
        <w:tc>
          <w:tcPr>
            <w:tcW w:w="46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B1A0D5" w14:textId="77777777" w:rsidR="00E37F20" w:rsidRDefault="00E37F20" w:rsidP="000C6B24">
            <w:pPr>
              <w:spacing w:after="0" w:line="240" w:lineRule="auto"/>
              <w:jc w:val="left"/>
            </w:pPr>
            <w:r>
              <w:rPr>
                <w:color w:val="000000"/>
                <w:sz w:val="19"/>
              </w:rPr>
              <w:t>3. Organisational commitment</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B740CDC" w14:textId="77777777" w:rsidR="00E37F20" w:rsidRDefault="00E37F20" w:rsidP="000C6B24">
            <w:pPr>
              <w:spacing w:after="0" w:line="240" w:lineRule="auto"/>
              <w:jc w:val="center"/>
            </w:pPr>
            <w:r>
              <w:rPr>
                <w:color w:val="000000"/>
                <w:sz w:val="19"/>
              </w:rPr>
              <w:t>0.301**</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1E0299" w14:textId="77777777" w:rsidR="00E37F20" w:rsidRDefault="00E37F20" w:rsidP="000C6B24">
            <w:pPr>
              <w:spacing w:after="0" w:line="240" w:lineRule="auto"/>
              <w:jc w:val="center"/>
            </w:pPr>
            <w:r>
              <w:rPr>
                <w:color w:val="000000"/>
                <w:sz w:val="19"/>
              </w:rPr>
              <w:t>0.499***</w:t>
            </w:r>
          </w:p>
        </w:tc>
        <w:tc>
          <w:tcPr>
            <w:tcW w:w="12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056AE00" w14:textId="77777777" w:rsidR="00E37F20" w:rsidRDefault="00E37F20" w:rsidP="000C6B24">
            <w:pPr>
              <w:spacing w:after="0" w:line="240" w:lineRule="auto"/>
              <w:jc w:val="center"/>
            </w:pPr>
            <w:r>
              <w:rPr>
                <w:color w:val="000000"/>
                <w:sz w:val="19"/>
              </w:rPr>
              <w:t>1</w:t>
            </w:r>
          </w:p>
        </w:tc>
      </w:tr>
    </w:tbl>
    <w:p w14:paraId="5089039D" w14:textId="77777777" w:rsidR="00E37F20" w:rsidRDefault="00E37F20" w:rsidP="00E37F20">
      <w:pPr>
        <w:spacing w:after="0" w:line="48" w:lineRule="auto"/>
      </w:pPr>
    </w:p>
    <w:p w14:paraId="335C8B5B" w14:textId="77777777" w:rsidR="00E37F20" w:rsidRDefault="00E37F20" w:rsidP="00E37F20">
      <w:pPr>
        <w:spacing w:line="240" w:lineRule="auto"/>
        <w:jc w:val="left"/>
      </w:pPr>
      <w:r>
        <w:rPr>
          <w:i/>
          <w:color w:val="000000"/>
          <w:sz w:val="20"/>
        </w:rPr>
        <w:t>* p &lt; 0.05; ** p &lt; 0.01; *** p &lt; 0.001.</w:t>
      </w:r>
    </w:p>
    <w:p w14:paraId="005AFC6D" w14:textId="77777777" w:rsidR="00E37F20" w:rsidRDefault="00E37F20" w:rsidP="00E37F20">
      <w:pPr>
        <w:keepNext/>
        <w:spacing w:before="80" w:after="0"/>
        <w:jc w:val="center"/>
      </w:pPr>
      <w:r>
        <w:rPr>
          <w:noProof/>
        </w:rPr>
        <w:lastRenderedPageBreak/>
        <w:drawing>
          <wp:inline distT="0" distB="0" distL="0" distR="0" wp14:anchorId="4D00E019" wp14:editId="35A21099">
            <wp:extent cx="5394960" cy="3641534"/>
            <wp:effectExtent l="0" t="0" r="0" b="0"/>
            <wp:docPr id="3" name="Picture 3" descr="Scatterplot of organisational justice and organisational commitment scores with a fitted regression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3_justice_commitment.png"/>
                    <pic:cNvPicPr/>
                  </pic:nvPicPr>
                  <pic:blipFill>
                    <a:blip r:embed="rId14"/>
                    <a:stretch>
                      <a:fillRect/>
                    </a:stretch>
                  </pic:blipFill>
                  <pic:spPr>
                    <a:xfrm>
                      <a:off x="0" y="0"/>
                      <a:ext cx="5394960" cy="3641534"/>
                    </a:xfrm>
                    <a:prstGeom prst="rect">
                      <a:avLst/>
                    </a:prstGeom>
                  </pic:spPr>
                </pic:pic>
              </a:graphicData>
            </a:graphic>
          </wp:inline>
        </w:drawing>
      </w:r>
    </w:p>
    <w:p w14:paraId="3D929752" w14:textId="77777777" w:rsidR="00E37F20" w:rsidRDefault="00E37F20" w:rsidP="00E37F20">
      <w:r>
        <w:t>Figure 4.3 Relationship between organisational justice and organisational commitment</w:t>
      </w:r>
    </w:p>
    <w:p w14:paraId="3BC407B2" w14:textId="03789AD0" w:rsidR="00E37F20" w:rsidRDefault="00857741" w:rsidP="00E37F20">
      <w:pPr>
        <w:pStyle w:val="Heading3"/>
      </w:pPr>
      <w:r w:rsidRPr="00857741">
        <w:t>4.5.3 Regression Analysis for Each Hypothesis</w:t>
      </w:r>
    </w:p>
    <w:p w14:paraId="496105DC" w14:textId="44D7D349" w:rsidR="00857741" w:rsidRDefault="00857741" w:rsidP="00857741">
      <w:r>
        <w:t>To test Hypotheses 1, 2, and 3, examine the predictive relationships between the variables by using regression analysis. One simple linear regression model was used for each of the three hypotheses. Whether employment rights awareness predicts organisational justice, whether employment rights awareness predicts organisational commitment, and whether organisational justice predicts organisational commitment. </w:t>
      </w:r>
    </w:p>
    <w:p w14:paraId="2A2A9833" w14:textId="12CEE9DB" w:rsidR="00857741" w:rsidRPr="00857741" w:rsidRDefault="00857741" w:rsidP="00857741">
      <w:pPr>
        <w:rPr>
          <w:b/>
          <w:bCs/>
        </w:rPr>
      </w:pPr>
      <w:r w:rsidRPr="00857741">
        <w:rPr>
          <w:b/>
          <w:bCs/>
        </w:rPr>
        <w:t>Regression Analysis for Hypothesis 1</w:t>
      </w:r>
    </w:p>
    <w:p w14:paraId="3F1D96BF" w14:textId="77777777" w:rsidR="00857741" w:rsidRDefault="00857741" w:rsidP="00857741">
      <w:r>
        <w:rPr>
          <w:b/>
          <w:bCs/>
        </w:rPr>
        <w:t>H1: Employment rights awareness is positively associated with organisational justice.</w:t>
      </w:r>
    </w:p>
    <w:p w14:paraId="6D2CFC65" w14:textId="2C1EEF78" w:rsidR="00857741" w:rsidRDefault="00857741" w:rsidP="00857741">
      <w:r>
        <w:t xml:space="preserve">A simple linear regression analysis was used to explore if awareness of the rights to employment is a significant predictor of organisational justice among retail workers in the UK. Organisational justice was the dependent variable and employment rights awareness was the independent variable (Adamovic, 2023). Results of the regression analysis show that employment rights awareness was a significant predictor of organisational justice (B = 0.242, SE = 0.113, t = 2.150, p = 0.035). A positive coefficient means that the higher the employment rights awareness, the higher the organisational justice perception. The model explained 6.0% of the variance in organisational justice (R² = 0.060). The explanatory power of the model was </w:t>
      </w:r>
      <w:r>
        <w:lastRenderedPageBreak/>
        <w:t>very little, but it was statistically significant at the 5% significance level. That indicates that the more an employee is aware of his or her employment rights, the more he or she feels workplace practices are fair. As a result, H1 was accepted.</w:t>
      </w:r>
    </w:p>
    <w:p w14:paraId="71DB94D1" w14:textId="60CFE40B" w:rsidR="00857741" w:rsidRDefault="00857741" w:rsidP="00857741">
      <w:r>
        <w:rPr>
          <w:b/>
          <w:bCs/>
        </w:rPr>
        <w:t>Table 4.8: Regression Results for H1</w:t>
      </w:r>
    </w:p>
    <w:tbl>
      <w:tblPr>
        <w:tblStyle w:val="TableGrid"/>
        <w:tblW w:w="0" w:type="auto"/>
        <w:tblLook w:val="04A0" w:firstRow="1" w:lastRow="0" w:firstColumn="1" w:lastColumn="0" w:noHBand="0" w:noVBand="1"/>
      </w:tblPr>
      <w:tblGrid>
        <w:gridCol w:w="5238"/>
        <w:gridCol w:w="756"/>
        <w:gridCol w:w="748"/>
        <w:gridCol w:w="756"/>
        <w:gridCol w:w="756"/>
        <w:gridCol w:w="756"/>
      </w:tblGrid>
      <w:tr w:rsidR="00857741" w14:paraId="559A2303" w14:textId="77777777" w:rsidTr="00857741">
        <w:trPr>
          <w:trHeight w:val="500"/>
        </w:trPr>
        <w:tc>
          <w:tcPr>
            <w:tcW w:w="0" w:type="auto"/>
            <w:shd w:val="clear" w:color="auto" w:fill="D9E2F3" w:themeFill="accent1" w:themeFillTint="33"/>
            <w:hideMark/>
          </w:tcPr>
          <w:p w14:paraId="0FE905F2" w14:textId="77777777" w:rsidR="00857741" w:rsidRDefault="00857741" w:rsidP="00857741">
            <w:r>
              <w:rPr>
                <w:b/>
                <w:bCs/>
              </w:rPr>
              <w:t>Predictor</w:t>
            </w:r>
          </w:p>
        </w:tc>
        <w:tc>
          <w:tcPr>
            <w:tcW w:w="0" w:type="auto"/>
            <w:shd w:val="clear" w:color="auto" w:fill="D9E2F3" w:themeFill="accent1" w:themeFillTint="33"/>
            <w:hideMark/>
          </w:tcPr>
          <w:p w14:paraId="7995DDAB" w14:textId="77777777" w:rsidR="00857741" w:rsidRDefault="00857741" w:rsidP="00857741">
            <w:r>
              <w:rPr>
                <w:b/>
                <w:bCs/>
              </w:rPr>
              <w:t>B</w:t>
            </w:r>
          </w:p>
        </w:tc>
        <w:tc>
          <w:tcPr>
            <w:tcW w:w="0" w:type="auto"/>
            <w:shd w:val="clear" w:color="auto" w:fill="D9E2F3" w:themeFill="accent1" w:themeFillTint="33"/>
            <w:hideMark/>
          </w:tcPr>
          <w:p w14:paraId="0565D146" w14:textId="77777777" w:rsidR="00857741" w:rsidRDefault="00857741" w:rsidP="00857741">
            <w:r>
              <w:rPr>
                <w:b/>
                <w:bCs/>
              </w:rPr>
              <w:t>SE</w:t>
            </w:r>
          </w:p>
        </w:tc>
        <w:tc>
          <w:tcPr>
            <w:tcW w:w="0" w:type="auto"/>
            <w:shd w:val="clear" w:color="auto" w:fill="D9E2F3" w:themeFill="accent1" w:themeFillTint="33"/>
            <w:hideMark/>
          </w:tcPr>
          <w:p w14:paraId="2E1A3057" w14:textId="77777777" w:rsidR="00857741" w:rsidRDefault="00857741" w:rsidP="00857741">
            <w:r>
              <w:rPr>
                <w:b/>
                <w:bCs/>
              </w:rPr>
              <w:t>t</w:t>
            </w:r>
          </w:p>
        </w:tc>
        <w:tc>
          <w:tcPr>
            <w:tcW w:w="0" w:type="auto"/>
            <w:shd w:val="clear" w:color="auto" w:fill="D9E2F3" w:themeFill="accent1" w:themeFillTint="33"/>
            <w:hideMark/>
          </w:tcPr>
          <w:p w14:paraId="3DBD3F24" w14:textId="77777777" w:rsidR="00857741" w:rsidRDefault="00857741" w:rsidP="00857741">
            <w:r>
              <w:rPr>
                <w:b/>
                <w:bCs/>
              </w:rPr>
              <w:t>p</w:t>
            </w:r>
          </w:p>
        </w:tc>
        <w:tc>
          <w:tcPr>
            <w:tcW w:w="0" w:type="auto"/>
            <w:shd w:val="clear" w:color="auto" w:fill="D9E2F3" w:themeFill="accent1" w:themeFillTint="33"/>
            <w:hideMark/>
          </w:tcPr>
          <w:p w14:paraId="202C1123" w14:textId="77777777" w:rsidR="00857741" w:rsidRDefault="00857741" w:rsidP="00857741">
            <w:r>
              <w:rPr>
                <w:b/>
                <w:bCs/>
              </w:rPr>
              <w:t>R²</w:t>
            </w:r>
          </w:p>
        </w:tc>
      </w:tr>
      <w:tr w:rsidR="00857741" w14:paraId="54D72E60" w14:textId="77777777" w:rsidTr="00857741">
        <w:trPr>
          <w:trHeight w:val="500"/>
        </w:trPr>
        <w:tc>
          <w:tcPr>
            <w:tcW w:w="0" w:type="auto"/>
            <w:hideMark/>
          </w:tcPr>
          <w:p w14:paraId="153E05E1" w14:textId="77777777" w:rsidR="00857741" w:rsidRDefault="00857741" w:rsidP="00857741">
            <w:r>
              <w:t>Employment Rights Awareness → Organisational Justice</w:t>
            </w:r>
          </w:p>
        </w:tc>
        <w:tc>
          <w:tcPr>
            <w:tcW w:w="0" w:type="auto"/>
            <w:hideMark/>
          </w:tcPr>
          <w:p w14:paraId="07744FC6" w14:textId="77777777" w:rsidR="00857741" w:rsidRDefault="00857741" w:rsidP="00857741">
            <w:r>
              <w:t>0.242</w:t>
            </w:r>
          </w:p>
        </w:tc>
        <w:tc>
          <w:tcPr>
            <w:tcW w:w="0" w:type="auto"/>
            <w:hideMark/>
          </w:tcPr>
          <w:p w14:paraId="142519E7" w14:textId="77777777" w:rsidR="00857741" w:rsidRDefault="00857741" w:rsidP="00857741">
            <w:r>
              <w:t>0.113</w:t>
            </w:r>
          </w:p>
        </w:tc>
        <w:tc>
          <w:tcPr>
            <w:tcW w:w="0" w:type="auto"/>
            <w:hideMark/>
          </w:tcPr>
          <w:p w14:paraId="6E5F6485" w14:textId="77777777" w:rsidR="00857741" w:rsidRDefault="00857741" w:rsidP="00857741">
            <w:r>
              <w:t>2.150</w:t>
            </w:r>
          </w:p>
        </w:tc>
        <w:tc>
          <w:tcPr>
            <w:tcW w:w="0" w:type="auto"/>
            <w:hideMark/>
          </w:tcPr>
          <w:p w14:paraId="5CA02598" w14:textId="77777777" w:rsidR="00857741" w:rsidRDefault="00857741" w:rsidP="00857741">
            <w:r>
              <w:t>0.035</w:t>
            </w:r>
          </w:p>
        </w:tc>
        <w:tc>
          <w:tcPr>
            <w:tcW w:w="0" w:type="auto"/>
            <w:hideMark/>
          </w:tcPr>
          <w:p w14:paraId="06CF2BFD" w14:textId="77777777" w:rsidR="00857741" w:rsidRDefault="00857741" w:rsidP="00857741">
            <w:r>
              <w:t>0.060</w:t>
            </w:r>
          </w:p>
        </w:tc>
      </w:tr>
    </w:tbl>
    <w:p w14:paraId="5E1AEBD2" w14:textId="77777777" w:rsidR="00857741" w:rsidRDefault="00857741" w:rsidP="00857741"/>
    <w:p w14:paraId="49D5B40D" w14:textId="7BBD2B0B" w:rsidR="00857741" w:rsidRPr="00857741" w:rsidRDefault="00857741" w:rsidP="00857741">
      <w:pPr>
        <w:rPr>
          <w:b/>
          <w:bCs/>
        </w:rPr>
      </w:pPr>
      <w:r w:rsidRPr="00857741">
        <w:rPr>
          <w:b/>
          <w:bCs/>
        </w:rPr>
        <w:t>Regression Analysis for Hypothesis 2</w:t>
      </w:r>
    </w:p>
    <w:p w14:paraId="26692B9E" w14:textId="77777777" w:rsidR="00857741" w:rsidRDefault="00857741" w:rsidP="00857741">
      <w:r>
        <w:rPr>
          <w:b/>
          <w:bCs/>
        </w:rPr>
        <w:t>H2: Employment rights awareness is positively associated with organisational commitment.</w:t>
      </w:r>
    </w:p>
    <w:p w14:paraId="2BBB1E85" w14:textId="2F16F085" w:rsidR="00857741" w:rsidRDefault="00857741" w:rsidP="00857741">
      <w:r>
        <w:t>A second simple linear regression analysis was performed to investigate the prediction of employment rights awareness on organisational commitment amongst the employees working in the retail sector of the United Kingdom. Employment rights awareness was used as the independent variable, while organisational commitment was the dependent variable (Adamovic, 2023). The results revealed that rights awareness was a significant predictor of organisational commitment (B = 0.299, SE = 0.111, t = 2.696, p = 0.009). The results show that there was a positive regression coefficient, which means that the higher the employees' awareness of employment rights, the greater their sense of organisational commitment. The variation in organisational commitment accounted for by the regression model was at 9.1% (R² = 0.091). The relationship between employment rights awareness and the commitment difference were statistically significant, although the relationship accounted for a small portion of the difference (Adamovic, 2023). Thus, this indicates that the results do support the assumption that employees' awareness of their rights at work is positively related to their commitment towards their organisation.</w:t>
      </w:r>
    </w:p>
    <w:p w14:paraId="312F0108" w14:textId="77777777" w:rsidR="00857741" w:rsidRDefault="00857741" w:rsidP="00857741">
      <w:r>
        <w:t xml:space="preserve">Therefore, </w:t>
      </w:r>
      <w:r>
        <w:rPr>
          <w:b/>
          <w:bCs/>
        </w:rPr>
        <w:t>H2 was supported</w:t>
      </w:r>
      <w:r>
        <w:t>.</w:t>
      </w:r>
    </w:p>
    <w:p w14:paraId="73475DE7" w14:textId="4C95DFED" w:rsidR="00857741" w:rsidRDefault="00857741" w:rsidP="00857741">
      <w:r>
        <w:rPr>
          <w:b/>
          <w:bCs/>
        </w:rPr>
        <w:t>Table 4.9: Regression Results for H2</w:t>
      </w:r>
    </w:p>
    <w:tbl>
      <w:tblPr>
        <w:tblStyle w:val="TableGrid"/>
        <w:tblW w:w="0" w:type="auto"/>
        <w:tblLook w:val="04A0" w:firstRow="1" w:lastRow="0" w:firstColumn="1" w:lastColumn="0" w:noHBand="0" w:noVBand="1"/>
      </w:tblPr>
      <w:tblGrid>
        <w:gridCol w:w="5247"/>
        <w:gridCol w:w="756"/>
        <w:gridCol w:w="739"/>
        <w:gridCol w:w="756"/>
        <w:gridCol w:w="756"/>
        <w:gridCol w:w="756"/>
      </w:tblGrid>
      <w:tr w:rsidR="00857741" w14:paraId="69877B1D" w14:textId="77777777" w:rsidTr="00857741">
        <w:trPr>
          <w:trHeight w:val="500"/>
        </w:trPr>
        <w:tc>
          <w:tcPr>
            <w:tcW w:w="0" w:type="auto"/>
            <w:shd w:val="clear" w:color="auto" w:fill="D9E2F3" w:themeFill="accent1" w:themeFillTint="33"/>
            <w:hideMark/>
          </w:tcPr>
          <w:p w14:paraId="13EA6A7F" w14:textId="77777777" w:rsidR="00857741" w:rsidRDefault="00857741" w:rsidP="00857741">
            <w:r>
              <w:rPr>
                <w:b/>
                <w:bCs/>
              </w:rPr>
              <w:t>Predictor</w:t>
            </w:r>
          </w:p>
        </w:tc>
        <w:tc>
          <w:tcPr>
            <w:tcW w:w="0" w:type="auto"/>
            <w:shd w:val="clear" w:color="auto" w:fill="D9E2F3" w:themeFill="accent1" w:themeFillTint="33"/>
            <w:hideMark/>
          </w:tcPr>
          <w:p w14:paraId="23043C1E" w14:textId="77777777" w:rsidR="00857741" w:rsidRDefault="00857741" w:rsidP="00857741">
            <w:r>
              <w:rPr>
                <w:b/>
                <w:bCs/>
              </w:rPr>
              <w:t>B</w:t>
            </w:r>
          </w:p>
        </w:tc>
        <w:tc>
          <w:tcPr>
            <w:tcW w:w="0" w:type="auto"/>
            <w:shd w:val="clear" w:color="auto" w:fill="D9E2F3" w:themeFill="accent1" w:themeFillTint="33"/>
            <w:hideMark/>
          </w:tcPr>
          <w:p w14:paraId="7483044A" w14:textId="77777777" w:rsidR="00857741" w:rsidRDefault="00857741" w:rsidP="00857741">
            <w:r>
              <w:rPr>
                <w:b/>
                <w:bCs/>
              </w:rPr>
              <w:t>SE</w:t>
            </w:r>
          </w:p>
        </w:tc>
        <w:tc>
          <w:tcPr>
            <w:tcW w:w="0" w:type="auto"/>
            <w:shd w:val="clear" w:color="auto" w:fill="D9E2F3" w:themeFill="accent1" w:themeFillTint="33"/>
            <w:hideMark/>
          </w:tcPr>
          <w:p w14:paraId="61489054" w14:textId="77777777" w:rsidR="00857741" w:rsidRDefault="00857741" w:rsidP="00857741">
            <w:r>
              <w:rPr>
                <w:b/>
                <w:bCs/>
              </w:rPr>
              <w:t>t</w:t>
            </w:r>
          </w:p>
        </w:tc>
        <w:tc>
          <w:tcPr>
            <w:tcW w:w="0" w:type="auto"/>
            <w:shd w:val="clear" w:color="auto" w:fill="D9E2F3" w:themeFill="accent1" w:themeFillTint="33"/>
            <w:hideMark/>
          </w:tcPr>
          <w:p w14:paraId="37D5D3B0" w14:textId="77777777" w:rsidR="00857741" w:rsidRDefault="00857741" w:rsidP="00857741">
            <w:r>
              <w:rPr>
                <w:b/>
                <w:bCs/>
              </w:rPr>
              <w:t>p</w:t>
            </w:r>
          </w:p>
        </w:tc>
        <w:tc>
          <w:tcPr>
            <w:tcW w:w="0" w:type="auto"/>
            <w:shd w:val="clear" w:color="auto" w:fill="D9E2F3" w:themeFill="accent1" w:themeFillTint="33"/>
            <w:hideMark/>
          </w:tcPr>
          <w:p w14:paraId="2126D35E" w14:textId="77777777" w:rsidR="00857741" w:rsidRDefault="00857741" w:rsidP="00857741">
            <w:r>
              <w:rPr>
                <w:b/>
                <w:bCs/>
              </w:rPr>
              <w:t>R²</w:t>
            </w:r>
          </w:p>
        </w:tc>
      </w:tr>
      <w:tr w:rsidR="00857741" w14:paraId="4A605BC4" w14:textId="77777777" w:rsidTr="00857741">
        <w:trPr>
          <w:trHeight w:val="770"/>
        </w:trPr>
        <w:tc>
          <w:tcPr>
            <w:tcW w:w="0" w:type="auto"/>
            <w:hideMark/>
          </w:tcPr>
          <w:p w14:paraId="0D8AE9B2" w14:textId="77777777" w:rsidR="00857741" w:rsidRDefault="00857741" w:rsidP="00857741">
            <w:r>
              <w:lastRenderedPageBreak/>
              <w:t>Employment Rights Awareness → Organisational Commitment</w:t>
            </w:r>
          </w:p>
        </w:tc>
        <w:tc>
          <w:tcPr>
            <w:tcW w:w="0" w:type="auto"/>
            <w:hideMark/>
          </w:tcPr>
          <w:p w14:paraId="25340332" w14:textId="77777777" w:rsidR="00857741" w:rsidRDefault="00857741" w:rsidP="00857741">
            <w:r>
              <w:t>0.299</w:t>
            </w:r>
          </w:p>
        </w:tc>
        <w:tc>
          <w:tcPr>
            <w:tcW w:w="0" w:type="auto"/>
            <w:hideMark/>
          </w:tcPr>
          <w:p w14:paraId="576B4B1D" w14:textId="77777777" w:rsidR="00857741" w:rsidRDefault="00857741" w:rsidP="00857741">
            <w:r>
              <w:t>0.111</w:t>
            </w:r>
          </w:p>
        </w:tc>
        <w:tc>
          <w:tcPr>
            <w:tcW w:w="0" w:type="auto"/>
            <w:hideMark/>
          </w:tcPr>
          <w:p w14:paraId="4A2D68FB" w14:textId="77777777" w:rsidR="00857741" w:rsidRDefault="00857741" w:rsidP="00857741">
            <w:r>
              <w:t>2.696</w:t>
            </w:r>
          </w:p>
        </w:tc>
        <w:tc>
          <w:tcPr>
            <w:tcW w:w="0" w:type="auto"/>
            <w:hideMark/>
          </w:tcPr>
          <w:p w14:paraId="4B215008" w14:textId="77777777" w:rsidR="00857741" w:rsidRDefault="00857741" w:rsidP="00857741">
            <w:r>
              <w:t>0.009</w:t>
            </w:r>
          </w:p>
        </w:tc>
        <w:tc>
          <w:tcPr>
            <w:tcW w:w="0" w:type="auto"/>
            <w:hideMark/>
          </w:tcPr>
          <w:p w14:paraId="58081D7E" w14:textId="77777777" w:rsidR="00857741" w:rsidRDefault="00857741" w:rsidP="00857741">
            <w:r>
              <w:t>0.091</w:t>
            </w:r>
          </w:p>
        </w:tc>
      </w:tr>
    </w:tbl>
    <w:p w14:paraId="6DAD44BE" w14:textId="77777777" w:rsidR="00857741" w:rsidRDefault="00857741" w:rsidP="00857741">
      <w:r>
        <w:t>4.5.3.3 Regression Analysis for Hypothesis 3</w:t>
      </w:r>
    </w:p>
    <w:p w14:paraId="2B33255C" w14:textId="77777777" w:rsidR="00857741" w:rsidRDefault="00857741" w:rsidP="00857741">
      <w:r>
        <w:rPr>
          <w:b/>
          <w:bCs/>
        </w:rPr>
        <w:t>H3: Organisational justice is positively associated with organisational commitment.</w:t>
      </w:r>
    </w:p>
    <w:p w14:paraId="642D0952" w14:textId="0EF9CFA3" w:rsidR="00857741" w:rsidRDefault="00857741" w:rsidP="00857741">
      <w:r>
        <w:t>The third regression analysis checked the significant impact of organisational justice on organisational commitment. Organisational justice was coded as the independent variable, and organisational commitment was coded as the dependent variable (Adamovic, 2023). Statistically significant values were shown in the regression results, where B = 0.500, SE = 0.102, t = 4.920, and p &lt; 0.001 for organisational justice's impact as a significant predictor of organisational commitment. The result is positive, which means that when an employee feels more fairly treated in organisational practice, he shows more commitment towards the organisation (Adamovic, 2023). This model accounted for 24.9% (R² = 0.249) of the variance in organisational commitment. Organisational justice had greater explanatory power when compared to the previous regression models, supporting the notion that perceptions of organisational justice were a more direct factor related to organisational commitment.</w:t>
      </w:r>
    </w:p>
    <w:p w14:paraId="2ECB72E5" w14:textId="77777777" w:rsidR="00857741" w:rsidRDefault="00857741" w:rsidP="00857741">
      <w:r>
        <w:t xml:space="preserve">Therefore, </w:t>
      </w:r>
      <w:r>
        <w:rPr>
          <w:b/>
          <w:bCs/>
        </w:rPr>
        <w:t>H3 was supported</w:t>
      </w:r>
      <w:r>
        <w:t>.</w:t>
      </w:r>
    </w:p>
    <w:p w14:paraId="4E038871" w14:textId="3504B5B0" w:rsidR="00857741" w:rsidRDefault="00857741" w:rsidP="00857741">
      <w:r>
        <w:rPr>
          <w:b/>
          <w:bCs/>
        </w:rPr>
        <w:t>Table 4.10: Regression Results for H3</w:t>
      </w:r>
    </w:p>
    <w:tbl>
      <w:tblPr>
        <w:tblStyle w:val="TableGrid"/>
        <w:tblW w:w="0" w:type="auto"/>
        <w:tblLook w:val="04A0" w:firstRow="1" w:lastRow="0" w:firstColumn="1" w:lastColumn="0" w:noHBand="0" w:noVBand="1"/>
      </w:tblPr>
      <w:tblGrid>
        <w:gridCol w:w="5094"/>
        <w:gridCol w:w="756"/>
        <w:gridCol w:w="756"/>
        <w:gridCol w:w="756"/>
        <w:gridCol w:w="892"/>
        <w:gridCol w:w="756"/>
      </w:tblGrid>
      <w:tr w:rsidR="00857741" w14:paraId="6B903B59" w14:textId="77777777" w:rsidTr="00857741">
        <w:trPr>
          <w:trHeight w:val="500"/>
        </w:trPr>
        <w:tc>
          <w:tcPr>
            <w:tcW w:w="0" w:type="auto"/>
            <w:shd w:val="clear" w:color="auto" w:fill="D9E2F3" w:themeFill="accent1" w:themeFillTint="33"/>
            <w:hideMark/>
          </w:tcPr>
          <w:p w14:paraId="78963B4D" w14:textId="77777777" w:rsidR="00857741" w:rsidRDefault="00857741" w:rsidP="00857741">
            <w:r>
              <w:rPr>
                <w:b/>
                <w:bCs/>
              </w:rPr>
              <w:t>Predictor</w:t>
            </w:r>
          </w:p>
        </w:tc>
        <w:tc>
          <w:tcPr>
            <w:tcW w:w="0" w:type="auto"/>
            <w:shd w:val="clear" w:color="auto" w:fill="D9E2F3" w:themeFill="accent1" w:themeFillTint="33"/>
            <w:hideMark/>
          </w:tcPr>
          <w:p w14:paraId="366DFA86" w14:textId="77777777" w:rsidR="00857741" w:rsidRDefault="00857741" w:rsidP="00857741">
            <w:r>
              <w:rPr>
                <w:b/>
                <w:bCs/>
              </w:rPr>
              <w:t>B</w:t>
            </w:r>
          </w:p>
        </w:tc>
        <w:tc>
          <w:tcPr>
            <w:tcW w:w="0" w:type="auto"/>
            <w:shd w:val="clear" w:color="auto" w:fill="D9E2F3" w:themeFill="accent1" w:themeFillTint="33"/>
            <w:hideMark/>
          </w:tcPr>
          <w:p w14:paraId="3430C2C5" w14:textId="77777777" w:rsidR="00857741" w:rsidRDefault="00857741" w:rsidP="00857741">
            <w:r>
              <w:rPr>
                <w:b/>
                <w:bCs/>
              </w:rPr>
              <w:t>SE</w:t>
            </w:r>
          </w:p>
        </w:tc>
        <w:tc>
          <w:tcPr>
            <w:tcW w:w="0" w:type="auto"/>
            <w:shd w:val="clear" w:color="auto" w:fill="D9E2F3" w:themeFill="accent1" w:themeFillTint="33"/>
            <w:hideMark/>
          </w:tcPr>
          <w:p w14:paraId="4DACBC1C" w14:textId="77777777" w:rsidR="00857741" w:rsidRDefault="00857741" w:rsidP="00857741">
            <w:r>
              <w:rPr>
                <w:b/>
                <w:bCs/>
              </w:rPr>
              <w:t>t</w:t>
            </w:r>
          </w:p>
        </w:tc>
        <w:tc>
          <w:tcPr>
            <w:tcW w:w="0" w:type="auto"/>
            <w:shd w:val="clear" w:color="auto" w:fill="D9E2F3" w:themeFill="accent1" w:themeFillTint="33"/>
            <w:hideMark/>
          </w:tcPr>
          <w:p w14:paraId="76B94F04" w14:textId="77777777" w:rsidR="00857741" w:rsidRDefault="00857741" w:rsidP="00857741">
            <w:r>
              <w:rPr>
                <w:b/>
                <w:bCs/>
              </w:rPr>
              <w:t>p</w:t>
            </w:r>
          </w:p>
        </w:tc>
        <w:tc>
          <w:tcPr>
            <w:tcW w:w="0" w:type="auto"/>
            <w:shd w:val="clear" w:color="auto" w:fill="D9E2F3" w:themeFill="accent1" w:themeFillTint="33"/>
            <w:hideMark/>
          </w:tcPr>
          <w:p w14:paraId="3E194C48" w14:textId="77777777" w:rsidR="00857741" w:rsidRDefault="00857741" w:rsidP="00857741">
            <w:r>
              <w:rPr>
                <w:b/>
                <w:bCs/>
              </w:rPr>
              <w:t>R²</w:t>
            </w:r>
          </w:p>
        </w:tc>
      </w:tr>
      <w:tr w:rsidR="00857741" w14:paraId="59393D17" w14:textId="77777777" w:rsidTr="00857741">
        <w:trPr>
          <w:trHeight w:val="500"/>
        </w:trPr>
        <w:tc>
          <w:tcPr>
            <w:tcW w:w="0" w:type="auto"/>
            <w:hideMark/>
          </w:tcPr>
          <w:p w14:paraId="1741B354" w14:textId="77777777" w:rsidR="00857741" w:rsidRDefault="00857741" w:rsidP="00857741">
            <w:r>
              <w:t>Organisational Justice → Organisational Commitment</w:t>
            </w:r>
          </w:p>
        </w:tc>
        <w:tc>
          <w:tcPr>
            <w:tcW w:w="0" w:type="auto"/>
            <w:hideMark/>
          </w:tcPr>
          <w:p w14:paraId="4E8969DE" w14:textId="77777777" w:rsidR="00857741" w:rsidRDefault="00857741" w:rsidP="00857741">
            <w:r>
              <w:t>0.500</w:t>
            </w:r>
          </w:p>
        </w:tc>
        <w:tc>
          <w:tcPr>
            <w:tcW w:w="0" w:type="auto"/>
            <w:hideMark/>
          </w:tcPr>
          <w:p w14:paraId="08AF4703" w14:textId="77777777" w:rsidR="00857741" w:rsidRDefault="00857741" w:rsidP="00857741">
            <w:r>
              <w:t>0.102</w:t>
            </w:r>
          </w:p>
        </w:tc>
        <w:tc>
          <w:tcPr>
            <w:tcW w:w="0" w:type="auto"/>
            <w:hideMark/>
          </w:tcPr>
          <w:p w14:paraId="4743FE01" w14:textId="77777777" w:rsidR="00857741" w:rsidRDefault="00857741" w:rsidP="00857741">
            <w:r>
              <w:t>4.920</w:t>
            </w:r>
          </w:p>
        </w:tc>
        <w:tc>
          <w:tcPr>
            <w:tcW w:w="0" w:type="auto"/>
            <w:hideMark/>
          </w:tcPr>
          <w:p w14:paraId="167443E2" w14:textId="77777777" w:rsidR="00857741" w:rsidRDefault="00857741" w:rsidP="00857741">
            <w:r>
              <w:t>&lt;0.001</w:t>
            </w:r>
          </w:p>
        </w:tc>
        <w:tc>
          <w:tcPr>
            <w:tcW w:w="0" w:type="auto"/>
            <w:hideMark/>
          </w:tcPr>
          <w:p w14:paraId="055CEE93" w14:textId="77777777" w:rsidR="00857741" w:rsidRDefault="00857741" w:rsidP="00857741">
            <w:r>
              <w:t>0.249</w:t>
            </w:r>
          </w:p>
        </w:tc>
      </w:tr>
    </w:tbl>
    <w:p w14:paraId="03E98456" w14:textId="77777777" w:rsidR="00857741" w:rsidRDefault="00857741" w:rsidP="00857741"/>
    <w:p w14:paraId="308676B7" w14:textId="77777777" w:rsidR="00857741" w:rsidRPr="00857741" w:rsidRDefault="00857741" w:rsidP="00857741">
      <w:pPr>
        <w:rPr>
          <w:b/>
          <w:bCs/>
        </w:rPr>
      </w:pPr>
      <w:r w:rsidRPr="00857741">
        <w:rPr>
          <w:b/>
          <w:bCs/>
        </w:rPr>
        <w:t>Summary of Regression Findings</w:t>
      </w:r>
    </w:p>
    <w:p w14:paraId="3185090C" w14:textId="1538FBF7" w:rsidR="00857741" w:rsidRDefault="00857741" w:rsidP="00857741">
      <w:r>
        <w:t>Table 4. 11 summarises the results of the three separate regression models.</w:t>
      </w:r>
    </w:p>
    <w:tbl>
      <w:tblPr>
        <w:tblStyle w:val="TableGrid"/>
        <w:tblW w:w="0" w:type="auto"/>
        <w:tblLook w:val="04A0" w:firstRow="1" w:lastRow="0" w:firstColumn="1" w:lastColumn="0" w:noHBand="0" w:noVBand="1"/>
      </w:tblPr>
      <w:tblGrid>
        <w:gridCol w:w="1350"/>
        <w:gridCol w:w="4010"/>
        <w:gridCol w:w="756"/>
        <w:gridCol w:w="935"/>
        <w:gridCol w:w="756"/>
        <w:gridCol w:w="1203"/>
      </w:tblGrid>
      <w:tr w:rsidR="00857741" w14:paraId="10C79620" w14:textId="77777777" w:rsidTr="00857741">
        <w:trPr>
          <w:trHeight w:val="770"/>
        </w:trPr>
        <w:tc>
          <w:tcPr>
            <w:tcW w:w="0" w:type="auto"/>
            <w:shd w:val="clear" w:color="auto" w:fill="D9E2F3" w:themeFill="accent1" w:themeFillTint="33"/>
            <w:hideMark/>
          </w:tcPr>
          <w:p w14:paraId="57B8DE89" w14:textId="77777777" w:rsidR="00857741" w:rsidRDefault="00857741" w:rsidP="00857741">
            <w:r>
              <w:rPr>
                <w:b/>
                <w:bCs/>
              </w:rPr>
              <w:t>Hypothesis</w:t>
            </w:r>
          </w:p>
        </w:tc>
        <w:tc>
          <w:tcPr>
            <w:tcW w:w="0" w:type="auto"/>
            <w:shd w:val="clear" w:color="auto" w:fill="D9E2F3" w:themeFill="accent1" w:themeFillTint="33"/>
            <w:hideMark/>
          </w:tcPr>
          <w:p w14:paraId="6A3E0B0E" w14:textId="77777777" w:rsidR="00857741" w:rsidRDefault="00857741" w:rsidP="00857741">
            <w:r>
              <w:rPr>
                <w:b/>
                <w:bCs/>
              </w:rPr>
              <w:t>Relationship</w:t>
            </w:r>
          </w:p>
        </w:tc>
        <w:tc>
          <w:tcPr>
            <w:tcW w:w="0" w:type="auto"/>
            <w:shd w:val="clear" w:color="auto" w:fill="D9E2F3" w:themeFill="accent1" w:themeFillTint="33"/>
            <w:hideMark/>
          </w:tcPr>
          <w:p w14:paraId="693AF764" w14:textId="77777777" w:rsidR="00857741" w:rsidRDefault="00857741" w:rsidP="00857741">
            <w:r>
              <w:rPr>
                <w:b/>
                <w:bCs/>
              </w:rPr>
              <w:t>B</w:t>
            </w:r>
          </w:p>
        </w:tc>
        <w:tc>
          <w:tcPr>
            <w:tcW w:w="0" w:type="auto"/>
            <w:shd w:val="clear" w:color="auto" w:fill="D9E2F3" w:themeFill="accent1" w:themeFillTint="33"/>
            <w:hideMark/>
          </w:tcPr>
          <w:p w14:paraId="1631B955" w14:textId="77777777" w:rsidR="00857741" w:rsidRDefault="00857741" w:rsidP="00857741">
            <w:r>
              <w:rPr>
                <w:b/>
                <w:bCs/>
              </w:rPr>
              <w:t>p-value</w:t>
            </w:r>
          </w:p>
        </w:tc>
        <w:tc>
          <w:tcPr>
            <w:tcW w:w="0" w:type="auto"/>
            <w:shd w:val="clear" w:color="auto" w:fill="D9E2F3" w:themeFill="accent1" w:themeFillTint="33"/>
            <w:hideMark/>
          </w:tcPr>
          <w:p w14:paraId="0C9FAAFA" w14:textId="77777777" w:rsidR="00857741" w:rsidRDefault="00857741" w:rsidP="00857741">
            <w:r>
              <w:rPr>
                <w:b/>
                <w:bCs/>
              </w:rPr>
              <w:t>R²</w:t>
            </w:r>
          </w:p>
        </w:tc>
        <w:tc>
          <w:tcPr>
            <w:tcW w:w="0" w:type="auto"/>
            <w:shd w:val="clear" w:color="auto" w:fill="D9E2F3" w:themeFill="accent1" w:themeFillTint="33"/>
            <w:hideMark/>
          </w:tcPr>
          <w:p w14:paraId="646EFC07" w14:textId="77777777" w:rsidR="00857741" w:rsidRDefault="00857741" w:rsidP="00857741">
            <w:r>
              <w:rPr>
                <w:b/>
                <w:bCs/>
              </w:rPr>
              <w:t>Decision</w:t>
            </w:r>
          </w:p>
        </w:tc>
      </w:tr>
      <w:tr w:rsidR="00857741" w14:paraId="7760BBDB" w14:textId="77777777" w:rsidTr="00857741">
        <w:trPr>
          <w:trHeight w:val="770"/>
        </w:trPr>
        <w:tc>
          <w:tcPr>
            <w:tcW w:w="0" w:type="auto"/>
            <w:hideMark/>
          </w:tcPr>
          <w:p w14:paraId="53D70D96" w14:textId="77777777" w:rsidR="00857741" w:rsidRDefault="00857741" w:rsidP="00857741">
            <w:r>
              <w:lastRenderedPageBreak/>
              <w:t>H1</w:t>
            </w:r>
          </w:p>
        </w:tc>
        <w:tc>
          <w:tcPr>
            <w:tcW w:w="0" w:type="auto"/>
            <w:hideMark/>
          </w:tcPr>
          <w:p w14:paraId="7C3103AA" w14:textId="77777777" w:rsidR="00857741" w:rsidRDefault="00857741" w:rsidP="00857741">
            <w:r>
              <w:t>Employment Rights Awareness → Organisational Justice</w:t>
            </w:r>
          </w:p>
        </w:tc>
        <w:tc>
          <w:tcPr>
            <w:tcW w:w="0" w:type="auto"/>
            <w:hideMark/>
          </w:tcPr>
          <w:p w14:paraId="7F66783B" w14:textId="77777777" w:rsidR="00857741" w:rsidRDefault="00857741" w:rsidP="00857741">
            <w:r>
              <w:t>0.242</w:t>
            </w:r>
          </w:p>
        </w:tc>
        <w:tc>
          <w:tcPr>
            <w:tcW w:w="0" w:type="auto"/>
            <w:hideMark/>
          </w:tcPr>
          <w:p w14:paraId="191F69CB" w14:textId="77777777" w:rsidR="00857741" w:rsidRDefault="00857741" w:rsidP="00857741">
            <w:r>
              <w:t>0.035</w:t>
            </w:r>
          </w:p>
        </w:tc>
        <w:tc>
          <w:tcPr>
            <w:tcW w:w="0" w:type="auto"/>
            <w:hideMark/>
          </w:tcPr>
          <w:p w14:paraId="652A5C0C" w14:textId="77777777" w:rsidR="00857741" w:rsidRDefault="00857741" w:rsidP="00857741">
            <w:r>
              <w:t>0.060</w:t>
            </w:r>
          </w:p>
        </w:tc>
        <w:tc>
          <w:tcPr>
            <w:tcW w:w="0" w:type="auto"/>
            <w:hideMark/>
          </w:tcPr>
          <w:p w14:paraId="251A2741" w14:textId="77777777" w:rsidR="00857741" w:rsidRDefault="00857741" w:rsidP="00857741">
            <w:r>
              <w:t>Supported</w:t>
            </w:r>
          </w:p>
        </w:tc>
      </w:tr>
      <w:tr w:rsidR="00857741" w14:paraId="017E7BB1" w14:textId="77777777" w:rsidTr="00857741">
        <w:trPr>
          <w:trHeight w:val="770"/>
        </w:trPr>
        <w:tc>
          <w:tcPr>
            <w:tcW w:w="0" w:type="auto"/>
            <w:hideMark/>
          </w:tcPr>
          <w:p w14:paraId="5513B931" w14:textId="77777777" w:rsidR="00857741" w:rsidRDefault="00857741" w:rsidP="00857741">
            <w:r>
              <w:t>H2</w:t>
            </w:r>
          </w:p>
        </w:tc>
        <w:tc>
          <w:tcPr>
            <w:tcW w:w="0" w:type="auto"/>
            <w:hideMark/>
          </w:tcPr>
          <w:p w14:paraId="70B47792" w14:textId="77777777" w:rsidR="00857741" w:rsidRDefault="00857741" w:rsidP="00857741">
            <w:r>
              <w:t>Employment Rights Awareness → Organisational Commitment</w:t>
            </w:r>
          </w:p>
        </w:tc>
        <w:tc>
          <w:tcPr>
            <w:tcW w:w="0" w:type="auto"/>
            <w:hideMark/>
          </w:tcPr>
          <w:p w14:paraId="565C1605" w14:textId="77777777" w:rsidR="00857741" w:rsidRDefault="00857741" w:rsidP="00857741">
            <w:r>
              <w:t>0.299</w:t>
            </w:r>
          </w:p>
        </w:tc>
        <w:tc>
          <w:tcPr>
            <w:tcW w:w="0" w:type="auto"/>
            <w:hideMark/>
          </w:tcPr>
          <w:p w14:paraId="25C5B2EE" w14:textId="77777777" w:rsidR="00857741" w:rsidRDefault="00857741" w:rsidP="00857741">
            <w:r>
              <w:t>0.009</w:t>
            </w:r>
          </w:p>
        </w:tc>
        <w:tc>
          <w:tcPr>
            <w:tcW w:w="0" w:type="auto"/>
            <w:hideMark/>
          </w:tcPr>
          <w:p w14:paraId="2C6E2AA1" w14:textId="77777777" w:rsidR="00857741" w:rsidRDefault="00857741" w:rsidP="00857741">
            <w:r>
              <w:t>0.091</w:t>
            </w:r>
          </w:p>
        </w:tc>
        <w:tc>
          <w:tcPr>
            <w:tcW w:w="0" w:type="auto"/>
            <w:hideMark/>
          </w:tcPr>
          <w:p w14:paraId="196637FC" w14:textId="77777777" w:rsidR="00857741" w:rsidRDefault="00857741" w:rsidP="00857741">
            <w:r>
              <w:t>Supported</w:t>
            </w:r>
          </w:p>
        </w:tc>
      </w:tr>
      <w:tr w:rsidR="00857741" w14:paraId="472713CE" w14:textId="77777777" w:rsidTr="00857741">
        <w:trPr>
          <w:trHeight w:val="770"/>
        </w:trPr>
        <w:tc>
          <w:tcPr>
            <w:tcW w:w="0" w:type="auto"/>
            <w:hideMark/>
          </w:tcPr>
          <w:p w14:paraId="6C5BF12B" w14:textId="77777777" w:rsidR="00857741" w:rsidRDefault="00857741" w:rsidP="00857741">
            <w:r>
              <w:t>H3</w:t>
            </w:r>
          </w:p>
        </w:tc>
        <w:tc>
          <w:tcPr>
            <w:tcW w:w="0" w:type="auto"/>
            <w:hideMark/>
          </w:tcPr>
          <w:p w14:paraId="1E3FDD7C" w14:textId="77777777" w:rsidR="00857741" w:rsidRDefault="00857741" w:rsidP="00857741">
            <w:r>
              <w:t>Organisational Justice → Organisational Commitment</w:t>
            </w:r>
          </w:p>
        </w:tc>
        <w:tc>
          <w:tcPr>
            <w:tcW w:w="0" w:type="auto"/>
            <w:hideMark/>
          </w:tcPr>
          <w:p w14:paraId="13209B6B" w14:textId="77777777" w:rsidR="00857741" w:rsidRDefault="00857741" w:rsidP="00857741">
            <w:r>
              <w:t>0.500</w:t>
            </w:r>
          </w:p>
        </w:tc>
        <w:tc>
          <w:tcPr>
            <w:tcW w:w="0" w:type="auto"/>
            <w:hideMark/>
          </w:tcPr>
          <w:p w14:paraId="64F70247" w14:textId="77777777" w:rsidR="00857741" w:rsidRDefault="00857741" w:rsidP="00857741">
            <w:r>
              <w:t>&lt;0.001</w:t>
            </w:r>
          </w:p>
        </w:tc>
        <w:tc>
          <w:tcPr>
            <w:tcW w:w="0" w:type="auto"/>
            <w:hideMark/>
          </w:tcPr>
          <w:p w14:paraId="731F56A6" w14:textId="77777777" w:rsidR="00857741" w:rsidRDefault="00857741" w:rsidP="00857741">
            <w:r>
              <w:t>0.249</w:t>
            </w:r>
          </w:p>
        </w:tc>
        <w:tc>
          <w:tcPr>
            <w:tcW w:w="0" w:type="auto"/>
            <w:hideMark/>
          </w:tcPr>
          <w:p w14:paraId="144C1DFC" w14:textId="77777777" w:rsidR="00857741" w:rsidRDefault="00857741" w:rsidP="00857741">
            <w:r>
              <w:t>Supported</w:t>
            </w:r>
          </w:p>
        </w:tc>
      </w:tr>
    </w:tbl>
    <w:p w14:paraId="4620B15D" w14:textId="77777777" w:rsidR="00857741" w:rsidRPr="00857741" w:rsidRDefault="00857741" w:rsidP="00857741">
      <w:pPr>
        <w:rPr>
          <w:lang w:eastAsia="en-US" w:bidi="bn-IN"/>
        </w:rPr>
      </w:pPr>
    </w:p>
    <w:p w14:paraId="084CEF5B" w14:textId="77777777" w:rsidR="00E37F20" w:rsidRDefault="00E37F20" w:rsidP="00E37F20">
      <w:pPr>
        <w:spacing w:after="0" w:line="48" w:lineRule="auto"/>
      </w:pPr>
    </w:p>
    <w:p w14:paraId="0A8739A6" w14:textId="77777777" w:rsidR="00E37F20" w:rsidRDefault="00E37F20" w:rsidP="00E37F20">
      <w:pPr>
        <w:pStyle w:val="Heading3"/>
      </w:pPr>
      <w:bookmarkStart w:id="52" w:name="_Toc240321850"/>
      <w:r>
        <w:t>4.5.4 Mediation Analysis</w:t>
      </w:r>
      <w:bookmarkEnd w:id="52"/>
    </w:p>
    <w:p w14:paraId="18618254" w14:textId="2CEEF37A" w:rsidR="00794018" w:rsidRDefault="00794018" w:rsidP="00794018">
      <w:r>
        <w:t>H4 was that the awareness–commit</w:t>
      </w:r>
      <w:r w:rsidR="00857741">
        <w:t>ment</w:t>
      </w:r>
      <w:r>
        <w:t xml:space="preserve"> relationship is mediated by organisational justice. The awareness-to-justice path was B = 0.242, p = 0.035. After controlling for awareness on the commitment social model, the outcomes achieved by the application of justice were still able to predict it, B = 0.453 and p &lt; 0.001. The total awareness effect was B = 0.299, p = 0.009, whereas the direct effect became B = 0.189, p = 0.068. The indirect effect was 0.110, bootstrap SE = 0.056, and its 95% percentile interval from 5,000 resamples was [0.010, 0.228]. The period did not contain the value 0, so H4 was proved.</w:t>
      </w:r>
    </w:p>
    <w:p w14:paraId="2AF83CEF" w14:textId="3FE2A401" w:rsidR="00E37F20" w:rsidRDefault="00794018" w:rsidP="00794018">
      <w:r>
        <w:t>The nature of the coefficient pattern suggests that mediation on the DMA perspective is indirect, and this should not be assumed to establish a time sequence. The lower confidence limit is nearing the value of zero, and all constructs were measured at the same time with a small path</w:t>
      </w:r>
      <w:r w:rsidR="00347332">
        <w:t xml:space="preserve"> </w:t>
      </w:r>
      <w:r w:rsidR="00347332" w:rsidRPr="00347332">
        <w:t>(Adamovic, 2023)</w:t>
      </w:r>
      <w:r>
        <w:t>. Bootstrapping enhances the confidence intervals for the non-normal product term, but does not preclude reverse ordering, common-method variance or omitted organisational climate. It cannot then be said that the observed awareness–commitment association occurs through a statistical elimination of fairness perceptions as causal mechanisms, but rather only that the information leads to fairness perceptions and then commitment</w:t>
      </w:r>
      <w:r w:rsidR="00E37F20">
        <w:t>.</w:t>
      </w:r>
    </w:p>
    <w:p w14:paraId="10466EE0" w14:textId="3E8ABED2" w:rsidR="00E37F20" w:rsidRDefault="00E37F20" w:rsidP="00E37F20">
      <w:r>
        <w:t>Table 4.</w:t>
      </w:r>
      <w:r w:rsidR="00857741">
        <w:t>12</w:t>
      </w:r>
      <w:r>
        <w:t xml:space="preserve"> Mediation results</w:t>
      </w:r>
    </w:p>
    <w:tbl>
      <w:tblPr>
        <w:tblW w:w="8784" w:type="dxa"/>
        <w:jc w:val="center"/>
        <w:tblLayout w:type="fixed"/>
        <w:tblLook w:val="04A0" w:firstRow="1" w:lastRow="0" w:firstColumn="1" w:lastColumn="0" w:noHBand="0" w:noVBand="1"/>
      </w:tblPr>
      <w:tblGrid>
        <w:gridCol w:w="3456"/>
        <w:gridCol w:w="1440"/>
        <w:gridCol w:w="1440"/>
        <w:gridCol w:w="2448"/>
      </w:tblGrid>
      <w:tr w:rsidR="00E37F20" w14:paraId="580B6850" w14:textId="77777777" w:rsidTr="000C6B24">
        <w:trPr>
          <w:tblHeader/>
          <w:jc w:val="center"/>
        </w:trPr>
        <w:tc>
          <w:tcPr>
            <w:tcW w:w="345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79184261" w14:textId="77777777" w:rsidR="00E37F20" w:rsidRDefault="00E37F20" w:rsidP="000C6B24">
            <w:pPr>
              <w:spacing w:after="0" w:line="240" w:lineRule="auto"/>
              <w:jc w:val="center"/>
            </w:pPr>
            <w:r>
              <w:rPr>
                <w:b/>
                <w:color w:val="000000"/>
                <w:sz w:val="19"/>
              </w:rPr>
              <w:t>Effect or path</w:t>
            </w:r>
          </w:p>
        </w:tc>
        <w:tc>
          <w:tcPr>
            <w:tcW w:w="144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2B771DF" w14:textId="77777777" w:rsidR="00E37F20" w:rsidRDefault="00E37F20" w:rsidP="000C6B24">
            <w:pPr>
              <w:spacing w:after="0" w:line="240" w:lineRule="auto"/>
              <w:jc w:val="center"/>
            </w:pPr>
            <w:r>
              <w:rPr>
                <w:b/>
                <w:color w:val="000000"/>
                <w:sz w:val="19"/>
              </w:rPr>
              <w:t>Estimate</w:t>
            </w:r>
          </w:p>
        </w:tc>
        <w:tc>
          <w:tcPr>
            <w:tcW w:w="144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2984603" w14:textId="77777777" w:rsidR="00E37F20" w:rsidRDefault="00E37F20" w:rsidP="000C6B24">
            <w:pPr>
              <w:spacing w:after="0" w:line="240" w:lineRule="auto"/>
              <w:jc w:val="center"/>
            </w:pPr>
            <w:r>
              <w:rPr>
                <w:b/>
                <w:color w:val="000000"/>
                <w:sz w:val="19"/>
              </w:rPr>
              <w:t>SE</w:t>
            </w:r>
          </w:p>
        </w:tc>
        <w:tc>
          <w:tcPr>
            <w:tcW w:w="244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6C2BE4C" w14:textId="77777777" w:rsidR="00E37F20" w:rsidRDefault="00E37F20" w:rsidP="000C6B24">
            <w:pPr>
              <w:spacing w:after="0" w:line="240" w:lineRule="auto"/>
              <w:jc w:val="center"/>
            </w:pPr>
            <w:r>
              <w:rPr>
                <w:b/>
                <w:color w:val="000000"/>
                <w:sz w:val="19"/>
              </w:rPr>
              <w:t>p or 95% CI</w:t>
            </w:r>
          </w:p>
        </w:tc>
      </w:tr>
      <w:tr w:rsidR="00E37F20" w14:paraId="55047070" w14:textId="77777777" w:rsidTr="000C6B24">
        <w:trPr>
          <w:cantSplit/>
          <w:jc w:val="center"/>
        </w:trPr>
        <w:tc>
          <w:tcPr>
            <w:tcW w:w="34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8ADA4D2" w14:textId="77777777" w:rsidR="00E37F20" w:rsidRDefault="00E37F20" w:rsidP="000C6B24">
            <w:pPr>
              <w:spacing w:after="0" w:line="240" w:lineRule="auto"/>
              <w:jc w:val="left"/>
            </w:pPr>
            <w:r>
              <w:rPr>
                <w:color w:val="000000"/>
                <w:sz w:val="19"/>
              </w:rPr>
              <w:t>a: Awareness to justice</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898EB5F" w14:textId="77777777" w:rsidR="00E37F20" w:rsidRDefault="00E37F20" w:rsidP="000C6B24">
            <w:pPr>
              <w:spacing w:after="0" w:line="240" w:lineRule="auto"/>
              <w:jc w:val="center"/>
            </w:pPr>
            <w:r>
              <w:rPr>
                <w:color w:val="000000"/>
                <w:sz w:val="19"/>
              </w:rPr>
              <w:t>0.242</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D8A889C" w14:textId="77777777" w:rsidR="00E37F20" w:rsidRDefault="00E37F20" w:rsidP="000C6B24">
            <w:pPr>
              <w:spacing w:after="0" w:line="240" w:lineRule="auto"/>
              <w:jc w:val="center"/>
            </w:pPr>
            <w:r>
              <w:rPr>
                <w:color w:val="000000"/>
                <w:sz w:val="19"/>
              </w:rPr>
              <w:t>0.113</w:t>
            </w:r>
          </w:p>
        </w:tc>
        <w:tc>
          <w:tcPr>
            <w:tcW w:w="24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6A78E22" w14:textId="77777777" w:rsidR="00E37F20" w:rsidRDefault="00E37F20" w:rsidP="000C6B24">
            <w:pPr>
              <w:spacing w:after="0" w:line="240" w:lineRule="auto"/>
              <w:jc w:val="center"/>
            </w:pPr>
            <w:r>
              <w:rPr>
                <w:color w:val="000000"/>
                <w:sz w:val="19"/>
              </w:rPr>
              <w:t>p=0.035</w:t>
            </w:r>
          </w:p>
        </w:tc>
      </w:tr>
      <w:tr w:rsidR="00E37F20" w14:paraId="42420CE6" w14:textId="77777777" w:rsidTr="000C6B24">
        <w:trPr>
          <w:cantSplit/>
          <w:jc w:val="center"/>
        </w:trPr>
        <w:tc>
          <w:tcPr>
            <w:tcW w:w="34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65A5A79" w14:textId="77777777" w:rsidR="00E37F20" w:rsidRDefault="00E37F20" w:rsidP="000C6B24">
            <w:pPr>
              <w:spacing w:after="0" w:line="240" w:lineRule="auto"/>
              <w:jc w:val="left"/>
            </w:pPr>
            <w:r>
              <w:rPr>
                <w:color w:val="000000"/>
                <w:sz w:val="19"/>
              </w:rPr>
              <w:t>b: Justice to commitment</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34D8901" w14:textId="77777777" w:rsidR="00E37F20" w:rsidRDefault="00E37F20" w:rsidP="000C6B24">
            <w:pPr>
              <w:spacing w:after="0" w:line="240" w:lineRule="auto"/>
              <w:jc w:val="center"/>
            </w:pPr>
            <w:r>
              <w:rPr>
                <w:color w:val="000000"/>
                <w:sz w:val="19"/>
              </w:rPr>
              <w:t>0.453</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8DDC49" w14:textId="77777777" w:rsidR="00E37F20" w:rsidRDefault="00E37F20" w:rsidP="000C6B24">
            <w:pPr>
              <w:spacing w:after="0" w:line="240" w:lineRule="auto"/>
              <w:jc w:val="center"/>
            </w:pPr>
            <w:r>
              <w:rPr>
                <w:color w:val="000000"/>
                <w:sz w:val="19"/>
              </w:rPr>
              <w:t>0.103</w:t>
            </w:r>
          </w:p>
        </w:tc>
        <w:tc>
          <w:tcPr>
            <w:tcW w:w="24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D4885CE" w14:textId="77777777" w:rsidR="00E37F20" w:rsidRDefault="00E37F20" w:rsidP="000C6B24">
            <w:pPr>
              <w:spacing w:after="0" w:line="240" w:lineRule="auto"/>
              <w:jc w:val="center"/>
            </w:pPr>
            <w:r>
              <w:rPr>
                <w:color w:val="000000"/>
                <w:sz w:val="19"/>
              </w:rPr>
              <w:t>p&lt;0.001</w:t>
            </w:r>
          </w:p>
        </w:tc>
      </w:tr>
      <w:tr w:rsidR="00E37F20" w14:paraId="41C4547D" w14:textId="77777777" w:rsidTr="000C6B24">
        <w:trPr>
          <w:cantSplit/>
          <w:jc w:val="center"/>
        </w:trPr>
        <w:tc>
          <w:tcPr>
            <w:tcW w:w="34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F5A96B" w14:textId="77777777" w:rsidR="00E37F20" w:rsidRDefault="00E37F20" w:rsidP="000C6B24">
            <w:pPr>
              <w:spacing w:after="0" w:line="240" w:lineRule="auto"/>
              <w:jc w:val="left"/>
            </w:pPr>
            <w:r>
              <w:rPr>
                <w:color w:val="000000"/>
                <w:sz w:val="19"/>
              </w:rPr>
              <w:lastRenderedPageBreak/>
              <w:t>Total effect c</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D717438" w14:textId="77777777" w:rsidR="00E37F20" w:rsidRDefault="00E37F20" w:rsidP="000C6B24">
            <w:pPr>
              <w:spacing w:after="0" w:line="240" w:lineRule="auto"/>
              <w:jc w:val="center"/>
            </w:pPr>
            <w:r>
              <w:rPr>
                <w:color w:val="000000"/>
                <w:sz w:val="19"/>
              </w:rPr>
              <w:t>0.299</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484560B" w14:textId="77777777" w:rsidR="00E37F20" w:rsidRDefault="00E37F20" w:rsidP="000C6B24">
            <w:pPr>
              <w:spacing w:after="0" w:line="240" w:lineRule="auto"/>
              <w:jc w:val="center"/>
            </w:pPr>
            <w:r>
              <w:rPr>
                <w:color w:val="000000"/>
                <w:sz w:val="19"/>
              </w:rPr>
              <w:t>0.111</w:t>
            </w:r>
          </w:p>
        </w:tc>
        <w:tc>
          <w:tcPr>
            <w:tcW w:w="24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3E5CBB3" w14:textId="77777777" w:rsidR="00E37F20" w:rsidRDefault="00E37F20" w:rsidP="000C6B24">
            <w:pPr>
              <w:spacing w:after="0" w:line="240" w:lineRule="auto"/>
              <w:jc w:val="center"/>
            </w:pPr>
            <w:r>
              <w:rPr>
                <w:color w:val="000000"/>
                <w:sz w:val="19"/>
              </w:rPr>
              <w:t>p=0.009</w:t>
            </w:r>
          </w:p>
        </w:tc>
      </w:tr>
      <w:tr w:rsidR="00E37F20" w14:paraId="71AD4EB7" w14:textId="77777777" w:rsidTr="000C6B24">
        <w:trPr>
          <w:cantSplit/>
          <w:jc w:val="center"/>
        </w:trPr>
        <w:tc>
          <w:tcPr>
            <w:tcW w:w="34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3EA1DAC" w14:textId="77777777" w:rsidR="00E37F20" w:rsidRDefault="00E37F20" w:rsidP="000C6B24">
            <w:pPr>
              <w:spacing w:after="0" w:line="240" w:lineRule="auto"/>
              <w:jc w:val="left"/>
            </w:pPr>
            <w:r>
              <w:rPr>
                <w:color w:val="000000"/>
                <w:sz w:val="19"/>
              </w:rPr>
              <w:t>Direct effect c'</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781164A" w14:textId="77777777" w:rsidR="00E37F20" w:rsidRDefault="00E37F20" w:rsidP="000C6B24">
            <w:pPr>
              <w:spacing w:after="0" w:line="240" w:lineRule="auto"/>
              <w:jc w:val="center"/>
            </w:pPr>
            <w:r>
              <w:rPr>
                <w:color w:val="000000"/>
                <w:sz w:val="19"/>
              </w:rPr>
              <w:t>0.189</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E4107AC" w14:textId="77777777" w:rsidR="00E37F20" w:rsidRDefault="00E37F20" w:rsidP="000C6B24">
            <w:pPr>
              <w:spacing w:after="0" w:line="240" w:lineRule="auto"/>
              <w:jc w:val="center"/>
            </w:pPr>
            <w:r>
              <w:rPr>
                <w:color w:val="000000"/>
                <w:sz w:val="19"/>
              </w:rPr>
              <w:t>0.102</w:t>
            </w:r>
          </w:p>
        </w:tc>
        <w:tc>
          <w:tcPr>
            <w:tcW w:w="24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D035CF" w14:textId="77777777" w:rsidR="00E37F20" w:rsidRDefault="00E37F20" w:rsidP="000C6B24">
            <w:pPr>
              <w:spacing w:after="0" w:line="240" w:lineRule="auto"/>
              <w:jc w:val="center"/>
            </w:pPr>
            <w:r>
              <w:rPr>
                <w:color w:val="000000"/>
                <w:sz w:val="19"/>
              </w:rPr>
              <w:t>p=0.068</w:t>
            </w:r>
          </w:p>
        </w:tc>
      </w:tr>
      <w:tr w:rsidR="00E37F20" w14:paraId="431F192E" w14:textId="77777777" w:rsidTr="000C6B24">
        <w:trPr>
          <w:cantSplit/>
          <w:jc w:val="center"/>
        </w:trPr>
        <w:tc>
          <w:tcPr>
            <w:tcW w:w="34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0B1C0BD" w14:textId="77777777" w:rsidR="00E37F20" w:rsidRDefault="00E37F20" w:rsidP="000C6B24">
            <w:pPr>
              <w:spacing w:after="0" w:line="240" w:lineRule="auto"/>
              <w:jc w:val="left"/>
            </w:pPr>
            <w:r>
              <w:rPr>
                <w:color w:val="000000"/>
                <w:sz w:val="19"/>
              </w:rPr>
              <w:t>Indirect effect a × b</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E3BC8AF" w14:textId="77777777" w:rsidR="00E37F20" w:rsidRDefault="00E37F20" w:rsidP="000C6B24">
            <w:pPr>
              <w:spacing w:after="0" w:line="240" w:lineRule="auto"/>
              <w:jc w:val="center"/>
            </w:pPr>
            <w:r>
              <w:rPr>
                <w:color w:val="000000"/>
                <w:sz w:val="19"/>
              </w:rPr>
              <w:t>0.110</w:t>
            </w:r>
          </w:p>
        </w:tc>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68EB9FE" w14:textId="77777777" w:rsidR="00E37F20" w:rsidRDefault="00E37F20" w:rsidP="000C6B24">
            <w:pPr>
              <w:spacing w:after="0" w:line="240" w:lineRule="auto"/>
              <w:jc w:val="center"/>
            </w:pPr>
            <w:r>
              <w:rPr>
                <w:color w:val="000000"/>
                <w:sz w:val="19"/>
              </w:rPr>
              <w:t>0.056</w:t>
            </w:r>
          </w:p>
        </w:tc>
        <w:tc>
          <w:tcPr>
            <w:tcW w:w="24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8205A4" w14:textId="77777777" w:rsidR="00E37F20" w:rsidRDefault="00E37F20" w:rsidP="000C6B24">
            <w:pPr>
              <w:spacing w:after="0" w:line="240" w:lineRule="auto"/>
              <w:jc w:val="center"/>
            </w:pPr>
            <w:r>
              <w:rPr>
                <w:color w:val="000000"/>
                <w:sz w:val="19"/>
              </w:rPr>
              <w:t>[0.010, 0.228]</w:t>
            </w:r>
          </w:p>
        </w:tc>
      </w:tr>
    </w:tbl>
    <w:p w14:paraId="1B15C0D2" w14:textId="77777777" w:rsidR="00E37F20" w:rsidRDefault="00E37F20" w:rsidP="00E37F20">
      <w:pPr>
        <w:spacing w:after="0" w:line="48" w:lineRule="auto"/>
      </w:pPr>
    </w:p>
    <w:p w14:paraId="2C92FA3A" w14:textId="77777777" w:rsidR="00E37F20" w:rsidRDefault="00E37F20" w:rsidP="00E37F20">
      <w:pPr>
        <w:spacing w:line="240" w:lineRule="auto"/>
        <w:jc w:val="left"/>
      </w:pPr>
      <w:r>
        <w:rPr>
          <w:i/>
          <w:color w:val="000000"/>
          <w:sz w:val="20"/>
        </w:rPr>
        <w:t>The indirect-effect confidence interval is based on 5,000 bootstrap resamples.</w:t>
      </w:r>
    </w:p>
    <w:p w14:paraId="1D9656EB" w14:textId="77777777" w:rsidR="00E37F20" w:rsidRDefault="00E37F20" w:rsidP="00E37F20">
      <w:pPr>
        <w:keepNext/>
        <w:spacing w:before="80" w:after="0"/>
        <w:jc w:val="center"/>
      </w:pPr>
      <w:r>
        <w:rPr>
          <w:noProof/>
        </w:rPr>
        <w:drawing>
          <wp:inline distT="0" distB="0" distL="0" distR="0" wp14:anchorId="25639E8B" wp14:editId="79C5EF9E">
            <wp:extent cx="5623560" cy="2905695"/>
            <wp:effectExtent l="0" t="0" r="0" b="0"/>
            <wp:docPr id="4" name="Picture 4" descr="Mediation diagram showing unstandardised paths from employment rights awareness through organisational justice to organisational com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4_mediation.png"/>
                    <pic:cNvPicPr/>
                  </pic:nvPicPr>
                  <pic:blipFill>
                    <a:blip r:embed="rId15"/>
                    <a:stretch>
                      <a:fillRect/>
                    </a:stretch>
                  </pic:blipFill>
                  <pic:spPr>
                    <a:xfrm>
                      <a:off x="0" y="0"/>
                      <a:ext cx="5623560" cy="2905695"/>
                    </a:xfrm>
                    <a:prstGeom prst="rect">
                      <a:avLst/>
                    </a:prstGeom>
                  </pic:spPr>
                </pic:pic>
              </a:graphicData>
            </a:graphic>
          </wp:inline>
        </w:drawing>
      </w:r>
    </w:p>
    <w:p w14:paraId="2B9132AA" w14:textId="77777777" w:rsidR="00E37F20" w:rsidRDefault="00E37F20" w:rsidP="00E37F20">
      <w:r>
        <w:t>Figure 4.4 Mediation model with unstandardised path coefficients</w:t>
      </w:r>
    </w:p>
    <w:p w14:paraId="7C516D8F" w14:textId="77777777" w:rsidR="00E37F20" w:rsidRDefault="00E37F20" w:rsidP="00E37F20">
      <w:pPr>
        <w:pStyle w:val="Heading3"/>
      </w:pPr>
      <w:bookmarkStart w:id="53" w:name="_Toc240321851"/>
      <w:r>
        <w:t>4.5.5 Hypothesis Decisions</w:t>
      </w:r>
      <w:bookmarkEnd w:id="53"/>
    </w:p>
    <w:p w14:paraId="5AE503EE" w14:textId="7301DAB7" w:rsidR="00E37F20" w:rsidRDefault="00794018" w:rsidP="00E37F20">
      <w:r w:rsidRPr="00794018">
        <w:t xml:space="preserve">At </w:t>
      </w:r>
      <w:r>
        <w:t xml:space="preserve">the </w:t>
      </w:r>
      <w:r w:rsidRPr="00794018">
        <w:t>5% significance level, all four hypotheses were accepted. Their support, however, varies and is not consistent. Results were H1 showing a modest direct relationship, H2 show</w:t>
      </w:r>
      <w:r>
        <w:t>ing</w:t>
      </w:r>
      <w:r w:rsidRPr="00794018">
        <w:t xml:space="preserve"> similar and also modest direct relationships, H3 showing the strongest direct relationship, and H4 </w:t>
      </w:r>
      <w:r>
        <w:t>showing</w:t>
      </w:r>
      <w:r w:rsidRPr="00794018">
        <w:t xml:space="preserve"> a fairly certain indirect relationship</w:t>
      </w:r>
      <w:r w:rsidR="00347332">
        <w:t xml:space="preserve"> </w:t>
      </w:r>
      <w:r w:rsidR="00347332" w:rsidRPr="001F4831">
        <w:t>(Aguinis et al., 2022)</w:t>
      </w:r>
      <w:r w:rsidRPr="00794018">
        <w:t>. A statistical consistency with the conceptual model is thus achieved when decisions are made according to those in Table 4.10</w:t>
      </w:r>
      <w:r>
        <w:t>,</w:t>
      </w:r>
      <w:r w:rsidRPr="00794018">
        <w:t xml:space="preserve"> together with effect sizes</w:t>
      </w:r>
      <w:r>
        <w:t>,</w:t>
      </w:r>
      <w:r w:rsidRPr="00794018">
        <w:t xml:space="preserve"> indicat</w:t>
      </w:r>
      <w:r>
        <w:t>ing</w:t>
      </w:r>
      <w:r w:rsidRPr="00794018">
        <w:t xml:space="preserve"> organisational justice as the key explanatory factor</w:t>
      </w:r>
      <w:r w:rsidR="00E37F20">
        <w:t>.</w:t>
      </w:r>
    </w:p>
    <w:p w14:paraId="1ED49A67" w14:textId="5B2AA909" w:rsidR="00E37F20" w:rsidRDefault="00E37F20" w:rsidP="00E37F20">
      <w:r>
        <w:t>Table 4.1</w:t>
      </w:r>
      <w:r w:rsidR="00857741">
        <w:t>3</w:t>
      </w:r>
      <w:r>
        <w:t xml:space="preserve"> Summary of hypothesis decisions</w:t>
      </w:r>
    </w:p>
    <w:tbl>
      <w:tblPr>
        <w:tblW w:w="8928" w:type="dxa"/>
        <w:jc w:val="center"/>
        <w:tblLayout w:type="fixed"/>
        <w:tblLook w:val="04A0" w:firstRow="1" w:lastRow="0" w:firstColumn="1" w:lastColumn="0" w:noHBand="0" w:noVBand="1"/>
      </w:tblPr>
      <w:tblGrid>
        <w:gridCol w:w="4320"/>
        <w:gridCol w:w="3096"/>
        <w:gridCol w:w="1512"/>
      </w:tblGrid>
      <w:tr w:rsidR="00E37F20" w14:paraId="4EF8FB22" w14:textId="77777777" w:rsidTr="000C6B24">
        <w:trPr>
          <w:tblHeader/>
          <w:jc w:val="center"/>
        </w:trPr>
        <w:tc>
          <w:tcPr>
            <w:tcW w:w="432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D342C32" w14:textId="77777777" w:rsidR="00E37F20" w:rsidRDefault="00E37F20" w:rsidP="000C6B24">
            <w:pPr>
              <w:spacing w:after="0" w:line="240" w:lineRule="auto"/>
              <w:jc w:val="center"/>
            </w:pPr>
            <w:r>
              <w:rPr>
                <w:b/>
                <w:color w:val="000000"/>
                <w:sz w:val="17"/>
              </w:rPr>
              <w:t>Hypothesis</w:t>
            </w:r>
          </w:p>
        </w:tc>
        <w:tc>
          <w:tcPr>
            <w:tcW w:w="309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5905EA5" w14:textId="77777777" w:rsidR="00E37F20" w:rsidRDefault="00E37F20" w:rsidP="000C6B24">
            <w:pPr>
              <w:spacing w:after="0" w:line="240" w:lineRule="auto"/>
              <w:jc w:val="center"/>
            </w:pPr>
            <w:r>
              <w:rPr>
                <w:b/>
                <w:color w:val="000000"/>
                <w:sz w:val="17"/>
              </w:rPr>
              <w:t>Test result</w:t>
            </w:r>
          </w:p>
        </w:tc>
        <w:tc>
          <w:tcPr>
            <w:tcW w:w="151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7E8BA9AB" w14:textId="77777777" w:rsidR="00E37F20" w:rsidRDefault="00E37F20" w:rsidP="000C6B24">
            <w:pPr>
              <w:spacing w:after="0" w:line="240" w:lineRule="auto"/>
              <w:jc w:val="center"/>
            </w:pPr>
            <w:r>
              <w:rPr>
                <w:b/>
                <w:color w:val="000000"/>
                <w:sz w:val="17"/>
              </w:rPr>
              <w:t>Decision</w:t>
            </w:r>
          </w:p>
        </w:tc>
      </w:tr>
      <w:tr w:rsidR="00E37F20" w14:paraId="647FF27A" w14:textId="77777777" w:rsidTr="000C6B24">
        <w:trPr>
          <w:cantSplit/>
          <w:jc w:val="center"/>
        </w:trPr>
        <w:tc>
          <w:tcPr>
            <w:tcW w:w="432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0C7247D" w14:textId="77777777" w:rsidR="00E37F20" w:rsidRDefault="00E37F20" w:rsidP="000C6B24">
            <w:pPr>
              <w:spacing w:after="0" w:line="240" w:lineRule="auto"/>
              <w:jc w:val="left"/>
            </w:pPr>
            <w:r>
              <w:rPr>
                <w:color w:val="000000"/>
                <w:sz w:val="17"/>
              </w:rPr>
              <w:t>H1: Awareness positively associated with justice</w:t>
            </w:r>
          </w:p>
        </w:tc>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2CFA0C9" w14:textId="77777777" w:rsidR="00E37F20" w:rsidRDefault="00E37F20" w:rsidP="000C6B24">
            <w:pPr>
              <w:spacing w:after="0" w:line="240" w:lineRule="auto"/>
              <w:jc w:val="center"/>
            </w:pPr>
            <w:r>
              <w:rPr>
                <w:color w:val="000000"/>
                <w:sz w:val="17"/>
              </w:rPr>
              <w:t>r=0.244, p=0.035</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257FC89" w14:textId="77777777" w:rsidR="00E37F20" w:rsidRDefault="00E37F20" w:rsidP="000C6B24">
            <w:pPr>
              <w:spacing w:after="0" w:line="240" w:lineRule="auto"/>
              <w:jc w:val="center"/>
            </w:pPr>
            <w:r>
              <w:rPr>
                <w:color w:val="000000"/>
                <w:sz w:val="17"/>
              </w:rPr>
              <w:t>Supported</w:t>
            </w:r>
          </w:p>
        </w:tc>
      </w:tr>
      <w:tr w:rsidR="00E37F20" w14:paraId="75B5BE0A" w14:textId="77777777" w:rsidTr="000C6B24">
        <w:trPr>
          <w:cantSplit/>
          <w:jc w:val="center"/>
        </w:trPr>
        <w:tc>
          <w:tcPr>
            <w:tcW w:w="432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8622F1" w14:textId="77777777" w:rsidR="00E37F20" w:rsidRDefault="00E37F20" w:rsidP="000C6B24">
            <w:pPr>
              <w:spacing w:after="0" w:line="240" w:lineRule="auto"/>
              <w:jc w:val="left"/>
            </w:pPr>
            <w:r>
              <w:rPr>
                <w:color w:val="000000"/>
                <w:sz w:val="17"/>
              </w:rPr>
              <w:lastRenderedPageBreak/>
              <w:t>H2: Awareness positively associated with commitment</w:t>
            </w:r>
          </w:p>
        </w:tc>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3F72B41" w14:textId="77777777" w:rsidR="00E37F20" w:rsidRDefault="00E37F20" w:rsidP="000C6B24">
            <w:pPr>
              <w:spacing w:after="0" w:line="240" w:lineRule="auto"/>
              <w:jc w:val="center"/>
            </w:pPr>
            <w:r>
              <w:rPr>
                <w:color w:val="000000"/>
                <w:sz w:val="17"/>
              </w:rPr>
              <w:t>r=0.301, p=0.009</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C431CD4" w14:textId="77777777" w:rsidR="00E37F20" w:rsidRDefault="00E37F20" w:rsidP="000C6B24">
            <w:pPr>
              <w:spacing w:after="0" w:line="240" w:lineRule="auto"/>
              <w:jc w:val="center"/>
            </w:pPr>
            <w:r>
              <w:rPr>
                <w:color w:val="000000"/>
                <w:sz w:val="17"/>
              </w:rPr>
              <w:t>Supported</w:t>
            </w:r>
          </w:p>
        </w:tc>
      </w:tr>
      <w:tr w:rsidR="00E37F20" w14:paraId="30139649" w14:textId="77777777" w:rsidTr="000C6B24">
        <w:trPr>
          <w:cantSplit/>
          <w:jc w:val="center"/>
        </w:trPr>
        <w:tc>
          <w:tcPr>
            <w:tcW w:w="432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8487B58" w14:textId="77777777" w:rsidR="00E37F20" w:rsidRDefault="00E37F20" w:rsidP="000C6B24">
            <w:pPr>
              <w:spacing w:after="0" w:line="240" w:lineRule="auto"/>
              <w:jc w:val="left"/>
            </w:pPr>
            <w:r>
              <w:rPr>
                <w:color w:val="000000"/>
                <w:sz w:val="17"/>
              </w:rPr>
              <w:t>H3: Justice positively associated with commitment</w:t>
            </w:r>
          </w:p>
        </w:tc>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FB0C698" w14:textId="77777777" w:rsidR="00E37F20" w:rsidRDefault="00E37F20" w:rsidP="000C6B24">
            <w:pPr>
              <w:spacing w:after="0" w:line="240" w:lineRule="auto"/>
              <w:jc w:val="center"/>
            </w:pPr>
            <w:r>
              <w:rPr>
                <w:color w:val="000000"/>
                <w:sz w:val="17"/>
              </w:rPr>
              <w:t>r=0.499, p&lt;0.001</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BBF9713" w14:textId="77777777" w:rsidR="00E37F20" w:rsidRDefault="00E37F20" w:rsidP="000C6B24">
            <w:pPr>
              <w:spacing w:after="0" w:line="240" w:lineRule="auto"/>
              <w:jc w:val="center"/>
            </w:pPr>
            <w:r>
              <w:rPr>
                <w:color w:val="000000"/>
                <w:sz w:val="17"/>
              </w:rPr>
              <w:t>Supported</w:t>
            </w:r>
          </w:p>
        </w:tc>
      </w:tr>
      <w:tr w:rsidR="00E37F20" w14:paraId="1BFEB116" w14:textId="77777777" w:rsidTr="000C6B24">
        <w:trPr>
          <w:cantSplit/>
          <w:jc w:val="center"/>
        </w:trPr>
        <w:tc>
          <w:tcPr>
            <w:tcW w:w="432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793506" w14:textId="77777777" w:rsidR="00E37F20" w:rsidRDefault="00E37F20" w:rsidP="000C6B24">
            <w:pPr>
              <w:spacing w:after="0" w:line="240" w:lineRule="auto"/>
              <w:jc w:val="left"/>
            </w:pPr>
            <w:r>
              <w:rPr>
                <w:color w:val="000000"/>
                <w:sz w:val="17"/>
              </w:rPr>
              <w:t>H4: Justice mediates awareness and commitment</w:t>
            </w:r>
          </w:p>
        </w:tc>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6F42476" w14:textId="77777777" w:rsidR="00E37F20" w:rsidRDefault="00E37F20" w:rsidP="000C6B24">
            <w:pPr>
              <w:spacing w:after="0" w:line="240" w:lineRule="auto"/>
              <w:jc w:val="center"/>
            </w:pPr>
            <w:r>
              <w:rPr>
                <w:color w:val="000000"/>
                <w:sz w:val="17"/>
              </w:rPr>
              <w:t>Indirect=0.110, 95% CI [0.010, 0.228]</w:t>
            </w:r>
          </w:p>
        </w:tc>
        <w:tc>
          <w:tcPr>
            <w:tcW w:w="151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F279152" w14:textId="77777777" w:rsidR="00E37F20" w:rsidRDefault="00E37F20" w:rsidP="000C6B24">
            <w:pPr>
              <w:spacing w:after="0" w:line="240" w:lineRule="auto"/>
              <w:jc w:val="center"/>
            </w:pPr>
            <w:r>
              <w:rPr>
                <w:color w:val="000000"/>
                <w:sz w:val="17"/>
              </w:rPr>
              <w:t>Supported</w:t>
            </w:r>
          </w:p>
        </w:tc>
      </w:tr>
    </w:tbl>
    <w:p w14:paraId="14DC589C" w14:textId="77777777" w:rsidR="00E37F20" w:rsidRDefault="00E37F20" w:rsidP="00E37F20">
      <w:pPr>
        <w:spacing w:after="0" w:line="48" w:lineRule="auto"/>
      </w:pPr>
    </w:p>
    <w:p w14:paraId="64401450" w14:textId="77777777" w:rsidR="00E37F20" w:rsidRDefault="00E37F20" w:rsidP="00E37F20">
      <w:pPr>
        <w:pStyle w:val="Heading2"/>
      </w:pPr>
      <w:bookmarkStart w:id="54" w:name="_Toc240321852"/>
      <w:r>
        <w:t>4.6 Discussion</w:t>
      </w:r>
      <w:bookmarkEnd w:id="54"/>
    </w:p>
    <w:p w14:paraId="23D755D8" w14:textId="02255060" w:rsidR="00AF748B" w:rsidRDefault="00AF748B" w:rsidP="00AF748B">
      <w:r>
        <w:t xml:space="preserve">The results alleviate the research problem by dissociating the right knowledge from the employment experiences that can be assessed by workers. As mentioned, awareness was the most highly rated construct while commitment was lowest. Information on </w:t>
      </w:r>
      <w:r w:rsidR="00347332">
        <w:t>Regier (2024)</w:t>
      </w:r>
      <w:r>
        <w:t xml:space="preserve"> own would be tough to understand if it created attachment. The findings, rather, lend themselves to a psychological-contract argument</w:t>
      </w:r>
      <w:r w:rsidR="00347332">
        <w:t xml:space="preserve"> (Lambert et al., 2021). </w:t>
      </w:r>
      <w:r>
        <w:t>If individuals are aware of their obligations, employees determine if their organisations meet them or if they fall short. It is conceivable as a theoretical possibility that the same knowledge can be used to support the fairness of one worker and to indicate the lack of consistency of the other. That is, the small H1 relationship. It is for this reason that Regier (2024) formal and usable rights are significant, as communication can only have a certain positive impact if workers are able to exercise their rights without risk of being fired.</w:t>
      </w:r>
    </w:p>
    <w:p w14:paraId="17050B60" w14:textId="77777777" w:rsidR="00AF748B" w:rsidRDefault="00AF748B" w:rsidP="00AF748B">
      <w:r>
        <w:t>However, once justified actors are introduced, one can no longer rely on awareness–commitment association to support H2. This classifies the research related to the psychological-contract fulfilment and commitment (Karani, Trivedi and Thanki, 2022). Awareness can help eliminate ambiguity and show transparency—but it can't be without credible delivery. The direct pathway with p = 0.068 should not be cited as there being a “hidden” significant direct pathway, nor should it be called “absent.” It suggests that this sample is not able to distinguish a uniquely different awareness contribution from an overlap with justice at the conventional threshold.</w:t>
      </w:r>
    </w:p>
    <w:p w14:paraId="3792156D" w14:textId="682259A8" w:rsidR="00AF748B" w:rsidRDefault="00AF748B" w:rsidP="00AF748B">
      <w:r>
        <w:t>It was the most evident evidence in Justice. It had a moderate correlation with commitment, accounting for 24.9% of the variance in this simple model and a standardised coefficient of 0.453 in the combined model. This is in line with social exchange theory: fair processes and treatment and outcomes provide evidence of organisational concern</w:t>
      </w:r>
      <w:r w:rsidR="00347332">
        <w:t>,</w:t>
      </w:r>
      <w:r>
        <w:t xml:space="preserve"> and this fosters reciprocal commitment. It also agrees with the positive justice-commitment results in other sectors (Jang, Lee and Kwon, 2021). The quality of exchange is repeatedly exposed through comments from </w:t>
      </w:r>
      <w:r>
        <w:lastRenderedPageBreak/>
        <w:t>other people in the evidence of practice, or ‘through the business of it,' as pay is discussed, rotas are drawn up, leave is allowed for, and people get up close and personal with each other every day: evidence of practice in the retail context brings exchanges into a sharper focus.</w:t>
      </w:r>
    </w:p>
    <w:p w14:paraId="7A4CCF3C" w14:textId="39F39CD3" w:rsidR="00AF748B" w:rsidRDefault="00AF748B" w:rsidP="00AF748B">
      <w:r>
        <w:t>However, there is a key internal contradiction to the global justice score. Respect and explanations were given a higher rating compared to pay, scheduling and voice. The distribution of valuable resources or say influential sources may therefore be less convincing, while the managerial aspect remains civil and cordial in the process. Indeed, using the current item pattern, this item aggregates justice, as described by Adamovic (2023), can conceal dimension-specific effects. But it's not about training managers to be polite. It is about drawing the right managerial inference: Respectful communication and transparent and challengeable decisions.</w:t>
      </w:r>
    </w:p>
    <w:p w14:paraId="6FB72C6D" w14:textId="123D8DE1" w:rsidR="00AF748B" w:rsidRDefault="00AF748B" w:rsidP="00AF748B">
      <w:r>
        <w:t>The supported indirect effect encompasses both theories. In other words, knowledge of the law renders legible what is required of us. Justice is a reflection of an evaluation of the way these are organised, and commitment is a response on our part. This is in addition to studies that have included engagement/satisfaction/psychological capital/trust as intervening variables (</w:t>
      </w:r>
      <w:r w:rsidR="00347332" w:rsidRPr="00347332">
        <w:t>Aggarwal, Jaisinghani and Nobi</w:t>
      </w:r>
      <w:r>
        <w:t>, 2022). However, it does not deprive those mechanisms, as 71.7% of the commitment variance is not explained by that model. Instead, it sees justice as one authentic connection between a legal-awareness construct and an organisational attitude.</w:t>
      </w:r>
    </w:p>
    <w:p w14:paraId="6130468F" w14:textId="19BF3828" w:rsidR="00AF748B" w:rsidRDefault="00AF748B" w:rsidP="00AF748B">
      <w:r>
        <w:t>The idea of "interpretive restraint" is still important. Convenience sampling does not allow for population inferences; concurrently collected complicated self-reports may overestimate relationships; committed employees might internalise negative treatment or be more vigilant to the policy; the range of the mediation interval was a lower bound of only 0.010. Thus, analysis is consistent with a valid covariance pattern, but not with a known causal order or a certain effect of an intervention</w:t>
      </w:r>
      <w:r w:rsidR="00347332">
        <w:t xml:space="preserve"> (Sun et al., 2022)</w:t>
      </w:r>
      <w:r>
        <w:t>. It is particularly important in terms of prioritisation, and to this end, rights education is necessary infrastructure, and experienced fairness is perhaps the more powerful one involving that knowledge becoming organisational attachment or scepticism.</w:t>
      </w:r>
    </w:p>
    <w:p w14:paraId="140FCA9F" w14:textId="638416D6" w:rsidR="00AF748B" w:rsidRDefault="00AF748B" w:rsidP="00AF748B">
      <w:r>
        <w:t xml:space="preserve">The results also provide an explanation of why awareness campaigns may have ambiguous effects. Knowledge can affirm psychological-contract fulfilment when aligned with policy and practice, and boost exchange. Where they diverge, the same knowledge can help employees to see that it has been breached, which may help in reducing justice and commitment and boosting </w:t>
      </w:r>
      <w:r>
        <w:lastRenderedPageBreak/>
        <w:t>legitimate voice</w:t>
      </w:r>
      <w:r w:rsidR="00347332">
        <w:t xml:space="preserve"> (Viseu et al., 2023)</w:t>
      </w:r>
      <w:r>
        <w:t>. The temporary drop in positive survey scores following enhanced communication is not necessarily a cause for concern in terms of programme failure, but may instead reflect previously undisclosed incongruity. So, managers should consider communication alongside grievance evidence and scheduling and reward evidence, rather than treating sentiment as the only outcome.</w:t>
      </w:r>
    </w:p>
    <w:p w14:paraId="3756505D" w14:textId="66120D53" w:rsidR="00E37F20" w:rsidRDefault="00AF748B" w:rsidP="00AF748B">
      <w:r>
        <w:t>Lastly, don't suppress awareness on the search for commitment. It is hard to see how this approach could be strategically sound, as it relies on obscurity, in addition to being ethically unsound. Evidence suggests institutional integrity</w:t>
      </w:r>
      <w:r w:rsidR="00347332">
        <w:t xml:space="preserve"> (Viseu et al., 2023). S</w:t>
      </w:r>
      <w:r>
        <w:t xml:space="preserve">tate rights accurately, make decisions with transparent criteria, allow it to be challenged, </w:t>
      </w:r>
      <w:r w:rsidR="007969BF">
        <w:t xml:space="preserve">and </w:t>
      </w:r>
      <w:r>
        <w:t>correct inaccuracies. This interpretation combines but doesn't mix compliance into human-resource management. Responsibility equals compliance. Justice equals perceived implementation of that compliance, and commitment may be a reciprocal response, but not contractual</w:t>
      </w:r>
      <w:r w:rsidR="00E37F20">
        <w:t>.</w:t>
      </w:r>
    </w:p>
    <w:p w14:paraId="0555C300" w14:textId="77777777" w:rsidR="00E37F20" w:rsidRDefault="00E37F20" w:rsidP="00E37F20">
      <w:pPr>
        <w:pStyle w:val="Heading2"/>
      </w:pPr>
      <w:bookmarkStart w:id="55" w:name="_Toc240321853"/>
      <w:r>
        <w:t>4.7 Conclusion</w:t>
      </w:r>
      <w:bookmarkEnd w:id="55"/>
    </w:p>
    <w:p w14:paraId="462687DA" w14:textId="2F0562EC" w:rsidR="00E37F20" w:rsidRDefault="00572E4A" w:rsidP="00E37F20">
      <w:r w:rsidRPr="00572E4A">
        <w:t>The descriptive and inferential procedures were used to analyse the 75 valid responses in this chapter. Awareness was moderately positive and differe</w:t>
      </w:r>
      <w:r w:rsidR="002F7C15">
        <w:t>d</w:t>
      </w:r>
      <w:r w:rsidRPr="00572E4A">
        <w:t xml:space="preserve"> across rights</w:t>
      </w:r>
      <w:r w:rsidR="007969BF">
        <w:t>. J</w:t>
      </w:r>
      <w:r w:rsidRPr="00572E4A">
        <w:t>ustice was moderately positive with interpersonal strengths and distributive and procedural weaknesses, and commitment was moderately positive. All hypotheses were confirmed, with the most compelling evidence being for justice and commitment</w:t>
      </w:r>
      <w:r w:rsidR="00347332">
        <w:t xml:space="preserve"> (AlMazrouei and Zacca, 2021)</w:t>
      </w:r>
      <w:r w:rsidRPr="00572E4A">
        <w:t>. When awareness was controlled, there was a positive indirect link between awareness and commitment and justice remained important. The results have proved the partial validity of the dissertation model - employment rights knowledge is important, but its association with commitment is important where organisational practice is fair. Chapter 5 translates this evidence to strategic implications and managerial recommendations that can be implemented</w:t>
      </w:r>
      <w:r w:rsidR="00E37F20">
        <w:t>.</w:t>
      </w:r>
    </w:p>
    <w:p w14:paraId="79BAFB72" w14:textId="77777777" w:rsidR="00804EBB" w:rsidRDefault="00804EBB">
      <w:pPr>
        <w:spacing w:before="0" w:after="160" w:line="259" w:lineRule="auto"/>
        <w:jc w:val="left"/>
      </w:pPr>
      <w:r>
        <w:br w:type="page"/>
      </w:r>
    </w:p>
    <w:p w14:paraId="154D3B1A" w14:textId="17CBE70C" w:rsidR="00804EBB" w:rsidRDefault="00804EBB" w:rsidP="00804EBB">
      <w:pPr>
        <w:pStyle w:val="Heading1"/>
      </w:pPr>
      <w:bookmarkStart w:id="56" w:name="_Toc240321854"/>
      <w:r>
        <w:lastRenderedPageBreak/>
        <w:t xml:space="preserve">Chapter </w:t>
      </w:r>
      <w:r w:rsidR="00D37BAE">
        <w:t>Five</w:t>
      </w:r>
      <w:r>
        <w:t>: Conclusion and Recommendations</w:t>
      </w:r>
      <w:bookmarkEnd w:id="56"/>
    </w:p>
    <w:p w14:paraId="4EE1237E" w14:textId="77777777" w:rsidR="00804EBB" w:rsidRDefault="00804EBB" w:rsidP="00804EBB">
      <w:pPr>
        <w:pStyle w:val="Heading2"/>
      </w:pPr>
      <w:bookmarkStart w:id="57" w:name="_Toc240321855"/>
      <w:r>
        <w:t>5.1 Introduction</w:t>
      </w:r>
      <w:bookmarkEnd w:id="57"/>
    </w:p>
    <w:p w14:paraId="2E1B8AD1" w14:textId="3D69CEAD" w:rsidR="00804EBB" w:rsidRDefault="00804EBB" w:rsidP="00804EBB">
      <w:r w:rsidRPr="000340D2">
        <w:t>This chapter is the concluding chapter of the dissertation</w:t>
      </w:r>
      <w:r>
        <w:t>,</w:t>
      </w:r>
      <w:r w:rsidRPr="000340D2">
        <w:t xml:space="preserve"> which brings the evidence together from the study of employment rights awareness, organisational justice and organisational commitment among employees in </w:t>
      </w:r>
      <w:r>
        <w:t xml:space="preserve">the </w:t>
      </w:r>
      <w:r w:rsidRPr="000340D2">
        <w:t>United Kingdom retail sector. The study investigated the extent to which employment rights awareness is positively related to organisational commitment</w:t>
      </w:r>
      <w:r w:rsidR="00C848A2">
        <w:t xml:space="preserve"> </w:t>
      </w:r>
      <w:r w:rsidR="00C848A2" w:rsidRPr="00C848A2">
        <w:t>(Elorza </w:t>
      </w:r>
      <w:r w:rsidR="00C848A2" w:rsidRPr="00C848A2">
        <w:rPr>
          <w:i/>
          <w:iCs/>
        </w:rPr>
        <w:t>et al.</w:t>
      </w:r>
      <w:r w:rsidR="00C848A2" w:rsidRPr="00C848A2">
        <w:t>, 2022)</w:t>
      </w:r>
      <w:r>
        <w:t>. A</w:t>
      </w:r>
      <w:r w:rsidRPr="000340D2">
        <w:t>nd the extent to which the relationship between employment rights awareness and organisational commitment is explained by organisational justice. It link</w:t>
      </w:r>
      <w:r>
        <w:t>s</w:t>
      </w:r>
      <w:r w:rsidRPr="000340D2">
        <w:t xml:space="preserve"> employment relations with rights and organisational behaviour with commitment as an attitude of employees. The aim and objectives are reviewed</w:t>
      </w:r>
      <w:r>
        <w:t>,</w:t>
      </w:r>
      <w:r w:rsidRPr="000340D2">
        <w:t xml:space="preserve"> and the findings are </w:t>
      </w:r>
      <w:r>
        <w:t>summarised,</w:t>
      </w:r>
      <w:r w:rsidRPr="000340D2">
        <w:t xml:space="preserve"> followed by providing the responses to the research questions</w:t>
      </w:r>
      <w:r w:rsidR="00560DD9">
        <w:t xml:space="preserve"> </w:t>
      </w:r>
      <w:r w:rsidR="00C848A2">
        <w:t>(Al Rfoa, Jaafar and Mohd Raslim, 2023)</w:t>
      </w:r>
      <w:r>
        <w:t>. T</w:t>
      </w:r>
      <w:r w:rsidRPr="000340D2">
        <w:t>heoretical and practical contributions and recommendations are highlighted, limitations are recognised, and future research is suggested. As the first study was cross</w:t>
      </w:r>
      <w:r>
        <w:t>-</w:t>
      </w:r>
      <w:r w:rsidRPr="000340D2">
        <w:t xml:space="preserve">sectional with 75 employees, </w:t>
      </w:r>
      <w:r>
        <w:t xml:space="preserve">with </w:t>
      </w:r>
      <w:r w:rsidRPr="000340D2">
        <w:t>all three constructs measured at the same time, inferences are made in terms of association and not of causation</w:t>
      </w:r>
      <w:r>
        <w:t>.</w:t>
      </w:r>
    </w:p>
    <w:p w14:paraId="71A938EF" w14:textId="77777777" w:rsidR="00804EBB" w:rsidRDefault="00804EBB" w:rsidP="00804EBB">
      <w:pPr>
        <w:pStyle w:val="Heading2"/>
      </w:pPr>
      <w:bookmarkStart w:id="58" w:name="_Toc240321856"/>
      <w:r>
        <w:t>5.2 Revisit of the Research Aim and Objectives</w:t>
      </w:r>
      <w:bookmarkEnd w:id="58"/>
    </w:p>
    <w:p w14:paraId="03FA0DD5" w14:textId="3B5CF247" w:rsidR="00804EBB" w:rsidRDefault="00804EBB" w:rsidP="00804EBB">
      <w:r w:rsidRPr="000340D2">
        <w:t>This was to explore the relationship between employment rights awareness and organisational commitment of United Kingdom retail employee</w:t>
      </w:r>
      <w:r>
        <w:t>s,</w:t>
      </w:r>
      <w:r w:rsidRPr="000340D2">
        <w:t xml:space="preserve"> as well as explore the potential of organisational justice as a mediator between th</w:t>
      </w:r>
      <w:r>
        <w:t>ese</w:t>
      </w:r>
      <w:r w:rsidRPr="000340D2">
        <w:t xml:space="preserve"> two variables. The aim of the study was threefold: First, to look at the levels of the three constructs</w:t>
      </w:r>
      <w:r w:rsidR="00560DD9">
        <w:t xml:space="preserve"> </w:t>
      </w:r>
      <w:r w:rsidR="00C848A2" w:rsidRPr="00C848A2">
        <w:t>(Kim, 2025)</w:t>
      </w:r>
      <w:r>
        <w:t>.</w:t>
      </w:r>
      <w:r w:rsidRPr="000340D2">
        <w:t xml:space="preserve"> </w:t>
      </w:r>
      <w:r>
        <w:t>S</w:t>
      </w:r>
      <w:r w:rsidRPr="000340D2">
        <w:t>econd, to investigate their relationships and third, to investigate the mediation of the relationship between employment rights awareness and organisational commitment by organisational justice. There were 75 valid questionnaires, one for each objective can be addressed. A composite score was used in the analysis which followed</w:t>
      </w:r>
      <w:r w:rsidR="00560DD9">
        <w:t xml:space="preserve"> </w:t>
      </w:r>
      <w:r w:rsidR="00560DD9">
        <w:rPr>
          <w:color w:val="000000"/>
        </w:rPr>
        <w:t>(Sakdiyakorn, Golubovskaya and Solnet, 2021)</w:t>
      </w:r>
      <w:r>
        <w:t>. R</w:t>
      </w:r>
      <w:r w:rsidRPr="000340D2">
        <w:t>eliability was satisfactory (Cronbach's alpha 0.777 for awareness, 0.772 for justice and 0.732 for commitment). Sample evidence does not support the inference of population values for all retail workers, but supports a coherent inference of those values for samples in answering research questions</w:t>
      </w:r>
      <w:r>
        <w:t>.</w:t>
      </w:r>
    </w:p>
    <w:p w14:paraId="2AF15229" w14:textId="77777777" w:rsidR="00804EBB" w:rsidRDefault="00804EBB" w:rsidP="00804EBB">
      <w:pPr>
        <w:pStyle w:val="Heading2"/>
      </w:pPr>
      <w:bookmarkStart w:id="59" w:name="_Toc240321857"/>
      <w:r>
        <w:lastRenderedPageBreak/>
        <w:t>5.3 Summary of Key Findings and Answers to the Research Questions</w:t>
      </w:r>
      <w:bookmarkEnd w:id="59"/>
    </w:p>
    <w:p w14:paraId="06E9C810" w14:textId="77777777" w:rsidR="00804EBB" w:rsidRDefault="00804EBB" w:rsidP="00804EBB">
      <w:pPr>
        <w:pStyle w:val="Heading3"/>
      </w:pPr>
      <w:bookmarkStart w:id="60" w:name="_Toc240321858"/>
      <w:r>
        <w:t>5.3.1 Levels of the Three Study Variables</w:t>
      </w:r>
      <w:bookmarkEnd w:id="60"/>
    </w:p>
    <w:p w14:paraId="51ACC722" w14:textId="126F32D8" w:rsidR="00804EBB" w:rsidRDefault="00804EBB" w:rsidP="00804EBB">
      <w:r w:rsidRPr="000340D2">
        <w:t>The level</w:t>
      </w:r>
      <w:r>
        <w:t>s</w:t>
      </w:r>
      <w:r w:rsidRPr="000340D2">
        <w:t xml:space="preserve"> of employment rights awareness, organisational justice and organisational commitment were measured by the first research question. Employment rights awareness scored the highest mean (3.69), organisational justice had a score of 3.52, and organisational commitment had the lowest mean score of 3.28. Both means for all three were above the neutral midpoint, though knowledge of entitlements to employment </w:t>
      </w:r>
      <w:r>
        <w:t>was</w:t>
      </w:r>
      <w:r w:rsidRPr="000340D2">
        <w:t xml:space="preserve"> higher than attachment to the organisation providing this</w:t>
      </w:r>
      <w:r w:rsidR="00560DD9">
        <w:t xml:space="preserve"> </w:t>
      </w:r>
      <w:r w:rsidR="00C848A2" w:rsidRPr="00C848A2">
        <w:rPr>
          <w:color w:val="000000"/>
        </w:rPr>
        <w:t>(Ogunfowora, Maerz and Varty, 2021)</w:t>
      </w:r>
      <w:r w:rsidRPr="000340D2">
        <w:t>. There was no uniformity of awareness o</w:t>
      </w:r>
      <w:r>
        <w:t>f</w:t>
      </w:r>
      <w:r w:rsidRPr="000340D2">
        <w:t xml:space="preserve"> all rights. Strongest mean scores were for minimum wage (Mean = 4.08) and paid annual leave (Mean = 4.03). It was minimally lower for statutory sick pay, formal grievances and dismissal/redundancy. Justice was also lacking in organi</w:t>
      </w:r>
      <w:r>
        <w:t>s</w:t>
      </w:r>
      <w:r w:rsidRPr="000340D2">
        <w:t>ations to a certain extent. The four categories that received the highest justice mean score</w:t>
      </w:r>
      <w:r>
        <w:t>s</w:t>
      </w:r>
      <w:r w:rsidRPr="000340D2">
        <w:t xml:space="preserve"> were dignity and respect (3.88), clear explanations (3.77), </w:t>
      </w:r>
      <w:r>
        <w:t xml:space="preserve">and </w:t>
      </w:r>
      <w:r w:rsidRPr="000340D2">
        <w:t xml:space="preserve">consistent rules (3.68). Weaker were fair pay and rewards, opportunity to speak out and fair shifts/leave. There is moderate, but not strong, commitment. Respondents were more positive about staying with the organisation pride and emotional attachment rather than guilt, obligation or </w:t>
      </w:r>
      <w:r>
        <w:t xml:space="preserve">the </w:t>
      </w:r>
      <w:r w:rsidRPr="000340D2">
        <w:t>nature of finding alternative jobs</w:t>
      </w:r>
      <w:r w:rsidR="00560DD9">
        <w:t xml:space="preserve"> </w:t>
      </w:r>
      <w:r w:rsidR="00C848A2" w:rsidRPr="00C848A2">
        <w:rPr>
          <w:color w:val="000000"/>
        </w:rPr>
        <w:t>(Mousa, Massoud and Ayoubi, 2020)</w:t>
      </w:r>
      <w:r w:rsidRPr="000340D2">
        <w:t>. Moderately positive awareness and justice</w:t>
      </w:r>
      <w:r>
        <w:t>,</w:t>
      </w:r>
      <w:r w:rsidRPr="000340D2">
        <w:t xml:space="preserve"> and commitment thus </w:t>
      </w:r>
      <w:r>
        <w:t>respond</w:t>
      </w:r>
      <w:r w:rsidRPr="000340D2">
        <w:t xml:space="preserve"> to the first research question, with important differences within the constructs. Knowledge seemed to be stronger for usual and observable rights and less for the sickness, conflict or termination rights. Even less robust notions of pay equity, scheduling equity, and voice equity seemed to be able to coexist with respectful treatment</w:t>
      </w:r>
      <w:r>
        <w:t>.</w:t>
      </w:r>
    </w:p>
    <w:p w14:paraId="6C603B77" w14:textId="77777777" w:rsidR="00804EBB" w:rsidRDefault="00804EBB" w:rsidP="00804EBB">
      <w:pPr>
        <w:pStyle w:val="Heading3"/>
      </w:pPr>
      <w:bookmarkStart w:id="61" w:name="_Toc240321859"/>
      <w:r>
        <w:t>5.3.2 Relationships Among the Variables</w:t>
      </w:r>
      <w:bookmarkEnd w:id="61"/>
    </w:p>
    <w:p w14:paraId="42D63573" w14:textId="53A2762D" w:rsidR="00804EBB" w:rsidRDefault="00804EBB" w:rsidP="00804EBB">
      <w:r w:rsidRPr="000340D2">
        <w:t>Relations among the three variables were investigated in the second research question. All three correlations were positive and statistically significant. There was a positive association between employment rights awareness and organisational justice</w:t>
      </w:r>
      <w:r>
        <w:t>,</w:t>
      </w:r>
      <w:r w:rsidRPr="000340D2">
        <w:t xml:space="preserve"> r = 0.244, p = 0.035. There was also a positive correlation between awareness and organisational commitment</w:t>
      </w:r>
      <w:r>
        <w:t>,</w:t>
      </w:r>
      <w:r w:rsidRPr="000340D2">
        <w:t xml:space="preserve"> with r = 0.301 and p = 0.009. The highest correlation was </w:t>
      </w:r>
      <w:r>
        <w:t>between</w:t>
      </w:r>
      <w:r w:rsidRPr="000340D2">
        <w:t xml:space="preserve"> organisational justice</w:t>
      </w:r>
      <w:r>
        <w:t xml:space="preserve"> and</w:t>
      </w:r>
      <w:r w:rsidRPr="000340D2">
        <w:t xml:space="preserve"> organisational commitment, r = 0.499, p &lt; 0.001. The same ordering was found when regression analysis was carried out. When tested separately, 6.0 percent of the variance in justice and 9.1 percent of the variance in commitment was explained by awareness. The root model of Justice accounted for 24.9 per cent of the variance </w:t>
      </w:r>
      <w:r>
        <w:t>in</w:t>
      </w:r>
      <w:r w:rsidRPr="000340D2">
        <w:t xml:space="preserve"> commitment</w:t>
      </w:r>
      <w:r>
        <w:t>.</w:t>
      </w:r>
      <w:r w:rsidRPr="000340D2">
        <w:t xml:space="preserve"> </w:t>
      </w:r>
      <w:r>
        <w:t>This</w:t>
      </w:r>
      <w:r w:rsidRPr="000340D2">
        <w:t xml:space="preserve"> is a very </w:t>
      </w:r>
      <w:r w:rsidRPr="000340D2">
        <w:lastRenderedPageBreak/>
        <w:t xml:space="preserve">strong contribution compared to </w:t>
      </w:r>
      <w:r>
        <w:t>the</w:t>
      </w:r>
      <w:r w:rsidRPr="000340D2">
        <w:t xml:space="preserve"> </w:t>
      </w:r>
      <w:r>
        <w:t>awareness-</w:t>
      </w:r>
      <w:r w:rsidRPr="000340D2">
        <w:t>only model. In the combined model, the justice coefficient was still statistically significant (B = 0.453, p &lt; 0.001) while awareness's coefficient decreased (B = 0.189, p = 0.068). The factors' combined model accounted for 28.3 percent of the variance in commitment. Thus, the second research question is addressed in terms of positive relationships and organisational justice being the strongest association of the variables and commitment</w:t>
      </w:r>
      <w:r w:rsidR="00560DD9">
        <w:t xml:space="preserve"> </w:t>
      </w:r>
      <w:r w:rsidR="002A5916">
        <w:rPr>
          <w:color w:val="000000"/>
        </w:rPr>
        <w:t>(Ogunfowora, Maerz and Varty, 2021)</w:t>
      </w:r>
      <w:r w:rsidRPr="000340D2">
        <w:t>. The relevance of employment rights awareness collapsed into a less unique link with commitment once justice was added. This strengthens the overall conclusion that knowledge of rights is one element that is not enough on its own; if employees also feel good about how their rights are implemented, then it seems to be more related to commitment</w:t>
      </w:r>
      <w:r>
        <w:t xml:space="preserve">. </w:t>
      </w:r>
    </w:p>
    <w:p w14:paraId="2ECD41F0" w14:textId="77777777" w:rsidR="00804EBB" w:rsidRDefault="00804EBB" w:rsidP="00804EBB">
      <w:pPr>
        <w:pStyle w:val="Heading3"/>
      </w:pPr>
      <w:bookmarkStart w:id="62" w:name="_Toc240321860"/>
      <w:r>
        <w:t>5.3.3 Mediating Role of Organisational Justice</w:t>
      </w:r>
      <w:bookmarkEnd w:id="62"/>
    </w:p>
    <w:p w14:paraId="136760C4" w14:textId="58877635" w:rsidR="00804EBB" w:rsidRDefault="00804EBB" w:rsidP="00804EBB">
      <w:r w:rsidRPr="000340D2">
        <w:t xml:space="preserve">The third research question sought to examine whether or not there is any mediation effect of the organisational justice variable on the path from employment rights awareness to organisational commitment. The indirect effect of </w:t>
      </w:r>
      <w:r>
        <w:t xml:space="preserve">the </w:t>
      </w:r>
      <w:r w:rsidRPr="000340D2">
        <w:t>mediation analysis was positive and p = 0.110. The 95 percent bootstrap confidence interval (with 5000 resamples) was (0.010, 0.228) and was not contained in [0, ∞]. The total awareness effect: B = 0.299, p = 0.009</w:t>
      </w:r>
      <w:r>
        <w:t>,</w:t>
      </w:r>
      <w:r w:rsidRPr="000340D2">
        <w:t xml:space="preserve"> and the direct effect after justice became B = 0.189, p = 0.068. The third research question is received positive at </w:t>
      </w:r>
      <w:r>
        <w:t xml:space="preserve">the </w:t>
      </w:r>
      <w:r w:rsidRPr="000340D2">
        <w:t>statistical level that the results provide support for indirect relationships between awareness and commitment through organisational justice</w:t>
      </w:r>
      <w:r w:rsidR="00560DD9" w:rsidRPr="00560DD9">
        <w:rPr>
          <w:color w:val="000000"/>
        </w:rPr>
        <w:t xml:space="preserve"> </w:t>
      </w:r>
      <w:r w:rsidR="00560DD9">
        <w:rPr>
          <w:color w:val="000000"/>
        </w:rPr>
        <w:t xml:space="preserve">(Zhang </w:t>
      </w:r>
      <w:r w:rsidR="00560DD9">
        <w:rPr>
          <w:i/>
          <w:iCs/>
          <w:color w:val="000000"/>
        </w:rPr>
        <w:t>et al.</w:t>
      </w:r>
      <w:r w:rsidR="00560DD9">
        <w:rPr>
          <w:color w:val="000000"/>
        </w:rPr>
        <w:t>, 2021)</w:t>
      </w:r>
      <w:r w:rsidRPr="000340D2">
        <w:t xml:space="preserve">. That is not to say it shows that awareness is causally </w:t>
      </w:r>
      <w:r>
        <w:t>before</w:t>
      </w:r>
      <w:r w:rsidRPr="000340D2">
        <w:t xml:space="preserve"> justice and justice is causally prior to commitment. The cross</w:t>
      </w:r>
      <w:r>
        <w:t>-</w:t>
      </w:r>
      <w:r w:rsidRPr="000340D2">
        <w:t>sectional design is not able to create such a sequence. The observed pattern instead is that of organisational justice as a link to explain this sample.</w:t>
      </w:r>
    </w:p>
    <w:p w14:paraId="7FF80B1A" w14:textId="77777777" w:rsidR="00804EBB" w:rsidRDefault="00804EBB" w:rsidP="00804EBB">
      <w:pPr>
        <w:pStyle w:val="Heading2"/>
      </w:pPr>
      <w:bookmarkStart w:id="63" w:name="_Toc240321861"/>
      <w:r>
        <w:t>5.4 Conclusions in Relation to the Hypotheses and Research Gap</w:t>
      </w:r>
      <w:bookmarkEnd w:id="63"/>
    </w:p>
    <w:p w14:paraId="69CEE4B8" w14:textId="0E8D51BD" w:rsidR="00804EBB" w:rsidRDefault="00804EBB" w:rsidP="00804EBB">
      <w:r w:rsidRPr="000340D2">
        <w:t>All four hypotheses were supported by the statistical tests used in the dissertation. The importance of employment rights awareness was positively related to organisational justice, thus supporting H1. Support for H2 was evident as awareness was positively related to organisational commitment. The highest level of support was for H3</w:t>
      </w:r>
      <w:r>
        <w:t>,</w:t>
      </w:r>
      <w:r w:rsidRPr="000340D2">
        <w:t xml:space="preserve"> as justice had the highest positive correlation with commitment. The indirect path effect of justice was retained due to the omission of zero in the 95% CI around the path. More important than the hypotheses that were tested are the relative magnitudes of the relations</w:t>
      </w:r>
      <w:r>
        <w:t>,</w:t>
      </w:r>
      <w:r w:rsidRPr="000340D2">
        <w:t xml:space="preserve"> which indicate that organisational justice is the underlying explanatory variable in the model</w:t>
      </w:r>
      <w:r w:rsidR="00560DD9">
        <w:t xml:space="preserve"> </w:t>
      </w:r>
      <w:r w:rsidR="00560DD9">
        <w:rPr>
          <w:color w:val="000000"/>
        </w:rPr>
        <w:t xml:space="preserve">(Malik </w:t>
      </w:r>
      <w:r w:rsidR="00560DD9">
        <w:rPr>
          <w:i/>
          <w:iCs/>
          <w:color w:val="000000"/>
        </w:rPr>
        <w:t>et al.</w:t>
      </w:r>
      <w:r w:rsidR="00560DD9">
        <w:rPr>
          <w:color w:val="000000"/>
        </w:rPr>
        <w:t>, 2022)</w:t>
      </w:r>
      <w:r w:rsidRPr="000340D2">
        <w:t xml:space="preserve">. Awareness </w:t>
      </w:r>
      <w:r w:rsidRPr="000340D2">
        <w:lastRenderedPageBreak/>
        <w:t>provides a yardstick for staff to assess compliance with obligations and whether the employment standards are being applied equitably. That benchmark can validate fair practice, but it can also highlight where there is no such practice</w:t>
      </w:r>
      <w:r>
        <w:t>,</w:t>
      </w:r>
      <w:r w:rsidRPr="000340D2">
        <w:t xml:space="preserve"> or it may seem like it is not. Justice relates to how employees view outcomes, procedures, treatment and explanations, and commitment is one of the potential attitudinal reactions</w:t>
      </w:r>
      <w:r w:rsidR="00560DD9">
        <w:t xml:space="preserve"> </w:t>
      </w:r>
      <w:r w:rsidR="002A5916" w:rsidRPr="002A5916">
        <w:rPr>
          <w:color w:val="000000"/>
        </w:rPr>
        <w:t>(Wongsuwan, Phanniphong and Na-Nan, 2023)</w:t>
      </w:r>
      <w:r w:rsidRPr="000340D2">
        <w:t xml:space="preserve">. This conclusion attempts to fill the gap in </w:t>
      </w:r>
      <w:r>
        <w:t xml:space="preserve">the </w:t>
      </w:r>
      <w:r w:rsidRPr="000340D2">
        <w:t>literature which was discovered above. Employee voice is often a focus o</w:t>
      </w:r>
      <w:r>
        <w:t>f</w:t>
      </w:r>
      <w:r w:rsidRPr="000340D2">
        <w:t xml:space="preserve"> previous research, as are psychological contracts, job quality, and justice or commitment, but less research investigates employment rights awareness. Evidence is also focused outside of retail in the United Kingdom</w:t>
      </w:r>
      <w:r w:rsidR="00560DD9" w:rsidRPr="00560DD9">
        <w:rPr>
          <w:color w:val="000000"/>
        </w:rPr>
        <w:t xml:space="preserve"> </w:t>
      </w:r>
      <w:r w:rsidR="00560DD9">
        <w:rPr>
          <w:color w:val="000000"/>
        </w:rPr>
        <w:t>(Li, Yu and Xing, 2023)</w:t>
      </w:r>
      <w:r w:rsidRPr="000340D2">
        <w:t xml:space="preserve">. The dissertation offers empirical evidence, specific to that of retail, that legal awareness is directly and indirectly linked with an attitude within the organisation via perceived fairness, as all three constructs were measured in the same retail sample and tested in relation </w:t>
      </w:r>
      <w:r>
        <w:t>to</w:t>
      </w:r>
      <w:r w:rsidRPr="000340D2">
        <w:t xml:space="preserve"> each other</w:t>
      </w:r>
      <w:r>
        <w:t>.</w:t>
      </w:r>
    </w:p>
    <w:p w14:paraId="412965D9" w14:textId="77777777" w:rsidR="00804EBB" w:rsidRDefault="00804EBB" w:rsidP="00804EBB">
      <w:pPr>
        <w:pStyle w:val="Heading2"/>
      </w:pPr>
      <w:bookmarkStart w:id="64" w:name="_Toc240321862"/>
      <w:r>
        <w:t>5.5 Contribution of the Study</w:t>
      </w:r>
      <w:bookmarkEnd w:id="64"/>
    </w:p>
    <w:p w14:paraId="6C350B19" w14:textId="77777777" w:rsidR="00804EBB" w:rsidRDefault="00804EBB" w:rsidP="00804EBB">
      <w:pPr>
        <w:pStyle w:val="Heading3"/>
      </w:pPr>
      <w:bookmarkStart w:id="65" w:name="_Toc240321863"/>
      <w:r>
        <w:t>5.5.1 Theoretical Contribution</w:t>
      </w:r>
      <w:bookmarkEnd w:id="65"/>
    </w:p>
    <w:p w14:paraId="49F7B30B" w14:textId="2E872936" w:rsidR="00804EBB" w:rsidRDefault="00804EBB" w:rsidP="00804EBB">
      <w:r w:rsidRPr="000340D2">
        <w:t>The study also provides a theoretical contribution by demonstrating how these two theories (social exchange theory and psychological contract theory) can be linked in a rights awareness framework. Under the lens of the psychological contract, understanding the rights can help to explain what the employee expects a company to have</w:t>
      </w:r>
      <w:r w:rsidR="00560DD9">
        <w:t xml:space="preserve"> </w:t>
      </w:r>
      <w:r w:rsidR="00560DD9">
        <w:rPr>
          <w:color w:val="000000"/>
        </w:rPr>
        <w:t>(Li, Yu and Xing, 2023)</w:t>
      </w:r>
      <w:r w:rsidRPr="000340D2">
        <w:t>. Employees then determine if practice is in line with those expectations, which is the evaluative stage (organisational justice). Fair procedure, outcomes, treatment, and explanations may communicate concern on the part of the organisation and can be responded to with more commitment from a social exchange perspective. The findings indicate that it is not a direct loyalty device to be used in employment rights awareness. Awareness can be informational</w:t>
      </w:r>
      <w:r>
        <w:t>.</w:t>
      </w:r>
      <w:r w:rsidRPr="000340D2">
        <w:t xml:space="preserve"> </w:t>
      </w:r>
      <w:r>
        <w:t>J</w:t>
      </w:r>
      <w:r w:rsidRPr="000340D2">
        <w:t xml:space="preserve">ustice </w:t>
      </w:r>
      <w:r>
        <w:t xml:space="preserve">is </w:t>
      </w:r>
      <w:r w:rsidRPr="000340D2">
        <w:t>a closer-up assessment of employment relations</w:t>
      </w:r>
      <w:r w:rsidR="00560DD9">
        <w:t xml:space="preserve"> </w:t>
      </w:r>
      <w:r w:rsidR="00C848A2" w:rsidRPr="00C848A2">
        <w:rPr>
          <w:color w:val="000000"/>
        </w:rPr>
        <w:t>(Sharma, Jain and Sharma, 2026)</w:t>
      </w:r>
      <w:r w:rsidRPr="000340D2">
        <w:t>. This is backed by the tighter connection between justice and commitment and by its profound indirect influence. But the cumulative model</w:t>
      </w:r>
      <w:r>
        <w:t>l</w:t>
      </w:r>
      <w:r w:rsidRPr="000340D2">
        <w:t>ing accounted for only 28.3% of the variation in commitment, suggesting the presence of some other factors</w:t>
      </w:r>
      <w:r>
        <w:t>.</w:t>
      </w:r>
    </w:p>
    <w:p w14:paraId="3E9C9BAA" w14:textId="77777777" w:rsidR="00804EBB" w:rsidRDefault="00804EBB" w:rsidP="00804EBB">
      <w:pPr>
        <w:pStyle w:val="Heading3"/>
      </w:pPr>
      <w:bookmarkStart w:id="66" w:name="_Toc240321864"/>
      <w:r>
        <w:t>5.5.2 Practical Contribution</w:t>
      </w:r>
      <w:bookmarkEnd w:id="66"/>
    </w:p>
    <w:p w14:paraId="190CAD77" w14:textId="22EF8822" w:rsidR="00804EBB" w:rsidRDefault="00804EBB" w:rsidP="00804EBB">
      <w:r w:rsidRPr="000340D2">
        <w:t xml:space="preserve">Retail practice: It's not advisable to just use rights communication as a retention tool. Information is crucial, however, if employees perceive pay and scheduling as unfair, as well as </w:t>
      </w:r>
      <w:r w:rsidRPr="000340D2">
        <w:lastRenderedPageBreak/>
        <w:t>leave allocation and employee voice and grievances, communication will be ineffective. Hence, rights awareness and its utili</w:t>
      </w:r>
      <w:r>
        <w:t>s</w:t>
      </w:r>
      <w:r w:rsidRPr="000340D2">
        <w:t xml:space="preserve">ation in </w:t>
      </w:r>
      <w:r>
        <w:t xml:space="preserve">a </w:t>
      </w:r>
      <w:r w:rsidRPr="000340D2">
        <w:t>proper manner should be handled in combination</w:t>
      </w:r>
      <w:r w:rsidR="00560DD9">
        <w:t xml:space="preserve"> </w:t>
      </w:r>
      <w:r w:rsidR="00560DD9">
        <w:rPr>
          <w:color w:val="000000"/>
        </w:rPr>
        <w:t>(Yu and Li, 2025)</w:t>
      </w:r>
      <w:r w:rsidRPr="000340D2">
        <w:t>. The item results can be used as a basis for prioritisation. Employers can keep on communicating with employees on minimum wage and annual leave (where there was relatively high awareness), but increase communications on sick pay, grievance procedures, dismissal and redundancy. Factors of dignity and respect</w:t>
      </w:r>
      <w:r>
        <w:t>,</w:t>
      </w:r>
      <w:r w:rsidRPr="000340D2">
        <w:t xml:space="preserve"> as well as clear explanations</w:t>
      </w:r>
      <w:r>
        <w:t>,</w:t>
      </w:r>
      <w:r w:rsidRPr="000340D2">
        <w:t xml:space="preserve"> are also areas that managers should maintain while improving weaker perceptions of fair pay, shifts, leave and voice</w:t>
      </w:r>
      <w:r w:rsidR="00560DD9">
        <w:t xml:space="preserve"> </w:t>
      </w:r>
      <w:r w:rsidR="00560DD9">
        <w:rPr>
          <w:color w:val="000000"/>
        </w:rPr>
        <w:t>(Yu and Li, 2025)</w:t>
      </w:r>
      <w:r w:rsidRPr="000340D2">
        <w:t>. The focus of management should then shift from mere informing employees to making sure that employment standards are enforced by credible and challengeable procedures</w:t>
      </w:r>
      <w:r>
        <w:t>.</w:t>
      </w:r>
    </w:p>
    <w:p w14:paraId="16676681" w14:textId="77777777" w:rsidR="00804EBB" w:rsidRDefault="00804EBB" w:rsidP="00804EBB">
      <w:pPr>
        <w:pStyle w:val="Heading2"/>
      </w:pPr>
      <w:bookmarkStart w:id="67" w:name="_Toc240321865"/>
      <w:r>
        <w:t>5.6 Recommendations for Retail Organisations</w:t>
      </w:r>
      <w:bookmarkEnd w:id="67"/>
    </w:p>
    <w:p w14:paraId="17D42627" w14:textId="77777777" w:rsidR="00804EBB" w:rsidRDefault="00804EBB" w:rsidP="00804EBB">
      <w:pPr>
        <w:pStyle w:val="Heading3"/>
      </w:pPr>
      <w:bookmarkStart w:id="68" w:name="_Toc240321866"/>
      <w:r>
        <w:t>5.6.1 Provide Targeted Employment Rights Education</w:t>
      </w:r>
      <w:bookmarkEnd w:id="68"/>
    </w:p>
    <w:p w14:paraId="40C85DFD" w14:textId="0915FA7B" w:rsidR="00804EBB" w:rsidRDefault="00804EBB" w:rsidP="00804EBB">
      <w:r w:rsidRPr="000340D2">
        <w:rPr>
          <w:rFonts w:eastAsiaTheme="majorEastAsia"/>
        </w:rPr>
        <w:t>Employability information should be concise, accessible, available and repeated – don't trust the induction process alone.</w:t>
      </w:r>
      <w:r w:rsidRPr="000340D2">
        <w:t xml:space="preserve"> </w:t>
      </w:r>
      <w:r w:rsidRPr="000340D2">
        <w:rPr>
          <w:rFonts w:eastAsiaTheme="majorEastAsia"/>
        </w:rPr>
        <w:t>Statutory sick pay, formal grievance procedures, dismissal and redundancy, working time and rest deserve special consideration as the areas of lowest awareness or most uncertainty</w:t>
      </w:r>
      <w:r w:rsidR="00560DD9">
        <w:rPr>
          <w:rFonts w:eastAsiaTheme="majorEastAsia"/>
        </w:rPr>
        <w:t xml:space="preserve"> </w:t>
      </w:r>
      <w:r w:rsidR="00C848A2" w:rsidRPr="00C848A2">
        <w:rPr>
          <w:color w:val="000000"/>
        </w:rPr>
        <w:t>(Kotzé and Mostert, 2021)</w:t>
      </w:r>
      <w:r w:rsidRPr="000340D2">
        <w:rPr>
          <w:rFonts w:eastAsiaTheme="majorEastAsia"/>
        </w:rPr>
        <w:t>.</w:t>
      </w:r>
      <w:r w:rsidRPr="000340D2">
        <w:t xml:space="preserve"> </w:t>
      </w:r>
      <w:r w:rsidRPr="000340D2">
        <w:rPr>
          <w:rFonts w:eastAsiaTheme="majorEastAsia"/>
        </w:rPr>
        <w:t>Advice on enrolment and entitlement, procedure, who to contact and relevant timescales etc.</w:t>
      </w:r>
      <w:r w:rsidRPr="000340D2">
        <w:t xml:space="preserve"> </w:t>
      </w:r>
      <w:r w:rsidRPr="000340D2">
        <w:rPr>
          <w:rFonts w:eastAsiaTheme="majorEastAsia"/>
        </w:rPr>
        <w:t>Practices and procedures to ensure accessibility of information to frontline, part</w:t>
      </w:r>
      <w:r>
        <w:t>-</w:t>
      </w:r>
      <w:r w:rsidRPr="000340D2">
        <w:rPr>
          <w:rFonts w:eastAsiaTheme="majorEastAsia"/>
        </w:rPr>
        <w:t>time, temporary and shift</w:t>
      </w:r>
      <w:r>
        <w:t>-</w:t>
      </w:r>
      <w:r w:rsidRPr="000340D2">
        <w:rPr>
          <w:rFonts w:eastAsiaTheme="majorEastAsia"/>
        </w:rPr>
        <w:t>based workers</w:t>
      </w:r>
      <w:r>
        <w:t>.</w:t>
      </w:r>
    </w:p>
    <w:p w14:paraId="61CA991C" w14:textId="77777777" w:rsidR="00804EBB" w:rsidRDefault="00804EBB" w:rsidP="00804EBB">
      <w:pPr>
        <w:pStyle w:val="Heading3"/>
      </w:pPr>
      <w:bookmarkStart w:id="69" w:name="_Toc240321867"/>
      <w:r>
        <w:t>5.6.2 Strengthen Fairness in Pay, Scheduling and Leave</w:t>
      </w:r>
      <w:bookmarkEnd w:id="69"/>
    </w:p>
    <w:p w14:paraId="3460BE16" w14:textId="4590F78E" w:rsidR="00804EBB" w:rsidRDefault="00804EBB" w:rsidP="00804EBB">
      <w:r w:rsidRPr="000340D2">
        <w:rPr>
          <w:rFonts w:eastAsiaTheme="majorEastAsia"/>
        </w:rPr>
        <w:t xml:space="preserve">Leaders should implement </w:t>
      </w:r>
      <w:r>
        <w:t>cleare</w:t>
      </w:r>
      <w:r w:rsidRPr="000340D2">
        <w:rPr>
          <w:rFonts w:eastAsiaTheme="majorEastAsia"/>
        </w:rPr>
        <w:t>r criteria for decisions around pay and shift allocation/leave</w:t>
      </w:r>
      <w:r>
        <w:t>,</w:t>
      </w:r>
      <w:r w:rsidRPr="000340D2">
        <w:rPr>
          <w:rFonts w:eastAsiaTheme="majorEastAsia"/>
        </w:rPr>
        <w:t xml:space="preserve"> as these were some of the weaker justice areas.</w:t>
      </w:r>
      <w:r w:rsidRPr="000340D2">
        <w:t xml:space="preserve"> </w:t>
      </w:r>
      <w:r w:rsidRPr="000340D2">
        <w:rPr>
          <w:rFonts w:eastAsiaTheme="majorEastAsia"/>
        </w:rPr>
        <w:t>Decision rules need to be clear, congruent and if exceptions exist, there must be reasoning.</w:t>
      </w:r>
      <w:r w:rsidRPr="000340D2">
        <w:t xml:space="preserve"> </w:t>
      </w:r>
      <w:r w:rsidRPr="000340D2">
        <w:rPr>
          <w:rFonts w:eastAsiaTheme="majorEastAsia"/>
        </w:rPr>
        <w:t>There should also be a good avenue for employees to challenge decisions</w:t>
      </w:r>
      <w:r w:rsidR="00560DD9">
        <w:rPr>
          <w:rFonts w:eastAsiaTheme="majorEastAsia"/>
        </w:rPr>
        <w:t xml:space="preserve"> </w:t>
      </w:r>
      <w:r w:rsidR="00C848A2">
        <w:rPr>
          <w:color w:val="000000"/>
        </w:rPr>
        <w:t>(Barbosa and Real de Oliveira, 2026)</w:t>
      </w:r>
      <w:r w:rsidRPr="000340D2">
        <w:rPr>
          <w:rFonts w:eastAsiaTheme="majorEastAsia"/>
        </w:rPr>
        <w:t>.</w:t>
      </w:r>
      <w:r w:rsidRPr="000340D2">
        <w:t xml:space="preserve"> </w:t>
      </w:r>
      <w:r w:rsidRPr="000340D2">
        <w:rPr>
          <w:rFonts w:eastAsiaTheme="majorEastAsia"/>
        </w:rPr>
        <w:t>Patterns which are seen as inequitable may be identified through periodic review of rotas, leave decisions and reward practices.</w:t>
      </w:r>
      <w:r w:rsidRPr="000340D2">
        <w:t xml:space="preserve"> </w:t>
      </w:r>
      <w:r w:rsidRPr="000340D2">
        <w:rPr>
          <w:rFonts w:eastAsiaTheme="majorEastAsia"/>
        </w:rPr>
        <w:t>The aim, then, is not to achieve the same results for all, but differences that can be supported with consistent and understandable criteria</w:t>
      </w:r>
      <w:r>
        <w:t>.</w:t>
      </w:r>
    </w:p>
    <w:p w14:paraId="7E690F94" w14:textId="77777777" w:rsidR="00804EBB" w:rsidRDefault="00804EBB" w:rsidP="00804EBB">
      <w:pPr>
        <w:pStyle w:val="Heading3"/>
      </w:pPr>
      <w:bookmarkStart w:id="70" w:name="_Toc240321868"/>
      <w:r>
        <w:t>5.6.3 Improve Employee Voice and Grievance Processes</w:t>
      </w:r>
      <w:bookmarkEnd w:id="70"/>
    </w:p>
    <w:p w14:paraId="1F87ACCF" w14:textId="2DA3D327" w:rsidR="00804EBB" w:rsidRDefault="00804EBB" w:rsidP="00804EBB">
      <w:r w:rsidRPr="000340D2">
        <w:rPr>
          <w:rFonts w:eastAsiaTheme="majorEastAsia"/>
        </w:rPr>
        <w:t>The low rating on opportunity for voice highlights the need for systems and avenues for expression that are viewed as credible.</w:t>
      </w:r>
      <w:r w:rsidRPr="000340D2">
        <w:t xml:space="preserve"> </w:t>
      </w:r>
      <w:r w:rsidRPr="000340D2">
        <w:rPr>
          <w:rFonts w:eastAsiaTheme="majorEastAsia"/>
        </w:rPr>
        <w:t>The grievance procedures should be clearly displayed</w:t>
      </w:r>
      <w:r>
        <w:t>,</w:t>
      </w:r>
      <w:r w:rsidRPr="000340D2">
        <w:rPr>
          <w:rFonts w:eastAsiaTheme="majorEastAsia"/>
        </w:rPr>
        <w:t xml:space="preserve"> and complaints should be dealt with objectively and with feedback, if appropriate</w:t>
      </w:r>
      <w:r w:rsidR="00560DD9">
        <w:rPr>
          <w:rFonts w:eastAsiaTheme="majorEastAsia"/>
        </w:rPr>
        <w:t xml:space="preserve"> </w:t>
      </w:r>
      <w:r w:rsidR="00C848A2">
        <w:rPr>
          <w:color w:val="000000"/>
        </w:rPr>
        <w:t>(Jo et al., 2020)</w:t>
      </w:r>
      <w:r w:rsidRPr="000340D2">
        <w:rPr>
          <w:rFonts w:eastAsiaTheme="majorEastAsia"/>
        </w:rPr>
        <w:t>.</w:t>
      </w:r>
      <w:r w:rsidRPr="000340D2">
        <w:t xml:space="preserve"> </w:t>
      </w:r>
      <w:r w:rsidRPr="000340D2">
        <w:rPr>
          <w:rFonts w:eastAsiaTheme="majorEastAsia"/>
        </w:rPr>
        <w:t xml:space="preserve">Anyone who calls into question a decision should feel comfortable doing so without </w:t>
      </w:r>
      <w:r w:rsidRPr="000340D2">
        <w:rPr>
          <w:rFonts w:eastAsiaTheme="majorEastAsia"/>
        </w:rPr>
        <w:lastRenderedPageBreak/>
        <w:t>feeling that he or she will be negatively impacting hours, relationships or future opportunities.</w:t>
      </w:r>
      <w:r w:rsidRPr="000340D2">
        <w:t xml:space="preserve"> </w:t>
      </w:r>
      <w:r w:rsidRPr="000340D2">
        <w:rPr>
          <w:rFonts w:eastAsiaTheme="majorEastAsia"/>
        </w:rPr>
        <w:t>Staff should be trained to enable line managers to answer rights</w:t>
      </w:r>
      <w:r>
        <w:t>-</w:t>
      </w:r>
      <w:r w:rsidRPr="000340D2">
        <w:rPr>
          <w:rFonts w:eastAsiaTheme="majorEastAsia"/>
        </w:rPr>
        <w:t>related questions correctly and to differentiate between voice and resistance/poor performance</w:t>
      </w:r>
      <w:r>
        <w:t>.</w:t>
      </w:r>
    </w:p>
    <w:p w14:paraId="32FD4768" w14:textId="77777777" w:rsidR="00804EBB" w:rsidRDefault="00804EBB" w:rsidP="00804EBB">
      <w:pPr>
        <w:pStyle w:val="Heading3"/>
      </w:pPr>
      <w:bookmarkStart w:id="71" w:name="_Toc240321869"/>
      <w:r>
        <w:t>5.6.4 Monitor Justice and Commitment Together</w:t>
      </w:r>
      <w:bookmarkEnd w:id="71"/>
    </w:p>
    <w:p w14:paraId="39A94230" w14:textId="77847D06" w:rsidR="00804EBB" w:rsidRDefault="00804EBB" w:rsidP="00804EBB">
      <w:r w:rsidRPr="000340D2">
        <w:rPr>
          <w:rFonts w:eastAsiaTheme="majorEastAsia"/>
        </w:rPr>
        <w:t>Perception of fairness is important for retail employers to track along with workforce numbers like turnover and retention.</w:t>
      </w:r>
      <w:r w:rsidRPr="000340D2">
        <w:t xml:space="preserve"> </w:t>
      </w:r>
      <w:r w:rsidRPr="000340D2">
        <w:rPr>
          <w:rFonts w:eastAsiaTheme="majorEastAsia"/>
        </w:rPr>
        <w:t>Brief surveys can be used to gauge employee perceptions of the fairness of pay, scheduling, rules, grievance, treatment/explanations.</w:t>
      </w:r>
      <w:r w:rsidRPr="000340D2">
        <w:t xml:space="preserve"> </w:t>
      </w:r>
      <w:r w:rsidRPr="000340D2">
        <w:rPr>
          <w:rFonts w:eastAsiaTheme="majorEastAsia"/>
        </w:rPr>
        <w:t>Complaints, absence, scheduling disagreements/turnover patterns may be used in conjunction with results</w:t>
      </w:r>
      <w:r w:rsidR="00560DD9">
        <w:rPr>
          <w:rFonts w:eastAsiaTheme="majorEastAsia"/>
        </w:rPr>
        <w:t xml:space="preserve"> </w:t>
      </w:r>
      <w:r w:rsidR="00C848A2">
        <w:rPr>
          <w:color w:val="000000"/>
        </w:rPr>
        <w:t>(Barbosa and Real de Oliveira, 2026)</w:t>
      </w:r>
      <w:r w:rsidRPr="000340D2">
        <w:rPr>
          <w:rFonts w:eastAsiaTheme="majorEastAsia"/>
        </w:rPr>
        <w:t>.</w:t>
      </w:r>
      <w:r w:rsidRPr="000340D2">
        <w:t xml:space="preserve"> </w:t>
      </w:r>
      <w:r w:rsidRPr="000340D2">
        <w:rPr>
          <w:rFonts w:eastAsiaTheme="majorEastAsia"/>
        </w:rPr>
        <w:t>Change in sentiment following an improved rights communication process does not necessarily reflect programme failure but could mean that employees are more aware of any gaps in understanding policy and practice.</w:t>
      </w:r>
      <w:r w:rsidRPr="000340D2">
        <w:t xml:space="preserve"> </w:t>
      </w:r>
      <w:r w:rsidRPr="000340D2">
        <w:rPr>
          <w:rFonts w:eastAsiaTheme="majorEastAsia"/>
        </w:rPr>
        <w:t>The management should concentrate on addressing the root cause of the problem</w:t>
      </w:r>
      <w:r>
        <w:t>.</w:t>
      </w:r>
    </w:p>
    <w:p w14:paraId="2D5D0A60" w14:textId="77777777" w:rsidR="00804EBB" w:rsidRDefault="00804EBB" w:rsidP="00804EBB">
      <w:pPr>
        <w:pStyle w:val="Heading2"/>
      </w:pPr>
      <w:bookmarkStart w:id="72" w:name="_Toc240321870"/>
      <w:r>
        <w:t>5.7 Limitations of the Study</w:t>
      </w:r>
      <w:bookmarkEnd w:id="72"/>
    </w:p>
    <w:p w14:paraId="6563BDAB" w14:textId="05C2B286" w:rsidR="00804EBB" w:rsidRDefault="00804EBB" w:rsidP="00804EBB">
      <w:r>
        <w:t>There are several limitations to the conclusions. The sample of this study was 75 respondents who were obtained using the convenience sampling and network sampling technique. It comprised subsectors of retail. Employment arrangements and employment levels, but was not probability sampled. Consequently, the results are not statistically representative of all retail workers in the United Kingdom</w:t>
      </w:r>
      <w:r w:rsidR="00560DD9">
        <w:t xml:space="preserve"> </w:t>
      </w:r>
      <w:r w:rsidR="00C848A2">
        <w:rPr>
          <w:color w:val="000000"/>
        </w:rPr>
        <w:t>(Jo et al., 2020)</w:t>
      </w:r>
      <w:r>
        <w:t>. Moderation of 'subgroups' is also unstable with small subgroups.</w:t>
      </w:r>
    </w:p>
    <w:p w14:paraId="3E703D2F" w14:textId="62893602" w:rsidR="00804EBB" w:rsidRDefault="00804EBB" w:rsidP="00804EBB">
      <w:r>
        <w:t>Second, this study was cross-sectional. Awareness, justice and commitment were collected simultaneously and cannot be demonstrated over time. A causal mechanism need not be single, and reverse relations are allowed. Third, the reliability of the measures for each person was statistically assessed through a single questionnaire, enabling common method variance and response bias</w:t>
      </w:r>
      <w:r w:rsidR="00560DD9">
        <w:t xml:space="preserve"> </w:t>
      </w:r>
      <w:r w:rsidR="00C848A2">
        <w:rPr>
          <w:color w:val="000000"/>
        </w:rPr>
        <w:t>(Jo et al., 2020)</w:t>
      </w:r>
      <w:r>
        <w:t>. Awareness of employment rights was measured using perceptions of knowledge of the laws, which means there may be some overconfidence in rating responses.</w:t>
      </w:r>
    </w:p>
    <w:p w14:paraId="72E81BC6" w14:textId="57A25AC9" w:rsidR="00804EBB" w:rsidRDefault="00804EBB" w:rsidP="00804EBB">
      <w:r>
        <w:t xml:space="preserve">Fourth, composite scores of multidimensional constructs were used. The mixture of various dimensions of justice can mask dimension-specific effects, as well as combinations of various types of commitments. Finally, 28.3 per cent of the variance in commitments was explained by the combined model. This is significant, but the majority of the variation remained beyond the </w:t>
      </w:r>
      <w:r>
        <w:lastRenderedPageBreak/>
        <w:t>scope of the model</w:t>
      </w:r>
      <w:r w:rsidR="00560DD9">
        <w:t xml:space="preserve"> </w:t>
      </w:r>
      <w:r w:rsidR="00C848A2">
        <w:rPr>
          <w:color w:val="000000"/>
        </w:rPr>
        <w:t>(Jo et al., 2020)</w:t>
      </w:r>
      <w:r w:rsidR="00560DD9">
        <w:t>. S</w:t>
      </w:r>
      <w:r>
        <w:t>ome point</w:t>
      </w:r>
      <w:r w:rsidR="00560DD9">
        <w:t>s</w:t>
      </w:r>
      <w:r>
        <w:t xml:space="preserve"> of reference for rights awareness and for justice is not consistent with the definition of Commitment.</w:t>
      </w:r>
    </w:p>
    <w:p w14:paraId="4D7E63C1" w14:textId="77777777" w:rsidR="00804EBB" w:rsidRDefault="00804EBB" w:rsidP="00804EBB">
      <w:pPr>
        <w:pStyle w:val="Heading2"/>
      </w:pPr>
      <w:bookmarkStart w:id="73" w:name="_Toc240321871"/>
      <w:r>
        <w:t>5.8 Recommendations for Future Research</w:t>
      </w:r>
      <w:bookmarkEnd w:id="73"/>
    </w:p>
    <w:p w14:paraId="04C5C174" w14:textId="5C88E36E" w:rsidR="00804EBB" w:rsidRDefault="00804EBB" w:rsidP="00804EBB">
      <w:r>
        <w:t>Further studies should adopt larger, more representative samples for the United Kingdom retail sector. Full-time, part-time, temporary, zero hours, agency, supervisory and managerial employees might be better covered by stratified sampling</w:t>
      </w:r>
      <w:r w:rsidR="00560DD9">
        <w:t xml:space="preserve"> </w:t>
      </w:r>
      <w:r w:rsidR="00C848A2">
        <w:rPr>
          <w:color w:val="000000"/>
        </w:rPr>
        <w:t>(Al Rfoa, Jaafar and Mohd Raslim, 2023)</w:t>
      </w:r>
      <w:r>
        <w:t>. Larger samples would also enable researchers to examine if employment status, tenure, age, retail subsector or job level affected relationships.</w:t>
      </w:r>
    </w:p>
    <w:p w14:paraId="319B268E" w14:textId="08C53F1D" w:rsidR="00804EBB" w:rsidRDefault="00804EBB" w:rsidP="00804EBB">
      <w:r>
        <w:t>Performing the awareness, justice and commitment measurement across different time points would yield longitudinal research. Having the time-separated design would have given further indication of whether there is a connection between rights awareness and fairness judgements and whether there is a connection between fairness judgements and commitment</w:t>
      </w:r>
      <w:r w:rsidR="00560DD9">
        <w:t xml:space="preserve"> </w:t>
      </w:r>
      <w:r w:rsidR="00560DD9">
        <w:rPr>
          <w:color w:val="000000"/>
        </w:rPr>
        <w:t>(Sakdiyakorn, Golubovskaya and Solnet, 2021)</w:t>
      </w:r>
      <w:r>
        <w:t>. Intervention studies might also examine changes in rights communication and management procedures that lead to changes in justice perception.</w:t>
      </w:r>
    </w:p>
    <w:p w14:paraId="2822DDE5" w14:textId="0D526955" w:rsidR="00804EBB" w:rsidRDefault="00804EBB" w:rsidP="00804EBB">
      <w:r>
        <w:t>Use of self-ratings in conjunction with factual questions on employment rights should also be used in future research to distinguish perceived awareness from actual legal knowledge. There is no need to analyse only the global composites of justice dimensions and commitment components</w:t>
      </w:r>
      <w:r w:rsidR="00560DD9">
        <w:t xml:space="preserve"> </w:t>
      </w:r>
      <w:r w:rsidR="00560DD9">
        <w:rPr>
          <w:color w:val="000000"/>
        </w:rPr>
        <w:t xml:space="preserve">(Malik </w:t>
      </w:r>
      <w:r w:rsidR="00560DD9">
        <w:rPr>
          <w:i/>
          <w:iCs/>
          <w:color w:val="000000"/>
        </w:rPr>
        <w:t>et al.</w:t>
      </w:r>
      <w:r w:rsidR="00560DD9">
        <w:rPr>
          <w:color w:val="000000"/>
        </w:rPr>
        <w:t>, 2022)</w:t>
      </w:r>
      <w:r>
        <w:t>. Using mixed methods research, interviews or focus groups could have been incorporated to highlight the reasons why the same knowledge of rights may feel fair to some employees yet stand out as an incongruence for others. Comparative research may examine the mediation effect that is unique to retailers in the United Kingdom.</w:t>
      </w:r>
    </w:p>
    <w:p w14:paraId="5CA75888" w14:textId="77777777" w:rsidR="00804EBB" w:rsidRDefault="00804EBB" w:rsidP="00804EBB">
      <w:pPr>
        <w:pStyle w:val="Heading2"/>
      </w:pPr>
      <w:bookmarkStart w:id="74" w:name="_Toc240321872"/>
      <w:r>
        <w:t>5.9 Final Conclusion</w:t>
      </w:r>
      <w:bookmarkEnd w:id="74"/>
    </w:p>
    <w:p w14:paraId="445AAE81" w14:textId="1242BF44" w:rsidR="00347332" w:rsidRPr="00D337D2" w:rsidRDefault="00804EBB" w:rsidP="00D337D2">
      <w:r w:rsidRPr="000340D2">
        <w:t>This dissertation investigated the nature of the relationship between employment rights awareness and organisational commitment among a sample of employees within the retail sector in the United Kingdom, and attempted to explain this relationship using organisational justice</w:t>
      </w:r>
      <w:r w:rsidR="00560DD9">
        <w:t xml:space="preserve"> </w:t>
      </w:r>
      <w:r w:rsidR="002A5916">
        <w:rPr>
          <w:color w:val="000000"/>
        </w:rPr>
        <w:t>(Ogunfowora, Maerz and Varty, 2021)</w:t>
      </w:r>
      <w:r w:rsidRPr="000340D2">
        <w:t xml:space="preserve">. There is evidence that awareness is important, and commitment is more strongly associated </w:t>
      </w:r>
      <w:r>
        <w:t>with</w:t>
      </w:r>
      <w:r w:rsidRPr="000340D2">
        <w:t xml:space="preserve"> fairness. Workers might be aware of their rights</w:t>
      </w:r>
      <w:r>
        <w:t>,</w:t>
      </w:r>
      <w:r w:rsidRPr="000340D2">
        <w:t xml:space="preserve"> but commitment formation can be on a more equal level of results, processes, treatment and explanations. The strong indirect effect provides evidence for the statistical relationship between awareness and commitment, and is suitable for organisational justice, but there are no causal conclusions due to the cross-sectional design</w:t>
      </w:r>
      <w:r w:rsidR="00560DD9">
        <w:t xml:space="preserve"> </w:t>
      </w:r>
      <w:r w:rsidR="00560DD9">
        <w:rPr>
          <w:color w:val="000000"/>
        </w:rPr>
        <w:t xml:space="preserve">(Zhang </w:t>
      </w:r>
      <w:r w:rsidR="00560DD9">
        <w:rPr>
          <w:i/>
          <w:iCs/>
          <w:color w:val="000000"/>
        </w:rPr>
        <w:t>et al.</w:t>
      </w:r>
      <w:r w:rsidR="00560DD9">
        <w:rPr>
          <w:color w:val="000000"/>
        </w:rPr>
        <w:t>, 2021)</w:t>
      </w:r>
      <w:r w:rsidRPr="000340D2">
        <w:t xml:space="preserve">. Employment rights </w:t>
      </w:r>
      <w:r w:rsidRPr="000340D2">
        <w:lastRenderedPageBreak/>
        <w:t>need to be expressed and put into practice in a credible manner by providing accurate information, making transparent decisions and processes, treating employees with respect, and providing opportunities for employee voice. This research demonstrates that aside from policies, employees evaluate organisations based on how they are experienced in practice.</w:t>
      </w:r>
      <w:r w:rsidR="00347332">
        <w:br w:type="page"/>
      </w:r>
    </w:p>
    <w:p w14:paraId="3E06EBA5" w14:textId="3B54EED1" w:rsidR="008A7940" w:rsidRDefault="008A7940" w:rsidP="008A7940">
      <w:pPr>
        <w:pStyle w:val="Heading1"/>
      </w:pPr>
      <w:bookmarkStart w:id="75" w:name="_Toc240321873"/>
      <w:r>
        <w:lastRenderedPageBreak/>
        <w:t>References</w:t>
      </w:r>
      <w:bookmarkEnd w:id="75"/>
    </w:p>
    <w:p w14:paraId="62118F6F" w14:textId="31B335E6" w:rsidR="00D337D2" w:rsidRDefault="00D337D2" w:rsidP="00D337D2">
      <w:pPr>
        <w:rPr>
          <w:lang w:eastAsia="en-US" w:bidi="bn-IN"/>
        </w:rPr>
      </w:pPr>
      <w:r>
        <w:t>Ababneh, K.I., Dedousis, E. and Braendle, U. (2022) ‘Employees’ reactions to supervisors’ fulfillment/non-fulfillment of psychological contract promises: An experimental field study’, </w:t>
      </w:r>
      <w:r>
        <w:rPr>
          <w:rStyle w:val="fadeinpfttw8"/>
          <w:color w:val="000000"/>
        </w:rPr>
        <w:t>Employee Relations</w:t>
      </w:r>
      <w:r>
        <w:t>, 44(4), pp. 948–971. Available at: </w:t>
      </w:r>
      <w:hyperlink r:id="rId16" w:history="1">
        <w:r>
          <w:rPr>
            <w:rStyle w:val="FooterChar"/>
          </w:rPr>
          <w:t>https://doi.org/10.1108/ER-07-2020-0308</w:t>
        </w:r>
      </w:hyperlink>
      <w:r w:rsidR="00C06000">
        <w:rPr>
          <w:rStyle w:val="FooterChar"/>
        </w:rPr>
        <w:t xml:space="preserve"> </w:t>
      </w:r>
    </w:p>
    <w:p w14:paraId="56B86F89" w14:textId="432785E1" w:rsidR="00D337D2" w:rsidRDefault="00D337D2" w:rsidP="00D337D2">
      <w:r>
        <w:t>Adamovic, M. (2023) ‘Organizational justice research: A review, synthesis, and research agenda’, </w:t>
      </w:r>
      <w:r>
        <w:rPr>
          <w:rStyle w:val="fadeinpfttw8"/>
          <w:color w:val="000000"/>
        </w:rPr>
        <w:t>European Management Review</w:t>
      </w:r>
      <w:r>
        <w:t>, 20(4), pp. 762–782. Available at: </w:t>
      </w:r>
      <w:hyperlink r:id="rId17" w:history="1">
        <w:r>
          <w:rPr>
            <w:rStyle w:val="FooterChar"/>
          </w:rPr>
          <w:t>https://doi.org/10.1111/emre.12564</w:t>
        </w:r>
      </w:hyperlink>
      <w:r w:rsidR="00C06000">
        <w:rPr>
          <w:rStyle w:val="FooterChar"/>
        </w:rPr>
        <w:t xml:space="preserve"> </w:t>
      </w:r>
    </w:p>
    <w:p w14:paraId="7C9BCF48" w14:textId="77777777" w:rsidR="00D337D2" w:rsidRDefault="00D337D2" w:rsidP="00D337D2">
      <w:r>
        <w:t>Aggarwal, A., Jaisinghani, D. and Nobi, K. (2022) ‘Effect of organizational justice and support on organizational commitment and employee turnover intentions: The mediating role of employee engagement’, </w:t>
      </w:r>
      <w:r>
        <w:rPr>
          <w:rStyle w:val="fadeinpfttw8"/>
          <w:color w:val="000000"/>
        </w:rPr>
        <w:t>International Journal of Quality and Service Sciences</w:t>
      </w:r>
      <w:r>
        <w:t>, 14(4), pp. 525–554. Available at: </w:t>
      </w:r>
      <w:hyperlink r:id="rId18" w:history="1">
        <w:r>
          <w:rPr>
            <w:rStyle w:val="FooterChar"/>
          </w:rPr>
          <w:t>https://doi.org/10.1108/IJQSS-08-2021-0112</w:t>
        </w:r>
      </w:hyperlink>
      <w:r>
        <w:t xml:space="preserve">  </w:t>
      </w:r>
    </w:p>
    <w:p w14:paraId="006BE84F" w14:textId="77777777" w:rsidR="00D337D2" w:rsidRPr="00A61A8D" w:rsidRDefault="00D337D2" w:rsidP="00D337D2">
      <w:pPr>
        <w:rPr>
          <w:lang w:val="en-US" w:bidi="bn-IN"/>
        </w:rPr>
      </w:pPr>
      <w:r w:rsidRPr="00A61A8D">
        <w:rPr>
          <w:lang w:bidi="bn-IN"/>
        </w:rPr>
        <w:t xml:space="preserve">Aguinis, H., Bergh, D. and Molina-Azorin, J.F. (2022) ‘Methodological challenges and insights for future international business research’, </w:t>
      </w:r>
      <w:r w:rsidRPr="00A61A8D">
        <w:rPr>
          <w:i/>
          <w:iCs/>
          <w:lang w:bidi="bn-IN"/>
        </w:rPr>
        <w:t>Journal of International Business Studies</w:t>
      </w:r>
      <w:r w:rsidRPr="00A61A8D">
        <w:rPr>
          <w:lang w:bidi="bn-IN"/>
        </w:rPr>
        <w:t xml:space="preserve"> [Preprint]. Available at: </w:t>
      </w:r>
      <w:hyperlink r:id="rId19" w:history="1">
        <w:r w:rsidRPr="00603116">
          <w:rPr>
            <w:rStyle w:val="FooterChar"/>
            <w:lang w:bidi="bn-IN"/>
          </w:rPr>
          <w:t>https://doi.org/10.1057/s41267-022-00578-8</w:t>
        </w:r>
      </w:hyperlink>
      <w:r w:rsidRPr="00A61A8D">
        <w:rPr>
          <w:lang w:bidi="bn-IN"/>
        </w:rPr>
        <w:t>.</w:t>
      </w:r>
      <w:r>
        <w:rPr>
          <w:lang w:val="en-US" w:bidi="bn-IN"/>
        </w:rPr>
        <w:t xml:space="preserve"> </w:t>
      </w:r>
    </w:p>
    <w:p w14:paraId="46BBC86F" w14:textId="77777777" w:rsidR="00D337D2" w:rsidRPr="00455397" w:rsidRDefault="00D337D2" w:rsidP="00D337D2">
      <w:pPr>
        <w:rPr>
          <w:lang w:eastAsia="en-US" w:bidi="bn-IN"/>
        </w:rPr>
      </w:pPr>
      <w:r w:rsidRPr="00455397">
        <w:rPr>
          <w:lang w:eastAsia="en-US" w:bidi="bn-IN"/>
        </w:rPr>
        <w:t xml:space="preserve">Ahmad, M.R. and Raja, R. (2021) “Employee Job Satisfaction and Business Performance: The Mediating Role of Organizational Commitment,” </w:t>
      </w:r>
      <w:r w:rsidRPr="00455397">
        <w:rPr>
          <w:i/>
          <w:iCs/>
          <w:lang w:eastAsia="en-US" w:bidi="bn-IN"/>
        </w:rPr>
        <w:t>Vision: The Journal of Business Perspective</w:t>
      </w:r>
      <w:r w:rsidRPr="00455397">
        <w:rPr>
          <w:lang w:eastAsia="en-US" w:bidi="bn-IN"/>
        </w:rPr>
        <w:t xml:space="preserve">, 25(2), p. 097226292098594. Available at: </w:t>
      </w:r>
      <w:hyperlink r:id="rId20" w:history="1">
        <w:r w:rsidRPr="00455397">
          <w:rPr>
            <w:rStyle w:val="FooterChar"/>
            <w:lang w:eastAsia="en-US" w:bidi="bn-IN"/>
          </w:rPr>
          <w:t>https://doi.org/10.1177/0972262920985949</w:t>
        </w:r>
      </w:hyperlink>
      <w:r w:rsidRPr="00455397">
        <w:rPr>
          <w:lang w:eastAsia="en-US" w:bidi="bn-IN"/>
        </w:rPr>
        <w:t>.</w:t>
      </w:r>
    </w:p>
    <w:p w14:paraId="2D052AD6"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Al Rfoa, S.K., Jaafar, M. and Mohd Raslim, F. (2023) ‘Influences of high-performance work practices on trust in organisation in Jordanian construction firms’, </w:t>
      </w:r>
      <w:r w:rsidRPr="00D337D2">
        <w:rPr>
          <w:i/>
          <w:iCs/>
          <w:color w:val="000000"/>
          <w:kern w:val="0"/>
          <w:szCs w:val="24"/>
          <w:lang w:val="en-BD" w:bidi="bn-IN"/>
          <w14:ligatures w14:val="none"/>
        </w:rPr>
        <w:t>International Journal of Construction Management</w:t>
      </w:r>
      <w:r w:rsidRPr="00D337D2">
        <w:rPr>
          <w:color w:val="000000"/>
          <w:kern w:val="0"/>
          <w:szCs w:val="24"/>
          <w:lang w:val="en-BD" w:bidi="bn-IN"/>
          <w14:ligatures w14:val="none"/>
        </w:rPr>
        <w:t xml:space="preserve">, 23(10), pp. 1–11. Available at: </w:t>
      </w:r>
      <w:hyperlink r:id="rId21" w:history="1">
        <w:r w:rsidRPr="00D337D2">
          <w:rPr>
            <w:rStyle w:val="Hyperlink"/>
            <w:kern w:val="0"/>
            <w:szCs w:val="24"/>
            <w:lang w:val="en-BD" w:bidi="bn-IN"/>
            <w14:ligatures w14:val="none"/>
          </w:rPr>
          <w:t>https://doi.org/10.1080/15623599.2021.2006415</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3A4910E2" w14:textId="77777777" w:rsidR="00D337D2" w:rsidRDefault="00D337D2" w:rsidP="00D337D2">
      <w:r>
        <w:t>AlMazrouei, H. and Zacca, R. (2021) ‘The influence of organizational justice and decision latitude on expatriate organizational commitment and job performance’, </w:t>
      </w:r>
      <w:r>
        <w:rPr>
          <w:rStyle w:val="fadeinpfttw8"/>
          <w:color w:val="000000"/>
        </w:rPr>
        <w:t>Evidence-based HRM</w:t>
      </w:r>
      <w:r>
        <w:t>, 9(4), pp. 338–353. Available at: </w:t>
      </w:r>
      <w:hyperlink r:id="rId22" w:history="1">
        <w:r>
          <w:rPr>
            <w:rStyle w:val="FooterChar"/>
          </w:rPr>
          <w:t>https://doi.org/10.1108/EBHRM-06-2020-0093</w:t>
        </w:r>
      </w:hyperlink>
      <w:r>
        <w:t xml:space="preserve">  </w:t>
      </w:r>
    </w:p>
    <w:p w14:paraId="20199056" w14:textId="77777777" w:rsidR="00D337D2" w:rsidRPr="00455397" w:rsidRDefault="00D337D2" w:rsidP="00D337D2">
      <w:pPr>
        <w:rPr>
          <w:lang w:eastAsia="en-US" w:bidi="bn-IN"/>
        </w:rPr>
      </w:pPr>
      <w:r w:rsidRPr="00455397">
        <w:rPr>
          <w:lang w:eastAsia="en-US" w:bidi="bn-IN"/>
        </w:rPr>
        <w:t xml:space="preserve">Anner, M. (2020) “Squeezing Workers’ Rights in Global Supply chains: Purchasing Practices in the Bangladesh Garment Export Sector in Comparative Perspective,” </w:t>
      </w:r>
      <w:r w:rsidRPr="00455397">
        <w:rPr>
          <w:i/>
          <w:iCs/>
          <w:lang w:eastAsia="en-US" w:bidi="bn-IN"/>
        </w:rPr>
        <w:t>Review of International Political Economy</w:t>
      </w:r>
      <w:r w:rsidRPr="00455397">
        <w:rPr>
          <w:lang w:eastAsia="en-US" w:bidi="bn-IN"/>
        </w:rPr>
        <w:t xml:space="preserve">, 27(2), pp. 320–347. Available at: </w:t>
      </w:r>
      <w:hyperlink r:id="rId23" w:history="1">
        <w:r>
          <w:rPr>
            <w:rStyle w:val="FooterChar"/>
            <w:lang w:eastAsia="en-US" w:bidi="bn-IN"/>
          </w:rPr>
          <w:t>https://doi.org/</w:t>
        </w:r>
        <w:r w:rsidRPr="00455397">
          <w:rPr>
            <w:rStyle w:val="FooterChar"/>
            <w:lang w:eastAsia="en-US" w:bidi="bn-IN"/>
          </w:rPr>
          <w:t>10.1080/09692290.2019.1625426</w:t>
        </w:r>
      </w:hyperlink>
      <w:r w:rsidRPr="00455397">
        <w:rPr>
          <w:lang w:eastAsia="en-US" w:bidi="bn-IN"/>
        </w:rPr>
        <w:t>.</w:t>
      </w:r>
    </w:p>
    <w:p w14:paraId="0FC2EBBE" w14:textId="77777777" w:rsidR="00D337D2" w:rsidRPr="00455397" w:rsidRDefault="00D337D2" w:rsidP="00D337D2">
      <w:pPr>
        <w:rPr>
          <w:lang w:eastAsia="en-US" w:bidi="bn-IN"/>
        </w:rPr>
      </w:pPr>
      <w:r w:rsidRPr="00455397">
        <w:rPr>
          <w:lang w:eastAsia="en-US" w:bidi="bn-IN"/>
        </w:rPr>
        <w:lastRenderedPageBreak/>
        <w:t xml:space="preserve">Badru, A.F., Karadaş, G. and Olugbade, O.A. (2024) “Employee voice: The impact of high-performance work systems and organisational engagement climate,” </w:t>
      </w:r>
      <w:r w:rsidRPr="00455397">
        <w:rPr>
          <w:i/>
          <w:iCs/>
          <w:lang w:eastAsia="en-US" w:bidi="bn-IN"/>
        </w:rPr>
        <w:t>The Service Industries Journal</w:t>
      </w:r>
      <w:r w:rsidRPr="00455397">
        <w:rPr>
          <w:lang w:eastAsia="en-US" w:bidi="bn-IN"/>
        </w:rPr>
        <w:t xml:space="preserve">, 44(7–8), pp. 1–29. Available at: </w:t>
      </w:r>
      <w:hyperlink r:id="rId24" w:history="1">
        <w:r w:rsidRPr="00455397">
          <w:rPr>
            <w:rStyle w:val="FooterChar"/>
            <w:lang w:eastAsia="en-US" w:bidi="bn-IN"/>
          </w:rPr>
          <w:t>https://doi.org/10.1080/02642069.2022.2056163</w:t>
        </w:r>
      </w:hyperlink>
      <w:r w:rsidRPr="00455397">
        <w:rPr>
          <w:lang w:eastAsia="en-US" w:bidi="bn-IN"/>
        </w:rPr>
        <w:t>.</w:t>
      </w:r>
    </w:p>
    <w:p w14:paraId="43DA89DA"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Barbosa, I. and Real de Oliveira, E. (2026) ‘The human side of retail resilience: Exploring employee well-being as a driver of human-centric innovation’, </w:t>
      </w:r>
      <w:r w:rsidRPr="00D337D2">
        <w:rPr>
          <w:i/>
          <w:iCs/>
          <w:color w:val="000000"/>
          <w:kern w:val="0"/>
          <w:szCs w:val="24"/>
          <w:lang w:val="en-BD" w:bidi="bn-IN"/>
          <w14:ligatures w14:val="none"/>
        </w:rPr>
        <w:t>Journal of Workplace Behavioral Health</w:t>
      </w:r>
      <w:r w:rsidRPr="00D337D2">
        <w:rPr>
          <w:color w:val="000000"/>
          <w:kern w:val="0"/>
          <w:szCs w:val="24"/>
          <w:lang w:val="en-BD" w:bidi="bn-IN"/>
          <w14:ligatures w14:val="none"/>
        </w:rPr>
        <w:t xml:space="preserve">, pp. 1–34. Available at: </w:t>
      </w:r>
      <w:hyperlink r:id="rId25" w:history="1">
        <w:r w:rsidRPr="00D337D2">
          <w:rPr>
            <w:rStyle w:val="Hyperlink"/>
            <w:kern w:val="0"/>
            <w:szCs w:val="24"/>
            <w:lang w:val="en-BD" w:bidi="bn-IN"/>
            <w14:ligatures w14:val="none"/>
          </w:rPr>
          <w:t>https://doi.org/10.1080/15555240.2026.2701417</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31E74205" w14:textId="77777777" w:rsidR="00D337D2" w:rsidRDefault="00D337D2" w:rsidP="00D337D2">
      <w:r>
        <w:t>Bryson, A., Forth, J. and Green, F. (2026) ‘The relative importance of the establishment in the determination of job quality’, </w:t>
      </w:r>
      <w:r>
        <w:rPr>
          <w:rStyle w:val="fadeinpfttw8"/>
          <w:color w:val="000000"/>
        </w:rPr>
        <w:t>British Journal of Industrial Relations</w:t>
      </w:r>
      <w:r>
        <w:t>, advance online publication. Available at: </w:t>
      </w:r>
      <w:hyperlink r:id="rId26" w:history="1">
        <w:r>
          <w:rPr>
            <w:rStyle w:val="FooterChar"/>
          </w:rPr>
          <w:t>https://doi.org/10.1111/bjir.70068</w:t>
        </w:r>
      </w:hyperlink>
      <w:r>
        <w:t xml:space="preserve">  </w:t>
      </w:r>
    </w:p>
    <w:p w14:paraId="0FDC7AC8" w14:textId="77777777" w:rsidR="00D337D2" w:rsidRDefault="00D337D2" w:rsidP="00D337D2">
      <w:r>
        <w:t>Çiçeklioğlu, H., Özkan, A. and Yazıcı, A.M. (2026) ‘Örgütsel adalet ile örgütsel bağlılık arasındaki ilişki: Mini bir meta analiz The relationship between organizational justice and organizational commitment: A mini meta-analysis’, </w:t>
      </w:r>
      <w:r>
        <w:rPr>
          <w:rStyle w:val="fadeinpfttw8"/>
          <w:color w:val="000000"/>
        </w:rPr>
        <w:t>Hitit Journal of Social Sciences</w:t>
      </w:r>
      <w:r>
        <w:t>, 19(1), pp. 447–466. Available at: </w:t>
      </w:r>
      <w:hyperlink r:id="rId27" w:history="1">
        <w:r>
          <w:rPr>
            <w:rStyle w:val="FooterChar"/>
          </w:rPr>
          <w:t>https://doi.org/10.17218/hititsbd.1630717</w:t>
        </w:r>
      </w:hyperlink>
      <w:r>
        <w:t xml:space="preserve">  </w:t>
      </w:r>
    </w:p>
    <w:p w14:paraId="185F10A4" w14:textId="77777777" w:rsidR="00D337D2" w:rsidRPr="00455397" w:rsidRDefault="00D337D2" w:rsidP="00D337D2">
      <w:pPr>
        <w:rPr>
          <w:lang w:eastAsia="en-US" w:bidi="bn-IN"/>
        </w:rPr>
      </w:pPr>
      <w:r w:rsidRPr="00455397">
        <w:rPr>
          <w:lang w:eastAsia="en-US" w:bidi="bn-IN"/>
        </w:rPr>
        <w:t xml:space="preserve">Díaz‐Linhart, Y., Kochan, T., Minster, A., Park, D. and Yang, D. (2025) “Does Voice Gap Influence Workers’ Job Attitudes and Well‐Being? Measuring Voice as a Dimension of Job Quality,” </w:t>
      </w:r>
      <w:r w:rsidRPr="00455397">
        <w:rPr>
          <w:i/>
          <w:iCs/>
          <w:lang w:eastAsia="en-US" w:bidi="bn-IN"/>
        </w:rPr>
        <w:t>British Journal of Industrial Relations</w:t>
      </w:r>
      <w:r w:rsidRPr="00455397">
        <w:rPr>
          <w:lang w:eastAsia="en-US" w:bidi="bn-IN"/>
        </w:rPr>
        <w:t xml:space="preserve">, 63(3). Available at: </w:t>
      </w:r>
      <w:hyperlink r:id="rId28" w:history="1">
        <w:r w:rsidRPr="00455397">
          <w:rPr>
            <w:rStyle w:val="FooterChar"/>
            <w:lang w:eastAsia="en-US" w:bidi="bn-IN"/>
          </w:rPr>
          <w:t>https://doi.org/10.1111/bjir.12866</w:t>
        </w:r>
      </w:hyperlink>
      <w:r w:rsidRPr="00455397">
        <w:rPr>
          <w:lang w:eastAsia="en-US" w:bidi="bn-IN"/>
        </w:rPr>
        <w:t>.</w:t>
      </w:r>
    </w:p>
    <w:p w14:paraId="120E3015"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Elorza, U., Garmendia, A., Kilroy, S., Van de Voorde, K. and Van Beurden, J. (2022) ‘The effect of high involvement work systems on organisational performance and employee well‐being in a Spanish industrial context’, </w:t>
      </w:r>
      <w:r w:rsidRPr="00D337D2">
        <w:rPr>
          <w:i/>
          <w:iCs/>
          <w:color w:val="000000"/>
          <w:kern w:val="0"/>
          <w:szCs w:val="24"/>
          <w:lang w:val="en-BD" w:bidi="bn-IN"/>
          <w14:ligatures w14:val="none"/>
        </w:rPr>
        <w:t>Human Resource Management Journal</w:t>
      </w:r>
      <w:r w:rsidRPr="00D337D2">
        <w:rPr>
          <w:color w:val="000000"/>
          <w:kern w:val="0"/>
          <w:szCs w:val="24"/>
          <w:lang w:val="en-BD" w:bidi="bn-IN"/>
          <w14:ligatures w14:val="none"/>
        </w:rPr>
        <w:t xml:space="preserve">, 32(4), pp. 782–798. Available at: </w:t>
      </w:r>
      <w:hyperlink r:id="rId29" w:history="1">
        <w:r w:rsidRPr="00D337D2">
          <w:rPr>
            <w:rStyle w:val="Hyperlink"/>
            <w:kern w:val="0"/>
            <w:szCs w:val="24"/>
            <w:lang w:val="en-BD" w:bidi="bn-IN"/>
            <w14:ligatures w14:val="none"/>
          </w:rPr>
          <w:t>https://doi.org/10.1111/1748-8583.12436</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45575A90" w14:textId="77777777" w:rsidR="00D337D2" w:rsidRDefault="00D337D2" w:rsidP="00D337D2">
      <w:r>
        <w:t>Fantinelli, S., Galanti, T., Guidetti, G., Conserva, F., Giffi, V., Cortini, M. and Di Fiore, T. (2023) ‘Psychological contracts and organizational commitment: The positive impact of relational contracts on call center operators’, </w:t>
      </w:r>
      <w:r>
        <w:rPr>
          <w:rStyle w:val="fadeinpfttw8"/>
          <w:color w:val="000000"/>
        </w:rPr>
        <w:t>Administrative Sciences</w:t>
      </w:r>
      <w:r>
        <w:t>, 13(4), article 112. Available at: </w:t>
      </w:r>
      <w:hyperlink r:id="rId30" w:history="1">
        <w:r>
          <w:rPr>
            <w:rStyle w:val="FooterChar"/>
          </w:rPr>
          <w:t>https://doi.org/10.3390/admsci13040112</w:t>
        </w:r>
      </w:hyperlink>
      <w:r>
        <w:t xml:space="preserve">  </w:t>
      </w:r>
    </w:p>
    <w:p w14:paraId="433A2459" w14:textId="77777777" w:rsidR="00D337D2" w:rsidRPr="00455397" w:rsidRDefault="00D337D2" w:rsidP="00D337D2">
      <w:pPr>
        <w:rPr>
          <w:lang w:eastAsia="en-US" w:bidi="bn-IN"/>
        </w:rPr>
      </w:pPr>
      <w:r w:rsidRPr="00455397">
        <w:rPr>
          <w:lang w:eastAsia="en-US" w:bidi="bn-IN"/>
        </w:rPr>
        <w:t xml:space="preserve">Fernández-Kranz, D. and Rodríguez-Planas, N. (2021) “Too family friendly? The consequences of parent part-time working rights,” </w:t>
      </w:r>
      <w:r w:rsidRPr="00455397">
        <w:rPr>
          <w:i/>
          <w:iCs/>
          <w:lang w:eastAsia="en-US" w:bidi="bn-IN"/>
        </w:rPr>
        <w:t>Journal of Public Economics</w:t>
      </w:r>
      <w:r w:rsidRPr="00455397">
        <w:rPr>
          <w:lang w:eastAsia="en-US" w:bidi="bn-IN"/>
        </w:rPr>
        <w:t>, 197, p. 104407. Available at:</w:t>
      </w:r>
      <w:hyperlink r:id="rId31" w:history="1">
        <w:r w:rsidRPr="00455397">
          <w:rPr>
            <w:rStyle w:val="FooterChar"/>
            <w:lang w:eastAsia="en-US" w:bidi="bn-IN"/>
          </w:rPr>
          <w:t>https://doi.org/10.1016/j.jpubeco.2021.104407</w:t>
        </w:r>
      </w:hyperlink>
      <w:r w:rsidRPr="00455397">
        <w:rPr>
          <w:lang w:eastAsia="en-US" w:bidi="bn-IN"/>
        </w:rPr>
        <w:t>.</w:t>
      </w:r>
    </w:p>
    <w:p w14:paraId="28914299" w14:textId="77777777" w:rsidR="00D337D2" w:rsidRPr="00455397" w:rsidRDefault="00D337D2" w:rsidP="00D337D2">
      <w:pPr>
        <w:rPr>
          <w:lang w:eastAsia="en-US" w:bidi="bn-IN"/>
        </w:rPr>
      </w:pPr>
      <w:r w:rsidRPr="00455397">
        <w:rPr>
          <w:lang w:eastAsia="en-US" w:bidi="bn-IN"/>
        </w:rPr>
        <w:lastRenderedPageBreak/>
        <w:t xml:space="preserve">Gallie, D., Felstead, A., Green, F. and Henseke, G. (2021) “Inequality at work and employees’ perceptions of organisational fairness,” </w:t>
      </w:r>
      <w:r w:rsidRPr="00455397">
        <w:rPr>
          <w:i/>
          <w:iCs/>
          <w:lang w:eastAsia="en-US" w:bidi="bn-IN"/>
        </w:rPr>
        <w:t>Industrial Relations Journal</w:t>
      </w:r>
      <w:r w:rsidRPr="00455397">
        <w:rPr>
          <w:lang w:eastAsia="en-US" w:bidi="bn-IN"/>
        </w:rPr>
        <w:t xml:space="preserve">, 52(6). Available at: </w:t>
      </w:r>
      <w:hyperlink r:id="rId32" w:history="1">
        <w:r w:rsidRPr="00455397">
          <w:rPr>
            <w:rStyle w:val="FooterChar"/>
            <w:lang w:eastAsia="en-US" w:bidi="bn-IN"/>
          </w:rPr>
          <w:t>https://doi.org/10.1111/irj.12346</w:t>
        </w:r>
      </w:hyperlink>
      <w:r w:rsidRPr="00455397">
        <w:rPr>
          <w:lang w:eastAsia="en-US" w:bidi="bn-IN"/>
        </w:rPr>
        <w:t>.</w:t>
      </w:r>
    </w:p>
    <w:p w14:paraId="67B4C05F" w14:textId="77777777" w:rsidR="00D337D2" w:rsidRDefault="00D337D2" w:rsidP="00D337D2">
      <w:r>
        <w:t>Ghaderi, Z., Tabatabaei, F., Khoshkam, M. and Shahabi Sorman Abadi, R. (2023) ‘Exploring the role of perceived organizational justice and organizational commitment as predictors of job satisfaction among employees in the hospitality industry’, </w:t>
      </w:r>
      <w:r>
        <w:rPr>
          <w:rStyle w:val="fadeinpfttw8"/>
          <w:color w:val="000000"/>
        </w:rPr>
        <w:t>International Journal of Hospitality &amp; Tourism Administration</w:t>
      </w:r>
      <w:r>
        <w:t>, 24(3), pp. 415–444. Available at: </w:t>
      </w:r>
      <w:hyperlink r:id="rId33" w:history="1">
        <w:r>
          <w:rPr>
            <w:rStyle w:val="FooterChar"/>
          </w:rPr>
          <w:t>https://doi.org/10.1080/15256480.2021.1988882</w:t>
        </w:r>
      </w:hyperlink>
      <w:r>
        <w:t xml:space="preserve">  </w:t>
      </w:r>
    </w:p>
    <w:p w14:paraId="1C44DFB8" w14:textId="77777777" w:rsidR="00D337D2" w:rsidRDefault="00D337D2" w:rsidP="00D337D2">
      <w:r>
        <w:t>Gomes, J.F.S. and Marques, T.M.G. (2025) ‘The influence of organisational justice on work engagement, organisational commitment, and job satisfaction: A comprehensive study’, </w:t>
      </w:r>
      <w:r>
        <w:rPr>
          <w:rStyle w:val="fadeinpfttw8"/>
          <w:color w:val="000000"/>
        </w:rPr>
        <w:t>Journal of General Management</w:t>
      </w:r>
      <w:r>
        <w:t>, 50(2), pp. 138–149. Available at: </w:t>
      </w:r>
      <w:hyperlink r:id="rId34" w:history="1">
        <w:r>
          <w:rPr>
            <w:rStyle w:val="FooterChar"/>
          </w:rPr>
          <w:t>https://doi.org/10.1177/03063070221140726</w:t>
        </w:r>
      </w:hyperlink>
      <w:r>
        <w:t xml:space="preserve">  </w:t>
      </w:r>
    </w:p>
    <w:p w14:paraId="19475C34" w14:textId="77777777" w:rsidR="00D337D2" w:rsidRDefault="00D337D2" w:rsidP="00D337D2">
      <w:r>
        <w:t>Jang, J., Lee, D.W. and Kwon, G.-H. (2021) ‘An analysis of the influence of organizational justice on organizational commitment’, </w:t>
      </w:r>
      <w:r>
        <w:rPr>
          <w:rStyle w:val="fadeinpfttw8"/>
          <w:color w:val="000000"/>
        </w:rPr>
        <w:t>International Journal of Public Administration</w:t>
      </w:r>
      <w:r>
        <w:t>, 44(2), pp. 146–154. Available at: </w:t>
      </w:r>
      <w:hyperlink r:id="rId35" w:history="1">
        <w:r>
          <w:rPr>
            <w:rStyle w:val="FooterChar"/>
          </w:rPr>
          <w:t>https://doi.org/10.1080/01900692.2019.1672185</w:t>
        </w:r>
      </w:hyperlink>
      <w:r>
        <w:t xml:space="preserve">  </w:t>
      </w:r>
    </w:p>
    <w:p w14:paraId="61A8FFDE" w14:textId="77777777" w:rsidR="00D337D2" w:rsidRDefault="00D337D2" w:rsidP="00D337D2">
      <w:r>
        <w:t>Jenkins, S. and Chivers, W. (2022) ‘Can cooperatives/employee-owned businesses improve “bad” jobs? Evaluating job quality in three low-paid sectors’, </w:t>
      </w:r>
      <w:r>
        <w:rPr>
          <w:rStyle w:val="fadeinpfttw8"/>
          <w:color w:val="000000"/>
        </w:rPr>
        <w:t>British Journal of Industrial Relations</w:t>
      </w:r>
      <w:r>
        <w:t>, 60(3), pp. 511–535. Available at: </w:t>
      </w:r>
      <w:hyperlink r:id="rId36" w:history="1">
        <w:r>
          <w:rPr>
            <w:rStyle w:val="FooterChar"/>
          </w:rPr>
          <w:t>https://doi.org/10.1111/bjir.12637</w:t>
        </w:r>
      </w:hyperlink>
      <w:r>
        <w:t xml:space="preserve">  </w:t>
      </w:r>
    </w:p>
    <w:p w14:paraId="2B6CE4B5"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Jo, H., Aryee, S., Hsiung, H.H. and Guest, D. (2020) ‘Fostering mutual gains: Explaining the influence of high‐performance work systems and leadership on psychological health and service performance’, </w:t>
      </w:r>
      <w:r w:rsidRPr="00D337D2">
        <w:rPr>
          <w:i/>
          <w:iCs/>
          <w:color w:val="000000"/>
          <w:kern w:val="0"/>
          <w:szCs w:val="24"/>
          <w:lang w:val="en-BD" w:bidi="bn-IN"/>
          <w14:ligatures w14:val="none"/>
        </w:rPr>
        <w:t>Human Resource Management Journal</w:t>
      </w:r>
      <w:r w:rsidRPr="00D337D2">
        <w:rPr>
          <w:color w:val="000000"/>
          <w:kern w:val="0"/>
          <w:szCs w:val="24"/>
          <w:lang w:val="en-BD" w:bidi="bn-IN"/>
          <w14:ligatures w14:val="none"/>
        </w:rPr>
        <w:t xml:space="preserve">, 30(2). Available at: </w:t>
      </w:r>
      <w:hyperlink r:id="rId37" w:history="1">
        <w:r w:rsidRPr="00D337D2">
          <w:rPr>
            <w:rStyle w:val="Hyperlink"/>
            <w:kern w:val="0"/>
            <w:szCs w:val="24"/>
            <w:lang w:val="en-BD" w:bidi="bn-IN"/>
            <w14:ligatures w14:val="none"/>
          </w:rPr>
          <w:t>https://doi.org/10.1111/1748-8583.12256</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0B8EAD4D" w14:textId="77777777" w:rsidR="00D337D2" w:rsidRDefault="00D337D2" w:rsidP="00D337D2">
      <w:r>
        <w:t>Karani, A., Trivedi, P. and Thanki, H. (2022) ‘Psychological contract and work outcomes during the COVID-19 pandemic’, </w:t>
      </w:r>
      <w:r>
        <w:rPr>
          <w:rStyle w:val="fadeinpfttw8"/>
          <w:color w:val="000000"/>
        </w:rPr>
        <w:t>Journal of Organizational Effectiveness: People and Performance</w:t>
      </w:r>
      <w:r>
        <w:t>, 9(1), pp. 149–168. Available at: </w:t>
      </w:r>
      <w:hyperlink r:id="rId38" w:history="1">
        <w:r>
          <w:rPr>
            <w:rStyle w:val="FooterChar"/>
          </w:rPr>
          <w:t>https://doi.org/10.1108/JOEPP-09-2020-0186</w:t>
        </w:r>
      </w:hyperlink>
      <w:r>
        <w:t xml:space="preserve">  </w:t>
      </w:r>
    </w:p>
    <w:p w14:paraId="7B9B29A0"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Kim, J. (2025) ‘Interrelations of broad-based employee stock compensation, organisational justice perception, and psychological ownership’, </w:t>
      </w:r>
      <w:r w:rsidRPr="00D337D2">
        <w:rPr>
          <w:i/>
          <w:iCs/>
          <w:color w:val="000000"/>
          <w:kern w:val="0"/>
          <w:szCs w:val="24"/>
          <w:lang w:val="en-BD" w:bidi="bn-IN"/>
          <w14:ligatures w14:val="none"/>
        </w:rPr>
        <w:t>International Review of Applied Economics</w:t>
      </w:r>
      <w:r w:rsidRPr="00D337D2">
        <w:rPr>
          <w:color w:val="000000"/>
          <w:kern w:val="0"/>
          <w:szCs w:val="24"/>
          <w:lang w:val="en-BD" w:bidi="bn-IN"/>
          <w14:ligatures w14:val="none"/>
        </w:rPr>
        <w:t xml:space="preserve">, 39(4–5), pp. 1–23. Available at: </w:t>
      </w:r>
      <w:hyperlink r:id="rId39" w:history="1">
        <w:r w:rsidRPr="00D337D2">
          <w:rPr>
            <w:rStyle w:val="Hyperlink"/>
            <w:kern w:val="0"/>
            <w:szCs w:val="24"/>
            <w:lang w:val="en-BD" w:bidi="bn-IN"/>
            <w14:ligatures w14:val="none"/>
          </w:rPr>
          <w:t>https://doi.org/10.1080/02692171.2024.2406357</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0A98EA58"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Kotzé, T. and Mostert, P. (2021) ‘Service-oriented high-performance work practices as predictors of retail employees” work engagement and service climate perceptions’, </w:t>
      </w:r>
      <w:r w:rsidRPr="00D337D2">
        <w:rPr>
          <w:i/>
          <w:iCs/>
          <w:color w:val="000000"/>
          <w:kern w:val="0"/>
          <w:szCs w:val="24"/>
          <w:lang w:val="en-BD" w:bidi="bn-IN"/>
          <w14:ligatures w14:val="none"/>
        </w:rPr>
        <w:t xml:space="preserve">Services </w:t>
      </w:r>
      <w:r w:rsidRPr="00D337D2">
        <w:rPr>
          <w:i/>
          <w:iCs/>
          <w:color w:val="000000"/>
          <w:kern w:val="0"/>
          <w:szCs w:val="24"/>
          <w:lang w:val="en-BD" w:bidi="bn-IN"/>
          <w14:ligatures w14:val="none"/>
        </w:rPr>
        <w:lastRenderedPageBreak/>
        <w:t>Marketing Quarterly</w:t>
      </w:r>
      <w:r w:rsidRPr="00D337D2">
        <w:rPr>
          <w:color w:val="000000"/>
          <w:kern w:val="0"/>
          <w:szCs w:val="24"/>
          <w:lang w:val="en-BD" w:bidi="bn-IN"/>
          <w14:ligatures w14:val="none"/>
        </w:rPr>
        <w:t xml:space="preserve">, 42(1–2), pp. 1–19. Available at: </w:t>
      </w:r>
      <w:hyperlink r:id="rId40" w:history="1">
        <w:r w:rsidRPr="00D337D2">
          <w:rPr>
            <w:rStyle w:val="Hyperlink"/>
            <w:kern w:val="0"/>
            <w:szCs w:val="24"/>
            <w:lang w:val="en-BD" w:bidi="bn-IN"/>
            <w14:ligatures w14:val="none"/>
          </w:rPr>
          <w:t>https://doi.org/10.1080/15332969.2020.1830638</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2762F82E" w14:textId="77777777" w:rsidR="00D337D2" w:rsidRDefault="00D337D2" w:rsidP="00D337D2">
      <w:r>
        <w:t>Lambert, E.G., Tewksbury, R., Otu, S.E. and Elechi, O.O. (2021) ‘The association of organizational justice with job satisfaction and organizational commitment among Nigerian correctional staff’, </w:t>
      </w:r>
      <w:r>
        <w:rPr>
          <w:rStyle w:val="fadeinpfttw8"/>
          <w:color w:val="000000"/>
        </w:rPr>
        <w:t>International Journal of Offender Therapy and Comparative Criminology</w:t>
      </w:r>
      <w:r>
        <w:t>, 65(2–3), pp. 180–204. Available at: </w:t>
      </w:r>
      <w:hyperlink r:id="rId41" w:history="1">
        <w:r>
          <w:rPr>
            <w:rStyle w:val="FooterChar"/>
          </w:rPr>
          <w:t>https://doi.org/10.1177/0306624X20946926</w:t>
        </w:r>
      </w:hyperlink>
      <w:r>
        <w:t xml:space="preserve"> </w:t>
      </w:r>
    </w:p>
    <w:p w14:paraId="1AD7B7C2" w14:textId="77777777" w:rsidR="00D337D2" w:rsidRPr="00A61A8D" w:rsidRDefault="00D337D2" w:rsidP="00D337D2">
      <w:pPr>
        <w:rPr>
          <w:lang w:val="en-US" w:bidi="bn-IN"/>
        </w:rPr>
      </w:pPr>
      <w:r w:rsidRPr="00A61A8D">
        <w:rPr>
          <w:lang w:bidi="bn-IN"/>
        </w:rPr>
        <w:t xml:space="preserve">Li, J., Ding, H., Hu, Y. and Wan, G. (2021) ‘Dealing with dynamic endogeneity in international business research’, </w:t>
      </w:r>
      <w:r w:rsidRPr="00A61A8D">
        <w:rPr>
          <w:i/>
          <w:iCs/>
          <w:lang w:bidi="bn-IN"/>
        </w:rPr>
        <w:t>Journal of International Business Studies</w:t>
      </w:r>
      <w:r w:rsidRPr="00A61A8D">
        <w:rPr>
          <w:lang w:bidi="bn-IN"/>
        </w:rPr>
        <w:t xml:space="preserve">, 52(3), pp. 339–362. Available at: </w:t>
      </w:r>
      <w:hyperlink r:id="rId42" w:history="1">
        <w:r w:rsidRPr="00603116">
          <w:rPr>
            <w:rStyle w:val="FooterChar"/>
            <w:lang w:bidi="bn-IN"/>
          </w:rPr>
          <w:t>https://doi.org/10.1057/s41267-020-00398-8</w:t>
        </w:r>
      </w:hyperlink>
      <w:r w:rsidRPr="00A61A8D">
        <w:rPr>
          <w:lang w:bidi="bn-IN"/>
        </w:rPr>
        <w:t>.</w:t>
      </w:r>
      <w:r>
        <w:rPr>
          <w:lang w:val="en-US" w:bidi="bn-IN"/>
        </w:rPr>
        <w:t xml:space="preserve"> </w:t>
      </w:r>
    </w:p>
    <w:p w14:paraId="60B1460C" w14:textId="77777777" w:rsidR="00D337D2" w:rsidRPr="00B2346D" w:rsidRDefault="00D337D2" w:rsidP="00D337D2">
      <w:pPr>
        <w:rPr>
          <w:color w:val="000000"/>
          <w:kern w:val="0"/>
          <w:szCs w:val="24"/>
          <w:lang w:val="en-US" w:bidi="bn-IN"/>
          <w14:ligatures w14:val="none"/>
        </w:rPr>
      </w:pPr>
      <w:r w:rsidRPr="00B2346D">
        <w:rPr>
          <w:color w:val="000000"/>
          <w:kern w:val="0"/>
          <w:szCs w:val="24"/>
          <w:lang w:val="en-BD" w:bidi="bn-IN"/>
          <w14:ligatures w14:val="none"/>
        </w:rPr>
        <w:t>Li, Z., Yu, H. and Xing, L. (2023) ‘The impact of green culture on employees” green behavior: The mediation role of environmental awareness’, </w:t>
      </w:r>
      <w:r w:rsidRPr="00B2346D">
        <w:rPr>
          <w:i/>
          <w:iCs/>
          <w:color w:val="000000"/>
          <w:kern w:val="0"/>
          <w:szCs w:val="24"/>
          <w:lang w:val="en-BD" w:bidi="bn-IN"/>
          <w14:ligatures w14:val="none"/>
        </w:rPr>
        <w:t>Corporate Social Responsibility and Environmental Management</w:t>
      </w:r>
      <w:r w:rsidRPr="00B2346D">
        <w:rPr>
          <w:color w:val="000000"/>
          <w:kern w:val="0"/>
          <w:szCs w:val="24"/>
          <w:lang w:val="en-BD" w:bidi="bn-IN"/>
          <w14:ligatures w14:val="none"/>
        </w:rPr>
        <w:t xml:space="preserve">, 30(3). Available at: </w:t>
      </w:r>
      <w:hyperlink r:id="rId43" w:history="1">
        <w:r w:rsidRPr="00B2346D">
          <w:rPr>
            <w:rStyle w:val="Hyperlink"/>
            <w:kern w:val="0"/>
            <w:szCs w:val="24"/>
            <w:lang w:val="en-BD" w:bidi="bn-IN"/>
            <w14:ligatures w14:val="none"/>
          </w:rPr>
          <w:t>https://doi.org/10.1002/csr.2422</w:t>
        </w:r>
      </w:hyperlink>
      <w:r w:rsidRPr="00B2346D">
        <w:rPr>
          <w:color w:val="000000"/>
          <w:kern w:val="0"/>
          <w:szCs w:val="24"/>
          <w:lang w:val="en-BD" w:bidi="bn-IN"/>
          <w14:ligatures w14:val="none"/>
        </w:rPr>
        <w:t>.</w:t>
      </w:r>
      <w:r>
        <w:rPr>
          <w:color w:val="000000"/>
          <w:kern w:val="0"/>
          <w:szCs w:val="24"/>
          <w:lang w:val="en-US" w:bidi="bn-IN"/>
          <w14:ligatures w14:val="none"/>
        </w:rPr>
        <w:t xml:space="preserve"> </w:t>
      </w:r>
    </w:p>
    <w:p w14:paraId="0BD91986" w14:textId="77777777" w:rsidR="00D337D2" w:rsidRDefault="00D337D2" w:rsidP="00D337D2">
      <w:r>
        <w:t>Liang, H.-L. and Yeh, T.-K. (2020) ‘The effects of employee voice on workplace bullying and job satisfaction: The mediating role of leader–member exchange’, </w:t>
      </w:r>
      <w:r>
        <w:rPr>
          <w:rStyle w:val="fadeinpfttw8"/>
          <w:color w:val="000000"/>
        </w:rPr>
        <w:t>Management Decision</w:t>
      </w:r>
      <w:r>
        <w:t>, 58(3), pp. 569–582. Available at: </w:t>
      </w:r>
      <w:hyperlink r:id="rId44" w:history="1">
        <w:r>
          <w:rPr>
            <w:rStyle w:val="FooterChar"/>
          </w:rPr>
          <w:t>https://doi.org/10.1108/MD-01-2019-0112</w:t>
        </w:r>
      </w:hyperlink>
      <w:r>
        <w:t xml:space="preserve">  </w:t>
      </w:r>
    </w:p>
    <w:p w14:paraId="22B4D105" w14:textId="77777777" w:rsidR="00D337D2" w:rsidRPr="00A61A8D" w:rsidRDefault="00D337D2" w:rsidP="00D337D2">
      <w:pPr>
        <w:rPr>
          <w:lang w:val="en-US" w:bidi="bn-IN"/>
        </w:rPr>
      </w:pPr>
      <w:r w:rsidRPr="00A61A8D">
        <w:rPr>
          <w:lang w:bidi="bn-IN"/>
        </w:rPr>
        <w:t xml:space="preserve">Lock, I. and Seele, P. (2015) ‘Quantitative content analysis as a method for business ethics research’, </w:t>
      </w:r>
      <w:r w:rsidRPr="00A61A8D">
        <w:rPr>
          <w:i/>
          <w:iCs/>
          <w:lang w:bidi="bn-IN"/>
        </w:rPr>
        <w:t>Business Ethics: A European Review</w:t>
      </w:r>
      <w:r w:rsidRPr="00A61A8D">
        <w:rPr>
          <w:lang w:bidi="bn-IN"/>
        </w:rPr>
        <w:t xml:space="preserve">, 24(51), pp. S24–S40. Available at: </w:t>
      </w:r>
      <w:hyperlink r:id="rId45" w:history="1">
        <w:r w:rsidRPr="00603116">
          <w:rPr>
            <w:rStyle w:val="FooterChar"/>
            <w:lang w:bidi="bn-IN"/>
          </w:rPr>
          <w:t>https://doi.org/10.1111/beer.12095</w:t>
        </w:r>
      </w:hyperlink>
      <w:r w:rsidRPr="00A61A8D">
        <w:rPr>
          <w:lang w:bidi="bn-IN"/>
        </w:rPr>
        <w:t>.</w:t>
      </w:r>
      <w:r>
        <w:rPr>
          <w:lang w:val="en-US" w:bidi="bn-IN"/>
        </w:rPr>
        <w:t xml:space="preserve"> </w:t>
      </w:r>
    </w:p>
    <w:p w14:paraId="0DC36E28" w14:textId="77777777" w:rsidR="00D337D2" w:rsidRPr="00B2346D" w:rsidRDefault="00D337D2" w:rsidP="00D337D2">
      <w:pPr>
        <w:rPr>
          <w:color w:val="000000"/>
          <w:kern w:val="0"/>
          <w:szCs w:val="24"/>
          <w:lang w:val="en-US" w:bidi="bn-IN"/>
          <w14:ligatures w14:val="none"/>
        </w:rPr>
      </w:pPr>
      <w:r w:rsidRPr="00B2346D">
        <w:rPr>
          <w:color w:val="000000"/>
          <w:kern w:val="0"/>
          <w:szCs w:val="24"/>
          <w:lang w:val="en-BD" w:bidi="bn-IN"/>
          <w14:ligatures w14:val="none"/>
        </w:rPr>
        <w:t>Malik, A., Budhwar, P., Patel, C. and Srikanth, N.R. (2022) ‘May the bots be with you! Delivering HR cost-effectiveness and individualised employee experiences in an MNE’, </w:t>
      </w:r>
      <w:r w:rsidRPr="00B2346D">
        <w:rPr>
          <w:i/>
          <w:iCs/>
          <w:color w:val="000000"/>
          <w:kern w:val="0"/>
          <w:szCs w:val="24"/>
          <w:lang w:val="en-BD" w:bidi="bn-IN"/>
          <w14:ligatures w14:val="none"/>
        </w:rPr>
        <w:t>The International Journal of Human Resource Management</w:t>
      </w:r>
      <w:r w:rsidRPr="00B2346D">
        <w:rPr>
          <w:color w:val="000000"/>
          <w:kern w:val="0"/>
          <w:szCs w:val="24"/>
          <w:lang w:val="en-BD" w:bidi="bn-IN"/>
          <w14:ligatures w14:val="none"/>
        </w:rPr>
        <w:t xml:space="preserve">, 33(6), pp. 1–31. Available at: </w:t>
      </w:r>
      <w:hyperlink r:id="rId46" w:history="1">
        <w:r w:rsidRPr="00B2346D">
          <w:rPr>
            <w:rStyle w:val="Hyperlink"/>
            <w:kern w:val="0"/>
            <w:szCs w:val="24"/>
            <w:lang w:val="en-BD" w:bidi="bn-IN"/>
            <w14:ligatures w14:val="none"/>
          </w:rPr>
          <w:t>https://doi.org/10.1080/09585192.2020.1859582</w:t>
        </w:r>
      </w:hyperlink>
      <w:r w:rsidRPr="00B2346D">
        <w:rPr>
          <w:color w:val="000000"/>
          <w:kern w:val="0"/>
          <w:szCs w:val="24"/>
          <w:lang w:val="en-BD" w:bidi="bn-IN"/>
          <w14:ligatures w14:val="none"/>
        </w:rPr>
        <w:t>.</w:t>
      </w:r>
      <w:r>
        <w:rPr>
          <w:color w:val="000000"/>
          <w:kern w:val="0"/>
          <w:szCs w:val="24"/>
          <w:lang w:val="en-US" w:bidi="bn-IN"/>
          <w14:ligatures w14:val="none"/>
        </w:rPr>
        <w:t xml:space="preserve"> </w:t>
      </w:r>
    </w:p>
    <w:p w14:paraId="1D65B6FF" w14:textId="77777777" w:rsidR="00D337D2" w:rsidRDefault="00D337D2" w:rsidP="00D337D2">
      <w:r>
        <w:t>Manolopoulos, D., Peitzika, E., Mamakou, X.J. and Myloni, B. (2022) ‘Psychological and formal employment contracts, workplace attitudes and employees’ turnover intentions: Causal and boundary inferences in the hotel industry’, </w:t>
      </w:r>
      <w:r>
        <w:rPr>
          <w:rStyle w:val="fadeinpfttw8"/>
          <w:color w:val="000000"/>
        </w:rPr>
        <w:t>Journal of Hospitality and Tourism Management</w:t>
      </w:r>
      <w:r>
        <w:t>, 51, pp. 289–302. Available at: </w:t>
      </w:r>
      <w:hyperlink r:id="rId47" w:history="1">
        <w:r>
          <w:rPr>
            <w:rStyle w:val="FooterChar"/>
          </w:rPr>
          <w:t>https://doi.org/10.1016/j.jhtm.2022.03.011</w:t>
        </w:r>
      </w:hyperlink>
      <w:r>
        <w:t xml:space="preserve"> </w:t>
      </w:r>
    </w:p>
    <w:p w14:paraId="622A0C88" w14:textId="77777777" w:rsidR="00D337D2" w:rsidRPr="00D337D2" w:rsidRDefault="00D337D2" w:rsidP="00D337D2">
      <w:pPr>
        <w:rPr>
          <w:color w:val="000000"/>
          <w:kern w:val="0"/>
          <w:szCs w:val="24"/>
          <w:lang w:val="en-BD" w:bidi="bn-IN"/>
          <w14:ligatures w14:val="none"/>
        </w:rPr>
      </w:pPr>
      <w:r w:rsidRPr="00D337D2">
        <w:rPr>
          <w:color w:val="000000"/>
          <w:kern w:val="0"/>
          <w:szCs w:val="24"/>
          <w:lang w:val="en-BD" w:bidi="bn-IN"/>
          <w14:ligatures w14:val="none"/>
        </w:rPr>
        <w:t>Mousa, M., Massoud, H.K. and Ayoubi, R.M. (2020) ‘Gender, diversity management perceptions, workplace happiness and organisational citizenship behaviour’, </w:t>
      </w:r>
      <w:r w:rsidRPr="00D337D2">
        <w:rPr>
          <w:i/>
          <w:iCs/>
          <w:color w:val="000000"/>
          <w:kern w:val="0"/>
          <w:szCs w:val="24"/>
          <w:lang w:val="en-BD" w:bidi="bn-IN"/>
          <w14:ligatures w14:val="none"/>
        </w:rPr>
        <w:t>Employee Relations: The International Journal</w:t>
      </w:r>
      <w:r w:rsidRPr="00D337D2">
        <w:rPr>
          <w:color w:val="000000"/>
          <w:kern w:val="0"/>
          <w:szCs w:val="24"/>
          <w:lang w:val="en-BD" w:bidi="bn-IN"/>
          <w14:ligatures w14:val="none"/>
        </w:rPr>
        <w:t>, 42(6), pp. 1249–1269.</w:t>
      </w:r>
    </w:p>
    <w:p w14:paraId="022FAA95" w14:textId="77777777" w:rsidR="00D337D2" w:rsidRDefault="00D337D2" w:rsidP="00D337D2">
      <w:r>
        <w:lastRenderedPageBreak/>
        <w:t>Mowbray, P.K., Wilkinson, A. and Tse, H.H.M. (2022) ‘Strategic or silencing? Line managers’ repurposing of employee voice mechanisms for high performance’, </w:t>
      </w:r>
      <w:r>
        <w:rPr>
          <w:rStyle w:val="fadeinpfttw8"/>
          <w:color w:val="000000"/>
        </w:rPr>
        <w:t>British Journal of Management</w:t>
      </w:r>
      <w:r>
        <w:t>, 33(2), pp. 1054–1070. Available at: </w:t>
      </w:r>
      <w:hyperlink r:id="rId48" w:history="1">
        <w:r>
          <w:rPr>
            <w:rStyle w:val="FooterChar"/>
          </w:rPr>
          <w:t>https://doi.org/10.1111/1467-8551.12469</w:t>
        </w:r>
      </w:hyperlink>
      <w:r>
        <w:t xml:space="preserve">  </w:t>
      </w:r>
    </w:p>
    <w:p w14:paraId="79AFBC30" w14:textId="77777777" w:rsidR="00D337D2" w:rsidRPr="00455397" w:rsidRDefault="00D337D2" w:rsidP="00D337D2">
      <w:pPr>
        <w:rPr>
          <w:lang w:eastAsia="en-US" w:bidi="bn-IN"/>
        </w:rPr>
      </w:pPr>
      <w:r w:rsidRPr="00455397">
        <w:rPr>
          <w:lang w:eastAsia="en-US" w:bidi="bn-IN"/>
        </w:rPr>
        <w:t xml:space="preserve">Murray, W.C. and Holmes, M.R. (2021) “Impacts of Employee Empowerment and Organizational Commitment on Workforce Sustainability,” </w:t>
      </w:r>
      <w:r w:rsidRPr="00455397">
        <w:rPr>
          <w:i/>
          <w:iCs/>
          <w:lang w:eastAsia="en-US" w:bidi="bn-IN"/>
        </w:rPr>
        <w:t>Sustainability</w:t>
      </w:r>
      <w:r w:rsidRPr="00455397">
        <w:rPr>
          <w:lang w:eastAsia="en-US" w:bidi="bn-IN"/>
        </w:rPr>
        <w:t xml:space="preserve">, 13(6), p. 3163. Available at: </w:t>
      </w:r>
      <w:hyperlink r:id="rId49" w:history="1">
        <w:r>
          <w:rPr>
            <w:rStyle w:val="FooterChar"/>
            <w:lang w:eastAsia="en-US" w:bidi="bn-IN"/>
          </w:rPr>
          <w:t>https://doi.org/</w:t>
        </w:r>
        <w:r w:rsidRPr="00455397">
          <w:rPr>
            <w:rStyle w:val="FooterChar"/>
            <w:lang w:eastAsia="en-US" w:bidi="bn-IN"/>
          </w:rPr>
          <w:t>10.3390/su13063163</w:t>
        </w:r>
      </w:hyperlink>
      <w:r w:rsidRPr="00455397">
        <w:rPr>
          <w:lang w:eastAsia="en-US" w:bidi="bn-IN"/>
        </w:rPr>
        <w:t>.</w:t>
      </w:r>
    </w:p>
    <w:p w14:paraId="65D38821" w14:textId="77777777" w:rsidR="00D337D2" w:rsidRPr="00455397" w:rsidRDefault="00D337D2" w:rsidP="00D337D2">
      <w:pPr>
        <w:rPr>
          <w:lang w:eastAsia="en-US" w:bidi="bn-IN"/>
        </w:rPr>
      </w:pPr>
      <w:r w:rsidRPr="00455397">
        <w:rPr>
          <w:lang w:eastAsia="en-US" w:bidi="bn-IN"/>
        </w:rPr>
        <w:t xml:space="preserve">Mustchin, S. and Martínez Lucio, M. (2020) “The evolving nature of labour inspection, enforcement of employment rights and the regulatory reach of the state in Britain,” </w:t>
      </w:r>
      <w:r w:rsidRPr="00455397">
        <w:rPr>
          <w:i/>
          <w:iCs/>
          <w:lang w:eastAsia="en-US" w:bidi="bn-IN"/>
        </w:rPr>
        <w:t>Journal of Industrial Relations</w:t>
      </w:r>
      <w:r w:rsidRPr="00455397">
        <w:rPr>
          <w:lang w:eastAsia="en-US" w:bidi="bn-IN"/>
        </w:rPr>
        <w:t xml:space="preserve">, 62(5), p. 002218562090890. Available at: </w:t>
      </w:r>
      <w:hyperlink r:id="rId50" w:history="1">
        <w:r w:rsidRPr="00455397">
          <w:rPr>
            <w:rStyle w:val="FooterChar"/>
            <w:lang w:eastAsia="en-US" w:bidi="bn-IN"/>
          </w:rPr>
          <w:t>https://doi.org/10.1177/0022185620908909</w:t>
        </w:r>
      </w:hyperlink>
      <w:r w:rsidRPr="00455397">
        <w:rPr>
          <w:lang w:eastAsia="en-US" w:bidi="bn-IN"/>
        </w:rPr>
        <w:t>.</w:t>
      </w:r>
    </w:p>
    <w:p w14:paraId="7F1A5325"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Ogunfowora, B., Maerz, A. and Varty, C. (2021) ‘How do leaders foster morally courageous behavior in employees? Leader role modeling, moral ownership, and felt obligation’, </w:t>
      </w:r>
      <w:r w:rsidRPr="00D337D2">
        <w:rPr>
          <w:i/>
          <w:iCs/>
          <w:color w:val="000000"/>
          <w:kern w:val="0"/>
          <w:szCs w:val="24"/>
          <w:lang w:val="en-BD" w:bidi="bn-IN"/>
          <w14:ligatures w14:val="none"/>
        </w:rPr>
        <w:t>Journal of Organizational Behavior</w:t>
      </w:r>
      <w:r w:rsidRPr="00D337D2">
        <w:rPr>
          <w:color w:val="000000"/>
          <w:kern w:val="0"/>
          <w:szCs w:val="24"/>
          <w:lang w:val="en-BD" w:bidi="bn-IN"/>
          <w14:ligatures w14:val="none"/>
        </w:rPr>
        <w:t xml:space="preserve">, 42(4). Available at: </w:t>
      </w:r>
      <w:hyperlink r:id="rId51" w:history="1">
        <w:r w:rsidRPr="00D337D2">
          <w:rPr>
            <w:rStyle w:val="Hyperlink"/>
            <w:kern w:val="0"/>
            <w:szCs w:val="24"/>
            <w:lang w:val="en-BD" w:bidi="bn-IN"/>
            <w14:ligatures w14:val="none"/>
          </w:rPr>
          <w:t>https://doi.org/10.1002/job.2508</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2FF4A7A1" w14:textId="77777777" w:rsidR="00D337D2" w:rsidRPr="00455397" w:rsidRDefault="00D337D2" w:rsidP="00D337D2">
      <w:pPr>
        <w:rPr>
          <w:lang w:eastAsia="en-US" w:bidi="bn-IN"/>
        </w:rPr>
      </w:pPr>
      <w:r w:rsidRPr="00455397">
        <w:rPr>
          <w:lang w:eastAsia="en-US" w:bidi="bn-IN"/>
        </w:rPr>
        <w:t xml:space="preserve">Papadopoulos, O., Lopez‐Andreu, M. and Jamalian, M. (2021) “Violation and lack of awareness of employment rights in the United Kingdom’s hotel industry: Isolation, fragmentation and barriers to labour enforcement,” </w:t>
      </w:r>
      <w:r w:rsidRPr="00455397">
        <w:rPr>
          <w:i/>
          <w:iCs/>
          <w:lang w:eastAsia="en-US" w:bidi="bn-IN"/>
        </w:rPr>
        <w:t>Industrial Relations Journal</w:t>
      </w:r>
      <w:r w:rsidRPr="00455397">
        <w:rPr>
          <w:lang w:eastAsia="en-US" w:bidi="bn-IN"/>
        </w:rPr>
        <w:t xml:space="preserve">, 52(4), pp. 315–330. Available at: </w:t>
      </w:r>
      <w:hyperlink r:id="rId52" w:history="1">
        <w:r w:rsidRPr="00455397">
          <w:rPr>
            <w:rStyle w:val="FooterChar"/>
            <w:lang w:eastAsia="en-US" w:bidi="bn-IN"/>
          </w:rPr>
          <w:t>https://doi.org/10.1111/irj.12337</w:t>
        </w:r>
      </w:hyperlink>
      <w:r w:rsidRPr="00455397">
        <w:rPr>
          <w:lang w:eastAsia="en-US" w:bidi="bn-IN"/>
        </w:rPr>
        <w:t>.</w:t>
      </w:r>
    </w:p>
    <w:p w14:paraId="57CFA89F" w14:textId="77777777" w:rsidR="00D337D2" w:rsidRDefault="00D337D2" w:rsidP="00D337D2">
      <w:r>
        <w:t>Pimentel, D., Serras Pires, J. and Almeida, P.L. (2020) ‘Perceptions of organizational justice and commitment of non-family employees in family and non-family firms’, </w:t>
      </w:r>
      <w:r>
        <w:rPr>
          <w:rStyle w:val="fadeinpfttw8"/>
          <w:color w:val="000000"/>
        </w:rPr>
        <w:t>International Journal of Organization Theory &amp; Behavior</w:t>
      </w:r>
      <w:r>
        <w:t>, 23(2), pp. 141–154. Available at: </w:t>
      </w:r>
      <w:hyperlink r:id="rId53" w:history="1">
        <w:r>
          <w:rPr>
            <w:rStyle w:val="FooterChar"/>
          </w:rPr>
          <w:t>https://doi.org/10.1108/IJOTB-07-2019-0082</w:t>
        </w:r>
      </w:hyperlink>
      <w:r>
        <w:t xml:space="preserve">  </w:t>
      </w:r>
    </w:p>
    <w:p w14:paraId="5484D37F" w14:textId="77777777" w:rsidR="00D337D2" w:rsidRDefault="00D337D2" w:rsidP="00D337D2">
      <w:r>
        <w:t>Prouska, R., McKearney, A., Opute, J., Tungtakanpoung, M. and Brewster, C. (2022) ‘Voice in context: An international comparative study of employee experience with voice in small and medium enterprises’, </w:t>
      </w:r>
      <w:r>
        <w:rPr>
          <w:rStyle w:val="fadeinpfttw8"/>
          <w:color w:val="000000"/>
        </w:rPr>
        <w:t>The International Journal of Human Resource Management</w:t>
      </w:r>
      <w:r>
        <w:t>, 33(15), pp. 3149–3174. Available at: </w:t>
      </w:r>
      <w:hyperlink r:id="rId54" w:history="1">
        <w:r>
          <w:rPr>
            <w:rStyle w:val="FooterChar"/>
          </w:rPr>
          <w:t>https://doi.org/10.1080/09585192.2021.1925323</w:t>
        </w:r>
      </w:hyperlink>
      <w:r>
        <w:t xml:space="preserve"> </w:t>
      </w:r>
    </w:p>
    <w:p w14:paraId="06B29305" w14:textId="77777777" w:rsidR="00D337D2" w:rsidRPr="00A61A8D" w:rsidRDefault="00D337D2" w:rsidP="00D337D2">
      <w:pPr>
        <w:rPr>
          <w:lang w:val="en-US" w:bidi="bn-IN"/>
        </w:rPr>
      </w:pPr>
      <w:r w:rsidRPr="00A61A8D">
        <w:rPr>
          <w:lang w:bidi="bn-IN"/>
        </w:rPr>
        <w:t xml:space="preserve">Ragab, M.A. and Arisha, A. (2017) ‘Research Methodology in Business: a Starter’s Guide’, </w:t>
      </w:r>
      <w:r w:rsidRPr="00A61A8D">
        <w:rPr>
          <w:i/>
          <w:iCs/>
          <w:lang w:bidi="bn-IN"/>
        </w:rPr>
        <w:t>Management and Organizational Studies</w:t>
      </w:r>
      <w:r w:rsidRPr="00A61A8D">
        <w:rPr>
          <w:lang w:bidi="bn-IN"/>
        </w:rPr>
        <w:t xml:space="preserve">, 5(1), p. 1. Available at: </w:t>
      </w:r>
      <w:hyperlink r:id="rId55" w:history="1">
        <w:r w:rsidRPr="00603116">
          <w:rPr>
            <w:rStyle w:val="FooterChar"/>
            <w:lang w:bidi="bn-IN"/>
          </w:rPr>
          <w:t>https://doi.org/10.5430/mos.v5n1p1</w:t>
        </w:r>
      </w:hyperlink>
      <w:r w:rsidRPr="00A61A8D">
        <w:rPr>
          <w:lang w:bidi="bn-IN"/>
        </w:rPr>
        <w:t>.</w:t>
      </w:r>
      <w:r>
        <w:rPr>
          <w:lang w:val="en-US" w:bidi="bn-IN"/>
        </w:rPr>
        <w:t xml:space="preserve"> </w:t>
      </w:r>
    </w:p>
    <w:p w14:paraId="0BBEDF2A" w14:textId="77777777" w:rsidR="00D337D2" w:rsidRDefault="00D337D2" w:rsidP="00D337D2">
      <w:r>
        <w:lastRenderedPageBreak/>
        <w:t>Regier, C. (2024) ‘Labour law, employees’ capability for voice, and wellbeing: A framework for evaluation’, </w:t>
      </w:r>
      <w:r>
        <w:rPr>
          <w:rStyle w:val="fadeinpfttw8"/>
          <w:color w:val="000000"/>
        </w:rPr>
        <w:t>Journal of Human Development and Capabilities</w:t>
      </w:r>
      <w:r>
        <w:t>, 25(1), pp. 87–109. Available at: </w:t>
      </w:r>
      <w:hyperlink r:id="rId56" w:history="1">
        <w:r>
          <w:rPr>
            <w:rStyle w:val="FooterChar"/>
          </w:rPr>
          <w:t>https://doi.org/10.1080/19452829.2023.2266691</w:t>
        </w:r>
      </w:hyperlink>
      <w:r>
        <w:t xml:space="preserve"> </w:t>
      </w:r>
    </w:p>
    <w:p w14:paraId="34841883" w14:textId="77777777" w:rsidR="00D337D2" w:rsidRPr="00455397" w:rsidRDefault="00D337D2" w:rsidP="00D337D2">
      <w:pPr>
        <w:rPr>
          <w:lang w:eastAsia="en-US" w:bidi="bn-IN"/>
        </w:rPr>
      </w:pPr>
      <w:r w:rsidRPr="00455397">
        <w:rPr>
          <w:lang w:eastAsia="en-US" w:bidi="bn-IN"/>
        </w:rPr>
        <w:t xml:space="preserve">Sainju, B., Hartwell, C. and Edwards, J. (2021) “Job satisfaction and employee turnover determinants in Fortune 50 companies: Insights from employee reviews from Indeed.com,” </w:t>
      </w:r>
      <w:r w:rsidRPr="00455397">
        <w:rPr>
          <w:i/>
          <w:iCs/>
          <w:lang w:eastAsia="en-US" w:bidi="bn-IN"/>
        </w:rPr>
        <w:t>Decision Support Systems</w:t>
      </w:r>
      <w:r w:rsidRPr="00455397">
        <w:rPr>
          <w:lang w:eastAsia="en-US" w:bidi="bn-IN"/>
        </w:rPr>
        <w:t xml:space="preserve">, 148, p. 113582. Available at: </w:t>
      </w:r>
      <w:hyperlink r:id="rId57" w:history="1">
        <w:r w:rsidRPr="00455397">
          <w:rPr>
            <w:rStyle w:val="FooterChar"/>
            <w:lang w:eastAsia="en-US" w:bidi="bn-IN"/>
          </w:rPr>
          <w:t>https://doi.org/10.1016/j.dss.2021.113582</w:t>
        </w:r>
      </w:hyperlink>
      <w:r>
        <w:rPr>
          <w:lang w:eastAsia="en-US" w:bidi="bn-IN"/>
        </w:rPr>
        <w:t xml:space="preserve"> </w:t>
      </w:r>
    </w:p>
    <w:p w14:paraId="4AAD33A7" w14:textId="77777777" w:rsidR="00D337D2" w:rsidRPr="00B2346D" w:rsidRDefault="00D337D2" w:rsidP="00D337D2">
      <w:pPr>
        <w:rPr>
          <w:color w:val="000000"/>
          <w:kern w:val="0"/>
          <w:szCs w:val="24"/>
          <w:lang w:val="en-US" w:bidi="bn-IN"/>
          <w14:ligatures w14:val="none"/>
        </w:rPr>
      </w:pPr>
      <w:r w:rsidRPr="00B2346D">
        <w:rPr>
          <w:color w:val="000000"/>
          <w:kern w:val="0"/>
          <w:szCs w:val="24"/>
          <w:lang w:val="en-BD" w:bidi="bn-IN"/>
          <w14:ligatures w14:val="none"/>
        </w:rPr>
        <w:t>Sakdiyakorn, M., Golubovskaya, M. and Solnet, D. (2021) ‘Understanding generation Z through collective consciousness: Impacts for hospitality work and employment’, </w:t>
      </w:r>
      <w:r w:rsidRPr="00B2346D">
        <w:rPr>
          <w:i/>
          <w:iCs/>
          <w:color w:val="000000"/>
          <w:kern w:val="0"/>
          <w:szCs w:val="24"/>
          <w:lang w:val="en-BD" w:bidi="bn-IN"/>
          <w14:ligatures w14:val="none"/>
        </w:rPr>
        <w:t>International Journal of Hospitality Management</w:t>
      </w:r>
      <w:r w:rsidRPr="00B2346D">
        <w:rPr>
          <w:color w:val="000000"/>
          <w:kern w:val="0"/>
          <w:szCs w:val="24"/>
          <w:lang w:val="en-BD" w:bidi="bn-IN"/>
          <w14:ligatures w14:val="none"/>
        </w:rPr>
        <w:t xml:space="preserve">, 94. Available at: </w:t>
      </w:r>
      <w:hyperlink r:id="rId58" w:history="1">
        <w:r w:rsidRPr="00B2346D">
          <w:rPr>
            <w:rStyle w:val="Hyperlink"/>
            <w:kern w:val="0"/>
            <w:szCs w:val="24"/>
            <w:lang w:val="en-BD" w:bidi="bn-IN"/>
            <w14:ligatures w14:val="none"/>
          </w:rPr>
          <w:t>https://doi.org/10.1016/j.ijhm.2020.102822</w:t>
        </w:r>
      </w:hyperlink>
      <w:r w:rsidRPr="00B2346D">
        <w:rPr>
          <w:color w:val="000000"/>
          <w:kern w:val="0"/>
          <w:szCs w:val="24"/>
          <w:lang w:val="en-BD" w:bidi="bn-IN"/>
          <w14:ligatures w14:val="none"/>
        </w:rPr>
        <w:t>.</w:t>
      </w:r>
      <w:r>
        <w:rPr>
          <w:color w:val="000000"/>
          <w:kern w:val="0"/>
          <w:szCs w:val="24"/>
          <w:lang w:val="en-US" w:bidi="bn-IN"/>
          <w14:ligatures w14:val="none"/>
        </w:rPr>
        <w:t xml:space="preserve"> </w:t>
      </w:r>
    </w:p>
    <w:p w14:paraId="71A3743E" w14:textId="77777777" w:rsidR="00D337D2" w:rsidRPr="00A61A8D" w:rsidRDefault="00D337D2" w:rsidP="00D337D2">
      <w:pPr>
        <w:rPr>
          <w:lang w:bidi="bn-IN"/>
        </w:rPr>
      </w:pPr>
      <w:r w:rsidRPr="00A61A8D">
        <w:rPr>
          <w:lang w:bidi="bn-IN"/>
        </w:rPr>
        <w:t>Saunders, M.N.K., Lewis, P. &amp; Thornhill, A. (2023) Research Methods for Business Students (9th ed.). Pearson. </w:t>
      </w:r>
    </w:p>
    <w:p w14:paraId="26AF61EA"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Sharma, J., Jain, V. and Sharma, J. (2026) ‘Building resilient foundations: Exploring influence of high-performance work systems on intention to stay in education sector’, </w:t>
      </w:r>
      <w:r w:rsidRPr="00D337D2">
        <w:rPr>
          <w:i/>
          <w:iCs/>
          <w:color w:val="000000"/>
          <w:kern w:val="0"/>
          <w:szCs w:val="24"/>
          <w:lang w:val="en-BD" w:bidi="bn-IN"/>
          <w14:ligatures w14:val="none"/>
        </w:rPr>
        <w:t>Asia-Pacific Journal of Business Administration</w:t>
      </w:r>
      <w:r w:rsidRPr="00D337D2">
        <w:rPr>
          <w:color w:val="000000"/>
          <w:kern w:val="0"/>
          <w:szCs w:val="24"/>
          <w:lang w:val="en-BD" w:bidi="bn-IN"/>
          <w14:ligatures w14:val="none"/>
        </w:rPr>
        <w:t xml:space="preserve">, 18(5), pp. 1–20. Available at: </w:t>
      </w:r>
      <w:hyperlink r:id="rId59" w:history="1">
        <w:r w:rsidRPr="00D337D2">
          <w:rPr>
            <w:rStyle w:val="Hyperlink"/>
            <w:kern w:val="0"/>
            <w:szCs w:val="24"/>
            <w:lang w:val="en-BD" w:bidi="bn-IN"/>
            <w14:ligatures w14:val="none"/>
          </w:rPr>
          <w:t>https://doi.org/10.1108/apjba-09-2024-0547</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314C1D5C" w14:textId="77777777" w:rsidR="00D337D2" w:rsidRDefault="00D337D2" w:rsidP="00D337D2">
      <w:r>
        <w:t>Sun, I.Y., Wu, Y., Otu, S.E., Aro, G.C., Akor, I.C. and Nnam, M.U. (2022) ‘Linking organizational justice to organizational commitment among Nigerian police officers’, </w:t>
      </w:r>
      <w:r>
        <w:rPr>
          <w:rStyle w:val="fadeinpfttw8"/>
          <w:color w:val="000000"/>
        </w:rPr>
        <w:t>Criminal Justice and Behavior</w:t>
      </w:r>
      <w:r>
        <w:t>, 49(2), pp. 220–238. Available at: </w:t>
      </w:r>
      <w:hyperlink r:id="rId60" w:history="1">
        <w:r>
          <w:rPr>
            <w:rStyle w:val="FooterChar"/>
          </w:rPr>
          <w:t>https://doi.org/10.1177/00938548211036177</w:t>
        </w:r>
      </w:hyperlink>
      <w:r>
        <w:t xml:space="preserve"> </w:t>
      </w:r>
    </w:p>
    <w:p w14:paraId="500F139C" w14:textId="77777777" w:rsidR="00D337D2" w:rsidRPr="00455397" w:rsidRDefault="00D337D2" w:rsidP="00D337D2">
      <w:pPr>
        <w:rPr>
          <w:lang w:eastAsia="en-US" w:bidi="bn-IN"/>
        </w:rPr>
      </w:pPr>
      <w:r w:rsidRPr="00455397">
        <w:rPr>
          <w:lang w:eastAsia="en-US" w:bidi="bn-IN"/>
        </w:rPr>
        <w:t xml:space="preserve">Tedone, A.M. and Bruk-Lee, V. (2022) “Speaking up at work: Personality’s influence on employee voice behavior,” </w:t>
      </w:r>
      <w:r w:rsidRPr="00455397">
        <w:rPr>
          <w:i/>
          <w:iCs/>
          <w:lang w:eastAsia="en-US" w:bidi="bn-IN"/>
        </w:rPr>
        <w:t>International Journal of Organizational Analysis</w:t>
      </w:r>
      <w:r w:rsidRPr="00455397">
        <w:rPr>
          <w:lang w:eastAsia="en-US" w:bidi="bn-IN"/>
        </w:rPr>
        <w:t xml:space="preserve">, 30(2). Available at: </w:t>
      </w:r>
      <w:hyperlink r:id="rId61" w:history="1">
        <w:r w:rsidRPr="00455397">
          <w:rPr>
            <w:rStyle w:val="FooterChar"/>
            <w:lang w:eastAsia="en-US" w:bidi="bn-IN"/>
          </w:rPr>
          <w:t>https://doi.org/10.1108/ijoa-09-2020-2417</w:t>
        </w:r>
      </w:hyperlink>
      <w:r w:rsidRPr="00455397">
        <w:rPr>
          <w:lang w:eastAsia="en-US" w:bidi="bn-IN"/>
        </w:rPr>
        <w:t>.</w:t>
      </w:r>
      <w:r>
        <w:rPr>
          <w:lang w:eastAsia="en-US" w:bidi="bn-IN"/>
        </w:rPr>
        <w:t xml:space="preserve"> </w:t>
      </w:r>
    </w:p>
    <w:p w14:paraId="6D70228F" w14:textId="77777777" w:rsidR="00D337D2" w:rsidRDefault="00D337D2" w:rsidP="00D337D2">
      <w:r>
        <w:t>Tosun, A. (2025) ‘The relationship between organizational justice and organizational commitment in educational organizations: A meta-analysis study’, </w:t>
      </w:r>
      <w:r>
        <w:rPr>
          <w:rStyle w:val="fadeinpfttw8"/>
          <w:color w:val="000000"/>
        </w:rPr>
        <w:t>Journal of Human Sciences</w:t>
      </w:r>
      <w:r>
        <w:t>, 22(1), pp. 110–122. Available at: </w:t>
      </w:r>
      <w:hyperlink r:id="rId62" w:history="1">
        <w:r>
          <w:rPr>
            <w:rStyle w:val="FooterChar"/>
          </w:rPr>
          <w:t>https://doi.org/10.14687/jhs.v22i1.6540</w:t>
        </w:r>
      </w:hyperlink>
      <w:r>
        <w:rPr>
          <w:rStyle w:val="FooterChar"/>
        </w:rPr>
        <w:t xml:space="preserve"> </w:t>
      </w:r>
      <w:r>
        <w:t xml:space="preserve">  </w:t>
      </w:r>
    </w:p>
    <w:p w14:paraId="01EAAE75" w14:textId="77777777" w:rsidR="00D337D2" w:rsidRDefault="00D337D2" w:rsidP="00D337D2">
      <w:r>
        <w:t>Trang, T.T., Do, T.A.N. and Le, T.M.T. (2026) ‘Generation Z’s organizational commitment in the retail sector in Ho Chi Minh City’, </w:t>
      </w:r>
      <w:r>
        <w:rPr>
          <w:rStyle w:val="fadeinpfttw8"/>
          <w:color w:val="000000"/>
        </w:rPr>
        <w:t>Journal of Finance–Marketing Research</w:t>
      </w:r>
      <w:r>
        <w:t>, 4(1en), pp. 85–103. Available at: </w:t>
      </w:r>
      <w:hyperlink r:id="rId63" w:history="1">
        <w:r>
          <w:rPr>
            <w:rStyle w:val="FooterChar"/>
          </w:rPr>
          <w:t>https://doi.org/10.52932/jfmr.v4i1en.1072</w:t>
        </w:r>
      </w:hyperlink>
      <w:r>
        <w:t xml:space="preserve"> </w:t>
      </w:r>
    </w:p>
    <w:p w14:paraId="23335E33" w14:textId="77777777" w:rsidR="00D337D2" w:rsidRPr="00BB74CE" w:rsidRDefault="00D337D2" w:rsidP="00D337D2">
      <w:r>
        <w:lastRenderedPageBreak/>
        <w:t>Viseu, J., Guerreiro, S., Jesus, S.N. and Pinto, P. (2023) ‘Effect of psychosocial safety climate and organizational justice on affective commitment: A study in the Algarve hotel sector during the COVID-19 pandemic’, </w:t>
      </w:r>
      <w:r>
        <w:rPr>
          <w:rStyle w:val="fadeinpfttw8"/>
          <w:color w:val="000000"/>
        </w:rPr>
        <w:t>Journal of Human Resources in Hospitality &amp; Tourism</w:t>
      </w:r>
      <w:r>
        <w:t>, 22(2), pp. 320–345. Available at: </w:t>
      </w:r>
      <w:hyperlink r:id="rId64" w:history="1">
        <w:r>
          <w:rPr>
            <w:rStyle w:val="FooterChar"/>
          </w:rPr>
          <w:t>https://doi.org/10.1080/15332845.2023.2154035</w:t>
        </w:r>
      </w:hyperlink>
      <w:r>
        <w:t xml:space="preserve"> </w:t>
      </w:r>
    </w:p>
    <w:p w14:paraId="04B19E01" w14:textId="77777777" w:rsidR="00D337D2" w:rsidRPr="00D337D2" w:rsidRDefault="00D337D2" w:rsidP="00D337D2">
      <w:pPr>
        <w:rPr>
          <w:color w:val="000000"/>
          <w:kern w:val="0"/>
          <w:szCs w:val="24"/>
          <w:lang w:val="en-US" w:bidi="bn-IN"/>
          <w14:ligatures w14:val="none"/>
        </w:rPr>
      </w:pPr>
      <w:r w:rsidRPr="00D337D2">
        <w:rPr>
          <w:color w:val="000000"/>
          <w:kern w:val="0"/>
          <w:szCs w:val="24"/>
          <w:lang w:val="en-BD" w:bidi="bn-IN"/>
          <w14:ligatures w14:val="none"/>
        </w:rPr>
        <w:t>Wongsuwan, N., Phanniphong, K. and Na-Nan, K. (2023) ‘How job stress influences organisational commitment: Do positive thinking and job satisfaction matter?’, </w:t>
      </w:r>
      <w:r w:rsidRPr="00D337D2">
        <w:rPr>
          <w:i/>
          <w:iCs/>
          <w:color w:val="000000"/>
          <w:kern w:val="0"/>
          <w:szCs w:val="24"/>
          <w:lang w:val="en-BD" w:bidi="bn-IN"/>
          <w14:ligatures w14:val="none"/>
        </w:rPr>
        <w:t>Sustainability</w:t>
      </w:r>
      <w:r w:rsidRPr="00D337D2">
        <w:rPr>
          <w:color w:val="000000"/>
          <w:kern w:val="0"/>
          <w:szCs w:val="24"/>
          <w:lang w:val="en-BD" w:bidi="bn-IN"/>
          <w14:ligatures w14:val="none"/>
        </w:rPr>
        <w:t xml:space="preserve">, 15(4), p. 3015. Available at: </w:t>
      </w:r>
      <w:hyperlink r:id="rId65" w:history="1">
        <w:r w:rsidRPr="00D337D2">
          <w:rPr>
            <w:rStyle w:val="Hyperlink"/>
            <w:kern w:val="0"/>
            <w:szCs w:val="24"/>
            <w:lang w:val="en-BD" w:bidi="bn-IN"/>
            <w14:ligatures w14:val="none"/>
          </w:rPr>
          <w:t>https://doi.org/10.3390/su15043015</w:t>
        </w:r>
      </w:hyperlink>
      <w:r w:rsidRPr="00D337D2">
        <w:rPr>
          <w:color w:val="000000"/>
          <w:kern w:val="0"/>
          <w:szCs w:val="24"/>
          <w:lang w:val="en-BD" w:bidi="bn-IN"/>
          <w14:ligatures w14:val="none"/>
        </w:rPr>
        <w:t>.</w:t>
      </w:r>
      <w:r>
        <w:rPr>
          <w:color w:val="000000"/>
          <w:kern w:val="0"/>
          <w:szCs w:val="24"/>
          <w:lang w:val="en-US" w:bidi="bn-IN"/>
          <w14:ligatures w14:val="none"/>
        </w:rPr>
        <w:t xml:space="preserve"> </w:t>
      </w:r>
    </w:p>
    <w:p w14:paraId="2D073DD1" w14:textId="77777777" w:rsidR="00D337D2" w:rsidRPr="00B2346D" w:rsidRDefault="00D337D2" w:rsidP="00D337D2">
      <w:pPr>
        <w:rPr>
          <w:color w:val="000000"/>
          <w:kern w:val="0"/>
          <w:szCs w:val="24"/>
          <w:lang w:val="en-US" w:bidi="bn-IN"/>
          <w14:ligatures w14:val="none"/>
        </w:rPr>
      </w:pPr>
      <w:r w:rsidRPr="00B2346D">
        <w:rPr>
          <w:color w:val="000000"/>
          <w:kern w:val="0"/>
          <w:szCs w:val="24"/>
          <w:lang w:val="en-BD" w:bidi="bn-IN"/>
          <w14:ligatures w14:val="none"/>
        </w:rPr>
        <w:t>Yu, H. and Li, Z. (2025) ‘Organizational green culture and employees” green behavior: A moderated mediation model with employees” environmental awareness and organizational disseminative capacity’, </w:t>
      </w:r>
      <w:r w:rsidRPr="00B2346D">
        <w:rPr>
          <w:i/>
          <w:iCs/>
          <w:color w:val="000000"/>
          <w:kern w:val="0"/>
          <w:szCs w:val="24"/>
          <w:lang w:val="en-BD" w:bidi="bn-IN"/>
          <w14:ligatures w14:val="none"/>
        </w:rPr>
        <w:t>The Service Industries Journal</w:t>
      </w:r>
      <w:r w:rsidRPr="00B2346D">
        <w:rPr>
          <w:color w:val="000000"/>
          <w:kern w:val="0"/>
          <w:szCs w:val="24"/>
          <w:lang w:val="en-BD" w:bidi="bn-IN"/>
          <w14:ligatures w14:val="none"/>
        </w:rPr>
        <w:t xml:space="preserve">, 45(11–12), pp. 1018–1040. Available at: </w:t>
      </w:r>
      <w:hyperlink r:id="rId66" w:history="1">
        <w:r w:rsidRPr="00B2346D">
          <w:rPr>
            <w:rStyle w:val="Hyperlink"/>
            <w:kern w:val="0"/>
            <w:szCs w:val="24"/>
            <w:lang w:val="en-BD" w:bidi="bn-IN"/>
            <w14:ligatures w14:val="none"/>
          </w:rPr>
          <w:t>https://doi.org/10.1080/02642069.2024.2379013</w:t>
        </w:r>
      </w:hyperlink>
      <w:r w:rsidRPr="00B2346D">
        <w:rPr>
          <w:color w:val="000000"/>
          <w:kern w:val="0"/>
          <w:szCs w:val="24"/>
          <w:lang w:val="en-BD" w:bidi="bn-IN"/>
          <w14:ligatures w14:val="none"/>
        </w:rPr>
        <w:t>.</w:t>
      </w:r>
      <w:r>
        <w:rPr>
          <w:color w:val="000000"/>
          <w:kern w:val="0"/>
          <w:szCs w:val="24"/>
          <w:lang w:val="en-US" w:bidi="bn-IN"/>
          <w14:ligatures w14:val="none"/>
        </w:rPr>
        <w:t xml:space="preserve"> </w:t>
      </w:r>
    </w:p>
    <w:p w14:paraId="09DB5046" w14:textId="77777777" w:rsidR="00D337D2" w:rsidRDefault="00D337D2" w:rsidP="00D337D2">
      <w:pPr>
        <w:rPr>
          <w:lang w:eastAsia="en-US" w:bidi="bn-IN"/>
        </w:rPr>
      </w:pPr>
      <w:r w:rsidRPr="00455397">
        <w:rPr>
          <w:lang w:eastAsia="en-US" w:bidi="bn-IN"/>
        </w:rPr>
        <w:t xml:space="preserve">Zhang, B., Zhang, Y. and Zhou, P. (2021) “Consumer Attitude Towards Sustainability of Fast Fashion Products in the UK,” </w:t>
      </w:r>
      <w:r w:rsidRPr="00455397">
        <w:rPr>
          <w:i/>
          <w:iCs/>
          <w:lang w:eastAsia="en-US" w:bidi="bn-IN"/>
        </w:rPr>
        <w:t>Sustainability</w:t>
      </w:r>
      <w:r w:rsidRPr="00455397">
        <w:rPr>
          <w:lang w:eastAsia="en-US" w:bidi="bn-IN"/>
        </w:rPr>
        <w:t xml:space="preserve">, 13(4), pp. 1–23. Available at: </w:t>
      </w:r>
      <w:hyperlink r:id="rId67" w:history="1">
        <w:r>
          <w:rPr>
            <w:rStyle w:val="FooterChar"/>
            <w:lang w:eastAsia="en-US" w:bidi="bn-IN"/>
          </w:rPr>
          <w:t>https://doi.org/</w:t>
        </w:r>
        <w:r w:rsidRPr="00455397">
          <w:rPr>
            <w:rStyle w:val="FooterChar"/>
            <w:lang w:eastAsia="en-US" w:bidi="bn-IN"/>
          </w:rPr>
          <w:t>10.3390/su13041646</w:t>
        </w:r>
      </w:hyperlink>
      <w:r>
        <w:rPr>
          <w:lang w:eastAsia="en-US" w:bidi="bn-IN"/>
        </w:rPr>
        <w:t xml:space="preserve"> </w:t>
      </w:r>
    </w:p>
    <w:p w14:paraId="3DA33CA3" w14:textId="77777777" w:rsidR="00D337D2" w:rsidRPr="00B2346D" w:rsidRDefault="00D337D2" w:rsidP="00D337D2">
      <w:pPr>
        <w:rPr>
          <w:color w:val="000000"/>
          <w:kern w:val="0"/>
          <w:szCs w:val="24"/>
          <w:lang w:val="en-US" w:bidi="bn-IN"/>
          <w14:ligatures w14:val="none"/>
        </w:rPr>
      </w:pPr>
      <w:r w:rsidRPr="00B2346D">
        <w:rPr>
          <w:color w:val="000000"/>
          <w:kern w:val="0"/>
          <w:szCs w:val="24"/>
          <w:lang w:val="en-BD" w:bidi="bn-IN"/>
          <w14:ligatures w14:val="none"/>
        </w:rPr>
        <w:t>Zhang, W., Xu, R., Jiang, Y. and Zhang, W. (2021) ‘How environmental knowledge management promotes employee green behavior: An empirical study’, </w:t>
      </w:r>
      <w:r w:rsidRPr="00B2346D">
        <w:rPr>
          <w:i/>
          <w:iCs/>
          <w:color w:val="000000"/>
          <w:kern w:val="0"/>
          <w:szCs w:val="24"/>
          <w:lang w:val="en-BD" w:bidi="bn-IN"/>
          <w14:ligatures w14:val="none"/>
        </w:rPr>
        <w:t>International Journal of Environmental Research and Public Health</w:t>
      </w:r>
      <w:r w:rsidRPr="00B2346D">
        <w:rPr>
          <w:color w:val="000000"/>
          <w:kern w:val="0"/>
          <w:szCs w:val="24"/>
          <w:lang w:val="en-BD" w:bidi="bn-IN"/>
          <w14:ligatures w14:val="none"/>
        </w:rPr>
        <w:t xml:space="preserve">, 18(9), p. 4738. Available at: </w:t>
      </w:r>
      <w:hyperlink r:id="rId68" w:history="1">
        <w:r w:rsidRPr="00B2346D">
          <w:rPr>
            <w:rStyle w:val="Hyperlink"/>
            <w:kern w:val="0"/>
            <w:szCs w:val="24"/>
            <w:lang w:val="en-BD" w:bidi="bn-IN"/>
            <w14:ligatures w14:val="none"/>
          </w:rPr>
          <w:t>https://doi.org/10.3390/ijerph18094738</w:t>
        </w:r>
      </w:hyperlink>
      <w:r w:rsidRPr="00B2346D">
        <w:rPr>
          <w:color w:val="000000"/>
          <w:kern w:val="0"/>
          <w:szCs w:val="24"/>
          <w:lang w:val="en-BD" w:bidi="bn-IN"/>
          <w14:ligatures w14:val="none"/>
        </w:rPr>
        <w:t>.</w:t>
      </w:r>
      <w:r>
        <w:rPr>
          <w:color w:val="000000"/>
          <w:kern w:val="0"/>
          <w:szCs w:val="24"/>
          <w:lang w:val="en-US" w:bidi="bn-IN"/>
          <w14:ligatures w14:val="none"/>
        </w:rPr>
        <w:t xml:space="preserve"> </w:t>
      </w:r>
    </w:p>
    <w:p w14:paraId="69B38D36" w14:textId="77777777" w:rsidR="00E37F20" w:rsidRDefault="00E37F20" w:rsidP="00E37F20">
      <w:pPr>
        <w:pStyle w:val="Heading1"/>
        <w:pageBreakBefore/>
      </w:pPr>
      <w:bookmarkStart w:id="76" w:name="_Toc240321874"/>
      <w:r>
        <w:lastRenderedPageBreak/>
        <w:t>Appendices</w:t>
      </w:r>
      <w:bookmarkEnd w:id="76"/>
    </w:p>
    <w:p w14:paraId="283D42BC" w14:textId="77777777" w:rsidR="00E37F20" w:rsidRDefault="00E37F20" w:rsidP="00E37F20">
      <w:pPr>
        <w:pStyle w:val="Heading2"/>
      </w:pPr>
      <w:bookmarkStart w:id="77" w:name="_Toc240321875"/>
      <w:r>
        <w:t>Appendix A: Variable Coding and Composite Construction</w:t>
      </w:r>
      <w:bookmarkEnd w:id="77"/>
    </w:p>
    <w:p w14:paraId="5135F246" w14:textId="69656037" w:rsidR="00E37F20" w:rsidRDefault="00E37F20" w:rsidP="00E37F20">
      <w:r>
        <w:t>Table A1 documents the variables used in Chapters 4–6. Likert responses were coded from 1 (strongly disagree) to 5 (strongly agree). All items were positively oriented. Each composite was the arithmetic mean of its constituent items, retaining the original one-to-five metric.</w:t>
      </w:r>
    </w:p>
    <w:p w14:paraId="1D9C4850" w14:textId="77777777" w:rsidR="00E37F20" w:rsidRDefault="00E37F20" w:rsidP="00E37F20">
      <w:r>
        <w:t>Table A1 Variable coding and composite construction</w:t>
      </w:r>
    </w:p>
    <w:tbl>
      <w:tblPr>
        <w:tblW w:w="8928" w:type="dxa"/>
        <w:jc w:val="center"/>
        <w:tblLayout w:type="fixed"/>
        <w:tblLook w:val="04A0" w:firstRow="1" w:lastRow="0" w:firstColumn="1" w:lastColumn="0" w:noHBand="0" w:noVBand="1"/>
      </w:tblPr>
      <w:tblGrid>
        <w:gridCol w:w="1440"/>
        <w:gridCol w:w="2952"/>
        <w:gridCol w:w="1656"/>
        <w:gridCol w:w="2880"/>
      </w:tblGrid>
      <w:tr w:rsidR="00E37F20" w14:paraId="7E659F16" w14:textId="77777777" w:rsidTr="000C6B24">
        <w:trPr>
          <w:tblHeader/>
          <w:jc w:val="center"/>
        </w:trPr>
        <w:tc>
          <w:tcPr>
            <w:tcW w:w="144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F8EF996" w14:textId="77777777" w:rsidR="00E37F20" w:rsidRDefault="00E37F20" w:rsidP="000C6B24">
            <w:pPr>
              <w:spacing w:after="0" w:line="240" w:lineRule="auto"/>
              <w:jc w:val="center"/>
            </w:pPr>
            <w:r>
              <w:rPr>
                <w:b/>
                <w:color w:val="000000"/>
                <w:sz w:val="17"/>
              </w:rPr>
              <w:t>Variables</w:t>
            </w:r>
          </w:p>
        </w:tc>
        <w:tc>
          <w:tcPr>
            <w:tcW w:w="295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7B099EC5" w14:textId="77777777" w:rsidR="00E37F20" w:rsidRDefault="00E37F20" w:rsidP="000C6B24">
            <w:pPr>
              <w:spacing w:after="0" w:line="240" w:lineRule="auto"/>
              <w:jc w:val="center"/>
            </w:pPr>
            <w:r>
              <w:rPr>
                <w:b/>
                <w:color w:val="000000"/>
                <w:sz w:val="17"/>
              </w:rPr>
              <w:t>Purpose / construct</w:t>
            </w:r>
          </w:p>
        </w:tc>
        <w:tc>
          <w:tcPr>
            <w:tcW w:w="165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B1CDD02" w14:textId="77777777" w:rsidR="00E37F20" w:rsidRDefault="00E37F20" w:rsidP="000C6B24">
            <w:pPr>
              <w:spacing w:after="0" w:line="240" w:lineRule="auto"/>
              <w:jc w:val="center"/>
            </w:pPr>
            <w:r>
              <w:rPr>
                <w:b/>
                <w:color w:val="000000"/>
                <w:sz w:val="17"/>
              </w:rPr>
              <w:t>Coding</w:t>
            </w:r>
          </w:p>
        </w:tc>
        <w:tc>
          <w:tcPr>
            <w:tcW w:w="288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D576FB7" w14:textId="77777777" w:rsidR="00E37F20" w:rsidRDefault="00E37F20" w:rsidP="000C6B24">
            <w:pPr>
              <w:spacing w:after="0" w:line="240" w:lineRule="auto"/>
              <w:jc w:val="center"/>
            </w:pPr>
            <w:r>
              <w:rPr>
                <w:b/>
                <w:color w:val="000000"/>
                <w:sz w:val="17"/>
              </w:rPr>
              <w:t>Analytical use</w:t>
            </w:r>
          </w:p>
        </w:tc>
      </w:tr>
      <w:tr w:rsidR="00E37F20" w14:paraId="4FCD8DEB" w14:textId="77777777" w:rsidTr="000C6B24">
        <w:trPr>
          <w:cantSplit/>
          <w:jc w:val="center"/>
        </w:trPr>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950681" w14:textId="77777777" w:rsidR="00E37F20" w:rsidRDefault="00E37F20" w:rsidP="000C6B24">
            <w:pPr>
              <w:spacing w:after="0" w:line="240" w:lineRule="auto"/>
              <w:jc w:val="center"/>
            </w:pPr>
            <w:r>
              <w:rPr>
                <w:color w:val="000000"/>
                <w:sz w:val="17"/>
              </w:rPr>
              <w:t>Q2–Q7</w:t>
            </w:r>
          </w:p>
        </w:tc>
        <w:tc>
          <w:tcPr>
            <w:tcW w:w="295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2751EA" w14:textId="77777777" w:rsidR="00E37F20" w:rsidRDefault="00E37F20" w:rsidP="000C6B24">
            <w:pPr>
              <w:spacing w:after="0" w:line="240" w:lineRule="auto"/>
              <w:jc w:val="left"/>
            </w:pPr>
            <w:r>
              <w:rPr>
                <w:color w:val="000000"/>
                <w:sz w:val="17"/>
              </w:rPr>
              <w:t>Respondent profile</w:t>
            </w:r>
          </w:p>
        </w:tc>
        <w:tc>
          <w:tcPr>
            <w:tcW w:w="16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27E49AF" w14:textId="77777777" w:rsidR="00E37F20" w:rsidRDefault="00E37F20" w:rsidP="000C6B24">
            <w:pPr>
              <w:spacing w:after="0" w:line="240" w:lineRule="auto"/>
              <w:jc w:val="center"/>
            </w:pPr>
            <w:r>
              <w:rPr>
                <w:color w:val="000000"/>
                <w:sz w:val="17"/>
              </w:rPr>
              <w:t>Categorical</w:t>
            </w:r>
          </w:p>
        </w:tc>
        <w:tc>
          <w:tcPr>
            <w:tcW w:w="28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1DDA9F3" w14:textId="77777777" w:rsidR="00E37F20" w:rsidRDefault="00E37F20" w:rsidP="000C6B24">
            <w:pPr>
              <w:spacing w:after="0" w:line="240" w:lineRule="auto"/>
              <w:jc w:val="left"/>
            </w:pPr>
            <w:r>
              <w:rPr>
                <w:color w:val="000000"/>
                <w:sz w:val="17"/>
              </w:rPr>
              <w:t>Frequency and percentage</w:t>
            </w:r>
          </w:p>
        </w:tc>
      </w:tr>
      <w:tr w:rsidR="00E37F20" w14:paraId="2E56AEBE" w14:textId="77777777" w:rsidTr="000C6B24">
        <w:trPr>
          <w:cantSplit/>
          <w:jc w:val="center"/>
        </w:trPr>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CA4485" w14:textId="77777777" w:rsidR="00E37F20" w:rsidRDefault="00E37F20" w:rsidP="000C6B24">
            <w:pPr>
              <w:spacing w:after="0" w:line="240" w:lineRule="auto"/>
              <w:jc w:val="center"/>
            </w:pPr>
            <w:r>
              <w:rPr>
                <w:color w:val="000000"/>
                <w:sz w:val="17"/>
              </w:rPr>
              <w:t>Q8–Q14</w:t>
            </w:r>
          </w:p>
        </w:tc>
        <w:tc>
          <w:tcPr>
            <w:tcW w:w="295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9B3551E" w14:textId="77777777" w:rsidR="00E37F20" w:rsidRDefault="00E37F20" w:rsidP="000C6B24">
            <w:pPr>
              <w:spacing w:after="0" w:line="240" w:lineRule="auto"/>
              <w:jc w:val="left"/>
            </w:pPr>
            <w:r>
              <w:rPr>
                <w:color w:val="000000"/>
                <w:sz w:val="17"/>
              </w:rPr>
              <w:t>Employment rights awareness</w:t>
            </w:r>
          </w:p>
        </w:tc>
        <w:tc>
          <w:tcPr>
            <w:tcW w:w="16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FD53F95" w14:textId="77777777" w:rsidR="00E37F20" w:rsidRDefault="00E37F20" w:rsidP="000C6B24">
            <w:pPr>
              <w:spacing w:after="0" w:line="240" w:lineRule="auto"/>
              <w:jc w:val="center"/>
            </w:pPr>
            <w:r>
              <w:rPr>
                <w:color w:val="000000"/>
                <w:sz w:val="17"/>
              </w:rPr>
              <w:t>1–5 Likert</w:t>
            </w:r>
          </w:p>
        </w:tc>
        <w:tc>
          <w:tcPr>
            <w:tcW w:w="28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2F50F3F" w14:textId="77777777" w:rsidR="00E37F20" w:rsidRDefault="00E37F20" w:rsidP="000C6B24">
            <w:pPr>
              <w:spacing w:after="0" w:line="240" w:lineRule="auto"/>
              <w:jc w:val="left"/>
            </w:pPr>
            <w:r>
              <w:rPr>
                <w:color w:val="000000"/>
                <w:sz w:val="17"/>
              </w:rPr>
              <w:t>Mean of seven valid items</w:t>
            </w:r>
          </w:p>
        </w:tc>
      </w:tr>
      <w:tr w:rsidR="00E37F20" w14:paraId="1585ECEA" w14:textId="77777777" w:rsidTr="000C6B24">
        <w:trPr>
          <w:cantSplit/>
          <w:jc w:val="center"/>
        </w:trPr>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E7A741B" w14:textId="77777777" w:rsidR="00E37F20" w:rsidRDefault="00E37F20" w:rsidP="000C6B24">
            <w:pPr>
              <w:spacing w:after="0" w:line="240" w:lineRule="auto"/>
              <w:jc w:val="center"/>
            </w:pPr>
            <w:r>
              <w:rPr>
                <w:color w:val="000000"/>
                <w:sz w:val="17"/>
              </w:rPr>
              <w:t>Q15–Q22</w:t>
            </w:r>
          </w:p>
        </w:tc>
        <w:tc>
          <w:tcPr>
            <w:tcW w:w="295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AC51BC8" w14:textId="77777777" w:rsidR="00E37F20" w:rsidRDefault="00E37F20" w:rsidP="000C6B24">
            <w:pPr>
              <w:spacing w:after="0" w:line="240" w:lineRule="auto"/>
              <w:jc w:val="left"/>
            </w:pPr>
            <w:r>
              <w:rPr>
                <w:color w:val="000000"/>
                <w:sz w:val="17"/>
              </w:rPr>
              <w:t>Organisational justice</w:t>
            </w:r>
          </w:p>
        </w:tc>
        <w:tc>
          <w:tcPr>
            <w:tcW w:w="16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6C797AF" w14:textId="77777777" w:rsidR="00E37F20" w:rsidRDefault="00E37F20" w:rsidP="000C6B24">
            <w:pPr>
              <w:spacing w:after="0" w:line="240" w:lineRule="auto"/>
              <w:jc w:val="center"/>
            </w:pPr>
            <w:r>
              <w:rPr>
                <w:color w:val="000000"/>
                <w:sz w:val="17"/>
              </w:rPr>
              <w:t>1–5 Likert</w:t>
            </w:r>
          </w:p>
        </w:tc>
        <w:tc>
          <w:tcPr>
            <w:tcW w:w="28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212C7C0" w14:textId="77777777" w:rsidR="00E37F20" w:rsidRDefault="00E37F20" w:rsidP="000C6B24">
            <w:pPr>
              <w:spacing w:after="0" w:line="240" w:lineRule="auto"/>
              <w:jc w:val="left"/>
            </w:pPr>
            <w:r>
              <w:rPr>
                <w:color w:val="000000"/>
                <w:sz w:val="17"/>
              </w:rPr>
              <w:t>Mean of eight valid items</w:t>
            </w:r>
          </w:p>
        </w:tc>
      </w:tr>
      <w:tr w:rsidR="00E37F20" w14:paraId="30A400C5" w14:textId="77777777" w:rsidTr="000C6B24">
        <w:trPr>
          <w:cantSplit/>
          <w:jc w:val="center"/>
        </w:trPr>
        <w:tc>
          <w:tcPr>
            <w:tcW w:w="144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DE9085" w14:textId="77777777" w:rsidR="00E37F20" w:rsidRDefault="00E37F20" w:rsidP="000C6B24">
            <w:pPr>
              <w:spacing w:after="0" w:line="240" w:lineRule="auto"/>
              <w:jc w:val="center"/>
            </w:pPr>
            <w:r>
              <w:rPr>
                <w:color w:val="000000"/>
                <w:sz w:val="17"/>
              </w:rPr>
              <w:t>Q23–Q30</w:t>
            </w:r>
          </w:p>
        </w:tc>
        <w:tc>
          <w:tcPr>
            <w:tcW w:w="295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E5B0B0A" w14:textId="77777777" w:rsidR="00E37F20" w:rsidRDefault="00E37F20" w:rsidP="000C6B24">
            <w:pPr>
              <w:spacing w:after="0" w:line="240" w:lineRule="auto"/>
              <w:jc w:val="left"/>
            </w:pPr>
            <w:r>
              <w:rPr>
                <w:color w:val="000000"/>
                <w:sz w:val="17"/>
              </w:rPr>
              <w:t>Organisational commitment</w:t>
            </w:r>
          </w:p>
        </w:tc>
        <w:tc>
          <w:tcPr>
            <w:tcW w:w="165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5C37ED6" w14:textId="77777777" w:rsidR="00E37F20" w:rsidRDefault="00E37F20" w:rsidP="000C6B24">
            <w:pPr>
              <w:spacing w:after="0" w:line="240" w:lineRule="auto"/>
              <w:jc w:val="center"/>
            </w:pPr>
            <w:r>
              <w:rPr>
                <w:color w:val="000000"/>
                <w:sz w:val="17"/>
              </w:rPr>
              <w:t>1–5 Likert</w:t>
            </w:r>
          </w:p>
        </w:tc>
        <w:tc>
          <w:tcPr>
            <w:tcW w:w="288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7E5A97E" w14:textId="77777777" w:rsidR="00E37F20" w:rsidRDefault="00E37F20" w:rsidP="000C6B24">
            <w:pPr>
              <w:spacing w:after="0" w:line="240" w:lineRule="auto"/>
              <w:jc w:val="left"/>
            </w:pPr>
            <w:r>
              <w:rPr>
                <w:color w:val="000000"/>
                <w:sz w:val="17"/>
              </w:rPr>
              <w:t>Mean of eight valid items</w:t>
            </w:r>
          </w:p>
        </w:tc>
      </w:tr>
    </w:tbl>
    <w:p w14:paraId="1EBE4FAC" w14:textId="77777777" w:rsidR="00E37F20" w:rsidRDefault="00E37F20" w:rsidP="00E37F20">
      <w:pPr>
        <w:spacing w:after="0" w:line="48" w:lineRule="auto"/>
      </w:pPr>
    </w:p>
    <w:p w14:paraId="0603459E" w14:textId="77777777" w:rsidR="00E37F20" w:rsidRDefault="00E37F20" w:rsidP="00E37F20">
      <w:pPr>
        <w:pStyle w:val="Heading2"/>
      </w:pPr>
      <w:bookmarkStart w:id="78" w:name="_Toc240321876"/>
      <w:r>
        <w:t>Appendix B: Statistical Analysis Audit Trail</w:t>
      </w:r>
      <w:bookmarkEnd w:id="78"/>
    </w:p>
    <w:p w14:paraId="4692607E" w14:textId="77777777" w:rsidR="00E37F20" w:rsidRDefault="00E37F20" w:rsidP="00E37F20">
      <w:r>
        <w:t>Table B1 records the screening, estimation and decision rules used to generate the reported results. One repeated full-response pattern was detected during screening; the records had separate respondent identifiers, satisfied eligibility and contained valid data, so both were retained. No deletion rule was introduced after viewing the hypothesis results.</w:t>
      </w:r>
    </w:p>
    <w:p w14:paraId="788C8E0C" w14:textId="77777777" w:rsidR="00E37F20" w:rsidRDefault="00E37F20" w:rsidP="00E37F20">
      <w:r>
        <w:t>Table B1 Data screening and analysis decisions</w:t>
      </w:r>
    </w:p>
    <w:tbl>
      <w:tblPr>
        <w:tblW w:w="8928" w:type="dxa"/>
        <w:jc w:val="center"/>
        <w:tblLayout w:type="fixed"/>
        <w:tblLook w:val="04A0" w:firstRow="1" w:lastRow="0" w:firstColumn="1" w:lastColumn="0" w:noHBand="0" w:noVBand="1"/>
      </w:tblPr>
      <w:tblGrid>
        <w:gridCol w:w="3096"/>
        <w:gridCol w:w="1728"/>
        <w:gridCol w:w="4104"/>
      </w:tblGrid>
      <w:tr w:rsidR="00E37F20" w14:paraId="5669A8FA" w14:textId="77777777" w:rsidTr="000C6B24">
        <w:trPr>
          <w:tblHeader/>
          <w:jc w:val="center"/>
        </w:trPr>
        <w:tc>
          <w:tcPr>
            <w:tcW w:w="309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3325F1D" w14:textId="77777777" w:rsidR="00E37F20" w:rsidRDefault="00E37F20" w:rsidP="000C6B24">
            <w:pPr>
              <w:spacing w:after="0" w:line="240" w:lineRule="auto"/>
              <w:jc w:val="center"/>
            </w:pPr>
            <w:r>
              <w:rPr>
                <w:b/>
                <w:color w:val="000000"/>
                <w:sz w:val="17"/>
              </w:rPr>
              <w:t>Check / decision</w:t>
            </w:r>
          </w:p>
        </w:tc>
        <w:tc>
          <w:tcPr>
            <w:tcW w:w="172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7E77C601" w14:textId="77777777" w:rsidR="00E37F20" w:rsidRDefault="00E37F20" w:rsidP="000C6B24">
            <w:pPr>
              <w:spacing w:after="0" w:line="240" w:lineRule="auto"/>
              <w:jc w:val="center"/>
            </w:pPr>
            <w:r>
              <w:rPr>
                <w:b/>
                <w:color w:val="000000"/>
                <w:sz w:val="17"/>
              </w:rPr>
              <w:t>Result</w:t>
            </w:r>
          </w:p>
        </w:tc>
        <w:tc>
          <w:tcPr>
            <w:tcW w:w="4104"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3F418D6" w14:textId="77777777" w:rsidR="00E37F20" w:rsidRDefault="00E37F20" w:rsidP="000C6B24">
            <w:pPr>
              <w:spacing w:after="0" w:line="240" w:lineRule="auto"/>
              <w:jc w:val="center"/>
            </w:pPr>
            <w:r>
              <w:rPr>
                <w:b/>
                <w:color w:val="000000"/>
                <w:sz w:val="17"/>
              </w:rPr>
              <w:t>Treatment</w:t>
            </w:r>
          </w:p>
        </w:tc>
      </w:tr>
      <w:tr w:rsidR="00E37F20" w14:paraId="3FC060E9"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E84537E" w14:textId="77777777" w:rsidR="00E37F20" w:rsidRDefault="00E37F20" w:rsidP="000C6B24">
            <w:pPr>
              <w:spacing w:after="0" w:line="240" w:lineRule="auto"/>
              <w:jc w:val="left"/>
            </w:pPr>
            <w:r>
              <w:rPr>
                <w:color w:val="000000"/>
                <w:sz w:val="17"/>
              </w:rPr>
              <w:t>Eligible and consenting cases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83C5FE" w14:textId="77777777" w:rsidR="00E37F20" w:rsidRDefault="00E37F20" w:rsidP="000C6B24">
            <w:pPr>
              <w:spacing w:after="0" w:line="240" w:lineRule="auto"/>
              <w:jc w:val="center"/>
            </w:pPr>
            <w:r>
              <w:rPr>
                <w:color w:val="000000"/>
                <w:sz w:val="17"/>
              </w:rPr>
              <w:t>75</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B4F641C" w14:textId="77777777" w:rsidR="00E37F20" w:rsidRDefault="00E37F20" w:rsidP="000C6B24">
            <w:pPr>
              <w:spacing w:after="0" w:line="240" w:lineRule="auto"/>
              <w:jc w:val="left"/>
            </w:pPr>
            <w:r>
              <w:rPr>
                <w:color w:val="000000"/>
                <w:sz w:val="17"/>
              </w:rPr>
              <w:t>All retained</w:t>
            </w:r>
          </w:p>
        </w:tc>
      </w:tr>
      <w:tr w:rsidR="00E37F20" w14:paraId="2C6DFE94"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252A335" w14:textId="77777777" w:rsidR="00E37F20" w:rsidRDefault="00E37F20" w:rsidP="000C6B24">
            <w:pPr>
              <w:spacing w:after="0" w:line="240" w:lineRule="auto"/>
              <w:jc w:val="left"/>
            </w:pPr>
            <w:r>
              <w:rPr>
                <w:color w:val="000000"/>
                <w:sz w:val="17"/>
              </w:rPr>
              <w:t>Missing values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74C1CEB" w14:textId="77777777" w:rsidR="00E37F20" w:rsidRDefault="00E37F20" w:rsidP="000C6B24">
            <w:pPr>
              <w:spacing w:after="0" w:line="240" w:lineRule="auto"/>
              <w:jc w:val="center"/>
            </w:pPr>
            <w:r>
              <w:rPr>
                <w:color w:val="000000"/>
                <w:sz w:val="17"/>
              </w:rPr>
              <w:t>0</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FE3617" w14:textId="77777777" w:rsidR="00E37F20" w:rsidRDefault="00E37F20" w:rsidP="000C6B24">
            <w:pPr>
              <w:spacing w:after="0" w:line="240" w:lineRule="auto"/>
              <w:jc w:val="left"/>
            </w:pPr>
            <w:r>
              <w:rPr>
                <w:color w:val="000000"/>
                <w:sz w:val="17"/>
              </w:rPr>
              <w:t>No imputation</w:t>
            </w:r>
          </w:p>
        </w:tc>
      </w:tr>
      <w:tr w:rsidR="00E37F20" w14:paraId="396F73E3"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2CC2EAA" w14:textId="77777777" w:rsidR="00E37F20" w:rsidRDefault="00E37F20" w:rsidP="000C6B24">
            <w:pPr>
              <w:spacing w:after="0" w:line="240" w:lineRule="auto"/>
              <w:jc w:val="left"/>
            </w:pPr>
            <w:r>
              <w:rPr>
                <w:color w:val="000000"/>
                <w:sz w:val="17"/>
              </w:rPr>
              <w:t>Out-of-range Likert values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E26DA64" w14:textId="77777777" w:rsidR="00E37F20" w:rsidRDefault="00E37F20" w:rsidP="000C6B24">
            <w:pPr>
              <w:spacing w:after="0" w:line="240" w:lineRule="auto"/>
              <w:jc w:val="center"/>
            </w:pPr>
            <w:r>
              <w:rPr>
                <w:color w:val="000000"/>
                <w:sz w:val="17"/>
              </w:rPr>
              <w:t>0</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39515BA" w14:textId="77777777" w:rsidR="00E37F20" w:rsidRDefault="00E37F20" w:rsidP="000C6B24">
            <w:pPr>
              <w:spacing w:after="0" w:line="240" w:lineRule="auto"/>
              <w:jc w:val="left"/>
            </w:pPr>
            <w:r>
              <w:rPr>
                <w:color w:val="000000"/>
                <w:sz w:val="17"/>
              </w:rPr>
              <w:t>No recoding required</w:t>
            </w:r>
          </w:p>
        </w:tc>
      </w:tr>
      <w:tr w:rsidR="00E37F20" w14:paraId="7C27B714"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3BD93ED" w14:textId="77777777" w:rsidR="00E37F20" w:rsidRDefault="00E37F20" w:rsidP="000C6B24">
            <w:pPr>
              <w:spacing w:after="0" w:line="240" w:lineRule="auto"/>
              <w:jc w:val="left"/>
            </w:pPr>
            <w:r>
              <w:rPr>
                <w:color w:val="000000"/>
                <w:sz w:val="17"/>
              </w:rPr>
              <w:t>Repeated full-response patterns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E09104" w14:textId="77777777" w:rsidR="00E37F20" w:rsidRDefault="00E37F20" w:rsidP="000C6B24">
            <w:pPr>
              <w:spacing w:after="0" w:line="240" w:lineRule="auto"/>
              <w:jc w:val="center"/>
            </w:pPr>
            <w:r>
              <w:rPr>
                <w:color w:val="000000"/>
                <w:sz w:val="17"/>
              </w:rPr>
              <w:t>1 pair</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427F67C" w14:textId="77777777" w:rsidR="00E37F20" w:rsidRDefault="00E37F20" w:rsidP="000C6B24">
            <w:pPr>
              <w:spacing w:after="0" w:line="240" w:lineRule="auto"/>
              <w:jc w:val="left"/>
            </w:pPr>
            <w:r>
              <w:rPr>
                <w:color w:val="000000"/>
                <w:sz w:val="17"/>
              </w:rPr>
              <w:t>Retained: distinct identifiers and valid records</w:t>
            </w:r>
          </w:p>
        </w:tc>
      </w:tr>
      <w:tr w:rsidR="00E37F20" w14:paraId="3B938289"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A777C6" w14:textId="77777777" w:rsidR="00E37F20" w:rsidRDefault="00E37F20" w:rsidP="000C6B24">
            <w:pPr>
              <w:spacing w:after="0" w:line="240" w:lineRule="auto"/>
              <w:jc w:val="left"/>
            </w:pPr>
            <w:r>
              <w:rPr>
                <w:color w:val="000000"/>
                <w:sz w:val="17"/>
              </w:rPr>
              <w:t>Scale construction</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AAA400" w14:textId="77777777" w:rsidR="00E37F20" w:rsidRDefault="00E37F20" w:rsidP="000C6B24">
            <w:pPr>
              <w:spacing w:after="0" w:line="240" w:lineRule="auto"/>
              <w:jc w:val="center"/>
            </w:pPr>
            <w:r>
              <w:rPr>
                <w:color w:val="000000"/>
                <w:sz w:val="17"/>
              </w:rPr>
              <w:t>Item means</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E6248E7" w14:textId="77777777" w:rsidR="00E37F20" w:rsidRDefault="00E37F20" w:rsidP="000C6B24">
            <w:pPr>
              <w:spacing w:after="0" w:line="240" w:lineRule="auto"/>
              <w:jc w:val="left"/>
            </w:pPr>
            <w:r>
              <w:rPr>
                <w:color w:val="000000"/>
                <w:sz w:val="17"/>
              </w:rPr>
              <w:t>No reverse-coded statements</w:t>
            </w:r>
          </w:p>
        </w:tc>
      </w:tr>
      <w:tr w:rsidR="00E37F20" w14:paraId="1958B02D"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039996" w14:textId="77777777" w:rsidR="00E37F20" w:rsidRDefault="00E37F20" w:rsidP="000C6B24">
            <w:pPr>
              <w:spacing w:after="0" w:line="240" w:lineRule="auto"/>
              <w:jc w:val="left"/>
            </w:pPr>
            <w:r>
              <w:rPr>
                <w:color w:val="000000"/>
                <w:sz w:val="17"/>
              </w:rPr>
              <w:t>Direct hypotheses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627E4D7" w14:textId="77777777" w:rsidR="00E37F20" w:rsidRDefault="00E37F20" w:rsidP="000C6B24">
            <w:pPr>
              <w:spacing w:after="0" w:line="240" w:lineRule="auto"/>
              <w:jc w:val="center"/>
            </w:pPr>
            <w:r>
              <w:rPr>
                <w:color w:val="000000"/>
                <w:sz w:val="17"/>
              </w:rPr>
              <w:t>Pearson r and OLS</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382BB50" w14:textId="77777777" w:rsidR="00E37F20" w:rsidRDefault="00E37F20" w:rsidP="000C6B24">
            <w:pPr>
              <w:spacing w:after="0" w:line="240" w:lineRule="auto"/>
              <w:jc w:val="left"/>
            </w:pPr>
            <w:r>
              <w:rPr>
                <w:color w:val="000000"/>
                <w:sz w:val="17"/>
              </w:rPr>
              <w:t>Two-sided α = 0.05</w:t>
            </w:r>
          </w:p>
        </w:tc>
      </w:tr>
      <w:tr w:rsidR="00E37F20" w14:paraId="5F9CB826"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6B6617" w14:textId="77777777" w:rsidR="00E37F20" w:rsidRDefault="00E37F20" w:rsidP="000C6B24">
            <w:pPr>
              <w:spacing w:after="0" w:line="240" w:lineRule="auto"/>
              <w:jc w:val="left"/>
            </w:pPr>
            <w:r>
              <w:rPr>
                <w:color w:val="000000"/>
                <w:sz w:val="17"/>
              </w:rPr>
              <w:t>Indirect hypothesis</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53885F5" w14:textId="77777777" w:rsidR="00E37F20" w:rsidRDefault="00E37F20" w:rsidP="000C6B24">
            <w:pPr>
              <w:spacing w:after="0" w:line="240" w:lineRule="auto"/>
              <w:jc w:val="center"/>
            </w:pPr>
            <w:r>
              <w:rPr>
                <w:color w:val="000000"/>
                <w:sz w:val="17"/>
              </w:rPr>
              <w:t>Case bootstrap</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477B662" w14:textId="77777777" w:rsidR="00E37F20" w:rsidRDefault="00E37F20" w:rsidP="000C6B24">
            <w:pPr>
              <w:spacing w:after="0" w:line="240" w:lineRule="auto"/>
              <w:jc w:val="left"/>
            </w:pPr>
            <w:r>
              <w:rPr>
                <w:color w:val="000000"/>
                <w:sz w:val="17"/>
              </w:rPr>
              <w:t>5,000 resamples; 95% percentile CI</w:t>
            </w:r>
          </w:p>
        </w:tc>
      </w:tr>
      <w:tr w:rsidR="00E37F20" w14:paraId="3B53143D" w14:textId="77777777" w:rsidTr="000C6B24">
        <w:trPr>
          <w:cantSplit/>
          <w:jc w:val="center"/>
        </w:trPr>
        <w:tc>
          <w:tcPr>
            <w:tcW w:w="309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516EE3" w14:textId="77777777" w:rsidR="00E37F20" w:rsidRDefault="00E37F20" w:rsidP="000C6B24">
            <w:pPr>
              <w:spacing w:after="0" w:line="240" w:lineRule="auto"/>
              <w:jc w:val="left"/>
            </w:pPr>
            <w:r>
              <w:rPr>
                <w:color w:val="000000"/>
                <w:sz w:val="17"/>
              </w:rPr>
              <w:t>Interpretive rule</w:t>
            </w:r>
          </w:p>
        </w:tc>
        <w:tc>
          <w:tcPr>
            <w:tcW w:w="172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117AF37" w14:textId="77777777" w:rsidR="00E37F20" w:rsidRDefault="00E37F20" w:rsidP="000C6B24">
            <w:pPr>
              <w:spacing w:after="0" w:line="240" w:lineRule="auto"/>
              <w:jc w:val="center"/>
            </w:pPr>
            <w:r>
              <w:rPr>
                <w:color w:val="000000"/>
                <w:sz w:val="17"/>
              </w:rPr>
              <w:t>Associational</w:t>
            </w:r>
          </w:p>
        </w:tc>
        <w:tc>
          <w:tcPr>
            <w:tcW w:w="410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4A9A606" w14:textId="77777777" w:rsidR="00E37F20" w:rsidRDefault="00E37F20" w:rsidP="000C6B24">
            <w:pPr>
              <w:spacing w:after="0" w:line="240" w:lineRule="auto"/>
              <w:jc w:val="left"/>
            </w:pPr>
            <w:r>
              <w:rPr>
                <w:color w:val="000000"/>
                <w:sz w:val="17"/>
              </w:rPr>
              <w:t>No causal or population claim</w:t>
            </w:r>
          </w:p>
        </w:tc>
      </w:tr>
    </w:tbl>
    <w:p w14:paraId="7D3C3CC0" w14:textId="77777777" w:rsidR="00E37F20" w:rsidRDefault="00E37F20" w:rsidP="00E37F20">
      <w:pPr>
        <w:spacing w:after="0" w:line="48" w:lineRule="auto"/>
      </w:pPr>
    </w:p>
    <w:p w14:paraId="0AF394BA" w14:textId="77777777" w:rsidR="00E37F20" w:rsidRDefault="00E37F20" w:rsidP="00E37F20">
      <w:r>
        <w:lastRenderedPageBreak/>
        <w:t>Table B2 Assumption and influence diagnostics</w:t>
      </w:r>
    </w:p>
    <w:tbl>
      <w:tblPr>
        <w:tblW w:w="8928" w:type="dxa"/>
        <w:jc w:val="center"/>
        <w:tblLayout w:type="fixed"/>
        <w:tblLook w:val="04A0" w:firstRow="1" w:lastRow="0" w:firstColumn="1" w:lastColumn="0" w:noHBand="0" w:noVBand="1"/>
      </w:tblPr>
      <w:tblGrid>
        <w:gridCol w:w="4032"/>
        <w:gridCol w:w="1872"/>
        <w:gridCol w:w="3024"/>
      </w:tblGrid>
      <w:tr w:rsidR="00E37F20" w14:paraId="1EA6C38E" w14:textId="77777777" w:rsidTr="000C6B24">
        <w:trPr>
          <w:tblHeader/>
          <w:jc w:val="center"/>
        </w:trPr>
        <w:tc>
          <w:tcPr>
            <w:tcW w:w="403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3D9D6A87" w14:textId="77777777" w:rsidR="00E37F20" w:rsidRDefault="00E37F20" w:rsidP="000C6B24">
            <w:pPr>
              <w:spacing w:after="0" w:line="240" w:lineRule="auto"/>
              <w:jc w:val="center"/>
            </w:pPr>
            <w:r>
              <w:rPr>
                <w:b/>
                <w:color w:val="000000"/>
                <w:sz w:val="17"/>
              </w:rPr>
              <w:t>Diagnostic</w:t>
            </w:r>
          </w:p>
        </w:tc>
        <w:tc>
          <w:tcPr>
            <w:tcW w:w="1872"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B0C9768" w14:textId="77777777" w:rsidR="00E37F20" w:rsidRDefault="00E37F20" w:rsidP="000C6B24">
            <w:pPr>
              <w:spacing w:after="0" w:line="240" w:lineRule="auto"/>
              <w:jc w:val="center"/>
            </w:pPr>
            <w:r>
              <w:rPr>
                <w:b/>
                <w:color w:val="000000"/>
                <w:sz w:val="17"/>
              </w:rPr>
              <w:t>Statistic</w:t>
            </w:r>
          </w:p>
        </w:tc>
        <w:tc>
          <w:tcPr>
            <w:tcW w:w="3024"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0D194CDF" w14:textId="77777777" w:rsidR="00E37F20" w:rsidRDefault="00E37F20" w:rsidP="000C6B24">
            <w:pPr>
              <w:spacing w:after="0" w:line="240" w:lineRule="auto"/>
              <w:jc w:val="center"/>
            </w:pPr>
            <w:r>
              <w:rPr>
                <w:b/>
                <w:color w:val="000000"/>
                <w:sz w:val="17"/>
              </w:rPr>
              <w:t>Interpretation</w:t>
            </w:r>
          </w:p>
        </w:tc>
      </w:tr>
      <w:tr w:rsidR="00E37F20" w14:paraId="23A0A566"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A8EF6E" w14:textId="77777777" w:rsidR="00E37F20" w:rsidRDefault="00E37F20" w:rsidP="000C6B24">
            <w:pPr>
              <w:spacing w:after="0" w:line="240" w:lineRule="auto"/>
              <w:jc w:val="left"/>
            </w:pPr>
            <w:r>
              <w:rPr>
                <w:color w:val="000000"/>
                <w:sz w:val="17"/>
              </w:rPr>
              <w:t>Awareness Shapiro–Wilk</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1F64ECA" w14:textId="77777777" w:rsidR="00E37F20" w:rsidRDefault="00E37F20" w:rsidP="000C6B24">
            <w:pPr>
              <w:spacing w:after="0" w:line="240" w:lineRule="auto"/>
              <w:jc w:val="center"/>
            </w:pPr>
            <w:r>
              <w:rPr>
                <w:color w:val="000000"/>
                <w:sz w:val="17"/>
              </w:rPr>
              <w:t>W=0.963</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1397093" w14:textId="77777777" w:rsidR="00E37F20" w:rsidRDefault="00E37F20" w:rsidP="000C6B24">
            <w:pPr>
              <w:spacing w:after="0" w:line="240" w:lineRule="auto"/>
              <w:jc w:val="left"/>
            </w:pPr>
            <w:r>
              <w:rPr>
                <w:color w:val="000000"/>
                <w:sz w:val="17"/>
              </w:rPr>
              <w:t>p=0.027</w:t>
            </w:r>
          </w:p>
        </w:tc>
      </w:tr>
      <w:tr w:rsidR="00E37F20" w14:paraId="5E9D2293"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4F60668" w14:textId="77777777" w:rsidR="00E37F20" w:rsidRDefault="00E37F20" w:rsidP="000C6B24">
            <w:pPr>
              <w:spacing w:after="0" w:line="240" w:lineRule="auto"/>
              <w:jc w:val="left"/>
            </w:pPr>
            <w:r>
              <w:rPr>
                <w:color w:val="000000"/>
                <w:sz w:val="17"/>
              </w:rPr>
              <w:t>Justice Shapiro–Wilk</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60A124" w14:textId="77777777" w:rsidR="00E37F20" w:rsidRDefault="00E37F20" w:rsidP="000C6B24">
            <w:pPr>
              <w:spacing w:after="0" w:line="240" w:lineRule="auto"/>
              <w:jc w:val="center"/>
            </w:pPr>
            <w:r>
              <w:rPr>
                <w:color w:val="000000"/>
                <w:sz w:val="17"/>
              </w:rPr>
              <w:t>W=0.939</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F12C85C" w14:textId="77777777" w:rsidR="00E37F20" w:rsidRDefault="00E37F20" w:rsidP="000C6B24">
            <w:pPr>
              <w:spacing w:after="0" w:line="240" w:lineRule="auto"/>
              <w:jc w:val="left"/>
            </w:pPr>
            <w:r>
              <w:rPr>
                <w:color w:val="000000"/>
                <w:sz w:val="17"/>
              </w:rPr>
              <w:t>p=0.001</w:t>
            </w:r>
          </w:p>
        </w:tc>
      </w:tr>
      <w:tr w:rsidR="00E37F20" w14:paraId="6ABDE408"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44413C" w14:textId="77777777" w:rsidR="00E37F20" w:rsidRDefault="00E37F20" w:rsidP="000C6B24">
            <w:pPr>
              <w:spacing w:after="0" w:line="240" w:lineRule="auto"/>
              <w:jc w:val="left"/>
            </w:pPr>
            <w:r>
              <w:rPr>
                <w:color w:val="000000"/>
                <w:sz w:val="17"/>
              </w:rPr>
              <w:t>Commitment Shapiro–Wilk</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E8780D9" w14:textId="77777777" w:rsidR="00E37F20" w:rsidRDefault="00E37F20" w:rsidP="000C6B24">
            <w:pPr>
              <w:spacing w:after="0" w:line="240" w:lineRule="auto"/>
              <w:jc w:val="center"/>
            </w:pPr>
            <w:r>
              <w:rPr>
                <w:color w:val="000000"/>
                <w:sz w:val="17"/>
              </w:rPr>
              <w:t>W=0.974</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66EDCF" w14:textId="77777777" w:rsidR="00E37F20" w:rsidRDefault="00E37F20" w:rsidP="000C6B24">
            <w:pPr>
              <w:spacing w:after="0" w:line="240" w:lineRule="auto"/>
              <w:jc w:val="left"/>
            </w:pPr>
            <w:r>
              <w:rPr>
                <w:color w:val="000000"/>
                <w:sz w:val="17"/>
              </w:rPr>
              <w:t>p=0.120</w:t>
            </w:r>
          </w:p>
        </w:tc>
      </w:tr>
      <w:tr w:rsidR="00E37F20" w14:paraId="40B73557"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1E1EBD6" w14:textId="77777777" w:rsidR="00E37F20" w:rsidRDefault="00E37F20" w:rsidP="000C6B24">
            <w:pPr>
              <w:spacing w:after="0" w:line="240" w:lineRule="auto"/>
              <w:jc w:val="left"/>
            </w:pPr>
            <w:r>
              <w:rPr>
                <w:color w:val="000000"/>
                <w:sz w:val="17"/>
              </w:rPr>
              <w:t>Combined residual Shapiro–Wilk</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3213DEC" w14:textId="77777777" w:rsidR="00E37F20" w:rsidRDefault="00E37F20" w:rsidP="000C6B24">
            <w:pPr>
              <w:spacing w:after="0" w:line="240" w:lineRule="auto"/>
              <w:jc w:val="center"/>
            </w:pPr>
            <w:r>
              <w:rPr>
                <w:color w:val="000000"/>
                <w:sz w:val="17"/>
              </w:rPr>
              <w:t>W=0.989</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513DA8" w14:textId="77777777" w:rsidR="00E37F20" w:rsidRDefault="00E37F20" w:rsidP="000C6B24">
            <w:pPr>
              <w:spacing w:after="0" w:line="240" w:lineRule="auto"/>
              <w:jc w:val="left"/>
            </w:pPr>
            <w:r>
              <w:rPr>
                <w:color w:val="000000"/>
                <w:sz w:val="17"/>
              </w:rPr>
              <w:t>p=0.768</w:t>
            </w:r>
          </w:p>
        </w:tc>
      </w:tr>
      <w:tr w:rsidR="00E37F20" w14:paraId="616286B1"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F86263E" w14:textId="77777777" w:rsidR="00E37F20" w:rsidRDefault="00E37F20" w:rsidP="000C6B24">
            <w:pPr>
              <w:spacing w:after="0" w:line="240" w:lineRule="auto"/>
              <w:jc w:val="left"/>
            </w:pPr>
            <w:r>
              <w:rPr>
                <w:color w:val="000000"/>
                <w:sz w:val="17"/>
              </w:rPr>
              <w:t>Maximum |standardised residual|</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875F7FB" w14:textId="77777777" w:rsidR="00E37F20" w:rsidRDefault="00E37F20" w:rsidP="000C6B24">
            <w:pPr>
              <w:spacing w:after="0" w:line="240" w:lineRule="auto"/>
              <w:jc w:val="center"/>
            </w:pPr>
            <w:r>
              <w:rPr>
                <w:color w:val="000000"/>
                <w:sz w:val="17"/>
              </w:rPr>
              <w:t>2.741</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0B741C3" w14:textId="77777777" w:rsidR="00E37F20" w:rsidRDefault="00E37F20" w:rsidP="000C6B24">
            <w:pPr>
              <w:spacing w:after="0" w:line="240" w:lineRule="auto"/>
              <w:jc w:val="left"/>
            </w:pPr>
            <w:r>
              <w:rPr>
                <w:color w:val="000000"/>
                <w:sz w:val="17"/>
              </w:rPr>
              <w:t>Below 3.0</w:t>
            </w:r>
          </w:p>
        </w:tc>
      </w:tr>
      <w:tr w:rsidR="00E37F20" w14:paraId="49A88EEA"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D61EA0" w14:textId="77777777" w:rsidR="00E37F20" w:rsidRDefault="00E37F20" w:rsidP="000C6B24">
            <w:pPr>
              <w:spacing w:after="0" w:line="240" w:lineRule="auto"/>
              <w:jc w:val="left"/>
            </w:pPr>
            <w:r>
              <w:rPr>
                <w:color w:val="000000"/>
                <w:sz w:val="17"/>
              </w:rPr>
              <w:t>Maximum |deleted studentised residual|</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61B04D" w14:textId="77777777" w:rsidR="00E37F20" w:rsidRDefault="00E37F20" w:rsidP="000C6B24">
            <w:pPr>
              <w:spacing w:after="0" w:line="240" w:lineRule="auto"/>
              <w:jc w:val="center"/>
            </w:pPr>
            <w:r>
              <w:rPr>
                <w:color w:val="000000"/>
                <w:sz w:val="17"/>
              </w:rPr>
              <w:t>2.877</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EB53B16" w14:textId="77777777" w:rsidR="00E37F20" w:rsidRDefault="00E37F20" w:rsidP="000C6B24">
            <w:pPr>
              <w:spacing w:after="0" w:line="240" w:lineRule="auto"/>
              <w:jc w:val="left"/>
            </w:pPr>
            <w:r>
              <w:rPr>
                <w:color w:val="000000"/>
                <w:sz w:val="17"/>
              </w:rPr>
              <w:t>Below 3.0</w:t>
            </w:r>
          </w:p>
        </w:tc>
      </w:tr>
      <w:tr w:rsidR="00E37F20" w14:paraId="01913461"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27F79A7" w14:textId="77777777" w:rsidR="00E37F20" w:rsidRDefault="00E37F20" w:rsidP="000C6B24">
            <w:pPr>
              <w:spacing w:after="0" w:line="240" w:lineRule="auto"/>
              <w:jc w:val="left"/>
            </w:pPr>
            <w:r>
              <w:rPr>
                <w:color w:val="000000"/>
                <w:sz w:val="17"/>
              </w:rPr>
              <w:t>Maximum Cook's distance</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F6AE2EB" w14:textId="77777777" w:rsidR="00E37F20" w:rsidRDefault="00E37F20" w:rsidP="000C6B24">
            <w:pPr>
              <w:spacing w:after="0" w:line="240" w:lineRule="auto"/>
              <w:jc w:val="center"/>
            </w:pPr>
            <w:r>
              <w:rPr>
                <w:color w:val="000000"/>
                <w:sz w:val="17"/>
              </w:rPr>
              <w:t>0.070</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29036C0" w14:textId="77777777" w:rsidR="00E37F20" w:rsidRDefault="00E37F20" w:rsidP="000C6B24">
            <w:pPr>
              <w:spacing w:after="0" w:line="240" w:lineRule="auto"/>
              <w:jc w:val="left"/>
            </w:pPr>
            <w:r>
              <w:rPr>
                <w:color w:val="000000"/>
                <w:sz w:val="17"/>
              </w:rPr>
              <w:t>Below 1.0</w:t>
            </w:r>
          </w:p>
        </w:tc>
      </w:tr>
      <w:tr w:rsidR="00E37F20" w14:paraId="507FA9CD" w14:textId="77777777" w:rsidTr="000C6B24">
        <w:trPr>
          <w:cantSplit/>
          <w:jc w:val="center"/>
        </w:trPr>
        <w:tc>
          <w:tcPr>
            <w:tcW w:w="403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A930B6F" w14:textId="77777777" w:rsidR="00E37F20" w:rsidRDefault="00E37F20" w:rsidP="000C6B24">
            <w:pPr>
              <w:spacing w:after="0" w:line="240" w:lineRule="auto"/>
              <w:jc w:val="left"/>
            </w:pPr>
            <w:r>
              <w:rPr>
                <w:color w:val="000000"/>
                <w:sz w:val="17"/>
              </w:rPr>
              <w:t>Variance inflation factor</w:t>
            </w:r>
          </w:p>
        </w:tc>
        <w:tc>
          <w:tcPr>
            <w:tcW w:w="1872"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62A82E2" w14:textId="77777777" w:rsidR="00E37F20" w:rsidRDefault="00E37F20" w:rsidP="000C6B24">
            <w:pPr>
              <w:spacing w:after="0" w:line="240" w:lineRule="auto"/>
              <w:jc w:val="center"/>
            </w:pPr>
            <w:r>
              <w:rPr>
                <w:color w:val="000000"/>
                <w:sz w:val="17"/>
              </w:rPr>
              <w:t>1.063</w:t>
            </w:r>
          </w:p>
        </w:tc>
        <w:tc>
          <w:tcPr>
            <w:tcW w:w="3024"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EBEA13" w14:textId="77777777" w:rsidR="00E37F20" w:rsidRDefault="00E37F20" w:rsidP="000C6B24">
            <w:pPr>
              <w:spacing w:after="0" w:line="240" w:lineRule="auto"/>
              <w:jc w:val="left"/>
            </w:pPr>
            <w:r>
              <w:rPr>
                <w:color w:val="000000"/>
                <w:sz w:val="17"/>
              </w:rPr>
              <w:t>Both predictors</w:t>
            </w:r>
          </w:p>
        </w:tc>
      </w:tr>
    </w:tbl>
    <w:p w14:paraId="4CA20194" w14:textId="77777777" w:rsidR="00E37F20" w:rsidRDefault="00E37F20" w:rsidP="00E37F20">
      <w:pPr>
        <w:spacing w:after="0" w:line="48" w:lineRule="auto"/>
      </w:pPr>
    </w:p>
    <w:p w14:paraId="7E235803" w14:textId="77777777" w:rsidR="00E37F20" w:rsidRDefault="00E37F20" w:rsidP="00E37F20">
      <w:pPr>
        <w:pStyle w:val="Heading2"/>
      </w:pPr>
      <w:bookmarkStart w:id="79" w:name="_Toc240321877"/>
      <w:r>
        <w:t>Appendix C: Supplementary Item Statistics</w:t>
      </w:r>
      <w:bookmarkEnd w:id="79"/>
    </w:p>
    <w:p w14:paraId="2CF475B5" w14:textId="77777777" w:rsidR="00E37F20" w:rsidRDefault="00E37F20" w:rsidP="00E37F20">
      <w:r>
        <w:t>Table C1 provides the item-level means, standard deviations and response-group percentages underlying the interpretation in Chapter 4. “Agree” combines agree and strongly agree; “disagree” combines disagree and strongly disagree. Percentages may differ marginally from 100 because of rounding.</w:t>
      </w:r>
    </w:p>
    <w:p w14:paraId="39547BF1" w14:textId="77777777" w:rsidR="00E37F20" w:rsidRDefault="00E37F20" w:rsidP="00E37F20">
      <w:r>
        <w:t>Table C1 Supplementary item statistics</w:t>
      </w:r>
    </w:p>
    <w:tbl>
      <w:tblPr>
        <w:tblW w:w="9000" w:type="dxa"/>
        <w:jc w:val="center"/>
        <w:tblLayout w:type="fixed"/>
        <w:tblLook w:val="04A0" w:firstRow="1" w:lastRow="0" w:firstColumn="1" w:lastColumn="0" w:noHBand="0" w:noVBand="1"/>
      </w:tblPr>
      <w:tblGrid>
        <w:gridCol w:w="691"/>
        <w:gridCol w:w="1037"/>
        <w:gridCol w:w="3485"/>
        <w:gridCol w:w="648"/>
        <w:gridCol w:w="648"/>
        <w:gridCol w:w="806"/>
        <w:gridCol w:w="850"/>
        <w:gridCol w:w="835"/>
      </w:tblGrid>
      <w:tr w:rsidR="00E37F20" w14:paraId="6439919B" w14:textId="77777777" w:rsidTr="000C6B24">
        <w:trPr>
          <w:tblHeader/>
          <w:jc w:val="center"/>
        </w:trPr>
        <w:tc>
          <w:tcPr>
            <w:tcW w:w="691"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7923A88F" w14:textId="77777777" w:rsidR="00E37F20" w:rsidRDefault="00E37F20" w:rsidP="000C6B24">
            <w:pPr>
              <w:spacing w:after="0" w:line="240" w:lineRule="auto"/>
              <w:jc w:val="center"/>
            </w:pPr>
            <w:r>
              <w:rPr>
                <w:b/>
                <w:color w:val="000000"/>
                <w:sz w:val="14"/>
              </w:rPr>
              <w:t>Item</w:t>
            </w:r>
          </w:p>
        </w:tc>
        <w:tc>
          <w:tcPr>
            <w:tcW w:w="1037"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806783F" w14:textId="77777777" w:rsidR="00E37F20" w:rsidRDefault="00E37F20" w:rsidP="000C6B24">
            <w:pPr>
              <w:spacing w:after="0" w:line="240" w:lineRule="auto"/>
              <w:jc w:val="center"/>
            </w:pPr>
            <w:r>
              <w:rPr>
                <w:b/>
                <w:color w:val="000000"/>
                <w:sz w:val="14"/>
              </w:rPr>
              <w:t>Scale</w:t>
            </w:r>
          </w:p>
        </w:tc>
        <w:tc>
          <w:tcPr>
            <w:tcW w:w="3485"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5B40044B" w14:textId="77777777" w:rsidR="00E37F20" w:rsidRDefault="00E37F20" w:rsidP="000C6B24">
            <w:pPr>
              <w:spacing w:after="0" w:line="240" w:lineRule="auto"/>
              <w:jc w:val="center"/>
            </w:pPr>
            <w:r>
              <w:rPr>
                <w:b/>
                <w:color w:val="000000"/>
                <w:sz w:val="14"/>
              </w:rPr>
              <w:t>Content</w:t>
            </w:r>
          </w:p>
        </w:tc>
        <w:tc>
          <w:tcPr>
            <w:tcW w:w="64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1F1914E" w14:textId="77777777" w:rsidR="00E37F20" w:rsidRDefault="00E37F20" w:rsidP="000C6B24">
            <w:pPr>
              <w:spacing w:after="0" w:line="240" w:lineRule="auto"/>
              <w:jc w:val="center"/>
            </w:pPr>
            <w:r>
              <w:rPr>
                <w:b/>
                <w:color w:val="000000"/>
                <w:sz w:val="14"/>
              </w:rPr>
              <w:t>M</w:t>
            </w:r>
          </w:p>
        </w:tc>
        <w:tc>
          <w:tcPr>
            <w:tcW w:w="648"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B6031ED" w14:textId="77777777" w:rsidR="00E37F20" w:rsidRDefault="00E37F20" w:rsidP="000C6B24">
            <w:pPr>
              <w:spacing w:after="0" w:line="240" w:lineRule="auto"/>
              <w:jc w:val="center"/>
            </w:pPr>
            <w:r>
              <w:rPr>
                <w:b/>
                <w:color w:val="000000"/>
                <w:sz w:val="14"/>
              </w:rPr>
              <w:t>SD</w:t>
            </w:r>
          </w:p>
        </w:tc>
        <w:tc>
          <w:tcPr>
            <w:tcW w:w="806"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64685412" w14:textId="77777777" w:rsidR="00E37F20" w:rsidRDefault="00E37F20" w:rsidP="000C6B24">
            <w:pPr>
              <w:spacing w:after="0" w:line="240" w:lineRule="auto"/>
              <w:jc w:val="center"/>
            </w:pPr>
            <w:r>
              <w:rPr>
                <w:b/>
                <w:color w:val="000000"/>
                <w:sz w:val="14"/>
              </w:rPr>
              <w:t>Agree %</w:t>
            </w:r>
          </w:p>
        </w:tc>
        <w:tc>
          <w:tcPr>
            <w:tcW w:w="850"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116E23DD" w14:textId="77777777" w:rsidR="00E37F20" w:rsidRDefault="00E37F20" w:rsidP="000C6B24">
            <w:pPr>
              <w:spacing w:after="0" w:line="240" w:lineRule="auto"/>
              <w:jc w:val="center"/>
            </w:pPr>
            <w:r>
              <w:rPr>
                <w:b/>
                <w:color w:val="000000"/>
                <w:sz w:val="14"/>
              </w:rPr>
              <w:t>Neutral %</w:t>
            </w:r>
          </w:p>
        </w:tc>
        <w:tc>
          <w:tcPr>
            <w:tcW w:w="835" w:type="dxa"/>
            <w:tcBorders>
              <w:top w:val="single" w:sz="5" w:space="0" w:color="666666"/>
              <w:left w:val="single" w:sz="5" w:space="0" w:color="666666"/>
              <w:bottom w:val="single" w:sz="5" w:space="0" w:color="666666"/>
              <w:right w:val="single" w:sz="5" w:space="0" w:color="666666"/>
            </w:tcBorders>
            <w:shd w:val="clear" w:color="auto" w:fill="B4C6E7"/>
            <w:tcMar>
              <w:top w:w="80" w:type="dxa"/>
              <w:left w:w="100" w:type="dxa"/>
              <w:bottom w:w="80" w:type="dxa"/>
              <w:right w:w="100" w:type="dxa"/>
            </w:tcMar>
            <w:vAlign w:val="center"/>
          </w:tcPr>
          <w:p w14:paraId="49628949" w14:textId="77777777" w:rsidR="00E37F20" w:rsidRDefault="00E37F20" w:rsidP="000C6B24">
            <w:pPr>
              <w:spacing w:after="0" w:line="240" w:lineRule="auto"/>
              <w:jc w:val="center"/>
            </w:pPr>
            <w:r>
              <w:rPr>
                <w:b/>
                <w:color w:val="000000"/>
                <w:sz w:val="14"/>
              </w:rPr>
              <w:t>Disagree %</w:t>
            </w:r>
          </w:p>
        </w:tc>
      </w:tr>
      <w:tr w:rsidR="00E37F20" w14:paraId="290DEADD"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F93CA38" w14:textId="77777777" w:rsidR="00E37F20" w:rsidRDefault="00E37F20" w:rsidP="000C6B24">
            <w:pPr>
              <w:spacing w:after="0" w:line="240" w:lineRule="auto"/>
              <w:jc w:val="center"/>
            </w:pPr>
            <w:r>
              <w:rPr>
                <w:color w:val="000000"/>
                <w:sz w:val="14"/>
              </w:rPr>
              <w:t>Q8</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3C170D4"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124E7B" w14:textId="77777777" w:rsidR="00E37F20" w:rsidRDefault="00E37F20" w:rsidP="000C6B24">
            <w:pPr>
              <w:spacing w:after="0" w:line="240" w:lineRule="auto"/>
              <w:jc w:val="left"/>
            </w:pPr>
            <w:r>
              <w:rPr>
                <w:color w:val="000000"/>
                <w:sz w:val="14"/>
              </w:rPr>
              <w:t>Minimum wage</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5999E1" w14:textId="77777777" w:rsidR="00E37F20" w:rsidRDefault="00E37F20" w:rsidP="000C6B24">
            <w:pPr>
              <w:spacing w:after="0" w:line="240" w:lineRule="auto"/>
              <w:jc w:val="center"/>
            </w:pPr>
            <w:r>
              <w:rPr>
                <w:color w:val="000000"/>
                <w:sz w:val="14"/>
              </w:rPr>
              <w:t>4.08</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471145F" w14:textId="77777777" w:rsidR="00E37F20" w:rsidRDefault="00E37F20" w:rsidP="000C6B24">
            <w:pPr>
              <w:spacing w:after="0" w:line="240" w:lineRule="auto"/>
              <w:jc w:val="center"/>
            </w:pPr>
            <w:r>
              <w:rPr>
                <w:color w:val="000000"/>
                <w:sz w:val="14"/>
              </w:rPr>
              <w:t>0.91</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1274CDC" w14:textId="77777777" w:rsidR="00E37F20" w:rsidRDefault="00E37F20" w:rsidP="000C6B24">
            <w:pPr>
              <w:spacing w:after="0" w:line="240" w:lineRule="auto"/>
              <w:jc w:val="center"/>
            </w:pPr>
            <w:r>
              <w:rPr>
                <w:color w:val="000000"/>
                <w:sz w:val="14"/>
              </w:rPr>
              <w:t>76.0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BBC97A6" w14:textId="77777777" w:rsidR="00E37F20" w:rsidRDefault="00E37F20" w:rsidP="000C6B24">
            <w:pPr>
              <w:spacing w:after="0" w:line="240" w:lineRule="auto"/>
              <w:jc w:val="center"/>
            </w:pPr>
            <w:r>
              <w:rPr>
                <w:color w:val="000000"/>
                <w:sz w:val="14"/>
              </w:rPr>
              <w:t>17.3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D127B38" w14:textId="77777777" w:rsidR="00E37F20" w:rsidRDefault="00E37F20" w:rsidP="000C6B24">
            <w:pPr>
              <w:spacing w:after="0" w:line="240" w:lineRule="auto"/>
              <w:jc w:val="center"/>
            </w:pPr>
            <w:r>
              <w:rPr>
                <w:color w:val="000000"/>
                <w:sz w:val="14"/>
              </w:rPr>
              <w:t>6.7</w:t>
            </w:r>
          </w:p>
        </w:tc>
      </w:tr>
      <w:tr w:rsidR="00E37F20" w14:paraId="326649E3"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5F7D9C2" w14:textId="77777777" w:rsidR="00E37F20" w:rsidRDefault="00E37F20" w:rsidP="000C6B24">
            <w:pPr>
              <w:spacing w:after="0" w:line="240" w:lineRule="auto"/>
              <w:jc w:val="center"/>
            </w:pPr>
            <w:r>
              <w:rPr>
                <w:color w:val="000000"/>
                <w:sz w:val="14"/>
              </w:rPr>
              <w:t>Q9</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069A72A"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03EDF3B" w14:textId="77777777" w:rsidR="00E37F20" w:rsidRDefault="00E37F20" w:rsidP="000C6B24">
            <w:pPr>
              <w:spacing w:after="0" w:line="240" w:lineRule="auto"/>
              <w:jc w:val="left"/>
            </w:pPr>
            <w:r>
              <w:rPr>
                <w:color w:val="000000"/>
                <w:sz w:val="14"/>
              </w:rPr>
              <w:t>Paid annual leave</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06C6A2" w14:textId="77777777" w:rsidR="00E37F20" w:rsidRDefault="00E37F20" w:rsidP="000C6B24">
            <w:pPr>
              <w:spacing w:after="0" w:line="240" w:lineRule="auto"/>
              <w:jc w:val="center"/>
            </w:pPr>
            <w:r>
              <w:rPr>
                <w:color w:val="000000"/>
                <w:sz w:val="14"/>
              </w:rPr>
              <w:t>4.03</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9FEF36A" w14:textId="77777777" w:rsidR="00E37F20" w:rsidRDefault="00E37F20" w:rsidP="000C6B24">
            <w:pPr>
              <w:spacing w:after="0" w:line="240" w:lineRule="auto"/>
              <w:jc w:val="center"/>
            </w:pPr>
            <w:r>
              <w:rPr>
                <w:color w:val="000000"/>
                <w:sz w:val="14"/>
              </w:rPr>
              <w:t>0.77</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4CD1D0C" w14:textId="77777777" w:rsidR="00E37F20" w:rsidRDefault="00E37F20" w:rsidP="000C6B24">
            <w:pPr>
              <w:spacing w:after="0" w:line="240" w:lineRule="auto"/>
              <w:jc w:val="center"/>
            </w:pPr>
            <w:r>
              <w:rPr>
                <w:color w:val="000000"/>
                <w:sz w:val="14"/>
              </w:rPr>
              <w:t>77.3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BE032A6" w14:textId="77777777" w:rsidR="00E37F20" w:rsidRDefault="00E37F20" w:rsidP="000C6B24">
            <w:pPr>
              <w:spacing w:after="0" w:line="240" w:lineRule="auto"/>
              <w:jc w:val="center"/>
            </w:pPr>
            <w:r>
              <w:rPr>
                <w:color w:val="000000"/>
                <w:sz w:val="14"/>
              </w:rPr>
              <w:t>20.0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303C340" w14:textId="77777777" w:rsidR="00E37F20" w:rsidRDefault="00E37F20" w:rsidP="000C6B24">
            <w:pPr>
              <w:spacing w:after="0" w:line="240" w:lineRule="auto"/>
              <w:jc w:val="center"/>
            </w:pPr>
            <w:r>
              <w:rPr>
                <w:color w:val="000000"/>
                <w:sz w:val="14"/>
              </w:rPr>
              <w:t>2.7</w:t>
            </w:r>
          </w:p>
        </w:tc>
      </w:tr>
      <w:tr w:rsidR="00E37F20" w14:paraId="2AB55B51"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92D68ED" w14:textId="77777777" w:rsidR="00E37F20" w:rsidRDefault="00E37F20" w:rsidP="000C6B24">
            <w:pPr>
              <w:spacing w:after="0" w:line="240" w:lineRule="auto"/>
              <w:jc w:val="center"/>
            </w:pPr>
            <w:r>
              <w:rPr>
                <w:color w:val="000000"/>
                <w:sz w:val="14"/>
              </w:rPr>
              <w:t>Q10</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1F0F4E"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89B20EB" w14:textId="77777777" w:rsidR="00E37F20" w:rsidRDefault="00E37F20" w:rsidP="000C6B24">
            <w:pPr>
              <w:spacing w:after="0" w:line="240" w:lineRule="auto"/>
              <w:jc w:val="left"/>
            </w:pPr>
            <w:r>
              <w:rPr>
                <w:color w:val="000000"/>
                <w:sz w:val="14"/>
              </w:rPr>
              <w:t>Statutory sick pay</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24A9B55" w14:textId="77777777" w:rsidR="00E37F20" w:rsidRDefault="00E37F20" w:rsidP="000C6B24">
            <w:pPr>
              <w:spacing w:after="0" w:line="240" w:lineRule="auto"/>
              <w:jc w:val="center"/>
            </w:pPr>
            <w:r>
              <w:rPr>
                <w:color w:val="000000"/>
                <w:sz w:val="14"/>
              </w:rPr>
              <w:t>3.55</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335DC0D" w14:textId="77777777" w:rsidR="00E37F20" w:rsidRDefault="00E37F20" w:rsidP="000C6B24">
            <w:pPr>
              <w:spacing w:after="0" w:line="240" w:lineRule="auto"/>
              <w:jc w:val="center"/>
            </w:pPr>
            <w:r>
              <w:rPr>
                <w:color w:val="000000"/>
                <w:sz w:val="14"/>
              </w:rPr>
              <w:t>1.02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447C634" w14:textId="77777777" w:rsidR="00E37F20" w:rsidRDefault="00E37F20" w:rsidP="000C6B24">
            <w:pPr>
              <w:spacing w:after="0" w:line="240" w:lineRule="auto"/>
              <w:jc w:val="center"/>
            </w:pPr>
            <w:r>
              <w:rPr>
                <w:color w:val="000000"/>
                <w:sz w:val="14"/>
              </w:rPr>
              <w:t>45.3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08B6672" w14:textId="77777777" w:rsidR="00E37F20" w:rsidRDefault="00E37F20" w:rsidP="000C6B24">
            <w:pPr>
              <w:spacing w:after="0" w:line="240" w:lineRule="auto"/>
              <w:jc w:val="center"/>
            </w:pPr>
            <w:r>
              <w:rPr>
                <w:color w:val="000000"/>
                <w:sz w:val="14"/>
              </w:rPr>
              <w:t>44.0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EE60E0A" w14:textId="77777777" w:rsidR="00E37F20" w:rsidRDefault="00E37F20" w:rsidP="000C6B24">
            <w:pPr>
              <w:spacing w:after="0" w:line="240" w:lineRule="auto"/>
              <w:jc w:val="center"/>
            </w:pPr>
            <w:r>
              <w:rPr>
                <w:color w:val="000000"/>
                <w:sz w:val="14"/>
              </w:rPr>
              <w:t>10.7</w:t>
            </w:r>
          </w:p>
        </w:tc>
      </w:tr>
      <w:tr w:rsidR="00E37F20" w14:paraId="69E46BEB"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A7D096C" w14:textId="77777777" w:rsidR="00E37F20" w:rsidRDefault="00E37F20" w:rsidP="000C6B24">
            <w:pPr>
              <w:spacing w:after="0" w:line="240" w:lineRule="auto"/>
              <w:jc w:val="center"/>
            </w:pPr>
            <w:r>
              <w:rPr>
                <w:color w:val="000000"/>
                <w:sz w:val="14"/>
              </w:rPr>
              <w:t>Q11</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9DF2349"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59AA6C" w14:textId="77777777" w:rsidR="00E37F20" w:rsidRDefault="00E37F20" w:rsidP="000C6B24">
            <w:pPr>
              <w:spacing w:after="0" w:line="240" w:lineRule="auto"/>
              <w:jc w:val="left"/>
            </w:pPr>
            <w:r>
              <w:rPr>
                <w:color w:val="000000"/>
                <w:sz w:val="14"/>
              </w:rPr>
              <w:t>Working hours and rest</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AEBB14D" w14:textId="77777777" w:rsidR="00E37F20" w:rsidRDefault="00E37F20" w:rsidP="000C6B24">
            <w:pPr>
              <w:spacing w:after="0" w:line="240" w:lineRule="auto"/>
              <w:jc w:val="center"/>
            </w:pPr>
            <w:r>
              <w:rPr>
                <w:color w:val="000000"/>
                <w:sz w:val="14"/>
              </w:rPr>
              <w:t>3.63</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EFD9611" w14:textId="77777777" w:rsidR="00E37F20" w:rsidRDefault="00E37F20" w:rsidP="000C6B24">
            <w:pPr>
              <w:spacing w:after="0" w:line="240" w:lineRule="auto"/>
              <w:jc w:val="center"/>
            </w:pPr>
            <w:r>
              <w:rPr>
                <w:color w:val="000000"/>
                <w:sz w:val="14"/>
              </w:rPr>
              <w:t>0.90</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172C9C8" w14:textId="77777777" w:rsidR="00E37F20" w:rsidRDefault="00E37F20" w:rsidP="000C6B24">
            <w:pPr>
              <w:spacing w:after="0" w:line="240" w:lineRule="auto"/>
              <w:jc w:val="center"/>
            </w:pPr>
            <w:r>
              <w:rPr>
                <w:color w:val="000000"/>
                <w:sz w:val="14"/>
              </w:rPr>
              <w:t>60.0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B3D06B" w14:textId="77777777" w:rsidR="00E37F20" w:rsidRDefault="00E37F20" w:rsidP="000C6B24">
            <w:pPr>
              <w:spacing w:after="0" w:line="240" w:lineRule="auto"/>
              <w:jc w:val="center"/>
            </w:pPr>
            <w:r>
              <w:rPr>
                <w:color w:val="000000"/>
                <w:sz w:val="14"/>
              </w:rPr>
              <w:t>29.3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C4F5107" w14:textId="77777777" w:rsidR="00E37F20" w:rsidRDefault="00E37F20" w:rsidP="000C6B24">
            <w:pPr>
              <w:spacing w:after="0" w:line="240" w:lineRule="auto"/>
              <w:jc w:val="center"/>
            </w:pPr>
            <w:r>
              <w:rPr>
                <w:color w:val="000000"/>
                <w:sz w:val="14"/>
              </w:rPr>
              <w:t>10.7</w:t>
            </w:r>
          </w:p>
        </w:tc>
      </w:tr>
      <w:tr w:rsidR="00E37F20" w14:paraId="0F12D48F"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B0D0DF4" w14:textId="77777777" w:rsidR="00E37F20" w:rsidRDefault="00E37F20" w:rsidP="000C6B24">
            <w:pPr>
              <w:spacing w:after="0" w:line="240" w:lineRule="auto"/>
              <w:jc w:val="center"/>
            </w:pPr>
            <w:r>
              <w:rPr>
                <w:color w:val="000000"/>
                <w:sz w:val="14"/>
              </w:rPr>
              <w:t>Q12</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EDD45F2"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9D13BF1" w14:textId="77777777" w:rsidR="00E37F20" w:rsidRDefault="00E37F20" w:rsidP="000C6B24">
            <w:pPr>
              <w:spacing w:after="0" w:line="240" w:lineRule="auto"/>
              <w:jc w:val="left"/>
            </w:pPr>
            <w:r>
              <w:rPr>
                <w:color w:val="000000"/>
                <w:sz w:val="14"/>
              </w:rPr>
              <w:t>Discrimination protection</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F55D05" w14:textId="77777777" w:rsidR="00E37F20" w:rsidRDefault="00E37F20" w:rsidP="000C6B24">
            <w:pPr>
              <w:spacing w:after="0" w:line="240" w:lineRule="auto"/>
              <w:jc w:val="center"/>
            </w:pPr>
            <w:r>
              <w:rPr>
                <w:color w:val="000000"/>
                <w:sz w:val="14"/>
              </w:rPr>
              <w:t>3.72</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1FE8C2B" w14:textId="77777777" w:rsidR="00E37F20" w:rsidRDefault="00E37F20" w:rsidP="000C6B24">
            <w:pPr>
              <w:spacing w:after="0" w:line="240" w:lineRule="auto"/>
              <w:jc w:val="center"/>
            </w:pPr>
            <w:r>
              <w:rPr>
                <w:color w:val="000000"/>
                <w:sz w:val="14"/>
              </w:rPr>
              <w:t>1.02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D541123" w14:textId="77777777" w:rsidR="00E37F20" w:rsidRDefault="00E37F20" w:rsidP="000C6B24">
            <w:pPr>
              <w:spacing w:after="0" w:line="240" w:lineRule="auto"/>
              <w:jc w:val="center"/>
            </w:pPr>
            <w:r>
              <w:rPr>
                <w:color w:val="000000"/>
                <w:sz w:val="14"/>
              </w:rPr>
              <w:t>56.0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221213" w14:textId="77777777" w:rsidR="00E37F20" w:rsidRDefault="00E37F20" w:rsidP="000C6B24">
            <w:pPr>
              <w:spacing w:after="0" w:line="240" w:lineRule="auto"/>
              <w:jc w:val="center"/>
            </w:pPr>
            <w:r>
              <w:rPr>
                <w:color w:val="000000"/>
                <w:sz w:val="14"/>
              </w:rPr>
              <w:t>33.3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F1C631B" w14:textId="77777777" w:rsidR="00E37F20" w:rsidRDefault="00E37F20" w:rsidP="000C6B24">
            <w:pPr>
              <w:spacing w:after="0" w:line="240" w:lineRule="auto"/>
              <w:jc w:val="center"/>
            </w:pPr>
            <w:r>
              <w:rPr>
                <w:color w:val="000000"/>
                <w:sz w:val="14"/>
              </w:rPr>
              <w:t>10.7</w:t>
            </w:r>
          </w:p>
        </w:tc>
      </w:tr>
      <w:tr w:rsidR="00E37F20" w14:paraId="0A3E5E64"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0712BF1" w14:textId="77777777" w:rsidR="00E37F20" w:rsidRDefault="00E37F20" w:rsidP="000C6B24">
            <w:pPr>
              <w:spacing w:after="0" w:line="240" w:lineRule="auto"/>
              <w:jc w:val="center"/>
            </w:pPr>
            <w:r>
              <w:rPr>
                <w:color w:val="000000"/>
                <w:sz w:val="14"/>
              </w:rPr>
              <w:t>Q13</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AFAD04"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E8D64F2" w14:textId="77777777" w:rsidR="00E37F20" w:rsidRDefault="00E37F20" w:rsidP="000C6B24">
            <w:pPr>
              <w:spacing w:after="0" w:line="240" w:lineRule="auto"/>
              <w:jc w:val="left"/>
            </w:pPr>
            <w:r>
              <w:rPr>
                <w:color w:val="000000"/>
                <w:sz w:val="14"/>
              </w:rPr>
              <w:t>Formal grievance</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166605F" w14:textId="77777777" w:rsidR="00E37F20" w:rsidRDefault="00E37F20" w:rsidP="000C6B24">
            <w:pPr>
              <w:spacing w:after="0" w:line="240" w:lineRule="auto"/>
              <w:jc w:val="center"/>
            </w:pPr>
            <w:r>
              <w:rPr>
                <w:color w:val="000000"/>
                <w:sz w:val="14"/>
              </w:rPr>
              <w:t>3.47</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8BE8CA" w14:textId="77777777" w:rsidR="00E37F20" w:rsidRDefault="00E37F20" w:rsidP="000C6B24">
            <w:pPr>
              <w:spacing w:after="0" w:line="240" w:lineRule="auto"/>
              <w:jc w:val="center"/>
            </w:pPr>
            <w:r>
              <w:rPr>
                <w:color w:val="000000"/>
                <w:sz w:val="14"/>
              </w:rPr>
              <w:t>0.92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56E63C6" w14:textId="77777777" w:rsidR="00E37F20" w:rsidRDefault="00E37F20" w:rsidP="000C6B24">
            <w:pPr>
              <w:spacing w:after="0" w:line="240" w:lineRule="auto"/>
              <w:jc w:val="center"/>
            </w:pPr>
            <w:r>
              <w:rPr>
                <w:color w:val="000000"/>
                <w:sz w:val="14"/>
              </w:rPr>
              <w:t>46.7</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6F68D54" w14:textId="77777777" w:rsidR="00E37F20" w:rsidRDefault="00E37F20" w:rsidP="000C6B24">
            <w:pPr>
              <w:spacing w:after="0" w:line="240" w:lineRule="auto"/>
              <w:jc w:val="center"/>
            </w:pPr>
            <w:r>
              <w:rPr>
                <w:color w:val="000000"/>
                <w:sz w:val="14"/>
              </w:rPr>
              <w:t>38.7</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B98A6A8" w14:textId="77777777" w:rsidR="00E37F20" w:rsidRDefault="00E37F20" w:rsidP="000C6B24">
            <w:pPr>
              <w:spacing w:after="0" w:line="240" w:lineRule="auto"/>
              <w:jc w:val="center"/>
            </w:pPr>
            <w:r>
              <w:rPr>
                <w:color w:val="000000"/>
                <w:sz w:val="14"/>
              </w:rPr>
              <w:t>14.7</w:t>
            </w:r>
          </w:p>
        </w:tc>
      </w:tr>
      <w:tr w:rsidR="00E37F20" w14:paraId="6ED19DF0"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5B7D043" w14:textId="77777777" w:rsidR="00E37F20" w:rsidRDefault="00E37F20" w:rsidP="000C6B24">
            <w:pPr>
              <w:spacing w:after="0" w:line="240" w:lineRule="auto"/>
              <w:jc w:val="center"/>
            </w:pPr>
            <w:r>
              <w:rPr>
                <w:color w:val="000000"/>
                <w:sz w:val="14"/>
              </w:rPr>
              <w:t>Q14</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7BD5B14" w14:textId="77777777" w:rsidR="00E37F20" w:rsidRDefault="00E37F20" w:rsidP="000C6B24">
            <w:pPr>
              <w:spacing w:after="0" w:line="240" w:lineRule="auto"/>
              <w:jc w:val="left"/>
            </w:pPr>
            <w:r>
              <w:rPr>
                <w:color w:val="000000"/>
                <w:sz w:val="14"/>
              </w:rPr>
              <w:t>Awareness</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65BE5B5" w14:textId="77777777" w:rsidR="00E37F20" w:rsidRDefault="00E37F20" w:rsidP="000C6B24">
            <w:pPr>
              <w:spacing w:after="0" w:line="240" w:lineRule="auto"/>
              <w:jc w:val="left"/>
            </w:pPr>
            <w:r>
              <w:rPr>
                <w:color w:val="000000"/>
                <w:sz w:val="14"/>
              </w:rPr>
              <w:t>Dismissal and redundancy</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E88299E" w14:textId="77777777" w:rsidR="00E37F20" w:rsidRDefault="00E37F20" w:rsidP="000C6B24">
            <w:pPr>
              <w:spacing w:after="0" w:line="240" w:lineRule="auto"/>
              <w:jc w:val="center"/>
            </w:pPr>
            <w:r>
              <w:rPr>
                <w:color w:val="000000"/>
                <w:sz w:val="14"/>
              </w:rPr>
              <w:t>3.36</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8B17C92" w14:textId="77777777" w:rsidR="00E37F20" w:rsidRDefault="00E37F20" w:rsidP="000C6B24">
            <w:pPr>
              <w:spacing w:after="0" w:line="240" w:lineRule="auto"/>
              <w:jc w:val="center"/>
            </w:pPr>
            <w:r>
              <w:rPr>
                <w:color w:val="000000"/>
                <w:sz w:val="14"/>
              </w:rPr>
              <w:t>0.97</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C04D5A4" w14:textId="77777777" w:rsidR="00E37F20" w:rsidRDefault="00E37F20" w:rsidP="000C6B24">
            <w:pPr>
              <w:spacing w:after="0" w:line="240" w:lineRule="auto"/>
              <w:jc w:val="center"/>
            </w:pPr>
            <w:r>
              <w:rPr>
                <w:color w:val="000000"/>
                <w:sz w:val="14"/>
              </w:rPr>
              <w:t>50.7</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084BDEF" w14:textId="77777777" w:rsidR="00E37F20" w:rsidRDefault="00E37F20" w:rsidP="000C6B24">
            <w:pPr>
              <w:spacing w:after="0" w:line="240" w:lineRule="auto"/>
              <w:jc w:val="center"/>
            </w:pPr>
            <w:r>
              <w:rPr>
                <w:color w:val="000000"/>
                <w:sz w:val="14"/>
              </w:rPr>
              <w:t>26.7</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F774CFF" w14:textId="77777777" w:rsidR="00E37F20" w:rsidRDefault="00E37F20" w:rsidP="000C6B24">
            <w:pPr>
              <w:spacing w:after="0" w:line="240" w:lineRule="auto"/>
              <w:jc w:val="center"/>
            </w:pPr>
            <w:r>
              <w:rPr>
                <w:color w:val="000000"/>
                <w:sz w:val="14"/>
              </w:rPr>
              <w:t>22.7</w:t>
            </w:r>
          </w:p>
        </w:tc>
      </w:tr>
      <w:tr w:rsidR="00E37F20" w14:paraId="062CA80C"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A4EF14" w14:textId="77777777" w:rsidR="00E37F20" w:rsidRDefault="00E37F20" w:rsidP="000C6B24">
            <w:pPr>
              <w:spacing w:after="0" w:line="240" w:lineRule="auto"/>
              <w:jc w:val="center"/>
            </w:pPr>
            <w:r>
              <w:rPr>
                <w:color w:val="000000"/>
                <w:sz w:val="14"/>
              </w:rPr>
              <w:t>Q15</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474CBE0"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FBE22B9" w14:textId="77777777" w:rsidR="00E37F20" w:rsidRDefault="00E37F20" w:rsidP="000C6B24">
            <w:pPr>
              <w:spacing w:after="0" w:line="240" w:lineRule="auto"/>
              <w:jc w:val="left"/>
            </w:pPr>
            <w:r>
              <w:rPr>
                <w:color w:val="000000"/>
                <w:sz w:val="14"/>
              </w:rPr>
              <w:t>Fair pay and rewards</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C46DE96" w14:textId="77777777" w:rsidR="00E37F20" w:rsidRDefault="00E37F20" w:rsidP="000C6B24">
            <w:pPr>
              <w:spacing w:after="0" w:line="240" w:lineRule="auto"/>
              <w:jc w:val="center"/>
            </w:pPr>
            <w:r>
              <w:rPr>
                <w:color w:val="000000"/>
                <w:sz w:val="14"/>
              </w:rPr>
              <w:t>3.29</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5D5EFFE" w14:textId="77777777" w:rsidR="00E37F20" w:rsidRDefault="00E37F20" w:rsidP="000C6B24">
            <w:pPr>
              <w:spacing w:after="0" w:line="240" w:lineRule="auto"/>
              <w:jc w:val="center"/>
            </w:pPr>
            <w:r>
              <w:rPr>
                <w:color w:val="000000"/>
                <w:sz w:val="14"/>
              </w:rPr>
              <w:t>1.00</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B64B265" w14:textId="77777777" w:rsidR="00E37F20" w:rsidRDefault="00E37F20" w:rsidP="000C6B24">
            <w:pPr>
              <w:spacing w:after="0" w:line="240" w:lineRule="auto"/>
              <w:jc w:val="center"/>
            </w:pPr>
            <w:r>
              <w:rPr>
                <w:color w:val="000000"/>
                <w:sz w:val="14"/>
              </w:rPr>
              <w:t>40.0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11CC5B4" w14:textId="77777777" w:rsidR="00E37F20" w:rsidRDefault="00E37F20" w:rsidP="000C6B24">
            <w:pPr>
              <w:spacing w:after="0" w:line="240" w:lineRule="auto"/>
              <w:jc w:val="center"/>
            </w:pPr>
            <w:r>
              <w:rPr>
                <w:color w:val="000000"/>
                <w:sz w:val="14"/>
              </w:rPr>
              <w:t>41.3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D94B5B" w14:textId="77777777" w:rsidR="00E37F20" w:rsidRDefault="00E37F20" w:rsidP="000C6B24">
            <w:pPr>
              <w:spacing w:after="0" w:line="240" w:lineRule="auto"/>
              <w:jc w:val="center"/>
            </w:pPr>
            <w:r>
              <w:rPr>
                <w:color w:val="000000"/>
                <w:sz w:val="14"/>
              </w:rPr>
              <w:t>18.7</w:t>
            </w:r>
          </w:p>
        </w:tc>
      </w:tr>
      <w:tr w:rsidR="00E37F20" w14:paraId="5861F9FF"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A377A7F" w14:textId="77777777" w:rsidR="00E37F20" w:rsidRDefault="00E37F20" w:rsidP="000C6B24">
            <w:pPr>
              <w:spacing w:after="0" w:line="240" w:lineRule="auto"/>
              <w:jc w:val="center"/>
            </w:pPr>
            <w:r>
              <w:rPr>
                <w:color w:val="000000"/>
                <w:sz w:val="14"/>
              </w:rPr>
              <w:t>Q16</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D63456F"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46B915C" w14:textId="77777777" w:rsidR="00E37F20" w:rsidRDefault="00E37F20" w:rsidP="000C6B24">
            <w:pPr>
              <w:spacing w:after="0" w:line="240" w:lineRule="auto"/>
              <w:jc w:val="left"/>
            </w:pPr>
            <w:r>
              <w:rPr>
                <w:color w:val="000000"/>
                <w:sz w:val="14"/>
              </w:rPr>
              <w:t>Fair shifts and leave</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B44EB0" w14:textId="77777777" w:rsidR="00E37F20" w:rsidRDefault="00E37F20" w:rsidP="000C6B24">
            <w:pPr>
              <w:spacing w:after="0" w:line="240" w:lineRule="auto"/>
              <w:jc w:val="center"/>
            </w:pPr>
            <w:r>
              <w:rPr>
                <w:color w:val="000000"/>
                <w:sz w:val="14"/>
              </w:rPr>
              <w:t>3.35</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93B8EBB" w14:textId="77777777" w:rsidR="00E37F20" w:rsidRDefault="00E37F20" w:rsidP="000C6B24">
            <w:pPr>
              <w:spacing w:after="0" w:line="240" w:lineRule="auto"/>
              <w:jc w:val="center"/>
            </w:pPr>
            <w:r>
              <w:rPr>
                <w:color w:val="000000"/>
                <w:sz w:val="14"/>
              </w:rPr>
              <w:t>0.94</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CDF58C7" w14:textId="77777777" w:rsidR="00E37F20" w:rsidRDefault="00E37F20" w:rsidP="000C6B24">
            <w:pPr>
              <w:spacing w:after="0" w:line="240" w:lineRule="auto"/>
              <w:jc w:val="center"/>
            </w:pPr>
            <w:r>
              <w:rPr>
                <w:color w:val="000000"/>
                <w:sz w:val="14"/>
              </w:rPr>
              <w:t>40.0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5D90A7" w14:textId="77777777" w:rsidR="00E37F20" w:rsidRDefault="00E37F20" w:rsidP="000C6B24">
            <w:pPr>
              <w:spacing w:after="0" w:line="240" w:lineRule="auto"/>
              <w:jc w:val="center"/>
            </w:pPr>
            <w:r>
              <w:rPr>
                <w:color w:val="000000"/>
                <w:sz w:val="14"/>
              </w:rPr>
              <w:t>45.3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3831FA7" w14:textId="77777777" w:rsidR="00E37F20" w:rsidRDefault="00E37F20" w:rsidP="000C6B24">
            <w:pPr>
              <w:spacing w:after="0" w:line="240" w:lineRule="auto"/>
              <w:jc w:val="center"/>
            </w:pPr>
            <w:r>
              <w:rPr>
                <w:color w:val="000000"/>
                <w:sz w:val="14"/>
              </w:rPr>
              <w:t>14.7</w:t>
            </w:r>
          </w:p>
        </w:tc>
      </w:tr>
      <w:tr w:rsidR="00E37F20" w14:paraId="222D3325"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1C08B8C" w14:textId="77777777" w:rsidR="00E37F20" w:rsidRDefault="00E37F20" w:rsidP="000C6B24">
            <w:pPr>
              <w:spacing w:after="0" w:line="240" w:lineRule="auto"/>
              <w:jc w:val="center"/>
            </w:pPr>
            <w:r>
              <w:rPr>
                <w:color w:val="000000"/>
                <w:sz w:val="14"/>
              </w:rPr>
              <w:t>Q17</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2B64085"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4D5ECCE" w14:textId="77777777" w:rsidR="00E37F20" w:rsidRDefault="00E37F20" w:rsidP="000C6B24">
            <w:pPr>
              <w:spacing w:after="0" w:line="240" w:lineRule="auto"/>
              <w:jc w:val="left"/>
            </w:pPr>
            <w:r>
              <w:rPr>
                <w:color w:val="000000"/>
                <w:sz w:val="14"/>
              </w:rPr>
              <w:t>Consistent rules</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EA8768" w14:textId="77777777" w:rsidR="00E37F20" w:rsidRDefault="00E37F20" w:rsidP="000C6B24">
            <w:pPr>
              <w:spacing w:after="0" w:line="240" w:lineRule="auto"/>
              <w:jc w:val="center"/>
            </w:pPr>
            <w:r>
              <w:rPr>
                <w:color w:val="000000"/>
                <w:sz w:val="14"/>
              </w:rPr>
              <w:t>3.68</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9598244" w14:textId="77777777" w:rsidR="00E37F20" w:rsidRDefault="00E37F20" w:rsidP="000C6B24">
            <w:pPr>
              <w:spacing w:after="0" w:line="240" w:lineRule="auto"/>
              <w:jc w:val="center"/>
            </w:pPr>
            <w:r>
              <w:rPr>
                <w:color w:val="000000"/>
                <w:sz w:val="14"/>
              </w:rPr>
              <w:t>0.93</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9E72A3E" w14:textId="77777777" w:rsidR="00E37F20" w:rsidRDefault="00E37F20" w:rsidP="000C6B24">
            <w:pPr>
              <w:spacing w:after="0" w:line="240" w:lineRule="auto"/>
              <w:jc w:val="center"/>
            </w:pPr>
            <w:r>
              <w:rPr>
                <w:color w:val="000000"/>
                <w:sz w:val="14"/>
              </w:rPr>
              <w:t>61.3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44C678F" w14:textId="77777777" w:rsidR="00E37F20" w:rsidRDefault="00E37F20" w:rsidP="000C6B24">
            <w:pPr>
              <w:spacing w:after="0" w:line="240" w:lineRule="auto"/>
              <w:jc w:val="center"/>
            </w:pPr>
            <w:r>
              <w:rPr>
                <w:color w:val="000000"/>
                <w:sz w:val="14"/>
              </w:rPr>
              <w:t>28.0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22DCD64" w14:textId="77777777" w:rsidR="00E37F20" w:rsidRDefault="00E37F20" w:rsidP="000C6B24">
            <w:pPr>
              <w:spacing w:after="0" w:line="240" w:lineRule="auto"/>
              <w:jc w:val="center"/>
            </w:pPr>
            <w:r>
              <w:rPr>
                <w:color w:val="000000"/>
                <w:sz w:val="14"/>
              </w:rPr>
              <w:t>10.7</w:t>
            </w:r>
          </w:p>
        </w:tc>
      </w:tr>
      <w:tr w:rsidR="00E37F20" w14:paraId="3C3BCAF2"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B0FE6A9" w14:textId="77777777" w:rsidR="00E37F20" w:rsidRDefault="00E37F20" w:rsidP="000C6B24">
            <w:pPr>
              <w:spacing w:after="0" w:line="240" w:lineRule="auto"/>
              <w:jc w:val="center"/>
            </w:pPr>
            <w:r>
              <w:rPr>
                <w:color w:val="000000"/>
                <w:sz w:val="14"/>
              </w:rPr>
              <w:lastRenderedPageBreak/>
              <w:t>Q18</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C10C186"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9DD339B" w14:textId="77777777" w:rsidR="00E37F20" w:rsidRDefault="00E37F20" w:rsidP="000C6B24">
            <w:pPr>
              <w:spacing w:after="0" w:line="240" w:lineRule="auto"/>
              <w:jc w:val="left"/>
            </w:pPr>
            <w:r>
              <w:rPr>
                <w:color w:val="000000"/>
                <w:sz w:val="14"/>
              </w:rPr>
              <w:t>Opportunity for voice</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61199CD" w14:textId="77777777" w:rsidR="00E37F20" w:rsidRDefault="00E37F20" w:rsidP="000C6B24">
            <w:pPr>
              <w:spacing w:after="0" w:line="240" w:lineRule="auto"/>
              <w:jc w:val="center"/>
            </w:pPr>
            <w:r>
              <w:rPr>
                <w:color w:val="000000"/>
                <w:sz w:val="14"/>
              </w:rPr>
              <w:t>3.31</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C4614CE" w14:textId="77777777" w:rsidR="00E37F20" w:rsidRDefault="00E37F20" w:rsidP="000C6B24">
            <w:pPr>
              <w:spacing w:after="0" w:line="240" w:lineRule="auto"/>
              <w:jc w:val="center"/>
            </w:pPr>
            <w:r>
              <w:rPr>
                <w:color w:val="000000"/>
                <w:sz w:val="14"/>
              </w:rPr>
              <w:t>1.04</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798F9AD" w14:textId="77777777" w:rsidR="00E37F20" w:rsidRDefault="00E37F20" w:rsidP="000C6B24">
            <w:pPr>
              <w:spacing w:after="0" w:line="240" w:lineRule="auto"/>
              <w:jc w:val="center"/>
            </w:pPr>
            <w:r>
              <w:rPr>
                <w:color w:val="000000"/>
                <w:sz w:val="14"/>
              </w:rPr>
              <w:t>44.0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2AF4FB1" w14:textId="77777777" w:rsidR="00E37F20" w:rsidRDefault="00E37F20" w:rsidP="000C6B24">
            <w:pPr>
              <w:spacing w:after="0" w:line="240" w:lineRule="auto"/>
              <w:jc w:val="center"/>
            </w:pPr>
            <w:r>
              <w:rPr>
                <w:color w:val="000000"/>
                <w:sz w:val="14"/>
              </w:rPr>
              <w:t>36.0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A911E14" w14:textId="77777777" w:rsidR="00E37F20" w:rsidRDefault="00E37F20" w:rsidP="000C6B24">
            <w:pPr>
              <w:spacing w:after="0" w:line="240" w:lineRule="auto"/>
              <w:jc w:val="center"/>
            </w:pPr>
            <w:r>
              <w:rPr>
                <w:color w:val="000000"/>
                <w:sz w:val="14"/>
              </w:rPr>
              <w:t>20.0</w:t>
            </w:r>
          </w:p>
        </w:tc>
      </w:tr>
      <w:tr w:rsidR="00E37F20" w14:paraId="386FCF00"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CE56C0C" w14:textId="77777777" w:rsidR="00E37F20" w:rsidRDefault="00E37F20" w:rsidP="000C6B24">
            <w:pPr>
              <w:spacing w:after="0" w:line="240" w:lineRule="auto"/>
              <w:jc w:val="center"/>
            </w:pPr>
            <w:r>
              <w:rPr>
                <w:color w:val="000000"/>
                <w:sz w:val="14"/>
              </w:rPr>
              <w:t>Q19</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86EE2CC"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0FF8F2B" w14:textId="77777777" w:rsidR="00E37F20" w:rsidRDefault="00E37F20" w:rsidP="000C6B24">
            <w:pPr>
              <w:spacing w:after="0" w:line="240" w:lineRule="auto"/>
              <w:jc w:val="left"/>
            </w:pPr>
            <w:r>
              <w:rPr>
                <w:color w:val="000000"/>
                <w:sz w:val="14"/>
              </w:rPr>
              <w:t>Impartial grievances</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7241D0A" w14:textId="77777777" w:rsidR="00E37F20" w:rsidRDefault="00E37F20" w:rsidP="000C6B24">
            <w:pPr>
              <w:spacing w:after="0" w:line="240" w:lineRule="auto"/>
              <w:jc w:val="center"/>
            </w:pPr>
            <w:r>
              <w:rPr>
                <w:color w:val="000000"/>
                <w:sz w:val="14"/>
              </w:rPr>
              <w:t>3.47</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F7B0038" w14:textId="77777777" w:rsidR="00E37F20" w:rsidRDefault="00E37F20" w:rsidP="000C6B24">
            <w:pPr>
              <w:spacing w:after="0" w:line="240" w:lineRule="auto"/>
              <w:jc w:val="center"/>
            </w:pPr>
            <w:r>
              <w:rPr>
                <w:color w:val="000000"/>
                <w:sz w:val="14"/>
              </w:rPr>
              <w:t>0.98</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CC445C0" w14:textId="77777777" w:rsidR="00E37F20" w:rsidRDefault="00E37F20" w:rsidP="000C6B24">
            <w:pPr>
              <w:spacing w:after="0" w:line="240" w:lineRule="auto"/>
              <w:jc w:val="center"/>
            </w:pPr>
            <w:r>
              <w:rPr>
                <w:color w:val="000000"/>
                <w:sz w:val="14"/>
              </w:rPr>
              <w:t>50.7</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B4B5AE" w14:textId="77777777" w:rsidR="00E37F20" w:rsidRDefault="00E37F20" w:rsidP="000C6B24">
            <w:pPr>
              <w:spacing w:after="0" w:line="240" w:lineRule="auto"/>
              <w:jc w:val="center"/>
            </w:pPr>
            <w:r>
              <w:rPr>
                <w:color w:val="000000"/>
                <w:sz w:val="14"/>
              </w:rPr>
              <w:t>36.0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FAAD9BB" w14:textId="77777777" w:rsidR="00E37F20" w:rsidRDefault="00E37F20" w:rsidP="000C6B24">
            <w:pPr>
              <w:spacing w:after="0" w:line="240" w:lineRule="auto"/>
              <w:jc w:val="center"/>
            </w:pPr>
            <w:r>
              <w:rPr>
                <w:color w:val="000000"/>
                <w:sz w:val="14"/>
              </w:rPr>
              <w:t>13.3</w:t>
            </w:r>
          </w:p>
        </w:tc>
      </w:tr>
      <w:tr w:rsidR="00E37F20" w14:paraId="0C266EFE"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464F457" w14:textId="77777777" w:rsidR="00E37F20" w:rsidRDefault="00E37F20" w:rsidP="000C6B24">
            <w:pPr>
              <w:spacing w:after="0" w:line="240" w:lineRule="auto"/>
              <w:jc w:val="center"/>
            </w:pPr>
            <w:r>
              <w:rPr>
                <w:color w:val="000000"/>
                <w:sz w:val="14"/>
              </w:rPr>
              <w:t>Q20</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FFE7012"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1E1A6F" w14:textId="77777777" w:rsidR="00E37F20" w:rsidRDefault="00E37F20" w:rsidP="000C6B24">
            <w:pPr>
              <w:spacing w:after="0" w:line="240" w:lineRule="auto"/>
              <w:jc w:val="left"/>
            </w:pPr>
            <w:r>
              <w:rPr>
                <w:color w:val="000000"/>
                <w:sz w:val="14"/>
              </w:rPr>
              <w:t>Dignity and respect</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0E9017F" w14:textId="77777777" w:rsidR="00E37F20" w:rsidRDefault="00E37F20" w:rsidP="000C6B24">
            <w:pPr>
              <w:spacing w:after="0" w:line="240" w:lineRule="auto"/>
              <w:jc w:val="center"/>
            </w:pPr>
            <w:r>
              <w:rPr>
                <w:color w:val="000000"/>
                <w:sz w:val="14"/>
              </w:rPr>
              <w:t>3.88</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5EB31A3" w14:textId="77777777" w:rsidR="00E37F20" w:rsidRDefault="00E37F20" w:rsidP="000C6B24">
            <w:pPr>
              <w:spacing w:after="0" w:line="240" w:lineRule="auto"/>
              <w:jc w:val="center"/>
            </w:pPr>
            <w:r>
              <w:rPr>
                <w:color w:val="000000"/>
                <w:sz w:val="14"/>
              </w:rPr>
              <w:t>0.96</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ADC2583" w14:textId="77777777" w:rsidR="00E37F20" w:rsidRDefault="00E37F20" w:rsidP="000C6B24">
            <w:pPr>
              <w:spacing w:after="0" w:line="240" w:lineRule="auto"/>
              <w:jc w:val="center"/>
            </w:pPr>
            <w:r>
              <w:rPr>
                <w:color w:val="000000"/>
                <w:sz w:val="14"/>
              </w:rPr>
              <w:t>64.0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97F0A1" w14:textId="77777777" w:rsidR="00E37F20" w:rsidRDefault="00E37F20" w:rsidP="000C6B24">
            <w:pPr>
              <w:spacing w:after="0" w:line="240" w:lineRule="auto"/>
              <w:jc w:val="center"/>
            </w:pPr>
            <w:r>
              <w:rPr>
                <w:color w:val="000000"/>
                <w:sz w:val="14"/>
              </w:rPr>
              <w:t>28.0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1F70277" w14:textId="77777777" w:rsidR="00E37F20" w:rsidRDefault="00E37F20" w:rsidP="000C6B24">
            <w:pPr>
              <w:spacing w:after="0" w:line="240" w:lineRule="auto"/>
              <w:jc w:val="center"/>
            </w:pPr>
            <w:r>
              <w:rPr>
                <w:color w:val="000000"/>
                <w:sz w:val="14"/>
              </w:rPr>
              <w:t>8.0</w:t>
            </w:r>
          </w:p>
        </w:tc>
      </w:tr>
      <w:tr w:rsidR="00E37F20" w14:paraId="702DF961"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97CBEFF" w14:textId="77777777" w:rsidR="00E37F20" w:rsidRDefault="00E37F20" w:rsidP="000C6B24">
            <w:pPr>
              <w:spacing w:after="0" w:line="240" w:lineRule="auto"/>
              <w:jc w:val="center"/>
            </w:pPr>
            <w:r>
              <w:rPr>
                <w:color w:val="000000"/>
                <w:sz w:val="14"/>
              </w:rPr>
              <w:t>Q21</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1B80360"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B6618F9" w14:textId="77777777" w:rsidR="00E37F20" w:rsidRDefault="00E37F20" w:rsidP="000C6B24">
            <w:pPr>
              <w:spacing w:after="0" w:line="240" w:lineRule="auto"/>
              <w:jc w:val="left"/>
            </w:pPr>
            <w:r>
              <w:rPr>
                <w:color w:val="000000"/>
                <w:sz w:val="14"/>
              </w:rPr>
              <w:t>Clear explanations</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6D8CA8B" w14:textId="77777777" w:rsidR="00E37F20" w:rsidRDefault="00E37F20" w:rsidP="000C6B24">
            <w:pPr>
              <w:spacing w:after="0" w:line="240" w:lineRule="auto"/>
              <w:jc w:val="center"/>
            </w:pPr>
            <w:r>
              <w:rPr>
                <w:color w:val="000000"/>
                <w:sz w:val="14"/>
              </w:rPr>
              <w:t>3.77</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DF2F46" w14:textId="77777777" w:rsidR="00E37F20" w:rsidRDefault="00E37F20" w:rsidP="000C6B24">
            <w:pPr>
              <w:spacing w:after="0" w:line="240" w:lineRule="auto"/>
              <w:jc w:val="center"/>
            </w:pPr>
            <w:r>
              <w:rPr>
                <w:color w:val="000000"/>
                <w:sz w:val="14"/>
              </w:rPr>
              <w:t>1.01</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E25537D" w14:textId="77777777" w:rsidR="00E37F20" w:rsidRDefault="00E37F20" w:rsidP="000C6B24">
            <w:pPr>
              <w:spacing w:after="0" w:line="240" w:lineRule="auto"/>
              <w:jc w:val="center"/>
            </w:pPr>
            <w:r>
              <w:rPr>
                <w:color w:val="000000"/>
                <w:sz w:val="14"/>
              </w:rPr>
              <w:t>62.7</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900D20D" w14:textId="77777777" w:rsidR="00E37F20" w:rsidRDefault="00E37F20" w:rsidP="000C6B24">
            <w:pPr>
              <w:spacing w:after="0" w:line="240" w:lineRule="auto"/>
              <w:jc w:val="center"/>
            </w:pPr>
            <w:r>
              <w:rPr>
                <w:color w:val="000000"/>
                <w:sz w:val="14"/>
              </w:rPr>
              <w:t>24.0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F872F4A" w14:textId="77777777" w:rsidR="00E37F20" w:rsidRDefault="00E37F20" w:rsidP="000C6B24">
            <w:pPr>
              <w:spacing w:after="0" w:line="240" w:lineRule="auto"/>
              <w:jc w:val="center"/>
            </w:pPr>
            <w:r>
              <w:rPr>
                <w:color w:val="000000"/>
                <w:sz w:val="14"/>
              </w:rPr>
              <w:t>13.3</w:t>
            </w:r>
          </w:p>
        </w:tc>
      </w:tr>
      <w:tr w:rsidR="00E37F20" w14:paraId="1DA39BC6"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EC4F3BA" w14:textId="77777777" w:rsidR="00E37F20" w:rsidRDefault="00E37F20" w:rsidP="000C6B24">
            <w:pPr>
              <w:spacing w:after="0" w:line="240" w:lineRule="auto"/>
              <w:jc w:val="center"/>
            </w:pPr>
            <w:r>
              <w:rPr>
                <w:color w:val="000000"/>
                <w:sz w:val="14"/>
              </w:rPr>
              <w:t>Q22</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4C6F937" w14:textId="77777777" w:rsidR="00E37F20" w:rsidRDefault="00E37F20" w:rsidP="000C6B24">
            <w:pPr>
              <w:spacing w:after="0" w:line="240" w:lineRule="auto"/>
              <w:jc w:val="left"/>
            </w:pPr>
            <w:r>
              <w:rPr>
                <w:color w:val="000000"/>
                <w:sz w:val="14"/>
              </w:rPr>
              <w:t>Justice</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539A3B" w14:textId="77777777" w:rsidR="00E37F20" w:rsidRDefault="00E37F20" w:rsidP="000C6B24">
            <w:pPr>
              <w:spacing w:after="0" w:line="240" w:lineRule="auto"/>
              <w:jc w:val="left"/>
            </w:pPr>
            <w:r>
              <w:rPr>
                <w:color w:val="000000"/>
                <w:sz w:val="14"/>
              </w:rPr>
              <w:t>Accurate policy information</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250AED0" w14:textId="77777777" w:rsidR="00E37F20" w:rsidRDefault="00E37F20" w:rsidP="000C6B24">
            <w:pPr>
              <w:spacing w:after="0" w:line="240" w:lineRule="auto"/>
              <w:jc w:val="center"/>
            </w:pPr>
            <w:r>
              <w:rPr>
                <w:color w:val="000000"/>
                <w:sz w:val="14"/>
              </w:rPr>
              <w:t>3.39</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C4F3242" w14:textId="77777777" w:rsidR="00E37F20" w:rsidRDefault="00E37F20" w:rsidP="000C6B24">
            <w:pPr>
              <w:spacing w:after="0" w:line="240" w:lineRule="auto"/>
              <w:jc w:val="center"/>
            </w:pPr>
            <w:r>
              <w:rPr>
                <w:color w:val="000000"/>
                <w:sz w:val="14"/>
              </w:rPr>
              <w:t>0.96</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547FFDF" w14:textId="77777777" w:rsidR="00E37F20" w:rsidRDefault="00E37F20" w:rsidP="000C6B24">
            <w:pPr>
              <w:spacing w:after="0" w:line="240" w:lineRule="auto"/>
              <w:jc w:val="center"/>
            </w:pPr>
            <w:r>
              <w:rPr>
                <w:color w:val="000000"/>
                <w:sz w:val="14"/>
              </w:rPr>
              <w:t>52.0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62FC516" w14:textId="77777777" w:rsidR="00E37F20" w:rsidRDefault="00E37F20" w:rsidP="000C6B24">
            <w:pPr>
              <w:spacing w:after="0" w:line="240" w:lineRule="auto"/>
              <w:jc w:val="center"/>
            </w:pPr>
            <w:r>
              <w:rPr>
                <w:color w:val="000000"/>
                <w:sz w:val="14"/>
              </w:rPr>
              <w:t>26.7</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1A8A3DF" w14:textId="77777777" w:rsidR="00E37F20" w:rsidRDefault="00E37F20" w:rsidP="000C6B24">
            <w:pPr>
              <w:spacing w:after="0" w:line="240" w:lineRule="auto"/>
              <w:jc w:val="center"/>
            </w:pPr>
            <w:r>
              <w:rPr>
                <w:color w:val="000000"/>
                <w:sz w:val="14"/>
              </w:rPr>
              <w:t>21.3</w:t>
            </w:r>
          </w:p>
        </w:tc>
      </w:tr>
      <w:tr w:rsidR="00E37F20" w14:paraId="2E08A838"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89BB4C7" w14:textId="77777777" w:rsidR="00E37F20" w:rsidRDefault="00E37F20" w:rsidP="000C6B24">
            <w:pPr>
              <w:spacing w:after="0" w:line="240" w:lineRule="auto"/>
              <w:jc w:val="center"/>
            </w:pPr>
            <w:r>
              <w:rPr>
                <w:color w:val="000000"/>
                <w:sz w:val="14"/>
              </w:rPr>
              <w:t>Q23</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872F275"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CCC6D3C" w14:textId="77777777" w:rsidR="00E37F20" w:rsidRDefault="00E37F20" w:rsidP="000C6B24">
            <w:pPr>
              <w:spacing w:after="0" w:line="240" w:lineRule="auto"/>
              <w:jc w:val="left"/>
            </w:pPr>
            <w:r>
              <w:rPr>
                <w:color w:val="000000"/>
                <w:sz w:val="14"/>
              </w:rPr>
              <w:t>Emotional attachment</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98784DD" w14:textId="77777777" w:rsidR="00E37F20" w:rsidRDefault="00E37F20" w:rsidP="000C6B24">
            <w:pPr>
              <w:spacing w:after="0" w:line="240" w:lineRule="auto"/>
              <w:jc w:val="center"/>
            </w:pPr>
            <w:r>
              <w:rPr>
                <w:color w:val="000000"/>
                <w:sz w:val="14"/>
              </w:rPr>
              <w:t>3.43</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F010C0B" w14:textId="77777777" w:rsidR="00E37F20" w:rsidRDefault="00E37F20" w:rsidP="000C6B24">
            <w:pPr>
              <w:spacing w:after="0" w:line="240" w:lineRule="auto"/>
              <w:jc w:val="center"/>
            </w:pPr>
            <w:r>
              <w:rPr>
                <w:color w:val="000000"/>
                <w:sz w:val="14"/>
              </w:rPr>
              <w:t>1.12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637E247" w14:textId="77777777" w:rsidR="00E37F20" w:rsidRDefault="00E37F20" w:rsidP="000C6B24">
            <w:pPr>
              <w:spacing w:after="0" w:line="240" w:lineRule="auto"/>
              <w:jc w:val="center"/>
            </w:pPr>
            <w:r>
              <w:rPr>
                <w:color w:val="000000"/>
                <w:sz w:val="14"/>
              </w:rPr>
              <w:t>53.3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8F0A74A" w14:textId="77777777" w:rsidR="00E37F20" w:rsidRDefault="00E37F20" w:rsidP="000C6B24">
            <w:pPr>
              <w:spacing w:after="0" w:line="240" w:lineRule="auto"/>
              <w:jc w:val="center"/>
            </w:pPr>
            <w:r>
              <w:rPr>
                <w:color w:val="000000"/>
                <w:sz w:val="14"/>
              </w:rPr>
              <w:t>22.7</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34EB87E" w14:textId="77777777" w:rsidR="00E37F20" w:rsidRDefault="00E37F20" w:rsidP="000C6B24">
            <w:pPr>
              <w:spacing w:after="0" w:line="240" w:lineRule="auto"/>
              <w:jc w:val="center"/>
            </w:pPr>
            <w:r>
              <w:rPr>
                <w:color w:val="000000"/>
                <w:sz w:val="14"/>
              </w:rPr>
              <w:t>24.0</w:t>
            </w:r>
          </w:p>
        </w:tc>
      </w:tr>
      <w:tr w:rsidR="00E37F20" w14:paraId="08917902"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D2A3C25" w14:textId="77777777" w:rsidR="00E37F20" w:rsidRDefault="00E37F20" w:rsidP="000C6B24">
            <w:pPr>
              <w:spacing w:after="0" w:line="240" w:lineRule="auto"/>
              <w:jc w:val="center"/>
            </w:pPr>
            <w:r>
              <w:rPr>
                <w:color w:val="000000"/>
                <w:sz w:val="14"/>
              </w:rPr>
              <w:t>Q24</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8521C13"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10BED6E" w14:textId="77777777" w:rsidR="00E37F20" w:rsidRDefault="00E37F20" w:rsidP="000C6B24">
            <w:pPr>
              <w:spacing w:after="0" w:line="240" w:lineRule="auto"/>
              <w:jc w:val="left"/>
            </w:pPr>
            <w:r>
              <w:rPr>
                <w:color w:val="000000"/>
                <w:sz w:val="14"/>
              </w:rPr>
              <w:t>Sense of belonging</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1A0576C" w14:textId="77777777" w:rsidR="00E37F20" w:rsidRDefault="00E37F20" w:rsidP="000C6B24">
            <w:pPr>
              <w:spacing w:after="0" w:line="240" w:lineRule="auto"/>
              <w:jc w:val="center"/>
            </w:pPr>
            <w:r>
              <w:rPr>
                <w:color w:val="000000"/>
                <w:sz w:val="14"/>
              </w:rPr>
              <w:t>3.31</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46A87F" w14:textId="77777777" w:rsidR="00E37F20" w:rsidRDefault="00E37F20" w:rsidP="000C6B24">
            <w:pPr>
              <w:spacing w:after="0" w:line="240" w:lineRule="auto"/>
              <w:jc w:val="center"/>
            </w:pPr>
            <w:r>
              <w:rPr>
                <w:color w:val="000000"/>
                <w:sz w:val="14"/>
              </w:rPr>
              <w:t>1.09</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4BAE269" w14:textId="77777777" w:rsidR="00E37F20" w:rsidRDefault="00E37F20" w:rsidP="000C6B24">
            <w:pPr>
              <w:spacing w:after="0" w:line="240" w:lineRule="auto"/>
              <w:jc w:val="center"/>
            </w:pPr>
            <w:r>
              <w:rPr>
                <w:color w:val="000000"/>
                <w:sz w:val="14"/>
              </w:rPr>
              <w:t>48.0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08C9A8D" w14:textId="77777777" w:rsidR="00E37F20" w:rsidRDefault="00E37F20" w:rsidP="000C6B24">
            <w:pPr>
              <w:spacing w:after="0" w:line="240" w:lineRule="auto"/>
              <w:jc w:val="center"/>
            </w:pPr>
            <w:r>
              <w:rPr>
                <w:color w:val="000000"/>
                <w:sz w:val="14"/>
              </w:rPr>
              <w:t>29.3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D120D36" w14:textId="77777777" w:rsidR="00E37F20" w:rsidRDefault="00E37F20" w:rsidP="000C6B24">
            <w:pPr>
              <w:spacing w:after="0" w:line="240" w:lineRule="auto"/>
              <w:jc w:val="center"/>
            </w:pPr>
            <w:r>
              <w:rPr>
                <w:color w:val="000000"/>
                <w:sz w:val="14"/>
              </w:rPr>
              <w:t>22.7</w:t>
            </w:r>
          </w:p>
        </w:tc>
      </w:tr>
      <w:tr w:rsidR="00E37F20" w14:paraId="1F8FDE1C"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FDBF188" w14:textId="77777777" w:rsidR="00E37F20" w:rsidRDefault="00E37F20" w:rsidP="000C6B24">
            <w:pPr>
              <w:spacing w:after="0" w:line="240" w:lineRule="auto"/>
              <w:jc w:val="center"/>
            </w:pPr>
            <w:r>
              <w:rPr>
                <w:color w:val="000000"/>
                <w:sz w:val="14"/>
              </w:rPr>
              <w:t>Q25</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3CDC3E6"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7E1320F" w14:textId="77777777" w:rsidR="00E37F20" w:rsidRDefault="00E37F20" w:rsidP="000C6B24">
            <w:pPr>
              <w:spacing w:after="0" w:line="240" w:lineRule="auto"/>
              <w:jc w:val="left"/>
            </w:pPr>
            <w:r>
              <w:rPr>
                <w:color w:val="000000"/>
                <w:sz w:val="14"/>
              </w:rPr>
              <w:t>Pride in organisation</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4A4BAF" w14:textId="77777777" w:rsidR="00E37F20" w:rsidRDefault="00E37F20" w:rsidP="000C6B24">
            <w:pPr>
              <w:spacing w:after="0" w:line="240" w:lineRule="auto"/>
              <w:jc w:val="center"/>
            </w:pPr>
            <w:r>
              <w:rPr>
                <w:color w:val="000000"/>
                <w:sz w:val="14"/>
              </w:rPr>
              <w:t>3.48</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E463112" w14:textId="77777777" w:rsidR="00E37F20" w:rsidRDefault="00E37F20" w:rsidP="000C6B24">
            <w:pPr>
              <w:spacing w:after="0" w:line="240" w:lineRule="auto"/>
              <w:jc w:val="center"/>
            </w:pPr>
            <w:r>
              <w:rPr>
                <w:color w:val="000000"/>
                <w:sz w:val="14"/>
              </w:rPr>
              <w:t>1.04</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5D557BB" w14:textId="77777777" w:rsidR="00E37F20" w:rsidRDefault="00E37F20" w:rsidP="000C6B24">
            <w:pPr>
              <w:spacing w:after="0" w:line="240" w:lineRule="auto"/>
              <w:jc w:val="center"/>
            </w:pPr>
            <w:r>
              <w:rPr>
                <w:color w:val="000000"/>
                <w:sz w:val="14"/>
              </w:rPr>
              <w:t>57.3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49372C1" w14:textId="77777777" w:rsidR="00E37F20" w:rsidRDefault="00E37F20" w:rsidP="000C6B24">
            <w:pPr>
              <w:spacing w:after="0" w:line="240" w:lineRule="auto"/>
              <w:jc w:val="center"/>
            </w:pPr>
            <w:r>
              <w:rPr>
                <w:color w:val="000000"/>
                <w:sz w:val="14"/>
              </w:rPr>
              <w:t>25.3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7A63D70" w14:textId="77777777" w:rsidR="00E37F20" w:rsidRDefault="00E37F20" w:rsidP="000C6B24">
            <w:pPr>
              <w:spacing w:after="0" w:line="240" w:lineRule="auto"/>
              <w:jc w:val="center"/>
            </w:pPr>
            <w:r>
              <w:rPr>
                <w:color w:val="000000"/>
                <w:sz w:val="14"/>
              </w:rPr>
              <w:t>17.3</w:t>
            </w:r>
          </w:p>
        </w:tc>
      </w:tr>
      <w:tr w:rsidR="00E37F20" w14:paraId="233CB3A7"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48ABA4" w14:textId="77777777" w:rsidR="00E37F20" w:rsidRDefault="00E37F20" w:rsidP="000C6B24">
            <w:pPr>
              <w:spacing w:after="0" w:line="240" w:lineRule="auto"/>
              <w:jc w:val="center"/>
            </w:pPr>
            <w:r>
              <w:rPr>
                <w:color w:val="000000"/>
                <w:sz w:val="14"/>
              </w:rPr>
              <w:t>Q26</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ED99C2"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1305F9A" w14:textId="77777777" w:rsidR="00E37F20" w:rsidRDefault="00E37F20" w:rsidP="000C6B24">
            <w:pPr>
              <w:spacing w:after="0" w:line="240" w:lineRule="auto"/>
              <w:jc w:val="left"/>
            </w:pPr>
            <w:r>
              <w:rPr>
                <w:color w:val="000000"/>
                <w:sz w:val="14"/>
              </w:rPr>
              <w:t>Happy to remain</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7D04C4C" w14:textId="77777777" w:rsidR="00E37F20" w:rsidRDefault="00E37F20" w:rsidP="000C6B24">
            <w:pPr>
              <w:spacing w:after="0" w:line="240" w:lineRule="auto"/>
              <w:jc w:val="center"/>
            </w:pPr>
            <w:r>
              <w:rPr>
                <w:color w:val="000000"/>
                <w:sz w:val="14"/>
              </w:rPr>
              <w:t>3.72</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D0BBFAC" w14:textId="77777777" w:rsidR="00E37F20" w:rsidRDefault="00E37F20" w:rsidP="000C6B24">
            <w:pPr>
              <w:spacing w:after="0" w:line="240" w:lineRule="auto"/>
              <w:jc w:val="center"/>
            </w:pPr>
            <w:r>
              <w:rPr>
                <w:color w:val="000000"/>
                <w:sz w:val="14"/>
              </w:rPr>
              <w:t>0.92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6C50EF0" w14:textId="77777777" w:rsidR="00E37F20" w:rsidRDefault="00E37F20" w:rsidP="000C6B24">
            <w:pPr>
              <w:spacing w:after="0" w:line="240" w:lineRule="auto"/>
              <w:jc w:val="center"/>
            </w:pPr>
            <w:r>
              <w:rPr>
                <w:color w:val="000000"/>
                <w:sz w:val="14"/>
              </w:rPr>
              <w:t>62.7</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0DAE4C7" w14:textId="77777777" w:rsidR="00E37F20" w:rsidRDefault="00E37F20" w:rsidP="000C6B24">
            <w:pPr>
              <w:spacing w:after="0" w:line="240" w:lineRule="auto"/>
              <w:jc w:val="center"/>
            </w:pPr>
            <w:r>
              <w:rPr>
                <w:color w:val="000000"/>
                <w:sz w:val="14"/>
              </w:rPr>
              <w:t>28.0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8878D19" w14:textId="77777777" w:rsidR="00E37F20" w:rsidRDefault="00E37F20" w:rsidP="000C6B24">
            <w:pPr>
              <w:spacing w:after="0" w:line="240" w:lineRule="auto"/>
              <w:jc w:val="center"/>
            </w:pPr>
            <w:r>
              <w:rPr>
                <w:color w:val="000000"/>
                <w:sz w:val="14"/>
              </w:rPr>
              <w:t>9.3</w:t>
            </w:r>
          </w:p>
        </w:tc>
      </w:tr>
      <w:tr w:rsidR="00E37F20" w14:paraId="65D1E4DE"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AC4D0A7" w14:textId="77777777" w:rsidR="00E37F20" w:rsidRDefault="00E37F20" w:rsidP="000C6B24">
            <w:pPr>
              <w:spacing w:after="0" w:line="240" w:lineRule="auto"/>
              <w:jc w:val="center"/>
            </w:pPr>
            <w:r>
              <w:rPr>
                <w:color w:val="000000"/>
                <w:sz w:val="14"/>
              </w:rPr>
              <w:t>Q27</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B857F58"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B73235D" w14:textId="77777777" w:rsidR="00E37F20" w:rsidRDefault="00E37F20" w:rsidP="000C6B24">
            <w:pPr>
              <w:spacing w:after="0" w:line="240" w:lineRule="auto"/>
              <w:jc w:val="left"/>
            </w:pPr>
            <w:r>
              <w:rPr>
                <w:color w:val="000000"/>
                <w:sz w:val="14"/>
              </w:rPr>
              <w:t>Responsibility to remain</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B20A32B" w14:textId="77777777" w:rsidR="00E37F20" w:rsidRDefault="00E37F20" w:rsidP="000C6B24">
            <w:pPr>
              <w:spacing w:after="0" w:line="240" w:lineRule="auto"/>
              <w:jc w:val="center"/>
            </w:pPr>
            <w:r>
              <w:rPr>
                <w:color w:val="000000"/>
                <w:sz w:val="14"/>
              </w:rPr>
              <w:t>3.09</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E20702D" w14:textId="77777777" w:rsidR="00E37F20" w:rsidRDefault="00E37F20" w:rsidP="000C6B24">
            <w:pPr>
              <w:spacing w:after="0" w:line="240" w:lineRule="auto"/>
              <w:jc w:val="center"/>
            </w:pPr>
            <w:r>
              <w:rPr>
                <w:color w:val="000000"/>
                <w:sz w:val="14"/>
              </w:rPr>
              <w:t>1.15</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D7C5A18" w14:textId="77777777" w:rsidR="00E37F20" w:rsidRDefault="00E37F20" w:rsidP="000C6B24">
            <w:pPr>
              <w:spacing w:after="0" w:line="240" w:lineRule="auto"/>
              <w:jc w:val="center"/>
            </w:pPr>
            <w:r>
              <w:rPr>
                <w:color w:val="000000"/>
                <w:sz w:val="14"/>
              </w:rPr>
              <w:t>36.0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6992C33" w14:textId="77777777" w:rsidR="00E37F20" w:rsidRDefault="00E37F20" w:rsidP="000C6B24">
            <w:pPr>
              <w:spacing w:after="0" w:line="240" w:lineRule="auto"/>
              <w:jc w:val="center"/>
            </w:pPr>
            <w:r>
              <w:rPr>
                <w:color w:val="000000"/>
                <w:sz w:val="14"/>
              </w:rPr>
              <w:t>32.0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D418681" w14:textId="77777777" w:rsidR="00E37F20" w:rsidRDefault="00E37F20" w:rsidP="000C6B24">
            <w:pPr>
              <w:spacing w:after="0" w:line="240" w:lineRule="auto"/>
              <w:jc w:val="center"/>
            </w:pPr>
            <w:r>
              <w:rPr>
                <w:color w:val="000000"/>
                <w:sz w:val="14"/>
              </w:rPr>
              <w:t>32.0</w:t>
            </w:r>
          </w:p>
        </w:tc>
      </w:tr>
      <w:tr w:rsidR="00E37F20" w14:paraId="5BF40863"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04608F7" w14:textId="77777777" w:rsidR="00E37F20" w:rsidRDefault="00E37F20" w:rsidP="000C6B24">
            <w:pPr>
              <w:spacing w:after="0" w:line="240" w:lineRule="auto"/>
              <w:jc w:val="center"/>
            </w:pPr>
            <w:r>
              <w:rPr>
                <w:color w:val="000000"/>
                <w:sz w:val="14"/>
              </w:rPr>
              <w:t>Q28</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9D2D048"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78D5139" w14:textId="77777777" w:rsidR="00E37F20" w:rsidRDefault="00E37F20" w:rsidP="000C6B24">
            <w:pPr>
              <w:spacing w:after="0" w:line="240" w:lineRule="auto"/>
              <w:jc w:val="left"/>
            </w:pPr>
            <w:r>
              <w:rPr>
                <w:color w:val="000000"/>
                <w:sz w:val="14"/>
              </w:rPr>
              <w:t>Guilt about leaving</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53719CDF" w14:textId="77777777" w:rsidR="00E37F20" w:rsidRDefault="00E37F20" w:rsidP="000C6B24">
            <w:pPr>
              <w:spacing w:after="0" w:line="240" w:lineRule="auto"/>
              <w:jc w:val="center"/>
            </w:pPr>
            <w:r>
              <w:rPr>
                <w:color w:val="000000"/>
                <w:sz w:val="14"/>
              </w:rPr>
              <w:t>3.00</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89BF472" w14:textId="77777777" w:rsidR="00E37F20" w:rsidRDefault="00E37F20" w:rsidP="000C6B24">
            <w:pPr>
              <w:spacing w:after="0" w:line="240" w:lineRule="auto"/>
              <w:jc w:val="center"/>
            </w:pPr>
            <w:r>
              <w:rPr>
                <w:color w:val="000000"/>
                <w:sz w:val="14"/>
              </w:rPr>
              <w:t>0.82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1FDA6A9" w14:textId="77777777" w:rsidR="00E37F20" w:rsidRDefault="00E37F20" w:rsidP="000C6B24">
            <w:pPr>
              <w:spacing w:after="0" w:line="240" w:lineRule="auto"/>
              <w:jc w:val="center"/>
            </w:pPr>
            <w:r>
              <w:rPr>
                <w:color w:val="000000"/>
                <w:sz w:val="14"/>
              </w:rPr>
              <w:t>24.0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AEF74CB" w14:textId="77777777" w:rsidR="00E37F20" w:rsidRDefault="00E37F20" w:rsidP="000C6B24">
            <w:pPr>
              <w:spacing w:after="0" w:line="240" w:lineRule="auto"/>
              <w:jc w:val="center"/>
            </w:pPr>
            <w:r>
              <w:rPr>
                <w:color w:val="000000"/>
                <w:sz w:val="14"/>
              </w:rPr>
              <w:t>49.3</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F604997" w14:textId="77777777" w:rsidR="00E37F20" w:rsidRDefault="00E37F20" w:rsidP="000C6B24">
            <w:pPr>
              <w:spacing w:after="0" w:line="240" w:lineRule="auto"/>
              <w:jc w:val="center"/>
            </w:pPr>
            <w:r>
              <w:rPr>
                <w:color w:val="000000"/>
                <w:sz w:val="14"/>
              </w:rPr>
              <w:t>26.7</w:t>
            </w:r>
          </w:p>
        </w:tc>
      </w:tr>
      <w:tr w:rsidR="00E37F20" w14:paraId="302F6B89"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BF29269" w14:textId="77777777" w:rsidR="00E37F20" w:rsidRDefault="00E37F20" w:rsidP="000C6B24">
            <w:pPr>
              <w:spacing w:after="0" w:line="240" w:lineRule="auto"/>
              <w:jc w:val="center"/>
            </w:pPr>
            <w:r>
              <w:rPr>
                <w:color w:val="000000"/>
                <w:sz w:val="14"/>
              </w:rPr>
              <w:t>Q29</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3E794D1"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6450B7D" w14:textId="77777777" w:rsidR="00E37F20" w:rsidRDefault="00E37F20" w:rsidP="000C6B24">
            <w:pPr>
              <w:spacing w:after="0" w:line="240" w:lineRule="auto"/>
              <w:jc w:val="left"/>
            </w:pPr>
            <w:r>
              <w:rPr>
                <w:color w:val="000000"/>
                <w:sz w:val="14"/>
              </w:rPr>
              <w:t>Disruption from leaving</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1D69406" w14:textId="77777777" w:rsidR="00E37F20" w:rsidRDefault="00E37F20" w:rsidP="000C6B24">
            <w:pPr>
              <w:spacing w:after="0" w:line="240" w:lineRule="auto"/>
              <w:jc w:val="center"/>
            </w:pPr>
            <w:r>
              <w:rPr>
                <w:color w:val="000000"/>
                <w:sz w:val="14"/>
              </w:rPr>
              <w:t>3.19</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FF98D4E" w14:textId="77777777" w:rsidR="00E37F20" w:rsidRDefault="00E37F20" w:rsidP="000C6B24">
            <w:pPr>
              <w:spacing w:after="0" w:line="240" w:lineRule="auto"/>
              <w:jc w:val="center"/>
            </w:pPr>
            <w:r>
              <w:rPr>
                <w:color w:val="000000"/>
                <w:sz w:val="14"/>
              </w:rPr>
              <w:t>1.12</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3AEF574" w14:textId="77777777" w:rsidR="00E37F20" w:rsidRDefault="00E37F20" w:rsidP="000C6B24">
            <w:pPr>
              <w:spacing w:after="0" w:line="240" w:lineRule="auto"/>
              <w:jc w:val="center"/>
            </w:pPr>
            <w:r>
              <w:rPr>
                <w:color w:val="000000"/>
                <w:sz w:val="14"/>
              </w:rPr>
              <w:t>41.3</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A0B303F" w14:textId="77777777" w:rsidR="00E37F20" w:rsidRDefault="00E37F20" w:rsidP="000C6B24">
            <w:pPr>
              <w:spacing w:after="0" w:line="240" w:lineRule="auto"/>
              <w:jc w:val="center"/>
            </w:pPr>
            <w:r>
              <w:rPr>
                <w:color w:val="000000"/>
                <w:sz w:val="14"/>
              </w:rPr>
              <w:t>36.0</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6A4690D7" w14:textId="77777777" w:rsidR="00E37F20" w:rsidRDefault="00E37F20" w:rsidP="000C6B24">
            <w:pPr>
              <w:spacing w:after="0" w:line="240" w:lineRule="auto"/>
              <w:jc w:val="center"/>
            </w:pPr>
            <w:r>
              <w:rPr>
                <w:color w:val="000000"/>
                <w:sz w:val="14"/>
              </w:rPr>
              <w:t>22.7</w:t>
            </w:r>
          </w:p>
        </w:tc>
      </w:tr>
      <w:tr w:rsidR="00E37F20" w14:paraId="407B7E95" w14:textId="77777777" w:rsidTr="000C6B24">
        <w:trPr>
          <w:cantSplit/>
          <w:jc w:val="center"/>
        </w:trPr>
        <w:tc>
          <w:tcPr>
            <w:tcW w:w="691"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63D4209" w14:textId="77777777" w:rsidR="00E37F20" w:rsidRDefault="00E37F20" w:rsidP="000C6B24">
            <w:pPr>
              <w:spacing w:after="0" w:line="240" w:lineRule="auto"/>
              <w:jc w:val="center"/>
            </w:pPr>
            <w:r>
              <w:rPr>
                <w:color w:val="000000"/>
                <w:sz w:val="14"/>
              </w:rPr>
              <w:t>Q30</w:t>
            </w:r>
          </w:p>
        </w:tc>
        <w:tc>
          <w:tcPr>
            <w:tcW w:w="1037"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171B0FE4" w14:textId="77777777" w:rsidR="00E37F20" w:rsidRDefault="00E37F20" w:rsidP="000C6B24">
            <w:pPr>
              <w:spacing w:after="0" w:line="240" w:lineRule="auto"/>
              <w:jc w:val="left"/>
            </w:pPr>
            <w:r>
              <w:rPr>
                <w:color w:val="000000"/>
                <w:sz w:val="14"/>
              </w:rPr>
              <w:t>Commitment</w:t>
            </w:r>
          </w:p>
        </w:tc>
        <w:tc>
          <w:tcPr>
            <w:tcW w:w="348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043D4F49" w14:textId="77777777" w:rsidR="00E37F20" w:rsidRDefault="00E37F20" w:rsidP="000C6B24">
            <w:pPr>
              <w:spacing w:after="0" w:line="240" w:lineRule="auto"/>
              <w:jc w:val="left"/>
            </w:pPr>
            <w:r>
              <w:rPr>
                <w:color w:val="000000"/>
                <w:sz w:val="14"/>
              </w:rPr>
              <w:t>Alternative employment difficult</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3F175280" w14:textId="77777777" w:rsidR="00E37F20" w:rsidRDefault="00E37F20" w:rsidP="000C6B24">
            <w:pPr>
              <w:spacing w:after="0" w:line="240" w:lineRule="auto"/>
              <w:jc w:val="center"/>
            </w:pPr>
            <w:r>
              <w:rPr>
                <w:color w:val="000000"/>
                <w:sz w:val="14"/>
              </w:rPr>
              <w:t>3.04</w:t>
            </w:r>
          </w:p>
        </w:tc>
        <w:tc>
          <w:tcPr>
            <w:tcW w:w="648"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7CC4CE11" w14:textId="77777777" w:rsidR="00E37F20" w:rsidRDefault="00E37F20" w:rsidP="000C6B24">
            <w:pPr>
              <w:spacing w:after="0" w:line="240" w:lineRule="auto"/>
              <w:jc w:val="center"/>
            </w:pPr>
            <w:r>
              <w:rPr>
                <w:color w:val="000000"/>
                <w:sz w:val="14"/>
              </w:rPr>
              <w:t>0.91</w:t>
            </w:r>
          </w:p>
        </w:tc>
        <w:tc>
          <w:tcPr>
            <w:tcW w:w="806"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5224CA7" w14:textId="77777777" w:rsidR="00E37F20" w:rsidRDefault="00E37F20" w:rsidP="000C6B24">
            <w:pPr>
              <w:spacing w:after="0" w:line="240" w:lineRule="auto"/>
              <w:jc w:val="center"/>
            </w:pPr>
            <w:r>
              <w:rPr>
                <w:color w:val="000000"/>
                <w:sz w:val="14"/>
              </w:rPr>
              <w:t>28.0</w:t>
            </w:r>
          </w:p>
        </w:tc>
        <w:tc>
          <w:tcPr>
            <w:tcW w:w="850"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2FE35A7E" w14:textId="77777777" w:rsidR="00E37F20" w:rsidRDefault="00E37F20" w:rsidP="000C6B24">
            <w:pPr>
              <w:spacing w:after="0" w:line="240" w:lineRule="auto"/>
              <w:jc w:val="center"/>
            </w:pPr>
            <w:r>
              <w:rPr>
                <w:color w:val="000000"/>
                <w:sz w:val="14"/>
              </w:rPr>
              <w:t>46.7</w:t>
            </w:r>
          </w:p>
        </w:tc>
        <w:tc>
          <w:tcPr>
            <w:tcW w:w="835" w:type="dxa"/>
            <w:tcBorders>
              <w:top w:val="single" w:sz="5" w:space="0" w:color="666666"/>
              <w:left w:val="single" w:sz="5" w:space="0" w:color="666666"/>
              <w:bottom w:val="single" w:sz="5" w:space="0" w:color="666666"/>
              <w:right w:val="single" w:sz="5" w:space="0" w:color="666666"/>
            </w:tcBorders>
            <w:tcMar>
              <w:top w:w="80" w:type="dxa"/>
              <w:left w:w="100" w:type="dxa"/>
              <w:bottom w:w="80" w:type="dxa"/>
              <w:right w:w="100" w:type="dxa"/>
            </w:tcMar>
            <w:vAlign w:val="center"/>
          </w:tcPr>
          <w:p w14:paraId="4013539D" w14:textId="77777777" w:rsidR="00E37F20" w:rsidRDefault="00E37F20" w:rsidP="000C6B24">
            <w:pPr>
              <w:spacing w:after="0" w:line="240" w:lineRule="auto"/>
              <w:jc w:val="center"/>
            </w:pPr>
            <w:r>
              <w:rPr>
                <w:color w:val="000000"/>
                <w:sz w:val="14"/>
              </w:rPr>
              <w:t>25.3</w:t>
            </w:r>
          </w:p>
        </w:tc>
      </w:tr>
    </w:tbl>
    <w:p w14:paraId="5CB3FE15" w14:textId="77777777" w:rsidR="00E37F20" w:rsidRDefault="00E37F20" w:rsidP="00E37F20">
      <w:pPr>
        <w:spacing w:after="0" w:line="48" w:lineRule="auto"/>
      </w:pPr>
    </w:p>
    <w:p w14:paraId="78A84031" w14:textId="6B04E8B5" w:rsidR="00E37F20" w:rsidRDefault="00E37F20" w:rsidP="00455397">
      <w:pPr>
        <w:rPr>
          <w:lang w:eastAsia="en-US" w:bidi="bn-IN"/>
        </w:rPr>
      </w:pPr>
    </w:p>
    <w:p w14:paraId="6A073F09" w14:textId="77777777" w:rsidR="00B17A2C" w:rsidRDefault="00B17A2C" w:rsidP="00B17A2C">
      <w:pPr>
        <w:spacing w:before="0" w:after="160" w:line="259" w:lineRule="auto"/>
        <w:jc w:val="left"/>
        <w:rPr>
          <w:lang w:val="en-US" w:eastAsia="en-US" w:bidi="bn-IN"/>
        </w:rPr>
        <w:sectPr w:rsidR="00B17A2C" w:rsidSect="00370EBF">
          <w:footerReference w:type="default" r:id="rId69"/>
          <w:pgSz w:w="11900" w:h="16840"/>
          <w:pgMar w:top="1440" w:right="1440" w:bottom="1440" w:left="1440" w:header="708" w:footer="708" w:gutter="0"/>
          <w:cols w:space="708"/>
          <w:docGrid w:linePitch="360"/>
        </w:sectPr>
      </w:pPr>
    </w:p>
    <w:p w14:paraId="09A09C6F" w14:textId="330A3940" w:rsidR="00B17A2C" w:rsidRDefault="00B17A2C" w:rsidP="00B17A2C">
      <w:pPr>
        <w:pStyle w:val="Heading2"/>
      </w:pPr>
      <w:bookmarkStart w:id="80" w:name="_Toc240321878"/>
      <w:r>
        <w:lastRenderedPageBreak/>
        <w:t>Appendix D: Data Evidence</w:t>
      </w:r>
      <w:bookmarkEnd w:id="80"/>
    </w:p>
    <w:tbl>
      <w:tblPr>
        <w:tblW w:w="9350" w:type="dxa"/>
        <w:tblLook w:val="04A0" w:firstRow="1" w:lastRow="0" w:firstColumn="1" w:lastColumn="0" w:noHBand="0" w:noVBand="1"/>
      </w:tblPr>
      <w:tblGrid>
        <w:gridCol w:w="743"/>
        <w:gridCol w:w="633"/>
        <w:gridCol w:w="711"/>
        <w:gridCol w:w="610"/>
        <w:gridCol w:w="1000"/>
        <w:gridCol w:w="891"/>
        <w:gridCol w:w="663"/>
        <w:gridCol w:w="593"/>
        <w:gridCol w:w="317"/>
        <w:gridCol w:w="317"/>
        <w:gridCol w:w="356"/>
        <w:gridCol w:w="352"/>
        <w:gridCol w:w="356"/>
        <w:gridCol w:w="356"/>
        <w:gridCol w:w="356"/>
        <w:gridCol w:w="356"/>
        <w:gridCol w:w="356"/>
        <w:gridCol w:w="356"/>
        <w:gridCol w:w="356"/>
        <w:gridCol w:w="356"/>
        <w:gridCol w:w="356"/>
        <w:gridCol w:w="356"/>
        <w:gridCol w:w="356"/>
        <w:gridCol w:w="356"/>
        <w:gridCol w:w="356"/>
        <w:gridCol w:w="356"/>
        <w:gridCol w:w="356"/>
        <w:gridCol w:w="356"/>
        <w:gridCol w:w="356"/>
        <w:gridCol w:w="356"/>
        <w:gridCol w:w="356"/>
      </w:tblGrid>
      <w:tr w:rsidR="00B17A2C" w:rsidRPr="00B17A2C" w14:paraId="1030589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000000" w:fill="1F4E78"/>
            <w:vAlign w:val="center"/>
            <w:hideMark/>
          </w:tcPr>
          <w:p w14:paraId="14646AD3"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Respondent_ID</w:t>
            </w:r>
          </w:p>
        </w:tc>
        <w:tc>
          <w:tcPr>
            <w:tcW w:w="501" w:type="dxa"/>
            <w:tcBorders>
              <w:top w:val="single" w:sz="4" w:space="0" w:color="44B3E1"/>
              <w:left w:val="nil"/>
              <w:bottom w:val="single" w:sz="4" w:space="0" w:color="44B3E1"/>
              <w:right w:val="nil"/>
            </w:tcBorders>
            <w:shd w:val="clear" w:color="000000" w:fill="1F4E78"/>
            <w:vAlign w:val="center"/>
            <w:hideMark/>
          </w:tcPr>
          <w:p w14:paraId="6B62C9EF"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Q1_Consent</w:t>
            </w:r>
          </w:p>
        </w:tc>
        <w:tc>
          <w:tcPr>
            <w:tcW w:w="578" w:type="dxa"/>
            <w:tcBorders>
              <w:top w:val="single" w:sz="4" w:space="0" w:color="44B3E1"/>
              <w:left w:val="nil"/>
              <w:bottom w:val="single" w:sz="4" w:space="0" w:color="44B3E1"/>
              <w:right w:val="nil"/>
            </w:tcBorders>
            <w:shd w:val="clear" w:color="000000" w:fill="1F4E78"/>
            <w:vAlign w:val="center"/>
            <w:hideMark/>
          </w:tcPr>
          <w:p w14:paraId="47E9D940"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Q2_AgeGroup</w:t>
            </w:r>
          </w:p>
        </w:tc>
        <w:tc>
          <w:tcPr>
            <w:tcW w:w="472" w:type="dxa"/>
            <w:tcBorders>
              <w:top w:val="single" w:sz="4" w:space="0" w:color="44B3E1"/>
              <w:left w:val="nil"/>
              <w:bottom w:val="single" w:sz="4" w:space="0" w:color="44B3E1"/>
              <w:right w:val="nil"/>
            </w:tcBorders>
            <w:shd w:val="clear" w:color="000000" w:fill="1F4E78"/>
            <w:vAlign w:val="center"/>
            <w:hideMark/>
          </w:tcPr>
          <w:p w14:paraId="714036CD"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Q3_Gender</w:t>
            </w:r>
          </w:p>
        </w:tc>
        <w:tc>
          <w:tcPr>
            <w:tcW w:w="941" w:type="dxa"/>
            <w:tcBorders>
              <w:top w:val="single" w:sz="4" w:space="0" w:color="44B3E1"/>
              <w:left w:val="nil"/>
              <w:bottom w:val="single" w:sz="4" w:space="0" w:color="44B3E1"/>
              <w:right w:val="nil"/>
            </w:tcBorders>
            <w:shd w:val="clear" w:color="000000" w:fill="1F4E78"/>
            <w:vAlign w:val="center"/>
            <w:hideMark/>
          </w:tcPr>
          <w:p w14:paraId="47834C69"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Q4_EmploymentStatus</w:t>
            </w:r>
          </w:p>
        </w:tc>
        <w:tc>
          <w:tcPr>
            <w:tcW w:w="817" w:type="dxa"/>
            <w:tcBorders>
              <w:top w:val="single" w:sz="4" w:space="0" w:color="44B3E1"/>
              <w:left w:val="nil"/>
              <w:bottom w:val="single" w:sz="4" w:space="0" w:color="44B3E1"/>
              <w:right w:val="nil"/>
            </w:tcBorders>
            <w:shd w:val="clear" w:color="000000" w:fill="1F4E78"/>
            <w:vAlign w:val="center"/>
            <w:hideMark/>
          </w:tcPr>
          <w:p w14:paraId="13172E64"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Q5_RetailSubsector</w:t>
            </w:r>
          </w:p>
        </w:tc>
        <w:tc>
          <w:tcPr>
            <w:tcW w:w="524" w:type="dxa"/>
            <w:tcBorders>
              <w:top w:val="single" w:sz="4" w:space="0" w:color="44B3E1"/>
              <w:left w:val="nil"/>
              <w:bottom w:val="single" w:sz="4" w:space="0" w:color="44B3E1"/>
              <w:right w:val="nil"/>
            </w:tcBorders>
            <w:shd w:val="clear" w:color="000000" w:fill="1F4E78"/>
            <w:vAlign w:val="center"/>
            <w:hideMark/>
          </w:tcPr>
          <w:p w14:paraId="7B5B686C"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Q6_JobLevel</w:t>
            </w:r>
          </w:p>
        </w:tc>
        <w:tc>
          <w:tcPr>
            <w:tcW w:w="472" w:type="dxa"/>
            <w:tcBorders>
              <w:top w:val="single" w:sz="4" w:space="0" w:color="44B3E1"/>
              <w:left w:val="nil"/>
              <w:bottom w:val="single" w:sz="4" w:space="0" w:color="44B3E1"/>
              <w:right w:val="nil"/>
            </w:tcBorders>
            <w:shd w:val="clear" w:color="000000" w:fill="1F4E78"/>
            <w:vAlign w:val="center"/>
            <w:hideMark/>
          </w:tcPr>
          <w:p w14:paraId="7CC1FCFA"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Q7_Tenure</w:t>
            </w:r>
          </w:p>
        </w:tc>
        <w:tc>
          <w:tcPr>
            <w:tcW w:w="144" w:type="dxa"/>
            <w:tcBorders>
              <w:top w:val="single" w:sz="4" w:space="0" w:color="44B3E1"/>
              <w:left w:val="nil"/>
              <w:bottom w:val="single" w:sz="4" w:space="0" w:color="44B3E1"/>
              <w:right w:val="nil"/>
            </w:tcBorders>
            <w:shd w:val="clear" w:color="000000" w:fill="1F4E78"/>
            <w:vAlign w:val="center"/>
            <w:hideMark/>
          </w:tcPr>
          <w:p w14:paraId="39130BDD"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Q8</w:t>
            </w:r>
          </w:p>
        </w:tc>
        <w:tc>
          <w:tcPr>
            <w:tcW w:w="144" w:type="dxa"/>
            <w:tcBorders>
              <w:top w:val="single" w:sz="4" w:space="0" w:color="44B3E1"/>
              <w:left w:val="nil"/>
              <w:bottom w:val="single" w:sz="4" w:space="0" w:color="44B3E1"/>
              <w:right w:val="nil"/>
            </w:tcBorders>
            <w:shd w:val="clear" w:color="000000" w:fill="1F4E78"/>
            <w:vAlign w:val="center"/>
            <w:hideMark/>
          </w:tcPr>
          <w:p w14:paraId="2ABAFFAB"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Q9</w:t>
            </w:r>
          </w:p>
        </w:tc>
        <w:tc>
          <w:tcPr>
            <w:tcW w:w="196" w:type="dxa"/>
            <w:tcBorders>
              <w:top w:val="single" w:sz="4" w:space="0" w:color="44B3E1"/>
              <w:left w:val="nil"/>
              <w:bottom w:val="single" w:sz="4" w:space="0" w:color="44B3E1"/>
              <w:right w:val="nil"/>
            </w:tcBorders>
            <w:shd w:val="clear" w:color="000000" w:fill="1F4E78"/>
            <w:vAlign w:val="center"/>
            <w:hideMark/>
          </w:tcPr>
          <w:p w14:paraId="62EF098D"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Q10</w:t>
            </w:r>
          </w:p>
        </w:tc>
        <w:tc>
          <w:tcPr>
            <w:tcW w:w="196" w:type="dxa"/>
            <w:tcBorders>
              <w:top w:val="single" w:sz="4" w:space="0" w:color="44B3E1"/>
              <w:left w:val="nil"/>
              <w:bottom w:val="single" w:sz="4" w:space="0" w:color="44B3E1"/>
              <w:right w:val="nil"/>
            </w:tcBorders>
            <w:shd w:val="clear" w:color="000000" w:fill="1F4E78"/>
            <w:vAlign w:val="center"/>
            <w:hideMark/>
          </w:tcPr>
          <w:p w14:paraId="074E5C8A"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Q11</w:t>
            </w:r>
          </w:p>
        </w:tc>
        <w:tc>
          <w:tcPr>
            <w:tcW w:w="196" w:type="dxa"/>
            <w:tcBorders>
              <w:top w:val="single" w:sz="4" w:space="0" w:color="44B3E1"/>
              <w:left w:val="nil"/>
              <w:bottom w:val="single" w:sz="4" w:space="0" w:color="44B3E1"/>
              <w:right w:val="nil"/>
            </w:tcBorders>
            <w:shd w:val="clear" w:color="000000" w:fill="1F4E78"/>
            <w:vAlign w:val="center"/>
            <w:hideMark/>
          </w:tcPr>
          <w:p w14:paraId="6440C657"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Q12</w:t>
            </w:r>
          </w:p>
        </w:tc>
        <w:tc>
          <w:tcPr>
            <w:tcW w:w="196" w:type="dxa"/>
            <w:tcBorders>
              <w:top w:val="single" w:sz="4" w:space="0" w:color="44B3E1"/>
              <w:left w:val="nil"/>
              <w:bottom w:val="single" w:sz="4" w:space="0" w:color="44B3E1"/>
              <w:right w:val="nil"/>
            </w:tcBorders>
            <w:shd w:val="clear" w:color="000000" w:fill="1F4E78"/>
            <w:vAlign w:val="center"/>
            <w:hideMark/>
          </w:tcPr>
          <w:p w14:paraId="2405D7E4"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Q13</w:t>
            </w:r>
          </w:p>
        </w:tc>
        <w:tc>
          <w:tcPr>
            <w:tcW w:w="196" w:type="dxa"/>
            <w:tcBorders>
              <w:top w:val="single" w:sz="4" w:space="0" w:color="44B3E1"/>
              <w:left w:val="nil"/>
              <w:bottom w:val="single" w:sz="4" w:space="0" w:color="44B3E1"/>
              <w:right w:val="nil"/>
            </w:tcBorders>
            <w:shd w:val="clear" w:color="000000" w:fill="1F4E78"/>
            <w:vAlign w:val="center"/>
            <w:hideMark/>
          </w:tcPr>
          <w:p w14:paraId="0F3808F8"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Q14</w:t>
            </w:r>
          </w:p>
        </w:tc>
        <w:tc>
          <w:tcPr>
            <w:tcW w:w="196" w:type="dxa"/>
            <w:tcBorders>
              <w:top w:val="single" w:sz="4" w:space="0" w:color="44B3E1"/>
              <w:left w:val="nil"/>
              <w:bottom w:val="single" w:sz="4" w:space="0" w:color="44B3E1"/>
              <w:right w:val="nil"/>
            </w:tcBorders>
            <w:shd w:val="clear" w:color="000000" w:fill="1F4E78"/>
            <w:vAlign w:val="center"/>
            <w:hideMark/>
          </w:tcPr>
          <w:p w14:paraId="73BCBBFA"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Q15</w:t>
            </w:r>
          </w:p>
        </w:tc>
        <w:tc>
          <w:tcPr>
            <w:tcW w:w="196" w:type="dxa"/>
            <w:tcBorders>
              <w:top w:val="single" w:sz="4" w:space="0" w:color="44B3E1"/>
              <w:left w:val="nil"/>
              <w:bottom w:val="single" w:sz="4" w:space="0" w:color="44B3E1"/>
              <w:right w:val="nil"/>
            </w:tcBorders>
            <w:shd w:val="clear" w:color="000000" w:fill="1F4E78"/>
            <w:vAlign w:val="center"/>
            <w:hideMark/>
          </w:tcPr>
          <w:p w14:paraId="2A845444"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Q16</w:t>
            </w:r>
          </w:p>
        </w:tc>
        <w:tc>
          <w:tcPr>
            <w:tcW w:w="196" w:type="dxa"/>
            <w:tcBorders>
              <w:top w:val="single" w:sz="4" w:space="0" w:color="44B3E1"/>
              <w:left w:val="nil"/>
              <w:bottom w:val="single" w:sz="4" w:space="0" w:color="44B3E1"/>
              <w:right w:val="nil"/>
            </w:tcBorders>
            <w:shd w:val="clear" w:color="000000" w:fill="1F4E78"/>
            <w:vAlign w:val="center"/>
            <w:hideMark/>
          </w:tcPr>
          <w:p w14:paraId="31A184A7"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Q17</w:t>
            </w:r>
          </w:p>
        </w:tc>
        <w:tc>
          <w:tcPr>
            <w:tcW w:w="196" w:type="dxa"/>
            <w:tcBorders>
              <w:top w:val="single" w:sz="4" w:space="0" w:color="44B3E1"/>
              <w:left w:val="nil"/>
              <w:bottom w:val="single" w:sz="4" w:space="0" w:color="44B3E1"/>
              <w:right w:val="nil"/>
            </w:tcBorders>
            <w:shd w:val="clear" w:color="000000" w:fill="1F4E78"/>
            <w:vAlign w:val="center"/>
            <w:hideMark/>
          </w:tcPr>
          <w:p w14:paraId="1C6ACD3E"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Q18</w:t>
            </w:r>
          </w:p>
        </w:tc>
        <w:tc>
          <w:tcPr>
            <w:tcW w:w="196" w:type="dxa"/>
            <w:tcBorders>
              <w:top w:val="single" w:sz="4" w:space="0" w:color="44B3E1"/>
              <w:left w:val="nil"/>
              <w:bottom w:val="single" w:sz="4" w:space="0" w:color="44B3E1"/>
              <w:right w:val="nil"/>
            </w:tcBorders>
            <w:shd w:val="clear" w:color="000000" w:fill="1F4E78"/>
            <w:vAlign w:val="center"/>
            <w:hideMark/>
          </w:tcPr>
          <w:p w14:paraId="48507D71"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Q19</w:t>
            </w:r>
          </w:p>
        </w:tc>
        <w:tc>
          <w:tcPr>
            <w:tcW w:w="196" w:type="dxa"/>
            <w:tcBorders>
              <w:top w:val="single" w:sz="4" w:space="0" w:color="44B3E1"/>
              <w:left w:val="nil"/>
              <w:bottom w:val="single" w:sz="4" w:space="0" w:color="44B3E1"/>
              <w:right w:val="nil"/>
            </w:tcBorders>
            <w:shd w:val="clear" w:color="000000" w:fill="1F4E78"/>
            <w:vAlign w:val="center"/>
            <w:hideMark/>
          </w:tcPr>
          <w:p w14:paraId="52E9418D"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Q20</w:t>
            </w:r>
          </w:p>
        </w:tc>
        <w:tc>
          <w:tcPr>
            <w:tcW w:w="196" w:type="dxa"/>
            <w:tcBorders>
              <w:top w:val="single" w:sz="4" w:space="0" w:color="44B3E1"/>
              <w:left w:val="nil"/>
              <w:bottom w:val="single" w:sz="4" w:space="0" w:color="44B3E1"/>
              <w:right w:val="nil"/>
            </w:tcBorders>
            <w:shd w:val="clear" w:color="000000" w:fill="1F4E78"/>
            <w:vAlign w:val="center"/>
            <w:hideMark/>
          </w:tcPr>
          <w:p w14:paraId="59848E78"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Q21</w:t>
            </w:r>
          </w:p>
        </w:tc>
        <w:tc>
          <w:tcPr>
            <w:tcW w:w="196" w:type="dxa"/>
            <w:tcBorders>
              <w:top w:val="single" w:sz="4" w:space="0" w:color="44B3E1"/>
              <w:left w:val="nil"/>
              <w:bottom w:val="single" w:sz="4" w:space="0" w:color="44B3E1"/>
              <w:right w:val="nil"/>
            </w:tcBorders>
            <w:shd w:val="clear" w:color="000000" w:fill="1F4E78"/>
            <w:vAlign w:val="center"/>
            <w:hideMark/>
          </w:tcPr>
          <w:p w14:paraId="4D5A800A"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Q22</w:t>
            </w:r>
          </w:p>
        </w:tc>
        <w:tc>
          <w:tcPr>
            <w:tcW w:w="196" w:type="dxa"/>
            <w:tcBorders>
              <w:top w:val="single" w:sz="4" w:space="0" w:color="44B3E1"/>
              <w:left w:val="nil"/>
              <w:bottom w:val="single" w:sz="4" w:space="0" w:color="44B3E1"/>
              <w:right w:val="nil"/>
            </w:tcBorders>
            <w:shd w:val="clear" w:color="000000" w:fill="1F4E78"/>
            <w:vAlign w:val="center"/>
            <w:hideMark/>
          </w:tcPr>
          <w:p w14:paraId="23EECF6F"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Q23</w:t>
            </w:r>
          </w:p>
        </w:tc>
        <w:tc>
          <w:tcPr>
            <w:tcW w:w="196" w:type="dxa"/>
            <w:tcBorders>
              <w:top w:val="single" w:sz="4" w:space="0" w:color="44B3E1"/>
              <w:left w:val="nil"/>
              <w:bottom w:val="single" w:sz="4" w:space="0" w:color="44B3E1"/>
              <w:right w:val="nil"/>
            </w:tcBorders>
            <w:shd w:val="clear" w:color="000000" w:fill="1F4E78"/>
            <w:vAlign w:val="center"/>
            <w:hideMark/>
          </w:tcPr>
          <w:p w14:paraId="1B9899F6"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Q24</w:t>
            </w:r>
          </w:p>
        </w:tc>
        <w:tc>
          <w:tcPr>
            <w:tcW w:w="196" w:type="dxa"/>
            <w:tcBorders>
              <w:top w:val="single" w:sz="4" w:space="0" w:color="44B3E1"/>
              <w:left w:val="nil"/>
              <w:bottom w:val="single" w:sz="4" w:space="0" w:color="44B3E1"/>
              <w:right w:val="nil"/>
            </w:tcBorders>
            <w:shd w:val="clear" w:color="000000" w:fill="1F4E78"/>
            <w:vAlign w:val="center"/>
            <w:hideMark/>
          </w:tcPr>
          <w:p w14:paraId="48573487"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Q25</w:t>
            </w:r>
          </w:p>
        </w:tc>
        <w:tc>
          <w:tcPr>
            <w:tcW w:w="196" w:type="dxa"/>
            <w:tcBorders>
              <w:top w:val="single" w:sz="4" w:space="0" w:color="44B3E1"/>
              <w:left w:val="nil"/>
              <w:bottom w:val="single" w:sz="4" w:space="0" w:color="44B3E1"/>
              <w:right w:val="nil"/>
            </w:tcBorders>
            <w:shd w:val="clear" w:color="000000" w:fill="1F4E78"/>
            <w:vAlign w:val="center"/>
            <w:hideMark/>
          </w:tcPr>
          <w:p w14:paraId="548707CB"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Q26</w:t>
            </w:r>
          </w:p>
        </w:tc>
        <w:tc>
          <w:tcPr>
            <w:tcW w:w="196" w:type="dxa"/>
            <w:tcBorders>
              <w:top w:val="single" w:sz="4" w:space="0" w:color="44B3E1"/>
              <w:left w:val="nil"/>
              <w:bottom w:val="single" w:sz="4" w:space="0" w:color="44B3E1"/>
              <w:right w:val="nil"/>
            </w:tcBorders>
            <w:shd w:val="clear" w:color="000000" w:fill="1F4E78"/>
            <w:vAlign w:val="center"/>
            <w:hideMark/>
          </w:tcPr>
          <w:p w14:paraId="5B42CE09"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Q27</w:t>
            </w:r>
          </w:p>
        </w:tc>
        <w:tc>
          <w:tcPr>
            <w:tcW w:w="196" w:type="dxa"/>
            <w:tcBorders>
              <w:top w:val="single" w:sz="4" w:space="0" w:color="44B3E1"/>
              <w:left w:val="nil"/>
              <w:bottom w:val="single" w:sz="4" w:space="0" w:color="44B3E1"/>
              <w:right w:val="nil"/>
            </w:tcBorders>
            <w:shd w:val="clear" w:color="000000" w:fill="1F4E78"/>
            <w:vAlign w:val="center"/>
            <w:hideMark/>
          </w:tcPr>
          <w:p w14:paraId="2CE72090"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Q28</w:t>
            </w:r>
          </w:p>
        </w:tc>
        <w:tc>
          <w:tcPr>
            <w:tcW w:w="196" w:type="dxa"/>
            <w:tcBorders>
              <w:top w:val="single" w:sz="4" w:space="0" w:color="44B3E1"/>
              <w:left w:val="nil"/>
              <w:bottom w:val="single" w:sz="4" w:space="0" w:color="44B3E1"/>
              <w:right w:val="nil"/>
            </w:tcBorders>
            <w:shd w:val="clear" w:color="000000" w:fill="1F4E78"/>
            <w:vAlign w:val="center"/>
            <w:hideMark/>
          </w:tcPr>
          <w:p w14:paraId="39D9005E"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Q29</w:t>
            </w:r>
          </w:p>
        </w:tc>
        <w:tc>
          <w:tcPr>
            <w:tcW w:w="196" w:type="dxa"/>
            <w:tcBorders>
              <w:top w:val="single" w:sz="4" w:space="0" w:color="44B3E1"/>
              <w:left w:val="nil"/>
              <w:bottom w:val="single" w:sz="4" w:space="0" w:color="44B3E1"/>
              <w:right w:val="single" w:sz="4" w:space="0" w:color="44B3E1"/>
            </w:tcBorders>
            <w:shd w:val="clear" w:color="000000" w:fill="1F4E78"/>
            <w:vAlign w:val="center"/>
            <w:hideMark/>
          </w:tcPr>
          <w:p w14:paraId="54EFD7A3" w14:textId="77777777" w:rsidR="00B17A2C" w:rsidRPr="00B17A2C" w:rsidRDefault="00B17A2C" w:rsidP="00B17A2C">
            <w:pPr>
              <w:spacing w:before="0" w:after="160" w:line="259" w:lineRule="auto"/>
              <w:jc w:val="left"/>
              <w:rPr>
                <w:b/>
                <w:bCs/>
                <w:color w:val="FFFFFF" w:themeColor="background1"/>
                <w:lang w:val="en-US" w:eastAsia="en-US" w:bidi="bn-IN"/>
              </w:rPr>
            </w:pPr>
            <w:r w:rsidRPr="00B17A2C">
              <w:rPr>
                <w:b/>
                <w:bCs/>
                <w:color w:val="FFFFFF" w:themeColor="background1"/>
                <w:lang w:val="en-US" w:eastAsia="en-US" w:bidi="bn-IN"/>
              </w:rPr>
              <w:t>Q30</w:t>
            </w:r>
          </w:p>
        </w:tc>
      </w:tr>
      <w:tr w:rsidR="00B17A2C" w:rsidRPr="00B17A2C" w14:paraId="2D5120D9"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29C455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R001</w:t>
            </w:r>
          </w:p>
        </w:tc>
        <w:tc>
          <w:tcPr>
            <w:tcW w:w="501" w:type="dxa"/>
            <w:tcBorders>
              <w:top w:val="single" w:sz="4" w:space="0" w:color="44B3E1"/>
              <w:left w:val="nil"/>
              <w:bottom w:val="single" w:sz="4" w:space="0" w:color="44B3E1"/>
              <w:right w:val="nil"/>
            </w:tcBorders>
            <w:shd w:val="clear" w:color="C0E6F5" w:fill="C0E6F5"/>
            <w:noWrap/>
            <w:vAlign w:val="bottom"/>
            <w:hideMark/>
          </w:tcPr>
          <w:p w14:paraId="6BFFC1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4DB49C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24DDFD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941" w:type="dxa"/>
            <w:tcBorders>
              <w:top w:val="single" w:sz="4" w:space="0" w:color="44B3E1"/>
              <w:left w:val="nil"/>
              <w:bottom w:val="single" w:sz="4" w:space="0" w:color="44B3E1"/>
              <w:right w:val="nil"/>
            </w:tcBorders>
            <w:shd w:val="clear" w:color="C0E6F5" w:fill="C0E6F5"/>
            <w:noWrap/>
            <w:vAlign w:val="bottom"/>
            <w:hideMark/>
          </w:tcPr>
          <w:p w14:paraId="735DD5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C0E6F5" w:fill="C0E6F5"/>
            <w:noWrap/>
            <w:vAlign w:val="bottom"/>
            <w:hideMark/>
          </w:tcPr>
          <w:p w14:paraId="71D43BE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C0E6F5" w:fill="C0E6F5"/>
            <w:noWrap/>
            <w:vAlign w:val="bottom"/>
            <w:hideMark/>
          </w:tcPr>
          <w:p w14:paraId="760C0E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479DB3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07F7B1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445818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2A08EB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648F8E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725F2D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486439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48042F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63979E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4AA0B7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29C62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47E28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6E559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67B96F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4FEE33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04C16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2190C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1608C6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69BEBE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55A909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0EA06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3D0BB8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05A3ABB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72FEA0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03A2CF6A"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1C65F4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R002</w:t>
            </w:r>
          </w:p>
        </w:tc>
        <w:tc>
          <w:tcPr>
            <w:tcW w:w="501" w:type="dxa"/>
            <w:tcBorders>
              <w:top w:val="single" w:sz="4" w:space="0" w:color="44B3E1"/>
              <w:left w:val="nil"/>
              <w:bottom w:val="single" w:sz="4" w:space="0" w:color="44B3E1"/>
              <w:right w:val="nil"/>
            </w:tcBorders>
            <w:shd w:val="clear" w:color="auto" w:fill="auto"/>
            <w:noWrap/>
            <w:vAlign w:val="bottom"/>
            <w:hideMark/>
          </w:tcPr>
          <w:p w14:paraId="0E5570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7EC095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3D29B8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049AA57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3BCA73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auto" w:fill="auto"/>
            <w:noWrap/>
            <w:vAlign w:val="bottom"/>
            <w:hideMark/>
          </w:tcPr>
          <w:p w14:paraId="60B791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7D5294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000000" w:fill="DCFCE7"/>
            <w:noWrap/>
            <w:vAlign w:val="bottom"/>
            <w:hideMark/>
          </w:tcPr>
          <w:p w14:paraId="640F62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3D51FC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0D4436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0CE797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2BB2E9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09C791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83198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1B637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683F6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7F9319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494C27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99397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E32EE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02FE62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408CF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10A97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E654F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FB123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9AA2D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0AEB3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920A0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3CB9B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051EA4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1EE802AA"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17FBC6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R003</w:t>
            </w:r>
          </w:p>
        </w:tc>
        <w:tc>
          <w:tcPr>
            <w:tcW w:w="501" w:type="dxa"/>
            <w:tcBorders>
              <w:top w:val="single" w:sz="4" w:space="0" w:color="44B3E1"/>
              <w:left w:val="nil"/>
              <w:bottom w:val="single" w:sz="4" w:space="0" w:color="44B3E1"/>
              <w:right w:val="nil"/>
            </w:tcBorders>
            <w:shd w:val="clear" w:color="C0E6F5" w:fill="C0E6F5"/>
            <w:noWrap/>
            <w:vAlign w:val="bottom"/>
            <w:hideMark/>
          </w:tcPr>
          <w:p w14:paraId="30F881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489156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0AAE61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5EE42DE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72C133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C0E6F5" w:fill="C0E6F5"/>
            <w:noWrap/>
            <w:vAlign w:val="bottom"/>
            <w:hideMark/>
          </w:tcPr>
          <w:p w14:paraId="78E0E3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668876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1C4125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EAD5"/>
            <w:noWrap/>
            <w:vAlign w:val="bottom"/>
            <w:hideMark/>
          </w:tcPr>
          <w:p w14:paraId="0A5139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6910D6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5F1AE8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63C270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354F97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498156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01E3DB3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D5E7A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C96AA3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B0D6B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5CE403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326422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67CE7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0B9ED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37E629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13D0DA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4E4EA9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3AB8DE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6133E8E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1F7A34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2E4CD6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54D8DE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9991D01"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5BB03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R004</w:t>
            </w:r>
          </w:p>
        </w:tc>
        <w:tc>
          <w:tcPr>
            <w:tcW w:w="501" w:type="dxa"/>
            <w:tcBorders>
              <w:top w:val="single" w:sz="4" w:space="0" w:color="44B3E1"/>
              <w:left w:val="nil"/>
              <w:bottom w:val="single" w:sz="4" w:space="0" w:color="44B3E1"/>
              <w:right w:val="nil"/>
            </w:tcBorders>
            <w:shd w:val="clear" w:color="auto" w:fill="auto"/>
            <w:noWrap/>
            <w:vAlign w:val="bottom"/>
            <w:hideMark/>
          </w:tcPr>
          <w:p w14:paraId="327BA9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4D3483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72B81B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1C0FB6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817" w:type="dxa"/>
            <w:tcBorders>
              <w:top w:val="single" w:sz="4" w:space="0" w:color="44B3E1"/>
              <w:left w:val="nil"/>
              <w:bottom w:val="single" w:sz="4" w:space="0" w:color="44B3E1"/>
              <w:right w:val="nil"/>
            </w:tcBorders>
            <w:shd w:val="clear" w:color="auto" w:fill="auto"/>
            <w:noWrap/>
            <w:vAlign w:val="bottom"/>
            <w:hideMark/>
          </w:tcPr>
          <w:p w14:paraId="21C819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148B96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4A23CB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5A3A0F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007B11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0C6DFD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2A551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4B2D1A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1C5BBE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69CE5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C24D3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BDF30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C5A38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C4305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224107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3CF1D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2BB752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2D1FF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D3D02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68A3F8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574EE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1E9C7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2E2"/>
            <w:noWrap/>
            <w:vAlign w:val="bottom"/>
            <w:hideMark/>
          </w:tcPr>
          <w:p w14:paraId="20A1A3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EDF7D7"/>
            <w:noWrap/>
            <w:vAlign w:val="bottom"/>
            <w:hideMark/>
          </w:tcPr>
          <w:p w14:paraId="741634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2F5BA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77F33DD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480890D0"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11FA816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R005</w:t>
            </w:r>
          </w:p>
        </w:tc>
        <w:tc>
          <w:tcPr>
            <w:tcW w:w="501" w:type="dxa"/>
            <w:tcBorders>
              <w:top w:val="single" w:sz="4" w:space="0" w:color="44B3E1"/>
              <w:left w:val="nil"/>
              <w:bottom w:val="single" w:sz="4" w:space="0" w:color="44B3E1"/>
              <w:right w:val="nil"/>
            </w:tcBorders>
            <w:shd w:val="clear" w:color="C0E6F5" w:fill="C0E6F5"/>
            <w:noWrap/>
            <w:vAlign w:val="bottom"/>
            <w:hideMark/>
          </w:tcPr>
          <w:p w14:paraId="52436F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0006A6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1A1DF4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0A3ABF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0ADC09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36667E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15171D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32C9AC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EDF7D7"/>
            <w:noWrap/>
            <w:vAlign w:val="bottom"/>
            <w:hideMark/>
          </w:tcPr>
          <w:p w14:paraId="7DDBBC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71E14B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6B23F2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D2CF5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20D02E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D9A0D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4A0357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7D3E28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54B799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27B30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B0D0F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6F1F57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07872B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47D4F0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4F0A17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12D23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4BC3D4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EDF7D7"/>
            <w:noWrap/>
            <w:vAlign w:val="bottom"/>
            <w:hideMark/>
          </w:tcPr>
          <w:p w14:paraId="32CB82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465C6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F8FD3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BC1A9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6F8E7A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C87571B"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BA84C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R006</w:t>
            </w:r>
          </w:p>
        </w:tc>
        <w:tc>
          <w:tcPr>
            <w:tcW w:w="501" w:type="dxa"/>
            <w:tcBorders>
              <w:top w:val="single" w:sz="4" w:space="0" w:color="44B3E1"/>
              <w:left w:val="nil"/>
              <w:bottom w:val="single" w:sz="4" w:space="0" w:color="44B3E1"/>
              <w:right w:val="nil"/>
            </w:tcBorders>
            <w:shd w:val="clear" w:color="auto" w:fill="auto"/>
            <w:noWrap/>
            <w:vAlign w:val="bottom"/>
            <w:hideMark/>
          </w:tcPr>
          <w:p w14:paraId="5293B1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6FDAA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4C8007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669CE1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2B9658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single" w:sz="4" w:space="0" w:color="44B3E1"/>
              <w:left w:val="nil"/>
              <w:bottom w:val="single" w:sz="4" w:space="0" w:color="44B3E1"/>
              <w:right w:val="nil"/>
            </w:tcBorders>
            <w:shd w:val="clear" w:color="auto" w:fill="auto"/>
            <w:noWrap/>
            <w:vAlign w:val="bottom"/>
            <w:hideMark/>
          </w:tcPr>
          <w:p w14:paraId="41C2FD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707F9C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FEEAD5"/>
            <w:noWrap/>
            <w:vAlign w:val="bottom"/>
            <w:hideMark/>
          </w:tcPr>
          <w:p w14:paraId="6AAE41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000000" w:fill="FEF3C7"/>
            <w:noWrap/>
            <w:vAlign w:val="bottom"/>
            <w:hideMark/>
          </w:tcPr>
          <w:p w14:paraId="3A1988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2E2"/>
            <w:noWrap/>
            <w:vAlign w:val="bottom"/>
            <w:hideMark/>
          </w:tcPr>
          <w:p w14:paraId="00A5A2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FEF3C7"/>
            <w:noWrap/>
            <w:vAlign w:val="bottom"/>
            <w:hideMark/>
          </w:tcPr>
          <w:p w14:paraId="6D4DF1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622FDD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6162FF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2DEF04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581B4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BF982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E1463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F3175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7629B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D02CB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F4983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024C53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453385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49DA4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EB177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93783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71C61F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58B3B8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1B47E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045C85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55CA093"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1F259B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R007</w:t>
            </w:r>
          </w:p>
        </w:tc>
        <w:tc>
          <w:tcPr>
            <w:tcW w:w="501" w:type="dxa"/>
            <w:tcBorders>
              <w:top w:val="single" w:sz="4" w:space="0" w:color="44B3E1"/>
              <w:left w:val="nil"/>
              <w:bottom w:val="single" w:sz="4" w:space="0" w:color="44B3E1"/>
              <w:right w:val="nil"/>
            </w:tcBorders>
            <w:shd w:val="clear" w:color="C0E6F5" w:fill="C0E6F5"/>
            <w:noWrap/>
            <w:vAlign w:val="bottom"/>
            <w:hideMark/>
          </w:tcPr>
          <w:p w14:paraId="00B8A8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4725B5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0CAD2E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6AD8E4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1DCD80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6FBC49E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256BAB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DCFCE7"/>
            <w:noWrap/>
            <w:vAlign w:val="bottom"/>
            <w:hideMark/>
          </w:tcPr>
          <w:p w14:paraId="2E9D9C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FEF3C7"/>
            <w:noWrap/>
            <w:vAlign w:val="bottom"/>
            <w:hideMark/>
          </w:tcPr>
          <w:p w14:paraId="6F8E2F9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CC3A3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8578C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1AA69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1A6DF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9D1B2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4CB0A9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30505E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163639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39561B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2E2"/>
            <w:noWrap/>
            <w:vAlign w:val="bottom"/>
            <w:hideMark/>
          </w:tcPr>
          <w:p w14:paraId="375A12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157EEE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18102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0D37DB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EDF7D7"/>
            <w:noWrap/>
            <w:vAlign w:val="bottom"/>
            <w:hideMark/>
          </w:tcPr>
          <w:p w14:paraId="32F25A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169903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0721BD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347F21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0C3822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60990B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2E2"/>
            <w:noWrap/>
            <w:vAlign w:val="bottom"/>
            <w:hideMark/>
          </w:tcPr>
          <w:p w14:paraId="6A6DE1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14755C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1DE7A2B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7D891CE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R008</w:t>
            </w:r>
          </w:p>
        </w:tc>
        <w:tc>
          <w:tcPr>
            <w:tcW w:w="501" w:type="dxa"/>
            <w:tcBorders>
              <w:top w:val="single" w:sz="4" w:space="0" w:color="44B3E1"/>
              <w:left w:val="nil"/>
              <w:bottom w:val="single" w:sz="4" w:space="0" w:color="44B3E1"/>
              <w:right w:val="nil"/>
            </w:tcBorders>
            <w:shd w:val="clear" w:color="auto" w:fill="auto"/>
            <w:noWrap/>
            <w:vAlign w:val="bottom"/>
            <w:hideMark/>
          </w:tcPr>
          <w:p w14:paraId="102629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2311EE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01EF2C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4F8B1D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auto" w:fill="auto"/>
            <w:noWrap/>
            <w:vAlign w:val="bottom"/>
            <w:hideMark/>
          </w:tcPr>
          <w:p w14:paraId="26F264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single" w:sz="4" w:space="0" w:color="44B3E1"/>
              <w:left w:val="nil"/>
              <w:bottom w:val="single" w:sz="4" w:space="0" w:color="44B3E1"/>
              <w:right w:val="nil"/>
            </w:tcBorders>
            <w:shd w:val="clear" w:color="auto" w:fill="auto"/>
            <w:noWrap/>
            <w:vAlign w:val="bottom"/>
            <w:hideMark/>
          </w:tcPr>
          <w:p w14:paraId="3BF66E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780065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EDF7D7"/>
            <w:noWrap/>
            <w:vAlign w:val="bottom"/>
            <w:hideMark/>
          </w:tcPr>
          <w:p w14:paraId="423BD4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0C5056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1151E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22443A2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2E7727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C214C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148D97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2E2"/>
            <w:noWrap/>
            <w:vAlign w:val="bottom"/>
            <w:hideMark/>
          </w:tcPr>
          <w:p w14:paraId="16FFC51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FEE2E2"/>
            <w:noWrap/>
            <w:vAlign w:val="bottom"/>
            <w:hideMark/>
          </w:tcPr>
          <w:p w14:paraId="6D37BB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EDF7D7"/>
            <w:noWrap/>
            <w:vAlign w:val="bottom"/>
            <w:hideMark/>
          </w:tcPr>
          <w:p w14:paraId="0E1D7D0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1C5167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79ED45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E83F5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477824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70A6F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66BA2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3A4BDA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AFEC8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B52EE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679BF5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6535BD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9C684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2FDBCA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61C941E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5A5B4C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R009</w:t>
            </w:r>
          </w:p>
        </w:tc>
        <w:tc>
          <w:tcPr>
            <w:tcW w:w="501" w:type="dxa"/>
            <w:tcBorders>
              <w:top w:val="single" w:sz="4" w:space="0" w:color="44B3E1"/>
              <w:left w:val="nil"/>
              <w:bottom w:val="single" w:sz="4" w:space="0" w:color="44B3E1"/>
              <w:right w:val="nil"/>
            </w:tcBorders>
            <w:shd w:val="clear" w:color="C0E6F5" w:fill="C0E6F5"/>
            <w:noWrap/>
            <w:vAlign w:val="bottom"/>
            <w:hideMark/>
          </w:tcPr>
          <w:p w14:paraId="7B80B6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13D901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072B18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1B51B3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285FEC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03038A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39DCE5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C0E6F5" w:fill="FEF3C7"/>
            <w:noWrap/>
            <w:vAlign w:val="bottom"/>
            <w:hideMark/>
          </w:tcPr>
          <w:p w14:paraId="6A6D22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FEF3C7"/>
            <w:noWrap/>
            <w:vAlign w:val="bottom"/>
            <w:hideMark/>
          </w:tcPr>
          <w:p w14:paraId="77C691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17C940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1EB2EC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12AEA5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766D00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4EAA6A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7AB31E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4AA0E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4B04D21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12FB82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5C5C9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FDECC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15C00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18046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2E2"/>
            <w:noWrap/>
            <w:vAlign w:val="bottom"/>
            <w:hideMark/>
          </w:tcPr>
          <w:p w14:paraId="3113AE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AD5"/>
            <w:noWrap/>
            <w:vAlign w:val="bottom"/>
            <w:hideMark/>
          </w:tcPr>
          <w:p w14:paraId="5B215A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299C87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74F668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2C0A27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C90D7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BB6C8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2E432A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61A5FC4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0F336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R010</w:t>
            </w:r>
          </w:p>
        </w:tc>
        <w:tc>
          <w:tcPr>
            <w:tcW w:w="501" w:type="dxa"/>
            <w:tcBorders>
              <w:top w:val="single" w:sz="4" w:space="0" w:color="44B3E1"/>
              <w:left w:val="nil"/>
              <w:bottom w:val="single" w:sz="4" w:space="0" w:color="44B3E1"/>
              <w:right w:val="nil"/>
            </w:tcBorders>
            <w:shd w:val="clear" w:color="auto" w:fill="auto"/>
            <w:noWrap/>
            <w:vAlign w:val="bottom"/>
            <w:hideMark/>
          </w:tcPr>
          <w:p w14:paraId="0D8A53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EB341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0DF5FF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316328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auto" w:fill="auto"/>
            <w:noWrap/>
            <w:vAlign w:val="bottom"/>
            <w:hideMark/>
          </w:tcPr>
          <w:p w14:paraId="4419D5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2E265C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10ACAB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4B45FC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56E28E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C80DA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0655D2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258583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0E149A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767D3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752F4D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32C61B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51E02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1B4BC4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4C506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55926F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DC9D8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737080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3E0505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61C20F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6CD67B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B48D7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48945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1498E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4DDCF6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30EF26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28080DC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37CC3D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R011</w:t>
            </w:r>
          </w:p>
        </w:tc>
        <w:tc>
          <w:tcPr>
            <w:tcW w:w="501" w:type="dxa"/>
            <w:tcBorders>
              <w:top w:val="single" w:sz="4" w:space="0" w:color="44B3E1"/>
              <w:left w:val="nil"/>
              <w:bottom w:val="single" w:sz="4" w:space="0" w:color="44B3E1"/>
              <w:right w:val="nil"/>
            </w:tcBorders>
            <w:shd w:val="clear" w:color="C0E6F5" w:fill="C0E6F5"/>
            <w:noWrap/>
            <w:vAlign w:val="bottom"/>
            <w:hideMark/>
          </w:tcPr>
          <w:p w14:paraId="3170C3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4DFF6E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single" w:sz="4" w:space="0" w:color="44B3E1"/>
              <w:left w:val="nil"/>
              <w:bottom w:val="single" w:sz="4" w:space="0" w:color="44B3E1"/>
              <w:right w:val="nil"/>
            </w:tcBorders>
            <w:shd w:val="clear" w:color="C0E6F5" w:fill="C0E6F5"/>
            <w:noWrap/>
            <w:vAlign w:val="bottom"/>
            <w:hideMark/>
          </w:tcPr>
          <w:p w14:paraId="5B48A9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0D9391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714244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524" w:type="dxa"/>
            <w:tcBorders>
              <w:top w:val="single" w:sz="4" w:space="0" w:color="44B3E1"/>
              <w:left w:val="nil"/>
              <w:bottom w:val="single" w:sz="4" w:space="0" w:color="44B3E1"/>
              <w:right w:val="nil"/>
            </w:tcBorders>
            <w:shd w:val="clear" w:color="C0E6F5" w:fill="C0E6F5"/>
            <w:noWrap/>
            <w:vAlign w:val="bottom"/>
            <w:hideMark/>
          </w:tcPr>
          <w:p w14:paraId="165184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506372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121CF2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EDF7D7"/>
            <w:noWrap/>
            <w:vAlign w:val="bottom"/>
            <w:hideMark/>
          </w:tcPr>
          <w:p w14:paraId="7B7F26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7F502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6D782C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6535B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6E42B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A6CEE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FFE16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1BF62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63BD9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611ACD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5C39E2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33AEC8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534738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E3FCF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2113D8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1681E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6266D6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1E431A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0F53CA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1C998B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97734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7D2FA6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119BDB82"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580572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R012</w:t>
            </w:r>
          </w:p>
        </w:tc>
        <w:tc>
          <w:tcPr>
            <w:tcW w:w="501" w:type="dxa"/>
            <w:tcBorders>
              <w:top w:val="single" w:sz="4" w:space="0" w:color="44B3E1"/>
              <w:left w:val="nil"/>
              <w:bottom w:val="single" w:sz="4" w:space="0" w:color="44B3E1"/>
              <w:right w:val="nil"/>
            </w:tcBorders>
            <w:shd w:val="clear" w:color="auto" w:fill="auto"/>
            <w:noWrap/>
            <w:vAlign w:val="bottom"/>
            <w:hideMark/>
          </w:tcPr>
          <w:p w14:paraId="641683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4EB52A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172A6A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514759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auto" w:fill="auto"/>
            <w:noWrap/>
            <w:vAlign w:val="bottom"/>
            <w:hideMark/>
          </w:tcPr>
          <w:p w14:paraId="393BA4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auto" w:fill="auto"/>
            <w:noWrap/>
            <w:vAlign w:val="bottom"/>
            <w:hideMark/>
          </w:tcPr>
          <w:p w14:paraId="4019A4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32DB41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205B39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66BDDD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CF104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655649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A5401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3BB2B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7E74F4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7D2F7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36B29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611F2F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0476C2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5B227A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4B372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32CC8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68056E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337D60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6BD8D2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7FEB5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172CC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C19E6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8A28E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F3515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0283B3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5A9C77A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2340B6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R013</w:t>
            </w:r>
          </w:p>
        </w:tc>
        <w:tc>
          <w:tcPr>
            <w:tcW w:w="501" w:type="dxa"/>
            <w:tcBorders>
              <w:top w:val="single" w:sz="4" w:space="0" w:color="44B3E1"/>
              <w:left w:val="nil"/>
              <w:bottom w:val="single" w:sz="4" w:space="0" w:color="44B3E1"/>
              <w:right w:val="nil"/>
            </w:tcBorders>
            <w:shd w:val="clear" w:color="C0E6F5" w:fill="C0E6F5"/>
            <w:noWrap/>
            <w:vAlign w:val="bottom"/>
            <w:hideMark/>
          </w:tcPr>
          <w:p w14:paraId="04A0D7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298152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613BD8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4FF456B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C0E6F5" w:fill="C0E6F5"/>
            <w:noWrap/>
            <w:vAlign w:val="bottom"/>
            <w:hideMark/>
          </w:tcPr>
          <w:p w14:paraId="6BB06E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6A7C7B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44AC86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29A819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EDF7D7"/>
            <w:noWrap/>
            <w:vAlign w:val="bottom"/>
            <w:hideMark/>
          </w:tcPr>
          <w:p w14:paraId="30E9F6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AA9B9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C3B24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4035C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FEE55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559C5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FFDC9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61530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55F002F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73ADB1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6983BA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D9AE6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A7BA3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42A4D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55E5B7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68BDB2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5082E0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47E325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703064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0B99E9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2AA623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C0E6F5" w:fill="DCFCE7"/>
            <w:noWrap/>
            <w:vAlign w:val="bottom"/>
            <w:hideMark/>
          </w:tcPr>
          <w:p w14:paraId="42A54D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r>
      <w:tr w:rsidR="00B17A2C" w:rsidRPr="00B17A2C" w14:paraId="1507A23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3FA8322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R014</w:t>
            </w:r>
          </w:p>
        </w:tc>
        <w:tc>
          <w:tcPr>
            <w:tcW w:w="501" w:type="dxa"/>
            <w:tcBorders>
              <w:top w:val="single" w:sz="4" w:space="0" w:color="44B3E1"/>
              <w:left w:val="nil"/>
              <w:bottom w:val="single" w:sz="4" w:space="0" w:color="44B3E1"/>
              <w:right w:val="nil"/>
            </w:tcBorders>
            <w:shd w:val="clear" w:color="auto" w:fill="auto"/>
            <w:noWrap/>
            <w:vAlign w:val="bottom"/>
            <w:hideMark/>
          </w:tcPr>
          <w:p w14:paraId="32995A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40426F5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4FB577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7FABCF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7D35DD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167BD6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27DE8A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DCFCE7"/>
            <w:noWrap/>
            <w:vAlign w:val="bottom"/>
            <w:hideMark/>
          </w:tcPr>
          <w:p w14:paraId="1F6265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1CCC29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F5926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A2980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252D40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5402FA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1163F8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434FAD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2B91D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2BFA4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D1AD5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49825D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293B74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8E133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27629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A13DB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56CA77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05837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348CD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AFE9F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535F8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27BD4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5391A2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15A546B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60E6FA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R015</w:t>
            </w:r>
          </w:p>
        </w:tc>
        <w:tc>
          <w:tcPr>
            <w:tcW w:w="501" w:type="dxa"/>
            <w:tcBorders>
              <w:top w:val="single" w:sz="4" w:space="0" w:color="44B3E1"/>
              <w:left w:val="nil"/>
              <w:bottom w:val="single" w:sz="4" w:space="0" w:color="44B3E1"/>
              <w:right w:val="nil"/>
            </w:tcBorders>
            <w:shd w:val="clear" w:color="C0E6F5" w:fill="C0E6F5"/>
            <w:noWrap/>
            <w:vAlign w:val="bottom"/>
            <w:hideMark/>
          </w:tcPr>
          <w:p w14:paraId="1819C8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302CC8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41151B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61C972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083951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1A0957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735D79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63F892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DCFCE7"/>
            <w:noWrap/>
            <w:vAlign w:val="bottom"/>
            <w:hideMark/>
          </w:tcPr>
          <w:p w14:paraId="52268D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2C10A0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4EB3A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F21CA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E6AE0A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539C2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3DC4D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1589ED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676630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566F2AF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01D03B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C79C6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56B258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2F14B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DD9E2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AE591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3FF24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E2BAC5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2C8061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541ACD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234425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085A92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467C6792"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097D4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R016</w:t>
            </w:r>
          </w:p>
        </w:tc>
        <w:tc>
          <w:tcPr>
            <w:tcW w:w="501" w:type="dxa"/>
            <w:tcBorders>
              <w:top w:val="single" w:sz="4" w:space="0" w:color="44B3E1"/>
              <w:left w:val="nil"/>
              <w:bottom w:val="single" w:sz="4" w:space="0" w:color="44B3E1"/>
              <w:right w:val="nil"/>
            </w:tcBorders>
            <w:shd w:val="clear" w:color="auto" w:fill="auto"/>
            <w:noWrap/>
            <w:vAlign w:val="bottom"/>
            <w:hideMark/>
          </w:tcPr>
          <w:p w14:paraId="5BCB4D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216B2A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274309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51C942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auto" w:fill="auto"/>
            <w:noWrap/>
            <w:vAlign w:val="bottom"/>
            <w:hideMark/>
          </w:tcPr>
          <w:p w14:paraId="31089B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524" w:type="dxa"/>
            <w:tcBorders>
              <w:top w:val="single" w:sz="4" w:space="0" w:color="44B3E1"/>
              <w:left w:val="nil"/>
              <w:bottom w:val="single" w:sz="4" w:space="0" w:color="44B3E1"/>
              <w:right w:val="nil"/>
            </w:tcBorders>
            <w:shd w:val="clear" w:color="auto" w:fill="auto"/>
            <w:noWrap/>
            <w:vAlign w:val="bottom"/>
            <w:hideMark/>
          </w:tcPr>
          <w:p w14:paraId="325505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02D197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000000" w:fill="EDF7D7"/>
            <w:noWrap/>
            <w:vAlign w:val="bottom"/>
            <w:hideMark/>
          </w:tcPr>
          <w:p w14:paraId="3DAF4A5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08C306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3CE418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158718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AB27F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CBFA3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EF2560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1DB23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EEA36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A4B17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DC76E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6F580E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35F35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66A573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74589F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06E9AA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4D45E6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0DA877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1304AE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359AA4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8B500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DCFCE7"/>
            <w:noWrap/>
            <w:vAlign w:val="bottom"/>
            <w:hideMark/>
          </w:tcPr>
          <w:p w14:paraId="22DBF6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6B9822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90E972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2D9E15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R017</w:t>
            </w:r>
          </w:p>
        </w:tc>
        <w:tc>
          <w:tcPr>
            <w:tcW w:w="501" w:type="dxa"/>
            <w:tcBorders>
              <w:top w:val="single" w:sz="4" w:space="0" w:color="44B3E1"/>
              <w:left w:val="nil"/>
              <w:bottom w:val="single" w:sz="4" w:space="0" w:color="44B3E1"/>
              <w:right w:val="nil"/>
            </w:tcBorders>
            <w:shd w:val="clear" w:color="C0E6F5" w:fill="C0E6F5"/>
            <w:noWrap/>
            <w:vAlign w:val="bottom"/>
            <w:hideMark/>
          </w:tcPr>
          <w:p w14:paraId="24BE95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3E86B6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511C560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471C68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C0E6F5" w:fill="C0E6F5"/>
            <w:noWrap/>
            <w:vAlign w:val="bottom"/>
            <w:hideMark/>
          </w:tcPr>
          <w:p w14:paraId="27D4DA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524" w:type="dxa"/>
            <w:tcBorders>
              <w:top w:val="single" w:sz="4" w:space="0" w:color="44B3E1"/>
              <w:left w:val="nil"/>
              <w:bottom w:val="single" w:sz="4" w:space="0" w:color="44B3E1"/>
              <w:right w:val="nil"/>
            </w:tcBorders>
            <w:shd w:val="clear" w:color="C0E6F5" w:fill="C0E6F5"/>
            <w:noWrap/>
            <w:vAlign w:val="bottom"/>
            <w:hideMark/>
          </w:tcPr>
          <w:p w14:paraId="2BC16A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361E842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DCFCE7"/>
            <w:noWrap/>
            <w:vAlign w:val="bottom"/>
            <w:hideMark/>
          </w:tcPr>
          <w:p w14:paraId="4BC121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4B3A16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E87B1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06BD98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29471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3E2DE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176DD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8204E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A71C5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9BA15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42C5A5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337697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67A922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E9AA2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D65D3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6705E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FEF9F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6C7C5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8E8EA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A8652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E1550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2C6D8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5173F8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C44EB6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6FC9DB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R018</w:t>
            </w:r>
          </w:p>
        </w:tc>
        <w:tc>
          <w:tcPr>
            <w:tcW w:w="501" w:type="dxa"/>
            <w:tcBorders>
              <w:top w:val="single" w:sz="4" w:space="0" w:color="44B3E1"/>
              <w:left w:val="nil"/>
              <w:bottom w:val="single" w:sz="4" w:space="0" w:color="44B3E1"/>
              <w:right w:val="nil"/>
            </w:tcBorders>
            <w:shd w:val="clear" w:color="auto" w:fill="auto"/>
            <w:noWrap/>
            <w:vAlign w:val="bottom"/>
            <w:hideMark/>
          </w:tcPr>
          <w:p w14:paraId="2E006F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61C178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563CB1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7176D6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76FDF6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auto" w:fill="auto"/>
            <w:noWrap/>
            <w:vAlign w:val="bottom"/>
            <w:hideMark/>
          </w:tcPr>
          <w:p w14:paraId="07EF27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7CC34D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6B8004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29268D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471614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523B0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5330F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2E472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1156C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DF818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1DA42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D3D11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4AD965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112880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9E8DA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50104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2325DA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E4B803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183D0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8EDE8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A078C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1E94E1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50A1CB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A0666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129BC0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27CC46B3"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7B08E9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R019</w:t>
            </w:r>
          </w:p>
        </w:tc>
        <w:tc>
          <w:tcPr>
            <w:tcW w:w="501" w:type="dxa"/>
            <w:tcBorders>
              <w:top w:val="single" w:sz="4" w:space="0" w:color="44B3E1"/>
              <w:left w:val="nil"/>
              <w:bottom w:val="single" w:sz="4" w:space="0" w:color="44B3E1"/>
              <w:right w:val="nil"/>
            </w:tcBorders>
            <w:shd w:val="clear" w:color="C0E6F5" w:fill="C0E6F5"/>
            <w:noWrap/>
            <w:vAlign w:val="bottom"/>
            <w:hideMark/>
          </w:tcPr>
          <w:p w14:paraId="1FE0740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00CF28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265928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457F2F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3B4068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30ED7F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223D65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DCFCE7"/>
            <w:noWrap/>
            <w:vAlign w:val="bottom"/>
            <w:hideMark/>
          </w:tcPr>
          <w:p w14:paraId="2877BC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FEF3C7"/>
            <w:noWrap/>
            <w:vAlign w:val="bottom"/>
            <w:hideMark/>
          </w:tcPr>
          <w:p w14:paraId="1491B4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4B6F7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6A3FE4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03B2C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919AD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91E55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BC0575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CE2B0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7F8771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A156D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31AA5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604669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85A89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44F78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7BB4A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7179B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5FAE6F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41FD61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308EBE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6F3022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24A954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EDF7D7"/>
            <w:noWrap/>
            <w:vAlign w:val="bottom"/>
            <w:hideMark/>
          </w:tcPr>
          <w:p w14:paraId="0F1EB3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6AA9492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62C0FE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R020</w:t>
            </w:r>
          </w:p>
        </w:tc>
        <w:tc>
          <w:tcPr>
            <w:tcW w:w="501" w:type="dxa"/>
            <w:tcBorders>
              <w:top w:val="single" w:sz="4" w:space="0" w:color="44B3E1"/>
              <w:left w:val="nil"/>
              <w:bottom w:val="single" w:sz="4" w:space="0" w:color="44B3E1"/>
              <w:right w:val="nil"/>
            </w:tcBorders>
            <w:shd w:val="clear" w:color="auto" w:fill="auto"/>
            <w:noWrap/>
            <w:vAlign w:val="bottom"/>
            <w:hideMark/>
          </w:tcPr>
          <w:p w14:paraId="20FD78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370BD8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5C6D06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5D8FEB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817" w:type="dxa"/>
            <w:tcBorders>
              <w:top w:val="single" w:sz="4" w:space="0" w:color="44B3E1"/>
              <w:left w:val="nil"/>
              <w:bottom w:val="single" w:sz="4" w:space="0" w:color="44B3E1"/>
              <w:right w:val="nil"/>
            </w:tcBorders>
            <w:shd w:val="clear" w:color="auto" w:fill="auto"/>
            <w:noWrap/>
            <w:vAlign w:val="bottom"/>
            <w:hideMark/>
          </w:tcPr>
          <w:p w14:paraId="755B1D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auto" w:fill="auto"/>
            <w:noWrap/>
            <w:vAlign w:val="bottom"/>
            <w:hideMark/>
          </w:tcPr>
          <w:p w14:paraId="43884E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5F2B42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19A121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558FF3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E7051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5FEDA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1D03B1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31CBE8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76B353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589AA7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02B70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5D898A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08C2F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CF3EA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546D2A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7AFCCE0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4F7818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D5CC7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B61D8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3BB8E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D6502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714AA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EEDC6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62E3E6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5C05EED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2FB8EF41"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7B6973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R021</w:t>
            </w:r>
          </w:p>
        </w:tc>
        <w:tc>
          <w:tcPr>
            <w:tcW w:w="501" w:type="dxa"/>
            <w:tcBorders>
              <w:top w:val="single" w:sz="4" w:space="0" w:color="44B3E1"/>
              <w:left w:val="nil"/>
              <w:bottom w:val="single" w:sz="4" w:space="0" w:color="44B3E1"/>
              <w:right w:val="nil"/>
            </w:tcBorders>
            <w:shd w:val="clear" w:color="C0E6F5" w:fill="C0E6F5"/>
            <w:noWrap/>
            <w:vAlign w:val="bottom"/>
            <w:hideMark/>
          </w:tcPr>
          <w:p w14:paraId="176FB7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33EEEE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703755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15E78F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6F82BD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05A4F2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2403E6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DCFCE7"/>
            <w:noWrap/>
            <w:vAlign w:val="bottom"/>
            <w:hideMark/>
          </w:tcPr>
          <w:p w14:paraId="449FA4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DCFCE7"/>
            <w:noWrap/>
            <w:vAlign w:val="bottom"/>
            <w:hideMark/>
          </w:tcPr>
          <w:p w14:paraId="3B6845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A3787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2F54E1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6649D2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92F06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C0BD7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D52ED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16557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7C824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4263E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A47CC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F6E72D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B396B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74E067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5FDF36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12B09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B1E9B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204112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7B6473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57B8F6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6DD542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single" w:sz="4" w:space="0" w:color="44B3E1"/>
            </w:tcBorders>
            <w:shd w:val="clear" w:color="C0E6F5" w:fill="DCFCE7"/>
            <w:noWrap/>
            <w:vAlign w:val="bottom"/>
            <w:hideMark/>
          </w:tcPr>
          <w:p w14:paraId="2954A7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r>
      <w:tr w:rsidR="00B17A2C" w:rsidRPr="00B17A2C" w14:paraId="780EC513"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64BF50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R022</w:t>
            </w:r>
          </w:p>
        </w:tc>
        <w:tc>
          <w:tcPr>
            <w:tcW w:w="501" w:type="dxa"/>
            <w:tcBorders>
              <w:top w:val="single" w:sz="4" w:space="0" w:color="44B3E1"/>
              <w:left w:val="nil"/>
              <w:bottom w:val="single" w:sz="4" w:space="0" w:color="44B3E1"/>
              <w:right w:val="nil"/>
            </w:tcBorders>
            <w:shd w:val="clear" w:color="auto" w:fill="auto"/>
            <w:noWrap/>
            <w:vAlign w:val="bottom"/>
            <w:hideMark/>
          </w:tcPr>
          <w:p w14:paraId="1A8F81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E77B9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220A1A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78B002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817" w:type="dxa"/>
            <w:tcBorders>
              <w:top w:val="single" w:sz="4" w:space="0" w:color="44B3E1"/>
              <w:left w:val="nil"/>
              <w:bottom w:val="single" w:sz="4" w:space="0" w:color="44B3E1"/>
              <w:right w:val="nil"/>
            </w:tcBorders>
            <w:shd w:val="clear" w:color="auto" w:fill="auto"/>
            <w:noWrap/>
            <w:vAlign w:val="bottom"/>
            <w:hideMark/>
          </w:tcPr>
          <w:p w14:paraId="135F93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524" w:type="dxa"/>
            <w:tcBorders>
              <w:top w:val="single" w:sz="4" w:space="0" w:color="44B3E1"/>
              <w:left w:val="nil"/>
              <w:bottom w:val="single" w:sz="4" w:space="0" w:color="44B3E1"/>
              <w:right w:val="nil"/>
            </w:tcBorders>
            <w:shd w:val="clear" w:color="auto" w:fill="auto"/>
            <w:noWrap/>
            <w:vAlign w:val="bottom"/>
            <w:hideMark/>
          </w:tcPr>
          <w:p w14:paraId="54A2B8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019F3E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FEF3C7"/>
            <w:noWrap/>
            <w:vAlign w:val="bottom"/>
            <w:hideMark/>
          </w:tcPr>
          <w:p w14:paraId="551AE8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EDF7D7"/>
            <w:noWrap/>
            <w:vAlign w:val="bottom"/>
            <w:hideMark/>
          </w:tcPr>
          <w:p w14:paraId="044B21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14D64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10810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D5C7B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6FEA2B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059EE4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BBCBF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31BC2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6AF0A6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D406D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BBC33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E0A01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0DBBE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93322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9AC32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E2B1D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72441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54E3F2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47DE20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2FA067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7AAAF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2A1EBB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374E57E0"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69AB5F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R023</w:t>
            </w:r>
          </w:p>
        </w:tc>
        <w:tc>
          <w:tcPr>
            <w:tcW w:w="501" w:type="dxa"/>
            <w:tcBorders>
              <w:top w:val="single" w:sz="4" w:space="0" w:color="44B3E1"/>
              <w:left w:val="nil"/>
              <w:bottom w:val="single" w:sz="4" w:space="0" w:color="44B3E1"/>
              <w:right w:val="nil"/>
            </w:tcBorders>
            <w:shd w:val="clear" w:color="C0E6F5" w:fill="C0E6F5"/>
            <w:noWrap/>
            <w:vAlign w:val="bottom"/>
            <w:hideMark/>
          </w:tcPr>
          <w:p w14:paraId="6E7A31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60D9EE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239E53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0BEBA5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6A3ABE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single" w:sz="4" w:space="0" w:color="44B3E1"/>
              <w:left w:val="nil"/>
              <w:bottom w:val="single" w:sz="4" w:space="0" w:color="44B3E1"/>
              <w:right w:val="nil"/>
            </w:tcBorders>
            <w:shd w:val="clear" w:color="C0E6F5" w:fill="C0E6F5"/>
            <w:noWrap/>
            <w:vAlign w:val="bottom"/>
            <w:hideMark/>
          </w:tcPr>
          <w:p w14:paraId="6AB101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single" w:sz="4" w:space="0" w:color="44B3E1"/>
              <w:left w:val="nil"/>
              <w:bottom w:val="single" w:sz="4" w:space="0" w:color="44B3E1"/>
              <w:right w:val="nil"/>
            </w:tcBorders>
            <w:shd w:val="clear" w:color="C0E6F5" w:fill="C0E6F5"/>
            <w:noWrap/>
            <w:vAlign w:val="bottom"/>
            <w:hideMark/>
          </w:tcPr>
          <w:p w14:paraId="23A10B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744A7D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68ABA6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1C11DE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49518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16C98D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4D3B11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E12C7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618148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37C633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49BF3F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48E4C8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BF259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B72A5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838D6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796E8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3579E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336F80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579FDD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2AEF04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E98DD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397F28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5E51C5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020C92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1F16E586"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538DF1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R024</w:t>
            </w:r>
          </w:p>
        </w:tc>
        <w:tc>
          <w:tcPr>
            <w:tcW w:w="501" w:type="dxa"/>
            <w:tcBorders>
              <w:top w:val="single" w:sz="4" w:space="0" w:color="44B3E1"/>
              <w:left w:val="nil"/>
              <w:bottom w:val="single" w:sz="4" w:space="0" w:color="44B3E1"/>
              <w:right w:val="nil"/>
            </w:tcBorders>
            <w:shd w:val="clear" w:color="auto" w:fill="auto"/>
            <w:noWrap/>
            <w:vAlign w:val="bottom"/>
            <w:hideMark/>
          </w:tcPr>
          <w:p w14:paraId="0766B9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AD8DC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3C83F5E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D7E72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6706AC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0617E4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5D9F9C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4F3151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320D5B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457836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2FD407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438D9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4407D9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C3D2D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5219A8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D74AB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FDF8E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E6295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71BDE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33D77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180CAE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3982AB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4F715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5F1F3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E0F64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F8D98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4626D2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5A73E3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AE27B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4D966E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9CEB3B9"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4C7019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R025</w:t>
            </w:r>
          </w:p>
        </w:tc>
        <w:tc>
          <w:tcPr>
            <w:tcW w:w="501" w:type="dxa"/>
            <w:tcBorders>
              <w:top w:val="single" w:sz="4" w:space="0" w:color="44B3E1"/>
              <w:left w:val="nil"/>
              <w:bottom w:val="single" w:sz="4" w:space="0" w:color="44B3E1"/>
              <w:right w:val="nil"/>
            </w:tcBorders>
            <w:shd w:val="clear" w:color="C0E6F5" w:fill="C0E6F5"/>
            <w:noWrap/>
            <w:vAlign w:val="bottom"/>
            <w:hideMark/>
          </w:tcPr>
          <w:p w14:paraId="0395CD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24E939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225C51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4AAAEE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1A8C6C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1828A0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69961E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3F15CA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DCFCE7"/>
            <w:noWrap/>
            <w:vAlign w:val="bottom"/>
            <w:hideMark/>
          </w:tcPr>
          <w:p w14:paraId="421363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7CDE58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905A9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950F3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6189D7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0147B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2CC6A3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B756F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331B4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4EEA1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1B2CC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36998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50357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C303C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196C1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0F78F7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ECA12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92C4B8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535B5E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33D1A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A3FF1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5221E8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3DF84B0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9D1AA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R026</w:t>
            </w:r>
          </w:p>
        </w:tc>
        <w:tc>
          <w:tcPr>
            <w:tcW w:w="501" w:type="dxa"/>
            <w:tcBorders>
              <w:top w:val="single" w:sz="4" w:space="0" w:color="44B3E1"/>
              <w:left w:val="nil"/>
              <w:bottom w:val="single" w:sz="4" w:space="0" w:color="44B3E1"/>
              <w:right w:val="nil"/>
            </w:tcBorders>
            <w:shd w:val="clear" w:color="auto" w:fill="auto"/>
            <w:noWrap/>
            <w:vAlign w:val="bottom"/>
            <w:hideMark/>
          </w:tcPr>
          <w:p w14:paraId="4B9932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4F41B7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2727D5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3E3858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auto" w:fill="auto"/>
            <w:noWrap/>
            <w:vAlign w:val="bottom"/>
            <w:hideMark/>
          </w:tcPr>
          <w:p w14:paraId="12984A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7768B9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0796ED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441551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00DBF5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116BA7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6A062D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0A1F7A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749AF2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7517E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C6A34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617CE1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EE6CC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73392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09820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0724CF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2A2A26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2E1432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57D0FA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7395C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3E98DB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92908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06332D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745363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3E2865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2EC7B1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1D0C2A8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796459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R027</w:t>
            </w:r>
          </w:p>
        </w:tc>
        <w:tc>
          <w:tcPr>
            <w:tcW w:w="501" w:type="dxa"/>
            <w:tcBorders>
              <w:top w:val="single" w:sz="4" w:space="0" w:color="44B3E1"/>
              <w:left w:val="nil"/>
              <w:bottom w:val="single" w:sz="4" w:space="0" w:color="44B3E1"/>
              <w:right w:val="nil"/>
            </w:tcBorders>
            <w:shd w:val="clear" w:color="C0E6F5" w:fill="C0E6F5"/>
            <w:noWrap/>
            <w:vAlign w:val="bottom"/>
            <w:hideMark/>
          </w:tcPr>
          <w:p w14:paraId="19B89F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5AC2A3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7815E7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7B4E92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C0E6F5" w:fill="C0E6F5"/>
            <w:noWrap/>
            <w:vAlign w:val="bottom"/>
            <w:hideMark/>
          </w:tcPr>
          <w:p w14:paraId="1062A6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524" w:type="dxa"/>
            <w:tcBorders>
              <w:top w:val="single" w:sz="4" w:space="0" w:color="44B3E1"/>
              <w:left w:val="nil"/>
              <w:bottom w:val="single" w:sz="4" w:space="0" w:color="44B3E1"/>
              <w:right w:val="nil"/>
            </w:tcBorders>
            <w:shd w:val="clear" w:color="C0E6F5" w:fill="C0E6F5"/>
            <w:noWrap/>
            <w:vAlign w:val="bottom"/>
            <w:hideMark/>
          </w:tcPr>
          <w:p w14:paraId="33A028F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22504C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7D926F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75BA85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0F9253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2E2"/>
            <w:noWrap/>
            <w:vAlign w:val="bottom"/>
            <w:hideMark/>
          </w:tcPr>
          <w:p w14:paraId="7BA0E4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665B5B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59C52A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7BF105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68794F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10FC6D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2E2"/>
            <w:noWrap/>
            <w:vAlign w:val="bottom"/>
            <w:hideMark/>
          </w:tcPr>
          <w:p w14:paraId="3EFDB9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2E2"/>
            <w:noWrap/>
            <w:vAlign w:val="bottom"/>
            <w:hideMark/>
          </w:tcPr>
          <w:p w14:paraId="26B976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33FFAA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23CD7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233665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78E9EE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41672C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2E179E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B167C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8A9EA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799B2F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518B7B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EFDAD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14F884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0478A3E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76C961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R028</w:t>
            </w:r>
          </w:p>
        </w:tc>
        <w:tc>
          <w:tcPr>
            <w:tcW w:w="501" w:type="dxa"/>
            <w:tcBorders>
              <w:top w:val="single" w:sz="4" w:space="0" w:color="44B3E1"/>
              <w:left w:val="nil"/>
              <w:bottom w:val="single" w:sz="4" w:space="0" w:color="44B3E1"/>
              <w:right w:val="nil"/>
            </w:tcBorders>
            <w:shd w:val="clear" w:color="auto" w:fill="auto"/>
            <w:noWrap/>
            <w:vAlign w:val="bottom"/>
            <w:hideMark/>
          </w:tcPr>
          <w:p w14:paraId="26A4C2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19B417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2CFE1E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BED59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single" w:sz="4" w:space="0" w:color="44B3E1"/>
              <w:left w:val="nil"/>
              <w:bottom w:val="single" w:sz="4" w:space="0" w:color="44B3E1"/>
              <w:right w:val="nil"/>
            </w:tcBorders>
            <w:shd w:val="clear" w:color="auto" w:fill="auto"/>
            <w:noWrap/>
            <w:vAlign w:val="bottom"/>
            <w:hideMark/>
          </w:tcPr>
          <w:p w14:paraId="4B9DC8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auto" w:fill="auto"/>
            <w:noWrap/>
            <w:vAlign w:val="bottom"/>
            <w:hideMark/>
          </w:tcPr>
          <w:p w14:paraId="7F2E60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single" w:sz="4" w:space="0" w:color="44B3E1"/>
              <w:left w:val="nil"/>
              <w:bottom w:val="single" w:sz="4" w:space="0" w:color="44B3E1"/>
              <w:right w:val="nil"/>
            </w:tcBorders>
            <w:shd w:val="clear" w:color="auto" w:fill="auto"/>
            <w:noWrap/>
            <w:vAlign w:val="bottom"/>
            <w:hideMark/>
          </w:tcPr>
          <w:p w14:paraId="3143A4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0B09FB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EDF7D7"/>
            <w:noWrap/>
            <w:vAlign w:val="bottom"/>
            <w:hideMark/>
          </w:tcPr>
          <w:p w14:paraId="19151C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9E15A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354CCF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5EBC99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044949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A9FB2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B8452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E4E87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75BC09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49CFF6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A2BAE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08C0CE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67C9D9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45A40D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41A64C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23CA02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7C67B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48E9D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5E4011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EAD5"/>
            <w:noWrap/>
            <w:vAlign w:val="bottom"/>
            <w:hideMark/>
          </w:tcPr>
          <w:p w14:paraId="5AE69A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5BC928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4F22C8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3E654944"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2335C5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R029</w:t>
            </w:r>
          </w:p>
        </w:tc>
        <w:tc>
          <w:tcPr>
            <w:tcW w:w="501" w:type="dxa"/>
            <w:tcBorders>
              <w:top w:val="single" w:sz="4" w:space="0" w:color="44B3E1"/>
              <w:left w:val="nil"/>
              <w:bottom w:val="single" w:sz="4" w:space="0" w:color="44B3E1"/>
              <w:right w:val="nil"/>
            </w:tcBorders>
            <w:shd w:val="clear" w:color="C0E6F5" w:fill="C0E6F5"/>
            <w:noWrap/>
            <w:vAlign w:val="bottom"/>
            <w:hideMark/>
          </w:tcPr>
          <w:p w14:paraId="60E918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696E20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40DBF7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941" w:type="dxa"/>
            <w:tcBorders>
              <w:top w:val="single" w:sz="4" w:space="0" w:color="44B3E1"/>
              <w:left w:val="nil"/>
              <w:bottom w:val="single" w:sz="4" w:space="0" w:color="44B3E1"/>
              <w:right w:val="nil"/>
            </w:tcBorders>
            <w:shd w:val="clear" w:color="C0E6F5" w:fill="C0E6F5"/>
            <w:noWrap/>
            <w:vAlign w:val="bottom"/>
            <w:hideMark/>
          </w:tcPr>
          <w:p w14:paraId="51C175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05B6B5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4D5CB7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7908D8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DCFCE7"/>
            <w:noWrap/>
            <w:vAlign w:val="bottom"/>
            <w:hideMark/>
          </w:tcPr>
          <w:p w14:paraId="635A82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223FEE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9A9D6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538D90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8FE6E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53D3B62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7BFF47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0B7799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63F2F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100AB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1B2FC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5A7B012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BE88E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3B6B5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734BA5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80AF0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6ABEA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5C40AA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37D726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53F20B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7B17C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EF5E2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7A08CB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3BB5B94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EB889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R030</w:t>
            </w:r>
          </w:p>
        </w:tc>
        <w:tc>
          <w:tcPr>
            <w:tcW w:w="501" w:type="dxa"/>
            <w:tcBorders>
              <w:top w:val="single" w:sz="4" w:space="0" w:color="44B3E1"/>
              <w:left w:val="nil"/>
              <w:bottom w:val="single" w:sz="4" w:space="0" w:color="44B3E1"/>
              <w:right w:val="nil"/>
            </w:tcBorders>
            <w:shd w:val="clear" w:color="auto" w:fill="auto"/>
            <w:noWrap/>
            <w:vAlign w:val="bottom"/>
            <w:hideMark/>
          </w:tcPr>
          <w:p w14:paraId="188D23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798470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68D5D1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6DE27C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24C10F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524" w:type="dxa"/>
            <w:tcBorders>
              <w:top w:val="single" w:sz="4" w:space="0" w:color="44B3E1"/>
              <w:left w:val="nil"/>
              <w:bottom w:val="single" w:sz="4" w:space="0" w:color="44B3E1"/>
              <w:right w:val="nil"/>
            </w:tcBorders>
            <w:shd w:val="clear" w:color="auto" w:fill="auto"/>
            <w:noWrap/>
            <w:vAlign w:val="bottom"/>
            <w:hideMark/>
          </w:tcPr>
          <w:p w14:paraId="1D87F1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033E42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FEF3C7"/>
            <w:noWrap/>
            <w:vAlign w:val="bottom"/>
            <w:hideMark/>
          </w:tcPr>
          <w:p w14:paraId="0685ED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DCFCE7"/>
            <w:noWrap/>
            <w:vAlign w:val="bottom"/>
            <w:hideMark/>
          </w:tcPr>
          <w:p w14:paraId="5B07DF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582275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CF3B1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6BEA7E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1E1382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6D7297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02260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1D723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557418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61DE9F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3497205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4C195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318125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429384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03F01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C22DC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606BD3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3ABB2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CEFBE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472A8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DB9CB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7BD1D3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46E164D5"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4592BA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R031</w:t>
            </w:r>
          </w:p>
        </w:tc>
        <w:tc>
          <w:tcPr>
            <w:tcW w:w="501" w:type="dxa"/>
            <w:tcBorders>
              <w:top w:val="single" w:sz="4" w:space="0" w:color="44B3E1"/>
              <w:left w:val="nil"/>
              <w:bottom w:val="single" w:sz="4" w:space="0" w:color="44B3E1"/>
              <w:right w:val="nil"/>
            </w:tcBorders>
            <w:shd w:val="clear" w:color="C0E6F5" w:fill="C0E6F5"/>
            <w:noWrap/>
            <w:vAlign w:val="bottom"/>
            <w:hideMark/>
          </w:tcPr>
          <w:p w14:paraId="29107A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78430E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3F9A53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1E7B03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703A4F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524" w:type="dxa"/>
            <w:tcBorders>
              <w:top w:val="single" w:sz="4" w:space="0" w:color="44B3E1"/>
              <w:left w:val="nil"/>
              <w:bottom w:val="single" w:sz="4" w:space="0" w:color="44B3E1"/>
              <w:right w:val="nil"/>
            </w:tcBorders>
            <w:shd w:val="clear" w:color="C0E6F5" w:fill="C0E6F5"/>
            <w:noWrap/>
            <w:vAlign w:val="bottom"/>
            <w:hideMark/>
          </w:tcPr>
          <w:p w14:paraId="08003A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0BCC37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C0E6F5" w:fill="EDF7D7"/>
            <w:noWrap/>
            <w:vAlign w:val="bottom"/>
            <w:hideMark/>
          </w:tcPr>
          <w:p w14:paraId="3484FB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6CB9E3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3246DF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63EAC4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07AFE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98D8C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565909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30C8AE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1DCC88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A9865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373FF9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24200C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C7B5F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410AE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2F13BB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2312AB5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1E431E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0FF0AA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1ED387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33F6AE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AD5"/>
            <w:noWrap/>
            <w:vAlign w:val="bottom"/>
            <w:hideMark/>
          </w:tcPr>
          <w:p w14:paraId="19954C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0FA661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7CF10F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0A62A991"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FE60D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R032</w:t>
            </w:r>
          </w:p>
        </w:tc>
        <w:tc>
          <w:tcPr>
            <w:tcW w:w="501" w:type="dxa"/>
            <w:tcBorders>
              <w:top w:val="single" w:sz="4" w:space="0" w:color="44B3E1"/>
              <w:left w:val="nil"/>
              <w:bottom w:val="single" w:sz="4" w:space="0" w:color="44B3E1"/>
              <w:right w:val="nil"/>
            </w:tcBorders>
            <w:shd w:val="clear" w:color="auto" w:fill="auto"/>
            <w:noWrap/>
            <w:vAlign w:val="bottom"/>
            <w:hideMark/>
          </w:tcPr>
          <w:p w14:paraId="47A1DF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27FC2A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10069A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68512F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0DA5A8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auto" w:fill="auto"/>
            <w:noWrap/>
            <w:vAlign w:val="bottom"/>
            <w:hideMark/>
          </w:tcPr>
          <w:p w14:paraId="273BE6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400B26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06E3D8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6DE94A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9E98D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7FF393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3E5C3B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356F9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6AB625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8C52D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6F6B3A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FBAE23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F8671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3C72E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2B5BCD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BF170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87212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B4E1E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EF29C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0C57D3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049F5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059D2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20FED1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2E2"/>
            <w:noWrap/>
            <w:vAlign w:val="bottom"/>
            <w:hideMark/>
          </w:tcPr>
          <w:p w14:paraId="6AC571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33A635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CAC0FC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060FCC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R033</w:t>
            </w:r>
          </w:p>
        </w:tc>
        <w:tc>
          <w:tcPr>
            <w:tcW w:w="501" w:type="dxa"/>
            <w:tcBorders>
              <w:top w:val="single" w:sz="4" w:space="0" w:color="44B3E1"/>
              <w:left w:val="nil"/>
              <w:bottom w:val="single" w:sz="4" w:space="0" w:color="44B3E1"/>
              <w:right w:val="nil"/>
            </w:tcBorders>
            <w:shd w:val="clear" w:color="C0E6F5" w:fill="C0E6F5"/>
            <w:noWrap/>
            <w:vAlign w:val="bottom"/>
            <w:hideMark/>
          </w:tcPr>
          <w:p w14:paraId="272A3C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1A5025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0FA891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50EB31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69D457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122409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0B91C4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72245F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787219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C43AB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B124A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7BA6B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5ADB3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23DC4F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5D4A2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96A9F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A6789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2E2"/>
            <w:noWrap/>
            <w:vAlign w:val="bottom"/>
            <w:hideMark/>
          </w:tcPr>
          <w:p w14:paraId="210A76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2E2"/>
            <w:noWrap/>
            <w:vAlign w:val="bottom"/>
            <w:hideMark/>
          </w:tcPr>
          <w:p w14:paraId="296799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AD5"/>
            <w:noWrap/>
            <w:vAlign w:val="bottom"/>
            <w:hideMark/>
          </w:tcPr>
          <w:p w14:paraId="067576B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6358F4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66A788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4420AF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34FA54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02880A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380FD7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52B861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067B09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928EE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72589D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7C2F65D"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7FE63B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R034</w:t>
            </w:r>
          </w:p>
        </w:tc>
        <w:tc>
          <w:tcPr>
            <w:tcW w:w="501" w:type="dxa"/>
            <w:tcBorders>
              <w:top w:val="single" w:sz="4" w:space="0" w:color="44B3E1"/>
              <w:left w:val="nil"/>
              <w:bottom w:val="single" w:sz="4" w:space="0" w:color="44B3E1"/>
              <w:right w:val="nil"/>
            </w:tcBorders>
            <w:shd w:val="clear" w:color="auto" w:fill="auto"/>
            <w:noWrap/>
            <w:vAlign w:val="bottom"/>
            <w:hideMark/>
          </w:tcPr>
          <w:p w14:paraId="3E727C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492EF8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29EEB2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454030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auto" w:fill="auto"/>
            <w:noWrap/>
            <w:vAlign w:val="bottom"/>
            <w:hideMark/>
          </w:tcPr>
          <w:p w14:paraId="4A9199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524" w:type="dxa"/>
            <w:tcBorders>
              <w:top w:val="single" w:sz="4" w:space="0" w:color="44B3E1"/>
              <w:left w:val="nil"/>
              <w:bottom w:val="single" w:sz="4" w:space="0" w:color="44B3E1"/>
              <w:right w:val="nil"/>
            </w:tcBorders>
            <w:shd w:val="clear" w:color="auto" w:fill="auto"/>
            <w:noWrap/>
            <w:vAlign w:val="bottom"/>
            <w:hideMark/>
          </w:tcPr>
          <w:p w14:paraId="4EAA9A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020006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EDF7D7"/>
            <w:noWrap/>
            <w:vAlign w:val="bottom"/>
            <w:hideMark/>
          </w:tcPr>
          <w:p w14:paraId="560275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FEF3C7"/>
            <w:noWrap/>
            <w:vAlign w:val="bottom"/>
            <w:hideMark/>
          </w:tcPr>
          <w:p w14:paraId="377232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31A8E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CDFF4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6B511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7B684F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6BAD11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97967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1897B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425F72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62B437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6B592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6ECE0A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17F7C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2C90A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5A594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C3009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9F411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333EFF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12ED2F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056F7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3673C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EAD5"/>
            <w:noWrap/>
            <w:vAlign w:val="bottom"/>
            <w:hideMark/>
          </w:tcPr>
          <w:p w14:paraId="7A8E7F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0E78A262"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1D7234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R035</w:t>
            </w:r>
          </w:p>
        </w:tc>
        <w:tc>
          <w:tcPr>
            <w:tcW w:w="501" w:type="dxa"/>
            <w:tcBorders>
              <w:top w:val="single" w:sz="4" w:space="0" w:color="44B3E1"/>
              <w:left w:val="nil"/>
              <w:bottom w:val="single" w:sz="4" w:space="0" w:color="44B3E1"/>
              <w:right w:val="nil"/>
            </w:tcBorders>
            <w:shd w:val="clear" w:color="C0E6F5" w:fill="C0E6F5"/>
            <w:noWrap/>
            <w:vAlign w:val="bottom"/>
            <w:hideMark/>
          </w:tcPr>
          <w:p w14:paraId="415560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0365EE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7882E4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5088BB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289918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single" w:sz="4" w:space="0" w:color="44B3E1"/>
              <w:left w:val="nil"/>
              <w:bottom w:val="single" w:sz="4" w:space="0" w:color="44B3E1"/>
              <w:right w:val="nil"/>
            </w:tcBorders>
            <w:shd w:val="clear" w:color="C0E6F5" w:fill="C0E6F5"/>
            <w:noWrap/>
            <w:vAlign w:val="bottom"/>
            <w:hideMark/>
          </w:tcPr>
          <w:p w14:paraId="143EE1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4B5666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EAD5"/>
            <w:noWrap/>
            <w:vAlign w:val="bottom"/>
            <w:hideMark/>
          </w:tcPr>
          <w:p w14:paraId="4C9B65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C0E6F5" w:fill="EDF7D7"/>
            <w:noWrap/>
            <w:vAlign w:val="bottom"/>
            <w:hideMark/>
          </w:tcPr>
          <w:p w14:paraId="0090E6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1F87B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4A3D0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B7724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4BC17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EE9D6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2BD80F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AC631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407620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ECA7C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923F4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436806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8BEFC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21E3A1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4ABE4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15EDE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6F957F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5547C5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D7B63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1A4D0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AEB6E9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64FE65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3019D1B"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4FA55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R036</w:t>
            </w:r>
          </w:p>
        </w:tc>
        <w:tc>
          <w:tcPr>
            <w:tcW w:w="501" w:type="dxa"/>
            <w:tcBorders>
              <w:top w:val="single" w:sz="4" w:space="0" w:color="44B3E1"/>
              <w:left w:val="nil"/>
              <w:bottom w:val="single" w:sz="4" w:space="0" w:color="44B3E1"/>
              <w:right w:val="nil"/>
            </w:tcBorders>
            <w:shd w:val="clear" w:color="auto" w:fill="auto"/>
            <w:noWrap/>
            <w:vAlign w:val="bottom"/>
            <w:hideMark/>
          </w:tcPr>
          <w:p w14:paraId="52B1EF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F4387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2CBE7F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232651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1018A6E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1CC8B1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5A563D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FEEAD5"/>
            <w:noWrap/>
            <w:vAlign w:val="bottom"/>
            <w:hideMark/>
          </w:tcPr>
          <w:p w14:paraId="399195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single" w:sz="4" w:space="0" w:color="44B3E1"/>
              <w:left w:val="nil"/>
              <w:bottom w:val="single" w:sz="4" w:space="0" w:color="44B3E1"/>
              <w:right w:val="nil"/>
            </w:tcBorders>
            <w:shd w:val="clear" w:color="000000" w:fill="FEF3C7"/>
            <w:noWrap/>
            <w:vAlign w:val="bottom"/>
            <w:hideMark/>
          </w:tcPr>
          <w:p w14:paraId="213036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51B705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754981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200C9E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1F2C5B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03B844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4F2A1D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1DB106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B45E1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2DD7C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5F786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3F72E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CCE74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074DFD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5FD8AE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7AC6FA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E7EB2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D90AD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525681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5BB7B8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2E2"/>
            <w:noWrap/>
            <w:vAlign w:val="bottom"/>
            <w:hideMark/>
          </w:tcPr>
          <w:p w14:paraId="3231F8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420C0A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6472A650"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4FF4F8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R037</w:t>
            </w:r>
          </w:p>
        </w:tc>
        <w:tc>
          <w:tcPr>
            <w:tcW w:w="501" w:type="dxa"/>
            <w:tcBorders>
              <w:top w:val="single" w:sz="4" w:space="0" w:color="44B3E1"/>
              <w:left w:val="nil"/>
              <w:bottom w:val="single" w:sz="4" w:space="0" w:color="44B3E1"/>
              <w:right w:val="nil"/>
            </w:tcBorders>
            <w:shd w:val="clear" w:color="C0E6F5" w:fill="C0E6F5"/>
            <w:noWrap/>
            <w:vAlign w:val="bottom"/>
            <w:hideMark/>
          </w:tcPr>
          <w:p w14:paraId="0400D6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2F2390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025CD0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3DC407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2452DD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1A12E2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6192AA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DCFCE7"/>
            <w:noWrap/>
            <w:vAlign w:val="bottom"/>
            <w:hideMark/>
          </w:tcPr>
          <w:p w14:paraId="52ABC7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DCFCE7"/>
            <w:noWrap/>
            <w:vAlign w:val="bottom"/>
            <w:hideMark/>
          </w:tcPr>
          <w:p w14:paraId="230BD3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17C100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622BD5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46A6B2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042349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58B5B2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4D8785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6324ED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1AAF94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5CE21A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6911D7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6C76F7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AF1E8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D760F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554439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356306B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33065E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6578B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379C60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51C5A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2BB6EA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EDF7D7"/>
            <w:noWrap/>
            <w:vAlign w:val="bottom"/>
            <w:hideMark/>
          </w:tcPr>
          <w:p w14:paraId="23468B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0ACA3053"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1D6333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R038</w:t>
            </w:r>
          </w:p>
        </w:tc>
        <w:tc>
          <w:tcPr>
            <w:tcW w:w="501" w:type="dxa"/>
            <w:tcBorders>
              <w:top w:val="single" w:sz="4" w:space="0" w:color="44B3E1"/>
              <w:left w:val="nil"/>
              <w:bottom w:val="single" w:sz="4" w:space="0" w:color="44B3E1"/>
              <w:right w:val="nil"/>
            </w:tcBorders>
            <w:shd w:val="clear" w:color="auto" w:fill="auto"/>
            <w:noWrap/>
            <w:vAlign w:val="bottom"/>
            <w:hideMark/>
          </w:tcPr>
          <w:p w14:paraId="01ADAB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7E86A8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auto" w:fill="auto"/>
            <w:noWrap/>
            <w:vAlign w:val="bottom"/>
            <w:hideMark/>
          </w:tcPr>
          <w:p w14:paraId="0EF9F2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5DE4F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5C9BC3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7</w:t>
            </w:r>
          </w:p>
        </w:tc>
        <w:tc>
          <w:tcPr>
            <w:tcW w:w="524" w:type="dxa"/>
            <w:tcBorders>
              <w:top w:val="single" w:sz="4" w:space="0" w:color="44B3E1"/>
              <w:left w:val="nil"/>
              <w:bottom w:val="single" w:sz="4" w:space="0" w:color="44B3E1"/>
              <w:right w:val="nil"/>
            </w:tcBorders>
            <w:shd w:val="clear" w:color="auto" w:fill="auto"/>
            <w:noWrap/>
            <w:vAlign w:val="bottom"/>
            <w:hideMark/>
          </w:tcPr>
          <w:p w14:paraId="5E9E56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7B6853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6C4C8C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4FC7C3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3D92D1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4730E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CF09A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55A09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6A1BF65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DC68E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54BDF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5ACB13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BB0B2A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4C2EB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4E426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7FAB6A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6E2917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98833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393E8C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FA401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41E02F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507C8E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57C66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085D8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49C44C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5C0D5DE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09AC8C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R039</w:t>
            </w:r>
          </w:p>
        </w:tc>
        <w:tc>
          <w:tcPr>
            <w:tcW w:w="501" w:type="dxa"/>
            <w:tcBorders>
              <w:top w:val="single" w:sz="4" w:space="0" w:color="44B3E1"/>
              <w:left w:val="nil"/>
              <w:bottom w:val="single" w:sz="4" w:space="0" w:color="44B3E1"/>
              <w:right w:val="nil"/>
            </w:tcBorders>
            <w:shd w:val="clear" w:color="C0E6F5" w:fill="C0E6F5"/>
            <w:noWrap/>
            <w:vAlign w:val="bottom"/>
            <w:hideMark/>
          </w:tcPr>
          <w:p w14:paraId="3B8EA5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6A7CC9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505E31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48AC29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0FD340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3653B3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4426C6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1E8C7C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0E90BB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17D98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2A476B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0F4F9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2111AD3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3E2E7F3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18D3BE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0E2D99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6670C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3A5004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AD2E9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84B42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A46B5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5A292F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48EDBA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631B31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2547F4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4800C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F6A29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6D987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237F8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C0E6F5" w:fill="FEEAD5"/>
            <w:noWrap/>
            <w:vAlign w:val="bottom"/>
            <w:hideMark/>
          </w:tcPr>
          <w:p w14:paraId="484361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02EEC444"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7D951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R040</w:t>
            </w:r>
          </w:p>
        </w:tc>
        <w:tc>
          <w:tcPr>
            <w:tcW w:w="501" w:type="dxa"/>
            <w:tcBorders>
              <w:top w:val="single" w:sz="4" w:space="0" w:color="44B3E1"/>
              <w:left w:val="nil"/>
              <w:bottom w:val="single" w:sz="4" w:space="0" w:color="44B3E1"/>
              <w:right w:val="nil"/>
            </w:tcBorders>
            <w:shd w:val="clear" w:color="auto" w:fill="auto"/>
            <w:noWrap/>
            <w:vAlign w:val="bottom"/>
            <w:hideMark/>
          </w:tcPr>
          <w:p w14:paraId="3720ED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05317E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56DD62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060808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7D347C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auto" w:fill="auto"/>
            <w:noWrap/>
            <w:vAlign w:val="bottom"/>
            <w:hideMark/>
          </w:tcPr>
          <w:p w14:paraId="61A36D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55BB22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FEF3C7"/>
            <w:noWrap/>
            <w:vAlign w:val="bottom"/>
            <w:hideMark/>
          </w:tcPr>
          <w:p w14:paraId="071B4F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FEF3C7"/>
            <w:noWrap/>
            <w:vAlign w:val="bottom"/>
            <w:hideMark/>
          </w:tcPr>
          <w:p w14:paraId="3DD5EB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52B199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26564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6C1CA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53825F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B92C7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8EEFE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3A3A4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7FB89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7D1B0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26CA75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D5C9F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354FA0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AC862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0468A0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2E2"/>
            <w:noWrap/>
            <w:vAlign w:val="bottom"/>
            <w:hideMark/>
          </w:tcPr>
          <w:p w14:paraId="3CEF3B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EDF7D7"/>
            <w:noWrap/>
            <w:vAlign w:val="bottom"/>
            <w:hideMark/>
          </w:tcPr>
          <w:p w14:paraId="40D191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42D233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EAD5"/>
            <w:noWrap/>
            <w:vAlign w:val="bottom"/>
            <w:hideMark/>
          </w:tcPr>
          <w:p w14:paraId="1514FF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1A1D1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7E4E3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43071C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4092485B"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1CEC0F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R041</w:t>
            </w:r>
          </w:p>
        </w:tc>
        <w:tc>
          <w:tcPr>
            <w:tcW w:w="501" w:type="dxa"/>
            <w:tcBorders>
              <w:top w:val="single" w:sz="4" w:space="0" w:color="44B3E1"/>
              <w:left w:val="nil"/>
              <w:bottom w:val="single" w:sz="4" w:space="0" w:color="44B3E1"/>
              <w:right w:val="nil"/>
            </w:tcBorders>
            <w:shd w:val="clear" w:color="C0E6F5" w:fill="C0E6F5"/>
            <w:noWrap/>
            <w:vAlign w:val="bottom"/>
            <w:hideMark/>
          </w:tcPr>
          <w:p w14:paraId="27153D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74EAC6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6DDD24D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57DC45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385856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C0E6F5" w:fill="C0E6F5"/>
            <w:noWrap/>
            <w:vAlign w:val="bottom"/>
            <w:hideMark/>
          </w:tcPr>
          <w:p w14:paraId="3007C2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C0E6F5" w:fill="C0E6F5"/>
            <w:noWrap/>
            <w:vAlign w:val="bottom"/>
            <w:hideMark/>
          </w:tcPr>
          <w:p w14:paraId="34BF9C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44" w:type="dxa"/>
            <w:tcBorders>
              <w:top w:val="single" w:sz="4" w:space="0" w:color="44B3E1"/>
              <w:left w:val="nil"/>
              <w:bottom w:val="single" w:sz="4" w:space="0" w:color="44B3E1"/>
              <w:right w:val="nil"/>
            </w:tcBorders>
            <w:shd w:val="clear" w:color="C0E6F5" w:fill="FEF3C7"/>
            <w:noWrap/>
            <w:vAlign w:val="bottom"/>
            <w:hideMark/>
          </w:tcPr>
          <w:p w14:paraId="35E874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FEF3C7"/>
            <w:noWrap/>
            <w:vAlign w:val="bottom"/>
            <w:hideMark/>
          </w:tcPr>
          <w:p w14:paraId="31BEAC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7AF46F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E7883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05D13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4DC1A83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195FC9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AAF28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CC28F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4F1654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6B666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3E8684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49A574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6B6B74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45D89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3799D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4B9F1E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324F64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2ADC10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75EBA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835D1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2E2"/>
            <w:noWrap/>
            <w:vAlign w:val="bottom"/>
            <w:hideMark/>
          </w:tcPr>
          <w:p w14:paraId="73AAF0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7FE2F30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EA6A79B"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6EEAB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R042</w:t>
            </w:r>
          </w:p>
        </w:tc>
        <w:tc>
          <w:tcPr>
            <w:tcW w:w="501" w:type="dxa"/>
            <w:tcBorders>
              <w:top w:val="single" w:sz="4" w:space="0" w:color="44B3E1"/>
              <w:left w:val="nil"/>
              <w:bottom w:val="single" w:sz="4" w:space="0" w:color="44B3E1"/>
              <w:right w:val="nil"/>
            </w:tcBorders>
            <w:shd w:val="clear" w:color="auto" w:fill="auto"/>
            <w:noWrap/>
            <w:vAlign w:val="bottom"/>
            <w:hideMark/>
          </w:tcPr>
          <w:p w14:paraId="4D4151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5DD9E1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0AA8F6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0F0EDE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487791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2E0F10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1308D3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EDF7D7"/>
            <w:noWrap/>
            <w:vAlign w:val="bottom"/>
            <w:hideMark/>
          </w:tcPr>
          <w:p w14:paraId="549B1E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FEF3C7"/>
            <w:noWrap/>
            <w:vAlign w:val="bottom"/>
            <w:hideMark/>
          </w:tcPr>
          <w:p w14:paraId="5DECE4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640F3B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77393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67F93C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F9289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13B700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2E2"/>
            <w:noWrap/>
            <w:vAlign w:val="bottom"/>
            <w:hideMark/>
          </w:tcPr>
          <w:p w14:paraId="6E901B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FEF3C7"/>
            <w:noWrap/>
            <w:vAlign w:val="bottom"/>
            <w:hideMark/>
          </w:tcPr>
          <w:p w14:paraId="296FFF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89BE7E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01CBBB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95984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A424D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6CA09A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684398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042E14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76DD04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17F9C4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400B2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9DD64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0D5E94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006FFB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E2E2"/>
            <w:noWrap/>
            <w:vAlign w:val="bottom"/>
            <w:hideMark/>
          </w:tcPr>
          <w:p w14:paraId="63102D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r>
      <w:tr w:rsidR="00B17A2C" w:rsidRPr="00B17A2C" w14:paraId="226E2BC0"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5A78D9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R043</w:t>
            </w:r>
          </w:p>
        </w:tc>
        <w:tc>
          <w:tcPr>
            <w:tcW w:w="501" w:type="dxa"/>
            <w:tcBorders>
              <w:top w:val="single" w:sz="4" w:space="0" w:color="44B3E1"/>
              <w:left w:val="nil"/>
              <w:bottom w:val="single" w:sz="4" w:space="0" w:color="44B3E1"/>
              <w:right w:val="nil"/>
            </w:tcBorders>
            <w:shd w:val="clear" w:color="C0E6F5" w:fill="C0E6F5"/>
            <w:noWrap/>
            <w:vAlign w:val="bottom"/>
            <w:hideMark/>
          </w:tcPr>
          <w:p w14:paraId="693519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351A0B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4339FE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22D642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10C209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C0E6F5" w:fill="C0E6F5"/>
            <w:noWrap/>
            <w:vAlign w:val="bottom"/>
            <w:hideMark/>
          </w:tcPr>
          <w:p w14:paraId="7EF488D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063353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EDF7D7"/>
            <w:noWrap/>
            <w:vAlign w:val="bottom"/>
            <w:hideMark/>
          </w:tcPr>
          <w:p w14:paraId="7A1E52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DCFCE7"/>
            <w:noWrap/>
            <w:vAlign w:val="bottom"/>
            <w:hideMark/>
          </w:tcPr>
          <w:p w14:paraId="785CDC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1D7184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26F351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5F97C7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5CC97E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3907DF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7E08BA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2FE3D6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298ED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4FE4A2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14D49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D1071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5AE00F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0B7CC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063A6C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0A5EC2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06142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5E487A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1D8DD12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49DED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9B6F9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FEF3C7"/>
            <w:noWrap/>
            <w:vAlign w:val="bottom"/>
            <w:hideMark/>
          </w:tcPr>
          <w:p w14:paraId="1B8D9A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016B768"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77911E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R044</w:t>
            </w:r>
          </w:p>
        </w:tc>
        <w:tc>
          <w:tcPr>
            <w:tcW w:w="501" w:type="dxa"/>
            <w:tcBorders>
              <w:top w:val="single" w:sz="4" w:space="0" w:color="44B3E1"/>
              <w:left w:val="nil"/>
              <w:bottom w:val="single" w:sz="4" w:space="0" w:color="44B3E1"/>
              <w:right w:val="nil"/>
            </w:tcBorders>
            <w:shd w:val="clear" w:color="auto" w:fill="auto"/>
            <w:noWrap/>
            <w:vAlign w:val="bottom"/>
            <w:hideMark/>
          </w:tcPr>
          <w:p w14:paraId="153E50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12A411D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3B4DA4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CB14C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single" w:sz="4" w:space="0" w:color="44B3E1"/>
              <w:left w:val="nil"/>
              <w:bottom w:val="single" w:sz="4" w:space="0" w:color="44B3E1"/>
              <w:right w:val="nil"/>
            </w:tcBorders>
            <w:shd w:val="clear" w:color="auto" w:fill="auto"/>
            <w:noWrap/>
            <w:vAlign w:val="bottom"/>
            <w:hideMark/>
          </w:tcPr>
          <w:p w14:paraId="28C0F0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0CD7A9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single" w:sz="4" w:space="0" w:color="44B3E1"/>
              <w:left w:val="nil"/>
              <w:bottom w:val="single" w:sz="4" w:space="0" w:color="44B3E1"/>
              <w:right w:val="nil"/>
            </w:tcBorders>
            <w:shd w:val="clear" w:color="auto" w:fill="auto"/>
            <w:noWrap/>
            <w:vAlign w:val="bottom"/>
            <w:hideMark/>
          </w:tcPr>
          <w:p w14:paraId="488DAF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DCFCE7"/>
            <w:noWrap/>
            <w:vAlign w:val="bottom"/>
            <w:hideMark/>
          </w:tcPr>
          <w:p w14:paraId="7EA59B1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DCFCE7"/>
            <w:noWrap/>
            <w:vAlign w:val="bottom"/>
            <w:hideMark/>
          </w:tcPr>
          <w:p w14:paraId="323B5F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2ACAA6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3B5166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CC375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31893F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962BC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BEA1A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3F147B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0FC93B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35FFD4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28A87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0788CE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266582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1F5B78F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133C53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0C4FCF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6CC7CA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47B7CA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0DBE2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3E90EE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592D06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single" w:sz="4" w:space="0" w:color="44B3E1"/>
            </w:tcBorders>
            <w:shd w:val="clear" w:color="000000" w:fill="DCFCE7"/>
            <w:noWrap/>
            <w:vAlign w:val="bottom"/>
            <w:hideMark/>
          </w:tcPr>
          <w:p w14:paraId="2F5F24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r>
      <w:tr w:rsidR="00B17A2C" w:rsidRPr="00B17A2C" w14:paraId="63928A0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328711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R045</w:t>
            </w:r>
          </w:p>
        </w:tc>
        <w:tc>
          <w:tcPr>
            <w:tcW w:w="501" w:type="dxa"/>
            <w:tcBorders>
              <w:top w:val="single" w:sz="4" w:space="0" w:color="44B3E1"/>
              <w:left w:val="nil"/>
              <w:bottom w:val="single" w:sz="4" w:space="0" w:color="44B3E1"/>
              <w:right w:val="nil"/>
            </w:tcBorders>
            <w:shd w:val="clear" w:color="C0E6F5" w:fill="C0E6F5"/>
            <w:noWrap/>
            <w:vAlign w:val="bottom"/>
            <w:hideMark/>
          </w:tcPr>
          <w:p w14:paraId="02BD44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31E8A7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457842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C0E6F5" w:fill="C0E6F5"/>
            <w:noWrap/>
            <w:vAlign w:val="bottom"/>
            <w:hideMark/>
          </w:tcPr>
          <w:p w14:paraId="319639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6B3290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single" w:sz="4" w:space="0" w:color="44B3E1"/>
              <w:left w:val="nil"/>
              <w:bottom w:val="single" w:sz="4" w:space="0" w:color="44B3E1"/>
              <w:right w:val="nil"/>
            </w:tcBorders>
            <w:shd w:val="clear" w:color="C0E6F5" w:fill="C0E6F5"/>
            <w:noWrap/>
            <w:vAlign w:val="bottom"/>
            <w:hideMark/>
          </w:tcPr>
          <w:p w14:paraId="0DE82E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1F5398B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65164D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EDF7D7"/>
            <w:noWrap/>
            <w:vAlign w:val="bottom"/>
            <w:hideMark/>
          </w:tcPr>
          <w:p w14:paraId="239E16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02C556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AD5"/>
            <w:noWrap/>
            <w:vAlign w:val="bottom"/>
            <w:hideMark/>
          </w:tcPr>
          <w:p w14:paraId="67A28E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DCFCE7"/>
            <w:noWrap/>
            <w:vAlign w:val="bottom"/>
            <w:hideMark/>
          </w:tcPr>
          <w:p w14:paraId="623D62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680A06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639CD16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121963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731B9EA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05A2CD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51B671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5F3B6B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0599DD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7AD3A3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24359A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377167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149558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407505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645D2B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654BEA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2C71F6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2AFACC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EDF7D7"/>
            <w:noWrap/>
            <w:vAlign w:val="bottom"/>
            <w:hideMark/>
          </w:tcPr>
          <w:p w14:paraId="728496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39CE1785"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07C71B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R046</w:t>
            </w:r>
          </w:p>
        </w:tc>
        <w:tc>
          <w:tcPr>
            <w:tcW w:w="501" w:type="dxa"/>
            <w:tcBorders>
              <w:top w:val="single" w:sz="4" w:space="0" w:color="44B3E1"/>
              <w:left w:val="nil"/>
              <w:bottom w:val="single" w:sz="4" w:space="0" w:color="44B3E1"/>
              <w:right w:val="nil"/>
            </w:tcBorders>
            <w:shd w:val="clear" w:color="auto" w:fill="auto"/>
            <w:noWrap/>
            <w:vAlign w:val="bottom"/>
            <w:hideMark/>
          </w:tcPr>
          <w:p w14:paraId="7C778E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119E5A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02FC5E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6B4A7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7B8BCA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single" w:sz="4" w:space="0" w:color="44B3E1"/>
              <w:left w:val="nil"/>
              <w:bottom w:val="single" w:sz="4" w:space="0" w:color="44B3E1"/>
              <w:right w:val="nil"/>
            </w:tcBorders>
            <w:shd w:val="clear" w:color="auto" w:fill="auto"/>
            <w:noWrap/>
            <w:vAlign w:val="bottom"/>
            <w:hideMark/>
          </w:tcPr>
          <w:p w14:paraId="3CD418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auto" w:fill="auto"/>
            <w:noWrap/>
            <w:vAlign w:val="bottom"/>
            <w:hideMark/>
          </w:tcPr>
          <w:p w14:paraId="2FB0C8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2C1502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3D1CE68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18C4B2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4D138D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023A38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0EA255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4BB17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188300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74A869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DCFCE7"/>
            <w:noWrap/>
            <w:vAlign w:val="bottom"/>
            <w:hideMark/>
          </w:tcPr>
          <w:p w14:paraId="7BF07E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543F11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128ECD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0B684F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3BC988F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D9764D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740527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04CB78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CD717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32AD95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483A9C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0B9404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884DA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000000" w:fill="EDF7D7"/>
            <w:noWrap/>
            <w:vAlign w:val="bottom"/>
            <w:hideMark/>
          </w:tcPr>
          <w:p w14:paraId="2BC82F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390736A0"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326912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R047</w:t>
            </w:r>
          </w:p>
        </w:tc>
        <w:tc>
          <w:tcPr>
            <w:tcW w:w="501" w:type="dxa"/>
            <w:tcBorders>
              <w:top w:val="single" w:sz="4" w:space="0" w:color="44B3E1"/>
              <w:left w:val="nil"/>
              <w:bottom w:val="single" w:sz="4" w:space="0" w:color="44B3E1"/>
              <w:right w:val="nil"/>
            </w:tcBorders>
            <w:shd w:val="clear" w:color="C0E6F5" w:fill="C0E6F5"/>
            <w:noWrap/>
            <w:vAlign w:val="bottom"/>
            <w:hideMark/>
          </w:tcPr>
          <w:p w14:paraId="03EA049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43BDCA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62FF0D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6DB021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C0E6F5" w:fill="C0E6F5"/>
            <w:noWrap/>
            <w:vAlign w:val="bottom"/>
            <w:hideMark/>
          </w:tcPr>
          <w:p w14:paraId="19058D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050994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C0E6F5" w:fill="C0E6F5"/>
            <w:noWrap/>
            <w:vAlign w:val="bottom"/>
            <w:hideMark/>
          </w:tcPr>
          <w:p w14:paraId="5B85F2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44" w:type="dxa"/>
            <w:tcBorders>
              <w:top w:val="single" w:sz="4" w:space="0" w:color="44B3E1"/>
              <w:left w:val="nil"/>
              <w:bottom w:val="single" w:sz="4" w:space="0" w:color="44B3E1"/>
              <w:right w:val="nil"/>
            </w:tcBorders>
            <w:shd w:val="clear" w:color="C0E6F5" w:fill="DCFCE7"/>
            <w:noWrap/>
            <w:vAlign w:val="bottom"/>
            <w:hideMark/>
          </w:tcPr>
          <w:p w14:paraId="3CA246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C0E6F5" w:fill="FEF3C7"/>
            <w:noWrap/>
            <w:vAlign w:val="bottom"/>
            <w:hideMark/>
          </w:tcPr>
          <w:p w14:paraId="38723F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11FA99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EDF7D7"/>
            <w:noWrap/>
            <w:vAlign w:val="bottom"/>
            <w:hideMark/>
          </w:tcPr>
          <w:p w14:paraId="55D4C8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5F0A37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5ED6E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20A465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DCFCE7"/>
            <w:noWrap/>
            <w:vAlign w:val="bottom"/>
            <w:hideMark/>
          </w:tcPr>
          <w:p w14:paraId="5DCF471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73E70A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018900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EDF7D7"/>
            <w:noWrap/>
            <w:vAlign w:val="bottom"/>
            <w:hideMark/>
          </w:tcPr>
          <w:p w14:paraId="7FF15B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9587D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02C463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DCFCE7"/>
            <w:noWrap/>
            <w:vAlign w:val="bottom"/>
            <w:hideMark/>
          </w:tcPr>
          <w:p w14:paraId="432364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EAD5"/>
            <w:noWrap/>
            <w:vAlign w:val="bottom"/>
            <w:hideMark/>
          </w:tcPr>
          <w:p w14:paraId="3FCB05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6A8D03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3ED7F8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7E5FCB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3C06EF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F3C7"/>
            <w:noWrap/>
            <w:vAlign w:val="bottom"/>
            <w:hideMark/>
          </w:tcPr>
          <w:p w14:paraId="711890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565C47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2D282E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single" w:sz="4" w:space="0" w:color="44B3E1"/>
            </w:tcBorders>
            <w:shd w:val="clear" w:color="C0E6F5" w:fill="EDF7D7"/>
            <w:noWrap/>
            <w:vAlign w:val="bottom"/>
            <w:hideMark/>
          </w:tcPr>
          <w:p w14:paraId="798D33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3C29B56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64C764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R048</w:t>
            </w:r>
          </w:p>
        </w:tc>
        <w:tc>
          <w:tcPr>
            <w:tcW w:w="501" w:type="dxa"/>
            <w:tcBorders>
              <w:top w:val="single" w:sz="4" w:space="0" w:color="44B3E1"/>
              <w:left w:val="nil"/>
              <w:bottom w:val="single" w:sz="4" w:space="0" w:color="44B3E1"/>
              <w:right w:val="nil"/>
            </w:tcBorders>
            <w:shd w:val="clear" w:color="auto" w:fill="auto"/>
            <w:noWrap/>
            <w:vAlign w:val="bottom"/>
            <w:hideMark/>
          </w:tcPr>
          <w:p w14:paraId="5077B8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1BFD69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single" w:sz="4" w:space="0" w:color="44B3E1"/>
              <w:left w:val="nil"/>
              <w:bottom w:val="single" w:sz="4" w:space="0" w:color="44B3E1"/>
              <w:right w:val="nil"/>
            </w:tcBorders>
            <w:shd w:val="clear" w:color="auto" w:fill="auto"/>
            <w:noWrap/>
            <w:vAlign w:val="bottom"/>
            <w:hideMark/>
          </w:tcPr>
          <w:p w14:paraId="63D1EA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single" w:sz="4" w:space="0" w:color="44B3E1"/>
              <w:left w:val="nil"/>
              <w:bottom w:val="single" w:sz="4" w:space="0" w:color="44B3E1"/>
              <w:right w:val="nil"/>
            </w:tcBorders>
            <w:shd w:val="clear" w:color="auto" w:fill="auto"/>
            <w:noWrap/>
            <w:vAlign w:val="bottom"/>
            <w:hideMark/>
          </w:tcPr>
          <w:p w14:paraId="071058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single" w:sz="4" w:space="0" w:color="44B3E1"/>
              <w:left w:val="nil"/>
              <w:bottom w:val="single" w:sz="4" w:space="0" w:color="44B3E1"/>
              <w:right w:val="nil"/>
            </w:tcBorders>
            <w:shd w:val="clear" w:color="auto" w:fill="auto"/>
            <w:noWrap/>
            <w:vAlign w:val="bottom"/>
            <w:hideMark/>
          </w:tcPr>
          <w:p w14:paraId="191260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single" w:sz="4" w:space="0" w:color="44B3E1"/>
              <w:left w:val="nil"/>
              <w:bottom w:val="single" w:sz="4" w:space="0" w:color="44B3E1"/>
              <w:right w:val="nil"/>
            </w:tcBorders>
            <w:shd w:val="clear" w:color="auto" w:fill="auto"/>
            <w:noWrap/>
            <w:vAlign w:val="bottom"/>
            <w:hideMark/>
          </w:tcPr>
          <w:p w14:paraId="711E3E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305037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single" w:sz="4" w:space="0" w:color="44B3E1"/>
              <w:left w:val="nil"/>
              <w:bottom w:val="single" w:sz="4" w:space="0" w:color="44B3E1"/>
              <w:right w:val="nil"/>
            </w:tcBorders>
            <w:shd w:val="clear" w:color="000000" w:fill="FEF3C7"/>
            <w:noWrap/>
            <w:vAlign w:val="bottom"/>
            <w:hideMark/>
          </w:tcPr>
          <w:p w14:paraId="105CA8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000000" w:fill="DCFCE7"/>
            <w:noWrap/>
            <w:vAlign w:val="bottom"/>
            <w:hideMark/>
          </w:tcPr>
          <w:p w14:paraId="4DA967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76ECD2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6620C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A7CD4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11E8B0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6CF24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3B0B2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5CB913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431EA5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09C7113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34ECB2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EDF7D7"/>
            <w:noWrap/>
            <w:vAlign w:val="bottom"/>
            <w:hideMark/>
          </w:tcPr>
          <w:p w14:paraId="777801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51DAB45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EDF7D7"/>
            <w:noWrap/>
            <w:vAlign w:val="bottom"/>
            <w:hideMark/>
          </w:tcPr>
          <w:p w14:paraId="4E456B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5836740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3C0D5A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676512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B7651E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2E2"/>
            <w:noWrap/>
            <w:vAlign w:val="bottom"/>
            <w:hideMark/>
          </w:tcPr>
          <w:p w14:paraId="753044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FEF3C7"/>
            <w:noWrap/>
            <w:vAlign w:val="bottom"/>
            <w:hideMark/>
          </w:tcPr>
          <w:p w14:paraId="57C5EC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5F0F72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6EB8A1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37653E7F"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C0E6F5" w:fill="C0E6F5"/>
            <w:noWrap/>
            <w:vAlign w:val="bottom"/>
            <w:hideMark/>
          </w:tcPr>
          <w:p w14:paraId="272201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R049</w:t>
            </w:r>
          </w:p>
        </w:tc>
        <w:tc>
          <w:tcPr>
            <w:tcW w:w="501" w:type="dxa"/>
            <w:tcBorders>
              <w:top w:val="single" w:sz="4" w:space="0" w:color="44B3E1"/>
              <w:left w:val="nil"/>
              <w:bottom w:val="single" w:sz="4" w:space="0" w:color="44B3E1"/>
              <w:right w:val="nil"/>
            </w:tcBorders>
            <w:shd w:val="clear" w:color="C0E6F5" w:fill="C0E6F5"/>
            <w:noWrap/>
            <w:vAlign w:val="bottom"/>
            <w:hideMark/>
          </w:tcPr>
          <w:p w14:paraId="5EACAC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C0E6F5" w:fill="C0E6F5"/>
            <w:noWrap/>
            <w:vAlign w:val="bottom"/>
            <w:hideMark/>
          </w:tcPr>
          <w:p w14:paraId="215CFB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single" w:sz="4" w:space="0" w:color="44B3E1"/>
              <w:left w:val="nil"/>
              <w:bottom w:val="single" w:sz="4" w:space="0" w:color="44B3E1"/>
              <w:right w:val="nil"/>
            </w:tcBorders>
            <w:shd w:val="clear" w:color="C0E6F5" w:fill="C0E6F5"/>
            <w:noWrap/>
            <w:vAlign w:val="bottom"/>
            <w:hideMark/>
          </w:tcPr>
          <w:p w14:paraId="07271C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C0E6F5" w:fill="C0E6F5"/>
            <w:noWrap/>
            <w:vAlign w:val="bottom"/>
            <w:hideMark/>
          </w:tcPr>
          <w:p w14:paraId="0289D7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C0E6F5" w:fill="C0E6F5"/>
            <w:noWrap/>
            <w:vAlign w:val="bottom"/>
            <w:hideMark/>
          </w:tcPr>
          <w:p w14:paraId="7D266E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C0E6F5" w:fill="C0E6F5"/>
            <w:noWrap/>
            <w:vAlign w:val="bottom"/>
            <w:hideMark/>
          </w:tcPr>
          <w:p w14:paraId="467CA7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single" w:sz="4" w:space="0" w:color="44B3E1"/>
              <w:left w:val="nil"/>
              <w:bottom w:val="single" w:sz="4" w:space="0" w:color="44B3E1"/>
              <w:right w:val="nil"/>
            </w:tcBorders>
            <w:shd w:val="clear" w:color="C0E6F5" w:fill="C0E6F5"/>
            <w:noWrap/>
            <w:vAlign w:val="bottom"/>
            <w:hideMark/>
          </w:tcPr>
          <w:p w14:paraId="372043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C0E6F5" w:fill="FEF3C7"/>
            <w:noWrap/>
            <w:vAlign w:val="bottom"/>
            <w:hideMark/>
          </w:tcPr>
          <w:p w14:paraId="6BD434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single" w:sz="4" w:space="0" w:color="44B3E1"/>
              <w:left w:val="nil"/>
              <w:bottom w:val="single" w:sz="4" w:space="0" w:color="44B3E1"/>
              <w:right w:val="nil"/>
            </w:tcBorders>
            <w:shd w:val="clear" w:color="C0E6F5" w:fill="EDF7D7"/>
            <w:noWrap/>
            <w:vAlign w:val="bottom"/>
            <w:hideMark/>
          </w:tcPr>
          <w:p w14:paraId="46E586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F3C7"/>
            <w:noWrap/>
            <w:vAlign w:val="bottom"/>
            <w:hideMark/>
          </w:tcPr>
          <w:p w14:paraId="6E5610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6C4BB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74522B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F3C7"/>
            <w:noWrap/>
            <w:vAlign w:val="bottom"/>
            <w:hideMark/>
          </w:tcPr>
          <w:p w14:paraId="0F5D8B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2AD43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AD5"/>
            <w:noWrap/>
            <w:vAlign w:val="bottom"/>
            <w:hideMark/>
          </w:tcPr>
          <w:p w14:paraId="1C00792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59357F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745F94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AD5"/>
            <w:noWrap/>
            <w:vAlign w:val="bottom"/>
            <w:hideMark/>
          </w:tcPr>
          <w:p w14:paraId="11C3E7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EDF7D7"/>
            <w:noWrap/>
            <w:vAlign w:val="bottom"/>
            <w:hideMark/>
          </w:tcPr>
          <w:p w14:paraId="23A437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DCFCE7"/>
            <w:noWrap/>
            <w:vAlign w:val="bottom"/>
            <w:hideMark/>
          </w:tcPr>
          <w:p w14:paraId="6E0148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C0E6F5" w:fill="FEF3C7"/>
            <w:noWrap/>
            <w:vAlign w:val="bottom"/>
            <w:hideMark/>
          </w:tcPr>
          <w:p w14:paraId="4238B7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EDF7D7"/>
            <w:noWrap/>
            <w:vAlign w:val="bottom"/>
            <w:hideMark/>
          </w:tcPr>
          <w:p w14:paraId="14ED85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C0E6F5" w:fill="FEE2E2"/>
            <w:noWrap/>
            <w:vAlign w:val="bottom"/>
            <w:hideMark/>
          </w:tcPr>
          <w:p w14:paraId="7726A5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20B6C6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2E2"/>
            <w:noWrap/>
            <w:vAlign w:val="bottom"/>
            <w:hideMark/>
          </w:tcPr>
          <w:p w14:paraId="1ED745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F3C7"/>
            <w:noWrap/>
            <w:vAlign w:val="bottom"/>
            <w:hideMark/>
          </w:tcPr>
          <w:p w14:paraId="43837C8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C0E6F5" w:fill="FEE2E2"/>
            <w:noWrap/>
            <w:vAlign w:val="bottom"/>
            <w:hideMark/>
          </w:tcPr>
          <w:p w14:paraId="264DC8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C0E6F5" w:fill="FEEAD5"/>
            <w:noWrap/>
            <w:vAlign w:val="bottom"/>
            <w:hideMark/>
          </w:tcPr>
          <w:p w14:paraId="111FED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C0E6F5" w:fill="FEE2E2"/>
            <w:noWrap/>
            <w:vAlign w:val="bottom"/>
            <w:hideMark/>
          </w:tcPr>
          <w:p w14:paraId="10F397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single" w:sz="4" w:space="0" w:color="44B3E1"/>
            </w:tcBorders>
            <w:shd w:val="clear" w:color="C0E6F5" w:fill="FEE2E2"/>
            <w:noWrap/>
            <w:vAlign w:val="bottom"/>
            <w:hideMark/>
          </w:tcPr>
          <w:p w14:paraId="6BFBD6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r>
      <w:tr w:rsidR="00B17A2C" w:rsidRPr="00B17A2C" w14:paraId="0840198E" w14:textId="77777777" w:rsidTr="00B17A2C">
        <w:trPr>
          <w:trHeight w:val="715"/>
        </w:trPr>
        <w:tc>
          <w:tcPr>
            <w:tcW w:w="641" w:type="dxa"/>
            <w:tcBorders>
              <w:top w:val="single" w:sz="4" w:space="0" w:color="44B3E1"/>
              <w:left w:val="single" w:sz="4" w:space="0" w:color="44B3E1"/>
              <w:bottom w:val="single" w:sz="4" w:space="0" w:color="44B3E1"/>
              <w:right w:val="nil"/>
            </w:tcBorders>
            <w:shd w:val="clear" w:color="auto" w:fill="auto"/>
            <w:noWrap/>
            <w:vAlign w:val="bottom"/>
            <w:hideMark/>
          </w:tcPr>
          <w:p w14:paraId="421B52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R050</w:t>
            </w:r>
          </w:p>
        </w:tc>
        <w:tc>
          <w:tcPr>
            <w:tcW w:w="501" w:type="dxa"/>
            <w:tcBorders>
              <w:top w:val="single" w:sz="4" w:space="0" w:color="44B3E1"/>
              <w:left w:val="nil"/>
              <w:bottom w:val="single" w:sz="4" w:space="0" w:color="44B3E1"/>
              <w:right w:val="nil"/>
            </w:tcBorders>
            <w:shd w:val="clear" w:color="auto" w:fill="auto"/>
            <w:noWrap/>
            <w:vAlign w:val="bottom"/>
            <w:hideMark/>
          </w:tcPr>
          <w:p w14:paraId="2D3A98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single" w:sz="4" w:space="0" w:color="44B3E1"/>
              <w:left w:val="nil"/>
              <w:bottom w:val="single" w:sz="4" w:space="0" w:color="44B3E1"/>
              <w:right w:val="nil"/>
            </w:tcBorders>
            <w:shd w:val="clear" w:color="auto" w:fill="auto"/>
            <w:noWrap/>
            <w:vAlign w:val="bottom"/>
            <w:hideMark/>
          </w:tcPr>
          <w:p w14:paraId="3BF875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single" w:sz="4" w:space="0" w:color="44B3E1"/>
              <w:left w:val="nil"/>
              <w:bottom w:val="single" w:sz="4" w:space="0" w:color="44B3E1"/>
              <w:right w:val="nil"/>
            </w:tcBorders>
            <w:shd w:val="clear" w:color="auto" w:fill="auto"/>
            <w:noWrap/>
            <w:vAlign w:val="bottom"/>
            <w:hideMark/>
          </w:tcPr>
          <w:p w14:paraId="45BDF9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single" w:sz="4" w:space="0" w:color="44B3E1"/>
              <w:left w:val="nil"/>
              <w:bottom w:val="single" w:sz="4" w:space="0" w:color="44B3E1"/>
              <w:right w:val="nil"/>
            </w:tcBorders>
            <w:shd w:val="clear" w:color="auto" w:fill="auto"/>
            <w:noWrap/>
            <w:vAlign w:val="bottom"/>
            <w:hideMark/>
          </w:tcPr>
          <w:p w14:paraId="24192C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single" w:sz="4" w:space="0" w:color="44B3E1"/>
              <w:left w:val="nil"/>
              <w:bottom w:val="single" w:sz="4" w:space="0" w:color="44B3E1"/>
              <w:right w:val="nil"/>
            </w:tcBorders>
            <w:shd w:val="clear" w:color="auto" w:fill="auto"/>
            <w:noWrap/>
            <w:vAlign w:val="bottom"/>
            <w:hideMark/>
          </w:tcPr>
          <w:p w14:paraId="74C410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single" w:sz="4" w:space="0" w:color="44B3E1"/>
              <w:left w:val="nil"/>
              <w:bottom w:val="single" w:sz="4" w:space="0" w:color="44B3E1"/>
              <w:right w:val="nil"/>
            </w:tcBorders>
            <w:shd w:val="clear" w:color="auto" w:fill="auto"/>
            <w:noWrap/>
            <w:vAlign w:val="bottom"/>
            <w:hideMark/>
          </w:tcPr>
          <w:p w14:paraId="20AEA3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single" w:sz="4" w:space="0" w:color="44B3E1"/>
              <w:left w:val="nil"/>
              <w:bottom w:val="single" w:sz="4" w:space="0" w:color="44B3E1"/>
              <w:right w:val="nil"/>
            </w:tcBorders>
            <w:shd w:val="clear" w:color="auto" w:fill="auto"/>
            <w:noWrap/>
            <w:vAlign w:val="bottom"/>
            <w:hideMark/>
          </w:tcPr>
          <w:p w14:paraId="66C2AA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55263E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single" w:sz="4" w:space="0" w:color="44B3E1"/>
              <w:left w:val="nil"/>
              <w:bottom w:val="single" w:sz="4" w:space="0" w:color="44B3E1"/>
              <w:right w:val="nil"/>
            </w:tcBorders>
            <w:shd w:val="clear" w:color="000000" w:fill="EDF7D7"/>
            <w:noWrap/>
            <w:vAlign w:val="bottom"/>
            <w:hideMark/>
          </w:tcPr>
          <w:p w14:paraId="373283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DCFCE7"/>
            <w:noWrap/>
            <w:vAlign w:val="bottom"/>
            <w:hideMark/>
          </w:tcPr>
          <w:p w14:paraId="27F21E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DCFCE7"/>
            <w:noWrap/>
            <w:vAlign w:val="bottom"/>
            <w:hideMark/>
          </w:tcPr>
          <w:p w14:paraId="0E9547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single" w:sz="4" w:space="0" w:color="44B3E1"/>
              <w:left w:val="nil"/>
              <w:bottom w:val="single" w:sz="4" w:space="0" w:color="44B3E1"/>
              <w:right w:val="nil"/>
            </w:tcBorders>
            <w:shd w:val="clear" w:color="000000" w:fill="FEF3C7"/>
            <w:noWrap/>
            <w:vAlign w:val="bottom"/>
            <w:hideMark/>
          </w:tcPr>
          <w:p w14:paraId="0FD601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200FB5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15C2C4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6C04AA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0A0B6C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F3C7"/>
            <w:noWrap/>
            <w:vAlign w:val="bottom"/>
            <w:hideMark/>
          </w:tcPr>
          <w:p w14:paraId="735B72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1644CF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AD5"/>
            <w:noWrap/>
            <w:vAlign w:val="bottom"/>
            <w:hideMark/>
          </w:tcPr>
          <w:p w14:paraId="68D844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4BCF74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70A2AF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EDF7D7"/>
            <w:noWrap/>
            <w:vAlign w:val="bottom"/>
            <w:hideMark/>
          </w:tcPr>
          <w:p w14:paraId="2C2500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EAD5"/>
            <w:noWrap/>
            <w:vAlign w:val="bottom"/>
            <w:hideMark/>
          </w:tcPr>
          <w:p w14:paraId="229C3E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EDF7D7"/>
            <w:noWrap/>
            <w:vAlign w:val="bottom"/>
            <w:hideMark/>
          </w:tcPr>
          <w:p w14:paraId="5F29688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single" w:sz="4" w:space="0" w:color="44B3E1"/>
              <w:left w:val="nil"/>
              <w:bottom w:val="single" w:sz="4" w:space="0" w:color="44B3E1"/>
              <w:right w:val="nil"/>
            </w:tcBorders>
            <w:shd w:val="clear" w:color="000000" w:fill="FEF3C7"/>
            <w:noWrap/>
            <w:vAlign w:val="bottom"/>
            <w:hideMark/>
          </w:tcPr>
          <w:p w14:paraId="529C87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F3C7"/>
            <w:noWrap/>
            <w:vAlign w:val="bottom"/>
            <w:hideMark/>
          </w:tcPr>
          <w:p w14:paraId="59FE35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single" w:sz="4" w:space="0" w:color="44B3E1"/>
              <w:left w:val="nil"/>
              <w:bottom w:val="single" w:sz="4" w:space="0" w:color="44B3E1"/>
              <w:right w:val="nil"/>
            </w:tcBorders>
            <w:shd w:val="clear" w:color="000000" w:fill="FEEAD5"/>
            <w:noWrap/>
            <w:vAlign w:val="bottom"/>
            <w:hideMark/>
          </w:tcPr>
          <w:p w14:paraId="085E6F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nil"/>
            </w:tcBorders>
            <w:shd w:val="clear" w:color="000000" w:fill="FEE2E2"/>
            <w:noWrap/>
            <w:vAlign w:val="bottom"/>
            <w:hideMark/>
          </w:tcPr>
          <w:p w14:paraId="29EF89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single" w:sz="4" w:space="0" w:color="44B3E1"/>
              <w:left w:val="nil"/>
              <w:bottom w:val="single" w:sz="4" w:space="0" w:color="44B3E1"/>
              <w:right w:val="nil"/>
            </w:tcBorders>
            <w:shd w:val="clear" w:color="000000" w:fill="FEEAD5"/>
            <w:noWrap/>
            <w:vAlign w:val="bottom"/>
            <w:hideMark/>
          </w:tcPr>
          <w:p w14:paraId="656BA6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single" w:sz="4" w:space="0" w:color="44B3E1"/>
              <w:left w:val="nil"/>
              <w:bottom w:val="single" w:sz="4" w:space="0" w:color="44B3E1"/>
              <w:right w:val="single" w:sz="4" w:space="0" w:color="44B3E1"/>
            </w:tcBorders>
            <w:shd w:val="clear" w:color="000000" w:fill="FEF3C7"/>
            <w:noWrap/>
            <w:vAlign w:val="bottom"/>
            <w:hideMark/>
          </w:tcPr>
          <w:p w14:paraId="6DD7BB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27410334" w14:textId="77777777" w:rsidTr="00B17A2C">
        <w:trPr>
          <w:trHeight w:val="400"/>
        </w:trPr>
        <w:tc>
          <w:tcPr>
            <w:tcW w:w="641" w:type="dxa"/>
            <w:tcBorders>
              <w:top w:val="nil"/>
              <w:left w:val="nil"/>
              <w:bottom w:val="nil"/>
              <w:right w:val="nil"/>
            </w:tcBorders>
            <w:shd w:val="clear" w:color="000000" w:fill="CFEAF6"/>
            <w:noWrap/>
            <w:vAlign w:val="bottom"/>
            <w:hideMark/>
          </w:tcPr>
          <w:p w14:paraId="1E2115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R051</w:t>
            </w:r>
          </w:p>
        </w:tc>
        <w:tc>
          <w:tcPr>
            <w:tcW w:w="501" w:type="dxa"/>
            <w:tcBorders>
              <w:top w:val="nil"/>
              <w:left w:val="nil"/>
              <w:bottom w:val="nil"/>
              <w:right w:val="nil"/>
            </w:tcBorders>
            <w:shd w:val="clear" w:color="000000" w:fill="CFEAF6"/>
            <w:noWrap/>
            <w:vAlign w:val="bottom"/>
            <w:hideMark/>
          </w:tcPr>
          <w:p w14:paraId="76357E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7D4A19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CFEAF6"/>
            <w:noWrap/>
            <w:vAlign w:val="bottom"/>
            <w:hideMark/>
          </w:tcPr>
          <w:p w14:paraId="1ED459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5384F0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2E16A3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nil"/>
              <w:left w:val="nil"/>
              <w:bottom w:val="nil"/>
              <w:right w:val="nil"/>
            </w:tcBorders>
            <w:shd w:val="clear" w:color="000000" w:fill="CFEAF6"/>
            <w:noWrap/>
            <w:vAlign w:val="bottom"/>
            <w:hideMark/>
          </w:tcPr>
          <w:p w14:paraId="35805E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18B2851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FEF3C7"/>
            <w:noWrap/>
            <w:vAlign w:val="bottom"/>
            <w:hideMark/>
          </w:tcPr>
          <w:p w14:paraId="13A783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FEF3C7"/>
            <w:noWrap/>
            <w:vAlign w:val="bottom"/>
            <w:hideMark/>
          </w:tcPr>
          <w:p w14:paraId="1C59FF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3BA22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56D981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15B7A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D85F2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76BA3C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1ADA4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5D7D46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2A027F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3CDFB0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C9601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51B6F8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374B7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FBA3F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0729C4A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686A68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EDF8D7"/>
            <w:noWrap/>
            <w:vAlign w:val="bottom"/>
            <w:hideMark/>
          </w:tcPr>
          <w:p w14:paraId="5526A0B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45EFD5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1CCC84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6CF963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3661D2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1C395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409D0A55" w14:textId="77777777" w:rsidTr="00B17A2C">
        <w:trPr>
          <w:trHeight w:val="400"/>
        </w:trPr>
        <w:tc>
          <w:tcPr>
            <w:tcW w:w="641" w:type="dxa"/>
            <w:tcBorders>
              <w:top w:val="nil"/>
              <w:left w:val="nil"/>
              <w:bottom w:val="nil"/>
              <w:right w:val="nil"/>
            </w:tcBorders>
            <w:shd w:val="clear" w:color="000000" w:fill="FFFFFF"/>
            <w:noWrap/>
            <w:vAlign w:val="bottom"/>
            <w:hideMark/>
          </w:tcPr>
          <w:p w14:paraId="0424A4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R052</w:t>
            </w:r>
          </w:p>
        </w:tc>
        <w:tc>
          <w:tcPr>
            <w:tcW w:w="501" w:type="dxa"/>
            <w:tcBorders>
              <w:top w:val="nil"/>
              <w:left w:val="nil"/>
              <w:bottom w:val="nil"/>
              <w:right w:val="nil"/>
            </w:tcBorders>
            <w:shd w:val="clear" w:color="000000" w:fill="FFFFFF"/>
            <w:noWrap/>
            <w:vAlign w:val="bottom"/>
            <w:hideMark/>
          </w:tcPr>
          <w:p w14:paraId="0CCD6E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40129B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FFFFFF"/>
            <w:noWrap/>
            <w:vAlign w:val="bottom"/>
            <w:hideMark/>
          </w:tcPr>
          <w:p w14:paraId="24DF7F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FFFFFF"/>
            <w:noWrap/>
            <w:vAlign w:val="bottom"/>
            <w:hideMark/>
          </w:tcPr>
          <w:p w14:paraId="2D36B1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FFFFFF"/>
            <w:noWrap/>
            <w:vAlign w:val="bottom"/>
            <w:hideMark/>
          </w:tcPr>
          <w:p w14:paraId="264C95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63211D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08863C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20C923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5F5C04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827B5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67050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2DD335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AB605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540DE8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3497B8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3B94F24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5C2087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66F2B3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2E2"/>
            <w:noWrap/>
            <w:vAlign w:val="bottom"/>
            <w:hideMark/>
          </w:tcPr>
          <w:p w14:paraId="07CB77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BD5"/>
            <w:noWrap/>
            <w:vAlign w:val="bottom"/>
            <w:hideMark/>
          </w:tcPr>
          <w:p w14:paraId="23AD8C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53E7C9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7E2B33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5A6F58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C90D7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5BA7B3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4B91740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261D10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412B8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D3E62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D5F00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71AC2F5" w14:textId="77777777" w:rsidTr="00B17A2C">
        <w:trPr>
          <w:trHeight w:val="400"/>
        </w:trPr>
        <w:tc>
          <w:tcPr>
            <w:tcW w:w="641" w:type="dxa"/>
            <w:tcBorders>
              <w:top w:val="nil"/>
              <w:left w:val="nil"/>
              <w:bottom w:val="nil"/>
              <w:right w:val="nil"/>
            </w:tcBorders>
            <w:shd w:val="clear" w:color="000000" w:fill="CFEAF6"/>
            <w:noWrap/>
            <w:vAlign w:val="bottom"/>
            <w:hideMark/>
          </w:tcPr>
          <w:p w14:paraId="63A23B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R053</w:t>
            </w:r>
          </w:p>
        </w:tc>
        <w:tc>
          <w:tcPr>
            <w:tcW w:w="501" w:type="dxa"/>
            <w:tcBorders>
              <w:top w:val="nil"/>
              <w:left w:val="nil"/>
              <w:bottom w:val="nil"/>
              <w:right w:val="nil"/>
            </w:tcBorders>
            <w:shd w:val="clear" w:color="000000" w:fill="CFEAF6"/>
            <w:noWrap/>
            <w:vAlign w:val="bottom"/>
            <w:hideMark/>
          </w:tcPr>
          <w:p w14:paraId="61C2B8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062829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CFEAF6"/>
            <w:noWrap/>
            <w:vAlign w:val="bottom"/>
            <w:hideMark/>
          </w:tcPr>
          <w:p w14:paraId="4DDA1D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43B190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0E09F4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CFEAF6"/>
            <w:noWrap/>
            <w:vAlign w:val="bottom"/>
            <w:hideMark/>
          </w:tcPr>
          <w:p w14:paraId="2EF017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4BB53A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DCFCE7"/>
            <w:noWrap/>
            <w:vAlign w:val="bottom"/>
            <w:hideMark/>
          </w:tcPr>
          <w:p w14:paraId="028069A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1362D5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51AE56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8396F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E6802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374506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6E1F01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68D65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97A24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DDFCA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5D6DAB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535D0B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3389AF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44111F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FFC8F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720A1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39EB6F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182F55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ADD4B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469BC2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60840E1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451C70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F10EB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0BE0527B" w14:textId="77777777" w:rsidTr="00B17A2C">
        <w:trPr>
          <w:trHeight w:val="400"/>
        </w:trPr>
        <w:tc>
          <w:tcPr>
            <w:tcW w:w="641" w:type="dxa"/>
            <w:tcBorders>
              <w:top w:val="nil"/>
              <w:left w:val="nil"/>
              <w:bottom w:val="nil"/>
              <w:right w:val="nil"/>
            </w:tcBorders>
            <w:shd w:val="clear" w:color="000000" w:fill="FFFFFF"/>
            <w:noWrap/>
            <w:vAlign w:val="bottom"/>
            <w:hideMark/>
          </w:tcPr>
          <w:p w14:paraId="58B638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R054</w:t>
            </w:r>
          </w:p>
        </w:tc>
        <w:tc>
          <w:tcPr>
            <w:tcW w:w="501" w:type="dxa"/>
            <w:tcBorders>
              <w:top w:val="nil"/>
              <w:left w:val="nil"/>
              <w:bottom w:val="nil"/>
              <w:right w:val="nil"/>
            </w:tcBorders>
            <w:shd w:val="clear" w:color="000000" w:fill="FFFFFF"/>
            <w:noWrap/>
            <w:vAlign w:val="bottom"/>
            <w:hideMark/>
          </w:tcPr>
          <w:p w14:paraId="619E83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192AE5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1DC116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139BE1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FFFFFF"/>
            <w:noWrap/>
            <w:vAlign w:val="bottom"/>
            <w:hideMark/>
          </w:tcPr>
          <w:p w14:paraId="5E2A5D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FFFFFF"/>
            <w:noWrap/>
            <w:vAlign w:val="bottom"/>
            <w:hideMark/>
          </w:tcPr>
          <w:p w14:paraId="1A5038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12872A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DCFCE7"/>
            <w:noWrap/>
            <w:vAlign w:val="bottom"/>
            <w:hideMark/>
          </w:tcPr>
          <w:p w14:paraId="667748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DCFCE7"/>
            <w:noWrap/>
            <w:vAlign w:val="bottom"/>
            <w:hideMark/>
          </w:tcPr>
          <w:p w14:paraId="091C66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21A7F5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38766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2E2"/>
            <w:noWrap/>
            <w:vAlign w:val="bottom"/>
            <w:hideMark/>
          </w:tcPr>
          <w:p w14:paraId="3C731E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EDF8D7"/>
            <w:noWrap/>
            <w:vAlign w:val="bottom"/>
            <w:hideMark/>
          </w:tcPr>
          <w:p w14:paraId="275C65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1EADC6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0B9953F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4360DF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78C3305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321A7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D1D57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19AADC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4AD3FE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1E2C8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342D02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3DBD58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240B39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DBBE66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C834C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40747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4641BB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2BD1B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5150192C" w14:textId="77777777" w:rsidTr="00B17A2C">
        <w:trPr>
          <w:trHeight w:val="400"/>
        </w:trPr>
        <w:tc>
          <w:tcPr>
            <w:tcW w:w="641" w:type="dxa"/>
            <w:tcBorders>
              <w:top w:val="nil"/>
              <w:left w:val="nil"/>
              <w:bottom w:val="nil"/>
              <w:right w:val="nil"/>
            </w:tcBorders>
            <w:shd w:val="clear" w:color="000000" w:fill="CFEAF6"/>
            <w:noWrap/>
            <w:vAlign w:val="bottom"/>
            <w:hideMark/>
          </w:tcPr>
          <w:p w14:paraId="37C8E5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R055</w:t>
            </w:r>
          </w:p>
        </w:tc>
        <w:tc>
          <w:tcPr>
            <w:tcW w:w="501" w:type="dxa"/>
            <w:tcBorders>
              <w:top w:val="nil"/>
              <w:left w:val="nil"/>
              <w:bottom w:val="nil"/>
              <w:right w:val="nil"/>
            </w:tcBorders>
            <w:shd w:val="clear" w:color="000000" w:fill="CFEAF6"/>
            <w:noWrap/>
            <w:vAlign w:val="bottom"/>
            <w:hideMark/>
          </w:tcPr>
          <w:p w14:paraId="31131E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457F9A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4B445D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CFEAF6"/>
            <w:noWrap/>
            <w:vAlign w:val="bottom"/>
            <w:hideMark/>
          </w:tcPr>
          <w:p w14:paraId="18D50C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CFEAF6"/>
            <w:noWrap/>
            <w:vAlign w:val="bottom"/>
            <w:hideMark/>
          </w:tcPr>
          <w:p w14:paraId="4050EA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nil"/>
              <w:left w:val="nil"/>
              <w:bottom w:val="nil"/>
              <w:right w:val="nil"/>
            </w:tcBorders>
            <w:shd w:val="clear" w:color="000000" w:fill="CFEAF6"/>
            <w:noWrap/>
            <w:vAlign w:val="bottom"/>
            <w:hideMark/>
          </w:tcPr>
          <w:p w14:paraId="7B401A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6539BB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EDF8D7"/>
            <w:noWrap/>
            <w:vAlign w:val="bottom"/>
            <w:hideMark/>
          </w:tcPr>
          <w:p w14:paraId="72E532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5DD62D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C94D8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755518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5C9DE3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3022F7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48862A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5E28D0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2E2"/>
            <w:noWrap/>
            <w:vAlign w:val="bottom"/>
            <w:hideMark/>
          </w:tcPr>
          <w:p w14:paraId="5EDAB1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EDF8D7"/>
            <w:noWrap/>
            <w:vAlign w:val="bottom"/>
            <w:hideMark/>
          </w:tcPr>
          <w:p w14:paraId="06DB32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22364A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7D272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7F925E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2D527B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5056FA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33E2D5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20230B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B8755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1E77C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78AD3B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8D4EB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B5686B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117BB15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66958BD9" w14:textId="77777777" w:rsidTr="00B17A2C">
        <w:trPr>
          <w:trHeight w:val="400"/>
        </w:trPr>
        <w:tc>
          <w:tcPr>
            <w:tcW w:w="641" w:type="dxa"/>
            <w:tcBorders>
              <w:top w:val="nil"/>
              <w:left w:val="nil"/>
              <w:bottom w:val="nil"/>
              <w:right w:val="nil"/>
            </w:tcBorders>
            <w:shd w:val="clear" w:color="000000" w:fill="FFFFFF"/>
            <w:noWrap/>
            <w:vAlign w:val="bottom"/>
            <w:hideMark/>
          </w:tcPr>
          <w:p w14:paraId="08E285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R056</w:t>
            </w:r>
          </w:p>
        </w:tc>
        <w:tc>
          <w:tcPr>
            <w:tcW w:w="501" w:type="dxa"/>
            <w:tcBorders>
              <w:top w:val="nil"/>
              <w:left w:val="nil"/>
              <w:bottom w:val="nil"/>
              <w:right w:val="nil"/>
            </w:tcBorders>
            <w:shd w:val="clear" w:color="000000" w:fill="FFFFFF"/>
            <w:noWrap/>
            <w:vAlign w:val="bottom"/>
            <w:hideMark/>
          </w:tcPr>
          <w:p w14:paraId="752480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146D53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FFFFFF"/>
            <w:noWrap/>
            <w:vAlign w:val="bottom"/>
            <w:hideMark/>
          </w:tcPr>
          <w:p w14:paraId="412DC2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FFFFFF"/>
            <w:noWrap/>
            <w:vAlign w:val="bottom"/>
            <w:hideMark/>
          </w:tcPr>
          <w:p w14:paraId="137909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FFFFFF"/>
            <w:noWrap/>
            <w:vAlign w:val="bottom"/>
            <w:hideMark/>
          </w:tcPr>
          <w:p w14:paraId="257596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2B2B00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2BB832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nil"/>
              <w:left w:val="nil"/>
              <w:bottom w:val="nil"/>
              <w:right w:val="nil"/>
            </w:tcBorders>
            <w:shd w:val="clear" w:color="000000" w:fill="DCFCE7"/>
            <w:noWrap/>
            <w:vAlign w:val="bottom"/>
            <w:hideMark/>
          </w:tcPr>
          <w:p w14:paraId="54860E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DCFCE7"/>
            <w:noWrap/>
            <w:vAlign w:val="bottom"/>
            <w:hideMark/>
          </w:tcPr>
          <w:p w14:paraId="35F1C4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171E9F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0CCACB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AEA7D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0EF72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D0794E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16E923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901434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107EA8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604A9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BE167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7139DA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53795B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71C288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F0070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EDCCA4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7484A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B62BC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5F004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3EB06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2A63BF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FA421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0E7ED52E" w14:textId="77777777" w:rsidTr="00B17A2C">
        <w:trPr>
          <w:trHeight w:val="400"/>
        </w:trPr>
        <w:tc>
          <w:tcPr>
            <w:tcW w:w="641" w:type="dxa"/>
            <w:tcBorders>
              <w:top w:val="nil"/>
              <w:left w:val="nil"/>
              <w:bottom w:val="nil"/>
              <w:right w:val="nil"/>
            </w:tcBorders>
            <w:shd w:val="clear" w:color="000000" w:fill="CFEAF6"/>
            <w:noWrap/>
            <w:vAlign w:val="bottom"/>
            <w:hideMark/>
          </w:tcPr>
          <w:p w14:paraId="1222FB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R057</w:t>
            </w:r>
          </w:p>
        </w:tc>
        <w:tc>
          <w:tcPr>
            <w:tcW w:w="501" w:type="dxa"/>
            <w:tcBorders>
              <w:top w:val="nil"/>
              <w:left w:val="nil"/>
              <w:bottom w:val="nil"/>
              <w:right w:val="nil"/>
            </w:tcBorders>
            <w:shd w:val="clear" w:color="000000" w:fill="CFEAF6"/>
            <w:noWrap/>
            <w:vAlign w:val="bottom"/>
            <w:hideMark/>
          </w:tcPr>
          <w:p w14:paraId="631CAD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5E3609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5A0B411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CFEAF6"/>
            <w:noWrap/>
            <w:vAlign w:val="bottom"/>
            <w:hideMark/>
          </w:tcPr>
          <w:p w14:paraId="7CCBFF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CFEAF6"/>
            <w:noWrap/>
            <w:vAlign w:val="bottom"/>
            <w:hideMark/>
          </w:tcPr>
          <w:p w14:paraId="391E07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501EAB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43B861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1381308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5E2ED0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44F73B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5BB575E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5B7A0B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740A62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D73D2C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F6AED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4391C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4DFC36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5FB1B8D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BD5"/>
            <w:noWrap/>
            <w:vAlign w:val="bottom"/>
            <w:hideMark/>
          </w:tcPr>
          <w:p w14:paraId="400C9AB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3E9963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1D82AF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3991B7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26266E3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2B6001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BD5"/>
            <w:noWrap/>
            <w:vAlign w:val="bottom"/>
            <w:hideMark/>
          </w:tcPr>
          <w:p w14:paraId="1D371D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667810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71F45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5B2FD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EAD75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F8578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F7D154C" w14:textId="77777777" w:rsidTr="00B17A2C">
        <w:trPr>
          <w:trHeight w:val="400"/>
        </w:trPr>
        <w:tc>
          <w:tcPr>
            <w:tcW w:w="641" w:type="dxa"/>
            <w:tcBorders>
              <w:top w:val="nil"/>
              <w:left w:val="nil"/>
              <w:bottom w:val="nil"/>
              <w:right w:val="nil"/>
            </w:tcBorders>
            <w:shd w:val="clear" w:color="000000" w:fill="FFFFFF"/>
            <w:noWrap/>
            <w:vAlign w:val="bottom"/>
            <w:hideMark/>
          </w:tcPr>
          <w:p w14:paraId="32C50E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R058</w:t>
            </w:r>
          </w:p>
        </w:tc>
        <w:tc>
          <w:tcPr>
            <w:tcW w:w="501" w:type="dxa"/>
            <w:tcBorders>
              <w:top w:val="nil"/>
              <w:left w:val="nil"/>
              <w:bottom w:val="nil"/>
              <w:right w:val="nil"/>
            </w:tcBorders>
            <w:shd w:val="clear" w:color="000000" w:fill="FFFFFF"/>
            <w:noWrap/>
            <w:vAlign w:val="bottom"/>
            <w:hideMark/>
          </w:tcPr>
          <w:p w14:paraId="4CD172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1A355A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0BD183B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FFFFFF"/>
            <w:noWrap/>
            <w:vAlign w:val="bottom"/>
            <w:hideMark/>
          </w:tcPr>
          <w:p w14:paraId="7FB781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817" w:type="dxa"/>
            <w:tcBorders>
              <w:top w:val="nil"/>
              <w:left w:val="nil"/>
              <w:bottom w:val="nil"/>
              <w:right w:val="nil"/>
            </w:tcBorders>
            <w:shd w:val="clear" w:color="000000" w:fill="FFFFFF"/>
            <w:noWrap/>
            <w:vAlign w:val="bottom"/>
            <w:hideMark/>
          </w:tcPr>
          <w:p w14:paraId="3DFAE8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524" w:type="dxa"/>
            <w:tcBorders>
              <w:top w:val="nil"/>
              <w:left w:val="nil"/>
              <w:bottom w:val="nil"/>
              <w:right w:val="nil"/>
            </w:tcBorders>
            <w:shd w:val="clear" w:color="000000" w:fill="FFFFFF"/>
            <w:noWrap/>
            <w:vAlign w:val="bottom"/>
            <w:hideMark/>
          </w:tcPr>
          <w:p w14:paraId="5DB9CA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FFFFFF"/>
            <w:noWrap/>
            <w:vAlign w:val="bottom"/>
            <w:hideMark/>
          </w:tcPr>
          <w:p w14:paraId="3B942B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FEF3C7"/>
            <w:noWrap/>
            <w:vAlign w:val="bottom"/>
            <w:hideMark/>
          </w:tcPr>
          <w:p w14:paraId="3E4805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DCFCE7"/>
            <w:noWrap/>
            <w:vAlign w:val="bottom"/>
            <w:hideMark/>
          </w:tcPr>
          <w:p w14:paraId="6C070D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5A7AFA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D0A945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9E91B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0EC7640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25645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2C665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02ED5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FBCB3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542A1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83644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4F983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3282D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76B4C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1A62FA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24259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67AF9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6CD93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27A801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73461D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3E277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2075C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661E504" w14:textId="77777777" w:rsidTr="00B17A2C">
        <w:trPr>
          <w:trHeight w:val="400"/>
        </w:trPr>
        <w:tc>
          <w:tcPr>
            <w:tcW w:w="641" w:type="dxa"/>
            <w:tcBorders>
              <w:top w:val="nil"/>
              <w:left w:val="nil"/>
              <w:bottom w:val="nil"/>
              <w:right w:val="nil"/>
            </w:tcBorders>
            <w:shd w:val="clear" w:color="000000" w:fill="CFEAF6"/>
            <w:noWrap/>
            <w:vAlign w:val="bottom"/>
            <w:hideMark/>
          </w:tcPr>
          <w:p w14:paraId="2CA6FA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R059</w:t>
            </w:r>
          </w:p>
        </w:tc>
        <w:tc>
          <w:tcPr>
            <w:tcW w:w="501" w:type="dxa"/>
            <w:tcBorders>
              <w:top w:val="nil"/>
              <w:left w:val="nil"/>
              <w:bottom w:val="nil"/>
              <w:right w:val="nil"/>
            </w:tcBorders>
            <w:shd w:val="clear" w:color="000000" w:fill="CFEAF6"/>
            <w:noWrap/>
            <w:vAlign w:val="bottom"/>
            <w:hideMark/>
          </w:tcPr>
          <w:p w14:paraId="1CE999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48BF1B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CFEAF6"/>
            <w:noWrap/>
            <w:vAlign w:val="bottom"/>
            <w:hideMark/>
          </w:tcPr>
          <w:p w14:paraId="668934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CFEAF6"/>
            <w:noWrap/>
            <w:vAlign w:val="bottom"/>
            <w:hideMark/>
          </w:tcPr>
          <w:p w14:paraId="38B0B0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6D72E4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6BB7A7D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7FAE54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nil"/>
              <w:left w:val="nil"/>
              <w:bottom w:val="nil"/>
              <w:right w:val="nil"/>
            </w:tcBorders>
            <w:shd w:val="clear" w:color="000000" w:fill="DCFCE7"/>
            <w:noWrap/>
            <w:vAlign w:val="bottom"/>
            <w:hideMark/>
          </w:tcPr>
          <w:p w14:paraId="5DE696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DCFCE7"/>
            <w:noWrap/>
            <w:vAlign w:val="bottom"/>
            <w:hideMark/>
          </w:tcPr>
          <w:p w14:paraId="721D01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DCDEB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3FBE39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7FACA6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1D8E32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32D06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151A6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46EC1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805A6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4BC9E0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1AA7BA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FA359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28B1D1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8D113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7E7D6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342645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3B3265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177DD7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1B9450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B9A86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237C4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079A95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6730339C" w14:textId="77777777" w:rsidTr="00B17A2C">
        <w:trPr>
          <w:trHeight w:val="400"/>
        </w:trPr>
        <w:tc>
          <w:tcPr>
            <w:tcW w:w="641" w:type="dxa"/>
            <w:tcBorders>
              <w:top w:val="nil"/>
              <w:left w:val="nil"/>
              <w:bottom w:val="nil"/>
              <w:right w:val="nil"/>
            </w:tcBorders>
            <w:shd w:val="clear" w:color="000000" w:fill="FFFFFF"/>
            <w:noWrap/>
            <w:vAlign w:val="bottom"/>
            <w:hideMark/>
          </w:tcPr>
          <w:p w14:paraId="349BB1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R060</w:t>
            </w:r>
          </w:p>
        </w:tc>
        <w:tc>
          <w:tcPr>
            <w:tcW w:w="501" w:type="dxa"/>
            <w:tcBorders>
              <w:top w:val="nil"/>
              <w:left w:val="nil"/>
              <w:bottom w:val="nil"/>
              <w:right w:val="nil"/>
            </w:tcBorders>
            <w:shd w:val="clear" w:color="000000" w:fill="FFFFFF"/>
            <w:noWrap/>
            <w:vAlign w:val="bottom"/>
            <w:hideMark/>
          </w:tcPr>
          <w:p w14:paraId="53FD2B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3284F5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31BF1D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0BD633F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FFFFFF"/>
            <w:noWrap/>
            <w:vAlign w:val="bottom"/>
            <w:hideMark/>
          </w:tcPr>
          <w:p w14:paraId="3394EA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72FC5F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56DDB5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44" w:type="dxa"/>
            <w:tcBorders>
              <w:top w:val="nil"/>
              <w:left w:val="nil"/>
              <w:bottom w:val="nil"/>
              <w:right w:val="nil"/>
            </w:tcBorders>
            <w:shd w:val="clear" w:color="000000" w:fill="DCFCE7"/>
            <w:noWrap/>
            <w:vAlign w:val="bottom"/>
            <w:hideMark/>
          </w:tcPr>
          <w:p w14:paraId="12940D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FEEBD5"/>
            <w:noWrap/>
            <w:vAlign w:val="bottom"/>
            <w:hideMark/>
          </w:tcPr>
          <w:p w14:paraId="54D5EE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DCFCE7"/>
            <w:noWrap/>
            <w:vAlign w:val="bottom"/>
            <w:hideMark/>
          </w:tcPr>
          <w:p w14:paraId="2E2284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D455F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69616F1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9F041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1077A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470590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3B865E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2CE1CE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DCB09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2140D2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4EDB3F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4C2498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32E8C8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76CBAF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14D62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0CF9B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179ECB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41EA96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F9F6F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28283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63F272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r>
      <w:tr w:rsidR="00B17A2C" w:rsidRPr="00B17A2C" w14:paraId="79D25CCB" w14:textId="77777777" w:rsidTr="00B17A2C">
        <w:trPr>
          <w:trHeight w:val="400"/>
        </w:trPr>
        <w:tc>
          <w:tcPr>
            <w:tcW w:w="641" w:type="dxa"/>
            <w:tcBorders>
              <w:top w:val="nil"/>
              <w:left w:val="nil"/>
              <w:bottom w:val="nil"/>
              <w:right w:val="nil"/>
            </w:tcBorders>
            <w:shd w:val="clear" w:color="000000" w:fill="CFEAF6"/>
            <w:noWrap/>
            <w:vAlign w:val="bottom"/>
            <w:hideMark/>
          </w:tcPr>
          <w:p w14:paraId="3F38D1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R061</w:t>
            </w:r>
          </w:p>
        </w:tc>
        <w:tc>
          <w:tcPr>
            <w:tcW w:w="501" w:type="dxa"/>
            <w:tcBorders>
              <w:top w:val="nil"/>
              <w:left w:val="nil"/>
              <w:bottom w:val="nil"/>
              <w:right w:val="nil"/>
            </w:tcBorders>
            <w:shd w:val="clear" w:color="000000" w:fill="CFEAF6"/>
            <w:noWrap/>
            <w:vAlign w:val="bottom"/>
            <w:hideMark/>
          </w:tcPr>
          <w:p w14:paraId="01B7957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7AEED3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372535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29743C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nil"/>
              <w:left w:val="nil"/>
              <w:bottom w:val="nil"/>
              <w:right w:val="nil"/>
            </w:tcBorders>
            <w:shd w:val="clear" w:color="000000" w:fill="CFEAF6"/>
            <w:noWrap/>
            <w:vAlign w:val="bottom"/>
            <w:hideMark/>
          </w:tcPr>
          <w:p w14:paraId="6B2FE13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26DFBA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CFEAF6"/>
            <w:noWrap/>
            <w:vAlign w:val="bottom"/>
            <w:hideMark/>
          </w:tcPr>
          <w:p w14:paraId="70007B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DCFCE7"/>
            <w:noWrap/>
            <w:vAlign w:val="bottom"/>
            <w:hideMark/>
          </w:tcPr>
          <w:p w14:paraId="5D90F61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1D3E96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51B7A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A2BDF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02A1D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7AC21A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38306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4992E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138B6E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6729346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32CC59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64A5217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E00C06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DE2B6F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D910E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30F45A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29372FE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53584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3138D0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6B9975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94611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101D06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448D3F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74BBF71" w14:textId="77777777" w:rsidTr="00B17A2C">
        <w:trPr>
          <w:trHeight w:val="400"/>
        </w:trPr>
        <w:tc>
          <w:tcPr>
            <w:tcW w:w="641" w:type="dxa"/>
            <w:tcBorders>
              <w:top w:val="nil"/>
              <w:left w:val="nil"/>
              <w:bottom w:val="nil"/>
              <w:right w:val="nil"/>
            </w:tcBorders>
            <w:shd w:val="clear" w:color="000000" w:fill="FFFFFF"/>
            <w:noWrap/>
            <w:vAlign w:val="bottom"/>
            <w:hideMark/>
          </w:tcPr>
          <w:p w14:paraId="163EC7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R062</w:t>
            </w:r>
          </w:p>
        </w:tc>
        <w:tc>
          <w:tcPr>
            <w:tcW w:w="501" w:type="dxa"/>
            <w:tcBorders>
              <w:top w:val="nil"/>
              <w:left w:val="nil"/>
              <w:bottom w:val="nil"/>
              <w:right w:val="nil"/>
            </w:tcBorders>
            <w:shd w:val="clear" w:color="000000" w:fill="FFFFFF"/>
            <w:noWrap/>
            <w:vAlign w:val="bottom"/>
            <w:hideMark/>
          </w:tcPr>
          <w:p w14:paraId="017CB3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27F4356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5EB069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30BA56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FFFFFF"/>
            <w:noWrap/>
            <w:vAlign w:val="bottom"/>
            <w:hideMark/>
          </w:tcPr>
          <w:p w14:paraId="778F6E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FFFFFF"/>
            <w:noWrap/>
            <w:vAlign w:val="bottom"/>
            <w:hideMark/>
          </w:tcPr>
          <w:p w14:paraId="549C3E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FFFFFF"/>
            <w:noWrap/>
            <w:vAlign w:val="bottom"/>
            <w:hideMark/>
          </w:tcPr>
          <w:p w14:paraId="091642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3602742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FEF3C7"/>
            <w:noWrap/>
            <w:vAlign w:val="bottom"/>
            <w:hideMark/>
          </w:tcPr>
          <w:p w14:paraId="172EF0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ED9EE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099023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9A7224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BDBE2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D8587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66A855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2EBD7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CAB4A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25A64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0D7A29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6B85655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78D25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7CE955E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1E912C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425B690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47D9A4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375D8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5B0C6A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064F31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72CBA5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9F5D7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26503875" w14:textId="77777777" w:rsidTr="00B17A2C">
        <w:trPr>
          <w:trHeight w:val="400"/>
        </w:trPr>
        <w:tc>
          <w:tcPr>
            <w:tcW w:w="641" w:type="dxa"/>
            <w:tcBorders>
              <w:top w:val="nil"/>
              <w:left w:val="nil"/>
              <w:bottom w:val="nil"/>
              <w:right w:val="nil"/>
            </w:tcBorders>
            <w:shd w:val="clear" w:color="000000" w:fill="CFEAF6"/>
            <w:noWrap/>
            <w:vAlign w:val="bottom"/>
            <w:hideMark/>
          </w:tcPr>
          <w:p w14:paraId="5FFC4E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R063</w:t>
            </w:r>
          </w:p>
        </w:tc>
        <w:tc>
          <w:tcPr>
            <w:tcW w:w="501" w:type="dxa"/>
            <w:tcBorders>
              <w:top w:val="nil"/>
              <w:left w:val="nil"/>
              <w:bottom w:val="nil"/>
              <w:right w:val="nil"/>
            </w:tcBorders>
            <w:shd w:val="clear" w:color="000000" w:fill="CFEAF6"/>
            <w:noWrap/>
            <w:vAlign w:val="bottom"/>
            <w:hideMark/>
          </w:tcPr>
          <w:p w14:paraId="6D6DDE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2B0FEB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CFEAF6"/>
            <w:noWrap/>
            <w:vAlign w:val="bottom"/>
            <w:hideMark/>
          </w:tcPr>
          <w:p w14:paraId="1CD2D6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5F6978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6C3CC12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CFEAF6"/>
            <w:noWrap/>
            <w:vAlign w:val="bottom"/>
            <w:hideMark/>
          </w:tcPr>
          <w:p w14:paraId="71CC29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40741A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412EDA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3D9165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0DE825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1DF164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0AA47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2F95B0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1CA7C0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A8DFE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474B2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BFE07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B6EA2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2E574FD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69F53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94EB3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2B522B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0A49B5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48CFBEB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4D4D6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429C9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62241A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E093E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3A792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EAFB8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7F1A42F8" w14:textId="77777777" w:rsidTr="00B17A2C">
        <w:trPr>
          <w:trHeight w:val="400"/>
        </w:trPr>
        <w:tc>
          <w:tcPr>
            <w:tcW w:w="641" w:type="dxa"/>
            <w:tcBorders>
              <w:top w:val="nil"/>
              <w:left w:val="nil"/>
              <w:bottom w:val="nil"/>
              <w:right w:val="nil"/>
            </w:tcBorders>
            <w:shd w:val="clear" w:color="000000" w:fill="FFFFFF"/>
            <w:noWrap/>
            <w:vAlign w:val="bottom"/>
            <w:hideMark/>
          </w:tcPr>
          <w:p w14:paraId="6E92A0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R064</w:t>
            </w:r>
          </w:p>
        </w:tc>
        <w:tc>
          <w:tcPr>
            <w:tcW w:w="501" w:type="dxa"/>
            <w:tcBorders>
              <w:top w:val="nil"/>
              <w:left w:val="nil"/>
              <w:bottom w:val="nil"/>
              <w:right w:val="nil"/>
            </w:tcBorders>
            <w:shd w:val="clear" w:color="000000" w:fill="FFFFFF"/>
            <w:noWrap/>
            <w:vAlign w:val="bottom"/>
            <w:hideMark/>
          </w:tcPr>
          <w:p w14:paraId="0A29A0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79EBF38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FFFFFF"/>
            <w:noWrap/>
            <w:vAlign w:val="bottom"/>
            <w:hideMark/>
          </w:tcPr>
          <w:p w14:paraId="6BEB09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FFFFFF"/>
            <w:noWrap/>
            <w:vAlign w:val="bottom"/>
            <w:hideMark/>
          </w:tcPr>
          <w:p w14:paraId="32DDB3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FFFFFF"/>
            <w:noWrap/>
            <w:vAlign w:val="bottom"/>
            <w:hideMark/>
          </w:tcPr>
          <w:p w14:paraId="7E29839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6</w:t>
            </w:r>
          </w:p>
        </w:tc>
        <w:tc>
          <w:tcPr>
            <w:tcW w:w="524" w:type="dxa"/>
            <w:tcBorders>
              <w:top w:val="nil"/>
              <w:left w:val="nil"/>
              <w:bottom w:val="nil"/>
              <w:right w:val="nil"/>
            </w:tcBorders>
            <w:shd w:val="clear" w:color="000000" w:fill="FFFFFF"/>
            <w:noWrap/>
            <w:vAlign w:val="bottom"/>
            <w:hideMark/>
          </w:tcPr>
          <w:p w14:paraId="19A9D0E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FFFFFF"/>
            <w:noWrap/>
            <w:vAlign w:val="bottom"/>
            <w:hideMark/>
          </w:tcPr>
          <w:p w14:paraId="22BF3B5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nil"/>
              <w:left w:val="nil"/>
              <w:bottom w:val="nil"/>
              <w:right w:val="nil"/>
            </w:tcBorders>
            <w:shd w:val="clear" w:color="000000" w:fill="EDF8D7"/>
            <w:noWrap/>
            <w:vAlign w:val="bottom"/>
            <w:hideMark/>
          </w:tcPr>
          <w:p w14:paraId="1D54CF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59BA787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1AC493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982AB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14F8A2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18BC4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A0AF8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1DC8C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5185D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72C726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D22AEE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69BE24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5439C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3DD3C5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DCFCE7"/>
            <w:noWrap/>
            <w:vAlign w:val="bottom"/>
            <w:hideMark/>
          </w:tcPr>
          <w:p w14:paraId="003F49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16FD29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0937DD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3F3D5B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2FE2B7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7AFCB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1E318C3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DCFCE7"/>
            <w:noWrap/>
            <w:vAlign w:val="bottom"/>
            <w:hideMark/>
          </w:tcPr>
          <w:p w14:paraId="6DDC01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C2413D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r>
      <w:tr w:rsidR="00B17A2C" w:rsidRPr="00B17A2C" w14:paraId="572E9591" w14:textId="77777777" w:rsidTr="00B17A2C">
        <w:trPr>
          <w:trHeight w:val="400"/>
        </w:trPr>
        <w:tc>
          <w:tcPr>
            <w:tcW w:w="641" w:type="dxa"/>
            <w:tcBorders>
              <w:top w:val="nil"/>
              <w:left w:val="nil"/>
              <w:bottom w:val="nil"/>
              <w:right w:val="nil"/>
            </w:tcBorders>
            <w:shd w:val="clear" w:color="000000" w:fill="CFEAF6"/>
            <w:noWrap/>
            <w:vAlign w:val="bottom"/>
            <w:hideMark/>
          </w:tcPr>
          <w:p w14:paraId="2D882D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R065</w:t>
            </w:r>
          </w:p>
        </w:tc>
        <w:tc>
          <w:tcPr>
            <w:tcW w:w="501" w:type="dxa"/>
            <w:tcBorders>
              <w:top w:val="nil"/>
              <w:left w:val="nil"/>
              <w:bottom w:val="nil"/>
              <w:right w:val="nil"/>
            </w:tcBorders>
            <w:shd w:val="clear" w:color="000000" w:fill="CFEAF6"/>
            <w:noWrap/>
            <w:vAlign w:val="bottom"/>
            <w:hideMark/>
          </w:tcPr>
          <w:p w14:paraId="5C5259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5E2D70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103DEE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941" w:type="dxa"/>
            <w:tcBorders>
              <w:top w:val="nil"/>
              <w:left w:val="nil"/>
              <w:bottom w:val="nil"/>
              <w:right w:val="nil"/>
            </w:tcBorders>
            <w:shd w:val="clear" w:color="000000" w:fill="CFEAF6"/>
            <w:noWrap/>
            <w:vAlign w:val="bottom"/>
            <w:hideMark/>
          </w:tcPr>
          <w:p w14:paraId="32F7FD0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6EB23F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524" w:type="dxa"/>
            <w:tcBorders>
              <w:top w:val="nil"/>
              <w:left w:val="nil"/>
              <w:bottom w:val="nil"/>
              <w:right w:val="nil"/>
            </w:tcBorders>
            <w:shd w:val="clear" w:color="000000" w:fill="CFEAF6"/>
            <w:noWrap/>
            <w:vAlign w:val="bottom"/>
            <w:hideMark/>
          </w:tcPr>
          <w:p w14:paraId="47302D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1E3EE5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FEEBD5"/>
            <w:noWrap/>
            <w:vAlign w:val="bottom"/>
            <w:hideMark/>
          </w:tcPr>
          <w:p w14:paraId="6DF0D2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nil"/>
              <w:left w:val="nil"/>
              <w:bottom w:val="nil"/>
              <w:right w:val="nil"/>
            </w:tcBorders>
            <w:shd w:val="clear" w:color="000000" w:fill="EDF8D7"/>
            <w:noWrap/>
            <w:vAlign w:val="bottom"/>
            <w:hideMark/>
          </w:tcPr>
          <w:p w14:paraId="4ABA3D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65D7B3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1F034E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CDDBE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41D29E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481936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A3B7E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77925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D94CC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07716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3B88C9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9F68A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5219CF4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3320B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71FC4B2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76DB3B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537385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1DC48D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4AE337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9DF6E5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2E2"/>
            <w:noWrap/>
            <w:vAlign w:val="bottom"/>
            <w:hideMark/>
          </w:tcPr>
          <w:p w14:paraId="5B98B7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0CB357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6ED8647A" w14:textId="77777777" w:rsidTr="00B17A2C">
        <w:trPr>
          <w:trHeight w:val="400"/>
        </w:trPr>
        <w:tc>
          <w:tcPr>
            <w:tcW w:w="641" w:type="dxa"/>
            <w:tcBorders>
              <w:top w:val="nil"/>
              <w:left w:val="nil"/>
              <w:bottom w:val="nil"/>
              <w:right w:val="nil"/>
            </w:tcBorders>
            <w:shd w:val="clear" w:color="000000" w:fill="FFFFFF"/>
            <w:noWrap/>
            <w:vAlign w:val="bottom"/>
            <w:hideMark/>
          </w:tcPr>
          <w:p w14:paraId="312CBDC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R066</w:t>
            </w:r>
          </w:p>
        </w:tc>
        <w:tc>
          <w:tcPr>
            <w:tcW w:w="501" w:type="dxa"/>
            <w:tcBorders>
              <w:top w:val="nil"/>
              <w:left w:val="nil"/>
              <w:bottom w:val="nil"/>
              <w:right w:val="nil"/>
            </w:tcBorders>
            <w:shd w:val="clear" w:color="000000" w:fill="FFFFFF"/>
            <w:noWrap/>
            <w:vAlign w:val="bottom"/>
            <w:hideMark/>
          </w:tcPr>
          <w:p w14:paraId="1C788C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57AF05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FFFFFF"/>
            <w:noWrap/>
            <w:vAlign w:val="bottom"/>
            <w:hideMark/>
          </w:tcPr>
          <w:p w14:paraId="70725D7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6E79260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FFFFFF"/>
            <w:noWrap/>
            <w:vAlign w:val="bottom"/>
            <w:hideMark/>
          </w:tcPr>
          <w:p w14:paraId="38B5AF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2D2D731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43A464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FEEBD5"/>
            <w:noWrap/>
            <w:vAlign w:val="bottom"/>
            <w:hideMark/>
          </w:tcPr>
          <w:p w14:paraId="14B1C4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44" w:type="dxa"/>
            <w:tcBorders>
              <w:top w:val="nil"/>
              <w:left w:val="nil"/>
              <w:bottom w:val="nil"/>
              <w:right w:val="nil"/>
            </w:tcBorders>
            <w:shd w:val="clear" w:color="000000" w:fill="FEF3C7"/>
            <w:noWrap/>
            <w:vAlign w:val="bottom"/>
            <w:hideMark/>
          </w:tcPr>
          <w:p w14:paraId="02C45A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1BD62E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19890F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3A2052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50558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2E2"/>
            <w:noWrap/>
            <w:vAlign w:val="bottom"/>
            <w:hideMark/>
          </w:tcPr>
          <w:p w14:paraId="391C9F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1A13CA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447D2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2576B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EBC707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1E32887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13AA79A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E0AB50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4BCF4C1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6AA809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4B8C83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2E2"/>
            <w:noWrap/>
            <w:vAlign w:val="bottom"/>
            <w:hideMark/>
          </w:tcPr>
          <w:p w14:paraId="68B0798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EDF8D7"/>
            <w:noWrap/>
            <w:vAlign w:val="bottom"/>
            <w:hideMark/>
          </w:tcPr>
          <w:p w14:paraId="5533B4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B978E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4049C4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90B6A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5F2634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0D46482" w14:textId="77777777" w:rsidTr="00B17A2C">
        <w:trPr>
          <w:trHeight w:val="400"/>
        </w:trPr>
        <w:tc>
          <w:tcPr>
            <w:tcW w:w="641" w:type="dxa"/>
            <w:tcBorders>
              <w:top w:val="nil"/>
              <w:left w:val="nil"/>
              <w:bottom w:val="nil"/>
              <w:right w:val="nil"/>
            </w:tcBorders>
            <w:shd w:val="clear" w:color="000000" w:fill="CFEAF6"/>
            <w:noWrap/>
            <w:vAlign w:val="bottom"/>
            <w:hideMark/>
          </w:tcPr>
          <w:p w14:paraId="7E937E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R067</w:t>
            </w:r>
          </w:p>
        </w:tc>
        <w:tc>
          <w:tcPr>
            <w:tcW w:w="501" w:type="dxa"/>
            <w:tcBorders>
              <w:top w:val="nil"/>
              <w:left w:val="nil"/>
              <w:bottom w:val="nil"/>
              <w:right w:val="nil"/>
            </w:tcBorders>
            <w:shd w:val="clear" w:color="000000" w:fill="CFEAF6"/>
            <w:noWrap/>
            <w:vAlign w:val="bottom"/>
            <w:hideMark/>
          </w:tcPr>
          <w:p w14:paraId="7B6AC6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4A40CB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32D5F2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54D6187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nil"/>
              <w:left w:val="nil"/>
              <w:bottom w:val="nil"/>
              <w:right w:val="nil"/>
            </w:tcBorders>
            <w:shd w:val="clear" w:color="000000" w:fill="CFEAF6"/>
            <w:noWrap/>
            <w:vAlign w:val="bottom"/>
            <w:hideMark/>
          </w:tcPr>
          <w:p w14:paraId="34754B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12EF5E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CFEAF6"/>
            <w:noWrap/>
            <w:vAlign w:val="bottom"/>
            <w:hideMark/>
          </w:tcPr>
          <w:p w14:paraId="03F7079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44" w:type="dxa"/>
            <w:tcBorders>
              <w:top w:val="nil"/>
              <w:left w:val="nil"/>
              <w:bottom w:val="nil"/>
              <w:right w:val="nil"/>
            </w:tcBorders>
            <w:shd w:val="clear" w:color="000000" w:fill="DCFCE7"/>
            <w:noWrap/>
            <w:vAlign w:val="bottom"/>
            <w:hideMark/>
          </w:tcPr>
          <w:p w14:paraId="36EAE5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6C7526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55EFC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80B01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2935A9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0ABCD3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91B345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73B4CAF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79DC72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191224C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81A2F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F8AEA9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1F57AF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01FE38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10C4F29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E9A9A0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3C13672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4F699C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1ACCB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7CF5A3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768036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FAA581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3502A0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551FF575" w14:textId="77777777" w:rsidTr="00B17A2C">
        <w:trPr>
          <w:trHeight w:val="400"/>
        </w:trPr>
        <w:tc>
          <w:tcPr>
            <w:tcW w:w="641" w:type="dxa"/>
            <w:tcBorders>
              <w:top w:val="nil"/>
              <w:left w:val="nil"/>
              <w:bottom w:val="nil"/>
              <w:right w:val="nil"/>
            </w:tcBorders>
            <w:shd w:val="clear" w:color="000000" w:fill="FFFFFF"/>
            <w:noWrap/>
            <w:vAlign w:val="bottom"/>
            <w:hideMark/>
          </w:tcPr>
          <w:p w14:paraId="2F209B6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R068</w:t>
            </w:r>
          </w:p>
        </w:tc>
        <w:tc>
          <w:tcPr>
            <w:tcW w:w="501" w:type="dxa"/>
            <w:tcBorders>
              <w:top w:val="nil"/>
              <w:left w:val="nil"/>
              <w:bottom w:val="nil"/>
              <w:right w:val="nil"/>
            </w:tcBorders>
            <w:shd w:val="clear" w:color="000000" w:fill="FFFFFF"/>
            <w:noWrap/>
            <w:vAlign w:val="bottom"/>
            <w:hideMark/>
          </w:tcPr>
          <w:p w14:paraId="10F79A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05EA902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472" w:type="dxa"/>
            <w:tcBorders>
              <w:top w:val="nil"/>
              <w:left w:val="nil"/>
              <w:bottom w:val="nil"/>
              <w:right w:val="nil"/>
            </w:tcBorders>
            <w:shd w:val="clear" w:color="000000" w:fill="FFFFFF"/>
            <w:noWrap/>
            <w:vAlign w:val="bottom"/>
            <w:hideMark/>
          </w:tcPr>
          <w:p w14:paraId="12A7CC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4A4B0F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817" w:type="dxa"/>
            <w:tcBorders>
              <w:top w:val="nil"/>
              <w:left w:val="nil"/>
              <w:bottom w:val="nil"/>
              <w:right w:val="nil"/>
            </w:tcBorders>
            <w:shd w:val="clear" w:color="000000" w:fill="FFFFFF"/>
            <w:noWrap/>
            <w:vAlign w:val="bottom"/>
            <w:hideMark/>
          </w:tcPr>
          <w:p w14:paraId="3C9B64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3075BE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30255A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241910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70AA9B7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5C1A7E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F7B262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327304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18A13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2912DA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5343C1D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697160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3D85EC9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55D2FE7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1A7883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1C5BA9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037499A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B3771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0914145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625E1B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4F4E6D0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0EB87B6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2E2"/>
            <w:noWrap/>
            <w:vAlign w:val="bottom"/>
            <w:hideMark/>
          </w:tcPr>
          <w:p w14:paraId="5662250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BD5"/>
            <w:noWrap/>
            <w:vAlign w:val="bottom"/>
            <w:hideMark/>
          </w:tcPr>
          <w:p w14:paraId="0E339A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2E2"/>
            <w:noWrap/>
            <w:vAlign w:val="bottom"/>
            <w:hideMark/>
          </w:tcPr>
          <w:p w14:paraId="6CB028E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E2E2"/>
            <w:noWrap/>
            <w:vAlign w:val="bottom"/>
            <w:hideMark/>
          </w:tcPr>
          <w:p w14:paraId="3D1E79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r>
      <w:tr w:rsidR="00B17A2C" w:rsidRPr="00B17A2C" w14:paraId="38FF9804" w14:textId="77777777" w:rsidTr="00B17A2C">
        <w:trPr>
          <w:trHeight w:val="400"/>
        </w:trPr>
        <w:tc>
          <w:tcPr>
            <w:tcW w:w="641" w:type="dxa"/>
            <w:tcBorders>
              <w:top w:val="nil"/>
              <w:left w:val="nil"/>
              <w:bottom w:val="nil"/>
              <w:right w:val="nil"/>
            </w:tcBorders>
            <w:shd w:val="clear" w:color="000000" w:fill="CFEAF6"/>
            <w:noWrap/>
            <w:vAlign w:val="bottom"/>
            <w:hideMark/>
          </w:tcPr>
          <w:p w14:paraId="461860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R069</w:t>
            </w:r>
          </w:p>
        </w:tc>
        <w:tc>
          <w:tcPr>
            <w:tcW w:w="501" w:type="dxa"/>
            <w:tcBorders>
              <w:top w:val="nil"/>
              <w:left w:val="nil"/>
              <w:bottom w:val="nil"/>
              <w:right w:val="nil"/>
            </w:tcBorders>
            <w:shd w:val="clear" w:color="000000" w:fill="CFEAF6"/>
            <w:noWrap/>
            <w:vAlign w:val="bottom"/>
            <w:hideMark/>
          </w:tcPr>
          <w:p w14:paraId="30435D2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235A0A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505CF5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19385F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22B967C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CFEAF6"/>
            <w:noWrap/>
            <w:vAlign w:val="bottom"/>
            <w:hideMark/>
          </w:tcPr>
          <w:p w14:paraId="3DCDF66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2173D75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741813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5ABE22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4B2B66C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5B1338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B7841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F6F40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0A1135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1308F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EFB31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59E1AC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D752D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43526FE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C9D0F5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06295E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211DD7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0E2EFC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D1557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6CD514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DB512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56919BF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FEF3C7"/>
            <w:noWrap/>
            <w:vAlign w:val="bottom"/>
            <w:hideMark/>
          </w:tcPr>
          <w:p w14:paraId="2B18688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270010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DE4438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3DD85F37" w14:textId="77777777" w:rsidTr="00B17A2C">
        <w:trPr>
          <w:trHeight w:val="400"/>
        </w:trPr>
        <w:tc>
          <w:tcPr>
            <w:tcW w:w="641" w:type="dxa"/>
            <w:tcBorders>
              <w:top w:val="nil"/>
              <w:left w:val="nil"/>
              <w:bottom w:val="nil"/>
              <w:right w:val="nil"/>
            </w:tcBorders>
            <w:shd w:val="clear" w:color="000000" w:fill="FFFFFF"/>
            <w:noWrap/>
            <w:vAlign w:val="bottom"/>
            <w:hideMark/>
          </w:tcPr>
          <w:p w14:paraId="4077A29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R070</w:t>
            </w:r>
          </w:p>
        </w:tc>
        <w:tc>
          <w:tcPr>
            <w:tcW w:w="501" w:type="dxa"/>
            <w:tcBorders>
              <w:top w:val="nil"/>
              <w:left w:val="nil"/>
              <w:bottom w:val="nil"/>
              <w:right w:val="nil"/>
            </w:tcBorders>
            <w:shd w:val="clear" w:color="000000" w:fill="FFFFFF"/>
            <w:noWrap/>
            <w:vAlign w:val="bottom"/>
            <w:hideMark/>
          </w:tcPr>
          <w:p w14:paraId="48A5BCE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194D6E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FFFFFF"/>
            <w:noWrap/>
            <w:vAlign w:val="bottom"/>
            <w:hideMark/>
          </w:tcPr>
          <w:p w14:paraId="4A92D48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7DF0BD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FFFFFF"/>
            <w:noWrap/>
            <w:vAlign w:val="bottom"/>
            <w:hideMark/>
          </w:tcPr>
          <w:p w14:paraId="17944C4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24" w:type="dxa"/>
            <w:tcBorders>
              <w:top w:val="nil"/>
              <w:left w:val="nil"/>
              <w:bottom w:val="nil"/>
              <w:right w:val="nil"/>
            </w:tcBorders>
            <w:shd w:val="clear" w:color="000000" w:fill="FFFFFF"/>
            <w:noWrap/>
            <w:vAlign w:val="bottom"/>
            <w:hideMark/>
          </w:tcPr>
          <w:p w14:paraId="2F3FA0C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FFFFFF"/>
            <w:noWrap/>
            <w:vAlign w:val="bottom"/>
            <w:hideMark/>
          </w:tcPr>
          <w:p w14:paraId="3708C43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665C79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EDF8D7"/>
            <w:noWrap/>
            <w:vAlign w:val="bottom"/>
            <w:hideMark/>
          </w:tcPr>
          <w:p w14:paraId="04BA798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00D617A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3055233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D343FB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687CE2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1A092AB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CB800B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9FFAD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10B1712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24EE63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7E1DDC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F05544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A7E77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50C283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513FEE5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1CA80E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64003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0D8493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47DF4C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F249E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3AD3536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83329D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79759F4B" w14:textId="77777777" w:rsidTr="00B17A2C">
        <w:trPr>
          <w:trHeight w:val="400"/>
        </w:trPr>
        <w:tc>
          <w:tcPr>
            <w:tcW w:w="641" w:type="dxa"/>
            <w:tcBorders>
              <w:top w:val="nil"/>
              <w:left w:val="nil"/>
              <w:bottom w:val="nil"/>
              <w:right w:val="nil"/>
            </w:tcBorders>
            <w:shd w:val="clear" w:color="000000" w:fill="CFEAF6"/>
            <w:noWrap/>
            <w:vAlign w:val="bottom"/>
            <w:hideMark/>
          </w:tcPr>
          <w:p w14:paraId="30C999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R071</w:t>
            </w:r>
          </w:p>
        </w:tc>
        <w:tc>
          <w:tcPr>
            <w:tcW w:w="501" w:type="dxa"/>
            <w:tcBorders>
              <w:top w:val="nil"/>
              <w:left w:val="nil"/>
              <w:bottom w:val="nil"/>
              <w:right w:val="nil"/>
            </w:tcBorders>
            <w:shd w:val="clear" w:color="000000" w:fill="CFEAF6"/>
            <w:noWrap/>
            <w:vAlign w:val="bottom"/>
            <w:hideMark/>
          </w:tcPr>
          <w:p w14:paraId="41117E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5726B3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472" w:type="dxa"/>
            <w:tcBorders>
              <w:top w:val="nil"/>
              <w:left w:val="nil"/>
              <w:bottom w:val="nil"/>
              <w:right w:val="nil"/>
            </w:tcBorders>
            <w:shd w:val="clear" w:color="000000" w:fill="CFEAF6"/>
            <w:noWrap/>
            <w:vAlign w:val="bottom"/>
            <w:hideMark/>
          </w:tcPr>
          <w:p w14:paraId="02C9AE0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0E270D8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817" w:type="dxa"/>
            <w:tcBorders>
              <w:top w:val="nil"/>
              <w:left w:val="nil"/>
              <w:bottom w:val="nil"/>
              <w:right w:val="nil"/>
            </w:tcBorders>
            <w:shd w:val="clear" w:color="000000" w:fill="CFEAF6"/>
            <w:noWrap/>
            <w:vAlign w:val="bottom"/>
            <w:hideMark/>
          </w:tcPr>
          <w:p w14:paraId="0B3DCD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5CF25A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5898FE5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FEF3C7"/>
            <w:noWrap/>
            <w:vAlign w:val="bottom"/>
            <w:hideMark/>
          </w:tcPr>
          <w:p w14:paraId="0061269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44" w:type="dxa"/>
            <w:tcBorders>
              <w:top w:val="nil"/>
              <w:left w:val="nil"/>
              <w:bottom w:val="nil"/>
              <w:right w:val="nil"/>
            </w:tcBorders>
            <w:shd w:val="clear" w:color="000000" w:fill="EDF8D7"/>
            <w:noWrap/>
            <w:vAlign w:val="bottom"/>
            <w:hideMark/>
          </w:tcPr>
          <w:p w14:paraId="2A116AE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793F252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0680BCA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13D2462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04D95C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21C4EF8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1B26CF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3AF2AB0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0A98035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04C5B5C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2FDAF5C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7E1371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4AE46A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37DFDA4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1C4EAA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1A6A9F8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2E2"/>
            <w:noWrap/>
            <w:vAlign w:val="bottom"/>
            <w:hideMark/>
          </w:tcPr>
          <w:p w14:paraId="07769A8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96" w:type="dxa"/>
            <w:tcBorders>
              <w:top w:val="nil"/>
              <w:left w:val="nil"/>
              <w:bottom w:val="nil"/>
              <w:right w:val="nil"/>
            </w:tcBorders>
            <w:shd w:val="clear" w:color="000000" w:fill="EDF8D7"/>
            <w:noWrap/>
            <w:vAlign w:val="bottom"/>
            <w:hideMark/>
          </w:tcPr>
          <w:p w14:paraId="6C1294B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1FDF22D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4E496D1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1EB38B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67EC90A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r>
      <w:tr w:rsidR="00B17A2C" w:rsidRPr="00B17A2C" w14:paraId="7623A72B" w14:textId="77777777" w:rsidTr="00B17A2C">
        <w:trPr>
          <w:trHeight w:val="400"/>
        </w:trPr>
        <w:tc>
          <w:tcPr>
            <w:tcW w:w="641" w:type="dxa"/>
            <w:tcBorders>
              <w:top w:val="nil"/>
              <w:left w:val="nil"/>
              <w:bottom w:val="nil"/>
              <w:right w:val="nil"/>
            </w:tcBorders>
            <w:shd w:val="clear" w:color="000000" w:fill="FFFFFF"/>
            <w:noWrap/>
            <w:vAlign w:val="bottom"/>
            <w:hideMark/>
          </w:tcPr>
          <w:p w14:paraId="306CF78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R072</w:t>
            </w:r>
          </w:p>
        </w:tc>
        <w:tc>
          <w:tcPr>
            <w:tcW w:w="501" w:type="dxa"/>
            <w:tcBorders>
              <w:top w:val="nil"/>
              <w:left w:val="nil"/>
              <w:bottom w:val="nil"/>
              <w:right w:val="nil"/>
            </w:tcBorders>
            <w:shd w:val="clear" w:color="000000" w:fill="FFFFFF"/>
            <w:noWrap/>
            <w:vAlign w:val="bottom"/>
            <w:hideMark/>
          </w:tcPr>
          <w:p w14:paraId="5F60FC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26D095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2AF7CDB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7F9BD4A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nil"/>
              <w:left w:val="nil"/>
              <w:bottom w:val="nil"/>
              <w:right w:val="nil"/>
            </w:tcBorders>
            <w:shd w:val="clear" w:color="000000" w:fill="FFFFFF"/>
            <w:noWrap/>
            <w:vAlign w:val="bottom"/>
            <w:hideMark/>
          </w:tcPr>
          <w:p w14:paraId="183AB9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1FEF312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FFFFFF"/>
            <w:noWrap/>
            <w:vAlign w:val="bottom"/>
            <w:hideMark/>
          </w:tcPr>
          <w:p w14:paraId="363E31D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0B0BACB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59ED187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77D01AA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59AF3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246DDBA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5917FE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9E369C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45EA48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3DD9CA3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72EB8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65AAD4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5FB5FD6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63C6D08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D3B884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4FE85B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20023E7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DCFCE7"/>
            <w:noWrap/>
            <w:vAlign w:val="bottom"/>
            <w:hideMark/>
          </w:tcPr>
          <w:p w14:paraId="1123DB6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27A5261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05B3C74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5CF0D71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1E78879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10F582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35AE2DE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5C6590DC" w14:textId="77777777" w:rsidTr="00B17A2C">
        <w:trPr>
          <w:trHeight w:val="400"/>
        </w:trPr>
        <w:tc>
          <w:tcPr>
            <w:tcW w:w="641" w:type="dxa"/>
            <w:tcBorders>
              <w:top w:val="nil"/>
              <w:left w:val="nil"/>
              <w:bottom w:val="nil"/>
              <w:right w:val="nil"/>
            </w:tcBorders>
            <w:shd w:val="clear" w:color="000000" w:fill="CFEAF6"/>
            <w:noWrap/>
            <w:vAlign w:val="bottom"/>
            <w:hideMark/>
          </w:tcPr>
          <w:p w14:paraId="50D11BE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R073</w:t>
            </w:r>
          </w:p>
        </w:tc>
        <w:tc>
          <w:tcPr>
            <w:tcW w:w="501" w:type="dxa"/>
            <w:tcBorders>
              <w:top w:val="nil"/>
              <w:left w:val="nil"/>
              <w:bottom w:val="nil"/>
              <w:right w:val="nil"/>
            </w:tcBorders>
            <w:shd w:val="clear" w:color="000000" w:fill="CFEAF6"/>
            <w:noWrap/>
            <w:vAlign w:val="bottom"/>
            <w:hideMark/>
          </w:tcPr>
          <w:p w14:paraId="01291DF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216EDE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472" w:type="dxa"/>
            <w:tcBorders>
              <w:top w:val="nil"/>
              <w:left w:val="nil"/>
              <w:bottom w:val="nil"/>
              <w:right w:val="nil"/>
            </w:tcBorders>
            <w:shd w:val="clear" w:color="000000" w:fill="CFEAF6"/>
            <w:noWrap/>
            <w:vAlign w:val="bottom"/>
            <w:hideMark/>
          </w:tcPr>
          <w:p w14:paraId="35634B2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941" w:type="dxa"/>
            <w:tcBorders>
              <w:top w:val="nil"/>
              <w:left w:val="nil"/>
              <w:bottom w:val="nil"/>
              <w:right w:val="nil"/>
            </w:tcBorders>
            <w:shd w:val="clear" w:color="000000" w:fill="CFEAF6"/>
            <w:noWrap/>
            <w:vAlign w:val="bottom"/>
            <w:hideMark/>
          </w:tcPr>
          <w:p w14:paraId="3D47FF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817" w:type="dxa"/>
            <w:tcBorders>
              <w:top w:val="nil"/>
              <w:left w:val="nil"/>
              <w:bottom w:val="nil"/>
              <w:right w:val="nil"/>
            </w:tcBorders>
            <w:shd w:val="clear" w:color="000000" w:fill="CFEAF6"/>
            <w:noWrap/>
            <w:vAlign w:val="bottom"/>
            <w:hideMark/>
          </w:tcPr>
          <w:p w14:paraId="0E1788F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524" w:type="dxa"/>
            <w:tcBorders>
              <w:top w:val="nil"/>
              <w:left w:val="nil"/>
              <w:bottom w:val="nil"/>
              <w:right w:val="nil"/>
            </w:tcBorders>
            <w:shd w:val="clear" w:color="000000" w:fill="CFEAF6"/>
            <w:noWrap/>
            <w:vAlign w:val="bottom"/>
            <w:hideMark/>
          </w:tcPr>
          <w:p w14:paraId="37ED983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30F42EF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22BACF8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73B7B23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693E1D0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EECCF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2DEA6D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15894A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4EF0DD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DCFCE7"/>
            <w:noWrap/>
            <w:vAlign w:val="bottom"/>
            <w:hideMark/>
          </w:tcPr>
          <w:p w14:paraId="0965903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185B246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7B90CF7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7D73398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4873E1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2093D2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6207D1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61001A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5C11AE0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2D4DFD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240EE20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6A026C6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7A0686C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EBD5"/>
            <w:noWrap/>
            <w:vAlign w:val="bottom"/>
            <w:hideMark/>
          </w:tcPr>
          <w:p w14:paraId="676DAA2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EBD5"/>
            <w:noWrap/>
            <w:vAlign w:val="bottom"/>
            <w:hideMark/>
          </w:tcPr>
          <w:p w14:paraId="752591F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3D5E0E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42379795" w14:textId="77777777" w:rsidTr="00B17A2C">
        <w:trPr>
          <w:trHeight w:val="400"/>
        </w:trPr>
        <w:tc>
          <w:tcPr>
            <w:tcW w:w="641" w:type="dxa"/>
            <w:tcBorders>
              <w:top w:val="nil"/>
              <w:left w:val="nil"/>
              <w:bottom w:val="nil"/>
              <w:right w:val="nil"/>
            </w:tcBorders>
            <w:shd w:val="clear" w:color="000000" w:fill="FFFFFF"/>
            <w:noWrap/>
            <w:vAlign w:val="bottom"/>
            <w:hideMark/>
          </w:tcPr>
          <w:p w14:paraId="3F73207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R074</w:t>
            </w:r>
          </w:p>
        </w:tc>
        <w:tc>
          <w:tcPr>
            <w:tcW w:w="501" w:type="dxa"/>
            <w:tcBorders>
              <w:top w:val="nil"/>
              <w:left w:val="nil"/>
              <w:bottom w:val="nil"/>
              <w:right w:val="nil"/>
            </w:tcBorders>
            <w:shd w:val="clear" w:color="000000" w:fill="FFFFFF"/>
            <w:noWrap/>
            <w:vAlign w:val="bottom"/>
            <w:hideMark/>
          </w:tcPr>
          <w:p w14:paraId="3EB229B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FFFFFF"/>
            <w:noWrap/>
            <w:vAlign w:val="bottom"/>
            <w:hideMark/>
          </w:tcPr>
          <w:p w14:paraId="53F6FDD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FFFFFF"/>
            <w:noWrap/>
            <w:vAlign w:val="bottom"/>
            <w:hideMark/>
          </w:tcPr>
          <w:p w14:paraId="4574E8F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FFFFFF"/>
            <w:noWrap/>
            <w:vAlign w:val="bottom"/>
            <w:hideMark/>
          </w:tcPr>
          <w:p w14:paraId="311A06A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nil"/>
              <w:left w:val="nil"/>
              <w:bottom w:val="nil"/>
              <w:right w:val="nil"/>
            </w:tcBorders>
            <w:shd w:val="clear" w:color="000000" w:fill="FFFFFF"/>
            <w:noWrap/>
            <w:vAlign w:val="bottom"/>
            <w:hideMark/>
          </w:tcPr>
          <w:p w14:paraId="4E7CF9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FFFFFF"/>
            <w:noWrap/>
            <w:vAlign w:val="bottom"/>
            <w:hideMark/>
          </w:tcPr>
          <w:p w14:paraId="2B6E01A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FFFFFF"/>
            <w:noWrap/>
            <w:vAlign w:val="bottom"/>
            <w:hideMark/>
          </w:tcPr>
          <w:p w14:paraId="3642A3B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44" w:type="dxa"/>
            <w:tcBorders>
              <w:top w:val="nil"/>
              <w:left w:val="nil"/>
              <w:bottom w:val="nil"/>
              <w:right w:val="nil"/>
            </w:tcBorders>
            <w:shd w:val="clear" w:color="000000" w:fill="DCFCE7"/>
            <w:noWrap/>
            <w:vAlign w:val="bottom"/>
            <w:hideMark/>
          </w:tcPr>
          <w:p w14:paraId="358F458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546A04C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24753B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563572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4F12DAB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215E939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4451CE7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116AA2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2EF422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6FC8B4D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01CDA5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49417F3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70BA7A9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3CFDA4E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69AC3F0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EBD5"/>
            <w:noWrap/>
            <w:vAlign w:val="bottom"/>
            <w:hideMark/>
          </w:tcPr>
          <w:p w14:paraId="0FFA0AB1"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0678EF6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688551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5D84667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3B5C139D"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566937D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EDF8D7"/>
            <w:noWrap/>
            <w:vAlign w:val="bottom"/>
            <w:hideMark/>
          </w:tcPr>
          <w:p w14:paraId="1D9009B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39D1D72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r w:rsidR="00B17A2C" w:rsidRPr="00B17A2C" w14:paraId="134E6981" w14:textId="77777777" w:rsidTr="00B17A2C">
        <w:trPr>
          <w:trHeight w:val="280"/>
        </w:trPr>
        <w:tc>
          <w:tcPr>
            <w:tcW w:w="641" w:type="dxa"/>
            <w:tcBorders>
              <w:top w:val="nil"/>
              <w:left w:val="nil"/>
              <w:bottom w:val="nil"/>
              <w:right w:val="nil"/>
            </w:tcBorders>
            <w:shd w:val="clear" w:color="000000" w:fill="CFEAF6"/>
            <w:noWrap/>
            <w:vAlign w:val="bottom"/>
            <w:hideMark/>
          </w:tcPr>
          <w:p w14:paraId="69BF139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lastRenderedPageBreak/>
              <w:t>R075</w:t>
            </w:r>
          </w:p>
        </w:tc>
        <w:tc>
          <w:tcPr>
            <w:tcW w:w="501" w:type="dxa"/>
            <w:tcBorders>
              <w:top w:val="nil"/>
              <w:left w:val="nil"/>
              <w:bottom w:val="nil"/>
              <w:right w:val="nil"/>
            </w:tcBorders>
            <w:shd w:val="clear" w:color="000000" w:fill="CFEAF6"/>
            <w:noWrap/>
            <w:vAlign w:val="bottom"/>
            <w:hideMark/>
          </w:tcPr>
          <w:p w14:paraId="6260116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578" w:type="dxa"/>
            <w:tcBorders>
              <w:top w:val="nil"/>
              <w:left w:val="nil"/>
              <w:bottom w:val="nil"/>
              <w:right w:val="nil"/>
            </w:tcBorders>
            <w:shd w:val="clear" w:color="000000" w:fill="CFEAF6"/>
            <w:noWrap/>
            <w:vAlign w:val="bottom"/>
            <w:hideMark/>
          </w:tcPr>
          <w:p w14:paraId="1A886C1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472" w:type="dxa"/>
            <w:tcBorders>
              <w:top w:val="nil"/>
              <w:left w:val="nil"/>
              <w:bottom w:val="nil"/>
              <w:right w:val="nil"/>
            </w:tcBorders>
            <w:shd w:val="clear" w:color="000000" w:fill="CFEAF6"/>
            <w:noWrap/>
            <w:vAlign w:val="bottom"/>
            <w:hideMark/>
          </w:tcPr>
          <w:p w14:paraId="7EA6A53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941" w:type="dxa"/>
            <w:tcBorders>
              <w:top w:val="nil"/>
              <w:left w:val="nil"/>
              <w:bottom w:val="nil"/>
              <w:right w:val="nil"/>
            </w:tcBorders>
            <w:shd w:val="clear" w:color="000000" w:fill="CFEAF6"/>
            <w:noWrap/>
            <w:vAlign w:val="bottom"/>
            <w:hideMark/>
          </w:tcPr>
          <w:p w14:paraId="5A1DDF9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817" w:type="dxa"/>
            <w:tcBorders>
              <w:top w:val="nil"/>
              <w:left w:val="nil"/>
              <w:bottom w:val="nil"/>
              <w:right w:val="nil"/>
            </w:tcBorders>
            <w:shd w:val="clear" w:color="000000" w:fill="CFEAF6"/>
            <w:noWrap/>
            <w:vAlign w:val="bottom"/>
            <w:hideMark/>
          </w:tcPr>
          <w:p w14:paraId="47167F6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524" w:type="dxa"/>
            <w:tcBorders>
              <w:top w:val="nil"/>
              <w:left w:val="nil"/>
              <w:bottom w:val="nil"/>
              <w:right w:val="nil"/>
            </w:tcBorders>
            <w:shd w:val="clear" w:color="000000" w:fill="CFEAF6"/>
            <w:noWrap/>
            <w:vAlign w:val="bottom"/>
            <w:hideMark/>
          </w:tcPr>
          <w:p w14:paraId="4521DE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472" w:type="dxa"/>
            <w:tcBorders>
              <w:top w:val="nil"/>
              <w:left w:val="nil"/>
              <w:bottom w:val="nil"/>
              <w:right w:val="nil"/>
            </w:tcBorders>
            <w:shd w:val="clear" w:color="000000" w:fill="CFEAF6"/>
            <w:noWrap/>
            <w:vAlign w:val="bottom"/>
            <w:hideMark/>
          </w:tcPr>
          <w:p w14:paraId="3F58C6B9"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1</w:t>
            </w:r>
          </w:p>
        </w:tc>
        <w:tc>
          <w:tcPr>
            <w:tcW w:w="144" w:type="dxa"/>
            <w:tcBorders>
              <w:top w:val="nil"/>
              <w:left w:val="nil"/>
              <w:bottom w:val="nil"/>
              <w:right w:val="nil"/>
            </w:tcBorders>
            <w:shd w:val="clear" w:color="000000" w:fill="DCFCE7"/>
            <w:noWrap/>
            <w:vAlign w:val="bottom"/>
            <w:hideMark/>
          </w:tcPr>
          <w:p w14:paraId="4BCC6FE3"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44" w:type="dxa"/>
            <w:tcBorders>
              <w:top w:val="nil"/>
              <w:left w:val="nil"/>
              <w:bottom w:val="nil"/>
              <w:right w:val="nil"/>
            </w:tcBorders>
            <w:shd w:val="clear" w:color="000000" w:fill="EDF8D7"/>
            <w:noWrap/>
            <w:vAlign w:val="bottom"/>
            <w:hideMark/>
          </w:tcPr>
          <w:p w14:paraId="7CED38A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33A30256"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0F9D626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23D4D5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F3C7"/>
            <w:noWrap/>
            <w:vAlign w:val="bottom"/>
            <w:hideMark/>
          </w:tcPr>
          <w:p w14:paraId="3722638A"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DCFCE7"/>
            <w:noWrap/>
            <w:vAlign w:val="bottom"/>
            <w:hideMark/>
          </w:tcPr>
          <w:p w14:paraId="3D517F0C"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7A83C7F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2C9C7D45"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0A7E8ED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3439BE1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EDF8D7"/>
            <w:noWrap/>
            <w:vAlign w:val="bottom"/>
            <w:hideMark/>
          </w:tcPr>
          <w:p w14:paraId="263E7437"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44FD1F1F"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DCFCE7"/>
            <w:noWrap/>
            <w:vAlign w:val="bottom"/>
            <w:hideMark/>
          </w:tcPr>
          <w:p w14:paraId="3D9FCA7E"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EDF8D7"/>
            <w:noWrap/>
            <w:vAlign w:val="bottom"/>
            <w:hideMark/>
          </w:tcPr>
          <w:p w14:paraId="362822A2"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3CC5790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EC16CD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FEF3C7"/>
            <w:noWrap/>
            <w:vAlign w:val="bottom"/>
            <w:hideMark/>
          </w:tcPr>
          <w:p w14:paraId="5D787540"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EDF8D7"/>
            <w:noWrap/>
            <w:vAlign w:val="bottom"/>
            <w:hideMark/>
          </w:tcPr>
          <w:p w14:paraId="713704AB"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4</w:t>
            </w:r>
          </w:p>
        </w:tc>
        <w:tc>
          <w:tcPr>
            <w:tcW w:w="196" w:type="dxa"/>
            <w:tcBorders>
              <w:top w:val="nil"/>
              <w:left w:val="nil"/>
              <w:bottom w:val="nil"/>
              <w:right w:val="nil"/>
            </w:tcBorders>
            <w:shd w:val="clear" w:color="000000" w:fill="DCFCE7"/>
            <w:noWrap/>
            <w:vAlign w:val="bottom"/>
            <w:hideMark/>
          </w:tcPr>
          <w:p w14:paraId="66BB0DF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5</w:t>
            </w:r>
          </w:p>
        </w:tc>
        <w:tc>
          <w:tcPr>
            <w:tcW w:w="196" w:type="dxa"/>
            <w:tcBorders>
              <w:top w:val="nil"/>
              <w:left w:val="nil"/>
              <w:bottom w:val="nil"/>
              <w:right w:val="nil"/>
            </w:tcBorders>
            <w:shd w:val="clear" w:color="000000" w:fill="FEEBD5"/>
            <w:noWrap/>
            <w:vAlign w:val="bottom"/>
            <w:hideMark/>
          </w:tcPr>
          <w:p w14:paraId="311330F8"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2</w:t>
            </w:r>
          </w:p>
        </w:tc>
        <w:tc>
          <w:tcPr>
            <w:tcW w:w="196" w:type="dxa"/>
            <w:tcBorders>
              <w:top w:val="nil"/>
              <w:left w:val="nil"/>
              <w:bottom w:val="nil"/>
              <w:right w:val="nil"/>
            </w:tcBorders>
            <w:shd w:val="clear" w:color="000000" w:fill="FEF3C7"/>
            <w:noWrap/>
            <w:vAlign w:val="bottom"/>
            <w:hideMark/>
          </w:tcPr>
          <w:p w14:paraId="484A601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c>
          <w:tcPr>
            <w:tcW w:w="196" w:type="dxa"/>
            <w:tcBorders>
              <w:top w:val="nil"/>
              <w:left w:val="nil"/>
              <w:bottom w:val="nil"/>
              <w:right w:val="nil"/>
            </w:tcBorders>
            <w:shd w:val="clear" w:color="000000" w:fill="FEF3C7"/>
            <w:noWrap/>
            <w:vAlign w:val="bottom"/>
            <w:hideMark/>
          </w:tcPr>
          <w:p w14:paraId="6854ABC4" w14:textId="77777777" w:rsidR="00B17A2C" w:rsidRPr="00B17A2C" w:rsidRDefault="00B17A2C" w:rsidP="00B17A2C">
            <w:pPr>
              <w:spacing w:before="0" w:after="160" w:line="259" w:lineRule="auto"/>
              <w:jc w:val="left"/>
              <w:rPr>
                <w:lang w:val="en-US" w:eastAsia="en-US" w:bidi="bn-IN"/>
              </w:rPr>
            </w:pPr>
            <w:r w:rsidRPr="00B17A2C">
              <w:rPr>
                <w:lang w:val="en-US" w:eastAsia="en-US" w:bidi="bn-IN"/>
              </w:rPr>
              <w:t>3</w:t>
            </w:r>
          </w:p>
        </w:tc>
      </w:tr>
    </w:tbl>
    <w:p w14:paraId="2A432531" w14:textId="77777777" w:rsidR="00B17A2C" w:rsidRPr="00B17A2C" w:rsidRDefault="00B17A2C" w:rsidP="00B17A2C">
      <w:pPr>
        <w:spacing w:before="0" w:after="160" w:line="259" w:lineRule="auto"/>
        <w:jc w:val="left"/>
        <w:rPr>
          <w:lang w:eastAsia="en-US" w:bidi="bn-IN"/>
        </w:rPr>
      </w:pPr>
    </w:p>
    <w:p w14:paraId="0F323B69" w14:textId="022A91B4" w:rsidR="00B17A2C" w:rsidRDefault="00B17A2C" w:rsidP="00455397">
      <w:pPr>
        <w:rPr>
          <w:lang w:val="en-US" w:eastAsia="en-US" w:bidi="bn-IN"/>
        </w:rPr>
      </w:pPr>
      <w:r>
        <w:rPr>
          <w:lang w:val="en-US" w:eastAsia="en-US" w:bidi="bn-IN"/>
        </w:rPr>
        <w:br/>
      </w:r>
    </w:p>
    <w:p w14:paraId="36246841" w14:textId="77777777" w:rsidR="00B17A2C" w:rsidRDefault="00B17A2C">
      <w:pPr>
        <w:spacing w:before="0" w:after="160" w:line="259" w:lineRule="auto"/>
        <w:jc w:val="left"/>
        <w:rPr>
          <w:lang w:val="en-US" w:eastAsia="en-US" w:bidi="bn-IN"/>
        </w:rPr>
      </w:pPr>
      <w:r>
        <w:rPr>
          <w:lang w:val="en-US" w:eastAsia="en-US" w:bidi="bn-IN"/>
        </w:rPr>
        <w:br w:type="page"/>
      </w:r>
    </w:p>
    <w:p w14:paraId="78AC3999" w14:textId="0B34C1BF" w:rsidR="00B17A2C" w:rsidRDefault="00B17A2C" w:rsidP="00DD5D57">
      <w:pPr>
        <w:pStyle w:val="Heading2"/>
      </w:pPr>
      <w:bookmarkStart w:id="81" w:name="_Toc240321879"/>
      <w:r>
        <w:lastRenderedPageBreak/>
        <w:t>Appendix E: Literature Review Matrix</w:t>
      </w:r>
      <w:bookmarkEnd w:id="81"/>
    </w:p>
    <w:tbl>
      <w:tblPr>
        <w:tblW w:w="22860" w:type="dxa"/>
        <w:tblLayout w:type="fixed"/>
        <w:tblLook w:val="04A0" w:firstRow="1" w:lastRow="0" w:firstColumn="1" w:lastColumn="0" w:noHBand="0" w:noVBand="1"/>
      </w:tblPr>
      <w:tblGrid>
        <w:gridCol w:w="2098"/>
        <w:gridCol w:w="2027"/>
        <w:gridCol w:w="1900"/>
        <w:gridCol w:w="4629"/>
        <w:gridCol w:w="1833"/>
        <w:gridCol w:w="1922"/>
        <w:gridCol w:w="2068"/>
        <w:gridCol w:w="2112"/>
        <w:gridCol w:w="2118"/>
        <w:gridCol w:w="2153"/>
      </w:tblGrid>
      <w:tr w:rsidR="00106549" w:rsidRPr="00106549" w14:paraId="6EB9A1C4" w14:textId="77777777" w:rsidTr="00106549">
        <w:trPr>
          <w:trHeight w:val="630"/>
        </w:trPr>
        <w:tc>
          <w:tcPr>
            <w:tcW w:w="2098" w:type="dxa"/>
            <w:tcBorders>
              <w:top w:val="single" w:sz="4" w:space="0" w:color="auto"/>
              <w:left w:val="single" w:sz="4" w:space="0" w:color="auto"/>
              <w:bottom w:val="single" w:sz="4" w:space="0" w:color="8EA9DB"/>
              <w:right w:val="nil"/>
            </w:tcBorders>
            <w:shd w:val="clear" w:color="000000" w:fill="5B9BD5"/>
            <w:hideMark/>
          </w:tcPr>
          <w:p w14:paraId="595BE89C"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Title of the Study</w:t>
            </w:r>
          </w:p>
        </w:tc>
        <w:tc>
          <w:tcPr>
            <w:tcW w:w="2027" w:type="dxa"/>
            <w:tcBorders>
              <w:top w:val="single" w:sz="4" w:space="0" w:color="auto"/>
              <w:left w:val="nil"/>
              <w:bottom w:val="single" w:sz="4" w:space="0" w:color="8EA9DB"/>
              <w:right w:val="nil"/>
            </w:tcBorders>
            <w:shd w:val="clear" w:color="000000" w:fill="5B9BD5"/>
            <w:hideMark/>
          </w:tcPr>
          <w:p w14:paraId="35F79638"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Author(s) + Year / Journal</w:t>
            </w:r>
          </w:p>
        </w:tc>
        <w:tc>
          <w:tcPr>
            <w:tcW w:w="1900" w:type="dxa"/>
            <w:tcBorders>
              <w:top w:val="single" w:sz="4" w:space="0" w:color="auto"/>
              <w:left w:val="nil"/>
              <w:bottom w:val="single" w:sz="4" w:space="0" w:color="8EA9DB"/>
              <w:right w:val="nil"/>
            </w:tcBorders>
            <w:shd w:val="clear" w:color="000000" w:fill="5B9BD5"/>
            <w:hideMark/>
          </w:tcPr>
          <w:p w14:paraId="764AAB3F"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DOI</w:t>
            </w:r>
          </w:p>
        </w:tc>
        <w:tc>
          <w:tcPr>
            <w:tcW w:w="4629" w:type="dxa"/>
            <w:tcBorders>
              <w:top w:val="single" w:sz="4" w:space="0" w:color="auto"/>
              <w:left w:val="nil"/>
              <w:bottom w:val="single" w:sz="4" w:space="0" w:color="8EA9DB"/>
              <w:right w:val="nil"/>
            </w:tcBorders>
            <w:shd w:val="clear" w:color="000000" w:fill="5B9BD5"/>
            <w:hideMark/>
          </w:tcPr>
          <w:p w14:paraId="299885FA"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Research Aim / Objectives</w:t>
            </w:r>
          </w:p>
        </w:tc>
        <w:tc>
          <w:tcPr>
            <w:tcW w:w="1833" w:type="dxa"/>
            <w:tcBorders>
              <w:top w:val="single" w:sz="4" w:space="0" w:color="auto"/>
              <w:left w:val="nil"/>
              <w:bottom w:val="single" w:sz="4" w:space="0" w:color="8EA9DB"/>
              <w:right w:val="nil"/>
            </w:tcBorders>
            <w:shd w:val="clear" w:color="000000" w:fill="5B9BD5"/>
            <w:hideMark/>
          </w:tcPr>
          <w:p w14:paraId="5B58857C"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Theory / Framework</w:t>
            </w:r>
          </w:p>
        </w:tc>
        <w:tc>
          <w:tcPr>
            <w:tcW w:w="1922" w:type="dxa"/>
            <w:tcBorders>
              <w:top w:val="single" w:sz="4" w:space="0" w:color="auto"/>
              <w:left w:val="nil"/>
              <w:bottom w:val="single" w:sz="4" w:space="0" w:color="8EA9DB"/>
              <w:right w:val="nil"/>
            </w:tcBorders>
            <w:shd w:val="clear" w:color="000000" w:fill="5B9BD5"/>
            <w:hideMark/>
          </w:tcPr>
          <w:p w14:paraId="6E05D2B1"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Methodology</w:t>
            </w:r>
          </w:p>
        </w:tc>
        <w:tc>
          <w:tcPr>
            <w:tcW w:w="2068" w:type="dxa"/>
            <w:tcBorders>
              <w:top w:val="single" w:sz="4" w:space="0" w:color="auto"/>
              <w:left w:val="nil"/>
              <w:bottom w:val="single" w:sz="4" w:space="0" w:color="8EA9DB"/>
              <w:right w:val="nil"/>
            </w:tcBorders>
            <w:shd w:val="clear" w:color="000000" w:fill="5B9BD5"/>
            <w:hideMark/>
          </w:tcPr>
          <w:p w14:paraId="7070B8AC"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Research Gaps Highlighted</w:t>
            </w:r>
          </w:p>
        </w:tc>
        <w:tc>
          <w:tcPr>
            <w:tcW w:w="2112" w:type="dxa"/>
            <w:tcBorders>
              <w:top w:val="single" w:sz="4" w:space="0" w:color="auto"/>
              <w:left w:val="nil"/>
              <w:bottom w:val="single" w:sz="4" w:space="0" w:color="8EA9DB"/>
              <w:right w:val="nil"/>
            </w:tcBorders>
            <w:shd w:val="clear" w:color="000000" w:fill="5B9BD5"/>
            <w:hideMark/>
          </w:tcPr>
          <w:p w14:paraId="2F699FBD"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Methodological Limits</w:t>
            </w:r>
          </w:p>
        </w:tc>
        <w:tc>
          <w:tcPr>
            <w:tcW w:w="2118" w:type="dxa"/>
            <w:tcBorders>
              <w:top w:val="single" w:sz="4" w:space="0" w:color="auto"/>
              <w:left w:val="nil"/>
              <w:bottom w:val="single" w:sz="4" w:space="0" w:color="8EA9DB"/>
              <w:right w:val="nil"/>
            </w:tcBorders>
            <w:shd w:val="clear" w:color="000000" w:fill="5B9BD5"/>
            <w:hideMark/>
          </w:tcPr>
          <w:p w14:paraId="0221D5E1"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Key Finding</w:t>
            </w:r>
          </w:p>
        </w:tc>
        <w:tc>
          <w:tcPr>
            <w:tcW w:w="2153" w:type="dxa"/>
            <w:tcBorders>
              <w:top w:val="single" w:sz="4" w:space="0" w:color="auto"/>
              <w:left w:val="nil"/>
              <w:bottom w:val="single" w:sz="4" w:space="0" w:color="8EA9DB"/>
              <w:right w:val="single" w:sz="4" w:space="0" w:color="auto"/>
            </w:tcBorders>
            <w:shd w:val="clear" w:color="000000" w:fill="5B9BD5"/>
            <w:hideMark/>
          </w:tcPr>
          <w:p w14:paraId="6716BF66" w14:textId="77777777" w:rsidR="00106549" w:rsidRPr="00106549" w:rsidRDefault="00106549" w:rsidP="00106549">
            <w:pPr>
              <w:spacing w:before="0" w:after="0" w:line="240" w:lineRule="auto"/>
              <w:jc w:val="center"/>
              <w:rPr>
                <w:b/>
                <w:bCs/>
                <w:color w:val="FFFFFF"/>
                <w:kern w:val="0"/>
                <w:szCs w:val="24"/>
                <w:lang w:val="en-US" w:eastAsia="en-US"/>
                <w14:ligatures w14:val="none"/>
              </w:rPr>
            </w:pPr>
            <w:r w:rsidRPr="00106549">
              <w:rPr>
                <w:b/>
                <w:bCs/>
                <w:color w:val="FFFFFF"/>
                <w:kern w:val="0"/>
                <w:szCs w:val="24"/>
                <w:lang w:val="en-US" w:eastAsia="en-US"/>
                <w14:ligatures w14:val="none"/>
              </w:rPr>
              <w:t>Relevance to Study</w:t>
            </w:r>
          </w:p>
        </w:tc>
      </w:tr>
      <w:tr w:rsidR="00106549" w:rsidRPr="00106549" w14:paraId="266AB768" w14:textId="77777777" w:rsidTr="00106549">
        <w:trPr>
          <w:trHeight w:val="2180"/>
        </w:trPr>
        <w:tc>
          <w:tcPr>
            <w:tcW w:w="2098" w:type="dxa"/>
            <w:tcBorders>
              <w:top w:val="single" w:sz="8" w:space="0" w:color="auto"/>
              <w:left w:val="single" w:sz="4" w:space="0" w:color="auto"/>
              <w:bottom w:val="single" w:sz="8" w:space="0" w:color="auto"/>
              <w:right w:val="nil"/>
            </w:tcBorders>
            <w:shd w:val="clear" w:color="D9E1F2" w:fill="D9E1F2"/>
            <w:hideMark/>
          </w:tcPr>
          <w:p w14:paraId="627FDAC1"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Violation and lack of awareness of employment rights in the UK's hotel industry</w:t>
            </w:r>
          </w:p>
        </w:tc>
        <w:tc>
          <w:tcPr>
            <w:tcW w:w="2027" w:type="dxa"/>
            <w:tcBorders>
              <w:top w:val="single" w:sz="8" w:space="0" w:color="auto"/>
              <w:left w:val="nil"/>
              <w:bottom w:val="single" w:sz="8" w:space="0" w:color="auto"/>
              <w:right w:val="nil"/>
            </w:tcBorders>
            <w:shd w:val="clear" w:color="D9E1F2" w:fill="D9E1F2"/>
            <w:hideMark/>
          </w:tcPr>
          <w:p w14:paraId="5DF8165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Papadopoulos, O., Lopez-Andreu, M. &amp; Jamalian, M. (2021) / Industrial Relations Journal</w:t>
            </w:r>
          </w:p>
        </w:tc>
        <w:tc>
          <w:tcPr>
            <w:tcW w:w="1900" w:type="dxa"/>
            <w:tcBorders>
              <w:top w:val="single" w:sz="8" w:space="0" w:color="auto"/>
              <w:left w:val="single" w:sz="8" w:space="0" w:color="auto"/>
              <w:bottom w:val="single" w:sz="8" w:space="0" w:color="auto"/>
              <w:right w:val="single" w:sz="8" w:space="0" w:color="auto"/>
            </w:tcBorders>
            <w:shd w:val="clear" w:color="D9E1F2" w:fill="D9E1F2"/>
            <w:hideMark/>
          </w:tcPr>
          <w:p w14:paraId="117F28CF"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0" w:history="1">
              <w:r w:rsidR="00106549" w:rsidRPr="00106549">
                <w:rPr>
                  <w:color w:val="0563C1"/>
                  <w:kern w:val="0"/>
                  <w:szCs w:val="24"/>
                  <w:u w:val="single"/>
                  <w:lang w:val="en-US" w:eastAsia="en-US"/>
                  <w14:ligatures w14:val="none"/>
                </w:rPr>
                <w:t>https://doi.org/10.1111/irj.12337</w:t>
              </w:r>
            </w:hyperlink>
          </w:p>
        </w:tc>
        <w:tc>
          <w:tcPr>
            <w:tcW w:w="4629" w:type="dxa"/>
            <w:tcBorders>
              <w:top w:val="single" w:sz="8" w:space="0" w:color="auto"/>
              <w:left w:val="nil"/>
              <w:bottom w:val="single" w:sz="8" w:space="0" w:color="auto"/>
              <w:right w:val="nil"/>
            </w:tcBorders>
            <w:shd w:val="clear" w:color="D9E1F2" w:fill="D9E1F2"/>
            <w:hideMark/>
          </w:tcPr>
          <w:p w14:paraId="564D4F0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the extent of employment-rights violations in the UK hotel industry and identify the barriers workers face when trying to defend their rights.</w:t>
            </w:r>
          </w:p>
        </w:tc>
        <w:tc>
          <w:tcPr>
            <w:tcW w:w="1833" w:type="dxa"/>
            <w:tcBorders>
              <w:top w:val="single" w:sz="8" w:space="0" w:color="auto"/>
              <w:left w:val="nil"/>
              <w:bottom w:val="single" w:sz="8" w:space="0" w:color="auto"/>
              <w:right w:val="nil"/>
            </w:tcBorders>
            <w:shd w:val="clear" w:color="D9E1F2" w:fill="D9E1F2"/>
            <w:hideMark/>
          </w:tcPr>
          <w:p w14:paraId="6EDEE5B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Employment-rights enforcement; worker vulnerability; labour market regulation.</w:t>
            </w:r>
          </w:p>
        </w:tc>
        <w:tc>
          <w:tcPr>
            <w:tcW w:w="1922" w:type="dxa"/>
            <w:tcBorders>
              <w:top w:val="single" w:sz="8" w:space="0" w:color="auto"/>
              <w:left w:val="nil"/>
              <w:bottom w:val="single" w:sz="8" w:space="0" w:color="auto"/>
              <w:right w:val="nil"/>
            </w:tcBorders>
            <w:shd w:val="clear" w:color="D9E1F2" w:fill="D9E1F2"/>
            <w:hideMark/>
          </w:tcPr>
          <w:p w14:paraId="781E78B6"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Empirical qualitative study using evidence on worker experiences and enforcement barriers.</w:t>
            </w:r>
          </w:p>
        </w:tc>
        <w:tc>
          <w:tcPr>
            <w:tcW w:w="2068" w:type="dxa"/>
            <w:tcBorders>
              <w:top w:val="single" w:sz="8" w:space="0" w:color="auto"/>
              <w:left w:val="nil"/>
              <w:bottom w:val="single" w:sz="8" w:space="0" w:color="auto"/>
              <w:right w:val="nil"/>
            </w:tcBorders>
            <w:shd w:val="clear" w:color="D9E1F2" w:fill="D9E1F2"/>
            <w:hideMark/>
          </w:tcPr>
          <w:p w14:paraId="4409CDF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study shows that rights violations and low rights awareness are under-examined in fragmented, low-paid service-sector workplaces.</w:t>
            </w:r>
          </w:p>
        </w:tc>
        <w:tc>
          <w:tcPr>
            <w:tcW w:w="2112" w:type="dxa"/>
            <w:tcBorders>
              <w:top w:val="single" w:sz="8" w:space="0" w:color="auto"/>
              <w:left w:val="nil"/>
              <w:bottom w:val="single" w:sz="8" w:space="0" w:color="auto"/>
              <w:right w:val="nil"/>
            </w:tcBorders>
            <w:shd w:val="clear" w:color="D9E1F2" w:fill="D9E1F2"/>
            <w:hideMark/>
          </w:tcPr>
          <w:p w14:paraId="47301DB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focuses on the hotel industry, not retail, so the findings need careful transfer to UK retail employees.</w:t>
            </w:r>
          </w:p>
        </w:tc>
        <w:tc>
          <w:tcPr>
            <w:tcW w:w="2118" w:type="dxa"/>
            <w:tcBorders>
              <w:top w:val="single" w:sz="8" w:space="0" w:color="auto"/>
              <w:left w:val="nil"/>
              <w:bottom w:val="single" w:sz="8" w:space="0" w:color="auto"/>
              <w:right w:val="nil"/>
            </w:tcBorders>
            <w:shd w:val="clear" w:color="D9E1F2" w:fill="D9E1F2"/>
            <w:hideMark/>
          </w:tcPr>
          <w:p w14:paraId="1BF158F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Workers' isolation, fear, insecure status and lack of rights awareness weaken their ability to challenge poor treatment.</w:t>
            </w:r>
          </w:p>
        </w:tc>
        <w:tc>
          <w:tcPr>
            <w:tcW w:w="2153" w:type="dxa"/>
            <w:tcBorders>
              <w:top w:val="single" w:sz="8" w:space="0" w:color="auto"/>
              <w:left w:val="nil"/>
              <w:bottom w:val="single" w:sz="8" w:space="0" w:color="auto"/>
              <w:right w:val="single" w:sz="4" w:space="0" w:color="auto"/>
            </w:tcBorders>
            <w:shd w:val="clear" w:color="D9E1F2" w:fill="D9E1F2"/>
            <w:hideMark/>
          </w:tcPr>
          <w:p w14:paraId="14EEC0E4"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Highly relevant. It directly supports the argument that awareness of rights matters in low-paid service work and may shape trust in employers.</w:t>
            </w:r>
          </w:p>
        </w:tc>
      </w:tr>
      <w:tr w:rsidR="00106549" w:rsidRPr="00106549" w14:paraId="78EBC7E8" w14:textId="77777777" w:rsidTr="00106549">
        <w:trPr>
          <w:trHeight w:val="2490"/>
        </w:trPr>
        <w:tc>
          <w:tcPr>
            <w:tcW w:w="2098" w:type="dxa"/>
            <w:tcBorders>
              <w:top w:val="single" w:sz="8" w:space="0" w:color="auto"/>
              <w:left w:val="single" w:sz="4" w:space="0" w:color="auto"/>
              <w:bottom w:val="single" w:sz="8" w:space="0" w:color="auto"/>
              <w:right w:val="nil"/>
            </w:tcBorders>
            <w:shd w:val="clear" w:color="auto" w:fill="auto"/>
            <w:hideMark/>
          </w:tcPr>
          <w:p w14:paraId="670ADCA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evolving nature of labour inspection, enforcement of employment rights and the regulatory reach of the state in Britain</w:t>
            </w:r>
          </w:p>
        </w:tc>
        <w:tc>
          <w:tcPr>
            <w:tcW w:w="2027" w:type="dxa"/>
            <w:tcBorders>
              <w:top w:val="single" w:sz="8" w:space="0" w:color="auto"/>
              <w:left w:val="nil"/>
              <w:bottom w:val="single" w:sz="8" w:space="0" w:color="auto"/>
              <w:right w:val="nil"/>
            </w:tcBorders>
            <w:shd w:val="clear" w:color="auto" w:fill="auto"/>
            <w:hideMark/>
          </w:tcPr>
          <w:p w14:paraId="26C0FF7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Mustchin, S. &amp; Martínez Lucio, M. (2020) /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516370D"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1" w:history="1">
              <w:r w:rsidR="00106549" w:rsidRPr="00106549">
                <w:rPr>
                  <w:color w:val="0563C1"/>
                  <w:kern w:val="0"/>
                  <w:szCs w:val="24"/>
                  <w:u w:val="single"/>
                  <w:lang w:val="en-US" w:eastAsia="en-US"/>
                  <w14:ligatures w14:val="none"/>
                </w:rPr>
                <w:t>https://doi.org/10.1177/0022185620908909</w:t>
              </w:r>
            </w:hyperlink>
          </w:p>
        </w:tc>
        <w:tc>
          <w:tcPr>
            <w:tcW w:w="4629" w:type="dxa"/>
            <w:tcBorders>
              <w:top w:val="single" w:sz="8" w:space="0" w:color="auto"/>
              <w:left w:val="nil"/>
              <w:bottom w:val="single" w:sz="8" w:space="0" w:color="auto"/>
              <w:right w:val="nil"/>
            </w:tcBorders>
            <w:shd w:val="clear" w:color="auto" w:fill="auto"/>
            <w:hideMark/>
          </w:tcPr>
          <w:p w14:paraId="504AC2F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analyse how labour inspection and employment-rights enforcement have changed in Britain and what this means for state regulatory capacity.</w:t>
            </w:r>
          </w:p>
        </w:tc>
        <w:tc>
          <w:tcPr>
            <w:tcW w:w="1833" w:type="dxa"/>
            <w:tcBorders>
              <w:top w:val="single" w:sz="8" w:space="0" w:color="auto"/>
              <w:left w:val="nil"/>
              <w:bottom w:val="single" w:sz="8" w:space="0" w:color="auto"/>
              <w:right w:val="nil"/>
            </w:tcBorders>
            <w:shd w:val="clear" w:color="auto" w:fill="auto"/>
            <w:hideMark/>
          </w:tcPr>
          <w:p w14:paraId="5F2758D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Regulatory theory; labour inspection; state enforcement capacity.</w:t>
            </w:r>
          </w:p>
        </w:tc>
        <w:tc>
          <w:tcPr>
            <w:tcW w:w="1922" w:type="dxa"/>
            <w:tcBorders>
              <w:top w:val="single" w:sz="8" w:space="0" w:color="auto"/>
              <w:left w:val="nil"/>
              <w:bottom w:val="single" w:sz="8" w:space="0" w:color="auto"/>
              <w:right w:val="nil"/>
            </w:tcBorders>
            <w:shd w:val="clear" w:color="auto" w:fill="auto"/>
            <w:hideMark/>
          </w:tcPr>
          <w:p w14:paraId="0389519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Qualitative research focused on labour-market regulatory actors and institutional change.</w:t>
            </w:r>
          </w:p>
        </w:tc>
        <w:tc>
          <w:tcPr>
            <w:tcW w:w="2068" w:type="dxa"/>
            <w:tcBorders>
              <w:top w:val="single" w:sz="8" w:space="0" w:color="auto"/>
              <w:left w:val="nil"/>
              <w:bottom w:val="single" w:sz="8" w:space="0" w:color="auto"/>
              <w:right w:val="nil"/>
            </w:tcBorders>
            <w:shd w:val="clear" w:color="auto" w:fill="auto"/>
            <w:hideMark/>
          </w:tcPr>
          <w:p w14:paraId="460C850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highlights limited evidence on how weakened enforcement affects workers' everyday ability to understand and use employment rights.</w:t>
            </w:r>
          </w:p>
        </w:tc>
        <w:tc>
          <w:tcPr>
            <w:tcW w:w="2112" w:type="dxa"/>
            <w:tcBorders>
              <w:top w:val="single" w:sz="8" w:space="0" w:color="auto"/>
              <w:left w:val="nil"/>
              <w:bottom w:val="single" w:sz="8" w:space="0" w:color="auto"/>
              <w:right w:val="nil"/>
            </w:tcBorders>
            <w:shd w:val="clear" w:color="auto" w:fill="auto"/>
            <w:hideMark/>
          </w:tcPr>
          <w:p w14:paraId="6958D9C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is a macro-level study and does not measure individual employee awareness or organisational commitment.</w:t>
            </w:r>
          </w:p>
        </w:tc>
        <w:tc>
          <w:tcPr>
            <w:tcW w:w="2118" w:type="dxa"/>
            <w:tcBorders>
              <w:top w:val="single" w:sz="8" w:space="0" w:color="auto"/>
              <w:left w:val="nil"/>
              <w:bottom w:val="single" w:sz="8" w:space="0" w:color="auto"/>
              <w:right w:val="nil"/>
            </w:tcBorders>
            <w:shd w:val="clear" w:color="auto" w:fill="auto"/>
            <w:hideMark/>
          </w:tcPr>
          <w:p w14:paraId="10A6840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Employment-rights enforcement in Britain is fragmented, and stronger state intervention does not always mean stronger workplace protection.</w:t>
            </w:r>
          </w:p>
        </w:tc>
        <w:tc>
          <w:tcPr>
            <w:tcW w:w="2153" w:type="dxa"/>
            <w:tcBorders>
              <w:top w:val="single" w:sz="8" w:space="0" w:color="auto"/>
              <w:left w:val="nil"/>
              <w:bottom w:val="single" w:sz="8" w:space="0" w:color="auto"/>
              <w:right w:val="single" w:sz="4" w:space="0" w:color="auto"/>
            </w:tcBorders>
            <w:shd w:val="clear" w:color="auto" w:fill="auto"/>
            <w:hideMark/>
          </w:tcPr>
          <w:p w14:paraId="5F23BBE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Useful contextual source. It explains why workers may need individual awareness when enforcement systems are limited.</w:t>
            </w:r>
          </w:p>
        </w:tc>
      </w:tr>
      <w:tr w:rsidR="00106549" w:rsidRPr="00106549" w14:paraId="413AFB1A" w14:textId="77777777" w:rsidTr="00106549">
        <w:trPr>
          <w:trHeight w:val="2180"/>
        </w:trPr>
        <w:tc>
          <w:tcPr>
            <w:tcW w:w="2098" w:type="dxa"/>
            <w:tcBorders>
              <w:top w:val="single" w:sz="8" w:space="0" w:color="auto"/>
              <w:left w:val="single" w:sz="4" w:space="0" w:color="auto"/>
              <w:bottom w:val="single" w:sz="8" w:space="0" w:color="auto"/>
              <w:right w:val="nil"/>
            </w:tcBorders>
            <w:shd w:val="clear" w:color="D9E1F2" w:fill="D9E1F2"/>
            <w:hideMark/>
          </w:tcPr>
          <w:p w14:paraId="0861045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lastRenderedPageBreak/>
              <w:t>Inequality at work and employees' perceptions of organisational fairness</w:t>
            </w:r>
          </w:p>
        </w:tc>
        <w:tc>
          <w:tcPr>
            <w:tcW w:w="2027" w:type="dxa"/>
            <w:tcBorders>
              <w:top w:val="single" w:sz="8" w:space="0" w:color="auto"/>
              <w:left w:val="nil"/>
              <w:bottom w:val="single" w:sz="8" w:space="0" w:color="auto"/>
              <w:right w:val="nil"/>
            </w:tcBorders>
            <w:shd w:val="clear" w:color="D9E1F2" w:fill="D9E1F2"/>
            <w:hideMark/>
          </w:tcPr>
          <w:p w14:paraId="0CEF8D24"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Gallie, D., Felstead, A., Green, F. &amp; Henseke, G. (2021) / Industrial Relations Journal</w:t>
            </w:r>
          </w:p>
        </w:tc>
        <w:tc>
          <w:tcPr>
            <w:tcW w:w="1900" w:type="dxa"/>
            <w:tcBorders>
              <w:top w:val="single" w:sz="8" w:space="0" w:color="auto"/>
              <w:left w:val="single" w:sz="8" w:space="0" w:color="auto"/>
              <w:bottom w:val="single" w:sz="8" w:space="0" w:color="auto"/>
              <w:right w:val="single" w:sz="8" w:space="0" w:color="auto"/>
            </w:tcBorders>
            <w:shd w:val="clear" w:color="D9E1F2" w:fill="D9E1F2"/>
            <w:hideMark/>
          </w:tcPr>
          <w:p w14:paraId="5D065F44"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2" w:history="1">
              <w:r w:rsidR="00106549" w:rsidRPr="00106549">
                <w:rPr>
                  <w:color w:val="0563C1"/>
                  <w:kern w:val="0"/>
                  <w:szCs w:val="24"/>
                  <w:u w:val="single"/>
                  <w:lang w:val="en-US" w:eastAsia="en-US"/>
                  <w14:ligatures w14:val="none"/>
                </w:rPr>
                <w:t>https://doi.org/10.1111/irj.12346</w:t>
              </w:r>
            </w:hyperlink>
          </w:p>
        </w:tc>
        <w:tc>
          <w:tcPr>
            <w:tcW w:w="4629" w:type="dxa"/>
            <w:tcBorders>
              <w:top w:val="single" w:sz="8" w:space="0" w:color="auto"/>
              <w:left w:val="nil"/>
              <w:bottom w:val="single" w:sz="8" w:space="0" w:color="auto"/>
              <w:right w:val="nil"/>
            </w:tcBorders>
            <w:shd w:val="clear" w:color="D9E1F2" w:fill="D9E1F2"/>
            <w:hideMark/>
          </w:tcPr>
          <w:p w14:paraId="58818E9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how workplace inequality and job quality influence employees' perceptions of organisational fairness.</w:t>
            </w:r>
          </w:p>
        </w:tc>
        <w:tc>
          <w:tcPr>
            <w:tcW w:w="1833" w:type="dxa"/>
            <w:tcBorders>
              <w:top w:val="single" w:sz="8" w:space="0" w:color="auto"/>
              <w:left w:val="nil"/>
              <w:bottom w:val="single" w:sz="8" w:space="0" w:color="auto"/>
              <w:right w:val="nil"/>
            </w:tcBorders>
            <w:shd w:val="clear" w:color="D9E1F2" w:fill="D9E1F2"/>
            <w:hideMark/>
          </w:tcPr>
          <w:p w14:paraId="7D481D5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Organisational fairness; job quality; workplace inequality.</w:t>
            </w:r>
          </w:p>
        </w:tc>
        <w:tc>
          <w:tcPr>
            <w:tcW w:w="1922" w:type="dxa"/>
            <w:tcBorders>
              <w:top w:val="single" w:sz="8" w:space="0" w:color="auto"/>
              <w:left w:val="nil"/>
              <w:bottom w:val="single" w:sz="8" w:space="0" w:color="auto"/>
              <w:right w:val="nil"/>
            </w:tcBorders>
            <w:shd w:val="clear" w:color="D9E1F2" w:fill="D9E1F2"/>
            <w:hideMark/>
          </w:tcPr>
          <w:p w14:paraId="529B187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Quantitative analysis of UK employee survey evidence.</w:t>
            </w:r>
          </w:p>
        </w:tc>
        <w:tc>
          <w:tcPr>
            <w:tcW w:w="2068" w:type="dxa"/>
            <w:tcBorders>
              <w:top w:val="single" w:sz="8" w:space="0" w:color="auto"/>
              <w:left w:val="nil"/>
              <w:bottom w:val="single" w:sz="8" w:space="0" w:color="auto"/>
              <w:right w:val="nil"/>
            </w:tcBorders>
            <w:shd w:val="clear" w:color="D9E1F2" w:fill="D9E1F2"/>
            <w:hideMark/>
          </w:tcPr>
          <w:p w14:paraId="2306FA3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study addresses fairness perceptions, but it does not directly test employment-rights awareness as a predictor of commitment.</w:t>
            </w:r>
          </w:p>
        </w:tc>
        <w:tc>
          <w:tcPr>
            <w:tcW w:w="2112" w:type="dxa"/>
            <w:tcBorders>
              <w:top w:val="single" w:sz="8" w:space="0" w:color="auto"/>
              <w:left w:val="nil"/>
              <w:bottom w:val="single" w:sz="8" w:space="0" w:color="auto"/>
              <w:right w:val="nil"/>
            </w:tcBorders>
            <w:shd w:val="clear" w:color="D9E1F2" w:fill="D9E1F2"/>
            <w:hideMark/>
          </w:tcPr>
          <w:p w14:paraId="5DBA713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Self-reported fairness measures may be affected by personal expectations and workplace culture.</w:t>
            </w:r>
          </w:p>
        </w:tc>
        <w:tc>
          <w:tcPr>
            <w:tcW w:w="2118" w:type="dxa"/>
            <w:tcBorders>
              <w:top w:val="single" w:sz="8" w:space="0" w:color="auto"/>
              <w:left w:val="nil"/>
              <w:bottom w:val="single" w:sz="8" w:space="0" w:color="auto"/>
              <w:right w:val="nil"/>
            </w:tcBorders>
            <w:shd w:val="clear" w:color="D9E1F2" w:fill="D9E1F2"/>
            <w:hideMark/>
          </w:tcPr>
          <w:p w14:paraId="5496254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Employees' perceptions of fairness are strongly shaped by the quality and inequality of their work conditions.</w:t>
            </w:r>
          </w:p>
        </w:tc>
        <w:tc>
          <w:tcPr>
            <w:tcW w:w="2153" w:type="dxa"/>
            <w:tcBorders>
              <w:top w:val="single" w:sz="8" w:space="0" w:color="auto"/>
              <w:left w:val="nil"/>
              <w:bottom w:val="single" w:sz="8" w:space="0" w:color="auto"/>
              <w:right w:val="single" w:sz="4" w:space="0" w:color="auto"/>
            </w:tcBorders>
            <w:shd w:val="clear" w:color="D9E1F2" w:fill="D9E1F2"/>
            <w:hideMark/>
          </w:tcPr>
          <w:p w14:paraId="1F209D3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Strongly relevant. It supports the proposed link between rights awareness, perceived fairness and commitment.</w:t>
            </w:r>
          </w:p>
        </w:tc>
      </w:tr>
      <w:tr w:rsidR="00106549" w:rsidRPr="00106549" w14:paraId="272A2AC6" w14:textId="77777777" w:rsidTr="00106549">
        <w:trPr>
          <w:trHeight w:val="2180"/>
        </w:trPr>
        <w:tc>
          <w:tcPr>
            <w:tcW w:w="2098" w:type="dxa"/>
            <w:tcBorders>
              <w:top w:val="single" w:sz="8" w:space="0" w:color="auto"/>
              <w:left w:val="single" w:sz="4" w:space="0" w:color="auto"/>
              <w:bottom w:val="single" w:sz="8" w:space="0" w:color="auto"/>
              <w:right w:val="nil"/>
            </w:tcBorders>
            <w:shd w:val="clear" w:color="auto" w:fill="auto"/>
            <w:hideMark/>
          </w:tcPr>
          <w:p w14:paraId="0EBFE4E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Inspired to perform: A multilevel investigation of antecedents and consequences of thriving at work</w:t>
            </w:r>
          </w:p>
        </w:tc>
        <w:tc>
          <w:tcPr>
            <w:tcW w:w="2027" w:type="dxa"/>
            <w:tcBorders>
              <w:top w:val="single" w:sz="8" w:space="0" w:color="auto"/>
              <w:left w:val="nil"/>
              <w:bottom w:val="single" w:sz="8" w:space="0" w:color="auto"/>
              <w:right w:val="nil"/>
            </w:tcBorders>
            <w:shd w:val="clear" w:color="auto" w:fill="auto"/>
            <w:hideMark/>
          </w:tcPr>
          <w:p w14:paraId="72BDE85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Walumbwa et al. (2018) / Journal of Organizational Behavior</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A87D4DB"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3" w:history="1">
              <w:r w:rsidR="00106549" w:rsidRPr="00106549">
                <w:rPr>
                  <w:color w:val="0563C1"/>
                  <w:kern w:val="0"/>
                  <w:szCs w:val="24"/>
                  <w:u w:val="single"/>
                  <w:lang w:val="en-US" w:eastAsia="en-US"/>
                  <w14:ligatures w14:val="none"/>
                </w:rPr>
                <w:t>https://doi.org/10.1002/job.2216</w:t>
              </w:r>
            </w:hyperlink>
          </w:p>
        </w:tc>
        <w:tc>
          <w:tcPr>
            <w:tcW w:w="4629" w:type="dxa"/>
            <w:tcBorders>
              <w:top w:val="single" w:sz="8" w:space="0" w:color="auto"/>
              <w:left w:val="nil"/>
              <w:bottom w:val="single" w:sz="8" w:space="0" w:color="auto"/>
              <w:right w:val="nil"/>
            </w:tcBorders>
            <w:shd w:val="clear" w:color="auto" w:fill="auto"/>
            <w:hideMark/>
          </w:tcPr>
          <w:p w14:paraId="47FDC1A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test a multilevel model of factors that help employees thrive at work and examine the consequences for health and unit performance.</w:t>
            </w:r>
          </w:p>
        </w:tc>
        <w:tc>
          <w:tcPr>
            <w:tcW w:w="1833" w:type="dxa"/>
            <w:tcBorders>
              <w:top w:val="single" w:sz="8" w:space="0" w:color="auto"/>
              <w:left w:val="nil"/>
              <w:bottom w:val="single" w:sz="8" w:space="0" w:color="auto"/>
              <w:right w:val="nil"/>
            </w:tcBorders>
            <w:shd w:val="clear" w:color="auto" w:fill="auto"/>
            <w:hideMark/>
          </w:tcPr>
          <w:p w14:paraId="6CFC0E3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Thriving at work; supportive work context; multilevel organisational behaviour.</w:t>
            </w:r>
          </w:p>
        </w:tc>
        <w:tc>
          <w:tcPr>
            <w:tcW w:w="1922" w:type="dxa"/>
            <w:tcBorders>
              <w:top w:val="single" w:sz="8" w:space="0" w:color="auto"/>
              <w:left w:val="nil"/>
              <w:bottom w:val="single" w:sz="8" w:space="0" w:color="auto"/>
              <w:right w:val="nil"/>
            </w:tcBorders>
            <w:shd w:val="clear" w:color="auto" w:fill="auto"/>
            <w:hideMark/>
          </w:tcPr>
          <w:p w14:paraId="1CBB5F2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Multilevel quantitative study.</w:t>
            </w:r>
          </w:p>
        </w:tc>
        <w:tc>
          <w:tcPr>
            <w:tcW w:w="2068" w:type="dxa"/>
            <w:tcBorders>
              <w:top w:val="single" w:sz="8" w:space="0" w:color="auto"/>
              <w:left w:val="nil"/>
              <w:bottom w:val="single" w:sz="8" w:space="0" w:color="auto"/>
              <w:right w:val="nil"/>
            </w:tcBorders>
            <w:shd w:val="clear" w:color="auto" w:fill="auto"/>
            <w:hideMark/>
          </w:tcPr>
          <w:p w14:paraId="5B3E341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paper helps explain positive employee functioning but does not address employment rights, legal awareness or retail commitment directly.</w:t>
            </w:r>
          </w:p>
        </w:tc>
        <w:tc>
          <w:tcPr>
            <w:tcW w:w="2112" w:type="dxa"/>
            <w:tcBorders>
              <w:top w:val="single" w:sz="8" w:space="0" w:color="auto"/>
              <w:left w:val="nil"/>
              <w:bottom w:val="single" w:sz="8" w:space="0" w:color="auto"/>
              <w:right w:val="nil"/>
            </w:tcBorders>
            <w:shd w:val="clear" w:color="auto" w:fill="auto"/>
            <w:hideMark/>
          </w:tcPr>
          <w:p w14:paraId="7C61E0F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Its direct relevance is limited because the focus is thriving and performance rather than rights awareness or commitment.</w:t>
            </w:r>
          </w:p>
        </w:tc>
        <w:tc>
          <w:tcPr>
            <w:tcW w:w="2118" w:type="dxa"/>
            <w:tcBorders>
              <w:top w:val="single" w:sz="8" w:space="0" w:color="auto"/>
              <w:left w:val="nil"/>
              <w:bottom w:val="single" w:sz="8" w:space="0" w:color="auto"/>
              <w:right w:val="nil"/>
            </w:tcBorders>
            <w:shd w:val="clear" w:color="auto" w:fill="auto"/>
            <w:hideMark/>
          </w:tcPr>
          <w:p w14:paraId="51FFAEC1"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Supportive contextual and individual factors can encourage thriving, which is linked with positive employee and organisational outcomes.</w:t>
            </w:r>
          </w:p>
        </w:tc>
        <w:tc>
          <w:tcPr>
            <w:tcW w:w="2153" w:type="dxa"/>
            <w:tcBorders>
              <w:top w:val="single" w:sz="8" w:space="0" w:color="auto"/>
              <w:left w:val="nil"/>
              <w:bottom w:val="single" w:sz="8" w:space="0" w:color="auto"/>
              <w:right w:val="single" w:sz="4" w:space="0" w:color="auto"/>
            </w:tcBorders>
            <w:shd w:val="clear" w:color="auto" w:fill="auto"/>
            <w:hideMark/>
          </w:tcPr>
          <w:p w14:paraId="58E0124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Indirectly relevant. It helps show that fair and supportive work conditions can improve employee attitudes, but it should not be used as a core rights-awareness source.</w:t>
            </w:r>
          </w:p>
        </w:tc>
      </w:tr>
      <w:tr w:rsidR="00106549" w:rsidRPr="00106549" w14:paraId="0005D9F6" w14:textId="77777777" w:rsidTr="00106549">
        <w:trPr>
          <w:trHeight w:val="1870"/>
        </w:trPr>
        <w:tc>
          <w:tcPr>
            <w:tcW w:w="2098" w:type="dxa"/>
            <w:tcBorders>
              <w:top w:val="single" w:sz="8" w:space="0" w:color="auto"/>
              <w:left w:val="single" w:sz="4" w:space="0" w:color="auto"/>
              <w:bottom w:val="single" w:sz="8" w:space="0" w:color="auto"/>
              <w:right w:val="nil"/>
            </w:tcBorders>
            <w:shd w:val="clear" w:color="D9E1F2" w:fill="D9E1F2"/>
            <w:hideMark/>
          </w:tcPr>
          <w:p w14:paraId="17B7C6D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Opportunity, Motivation, and Ability to Learn from Failures and Errors: Review, Synthesis, and Ways to Move Forward</w:t>
            </w:r>
          </w:p>
        </w:tc>
        <w:tc>
          <w:tcPr>
            <w:tcW w:w="2027" w:type="dxa"/>
            <w:tcBorders>
              <w:top w:val="single" w:sz="8" w:space="0" w:color="auto"/>
              <w:left w:val="nil"/>
              <w:bottom w:val="single" w:sz="8" w:space="0" w:color="auto"/>
              <w:right w:val="nil"/>
            </w:tcBorders>
            <w:shd w:val="clear" w:color="D9E1F2" w:fill="D9E1F2"/>
            <w:hideMark/>
          </w:tcPr>
          <w:p w14:paraId="005523C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Dahlin, Chuang and Roulet (2018) / Academy of Management Annals</w:t>
            </w:r>
          </w:p>
        </w:tc>
        <w:tc>
          <w:tcPr>
            <w:tcW w:w="1900" w:type="dxa"/>
            <w:tcBorders>
              <w:top w:val="single" w:sz="8" w:space="0" w:color="auto"/>
              <w:left w:val="single" w:sz="8" w:space="0" w:color="auto"/>
              <w:bottom w:val="single" w:sz="8" w:space="0" w:color="auto"/>
              <w:right w:val="single" w:sz="8" w:space="0" w:color="auto"/>
            </w:tcBorders>
            <w:shd w:val="clear" w:color="D9E1F2" w:fill="D9E1F2"/>
            <w:hideMark/>
          </w:tcPr>
          <w:p w14:paraId="5D4AE0DC"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4" w:history="1">
              <w:r w:rsidR="00106549" w:rsidRPr="00106549">
                <w:rPr>
                  <w:color w:val="0563C1"/>
                  <w:kern w:val="0"/>
                  <w:szCs w:val="24"/>
                  <w:u w:val="single"/>
                  <w:lang w:val="en-US" w:eastAsia="en-US"/>
                  <w14:ligatures w14:val="none"/>
                </w:rPr>
                <w:t>https://doi.org/10.5465/annals.2016.0049</w:t>
              </w:r>
            </w:hyperlink>
          </w:p>
        </w:tc>
        <w:tc>
          <w:tcPr>
            <w:tcW w:w="4629" w:type="dxa"/>
            <w:tcBorders>
              <w:top w:val="single" w:sz="8" w:space="0" w:color="auto"/>
              <w:left w:val="nil"/>
              <w:bottom w:val="single" w:sz="8" w:space="0" w:color="auto"/>
              <w:right w:val="nil"/>
            </w:tcBorders>
            <w:shd w:val="clear" w:color="D9E1F2" w:fill="D9E1F2"/>
            <w:hideMark/>
          </w:tcPr>
          <w:p w14:paraId="1CA1480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review and synthesise research on how individuals, groups and organisations learn from failures and errors.</w:t>
            </w:r>
          </w:p>
        </w:tc>
        <w:tc>
          <w:tcPr>
            <w:tcW w:w="1833" w:type="dxa"/>
            <w:tcBorders>
              <w:top w:val="single" w:sz="8" w:space="0" w:color="auto"/>
              <w:left w:val="nil"/>
              <w:bottom w:val="single" w:sz="8" w:space="0" w:color="auto"/>
              <w:right w:val="nil"/>
            </w:tcBorders>
            <w:shd w:val="clear" w:color="D9E1F2" w:fill="D9E1F2"/>
            <w:hideMark/>
          </w:tcPr>
          <w:p w14:paraId="72549F7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Opportunity-motivation-ability framework; organisational learning.</w:t>
            </w:r>
          </w:p>
        </w:tc>
        <w:tc>
          <w:tcPr>
            <w:tcW w:w="1922" w:type="dxa"/>
            <w:tcBorders>
              <w:top w:val="single" w:sz="8" w:space="0" w:color="auto"/>
              <w:left w:val="nil"/>
              <w:bottom w:val="single" w:sz="8" w:space="0" w:color="auto"/>
              <w:right w:val="nil"/>
            </w:tcBorders>
            <w:shd w:val="clear" w:color="D9E1F2" w:fill="D9E1F2"/>
            <w:hideMark/>
          </w:tcPr>
          <w:p w14:paraId="337756A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Conceptual review and literature synthesis.</w:t>
            </w:r>
          </w:p>
        </w:tc>
        <w:tc>
          <w:tcPr>
            <w:tcW w:w="2068" w:type="dxa"/>
            <w:tcBorders>
              <w:top w:val="single" w:sz="8" w:space="0" w:color="auto"/>
              <w:left w:val="nil"/>
              <w:bottom w:val="single" w:sz="8" w:space="0" w:color="auto"/>
              <w:right w:val="nil"/>
            </w:tcBorders>
            <w:shd w:val="clear" w:color="D9E1F2" w:fill="D9E1F2"/>
            <w:hideMark/>
          </w:tcPr>
          <w:p w14:paraId="044503C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review identifies learning mechanisms but does not examine employee rights, retail work or organisational commitment.</w:t>
            </w:r>
          </w:p>
        </w:tc>
        <w:tc>
          <w:tcPr>
            <w:tcW w:w="2112" w:type="dxa"/>
            <w:tcBorders>
              <w:top w:val="single" w:sz="8" w:space="0" w:color="auto"/>
              <w:left w:val="nil"/>
              <w:bottom w:val="single" w:sz="8" w:space="0" w:color="auto"/>
              <w:right w:val="nil"/>
            </w:tcBorders>
            <w:shd w:val="clear" w:color="D9E1F2" w:fill="D9E1F2"/>
            <w:hideMark/>
          </w:tcPr>
          <w:p w14:paraId="66AF272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is conceptual and broad, so it cannot provide direct empirical evidence for the dissertation variables.</w:t>
            </w:r>
          </w:p>
        </w:tc>
        <w:tc>
          <w:tcPr>
            <w:tcW w:w="2118" w:type="dxa"/>
            <w:tcBorders>
              <w:top w:val="single" w:sz="8" w:space="0" w:color="auto"/>
              <w:left w:val="nil"/>
              <w:bottom w:val="single" w:sz="8" w:space="0" w:color="auto"/>
              <w:right w:val="nil"/>
            </w:tcBorders>
            <w:shd w:val="clear" w:color="D9E1F2" w:fill="D9E1F2"/>
            <w:hideMark/>
          </w:tcPr>
          <w:p w14:paraId="687E345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Learning from failure depends on whether people and organisations have the opportunity, motivation and ability to learn.</w:t>
            </w:r>
          </w:p>
        </w:tc>
        <w:tc>
          <w:tcPr>
            <w:tcW w:w="2153" w:type="dxa"/>
            <w:tcBorders>
              <w:top w:val="single" w:sz="8" w:space="0" w:color="auto"/>
              <w:left w:val="nil"/>
              <w:bottom w:val="single" w:sz="8" w:space="0" w:color="auto"/>
              <w:right w:val="single" w:sz="4" w:space="0" w:color="auto"/>
            </w:tcBorders>
            <w:shd w:val="clear" w:color="D9E1F2" w:fill="D9E1F2"/>
            <w:hideMark/>
          </w:tcPr>
          <w:p w14:paraId="4CAC109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Limited but usable. It can support discussion of how organisations learn from employee complaints and grievance experiences.</w:t>
            </w:r>
          </w:p>
        </w:tc>
      </w:tr>
      <w:tr w:rsidR="00106549" w:rsidRPr="00106549" w14:paraId="7082184F" w14:textId="77777777" w:rsidTr="00106549">
        <w:trPr>
          <w:trHeight w:val="2180"/>
        </w:trPr>
        <w:tc>
          <w:tcPr>
            <w:tcW w:w="2098" w:type="dxa"/>
            <w:tcBorders>
              <w:top w:val="single" w:sz="8" w:space="0" w:color="auto"/>
              <w:left w:val="single" w:sz="4" w:space="0" w:color="auto"/>
              <w:bottom w:val="single" w:sz="4" w:space="0" w:color="8EA9DB"/>
              <w:right w:val="nil"/>
            </w:tcBorders>
            <w:shd w:val="clear" w:color="auto" w:fill="auto"/>
            <w:hideMark/>
          </w:tcPr>
          <w:p w14:paraId="7B87691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lastRenderedPageBreak/>
              <w:t>Enhancing career adaptive responses among experienced employees: A mid-career intervention</w:t>
            </w:r>
          </w:p>
        </w:tc>
        <w:tc>
          <w:tcPr>
            <w:tcW w:w="2027" w:type="dxa"/>
            <w:tcBorders>
              <w:top w:val="single" w:sz="8" w:space="0" w:color="auto"/>
              <w:left w:val="nil"/>
              <w:bottom w:val="single" w:sz="4" w:space="0" w:color="8EA9DB"/>
              <w:right w:val="nil"/>
            </w:tcBorders>
            <w:shd w:val="clear" w:color="auto" w:fill="auto"/>
            <w:hideMark/>
          </w:tcPr>
          <w:p w14:paraId="14D67B9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van der Horst and Klehe (2019) / Journal of Vocational Behavior</w:t>
            </w:r>
          </w:p>
        </w:tc>
        <w:tc>
          <w:tcPr>
            <w:tcW w:w="1900" w:type="dxa"/>
            <w:tcBorders>
              <w:top w:val="single" w:sz="8" w:space="0" w:color="auto"/>
              <w:left w:val="single" w:sz="8" w:space="0" w:color="auto"/>
              <w:bottom w:val="single" w:sz="4" w:space="0" w:color="8EA9DB"/>
              <w:right w:val="single" w:sz="8" w:space="0" w:color="auto"/>
            </w:tcBorders>
            <w:shd w:val="clear" w:color="auto" w:fill="auto"/>
            <w:hideMark/>
          </w:tcPr>
          <w:p w14:paraId="034FD2A2"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5" w:history="1">
              <w:r w:rsidR="00106549" w:rsidRPr="00106549">
                <w:rPr>
                  <w:color w:val="0563C1"/>
                  <w:kern w:val="0"/>
                  <w:szCs w:val="24"/>
                  <w:u w:val="single"/>
                  <w:lang w:val="en-US" w:eastAsia="en-US"/>
                  <w14:ligatures w14:val="none"/>
                </w:rPr>
                <w:t>https://doi.org/10.1016/j.jvb.2018.08.004</w:t>
              </w:r>
            </w:hyperlink>
          </w:p>
        </w:tc>
        <w:tc>
          <w:tcPr>
            <w:tcW w:w="4629" w:type="dxa"/>
            <w:tcBorders>
              <w:top w:val="single" w:sz="8" w:space="0" w:color="auto"/>
              <w:left w:val="nil"/>
              <w:bottom w:val="single" w:sz="4" w:space="0" w:color="8EA9DB"/>
              <w:right w:val="nil"/>
            </w:tcBorders>
            <w:shd w:val="clear" w:color="auto" w:fill="auto"/>
            <w:hideMark/>
          </w:tcPr>
          <w:p w14:paraId="2850399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evaluate whether a mid-career intervention can strengthen career-adaptive responses among experienced employees facing organisational change.</w:t>
            </w:r>
          </w:p>
        </w:tc>
        <w:tc>
          <w:tcPr>
            <w:tcW w:w="1833" w:type="dxa"/>
            <w:tcBorders>
              <w:top w:val="single" w:sz="8" w:space="0" w:color="auto"/>
              <w:left w:val="nil"/>
              <w:bottom w:val="single" w:sz="4" w:space="0" w:color="8EA9DB"/>
              <w:right w:val="nil"/>
            </w:tcBorders>
            <w:shd w:val="clear" w:color="auto" w:fill="auto"/>
            <w:hideMark/>
          </w:tcPr>
          <w:p w14:paraId="28BF0EA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Career construction theory; career adaptability.</w:t>
            </w:r>
          </w:p>
        </w:tc>
        <w:tc>
          <w:tcPr>
            <w:tcW w:w="1922" w:type="dxa"/>
            <w:tcBorders>
              <w:top w:val="single" w:sz="8" w:space="0" w:color="auto"/>
              <w:left w:val="nil"/>
              <w:bottom w:val="single" w:sz="4" w:space="0" w:color="8EA9DB"/>
              <w:right w:val="nil"/>
            </w:tcBorders>
            <w:shd w:val="clear" w:color="auto" w:fill="auto"/>
            <w:hideMark/>
          </w:tcPr>
          <w:p w14:paraId="44A3277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Quasi-experimental intervention study.</w:t>
            </w:r>
          </w:p>
        </w:tc>
        <w:tc>
          <w:tcPr>
            <w:tcW w:w="2068" w:type="dxa"/>
            <w:tcBorders>
              <w:top w:val="single" w:sz="8" w:space="0" w:color="auto"/>
              <w:left w:val="nil"/>
              <w:bottom w:val="single" w:sz="4" w:space="0" w:color="8EA9DB"/>
              <w:right w:val="nil"/>
            </w:tcBorders>
            <w:shd w:val="clear" w:color="auto" w:fill="auto"/>
            <w:hideMark/>
          </w:tcPr>
          <w:p w14:paraId="422DDC8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addresses employee adaptability but not employment-rights awareness or commitment in retail.</w:t>
            </w:r>
          </w:p>
        </w:tc>
        <w:tc>
          <w:tcPr>
            <w:tcW w:w="2112" w:type="dxa"/>
            <w:tcBorders>
              <w:top w:val="single" w:sz="8" w:space="0" w:color="auto"/>
              <w:left w:val="nil"/>
              <w:bottom w:val="single" w:sz="4" w:space="0" w:color="8EA9DB"/>
              <w:right w:val="nil"/>
            </w:tcBorders>
            <w:shd w:val="clear" w:color="auto" w:fill="auto"/>
            <w:hideMark/>
          </w:tcPr>
          <w:p w14:paraId="747291F1"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is not sector-specific to retail and does not focus on legal rights or workplace fairness.</w:t>
            </w:r>
          </w:p>
        </w:tc>
        <w:tc>
          <w:tcPr>
            <w:tcW w:w="2118" w:type="dxa"/>
            <w:tcBorders>
              <w:top w:val="single" w:sz="8" w:space="0" w:color="auto"/>
              <w:left w:val="nil"/>
              <w:bottom w:val="single" w:sz="4" w:space="0" w:color="8EA9DB"/>
              <w:right w:val="nil"/>
            </w:tcBorders>
            <w:shd w:val="clear" w:color="auto" w:fill="auto"/>
            <w:hideMark/>
          </w:tcPr>
          <w:p w14:paraId="6A55B56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A structured intervention can improve career-adaptive responses among experienced employees during uncertain work situations.</w:t>
            </w:r>
          </w:p>
        </w:tc>
        <w:tc>
          <w:tcPr>
            <w:tcW w:w="2153" w:type="dxa"/>
            <w:tcBorders>
              <w:top w:val="single" w:sz="8" w:space="0" w:color="auto"/>
              <w:left w:val="nil"/>
              <w:bottom w:val="single" w:sz="4" w:space="0" w:color="8EA9DB"/>
              <w:right w:val="single" w:sz="4" w:space="0" w:color="auto"/>
            </w:tcBorders>
            <w:shd w:val="clear" w:color="auto" w:fill="auto"/>
            <w:hideMark/>
          </w:tcPr>
          <w:p w14:paraId="751CE4C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Moderate relevance. It may support discussion of employee responses to work uncertainty, but it should not be central to the study.</w:t>
            </w:r>
          </w:p>
        </w:tc>
      </w:tr>
      <w:tr w:rsidR="00106549" w:rsidRPr="00106549" w14:paraId="32ED8A54" w14:textId="77777777" w:rsidTr="00106549">
        <w:trPr>
          <w:trHeight w:val="2180"/>
        </w:trPr>
        <w:tc>
          <w:tcPr>
            <w:tcW w:w="2098" w:type="dxa"/>
            <w:tcBorders>
              <w:top w:val="single" w:sz="8" w:space="0" w:color="auto"/>
              <w:left w:val="single" w:sz="4" w:space="0" w:color="auto"/>
              <w:bottom w:val="single" w:sz="8" w:space="0" w:color="auto"/>
              <w:right w:val="nil"/>
            </w:tcBorders>
            <w:shd w:val="clear" w:color="D9E1F2" w:fill="D9E1F2"/>
            <w:hideMark/>
          </w:tcPr>
          <w:p w14:paraId="49EB838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Employees’ responses to an organizational merger: Intraindividual change in organizational identification, attachment, and turnover.</w:t>
            </w:r>
          </w:p>
        </w:tc>
        <w:tc>
          <w:tcPr>
            <w:tcW w:w="2027" w:type="dxa"/>
            <w:tcBorders>
              <w:top w:val="single" w:sz="8" w:space="0" w:color="auto"/>
              <w:left w:val="nil"/>
              <w:bottom w:val="single" w:sz="8" w:space="0" w:color="auto"/>
              <w:right w:val="nil"/>
            </w:tcBorders>
            <w:shd w:val="clear" w:color="D9E1F2" w:fill="D9E1F2"/>
            <w:hideMark/>
          </w:tcPr>
          <w:p w14:paraId="6B21195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Sung et al. (2017) / Journal of Applied Psychology</w:t>
            </w:r>
          </w:p>
        </w:tc>
        <w:tc>
          <w:tcPr>
            <w:tcW w:w="1900" w:type="dxa"/>
            <w:tcBorders>
              <w:top w:val="single" w:sz="8" w:space="0" w:color="auto"/>
              <w:left w:val="single" w:sz="4" w:space="0" w:color="auto"/>
              <w:bottom w:val="single" w:sz="8" w:space="0" w:color="auto"/>
              <w:right w:val="single" w:sz="4" w:space="0" w:color="auto"/>
            </w:tcBorders>
            <w:shd w:val="clear" w:color="D9E1F2" w:fill="D9E1F2"/>
            <w:hideMark/>
          </w:tcPr>
          <w:p w14:paraId="6FD54BBB"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6" w:history="1">
              <w:r w:rsidR="00106549" w:rsidRPr="00106549">
                <w:rPr>
                  <w:color w:val="0563C1"/>
                  <w:kern w:val="0"/>
                  <w:szCs w:val="24"/>
                  <w:u w:val="single"/>
                  <w:lang w:val="en-US" w:eastAsia="en-US"/>
                  <w14:ligatures w14:val="none"/>
                </w:rPr>
                <w:t>https://doi.org/10.1037/apl0000197</w:t>
              </w:r>
            </w:hyperlink>
          </w:p>
        </w:tc>
        <w:tc>
          <w:tcPr>
            <w:tcW w:w="4629" w:type="dxa"/>
            <w:tcBorders>
              <w:top w:val="single" w:sz="8" w:space="0" w:color="auto"/>
              <w:left w:val="nil"/>
              <w:bottom w:val="single" w:sz="8" w:space="0" w:color="auto"/>
              <w:right w:val="nil"/>
            </w:tcBorders>
            <w:shd w:val="clear" w:color="D9E1F2" w:fill="D9E1F2"/>
            <w:hideMark/>
          </w:tcPr>
          <w:p w14:paraId="64C74954"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how employees' perceptions of changes in their jobs and organisation during a merger affect identification, attachment and turnover.</w:t>
            </w:r>
          </w:p>
        </w:tc>
        <w:tc>
          <w:tcPr>
            <w:tcW w:w="1833" w:type="dxa"/>
            <w:tcBorders>
              <w:top w:val="single" w:sz="8" w:space="0" w:color="auto"/>
              <w:left w:val="nil"/>
              <w:bottom w:val="single" w:sz="8" w:space="0" w:color="auto"/>
              <w:right w:val="nil"/>
            </w:tcBorders>
            <w:shd w:val="clear" w:color="D9E1F2" w:fill="D9E1F2"/>
            <w:hideMark/>
          </w:tcPr>
          <w:p w14:paraId="4C551A3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Organisational identification; attachment; merger response.</w:t>
            </w:r>
          </w:p>
        </w:tc>
        <w:tc>
          <w:tcPr>
            <w:tcW w:w="1922" w:type="dxa"/>
            <w:tcBorders>
              <w:top w:val="single" w:sz="8" w:space="0" w:color="auto"/>
              <w:left w:val="nil"/>
              <w:bottom w:val="single" w:sz="8" w:space="0" w:color="auto"/>
              <w:right w:val="nil"/>
            </w:tcBorders>
            <w:shd w:val="clear" w:color="D9E1F2" w:fill="D9E1F2"/>
            <w:hideMark/>
          </w:tcPr>
          <w:p w14:paraId="77DBB61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Longitudinal quantitative study.</w:t>
            </w:r>
          </w:p>
        </w:tc>
        <w:tc>
          <w:tcPr>
            <w:tcW w:w="2068" w:type="dxa"/>
            <w:tcBorders>
              <w:top w:val="single" w:sz="8" w:space="0" w:color="auto"/>
              <w:left w:val="nil"/>
              <w:bottom w:val="single" w:sz="8" w:space="0" w:color="auto"/>
              <w:right w:val="nil"/>
            </w:tcBorders>
            <w:shd w:val="clear" w:color="D9E1F2" w:fill="D9E1F2"/>
            <w:hideMark/>
          </w:tcPr>
          <w:p w14:paraId="42E5E28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study explains attachment and turnover during organisational change, but it does not examine rights awareness.</w:t>
            </w:r>
          </w:p>
        </w:tc>
        <w:tc>
          <w:tcPr>
            <w:tcW w:w="2112" w:type="dxa"/>
            <w:tcBorders>
              <w:top w:val="single" w:sz="8" w:space="0" w:color="auto"/>
              <w:left w:val="nil"/>
              <w:bottom w:val="single" w:sz="8" w:space="0" w:color="auto"/>
              <w:right w:val="nil"/>
            </w:tcBorders>
            <w:shd w:val="clear" w:color="D9E1F2" w:fill="D9E1F2"/>
            <w:hideMark/>
          </w:tcPr>
          <w:p w14:paraId="0830423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merger context may not reflect normal retail employment conditions.</w:t>
            </w:r>
          </w:p>
        </w:tc>
        <w:tc>
          <w:tcPr>
            <w:tcW w:w="2118" w:type="dxa"/>
            <w:tcBorders>
              <w:top w:val="single" w:sz="8" w:space="0" w:color="auto"/>
              <w:left w:val="nil"/>
              <w:bottom w:val="single" w:sz="8" w:space="0" w:color="auto"/>
              <w:right w:val="nil"/>
            </w:tcBorders>
            <w:shd w:val="clear" w:color="D9E1F2" w:fill="D9E1F2"/>
            <w:hideMark/>
          </w:tcPr>
          <w:p w14:paraId="3E69046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Employees' perceived personal and organisational outcomes during change shape identification, attachment and turnover.</w:t>
            </w:r>
          </w:p>
        </w:tc>
        <w:tc>
          <w:tcPr>
            <w:tcW w:w="2153" w:type="dxa"/>
            <w:tcBorders>
              <w:top w:val="single" w:sz="8" w:space="0" w:color="auto"/>
              <w:left w:val="nil"/>
              <w:bottom w:val="single" w:sz="8" w:space="0" w:color="auto"/>
              <w:right w:val="single" w:sz="4" w:space="0" w:color="auto"/>
            </w:tcBorders>
            <w:shd w:val="clear" w:color="D9E1F2" w:fill="D9E1F2"/>
            <w:hideMark/>
          </w:tcPr>
          <w:p w14:paraId="5DDAEE1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Relevant for organisational attachment. It can support commitment measurement, but it is not a direct employment-rights source.</w:t>
            </w:r>
          </w:p>
        </w:tc>
      </w:tr>
      <w:tr w:rsidR="00106549" w:rsidRPr="00106549" w14:paraId="03CEB8F3" w14:textId="77777777" w:rsidTr="00106549">
        <w:trPr>
          <w:trHeight w:val="1870"/>
        </w:trPr>
        <w:tc>
          <w:tcPr>
            <w:tcW w:w="2098" w:type="dxa"/>
            <w:tcBorders>
              <w:top w:val="single" w:sz="8" w:space="0" w:color="auto"/>
              <w:left w:val="single" w:sz="4" w:space="0" w:color="auto"/>
              <w:bottom w:val="single" w:sz="8" w:space="0" w:color="auto"/>
              <w:right w:val="nil"/>
            </w:tcBorders>
            <w:shd w:val="clear" w:color="auto" w:fill="auto"/>
            <w:hideMark/>
          </w:tcPr>
          <w:p w14:paraId="5DE0906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Constructing Transnational Solidarity: The Role of Campaign Governance</w:t>
            </w:r>
          </w:p>
        </w:tc>
        <w:tc>
          <w:tcPr>
            <w:tcW w:w="2027" w:type="dxa"/>
            <w:tcBorders>
              <w:top w:val="single" w:sz="8" w:space="0" w:color="auto"/>
              <w:left w:val="nil"/>
              <w:bottom w:val="single" w:sz="8" w:space="0" w:color="auto"/>
              <w:right w:val="nil"/>
            </w:tcBorders>
            <w:shd w:val="clear" w:color="auto" w:fill="auto"/>
            <w:hideMark/>
          </w:tcPr>
          <w:p w14:paraId="0B10C21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Sarkar and Kuruvilla (2019) / British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CF2E42B" w14:textId="77777777" w:rsidR="00106549" w:rsidRPr="00106549" w:rsidRDefault="00000000" w:rsidP="00106549">
            <w:pPr>
              <w:spacing w:before="0" w:after="0" w:line="240" w:lineRule="auto"/>
              <w:jc w:val="left"/>
              <w:rPr>
                <w:color w:val="0563C1"/>
                <w:kern w:val="0"/>
                <w:szCs w:val="24"/>
                <w:u w:val="single"/>
                <w:lang w:val="en-US" w:eastAsia="en-US"/>
                <w14:ligatures w14:val="none"/>
              </w:rPr>
            </w:pPr>
            <w:hyperlink r:id="rId77" w:history="1">
              <w:r w:rsidR="00106549" w:rsidRPr="00106549">
                <w:rPr>
                  <w:color w:val="0563C1"/>
                  <w:kern w:val="0"/>
                  <w:szCs w:val="24"/>
                  <w:u w:val="single"/>
                  <w:lang w:val="en-US" w:eastAsia="en-US"/>
                  <w14:ligatures w14:val="none"/>
                </w:rPr>
                <w:t>https://doi.org/10.1111/bjir.12465</w:t>
              </w:r>
            </w:hyperlink>
          </w:p>
        </w:tc>
        <w:tc>
          <w:tcPr>
            <w:tcW w:w="4629" w:type="dxa"/>
            <w:tcBorders>
              <w:top w:val="single" w:sz="8" w:space="0" w:color="auto"/>
              <w:left w:val="nil"/>
              <w:bottom w:val="single" w:sz="8" w:space="0" w:color="auto"/>
              <w:right w:val="nil"/>
            </w:tcBorders>
            <w:shd w:val="clear" w:color="auto" w:fill="auto"/>
            <w:hideMark/>
          </w:tcPr>
          <w:p w14:paraId="2D280A1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how campaign governance shapes transnational solidarity in labour campaigns.</w:t>
            </w:r>
          </w:p>
        </w:tc>
        <w:tc>
          <w:tcPr>
            <w:tcW w:w="1833" w:type="dxa"/>
            <w:tcBorders>
              <w:top w:val="single" w:sz="8" w:space="0" w:color="auto"/>
              <w:left w:val="nil"/>
              <w:bottom w:val="single" w:sz="8" w:space="0" w:color="auto"/>
              <w:right w:val="nil"/>
            </w:tcBorders>
            <w:shd w:val="clear" w:color="auto" w:fill="auto"/>
            <w:hideMark/>
          </w:tcPr>
          <w:p w14:paraId="7418886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Transnational labour solidarity; campaign governance.</w:t>
            </w:r>
          </w:p>
        </w:tc>
        <w:tc>
          <w:tcPr>
            <w:tcW w:w="1922" w:type="dxa"/>
            <w:tcBorders>
              <w:top w:val="single" w:sz="8" w:space="0" w:color="auto"/>
              <w:left w:val="nil"/>
              <w:bottom w:val="single" w:sz="8" w:space="0" w:color="auto"/>
              <w:right w:val="nil"/>
            </w:tcBorders>
            <w:shd w:val="clear" w:color="auto" w:fill="auto"/>
            <w:hideMark/>
          </w:tcPr>
          <w:p w14:paraId="6C357BA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Qualitative case-based analysis.</w:t>
            </w:r>
          </w:p>
        </w:tc>
        <w:tc>
          <w:tcPr>
            <w:tcW w:w="2068" w:type="dxa"/>
            <w:tcBorders>
              <w:top w:val="single" w:sz="8" w:space="0" w:color="auto"/>
              <w:left w:val="nil"/>
              <w:bottom w:val="single" w:sz="8" w:space="0" w:color="auto"/>
              <w:right w:val="nil"/>
            </w:tcBorders>
            <w:shd w:val="clear" w:color="auto" w:fill="auto"/>
            <w:hideMark/>
          </w:tcPr>
          <w:p w14:paraId="5AD6BF1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focuses on labour campaigns rather than individual rights awareness or organisational commitment.</w:t>
            </w:r>
          </w:p>
        </w:tc>
        <w:tc>
          <w:tcPr>
            <w:tcW w:w="2112" w:type="dxa"/>
            <w:tcBorders>
              <w:top w:val="single" w:sz="8" w:space="0" w:color="auto"/>
              <w:left w:val="nil"/>
              <w:bottom w:val="single" w:sz="8" w:space="0" w:color="auto"/>
              <w:right w:val="nil"/>
            </w:tcBorders>
            <w:shd w:val="clear" w:color="auto" w:fill="auto"/>
            <w:hideMark/>
          </w:tcPr>
          <w:p w14:paraId="7B6EB3F1"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Its global and campaign-level focus limits direct application to UK retail employees.</w:t>
            </w:r>
          </w:p>
        </w:tc>
        <w:tc>
          <w:tcPr>
            <w:tcW w:w="2118" w:type="dxa"/>
            <w:tcBorders>
              <w:top w:val="single" w:sz="8" w:space="0" w:color="auto"/>
              <w:left w:val="nil"/>
              <w:bottom w:val="single" w:sz="8" w:space="0" w:color="auto"/>
              <w:right w:val="nil"/>
            </w:tcBorders>
            <w:shd w:val="clear" w:color="auto" w:fill="auto"/>
            <w:hideMark/>
          </w:tcPr>
          <w:p w14:paraId="60FA20C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effectiveness of transnational labour solidarity depends on how campaigns are governed, coordinated and sustained.</w:t>
            </w:r>
          </w:p>
        </w:tc>
        <w:tc>
          <w:tcPr>
            <w:tcW w:w="2153" w:type="dxa"/>
            <w:tcBorders>
              <w:top w:val="single" w:sz="8" w:space="0" w:color="auto"/>
              <w:left w:val="nil"/>
              <w:bottom w:val="single" w:sz="8" w:space="0" w:color="auto"/>
              <w:right w:val="single" w:sz="4" w:space="0" w:color="auto"/>
            </w:tcBorders>
            <w:shd w:val="clear" w:color="auto" w:fill="auto"/>
            <w:hideMark/>
          </w:tcPr>
          <w:p w14:paraId="76C878C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Limited contextual relevance. It may support background discussion on collective labour rights, but it is not central to the survey study.</w:t>
            </w:r>
          </w:p>
        </w:tc>
      </w:tr>
      <w:tr w:rsidR="00106549" w:rsidRPr="00106549" w14:paraId="3A71B9E6" w14:textId="77777777" w:rsidTr="00106549">
        <w:trPr>
          <w:trHeight w:val="2800"/>
        </w:trPr>
        <w:tc>
          <w:tcPr>
            <w:tcW w:w="2098" w:type="dxa"/>
            <w:tcBorders>
              <w:top w:val="single" w:sz="4" w:space="0" w:color="8EA9DB"/>
              <w:left w:val="single" w:sz="4" w:space="0" w:color="auto"/>
              <w:bottom w:val="single" w:sz="4" w:space="0" w:color="8EA9DB"/>
              <w:right w:val="nil"/>
            </w:tcBorders>
            <w:shd w:val="clear" w:color="D9E1F2" w:fill="D9E1F2"/>
            <w:hideMark/>
          </w:tcPr>
          <w:p w14:paraId="2C99F48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lastRenderedPageBreak/>
              <w:t>Imagining the newcomer–supervisor relationship: Future relational self in the workplace</w:t>
            </w:r>
          </w:p>
        </w:tc>
        <w:tc>
          <w:tcPr>
            <w:tcW w:w="2027" w:type="dxa"/>
            <w:tcBorders>
              <w:top w:val="single" w:sz="4" w:space="0" w:color="8EA9DB"/>
              <w:left w:val="nil"/>
              <w:bottom w:val="single" w:sz="4" w:space="0" w:color="8EA9DB"/>
              <w:right w:val="nil"/>
            </w:tcBorders>
            <w:shd w:val="clear" w:color="D9E1F2" w:fill="D9E1F2"/>
            <w:hideMark/>
          </w:tcPr>
          <w:p w14:paraId="2947C0D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Morandin, Russo and Bergami (2021) / Human Resource Management Journal</w:t>
            </w:r>
          </w:p>
        </w:tc>
        <w:tc>
          <w:tcPr>
            <w:tcW w:w="1900" w:type="dxa"/>
            <w:tcBorders>
              <w:top w:val="single" w:sz="4" w:space="0" w:color="8EA9DB"/>
              <w:left w:val="single" w:sz="8" w:space="0" w:color="auto"/>
              <w:bottom w:val="single" w:sz="4" w:space="0" w:color="8EA9DB"/>
              <w:right w:val="single" w:sz="8" w:space="0" w:color="auto"/>
            </w:tcBorders>
            <w:shd w:val="clear" w:color="D9E1F2" w:fill="D9E1F2"/>
            <w:hideMark/>
          </w:tcPr>
          <w:p w14:paraId="40BE6029"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https://doi.org/10.1111/1748-8583.12340</w:t>
            </w:r>
          </w:p>
        </w:tc>
        <w:tc>
          <w:tcPr>
            <w:tcW w:w="4629" w:type="dxa"/>
            <w:tcBorders>
              <w:top w:val="single" w:sz="4" w:space="0" w:color="8EA9DB"/>
              <w:left w:val="nil"/>
              <w:bottom w:val="single" w:sz="4" w:space="0" w:color="8EA9DB"/>
              <w:right w:val="nil"/>
            </w:tcBorders>
            <w:shd w:val="clear" w:color="D9E1F2" w:fill="D9E1F2"/>
            <w:hideMark/>
          </w:tcPr>
          <w:p w14:paraId="627BCD2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introduce future relational self and examine how newcomers' imagined supervisor relationships relate to leader-member exchange, social adjustment and role clarity.</w:t>
            </w:r>
          </w:p>
        </w:tc>
        <w:tc>
          <w:tcPr>
            <w:tcW w:w="1833" w:type="dxa"/>
            <w:tcBorders>
              <w:top w:val="single" w:sz="4" w:space="0" w:color="8EA9DB"/>
              <w:left w:val="nil"/>
              <w:bottom w:val="single" w:sz="4" w:space="0" w:color="8EA9DB"/>
              <w:right w:val="nil"/>
            </w:tcBorders>
            <w:shd w:val="clear" w:color="D9E1F2" w:fill="D9E1F2"/>
            <w:hideMark/>
          </w:tcPr>
          <w:p w14:paraId="4279225C"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Future relational self; leader-member exchange; socialisation.</w:t>
            </w:r>
          </w:p>
        </w:tc>
        <w:tc>
          <w:tcPr>
            <w:tcW w:w="1922" w:type="dxa"/>
            <w:tcBorders>
              <w:top w:val="single" w:sz="4" w:space="0" w:color="8EA9DB"/>
              <w:left w:val="nil"/>
              <w:bottom w:val="single" w:sz="4" w:space="0" w:color="8EA9DB"/>
              <w:right w:val="nil"/>
            </w:tcBorders>
            <w:shd w:val="clear" w:color="D9E1F2" w:fill="D9E1F2"/>
            <w:hideMark/>
          </w:tcPr>
          <w:p w14:paraId="3C28062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Three-wave quantitative study.</w:t>
            </w:r>
          </w:p>
        </w:tc>
        <w:tc>
          <w:tcPr>
            <w:tcW w:w="2068" w:type="dxa"/>
            <w:tcBorders>
              <w:top w:val="single" w:sz="4" w:space="0" w:color="8EA9DB"/>
              <w:left w:val="nil"/>
              <w:bottom w:val="single" w:sz="4" w:space="0" w:color="8EA9DB"/>
              <w:right w:val="nil"/>
            </w:tcBorders>
            <w:shd w:val="clear" w:color="D9E1F2" w:fill="D9E1F2"/>
            <w:hideMark/>
          </w:tcPr>
          <w:p w14:paraId="6681D59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addresses early workplace relationships, but not employment rights awareness or UK retail commitment.</w:t>
            </w:r>
          </w:p>
        </w:tc>
        <w:tc>
          <w:tcPr>
            <w:tcW w:w="2112" w:type="dxa"/>
            <w:tcBorders>
              <w:top w:val="single" w:sz="4" w:space="0" w:color="8EA9DB"/>
              <w:left w:val="nil"/>
              <w:bottom w:val="single" w:sz="4" w:space="0" w:color="8EA9DB"/>
              <w:right w:val="nil"/>
            </w:tcBorders>
            <w:shd w:val="clear" w:color="D9E1F2" w:fill="D9E1F2"/>
            <w:hideMark/>
          </w:tcPr>
          <w:p w14:paraId="1DED167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focus on newcomers means findings may not apply to all retail employees.</w:t>
            </w:r>
          </w:p>
        </w:tc>
        <w:tc>
          <w:tcPr>
            <w:tcW w:w="2118" w:type="dxa"/>
            <w:tcBorders>
              <w:top w:val="single" w:sz="4" w:space="0" w:color="8EA9DB"/>
              <w:left w:val="nil"/>
              <w:bottom w:val="single" w:sz="4" w:space="0" w:color="8EA9DB"/>
              <w:right w:val="nil"/>
            </w:tcBorders>
            <w:shd w:val="clear" w:color="D9E1F2" w:fill="D9E1F2"/>
            <w:hideMark/>
          </w:tcPr>
          <w:p w14:paraId="2B83CE0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Newcomers' imagined future relationships with supervisors can influence later relationship quality, adjustment and role clarity.</w:t>
            </w:r>
          </w:p>
        </w:tc>
        <w:tc>
          <w:tcPr>
            <w:tcW w:w="2153" w:type="dxa"/>
            <w:tcBorders>
              <w:top w:val="single" w:sz="4" w:space="0" w:color="8EA9DB"/>
              <w:left w:val="nil"/>
              <w:bottom w:val="single" w:sz="4" w:space="0" w:color="8EA9DB"/>
              <w:right w:val="single" w:sz="4" w:space="0" w:color="auto"/>
            </w:tcBorders>
            <w:shd w:val="clear" w:color="D9E1F2" w:fill="D9E1F2"/>
            <w:hideMark/>
          </w:tcPr>
          <w:p w14:paraId="7A84244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Moderately relevant. It supports the role of supervisor relationships in workplace trust, but it should be used indirectly.</w:t>
            </w:r>
          </w:p>
        </w:tc>
      </w:tr>
      <w:tr w:rsidR="00106549" w:rsidRPr="00106549" w14:paraId="7A2845CE" w14:textId="77777777" w:rsidTr="00106549">
        <w:trPr>
          <w:trHeight w:val="2180"/>
        </w:trPr>
        <w:tc>
          <w:tcPr>
            <w:tcW w:w="2098" w:type="dxa"/>
            <w:tcBorders>
              <w:top w:val="single" w:sz="8" w:space="0" w:color="auto"/>
              <w:left w:val="single" w:sz="4" w:space="0" w:color="auto"/>
              <w:bottom w:val="single" w:sz="8" w:space="0" w:color="auto"/>
              <w:right w:val="nil"/>
            </w:tcBorders>
            <w:shd w:val="clear" w:color="auto" w:fill="auto"/>
            <w:hideMark/>
          </w:tcPr>
          <w:p w14:paraId="37F5863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Can Workers’ Rights Ever Catch up? The Erzberger Case and EU Cross-border Reality</w:t>
            </w:r>
          </w:p>
        </w:tc>
        <w:tc>
          <w:tcPr>
            <w:tcW w:w="2027" w:type="dxa"/>
            <w:tcBorders>
              <w:top w:val="single" w:sz="8" w:space="0" w:color="auto"/>
              <w:left w:val="nil"/>
              <w:bottom w:val="single" w:sz="8" w:space="0" w:color="auto"/>
              <w:right w:val="nil"/>
            </w:tcBorders>
            <w:shd w:val="clear" w:color="auto" w:fill="auto"/>
            <w:hideMark/>
          </w:tcPr>
          <w:p w14:paraId="612BE29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Lafuente Hernández and Rasnača (2018) / Industrial Law Journal</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6BA1CF64"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https://doi.org/10.1093/indlaw/dwy025</w:t>
            </w:r>
          </w:p>
        </w:tc>
        <w:tc>
          <w:tcPr>
            <w:tcW w:w="4629" w:type="dxa"/>
            <w:tcBorders>
              <w:top w:val="single" w:sz="8" w:space="0" w:color="auto"/>
              <w:left w:val="nil"/>
              <w:bottom w:val="single" w:sz="8" w:space="0" w:color="auto"/>
              <w:right w:val="nil"/>
            </w:tcBorders>
            <w:shd w:val="clear" w:color="auto" w:fill="auto"/>
            <w:hideMark/>
          </w:tcPr>
          <w:p w14:paraId="399E232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analyse the Erzberger case and the wider challenge of worker rights in EU cross-border company realities.</w:t>
            </w:r>
          </w:p>
        </w:tc>
        <w:tc>
          <w:tcPr>
            <w:tcW w:w="1833" w:type="dxa"/>
            <w:tcBorders>
              <w:top w:val="single" w:sz="8" w:space="0" w:color="auto"/>
              <w:left w:val="nil"/>
              <w:bottom w:val="single" w:sz="8" w:space="0" w:color="auto"/>
              <w:right w:val="nil"/>
            </w:tcBorders>
            <w:shd w:val="clear" w:color="auto" w:fill="auto"/>
            <w:hideMark/>
          </w:tcPr>
          <w:p w14:paraId="02B7FB9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EU labour law; worker participation rights; cross-border regulation.</w:t>
            </w:r>
          </w:p>
        </w:tc>
        <w:tc>
          <w:tcPr>
            <w:tcW w:w="1922" w:type="dxa"/>
            <w:tcBorders>
              <w:top w:val="single" w:sz="8" w:space="0" w:color="auto"/>
              <w:left w:val="nil"/>
              <w:bottom w:val="single" w:sz="8" w:space="0" w:color="auto"/>
              <w:right w:val="nil"/>
            </w:tcBorders>
            <w:shd w:val="clear" w:color="auto" w:fill="auto"/>
            <w:hideMark/>
          </w:tcPr>
          <w:p w14:paraId="673AC66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Legal doctrinal analysis.</w:t>
            </w:r>
          </w:p>
        </w:tc>
        <w:tc>
          <w:tcPr>
            <w:tcW w:w="2068" w:type="dxa"/>
            <w:tcBorders>
              <w:top w:val="single" w:sz="8" w:space="0" w:color="auto"/>
              <w:left w:val="nil"/>
              <w:bottom w:val="single" w:sz="8" w:space="0" w:color="auto"/>
              <w:right w:val="nil"/>
            </w:tcBorders>
            <w:shd w:val="clear" w:color="auto" w:fill="auto"/>
            <w:hideMark/>
          </w:tcPr>
          <w:p w14:paraId="54DB8B9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shows that worker rights can lag behind changing business structures, but it does not measure employee awareness or commitment.</w:t>
            </w:r>
          </w:p>
        </w:tc>
        <w:tc>
          <w:tcPr>
            <w:tcW w:w="2112" w:type="dxa"/>
            <w:tcBorders>
              <w:top w:val="single" w:sz="8" w:space="0" w:color="auto"/>
              <w:left w:val="nil"/>
              <w:bottom w:val="single" w:sz="8" w:space="0" w:color="auto"/>
              <w:right w:val="nil"/>
            </w:tcBorders>
            <w:shd w:val="clear" w:color="auto" w:fill="auto"/>
            <w:hideMark/>
          </w:tcPr>
          <w:p w14:paraId="0586BC4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is legal and EU-level, so it offers limited direct evidence for a UK retail employee survey.</w:t>
            </w:r>
          </w:p>
        </w:tc>
        <w:tc>
          <w:tcPr>
            <w:tcW w:w="2118" w:type="dxa"/>
            <w:tcBorders>
              <w:top w:val="single" w:sz="8" w:space="0" w:color="auto"/>
              <w:left w:val="nil"/>
              <w:bottom w:val="single" w:sz="8" w:space="0" w:color="auto"/>
              <w:right w:val="nil"/>
            </w:tcBorders>
            <w:shd w:val="clear" w:color="auto" w:fill="auto"/>
            <w:hideMark/>
          </w:tcPr>
          <w:p w14:paraId="1CF0DD6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Cross-border business arrangements can create practical and legal challenges for worker participation rights.</w:t>
            </w:r>
          </w:p>
        </w:tc>
        <w:tc>
          <w:tcPr>
            <w:tcW w:w="2153" w:type="dxa"/>
            <w:tcBorders>
              <w:top w:val="single" w:sz="8" w:space="0" w:color="auto"/>
              <w:left w:val="nil"/>
              <w:bottom w:val="single" w:sz="8" w:space="0" w:color="auto"/>
              <w:right w:val="single" w:sz="4" w:space="0" w:color="auto"/>
            </w:tcBorders>
            <w:shd w:val="clear" w:color="auto" w:fill="auto"/>
            <w:hideMark/>
          </w:tcPr>
          <w:p w14:paraId="5F69D54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Useful legal context only. It can support discussion of rights complexity, but not the main quantitative relationship.</w:t>
            </w:r>
          </w:p>
        </w:tc>
      </w:tr>
      <w:tr w:rsidR="00106549" w:rsidRPr="00106549" w14:paraId="140E12B3" w14:textId="77777777" w:rsidTr="00106549">
        <w:trPr>
          <w:trHeight w:val="2180"/>
        </w:trPr>
        <w:tc>
          <w:tcPr>
            <w:tcW w:w="2098" w:type="dxa"/>
            <w:tcBorders>
              <w:top w:val="single" w:sz="8" w:space="0" w:color="auto"/>
              <w:left w:val="single" w:sz="4" w:space="0" w:color="auto"/>
              <w:bottom w:val="single" w:sz="8" w:space="0" w:color="auto"/>
              <w:right w:val="nil"/>
            </w:tcBorders>
            <w:shd w:val="clear" w:color="D9E1F2" w:fill="D9E1F2"/>
            <w:hideMark/>
          </w:tcPr>
          <w:p w14:paraId="760AEC70"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Expectations versus reality: The well-being of female migrant workers in garment factories in Myanmar</w:t>
            </w:r>
          </w:p>
        </w:tc>
        <w:tc>
          <w:tcPr>
            <w:tcW w:w="2027" w:type="dxa"/>
            <w:tcBorders>
              <w:top w:val="single" w:sz="8" w:space="0" w:color="auto"/>
              <w:left w:val="nil"/>
              <w:bottom w:val="single" w:sz="8" w:space="0" w:color="auto"/>
              <w:right w:val="nil"/>
            </w:tcBorders>
            <w:shd w:val="clear" w:color="D9E1F2" w:fill="D9E1F2"/>
            <w:hideMark/>
          </w:tcPr>
          <w:p w14:paraId="1C1D879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Nguyen (2021) / International Labour Review</w:t>
            </w:r>
          </w:p>
        </w:tc>
        <w:tc>
          <w:tcPr>
            <w:tcW w:w="1900" w:type="dxa"/>
            <w:tcBorders>
              <w:top w:val="single" w:sz="8" w:space="0" w:color="auto"/>
              <w:left w:val="single" w:sz="8" w:space="0" w:color="auto"/>
              <w:bottom w:val="single" w:sz="8" w:space="0" w:color="auto"/>
              <w:right w:val="single" w:sz="8" w:space="0" w:color="auto"/>
            </w:tcBorders>
            <w:shd w:val="clear" w:color="D9E1F2" w:fill="D9E1F2"/>
            <w:hideMark/>
          </w:tcPr>
          <w:p w14:paraId="33E76BEC"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https://doi.org/10.1111/ilr.12189</w:t>
            </w:r>
          </w:p>
        </w:tc>
        <w:tc>
          <w:tcPr>
            <w:tcW w:w="4629" w:type="dxa"/>
            <w:tcBorders>
              <w:top w:val="single" w:sz="8" w:space="0" w:color="auto"/>
              <w:left w:val="nil"/>
              <w:bottom w:val="single" w:sz="8" w:space="0" w:color="auto"/>
              <w:right w:val="nil"/>
            </w:tcBorders>
            <w:shd w:val="clear" w:color="D9E1F2" w:fill="D9E1F2"/>
            <w:hideMark/>
          </w:tcPr>
          <w:p w14:paraId="5023FBD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how material and non-material well-being is understood and experienced by female migrant workers in labour-intensive garment work.</w:t>
            </w:r>
          </w:p>
        </w:tc>
        <w:tc>
          <w:tcPr>
            <w:tcW w:w="1833" w:type="dxa"/>
            <w:tcBorders>
              <w:top w:val="single" w:sz="8" w:space="0" w:color="auto"/>
              <w:left w:val="nil"/>
              <w:bottom w:val="single" w:sz="8" w:space="0" w:color="auto"/>
              <w:right w:val="nil"/>
            </w:tcBorders>
            <w:shd w:val="clear" w:color="D9E1F2" w:fill="D9E1F2"/>
            <w:hideMark/>
          </w:tcPr>
          <w:p w14:paraId="0F80A53F"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Capability approach; empowerment; worker well-being.</w:t>
            </w:r>
          </w:p>
        </w:tc>
        <w:tc>
          <w:tcPr>
            <w:tcW w:w="1922" w:type="dxa"/>
            <w:tcBorders>
              <w:top w:val="single" w:sz="8" w:space="0" w:color="auto"/>
              <w:left w:val="nil"/>
              <w:bottom w:val="single" w:sz="8" w:space="0" w:color="auto"/>
              <w:right w:val="nil"/>
            </w:tcBorders>
            <w:shd w:val="clear" w:color="D9E1F2" w:fill="D9E1F2"/>
            <w:hideMark/>
          </w:tcPr>
          <w:p w14:paraId="5550225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Quantitative survey-based empirical study.</w:t>
            </w:r>
          </w:p>
        </w:tc>
        <w:tc>
          <w:tcPr>
            <w:tcW w:w="2068" w:type="dxa"/>
            <w:tcBorders>
              <w:top w:val="single" w:sz="8" w:space="0" w:color="auto"/>
              <w:left w:val="nil"/>
              <w:bottom w:val="single" w:sz="8" w:space="0" w:color="auto"/>
              <w:right w:val="nil"/>
            </w:tcBorders>
            <w:shd w:val="clear" w:color="D9E1F2" w:fill="D9E1F2"/>
            <w:hideMark/>
          </w:tcPr>
          <w:p w14:paraId="7E41AC1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connects empowerment and well-being, but it does not study UK retail or organisational commitment.</w:t>
            </w:r>
          </w:p>
        </w:tc>
        <w:tc>
          <w:tcPr>
            <w:tcW w:w="2112" w:type="dxa"/>
            <w:tcBorders>
              <w:top w:val="single" w:sz="8" w:space="0" w:color="auto"/>
              <w:left w:val="nil"/>
              <w:bottom w:val="single" w:sz="8" w:space="0" w:color="auto"/>
              <w:right w:val="nil"/>
            </w:tcBorders>
            <w:shd w:val="clear" w:color="D9E1F2" w:fill="D9E1F2"/>
            <w:hideMark/>
          </w:tcPr>
          <w:p w14:paraId="38738AF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Myanmar garment-factory context is very different from UK retail, so transferability is limited.</w:t>
            </w:r>
          </w:p>
        </w:tc>
        <w:tc>
          <w:tcPr>
            <w:tcW w:w="2118" w:type="dxa"/>
            <w:tcBorders>
              <w:top w:val="single" w:sz="8" w:space="0" w:color="auto"/>
              <w:left w:val="nil"/>
              <w:bottom w:val="single" w:sz="8" w:space="0" w:color="auto"/>
              <w:right w:val="nil"/>
            </w:tcBorders>
            <w:shd w:val="clear" w:color="D9E1F2" w:fill="D9E1F2"/>
            <w:hideMark/>
          </w:tcPr>
          <w:p w14:paraId="43A781A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Lack of self- and collective empowerment can undermine economic, social and psychological well-being.</w:t>
            </w:r>
          </w:p>
        </w:tc>
        <w:tc>
          <w:tcPr>
            <w:tcW w:w="2153" w:type="dxa"/>
            <w:tcBorders>
              <w:top w:val="single" w:sz="8" w:space="0" w:color="auto"/>
              <w:left w:val="nil"/>
              <w:bottom w:val="single" w:sz="8" w:space="0" w:color="auto"/>
              <w:right w:val="single" w:sz="4" w:space="0" w:color="auto"/>
            </w:tcBorders>
            <w:shd w:val="clear" w:color="D9E1F2" w:fill="D9E1F2"/>
            <w:hideMark/>
          </w:tcPr>
          <w:p w14:paraId="0C257534"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Indirect relevance. It can support the importance of worker empowerment, but should not be treated as direct evidence for UK retail.</w:t>
            </w:r>
          </w:p>
        </w:tc>
      </w:tr>
      <w:tr w:rsidR="00106549" w:rsidRPr="00106549" w14:paraId="42842F97" w14:textId="77777777" w:rsidTr="00106549">
        <w:trPr>
          <w:trHeight w:val="2180"/>
        </w:trPr>
        <w:tc>
          <w:tcPr>
            <w:tcW w:w="2098" w:type="dxa"/>
            <w:tcBorders>
              <w:top w:val="single" w:sz="8" w:space="0" w:color="auto"/>
              <w:left w:val="single" w:sz="4" w:space="0" w:color="auto"/>
              <w:bottom w:val="single" w:sz="8" w:space="0" w:color="auto"/>
              <w:right w:val="nil"/>
            </w:tcBorders>
            <w:shd w:val="clear" w:color="auto" w:fill="auto"/>
            <w:hideMark/>
          </w:tcPr>
          <w:p w14:paraId="7AF0297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lastRenderedPageBreak/>
              <w:t>Channels of employee voice: Complementary or competing for space?</w:t>
            </w:r>
          </w:p>
        </w:tc>
        <w:tc>
          <w:tcPr>
            <w:tcW w:w="2027" w:type="dxa"/>
            <w:tcBorders>
              <w:top w:val="single" w:sz="8" w:space="0" w:color="auto"/>
              <w:left w:val="nil"/>
              <w:bottom w:val="single" w:sz="8" w:space="0" w:color="auto"/>
              <w:right w:val="nil"/>
            </w:tcBorders>
            <w:shd w:val="clear" w:color="auto" w:fill="auto"/>
            <w:hideMark/>
          </w:tcPr>
          <w:p w14:paraId="6A732B78"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McCloskey and McDonnell (2018) / Industrial Relations Journal</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F577CD3"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https://doi.org/10.1111/irj.12209</w:t>
            </w:r>
          </w:p>
        </w:tc>
        <w:tc>
          <w:tcPr>
            <w:tcW w:w="4629" w:type="dxa"/>
            <w:tcBorders>
              <w:top w:val="single" w:sz="8" w:space="0" w:color="auto"/>
              <w:left w:val="nil"/>
              <w:bottom w:val="single" w:sz="8" w:space="0" w:color="auto"/>
              <w:right w:val="nil"/>
            </w:tcBorders>
            <w:shd w:val="clear" w:color="auto" w:fill="auto"/>
            <w:hideMark/>
          </w:tcPr>
          <w:p w14:paraId="3A5C898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how different employee voice channels operate within an organisational voice system and whether they complement or compete with each other.</w:t>
            </w:r>
          </w:p>
        </w:tc>
        <w:tc>
          <w:tcPr>
            <w:tcW w:w="1833" w:type="dxa"/>
            <w:tcBorders>
              <w:top w:val="single" w:sz="8" w:space="0" w:color="auto"/>
              <w:left w:val="nil"/>
              <w:bottom w:val="single" w:sz="8" w:space="0" w:color="auto"/>
              <w:right w:val="nil"/>
            </w:tcBorders>
            <w:shd w:val="clear" w:color="auto" w:fill="auto"/>
            <w:hideMark/>
          </w:tcPr>
          <w:p w14:paraId="0B143EC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Employee voice; non-union voice; organisational voice systems.</w:t>
            </w:r>
          </w:p>
        </w:tc>
        <w:tc>
          <w:tcPr>
            <w:tcW w:w="1922" w:type="dxa"/>
            <w:tcBorders>
              <w:top w:val="single" w:sz="8" w:space="0" w:color="auto"/>
              <w:left w:val="nil"/>
              <w:bottom w:val="single" w:sz="8" w:space="0" w:color="auto"/>
              <w:right w:val="nil"/>
            </w:tcBorders>
            <w:shd w:val="clear" w:color="auto" w:fill="auto"/>
            <w:hideMark/>
          </w:tcPr>
          <w:p w14:paraId="22B9507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Instrumental, inductive case study involving managers and employees.</w:t>
            </w:r>
          </w:p>
        </w:tc>
        <w:tc>
          <w:tcPr>
            <w:tcW w:w="2068" w:type="dxa"/>
            <w:tcBorders>
              <w:top w:val="single" w:sz="8" w:space="0" w:color="auto"/>
              <w:left w:val="nil"/>
              <w:bottom w:val="single" w:sz="8" w:space="0" w:color="auto"/>
              <w:right w:val="nil"/>
            </w:tcBorders>
            <w:shd w:val="clear" w:color="auto" w:fill="auto"/>
            <w:hideMark/>
          </w:tcPr>
          <w:p w14:paraId="3A513FA6"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study explores voice channels but not specific legal rights awareness or organisational commitment.</w:t>
            </w:r>
          </w:p>
        </w:tc>
        <w:tc>
          <w:tcPr>
            <w:tcW w:w="2112" w:type="dxa"/>
            <w:tcBorders>
              <w:top w:val="single" w:sz="8" w:space="0" w:color="auto"/>
              <w:left w:val="nil"/>
              <w:bottom w:val="single" w:sz="8" w:space="0" w:color="auto"/>
              <w:right w:val="nil"/>
            </w:tcBorders>
            <w:shd w:val="clear" w:color="auto" w:fill="auto"/>
            <w:hideMark/>
          </w:tcPr>
          <w:p w14:paraId="5A03894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is based on one organisational context, which limits generalisability.</w:t>
            </w:r>
          </w:p>
        </w:tc>
        <w:tc>
          <w:tcPr>
            <w:tcW w:w="2118" w:type="dxa"/>
            <w:tcBorders>
              <w:top w:val="single" w:sz="8" w:space="0" w:color="auto"/>
              <w:left w:val="nil"/>
              <w:bottom w:val="single" w:sz="8" w:space="0" w:color="auto"/>
              <w:right w:val="nil"/>
            </w:tcBorders>
            <w:shd w:val="clear" w:color="auto" w:fill="auto"/>
            <w:hideMark/>
          </w:tcPr>
          <w:p w14:paraId="54B6A86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Multiple voice channels can create confusion, leading some mechanisms to be neglected and others to compete for attention.</w:t>
            </w:r>
          </w:p>
        </w:tc>
        <w:tc>
          <w:tcPr>
            <w:tcW w:w="2153" w:type="dxa"/>
            <w:tcBorders>
              <w:top w:val="single" w:sz="8" w:space="0" w:color="auto"/>
              <w:left w:val="nil"/>
              <w:bottom w:val="single" w:sz="8" w:space="0" w:color="auto"/>
              <w:right w:val="single" w:sz="4" w:space="0" w:color="auto"/>
            </w:tcBorders>
            <w:shd w:val="clear" w:color="auto" w:fill="auto"/>
            <w:hideMark/>
          </w:tcPr>
          <w:p w14:paraId="7E66A2E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Relevant. Grievance awareness and employee voice are connected, so this source supports the voice dimension of the dissertation.</w:t>
            </w:r>
          </w:p>
        </w:tc>
      </w:tr>
      <w:tr w:rsidR="00106549" w:rsidRPr="00106549" w14:paraId="7F80990B" w14:textId="77777777" w:rsidTr="00106549">
        <w:trPr>
          <w:trHeight w:val="2180"/>
        </w:trPr>
        <w:tc>
          <w:tcPr>
            <w:tcW w:w="2098" w:type="dxa"/>
            <w:tcBorders>
              <w:top w:val="single" w:sz="8" w:space="0" w:color="auto"/>
              <w:left w:val="single" w:sz="4" w:space="0" w:color="auto"/>
              <w:bottom w:val="single" w:sz="8" w:space="0" w:color="auto"/>
              <w:right w:val="nil"/>
            </w:tcBorders>
            <w:shd w:val="clear" w:color="D9E1F2" w:fill="D9E1F2"/>
            <w:hideMark/>
          </w:tcPr>
          <w:p w14:paraId="64228C32"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Gender pay gap, voluntary interventions and recession: The case of the british financial services sector</w:t>
            </w:r>
          </w:p>
        </w:tc>
        <w:tc>
          <w:tcPr>
            <w:tcW w:w="2027" w:type="dxa"/>
            <w:tcBorders>
              <w:top w:val="single" w:sz="8" w:space="0" w:color="auto"/>
              <w:left w:val="nil"/>
              <w:bottom w:val="single" w:sz="8" w:space="0" w:color="auto"/>
              <w:right w:val="nil"/>
            </w:tcBorders>
            <w:shd w:val="clear" w:color="D9E1F2" w:fill="D9E1F2"/>
            <w:hideMark/>
          </w:tcPr>
          <w:p w14:paraId="1C6939E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Healy and Ahamed (2019) / British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D9E1F2" w:fill="D9E1F2"/>
            <w:hideMark/>
          </w:tcPr>
          <w:p w14:paraId="0BDFF1D2"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https://doi.org/10.1111/bjir.12448</w:t>
            </w:r>
          </w:p>
        </w:tc>
        <w:tc>
          <w:tcPr>
            <w:tcW w:w="4629" w:type="dxa"/>
            <w:tcBorders>
              <w:top w:val="single" w:sz="8" w:space="0" w:color="auto"/>
              <w:left w:val="nil"/>
              <w:bottom w:val="single" w:sz="8" w:space="0" w:color="auto"/>
              <w:right w:val="nil"/>
            </w:tcBorders>
            <w:shd w:val="clear" w:color="D9E1F2" w:fill="D9E1F2"/>
            <w:hideMark/>
          </w:tcPr>
          <w:p w14:paraId="294CCC06"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examine the gender pay gap in British financial services and assess the role of voluntary interventions and recession-related pressures.</w:t>
            </w:r>
          </w:p>
        </w:tc>
        <w:tc>
          <w:tcPr>
            <w:tcW w:w="1833" w:type="dxa"/>
            <w:tcBorders>
              <w:top w:val="single" w:sz="8" w:space="0" w:color="auto"/>
              <w:left w:val="nil"/>
              <w:bottom w:val="single" w:sz="8" w:space="0" w:color="auto"/>
              <w:right w:val="nil"/>
            </w:tcBorders>
            <w:shd w:val="clear" w:color="D9E1F2" w:fill="D9E1F2"/>
            <w:hideMark/>
          </w:tcPr>
          <w:p w14:paraId="023BC7A4"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Gender inequality; pay gap; voluntary regulation; institutional pressure.</w:t>
            </w:r>
          </w:p>
        </w:tc>
        <w:tc>
          <w:tcPr>
            <w:tcW w:w="1922" w:type="dxa"/>
            <w:tcBorders>
              <w:top w:val="single" w:sz="8" w:space="0" w:color="auto"/>
              <w:left w:val="nil"/>
              <w:bottom w:val="single" w:sz="8" w:space="0" w:color="auto"/>
              <w:right w:val="nil"/>
            </w:tcBorders>
            <w:shd w:val="clear" w:color="D9E1F2" w:fill="D9E1F2"/>
            <w:hideMark/>
          </w:tcPr>
          <w:p w14:paraId="4A66A0A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Quantitative analysis using Labour Force Survey data.</w:t>
            </w:r>
          </w:p>
        </w:tc>
        <w:tc>
          <w:tcPr>
            <w:tcW w:w="2068" w:type="dxa"/>
            <w:tcBorders>
              <w:top w:val="single" w:sz="8" w:space="0" w:color="auto"/>
              <w:left w:val="nil"/>
              <w:bottom w:val="single" w:sz="8" w:space="0" w:color="auto"/>
              <w:right w:val="nil"/>
            </w:tcBorders>
            <w:shd w:val="clear" w:color="D9E1F2" w:fill="D9E1F2"/>
            <w:hideMark/>
          </w:tcPr>
          <w:p w14:paraId="5E2E7B8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addresses pay inequality and voluntary interventions, but not retail employment or organisational commitment.</w:t>
            </w:r>
          </w:p>
        </w:tc>
        <w:tc>
          <w:tcPr>
            <w:tcW w:w="2112" w:type="dxa"/>
            <w:tcBorders>
              <w:top w:val="single" w:sz="8" w:space="0" w:color="auto"/>
              <w:left w:val="nil"/>
              <w:bottom w:val="single" w:sz="8" w:space="0" w:color="auto"/>
              <w:right w:val="nil"/>
            </w:tcBorders>
            <w:shd w:val="clear" w:color="D9E1F2" w:fill="D9E1F2"/>
            <w:hideMark/>
          </w:tcPr>
          <w:p w14:paraId="38464F8D"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focuses on financial services, so sector transfer to retail must be cautious.</w:t>
            </w:r>
          </w:p>
        </w:tc>
        <w:tc>
          <w:tcPr>
            <w:tcW w:w="2118" w:type="dxa"/>
            <w:tcBorders>
              <w:top w:val="single" w:sz="8" w:space="0" w:color="auto"/>
              <w:left w:val="nil"/>
              <w:bottom w:val="single" w:sz="8" w:space="0" w:color="auto"/>
              <w:right w:val="nil"/>
            </w:tcBorders>
            <w:shd w:val="clear" w:color="D9E1F2" w:fill="D9E1F2"/>
            <w:hideMark/>
          </w:tcPr>
          <w:p w14:paraId="7C6695B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gender pay gap reduced only marginally, showing the limits of voluntary interventions against resilient gendered structures.</w:t>
            </w:r>
          </w:p>
        </w:tc>
        <w:tc>
          <w:tcPr>
            <w:tcW w:w="2153" w:type="dxa"/>
            <w:tcBorders>
              <w:top w:val="single" w:sz="8" w:space="0" w:color="auto"/>
              <w:left w:val="nil"/>
              <w:bottom w:val="single" w:sz="8" w:space="0" w:color="auto"/>
              <w:right w:val="single" w:sz="4" w:space="0" w:color="auto"/>
            </w:tcBorders>
            <w:shd w:val="clear" w:color="D9E1F2" w:fill="D9E1F2"/>
            <w:hideMark/>
          </w:tcPr>
          <w:p w14:paraId="068A3785"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Moderately relevant for pay fairness and discrimination awareness. It supports discussion of equality rights, but not the commitment relationship directly.</w:t>
            </w:r>
          </w:p>
        </w:tc>
      </w:tr>
      <w:tr w:rsidR="00106549" w:rsidRPr="00106549" w14:paraId="32C77BD4" w14:textId="77777777" w:rsidTr="00106549">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37C2FE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Working and staying in retail: how working conditions shape industry loyalty in the war for talent</w:t>
            </w:r>
          </w:p>
        </w:tc>
        <w:tc>
          <w:tcPr>
            <w:tcW w:w="2027" w:type="dxa"/>
            <w:tcBorders>
              <w:top w:val="single" w:sz="8" w:space="0" w:color="auto"/>
              <w:left w:val="single" w:sz="8" w:space="0" w:color="auto"/>
              <w:bottom w:val="single" w:sz="8" w:space="0" w:color="auto"/>
              <w:right w:val="nil"/>
            </w:tcBorders>
            <w:shd w:val="clear" w:color="auto" w:fill="auto"/>
            <w:hideMark/>
          </w:tcPr>
          <w:p w14:paraId="4E45D8B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Weidinger, S., Mayr, K., Teller, C. &amp; Gittenberger, E. (2026) / International Journal of Retail &amp; Distribution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6898396D" w14:textId="77777777" w:rsidR="00106549" w:rsidRPr="00106549" w:rsidRDefault="00106549" w:rsidP="00106549">
            <w:pPr>
              <w:spacing w:before="0" w:after="0" w:line="240" w:lineRule="auto"/>
              <w:jc w:val="left"/>
              <w:rPr>
                <w:color w:val="0563C1"/>
                <w:kern w:val="0"/>
                <w:szCs w:val="24"/>
                <w:u w:val="single"/>
                <w:lang w:val="en-US" w:eastAsia="en-US"/>
                <w14:ligatures w14:val="none"/>
              </w:rPr>
            </w:pPr>
            <w:r w:rsidRPr="00106549">
              <w:rPr>
                <w:color w:val="0563C1"/>
                <w:kern w:val="0"/>
                <w:szCs w:val="24"/>
                <w:u w:val="single"/>
                <w:lang w:val="en-US" w:eastAsia="en-US"/>
                <w14:ligatures w14:val="none"/>
              </w:rPr>
              <w:t xml:space="preserve">https://doi.org/10.1108/IJRDM-08-2025-0659 </w:t>
            </w:r>
          </w:p>
        </w:tc>
        <w:tc>
          <w:tcPr>
            <w:tcW w:w="4629" w:type="dxa"/>
            <w:tcBorders>
              <w:top w:val="single" w:sz="8" w:space="0" w:color="auto"/>
              <w:left w:val="nil"/>
              <w:bottom w:val="single" w:sz="8" w:space="0" w:color="auto"/>
              <w:right w:val="nil"/>
            </w:tcBorders>
            <w:shd w:val="clear" w:color="auto" w:fill="auto"/>
            <w:hideMark/>
          </w:tcPr>
          <w:p w14:paraId="32DFECFB"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To investigate how retail working conditions influence employees' loyalty to the retail industry.</w:t>
            </w:r>
          </w:p>
        </w:tc>
        <w:tc>
          <w:tcPr>
            <w:tcW w:w="1833" w:type="dxa"/>
            <w:tcBorders>
              <w:top w:val="single" w:sz="8" w:space="0" w:color="auto"/>
              <w:left w:val="nil"/>
              <w:bottom w:val="single" w:sz="8" w:space="0" w:color="auto"/>
              <w:right w:val="nil"/>
            </w:tcBorders>
            <w:shd w:val="clear" w:color="auto" w:fill="auto"/>
            <w:hideMark/>
          </w:tcPr>
          <w:p w14:paraId="53931F9E"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Retail working conditions; industry loyalty; employee retention.</w:t>
            </w:r>
          </w:p>
        </w:tc>
        <w:tc>
          <w:tcPr>
            <w:tcW w:w="1922" w:type="dxa"/>
            <w:tcBorders>
              <w:top w:val="single" w:sz="8" w:space="0" w:color="auto"/>
              <w:left w:val="nil"/>
              <w:bottom w:val="single" w:sz="8" w:space="0" w:color="auto"/>
              <w:right w:val="nil"/>
            </w:tcBorders>
            <w:shd w:val="clear" w:color="auto" w:fill="auto"/>
            <w:hideMark/>
          </w:tcPr>
          <w:p w14:paraId="4E30C059"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Web-based survey of 1,006 frontline retail employees using variance-based SEM.</w:t>
            </w:r>
          </w:p>
        </w:tc>
        <w:tc>
          <w:tcPr>
            <w:tcW w:w="2068" w:type="dxa"/>
            <w:tcBorders>
              <w:top w:val="single" w:sz="8" w:space="0" w:color="auto"/>
              <w:left w:val="nil"/>
              <w:bottom w:val="single" w:sz="8" w:space="0" w:color="auto"/>
              <w:right w:val="nil"/>
            </w:tcBorders>
            <w:shd w:val="clear" w:color="auto" w:fill="auto"/>
            <w:hideMark/>
          </w:tcPr>
          <w:p w14:paraId="3F4FE8E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The article studies retail loyalty at industry level, while less attention is given to employer-level commitment and employment-rights awareness.</w:t>
            </w:r>
          </w:p>
        </w:tc>
        <w:tc>
          <w:tcPr>
            <w:tcW w:w="2112" w:type="dxa"/>
            <w:tcBorders>
              <w:top w:val="single" w:sz="8" w:space="0" w:color="auto"/>
              <w:left w:val="nil"/>
              <w:bottom w:val="single" w:sz="8" w:space="0" w:color="auto"/>
              <w:right w:val="nil"/>
            </w:tcBorders>
            <w:shd w:val="clear" w:color="auto" w:fill="auto"/>
            <w:hideMark/>
          </w:tcPr>
          <w:p w14:paraId="77A6C633"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It focuses on industry loyalty, not the direct legal-awareness-to-organisational-commitment relationship.</w:t>
            </w:r>
          </w:p>
        </w:tc>
        <w:tc>
          <w:tcPr>
            <w:tcW w:w="2118" w:type="dxa"/>
            <w:tcBorders>
              <w:top w:val="single" w:sz="8" w:space="0" w:color="auto"/>
              <w:left w:val="nil"/>
              <w:bottom w:val="single" w:sz="8" w:space="0" w:color="auto"/>
              <w:right w:val="nil"/>
            </w:tcBorders>
            <w:shd w:val="clear" w:color="auto" w:fill="auto"/>
            <w:hideMark/>
          </w:tcPr>
          <w:p w14:paraId="540E7C07"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Salary and growth opportunities have the strongest impact on industry loyalty, followed by customer interactions, tasks, team and work-life balance.</w:t>
            </w:r>
          </w:p>
        </w:tc>
        <w:tc>
          <w:tcPr>
            <w:tcW w:w="2153" w:type="dxa"/>
            <w:tcBorders>
              <w:top w:val="single" w:sz="8" w:space="0" w:color="auto"/>
              <w:left w:val="nil"/>
              <w:bottom w:val="single" w:sz="8" w:space="0" w:color="auto"/>
              <w:right w:val="single" w:sz="4" w:space="0" w:color="auto"/>
            </w:tcBorders>
            <w:shd w:val="clear" w:color="auto" w:fill="auto"/>
            <w:hideMark/>
          </w:tcPr>
          <w:p w14:paraId="4AB8E8CA" w14:textId="77777777" w:rsidR="00106549" w:rsidRPr="00106549" w:rsidRDefault="00106549" w:rsidP="00106549">
            <w:pPr>
              <w:spacing w:before="0" w:after="0" w:line="240" w:lineRule="auto"/>
              <w:jc w:val="left"/>
              <w:rPr>
                <w:color w:val="000000"/>
                <w:kern w:val="0"/>
                <w:szCs w:val="24"/>
                <w:lang w:val="en-US" w:eastAsia="en-US"/>
                <w14:ligatures w14:val="none"/>
              </w:rPr>
            </w:pPr>
            <w:r w:rsidRPr="00106549">
              <w:rPr>
                <w:color w:val="000000"/>
                <w:kern w:val="0"/>
                <w:szCs w:val="24"/>
                <w:lang w:val="en-US" w:eastAsia="en-US"/>
                <w14:ligatures w14:val="none"/>
              </w:rPr>
              <w:t>Highly relevant. It provides current retail-specific evidence on working conditions and loyalty, which supports the dissertation's commitment focus.</w:t>
            </w:r>
          </w:p>
        </w:tc>
      </w:tr>
      <w:tr w:rsidR="00566303" w:rsidRPr="00566303" w14:paraId="3E7CFDB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2F9006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Title of the Study</w:t>
            </w:r>
          </w:p>
        </w:tc>
        <w:tc>
          <w:tcPr>
            <w:tcW w:w="2027" w:type="dxa"/>
            <w:tcBorders>
              <w:top w:val="single" w:sz="8" w:space="0" w:color="auto"/>
              <w:left w:val="single" w:sz="8" w:space="0" w:color="auto"/>
              <w:bottom w:val="single" w:sz="8" w:space="0" w:color="auto"/>
              <w:right w:val="nil"/>
            </w:tcBorders>
            <w:shd w:val="clear" w:color="auto" w:fill="auto"/>
            <w:hideMark/>
          </w:tcPr>
          <w:p w14:paraId="435F622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Author(s) + Year / Journal</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D44E4FB"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DOI</w:t>
            </w:r>
          </w:p>
        </w:tc>
        <w:tc>
          <w:tcPr>
            <w:tcW w:w="4629" w:type="dxa"/>
            <w:tcBorders>
              <w:top w:val="single" w:sz="8" w:space="0" w:color="auto"/>
              <w:left w:val="nil"/>
              <w:bottom w:val="single" w:sz="8" w:space="0" w:color="auto"/>
              <w:right w:val="nil"/>
            </w:tcBorders>
            <w:shd w:val="clear" w:color="auto" w:fill="auto"/>
            <w:hideMark/>
          </w:tcPr>
          <w:p w14:paraId="17114C3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Aim / Objectives</w:t>
            </w:r>
          </w:p>
        </w:tc>
        <w:tc>
          <w:tcPr>
            <w:tcW w:w="1833" w:type="dxa"/>
            <w:tcBorders>
              <w:top w:val="single" w:sz="8" w:space="0" w:color="auto"/>
              <w:left w:val="nil"/>
              <w:bottom w:val="single" w:sz="8" w:space="0" w:color="auto"/>
              <w:right w:val="nil"/>
            </w:tcBorders>
            <w:shd w:val="clear" w:color="auto" w:fill="auto"/>
            <w:hideMark/>
          </w:tcPr>
          <w:p w14:paraId="0DA5F4C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Theory / Framework</w:t>
            </w:r>
          </w:p>
        </w:tc>
        <w:tc>
          <w:tcPr>
            <w:tcW w:w="1922" w:type="dxa"/>
            <w:tcBorders>
              <w:top w:val="single" w:sz="8" w:space="0" w:color="auto"/>
              <w:left w:val="nil"/>
              <w:bottom w:val="single" w:sz="8" w:space="0" w:color="auto"/>
              <w:right w:val="nil"/>
            </w:tcBorders>
            <w:shd w:val="clear" w:color="auto" w:fill="auto"/>
            <w:hideMark/>
          </w:tcPr>
          <w:p w14:paraId="32AC80D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Methodology</w:t>
            </w:r>
          </w:p>
        </w:tc>
        <w:tc>
          <w:tcPr>
            <w:tcW w:w="2068" w:type="dxa"/>
            <w:tcBorders>
              <w:top w:val="single" w:sz="8" w:space="0" w:color="auto"/>
              <w:left w:val="nil"/>
              <w:bottom w:val="single" w:sz="8" w:space="0" w:color="auto"/>
              <w:right w:val="nil"/>
            </w:tcBorders>
            <w:shd w:val="clear" w:color="auto" w:fill="auto"/>
            <w:hideMark/>
          </w:tcPr>
          <w:p w14:paraId="1ED765F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Gaps Highlighted</w:t>
            </w:r>
          </w:p>
        </w:tc>
        <w:tc>
          <w:tcPr>
            <w:tcW w:w="2112" w:type="dxa"/>
            <w:tcBorders>
              <w:top w:val="single" w:sz="8" w:space="0" w:color="auto"/>
              <w:left w:val="nil"/>
              <w:bottom w:val="single" w:sz="8" w:space="0" w:color="auto"/>
              <w:right w:val="nil"/>
            </w:tcBorders>
            <w:shd w:val="clear" w:color="auto" w:fill="auto"/>
            <w:hideMark/>
          </w:tcPr>
          <w:p w14:paraId="486F6E8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Methodological Limits</w:t>
            </w:r>
          </w:p>
        </w:tc>
        <w:tc>
          <w:tcPr>
            <w:tcW w:w="2118" w:type="dxa"/>
            <w:tcBorders>
              <w:top w:val="single" w:sz="8" w:space="0" w:color="auto"/>
              <w:left w:val="nil"/>
              <w:bottom w:val="single" w:sz="8" w:space="0" w:color="auto"/>
              <w:right w:val="nil"/>
            </w:tcBorders>
            <w:shd w:val="clear" w:color="auto" w:fill="auto"/>
            <w:hideMark/>
          </w:tcPr>
          <w:p w14:paraId="75EF000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Key Finding</w:t>
            </w:r>
          </w:p>
        </w:tc>
        <w:tc>
          <w:tcPr>
            <w:tcW w:w="2153" w:type="dxa"/>
            <w:tcBorders>
              <w:top w:val="single" w:sz="8" w:space="0" w:color="auto"/>
              <w:left w:val="nil"/>
              <w:bottom w:val="single" w:sz="8" w:space="0" w:color="auto"/>
              <w:right w:val="single" w:sz="4" w:space="0" w:color="auto"/>
            </w:tcBorders>
            <w:shd w:val="clear" w:color="auto" w:fill="auto"/>
            <w:hideMark/>
          </w:tcPr>
          <w:p w14:paraId="6CE23E4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Relevance to Study</w:t>
            </w:r>
          </w:p>
        </w:tc>
      </w:tr>
      <w:tr w:rsidR="00566303" w:rsidRPr="00566303" w14:paraId="5B830065"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5C1F3FE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Labour Law, Employees’ Capability for Voice, and Wellbeing: A Framework for Evaluation</w:t>
            </w:r>
          </w:p>
        </w:tc>
        <w:tc>
          <w:tcPr>
            <w:tcW w:w="2027" w:type="dxa"/>
            <w:tcBorders>
              <w:top w:val="single" w:sz="8" w:space="0" w:color="auto"/>
              <w:left w:val="single" w:sz="8" w:space="0" w:color="auto"/>
              <w:bottom w:val="single" w:sz="8" w:space="0" w:color="auto"/>
              <w:right w:val="nil"/>
            </w:tcBorders>
            <w:shd w:val="clear" w:color="auto" w:fill="auto"/>
            <w:hideMark/>
          </w:tcPr>
          <w:p w14:paraId="35E397F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Regier, C. (2024) / Journal of Human Development and Capabilities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74A0C7C"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78" w:history="1">
              <w:r w:rsidR="00566303" w:rsidRPr="00566303">
                <w:rPr>
                  <w:rStyle w:val="Hyperlink"/>
                  <w:kern w:val="0"/>
                  <w:szCs w:val="24"/>
                  <w:lang w:val="en-US" w:eastAsia="en-US"/>
                  <w14:ligatures w14:val="none"/>
                </w:rPr>
                <w:t xml:space="preserve">https://doi.org/10.1080/19452829.2023.2266691 </w:t>
              </w:r>
            </w:hyperlink>
          </w:p>
        </w:tc>
        <w:tc>
          <w:tcPr>
            <w:tcW w:w="4629" w:type="dxa"/>
            <w:tcBorders>
              <w:top w:val="single" w:sz="8" w:space="0" w:color="auto"/>
              <w:left w:val="nil"/>
              <w:bottom w:val="single" w:sz="8" w:space="0" w:color="auto"/>
              <w:right w:val="nil"/>
            </w:tcBorders>
            <w:shd w:val="clear" w:color="auto" w:fill="auto"/>
            <w:hideMark/>
          </w:tcPr>
          <w:p w14:paraId="6ECDF9D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develop a framework for evaluating how labour law affects employees’ practical capability to exercise voice and achieve wellbeing.</w:t>
            </w:r>
          </w:p>
        </w:tc>
        <w:tc>
          <w:tcPr>
            <w:tcW w:w="1833" w:type="dxa"/>
            <w:tcBorders>
              <w:top w:val="single" w:sz="8" w:space="0" w:color="auto"/>
              <w:left w:val="nil"/>
              <w:bottom w:val="single" w:sz="8" w:space="0" w:color="auto"/>
              <w:right w:val="nil"/>
            </w:tcBorders>
            <w:shd w:val="clear" w:color="auto" w:fill="auto"/>
            <w:hideMark/>
          </w:tcPr>
          <w:p w14:paraId="6EF7873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Capability approach; employee voice; labour-law evaluation.</w:t>
            </w:r>
          </w:p>
        </w:tc>
        <w:tc>
          <w:tcPr>
            <w:tcW w:w="1922" w:type="dxa"/>
            <w:tcBorders>
              <w:top w:val="single" w:sz="8" w:space="0" w:color="auto"/>
              <w:left w:val="nil"/>
              <w:bottom w:val="single" w:sz="8" w:space="0" w:color="auto"/>
              <w:right w:val="nil"/>
            </w:tcBorders>
            <w:shd w:val="clear" w:color="auto" w:fill="auto"/>
            <w:hideMark/>
          </w:tcPr>
          <w:p w14:paraId="290A895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Conceptual and interdisciplinary review integrating labour-law, voice and wellbeing literature.</w:t>
            </w:r>
          </w:p>
        </w:tc>
        <w:tc>
          <w:tcPr>
            <w:tcW w:w="2068" w:type="dxa"/>
            <w:tcBorders>
              <w:top w:val="single" w:sz="8" w:space="0" w:color="auto"/>
              <w:left w:val="nil"/>
              <w:bottom w:val="single" w:sz="8" w:space="0" w:color="auto"/>
              <w:right w:val="nil"/>
            </w:tcBorders>
            <w:shd w:val="clear" w:color="auto" w:fill="auto"/>
            <w:hideMark/>
          </w:tcPr>
          <w:p w14:paraId="1444ACE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Labour-law evaluation often prioritises economic outcomes and gives insufficient attention to employees’ real ability to use workplace rights.</w:t>
            </w:r>
          </w:p>
        </w:tc>
        <w:tc>
          <w:tcPr>
            <w:tcW w:w="2112" w:type="dxa"/>
            <w:tcBorders>
              <w:top w:val="single" w:sz="8" w:space="0" w:color="auto"/>
              <w:left w:val="nil"/>
              <w:bottom w:val="single" w:sz="8" w:space="0" w:color="auto"/>
              <w:right w:val="nil"/>
            </w:tcBorders>
            <w:shd w:val="clear" w:color="auto" w:fill="auto"/>
            <w:hideMark/>
          </w:tcPr>
          <w:p w14:paraId="29A9AD8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framework is conceptual and does not directly test employee attitudes or a retail-sector sample.</w:t>
            </w:r>
          </w:p>
        </w:tc>
        <w:tc>
          <w:tcPr>
            <w:tcW w:w="2118" w:type="dxa"/>
            <w:tcBorders>
              <w:top w:val="single" w:sz="8" w:space="0" w:color="auto"/>
              <w:left w:val="nil"/>
              <w:bottom w:val="single" w:sz="8" w:space="0" w:color="auto"/>
              <w:right w:val="nil"/>
            </w:tcBorders>
            <w:shd w:val="clear" w:color="auto" w:fill="auto"/>
            <w:hideMark/>
          </w:tcPr>
          <w:p w14:paraId="6D73C45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Employment legislation can support wellbeing when it operates as a social conversion factor that enables meaningful employee voice.</w:t>
            </w:r>
          </w:p>
        </w:tc>
        <w:tc>
          <w:tcPr>
            <w:tcW w:w="2153" w:type="dxa"/>
            <w:tcBorders>
              <w:top w:val="single" w:sz="8" w:space="0" w:color="auto"/>
              <w:left w:val="nil"/>
              <w:bottom w:val="single" w:sz="8" w:space="0" w:color="auto"/>
              <w:right w:val="single" w:sz="4" w:space="0" w:color="auto"/>
            </w:tcBorders>
            <w:shd w:val="clear" w:color="auto" w:fill="auto"/>
            <w:hideMark/>
          </w:tcPr>
          <w:p w14:paraId="0D3F96A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the argument that formal rights and awareness matter only when employees can safely exercise them within organisational procedures.</w:t>
            </w:r>
          </w:p>
        </w:tc>
      </w:tr>
      <w:tr w:rsidR="00566303" w:rsidRPr="00566303" w14:paraId="37B29177"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4BB3155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Voice in context: An international comparative study of employee experience with voice in small and medium enterprises</w:t>
            </w:r>
          </w:p>
        </w:tc>
        <w:tc>
          <w:tcPr>
            <w:tcW w:w="2027" w:type="dxa"/>
            <w:tcBorders>
              <w:top w:val="single" w:sz="8" w:space="0" w:color="auto"/>
              <w:left w:val="single" w:sz="8" w:space="0" w:color="auto"/>
              <w:bottom w:val="single" w:sz="8" w:space="0" w:color="auto"/>
              <w:right w:val="nil"/>
            </w:tcBorders>
            <w:shd w:val="clear" w:color="auto" w:fill="auto"/>
            <w:hideMark/>
          </w:tcPr>
          <w:p w14:paraId="3046344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Prouska, R., McKearney, A., Opute, J., Tungtakanpoung, M. &amp; Brewster, C. (2022) / The International Journal of Human Resource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0502578"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79" w:history="1">
              <w:r w:rsidR="00566303" w:rsidRPr="00566303">
                <w:rPr>
                  <w:rStyle w:val="Hyperlink"/>
                  <w:kern w:val="0"/>
                  <w:szCs w:val="24"/>
                  <w:lang w:val="en-US" w:eastAsia="en-US"/>
                  <w14:ligatures w14:val="none"/>
                </w:rPr>
                <w:t xml:space="preserve">https://doi.org/10.1080/09585192.2021.1925323 </w:t>
              </w:r>
            </w:hyperlink>
          </w:p>
        </w:tc>
        <w:tc>
          <w:tcPr>
            <w:tcW w:w="4629" w:type="dxa"/>
            <w:tcBorders>
              <w:top w:val="single" w:sz="8" w:space="0" w:color="auto"/>
              <w:left w:val="nil"/>
              <w:bottom w:val="single" w:sz="8" w:space="0" w:color="auto"/>
              <w:right w:val="nil"/>
            </w:tcBorders>
            <w:shd w:val="clear" w:color="auto" w:fill="auto"/>
            <w:hideMark/>
          </w:tcPr>
          <w:p w14:paraId="6DBA1D5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compare how employees experience voice in non-unionised small and medium-sized enterprises across different national contexts.</w:t>
            </w:r>
          </w:p>
        </w:tc>
        <w:tc>
          <w:tcPr>
            <w:tcW w:w="1833" w:type="dxa"/>
            <w:tcBorders>
              <w:top w:val="single" w:sz="8" w:space="0" w:color="auto"/>
              <w:left w:val="nil"/>
              <w:bottom w:val="single" w:sz="8" w:space="0" w:color="auto"/>
              <w:right w:val="nil"/>
            </w:tcBorders>
            <w:shd w:val="clear" w:color="auto" w:fill="auto"/>
            <w:hideMark/>
          </w:tcPr>
          <w:p w14:paraId="1805A8D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Integrative employee-voice model; institutional and organisational context.</w:t>
            </w:r>
          </w:p>
        </w:tc>
        <w:tc>
          <w:tcPr>
            <w:tcW w:w="1922" w:type="dxa"/>
            <w:tcBorders>
              <w:top w:val="single" w:sz="8" w:space="0" w:color="auto"/>
              <w:left w:val="nil"/>
              <w:bottom w:val="single" w:sz="8" w:space="0" w:color="auto"/>
              <w:right w:val="nil"/>
            </w:tcBorders>
            <w:shd w:val="clear" w:color="auto" w:fill="auto"/>
            <w:hideMark/>
          </w:tcPr>
          <w:p w14:paraId="2C2C211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Qualitative comparative study using 30 interviews in SMEs in the United Kingdom, Thailand and Nigeria.</w:t>
            </w:r>
          </w:p>
        </w:tc>
        <w:tc>
          <w:tcPr>
            <w:tcW w:w="2068" w:type="dxa"/>
            <w:tcBorders>
              <w:top w:val="single" w:sz="8" w:space="0" w:color="auto"/>
              <w:left w:val="nil"/>
              <w:bottom w:val="single" w:sz="8" w:space="0" w:color="auto"/>
              <w:right w:val="nil"/>
            </w:tcBorders>
            <w:shd w:val="clear" w:color="auto" w:fill="auto"/>
            <w:hideMark/>
          </w:tcPr>
          <w:p w14:paraId="33FE646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Employee-voice research gives limited attention to the combined influence of national institutions and internal SME conditions.</w:t>
            </w:r>
          </w:p>
        </w:tc>
        <w:tc>
          <w:tcPr>
            <w:tcW w:w="2112" w:type="dxa"/>
            <w:tcBorders>
              <w:top w:val="single" w:sz="8" w:space="0" w:color="auto"/>
              <w:left w:val="nil"/>
              <w:bottom w:val="single" w:sz="8" w:space="0" w:color="auto"/>
              <w:right w:val="nil"/>
            </w:tcBorders>
            <w:shd w:val="clear" w:color="auto" w:fill="auto"/>
            <w:hideMark/>
          </w:tcPr>
          <w:p w14:paraId="415E45E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small qualitative sample and SME focus limit generalisation to the wider UK retail workforce.</w:t>
            </w:r>
          </w:p>
        </w:tc>
        <w:tc>
          <w:tcPr>
            <w:tcW w:w="2118" w:type="dxa"/>
            <w:tcBorders>
              <w:top w:val="single" w:sz="8" w:space="0" w:color="auto"/>
              <w:left w:val="nil"/>
              <w:bottom w:val="single" w:sz="8" w:space="0" w:color="auto"/>
              <w:right w:val="nil"/>
            </w:tcBorders>
            <w:shd w:val="clear" w:color="auto" w:fill="auto"/>
            <w:hideMark/>
          </w:tcPr>
          <w:p w14:paraId="58AC157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Employees’ opportunities to express concerns were shaped by both institutional conditions and internal management relationships.</w:t>
            </w:r>
          </w:p>
        </w:tc>
        <w:tc>
          <w:tcPr>
            <w:tcW w:w="2153" w:type="dxa"/>
            <w:tcBorders>
              <w:top w:val="single" w:sz="8" w:space="0" w:color="auto"/>
              <w:left w:val="nil"/>
              <w:bottom w:val="single" w:sz="8" w:space="0" w:color="auto"/>
              <w:right w:val="single" w:sz="4" w:space="0" w:color="auto"/>
            </w:tcBorders>
            <w:shd w:val="clear" w:color="auto" w:fill="auto"/>
            <w:hideMark/>
          </w:tcPr>
          <w:p w14:paraId="5CBF732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Relevant to awareness of grievance and representation rights and to whether fair voice procedures strengthen organisational justice.</w:t>
            </w:r>
          </w:p>
        </w:tc>
      </w:tr>
      <w:tr w:rsidR="00566303" w:rsidRPr="00566303" w14:paraId="380CDD1B"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58834F5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Strategic or Silencing? Line Managers’ Repurposing of Employee Voice Mechanisms for High Performance</w:t>
            </w:r>
          </w:p>
        </w:tc>
        <w:tc>
          <w:tcPr>
            <w:tcW w:w="2027" w:type="dxa"/>
            <w:tcBorders>
              <w:top w:val="single" w:sz="8" w:space="0" w:color="auto"/>
              <w:left w:val="single" w:sz="8" w:space="0" w:color="auto"/>
              <w:bottom w:val="single" w:sz="8" w:space="0" w:color="auto"/>
              <w:right w:val="nil"/>
            </w:tcBorders>
            <w:shd w:val="clear" w:color="auto" w:fill="auto"/>
            <w:hideMark/>
          </w:tcPr>
          <w:p w14:paraId="4087463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Mowbray, P.K., Wilkinson, A. &amp; Tse, H.H.M. (2022) / British Journal of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09CCF99"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0" w:history="1">
              <w:r w:rsidR="00566303" w:rsidRPr="00566303">
                <w:rPr>
                  <w:rStyle w:val="Hyperlink"/>
                  <w:kern w:val="0"/>
                  <w:szCs w:val="24"/>
                  <w:lang w:val="en-US" w:eastAsia="en-US"/>
                  <w14:ligatures w14:val="none"/>
                </w:rPr>
                <w:t xml:space="preserve">https://doi.org/10.1111/1467-8551.12469 </w:t>
              </w:r>
            </w:hyperlink>
          </w:p>
        </w:tc>
        <w:tc>
          <w:tcPr>
            <w:tcW w:w="4629" w:type="dxa"/>
            <w:tcBorders>
              <w:top w:val="single" w:sz="8" w:space="0" w:color="auto"/>
              <w:left w:val="nil"/>
              <w:bottom w:val="single" w:sz="8" w:space="0" w:color="auto"/>
              <w:right w:val="nil"/>
            </w:tcBorders>
            <w:shd w:val="clear" w:color="auto" w:fill="auto"/>
            <w:hideMark/>
          </w:tcPr>
          <w:p w14:paraId="3AD4D57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investigate how line managers interpret and use formal employee-voice mechanisms within high-performance systems.</w:t>
            </w:r>
          </w:p>
        </w:tc>
        <w:tc>
          <w:tcPr>
            <w:tcW w:w="1833" w:type="dxa"/>
            <w:tcBorders>
              <w:top w:val="single" w:sz="8" w:space="0" w:color="auto"/>
              <w:left w:val="nil"/>
              <w:bottom w:val="single" w:sz="8" w:space="0" w:color="auto"/>
              <w:right w:val="nil"/>
            </w:tcBorders>
            <w:shd w:val="clear" w:color="auto" w:fill="auto"/>
            <w:hideMark/>
          </w:tcPr>
          <w:p w14:paraId="120EB2A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 voice; labour process perspective; high-performance management.</w:t>
            </w:r>
          </w:p>
        </w:tc>
        <w:tc>
          <w:tcPr>
            <w:tcW w:w="1922" w:type="dxa"/>
            <w:tcBorders>
              <w:top w:val="single" w:sz="8" w:space="0" w:color="auto"/>
              <w:left w:val="nil"/>
              <w:bottom w:val="single" w:sz="8" w:space="0" w:color="auto"/>
              <w:right w:val="nil"/>
            </w:tcBorders>
            <w:shd w:val="clear" w:color="auto" w:fill="auto"/>
            <w:hideMark/>
          </w:tcPr>
          <w:p w14:paraId="58E8FB9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Qualitative research based on 50 semi-structured interviews across two organisational case studies.</w:t>
            </w:r>
          </w:p>
        </w:tc>
        <w:tc>
          <w:tcPr>
            <w:tcW w:w="2068" w:type="dxa"/>
            <w:tcBorders>
              <w:top w:val="single" w:sz="8" w:space="0" w:color="auto"/>
              <w:left w:val="nil"/>
              <w:bottom w:val="single" w:sz="8" w:space="0" w:color="auto"/>
              <w:right w:val="nil"/>
            </w:tcBorders>
            <w:shd w:val="clear" w:color="auto" w:fill="auto"/>
            <w:hideMark/>
          </w:tcPr>
          <w:p w14:paraId="7D080B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rarely examines how managers may redirect voice mechanisms away from employee interests.</w:t>
            </w:r>
          </w:p>
        </w:tc>
        <w:tc>
          <w:tcPr>
            <w:tcW w:w="2112" w:type="dxa"/>
            <w:tcBorders>
              <w:top w:val="single" w:sz="8" w:space="0" w:color="auto"/>
              <w:left w:val="nil"/>
              <w:bottom w:val="single" w:sz="8" w:space="0" w:color="auto"/>
              <w:right w:val="nil"/>
            </w:tcBorders>
            <w:shd w:val="clear" w:color="auto" w:fill="auto"/>
            <w:hideMark/>
          </w:tcPr>
          <w:p w14:paraId="38B773F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Case-study evidence cannot establish prevalence across industries, and the study does not directly measure commitment.</w:t>
            </w:r>
          </w:p>
        </w:tc>
        <w:tc>
          <w:tcPr>
            <w:tcW w:w="2118" w:type="dxa"/>
            <w:tcBorders>
              <w:top w:val="single" w:sz="8" w:space="0" w:color="auto"/>
              <w:left w:val="nil"/>
              <w:bottom w:val="single" w:sz="8" w:space="0" w:color="auto"/>
              <w:right w:val="nil"/>
            </w:tcBorders>
            <w:shd w:val="clear" w:color="auto" w:fill="auto"/>
            <w:hideMark/>
          </w:tcPr>
          <w:p w14:paraId="70E8424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Managers sometimes repurposed voice mechanisms toward operational improvement while marginalising employee-centred concerns.</w:t>
            </w:r>
          </w:p>
        </w:tc>
        <w:tc>
          <w:tcPr>
            <w:tcW w:w="2153" w:type="dxa"/>
            <w:tcBorders>
              <w:top w:val="single" w:sz="8" w:space="0" w:color="auto"/>
              <w:left w:val="nil"/>
              <w:bottom w:val="single" w:sz="8" w:space="0" w:color="auto"/>
              <w:right w:val="single" w:sz="4" w:space="0" w:color="auto"/>
            </w:tcBorders>
            <w:shd w:val="clear" w:color="auto" w:fill="auto"/>
            <w:hideMark/>
          </w:tcPr>
          <w:p w14:paraId="1942F06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Shows why awareness of formal grievance rights may not create justice or commitment when managers control how voice mechanisms operate.</w:t>
            </w:r>
          </w:p>
        </w:tc>
      </w:tr>
      <w:tr w:rsidR="00566303" w:rsidRPr="00566303" w14:paraId="68AAFE38"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608B382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Does Voice Gap Influence Workers’ Job Attitudes and Well-Being? Measuring Voice as a Dimension of Job Quality</w:t>
            </w:r>
          </w:p>
        </w:tc>
        <w:tc>
          <w:tcPr>
            <w:tcW w:w="2027" w:type="dxa"/>
            <w:tcBorders>
              <w:top w:val="single" w:sz="8" w:space="0" w:color="auto"/>
              <w:left w:val="single" w:sz="8" w:space="0" w:color="auto"/>
              <w:bottom w:val="single" w:sz="8" w:space="0" w:color="auto"/>
              <w:right w:val="nil"/>
            </w:tcBorders>
            <w:shd w:val="clear" w:color="auto" w:fill="auto"/>
            <w:hideMark/>
          </w:tcPr>
          <w:p w14:paraId="57F6778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Díaz-Linhart, Y., Kochan, T., Minster, A., Park, D. &amp; Yang, D. (2025) / British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5554353"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1" w:history="1">
              <w:r w:rsidR="00566303" w:rsidRPr="00566303">
                <w:rPr>
                  <w:rStyle w:val="Hyperlink"/>
                  <w:kern w:val="0"/>
                  <w:szCs w:val="24"/>
                  <w:lang w:val="en-US" w:eastAsia="en-US"/>
                  <w14:ligatures w14:val="none"/>
                </w:rPr>
                <w:t xml:space="preserve">https://doi.org/10.1111/bjir.12866 </w:t>
              </w:r>
            </w:hyperlink>
          </w:p>
        </w:tc>
        <w:tc>
          <w:tcPr>
            <w:tcW w:w="4629" w:type="dxa"/>
            <w:tcBorders>
              <w:top w:val="single" w:sz="8" w:space="0" w:color="auto"/>
              <w:left w:val="nil"/>
              <w:bottom w:val="single" w:sz="8" w:space="0" w:color="auto"/>
              <w:right w:val="nil"/>
            </w:tcBorders>
            <w:shd w:val="clear" w:color="auto" w:fill="auto"/>
            <w:hideMark/>
          </w:tcPr>
          <w:p w14:paraId="53049E9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measure the gap between employees’ desired and experienced voice and assess its relationship with work attitudes and wellbeing.</w:t>
            </w:r>
          </w:p>
        </w:tc>
        <w:tc>
          <w:tcPr>
            <w:tcW w:w="1833" w:type="dxa"/>
            <w:tcBorders>
              <w:top w:val="single" w:sz="8" w:space="0" w:color="auto"/>
              <w:left w:val="nil"/>
              <w:bottom w:val="single" w:sz="8" w:space="0" w:color="auto"/>
              <w:right w:val="nil"/>
            </w:tcBorders>
            <w:shd w:val="clear" w:color="auto" w:fill="auto"/>
            <w:hideMark/>
          </w:tcPr>
          <w:p w14:paraId="7345061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 voice gap; job-quality framework.</w:t>
            </w:r>
          </w:p>
        </w:tc>
        <w:tc>
          <w:tcPr>
            <w:tcW w:w="1922" w:type="dxa"/>
            <w:tcBorders>
              <w:top w:val="single" w:sz="8" w:space="0" w:color="auto"/>
              <w:left w:val="nil"/>
              <w:bottom w:val="single" w:sz="8" w:space="0" w:color="auto"/>
              <w:right w:val="nil"/>
            </w:tcBorders>
            <w:shd w:val="clear" w:color="auto" w:fill="auto"/>
            <w:hideMark/>
          </w:tcPr>
          <w:p w14:paraId="3A073DC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1,307 workers with multivariate analysis of voice, wellbeing and work attitudes.</w:t>
            </w:r>
          </w:p>
        </w:tc>
        <w:tc>
          <w:tcPr>
            <w:tcW w:w="2068" w:type="dxa"/>
            <w:tcBorders>
              <w:top w:val="single" w:sz="8" w:space="0" w:color="auto"/>
              <w:left w:val="nil"/>
              <w:bottom w:val="single" w:sz="8" w:space="0" w:color="auto"/>
              <w:right w:val="nil"/>
            </w:tcBorders>
            <w:shd w:val="clear" w:color="auto" w:fill="auto"/>
            <w:hideMark/>
          </w:tcPr>
          <w:p w14:paraId="42DACA2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Job-quality studies have not adequately measured unmet demand for employee voice or distinguished different voice issues.</w:t>
            </w:r>
          </w:p>
        </w:tc>
        <w:tc>
          <w:tcPr>
            <w:tcW w:w="2112" w:type="dxa"/>
            <w:tcBorders>
              <w:top w:val="single" w:sz="8" w:space="0" w:color="auto"/>
              <w:left w:val="nil"/>
              <w:bottom w:val="single" w:sz="8" w:space="0" w:color="auto"/>
              <w:right w:val="nil"/>
            </w:tcBorders>
            <w:shd w:val="clear" w:color="auto" w:fill="auto"/>
            <w:hideMark/>
          </w:tcPr>
          <w:p w14:paraId="5E89E42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study is based on United States workers and cross-sectional self-reports, limiting causal and UK-specific conclusions.</w:t>
            </w:r>
          </w:p>
        </w:tc>
        <w:tc>
          <w:tcPr>
            <w:tcW w:w="2118" w:type="dxa"/>
            <w:tcBorders>
              <w:top w:val="single" w:sz="8" w:space="0" w:color="auto"/>
              <w:left w:val="nil"/>
              <w:bottom w:val="single" w:sz="8" w:space="0" w:color="auto"/>
              <w:right w:val="nil"/>
            </w:tcBorders>
            <w:shd w:val="clear" w:color="auto" w:fill="auto"/>
            <w:hideMark/>
          </w:tcPr>
          <w:p w14:paraId="6B01950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Larger voice gaps were associated with lower job satisfaction and wellbeing and higher burnout and turnover intention.</w:t>
            </w:r>
          </w:p>
        </w:tc>
        <w:tc>
          <w:tcPr>
            <w:tcW w:w="2153" w:type="dxa"/>
            <w:tcBorders>
              <w:top w:val="single" w:sz="8" w:space="0" w:color="auto"/>
              <w:left w:val="nil"/>
              <w:bottom w:val="single" w:sz="8" w:space="0" w:color="auto"/>
              <w:right w:val="single" w:sz="4" w:space="0" w:color="auto"/>
            </w:tcBorders>
            <w:shd w:val="clear" w:color="auto" w:fill="auto"/>
            <w:hideMark/>
          </w:tcPr>
          <w:p w14:paraId="36BF6C5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the dissertation’s claim that rights awareness and the ability to use voice procedures may influence commitment-related attitudes.</w:t>
            </w:r>
          </w:p>
        </w:tc>
      </w:tr>
      <w:tr w:rsidR="00566303" w:rsidRPr="00566303" w14:paraId="4D6D4564"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2E79D4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Can cooperatives/employee-owned businesses improve ‘bad’ jobs? Evaluating job quality in three low-paid sectors</w:t>
            </w:r>
          </w:p>
        </w:tc>
        <w:tc>
          <w:tcPr>
            <w:tcW w:w="2027" w:type="dxa"/>
            <w:tcBorders>
              <w:top w:val="single" w:sz="8" w:space="0" w:color="auto"/>
              <w:left w:val="single" w:sz="8" w:space="0" w:color="auto"/>
              <w:bottom w:val="single" w:sz="8" w:space="0" w:color="auto"/>
              <w:right w:val="nil"/>
            </w:tcBorders>
            <w:shd w:val="clear" w:color="auto" w:fill="auto"/>
            <w:hideMark/>
          </w:tcPr>
          <w:p w14:paraId="0A89C56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Jenkins, S. &amp; Chivers, W. (2022) / British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62679A26"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2" w:history="1">
              <w:r w:rsidR="00566303" w:rsidRPr="00566303">
                <w:rPr>
                  <w:rStyle w:val="Hyperlink"/>
                  <w:kern w:val="0"/>
                  <w:szCs w:val="24"/>
                  <w:lang w:val="en-US" w:eastAsia="en-US"/>
                  <w14:ligatures w14:val="none"/>
                </w:rPr>
                <w:t xml:space="preserve">https://doi.org/10.1111/bjir.12637 </w:t>
              </w:r>
            </w:hyperlink>
          </w:p>
        </w:tc>
        <w:tc>
          <w:tcPr>
            <w:tcW w:w="4629" w:type="dxa"/>
            <w:tcBorders>
              <w:top w:val="single" w:sz="8" w:space="0" w:color="auto"/>
              <w:left w:val="nil"/>
              <w:bottom w:val="single" w:sz="8" w:space="0" w:color="auto"/>
              <w:right w:val="nil"/>
            </w:tcBorders>
            <w:shd w:val="clear" w:color="auto" w:fill="auto"/>
            <w:hideMark/>
          </w:tcPr>
          <w:p w14:paraId="3B91937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whether cooperative and employee-owned organisations improve job quality in low-paid sectors.</w:t>
            </w:r>
          </w:p>
        </w:tc>
        <w:tc>
          <w:tcPr>
            <w:tcW w:w="1833" w:type="dxa"/>
            <w:tcBorders>
              <w:top w:val="single" w:sz="8" w:space="0" w:color="auto"/>
              <w:left w:val="nil"/>
              <w:bottom w:val="single" w:sz="8" w:space="0" w:color="auto"/>
              <w:right w:val="nil"/>
            </w:tcBorders>
            <w:shd w:val="clear" w:color="auto" w:fill="auto"/>
            <w:hideMark/>
          </w:tcPr>
          <w:p w14:paraId="5AD212F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Job-quality framework; employee ownership; workplace democracy.</w:t>
            </w:r>
          </w:p>
        </w:tc>
        <w:tc>
          <w:tcPr>
            <w:tcW w:w="1922" w:type="dxa"/>
            <w:tcBorders>
              <w:top w:val="single" w:sz="8" w:space="0" w:color="auto"/>
              <w:left w:val="nil"/>
              <w:bottom w:val="single" w:sz="8" w:space="0" w:color="auto"/>
              <w:right w:val="nil"/>
            </w:tcBorders>
            <w:shd w:val="clear" w:color="auto" w:fill="auto"/>
            <w:hideMark/>
          </w:tcPr>
          <w:p w14:paraId="482E816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Three in-depth qualitative case studies in Welsh social care, transport and manufacturing organisations.</w:t>
            </w:r>
          </w:p>
        </w:tc>
        <w:tc>
          <w:tcPr>
            <w:tcW w:w="2068" w:type="dxa"/>
            <w:tcBorders>
              <w:top w:val="single" w:sz="8" w:space="0" w:color="auto"/>
              <w:left w:val="nil"/>
              <w:bottom w:val="single" w:sz="8" w:space="0" w:color="auto"/>
              <w:right w:val="nil"/>
            </w:tcBorders>
            <w:shd w:val="clear" w:color="auto" w:fill="auto"/>
            <w:hideMark/>
          </w:tcPr>
          <w:p w14:paraId="3B27D11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Evidence on whether alternative ownership automatically improves low-paid work remains limited and context dependent.</w:t>
            </w:r>
          </w:p>
        </w:tc>
        <w:tc>
          <w:tcPr>
            <w:tcW w:w="2112" w:type="dxa"/>
            <w:tcBorders>
              <w:top w:val="single" w:sz="8" w:space="0" w:color="auto"/>
              <w:left w:val="nil"/>
              <w:bottom w:val="single" w:sz="8" w:space="0" w:color="auto"/>
              <w:right w:val="nil"/>
            </w:tcBorders>
            <w:shd w:val="clear" w:color="auto" w:fill="auto"/>
            <w:hideMark/>
          </w:tcPr>
          <w:p w14:paraId="018D5CC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small number of cases and sector differences restrict broad generalisation.</w:t>
            </w:r>
          </w:p>
        </w:tc>
        <w:tc>
          <w:tcPr>
            <w:tcW w:w="2118" w:type="dxa"/>
            <w:tcBorders>
              <w:top w:val="single" w:sz="8" w:space="0" w:color="auto"/>
              <w:left w:val="nil"/>
              <w:bottom w:val="single" w:sz="8" w:space="0" w:color="auto"/>
              <w:right w:val="nil"/>
            </w:tcBorders>
            <w:shd w:val="clear" w:color="auto" w:fill="auto"/>
            <w:hideMark/>
          </w:tcPr>
          <w:p w14:paraId="272D676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 ownership could improve voice and job quality, but outcomes depended on governance, resources and organisational context.</w:t>
            </w:r>
          </w:p>
        </w:tc>
        <w:tc>
          <w:tcPr>
            <w:tcW w:w="2153" w:type="dxa"/>
            <w:tcBorders>
              <w:top w:val="single" w:sz="8" w:space="0" w:color="auto"/>
              <w:left w:val="nil"/>
              <w:bottom w:val="single" w:sz="8" w:space="0" w:color="auto"/>
              <w:right w:val="single" w:sz="4" w:space="0" w:color="auto"/>
            </w:tcBorders>
            <w:shd w:val="clear" w:color="auto" w:fill="auto"/>
            <w:hideMark/>
          </w:tcPr>
          <w:p w14:paraId="13E4D93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Helps explain how organisational systems and fair participation shape employee evaluations beyond the existence of formal legal rights.</w:t>
            </w:r>
          </w:p>
        </w:tc>
      </w:tr>
      <w:tr w:rsidR="00566303" w:rsidRPr="00566303" w14:paraId="5AFF819F"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40BF6F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The Relative Importance of the Establishment in the Determination of Job Quality</w:t>
            </w:r>
          </w:p>
        </w:tc>
        <w:tc>
          <w:tcPr>
            <w:tcW w:w="2027" w:type="dxa"/>
            <w:tcBorders>
              <w:top w:val="single" w:sz="8" w:space="0" w:color="auto"/>
              <w:left w:val="single" w:sz="8" w:space="0" w:color="auto"/>
              <w:bottom w:val="single" w:sz="8" w:space="0" w:color="auto"/>
              <w:right w:val="nil"/>
            </w:tcBorders>
            <w:shd w:val="clear" w:color="auto" w:fill="auto"/>
            <w:hideMark/>
          </w:tcPr>
          <w:p w14:paraId="0A0D430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Bryson, A., Forth, J. &amp; Green, F. (2026) / British Journal of Industrial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9D16ED6"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3" w:history="1">
              <w:r w:rsidR="00566303" w:rsidRPr="00566303">
                <w:rPr>
                  <w:rStyle w:val="Hyperlink"/>
                  <w:kern w:val="0"/>
                  <w:szCs w:val="24"/>
                  <w:lang w:val="en-US" w:eastAsia="en-US"/>
                  <w14:ligatures w14:val="none"/>
                </w:rPr>
                <w:t xml:space="preserve">https://doi.org/10.1111/bjir.70068 </w:t>
              </w:r>
            </w:hyperlink>
          </w:p>
        </w:tc>
        <w:tc>
          <w:tcPr>
            <w:tcW w:w="4629" w:type="dxa"/>
            <w:tcBorders>
              <w:top w:val="single" w:sz="8" w:space="0" w:color="auto"/>
              <w:left w:val="nil"/>
              <w:bottom w:val="single" w:sz="8" w:space="0" w:color="auto"/>
              <w:right w:val="nil"/>
            </w:tcBorders>
            <w:shd w:val="clear" w:color="auto" w:fill="auto"/>
            <w:hideMark/>
          </w:tcPr>
          <w:p w14:paraId="3295D4E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determine how much variation in job quality is explained by the employing establishment compared with worker characteristics.</w:t>
            </w:r>
          </w:p>
        </w:tc>
        <w:tc>
          <w:tcPr>
            <w:tcW w:w="1833" w:type="dxa"/>
            <w:tcBorders>
              <w:top w:val="single" w:sz="8" w:space="0" w:color="auto"/>
              <w:left w:val="nil"/>
              <w:bottom w:val="single" w:sz="8" w:space="0" w:color="auto"/>
              <w:right w:val="nil"/>
            </w:tcBorders>
            <w:shd w:val="clear" w:color="auto" w:fill="auto"/>
            <w:hideMark/>
          </w:tcPr>
          <w:p w14:paraId="391618A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Job-quality framework; workplace-level effects.</w:t>
            </w:r>
          </w:p>
        </w:tc>
        <w:tc>
          <w:tcPr>
            <w:tcW w:w="1922" w:type="dxa"/>
            <w:tcBorders>
              <w:top w:val="single" w:sz="8" w:space="0" w:color="auto"/>
              <w:left w:val="nil"/>
              <w:bottom w:val="single" w:sz="8" w:space="0" w:color="auto"/>
              <w:right w:val="nil"/>
            </w:tcBorders>
            <w:shd w:val="clear" w:color="auto" w:fill="auto"/>
            <w:hideMark/>
          </w:tcPr>
          <w:p w14:paraId="1FBCC45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analysis of linked employer–employee data from the British Workplace Employment Relations Survey using multilevel and OLS models.</w:t>
            </w:r>
          </w:p>
        </w:tc>
        <w:tc>
          <w:tcPr>
            <w:tcW w:w="2068" w:type="dxa"/>
            <w:tcBorders>
              <w:top w:val="single" w:sz="8" w:space="0" w:color="auto"/>
              <w:left w:val="nil"/>
              <w:bottom w:val="single" w:sz="8" w:space="0" w:color="auto"/>
              <w:right w:val="nil"/>
            </w:tcBorders>
            <w:shd w:val="clear" w:color="auto" w:fill="auto"/>
            <w:hideMark/>
          </w:tcPr>
          <w:p w14:paraId="27C5193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Job-quality studies often understate how strongly workplace practices determine employees’ experiences.</w:t>
            </w:r>
          </w:p>
        </w:tc>
        <w:tc>
          <w:tcPr>
            <w:tcW w:w="2112" w:type="dxa"/>
            <w:tcBorders>
              <w:top w:val="single" w:sz="8" w:space="0" w:color="auto"/>
              <w:left w:val="nil"/>
              <w:bottom w:val="single" w:sz="8" w:space="0" w:color="auto"/>
              <w:right w:val="nil"/>
            </w:tcBorders>
            <w:shd w:val="clear" w:color="auto" w:fill="auto"/>
            <w:hideMark/>
          </w:tcPr>
          <w:p w14:paraId="4F663EF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Observational survey data cannot establish causality, and results are not limited to retail employees.</w:t>
            </w:r>
          </w:p>
        </w:tc>
        <w:tc>
          <w:tcPr>
            <w:tcW w:w="2118" w:type="dxa"/>
            <w:tcBorders>
              <w:top w:val="single" w:sz="8" w:space="0" w:color="auto"/>
              <w:left w:val="nil"/>
              <w:bottom w:val="single" w:sz="8" w:space="0" w:color="auto"/>
              <w:right w:val="nil"/>
            </w:tcBorders>
            <w:shd w:val="clear" w:color="auto" w:fill="auto"/>
            <w:hideMark/>
          </w:tcPr>
          <w:p w14:paraId="208B0CC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 establishments explained a substantial proportion of differences in non-pay dimensions of job quality.</w:t>
            </w:r>
          </w:p>
        </w:tc>
        <w:tc>
          <w:tcPr>
            <w:tcW w:w="2153" w:type="dxa"/>
            <w:tcBorders>
              <w:top w:val="single" w:sz="8" w:space="0" w:color="auto"/>
              <w:left w:val="nil"/>
              <w:bottom w:val="single" w:sz="8" w:space="0" w:color="auto"/>
              <w:right w:val="single" w:sz="4" w:space="0" w:color="auto"/>
            </w:tcBorders>
            <w:shd w:val="clear" w:color="auto" w:fill="auto"/>
            <w:hideMark/>
          </w:tcPr>
          <w:p w14:paraId="117545B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focusing on organisational justice because workplace-level procedures and treatment can shape employee commitment.</w:t>
            </w:r>
          </w:p>
        </w:tc>
      </w:tr>
      <w:tr w:rsidR="00566303" w:rsidRPr="00566303" w14:paraId="404655C8"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171CA74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Generation Z’s organizational commitment in the retail sector in Ho Chi Minh City</w:t>
            </w:r>
          </w:p>
        </w:tc>
        <w:tc>
          <w:tcPr>
            <w:tcW w:w="2027" w:type="dxa"/>
            <w:tcBorders>
              <w:top w:val="single" w:sz="8" w:space="0" w:color="auto"/>
              <w:left w:val="single" w:sz="8" w:space="0" w:color="auto"/>
              <w:bottom w:val="single" w:sz="8" w:space="0" w:color="auto"/>
              <w:right w:val="nil"/>
            </w:tcBorders>
            <w:shd w:val="clear" w:color="auto" w:fill="auto"/>
            <w:hideMark/>
          </w:tcPr>
          <w:p w14:paraId="414AF61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Tran Thi Trang, Do Thi Anh Nguyet &amp; Le Thi Minh Thanh (2026) / Journal of Finance–Marketing Research</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3CF7DE9"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4" w:history="1">
              <w:r w:rsidR="00566303" w:rsidRPr="00566303">
                <w:rPr>
                  <w:rStyle w:val="Hyperlink"/>
                  <w:kern w:val="0"/>
                  <w:szCs w:val="24"/>
                  <w:lang w:val="en-US" w:eastAsia="en-US"/>
                  <w14:ligatures w14:val="none"/>
                </w:rPr>
                <w:t>https://doi.org/10.52932/jfmr.v4i1en.1072</w:t>
              </w:r>
            </w:hyperlink>
          </w:p>
        </w:tc>
        <w:tc>
          <w:tcPr>
            <w:tcW w:w="4629" w:type="dxa"/>
            <w:tcBorders>
              <w:top w:val="single" w:sz="8" w:space="0" w:color="auto"/>
              <w:left w:val="nil"/>
              <w:bottom w:val="single" w:sz="8" w:space="0" w:color="auto"/>
              <w:right w:val="nil"/>
            </w:tcBorders>
            <w:shd w:val="clear" w:color="auto" w:fill="auto"/>
            <w:hideMark/>
          </w:tcPr>
          <w:p w14:paraId="7A1E3E4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identify factors influencing organisational commitment among Generation Z employees working in retail.</w:t>
            </w:r>
          </w:p>
        </w:tc>
        <w:tc>
          <w:tcPr>
            <w:tcW w:w="1833" w:type="dxa"/>
            <w:tcBorders>
              <w:top w:val="single" w:sz="8" w:space="0" w:color="auto"/>
              <w:left w:val="nil"/>
              <w:bottom w:val="single" w:sz="8" w:space="0" w:color="auto"/>
              <w:right w:val="nil"/>
            </w:tcBorders>
            <w:shd w:val="clear" w:color="auto" w:fill="auto"/>
            <w:hideMark/>
          </w:tcPr>
          <w:p w14:paraId="7547A2D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commitment; job satisfaction; social exchange-related workplace factors.</w:t>
            </w:r>
          </w:p>
        </w:tc>
        <w:tc>
          <w:tcPr>
            <w:tcW w:w="1922" w:type="dxa"/>
            <w:tcBorders>
              <w:top w:val="single" w:sz="8" w:space="0" w:color="auto"/>
              <w:left w:val="nil"/>
              <w:bottom w:val="single" w:sz="8" w:space="0" w:color="auto"/>
              <w:right w:val="nil"/>
            </w:tcBorders>
            <w:shd w:val="clear" w:color="auto" w:fill="auto"/>
            <w:hideMark/>
          </w:tcPr>
          <w:p w14:paraId="583E56B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Survey of 335 Generation Z retail employees analysed using partial least squares structural equation modelling.</w:t>
            </w:r>
          </w:p>
        </w:tc>
        <w:tc>
          <w:tcPr>
            <w:tcW w:w="2068" w:type="dxa"/>
            <w:tcBorders>
              <w:top w:val="single" w:sz="8" w:space="0" w:color="auto"/>
              <w:left w:val="nil"/>
              <w:bottom w:val="single" w:sz="8" w:space="0" w:color="auto"/>
              <w:right w:val="nil"/>
            </w:tcBorders>
            <w:shd w:val="clear" w:color="auto" w:fill="auto"/>
            <w:hideMark/>
          </w:tcPr>
          <w:p w14:paraId="6A90764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evidence explains commitment among younger retail workers in emerging-market service settings.</w:t>
            </w:r>
          </w:p>
        </w:tc>
        <w:tc>
          <w:tcPr>
            <w:tcW w:w="2112" w:type="dxa"/>
            <w:tcBorders>
              <w:top w:val="single" w:sz="8" w:space="0" w:color="auto"/>
              <w:left w:val="nil"/>
              <w:bottom w:val="single" w:sz="8" w:space="0" w:color="auto"/>
              <w:right w:val="nil"/>
            </w:tcBorders>
            <w:shd w:val="clear" w:color="auto" w:fill="auto"/>
            <w:hideMark/>
          </w:tcPr>
          <w:p w14:paraId="4316618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single-city and generational sample limits transfer to the full UK retail workforce.</w:t>
            </w:r>
          </w:p>
        </w:tc>
        <w:tc>
          <w:tcPr>
            <w:tcW w:w="2118" w:type="dxa"/>
            <w:tcBorders>
              <w:top w:val="single" w:sz="8" w:space="0" w:color="auto"/>
              <w:left w:val="nil"/>
              <w:bottom w:val="single" w:sz="8" w:space="0" w:color="auto"/>
              <w:right w:val="nil"/>
            </w:tcBorders>
            <w:shd w:val="clear" w:color="auto" w:fill="auto"/>
            <w:hideMark/>
          </w:tcPr>
          <w:p w14:paraId="4CA93D4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Workplace mindfulness, empowerment, supervisor support, work–life balance and job security influenced satisfaction and commitment.</w:t>
            </w:r>
          </w:p>
        </w:tc>
        <w:tc>
          <w:tcPr>
            <w:tcW w:w="2153" w:type="dxa"/>
            <w:tcBorders>
              <w:top w:val="single" w:sz="8" w:space="0" w:color="auto"/>
              <w:left w:val="nil"/>
              <w:bottom w:val="single" w:sz="8" w:space="0" w:color="auto"/>
              <w:right w:val="single" w:sz="4" w:space="0" w:color="auto"/>
            </w:tcBorders>
            <w:shd w:val="clear" w:color="auto" w:fill="auto"/>
            <w:hideMark/>
          </w:tcPr>
          <w:p w14:paraId="13A1C66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recent retail-specific evidence that organisational experiences and perceived support shape employee commitment.</w:t>
            </w:r>
          </w:p>
        </w:tc>
      </w:tr>
      <w:tr w:rsidR="00566303" w:rsidRPr="00566303" w14:paraId="43C216E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6555C21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effects of employee voice on workplace bullying and job satisfaction: The mediating role of leader–member exchange</w:t>
            </w:r>
          </w:p>
        </w:tc>
        <w:tc>
          <w:tcPr>
            <w:tcW w:w="2027" w:type="dxa"/>
            <w:tcBorders>
              <w:top w:val="single" w:sz="8" w:space="0" w:color="auto"/>
              <w:left w:val="single" w:sz="8" w:space="0" w:color="auto"/>
              <w:bottom w:val="single" w:sz="8" w:space="0" w:color="auto"/>
              <w:right w:val="nil"/>
            </w:tcBorders>
            <w:shd w:val="clear" w:color="auto" w:fill="auto"/>
            <w:hideMark/>
          </w:tcPr>
          <w:p w14:paraId="2604679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Liang, H.-L. &amp; Yeh, T.-K. (2020) / Management Decision</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206E745"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5" w:history="1">
              <w:r w:rsidR="00566303" w:rsidRPr="00566303">
                <w:rPr>
                  <w:rStyle w:val="Hyperlink"/>
                  <w:kern w:val="0"/>
                  <w:szCs w:val="24"/>
                  <w:lang w:val="en-US" w:eastAsia="en-US"/>
                  <w14:ligatures w14:val="none"/>
                </w:rPr>
                <w:t xml:space="preserve">https://doi.org/10.1108/MD-01-2019-0112 </w:t>
              </w:r>
            </w:hyperlink>
          </w:p>
        </w:tc>
        <w:tc>
          <w:tcPr>
            <w:tcW w:w="4629" w:type="dxa"/>
            <w:tcBorders>
              <w:top w:val="single" w:sz="8" w:space="0" w:color="auto"/>
              <w:left w:val="nil"/>
              <w:bottom w:val="single" w:sz="8" w:space="0" w:color="auto"/>
              <w:right w:val="nil"/>
            </w:tcBorders>
            <w:shd w:val="clear" w:color="auto" w:fill="auto"/>
            <w:hideMark/>
          </w:tcPr>
          <w:p w14:paraId="2DE30C9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employee voice affects workplace bullying and job satisfaction through leader–member exchange.</w:t>
            </w:r>
          </w:p>
        </w:tc>
        <w:tc>
          <w:tcPr>
            <w:tcW w:w="1833" w:type="dxa"/>
            <w:tcBorders>
              <w:top w:val="single" w:sz="8" w:space="0" w:color="auto"/>
              <w:left w:val="nil"/>
              <w:bottom w:val="single" w:sz="8" w:space="0" w:color="auto"/>
              <w:right w:val="nil"/>
            </w:tcBorders>
            <w:shd w:val="clear" w:color="auto" w:fill="auto"/>
            <w:hideMark/>
          </w:tcPr>
          <w:p w14:paraId="7A67FF5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Leader–member exchange theory; employee voice.</w:t>
            </w:r>
          </w:p>
        </w:tc>
        <w:tc>
          <w:tcPr>
            <w:tcW w:w="1922" w:type="dxa"/>
            <w:tcBorders>
              <w:top w:val="single" w:sz="8" w:space="0" w:color="auto"/>
              <w:left w:val="nil"/>
              <w:bottom w:val="single" w:sz="8" w:space="0" w:color="auto"/>
              <w:right w:val="nil"/>
            </w:tcBorders>
            <w:shd w:val="clear" w:color="auto" w:fill="auto"/>
            <w:hideMark/>
          </w:tcPr>
          <w:p w14:paraId="02BB5C5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Two-wave quantitative study using 447 employee–supervisor dyads in Taiwan.</w:t>
            </w:r>
          </w:p>
        </w:tc>
        <w:tc>
          <w:tcPr>
            <w:tcW w:w="2068" w:type="dxa"/>
            <w:tcBorders>
              <w:top w:val="single" w:sz="8" w:space="0" w:color="auto"/>
              <w:left w:val="nil"/>
              <w:bottom w:val="single" w:sz="8" w:space="0" w:color="auto"/>
              <w:right w:val="nil"/>
            </w:tcBorders>
            <w:shd w:val="clear" w:color="auto" w:fill="auto"/>
            <w:hideMark/>
          </w:tcPr>
          <w:p w14:paraId="68D21DD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Voice research has insufficiently examined both beneficial and harmful outcomes and the relational mechanism involved.</w:t>
            </w:r>
          </w:p>
        </w:tc>
        <w:tc>
          <w:tcPr>
            <w:tcW w:w="2112" w:type="dxa"/>
            <w:tcBorders>
              <w:top w:val="single" w:sz="8" w:space="0" w:color="auto"/>
              <w:left w:val="nil"/>
              <w:bottom w:val="single" w:sz="8" w:space="0" w:color="auto"/>
              <w:right w:val="nil"/>
            </w:tcBorders>
            <w:shd w:val="clear" w:color="auto" w:fill="auto"/>
            <w:hideMark/>
          </w:tcPr>
          <w:p w14:paraId="5FCFAFB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national context differs from UK retail, and voice behaviour is not identical to legal-rights awareness.</w:t>
            </w:r>
          </w:p>
        </w:tc>
        <w:tc>
          <w:tcPr>
            <w:tcW w:w="2118" w:type="dxa"/>
            <w:tcBorders>
              <w:top w:val="single" w:sz="8" w:space="0" w:color="auto"/>
              <w:left w:val="nil"/>
              <w:bottom w:val="single" w:sz="8" w:space="0" w:color="auto"/>
              <w:right w:val="nil"/>
            </w:tcBorders>
            <w:shd w:val="clear" w:color="auto" w:fill="auto"/>
            <w:hideMark/>
          </w:tcPr>
          <w:p w14:paraId="3D945AC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Voice could improve satisfaction through better leader relationships but could also expose employees to negative interpersonal reactions.</w:t>
            </w:r>
          </w:p>
        </w:tc>
        <w:tc>
          <w:tcPr>
            <w:tcW w:w="2153" w:type="dxa"/>
            <w:tcBorders>
              <w:top w:val="single" w:sz="8" w:space="0" w:color="auto"/>
              <w:left w:val="nil"/>
              <w:bottom w:val="single" w:sz="8" w:space="0" w:color="auto"/>
              <w:right w:val="single" w:sz="4" w:space="0" w:color="auto"/>
            </w:tcBorders>
            <w:shd w:val="clear" w:color="auto" w:fill="auto"/>
            <w:hideMark/>
          </w:tcPr>
          <w:p w14:paraId="7F6AEAE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Explains why knowing and raising employment-rights concerns may influence interactional justice and commitment in different ways.</w:t>
            </w:r>
          </w:p>
        </w:tc>
      </w:tr>
      <w:tr w:rsidR="00566303" w:rsidRPr="00566303" w14:paraId="109C491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7F663B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Perceptions of organizational justice and commitment of non-family employees in family and non-family firms</w:t>
            </w:r>
          </w:p>
        </w:tc>
        <w:tc>
          <w:tcPr>
            <w:tcW w:w="2027" w:type="dxa"/>
            <w:tcBorders>
              <w:top w:val="single" w:sz="8" w:space="0" w:color="auto"/>
              <w:left w:val="single" w:sz="8" w:space="0" w:color="auto"/>
              <w:bottom w:val="single" w:sz="8" w:space="0" w:color="auto"/>
              <w:right w:val="nil"/>
            </w:tcBorders>
            <w:shd w:val="clear" w:color="auto" w:fill="auto"/>
            <w:hideMark/>
          </w:tcPr>
          <w:p w14:paraId="125CCA6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Pimentel, D., Serras Pires, J. &amp; Almeida, P.L. (2020) / International Journal of Organization Theory &amp; Behavior</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CCDF0F2"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6" w:history="1">
              <w:r w:rsidR="00566303" w:rsidRPr="00566303">
                <w:rPr>
                  <w:rStyle w:val="Hyperlink"/>
                  <w:kern w:val="0"/>
                  <w:szCs w:val="24"/>
                  <w:lang w:val="en-US" w:eastAsia="en-US"/>
                  <w14:ligatures w14:val="none"/>
                </w:rPr>
                <w:t xml:space="preserve">https://doi.org/10.1108/IJOTB-07-2019-0082 </w:t>
              </w:r>
            </w:hyperlink>
          </w:p>
        </w:tc>
        <w:tc>
          <w:tcPr>
            <w:tcW w:w="4629" w:type="dxa"/>
            <w:tcBorders>
              <w:top w:val="single" w:sz="8" w:space="0" w:color="auto"/>
              <w:left w:val="nil"/>
              <w:bottom w:val="single" w:sz="8" w:space="0" w:color="auto"/>
              <w:right w:val="nil"/>
            </w:tcBorders>
            <w:shd w:val="clear" w:color="auto" w:fill="auto"/>
            <w:hideMark/>
          </w:tcPr>
          <w:p w14:paraId="53A11C6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compare the relationship between organisational justice and commitment among employees in family and non-family firms.</w:t>
            </w:r>
          </w:p>
        </w:tc>
        <w:tc>
          <w:tcPr>
            <w:tcW w:w="1833" w:type="dxa"/>
            <w:tcBorders>
              <w:top w:val="single" w:sz="8" w:space="0" w:color="auto"/>
              <w:left w:val="nil"/>
              <w:bottom w:val="single" w:sz="8" w:space="0" w:color="auto"/>
              <w:right w:val="nil"/>
            </w:tcBorders>
            <w:shd w:val="clear" w:color="auto" w:fill="auto"/>
            <w:hideMark/>
          </w:tcPr>
          <w:p w14:paraId="66CA6C0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three-component organisational commitment.</w:t>
            </w:r>
          </w:p>
        </w:tc>
        <w:tc>
          <w:tcPr>
            <w:tcW w:w="1922" w:type="dxa"/>
            <w:tcBorders>
              <w:top w:val="single" w:sz="8" w:space="0" w:color="auto"/>
              <w:left w:val="nil"/>
              <w:bottom w:val="single" w:sz="8" w:space="0" w:color="auto"/>
              <w:right w:val="nil"/>
            </w:tcBorders>
            <w:shd w:val="clear" w:color="auto" w:fill="auto"/>
            <w:hideMark/>
          </w:tcPr>
          <w:p w14:paraId="7E9E807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205 Portuguese employees with comparative statistical analysis.</w:t>
            </w:r>
          </w:p>
        </w:tc>
        <w:tc>
          <w:tcPr>
            <w:tcW w:w="2068" w:type="dxa"/>
            <w:tcBorders>
              <w:top w:val="single" w:sz="8" w:space="0" w:color="auto"/>
              <w:left w:val="nil"/>
              <w:bottom w:val="single" w:sz="8" w:space="0" w:color="auto"/>
              <w:right w:val="nil"/>
            </w:tcBorders>
            <w:shd w:val="clear" w:color="auto" w:fill="auto"/>
            <w:hideMark/>
          </w:tcPr>
          <w:p w14:paraId="21B312C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justice–commitment relationship has been underexplored across different organisational ownership contexts.</w:t>
            </w:r>
          </w:p>
        </w:tc>
        <w:tc>
          <w:tcPr>
            <w:tcW w:w="2112" w:type="dxa"/>
            <w:tcBorders>
              <w:top w:val="single" w:sz="8" w:space="0" w:color="auto"/>
              <w:left w:val="nil"/>
              <w:bottom w:val="single" w:sz="8" w:space="0" w:color="auto"/>
              <w:right w:val="nil"/>
            </w:tcBorders>
            <w:shd w:val="clear" w:color="auto" w:fill="auto"/>
            <w:hideMark/>
          </w:tcPr>
          <w:p w14:paraId="6DE3082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non-probability and cross-sectional sample limits causal inference and wider generalisation.</w:t>
            </w:r>
          </w:p>
        </w:tc>
        <w:tc>
          <w:tcPr>
            <w:tcW w:w="2118" w:type="dxa"/>
            <w:tcBorders>
              <w:top w:val="single" w:sz="8" w:space="0" w:color="auto"/>
              <w:left w:val="nil"/>
              <w:bottom w:val="single" w:sz="8" w:space="0" w:color="auto"/>
              <w:right w:val="nil"/>
            </w:tcBorders>
            <w:shd w:val="clear" w:color="auto" w:fill="auto"/>
            <w:hideMark/>
          </w:tcPr>
          <w:p w14:paraId="39BD513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was positively related to commitment, particularly affective commitment, with contextual differences between firm types.</w:t>
            </w:r>
          </w:p>
        </w:tc>
        <w:tc>
          <w:tcPr>
            <w:tcW w:w="2153" w:type="dxa"/>
            <w:tcBorders>
              <w:top w:val="single" w:sz="8" w:space="0" w:color="auto"/>
              <w:left w:val="nil"/>
              <w:bottom w:val="single" w:sz="8" w:space="0" w:color="auto"/>
              <w:right w:val="single" w:sz="4" w:space="0" w:color="auto"/>
            </w:tcBorders>
            <w:shd w:val="clear" w:color="auto" w:fill="auto"/>
            <w:hideMark/>
          </w:tcPr>
          <w:p w14:paraId="2EE1343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Directly supports the proposed positive relationship between organisational justice and organisational commitment.</w:t>
            </w:r>
          </w:p>
        </w:tc>
      </w:tr>
      <w:tr w:rsidR="00566303" w:rsidRPr="00566303" w14:paraId="43B1486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56ADCD6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An Analysis of the Influence of Organizational Justice on Organizational Commitment</w:t>
            </w:r>
          </w:p>
        </w:tc>
        <w:tc>
          <w:tcPr>
            <w:tcW w:w="2027" w:type="dxa"/>
            <w:tcBorders>
              <w:top w:val="single" w:sz="8" w:space="0" w:color="auto"/>
              <w:left w:val="single" w:sz="8" w:space="0" w:color="auto"/>
              <w:bottom w:val="single" w:sz="8" w:space="0" w:color="auto"/>
              <w:right w:val="nil"/>
            </w:tcBorders>
            <w:shd w:val="clear" w:color="auto" w:fill="auto"/>
            <w:hideMark/>
          </w:tcPr>
          <w:p w14:paraId="64ADC98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Jang, J., Lee, D.W. &amp; Kwon, G.-H. (2021) / International Journal of Public Administration</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A19031A"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7" w:history="1">
              <w:r w:rsidR="00566303" w:rsidRPr="00566303">
                <w:rPr>
                  <w:rStyle w:val="Hyperlink"/>
                  <w:kern w:val="0"/>
                  <w:szCs w:val="24"/>
                  <w:lang w:val="en-US" w:eastAsia="en-US"/>
                  <w14:ligatures w14:val="none"/>
                </w:rPr>
                <w:t xml:space="preserve">https://doi.org/10.1080/01900692.2019.1672185 </w:t>
              </w:r>
            </w:hyperlink>
          </w:p>
        </w:tc>
        <w:tc>
          <w:tcPr>
            <w:tcW w:w="4629" w:type="dxa"/>
            <w:tcBorders>
              <w:top w:val="single" w:sz="8" w:space="0" w:color="auto"/>
              <w:left w:val="nil"/>
              <w:bottom w:val="single" w:sz="8" w:space="0" w:color="auto"/>
              <w:right w:val="nil"/>
            </w:tcBorders>
            <w:shd w:val="clear" w:color="auto" w:fill="auto"/>
            <w:hideMark/>
          </w:tcPr>
          <w:p w14:paraId="2C98EC1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distributive and procedural justice influence organisational commitment and whether public-service value explains the relationship.</w:t>
            </w:r>
          </w:p>
        </w:tc>
        <w:tc>
          <w:tcPr>
            <w:tcW w:w="1833" w:type="dxa"/>
            <w:tcBorders>
              <w:top w:val="single" w:sz="8" w:space="0" w:color="auto"/>
              <w:left w:val="nil"/>
              <w:bottom w:val="single" w:sz="8" w:space="0" w:color="auto"/>
              <w:right w:val="nil"/>
            </w:tcBorders>
            <w:shd w:val="clear" w:color="auto" w:fill="auto"/>
            <w:hideMark/>
          </w:tcPr>
          <w:p w14:paraId="01A5FAB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public-service values; organisational commitment.</w:t>
            </w:r>
          </w:p>
        </w:tc>
        <w:tc>
          <w:tcPr>
            <w:tcW w:w="1922" w:type="dxa"/>
            <w:tcBorders>
              <w:top w:val="single" w:sz="8" w:space="0" w:color="auto"/>
              <w:left w:val="nil"/>
              <w:bottom w:val="single" w:sz="8" w:space="0" w:color="auto"/>
              <w:right w:val="nil"/>
            </w:tcBorders>
            <w:shd w:val="clear" w:color="auto" w:fill="auto"/>
            <w:hideMark/>
          </w:tcPr>
          <w:p w14:paraId="578FCF1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public-sector employees using regression and mediation analysis.</w:t>
            </w:r>
          </w:p>
        </w:tc>
        <w:tc>
          <w:tcPr>
            <w:tcW w:w="2068" w:type="dxa"/>
            <w:tcBorders>
              <w:top w:val="single" w:sz="8" w:space="0" w:color="auto"/>
              <w:left w:val="nil"/>
              <w:bottom w:val="single" w:sz="8" w:space="0" w:color="auto"/>
              <w:right w:val="nil"/>
            </w:tcBorders>
            <w:shd w:val="clear" w:color="auto" w:fill="auto"/>
            <w:hideMark/>
          </w:tcPr>
          <w:p w14:paraId="430971D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Prior public-management research had not sufficiently identified the mechanism connecting justice with commitment.</w:t>
            </w:r>
          </w:p>
        </w:tc>
        <w:tc>
          <w:tcPr>
            <w:tcW w:w="2112" w:type="dxa"/>
            <w:tcBorders>
              <w:top w:val="single" w:sz="8" w:space="0" w:color="auto"/>
              <w:left w:val="nil"/>
              <w:bottom w:val="single" w:sz="8" w:space="0" w:color="auto"/>
              <w:right w:val="nil"/>
            </w:tcBorders>
            <w:shd w:val="clear" w:color="auto" w:fill="auto"/>
            <w:hideMark/>
          </w:tcPr>
          <w:p w14:paraId="5C601B8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public-sector setting and cross-sectional design reduce direct applicability to UK retail.</w:t>
            </w:r>
          </w:p>
        </w:tc>
        <w:tc>
          <w:tcPr>
            <w:tcW w:w="2118" w:type="dxa"/>
            <w:tcBorders>
              <w:top w:val="single" w:sz="8" w:space="0" w:color="auto"/>
              <w:left w:val="nil"/>
              <w:bottom w:val="single" w:sz="8" w:space="0" w:color="auto"/>
              <w:right w:val="nil"/>
            </w:tcBorders>
            <w:shd w:val="clear" w:color="auto" w:fill="auto"/>
            <w:hideMark/>
          </w:tcPr>
          <w:p w14:paraId="6E0D7B4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Distributive and procedural justice increased organisational commitment, partly through employees’ public-service values.</w:t>
            </w:r>
          </w:p>
        </w:tc>
        <w:tc>
          <w:tcPr>
            <w:tcW w:w="2153" w:type="dxa"/>
            <w:tcBorders>
              <w:top w:val="single" w:sz="8" w:space="0" w:color="auto"/>
              <w:left w:val="nil"/>
              <w:bottom w:val="single" w:sz="8" w:space="0" w:color="auto"/>
              <w:right w:val="single" w:sz="4" w:space="0" w:color="auto"/>
            </w:tcBorders>
            <w:shd w:val="clear" w:color="auto" w:fill="auto"/>
            <w:hideMark/>
          </w:tcPr>
          <w:p w14:paraId="1640816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evidence that fairness perceptions can transmit organisational experiences into stronger commitment.</w:t>
            </w:r>
          </w:p>
        </w:tc>
      </w:tr>
      <w:tr w:rsidR="00566303" w:rsidRPr="00566303" w14:paraId="0934670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33448A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influence of organizational justice and decision latitude on expatriate organizational commitment and job performance</w:t>
            </w:r>
          </w:p>
        </w:tc>
        <w:tc>
          <w:tcPr>
            <w:tcW w:w="2027" w:type="dxa"/>
            <w:tcBorders>
              <w:top w:val="single" w:sz="8" w:space="0" w:color="auto"/>
              <w:left w:val="single" w:sz="8" w:space="0" w:color="auto"/>
              <w:bottom w:val="single" w:sz="8" w:space="0" w:color="auto"/>
              <w:right w:val="nil"/>
            </w:tcBorders>
            <w:shd w:val="clear" w:color="auto" w:fill="auto"/>
            <w:hideMark/>
          </w:tcPr>
          <w:p w14:paraId="07D4EED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AlMazrouei, H. &amp; Zacca, R. (2021) / Evidence-based HRM</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EDB675B"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8" w:history="1">
              <w:r w:rsidR="00566303" w:rsidRPr="00566303">
                <w:rPr>
                  <w:rStyle w:val="Hyperlink"/>
                  <w:kern w:val="0"/>
                  <w:szCs w:val="24"/>
                  <w:lang w:val="en-US" w:eastAsia="en-US"/>
                  <w14:ligatures w14:val="none"/>
                </w:rPr>
                <w:t xml:space="preserve">https://doi.org/10.1108/EBHRM-06-2020-0093 </w:t>
              </w:r>
            </w:hyperlink>
          </w:p>
        </w:tc>
        <w:tc>
          <w:tcPr>
            <w:tcW w:w="4629" w:type="dxa"/>
            <w:tcBorders>
              <w:top w:val="single" w:sz="8" w:space="0" w:color="auto"/>
              <w:left w:val="nil"/>
              <w:bottom w:val="single" w:sz="8" w:space="0" w:color="auto"/>
              <w:right w:val="nil"/>
            </w:tcBorders>
            <w:shd w:val="clear" w:color="auto" w:fill="auto"/>
            <w:hideMark/>
          </w:tcPr>
          <w:p w14:paraId="1218CFD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how organisational justice and decision latitude influence expatriates’ organisational commitment and performance.</w:t>
            </w:r>
          </w:p>
        </w:tc>
        <w:tc>
          <w:tcPr>
            <w:tcW w:w="1833" w:type="dxa"/>
            <w:tcBorders>
              <w:top w:val="single" w:sz="8" w:space="0" w:color="auto"/>
              <w:left w:val="nil"/>
              <w:bottom w:val="single" w:sz="8" w:space="0" w:color="auto"/>
              <w:right w:val="nil"/>
            </w:tcBorders>
            <w:shd w:val="clear" w:color="auto" w:fill="auto"/>
            <w:hideMark/>
          </w:tcPr>
          <w:p w14:paraId="5CEA21C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decision latitude; social exchange.</w:t>
            </w:r>
          </w:p>
        </w:tc>
        <w:tc>
          <w:tcPr>
            <w:tcW w:w="1922" w:type="dxa"/>
            <w:tcBorders>
              <w:top w:val="single" w:sz="8" w:space="0" w:color="auto"/>
              <w:left w:val="nil"/>
              <w:bottom w:val="single" w:sz="8" w:space="0" w:color="auto"/>
              <w:right w:val="nil"/>
            </w:tcBorders>
            <w:shd w:val="clear" w:color="auto" w:fill="auto"/>
            <w:hideMark/>
          </w:tcPr>
          <w:p w14:paraId="1D1E364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Purposive survey of 175 non-managerial expatriates in Dubai analysed using PLS-SEM.</w:t>
            </w:r>
          </w:p>
        </w:tc>
        <w:tc>
          <w:tcPr>
            <w:tcW w:w="2068" w:type="dxa"/>
            <w:tcBorders>
              <w:top w:val="single" w:sz="8" w:space="0" w:color="auto"/>
              <w:left w:val="nil"/>
              <w:bottom w:val="single" w:sz="8" w:space="0" w:color="auto"/>
              <w:right w:val="nil"/>
            </w:tcBorders>
            <w:shd w:val="clear" w:color="auto" w:fill="auto"/>
            <w:hideMark/>
          </w:tcPr>
          <w:p w14:paraId="2B16254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research integrates organisational justice, autonomy, commitment and performance among expatriate employees.</w:t>
            </w:r>
          </w:p>
        </w:tc>
        <w:tc>
          <w:tcPr>
            <w:tcW w:w="2112" w:type="dxa"/>
            <w:tcBorders>
              <w:top w:val="single" w:sz="8" w:space="0" w:color="auto"/>
              <w:left w:val="nil"/>
              <w:bottom w:val="single" w:sz="8" w:space="0" w:color="auto"/>
              <w:right w:val="nil"/>
            </w:tcBorders>
            <w:shd w:val="clear" w:color="auto" w:fill="auto"/>
            <w:hideMark/>
          </w:tcPr>
          <w:p w14:paraId="0B9FFD1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specialised expatriate sample and cross-sectional design limit generalisation.</w:t>
            </w:r>
          </w:p>
        </w:tc>
        <w:tc>
          <w:tcPr>
            <w:tcW w:w="2118" w:type="dxa"/>
            <w:tcBorders>
              <w:top w:val="single" w:sz="8" w:space="0" w:color="auto"/>
              <w:left w:val="nil"/>
              <w:bottom w:val="single" w:sz="8" w:space="0" w:color="auto"/>
              <w:right w:val="nil"/>
            </w:tcBorders>
            <w:shd w:val="clear" w:color="auto" w:fill="auto"/>
            <w:hideMark/>
          </w:tcPr>
          <w:p w14:paraId="13BC2F7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supported commitment, and decision latitude partially mediated important relationships.</w:t>
            </w:r>
          </w:p>
        </w:tc>
        <w:tc>
          <w:tcPr>
            <w:tcW w:w="2153" w:type="dxa"/>
            <w:tcBorders>
              <w:top w:val="single" w:sz="8" w:space="0" w:color="auto"/>
              <w:left w:val="nil"/>
              <w:bottom w:val="single" w:sz="8" w:space="0" w:color="auto"/>
              <w:right w:val="single" w:sz="4" w:space="0" w:color="auto"/>
            </w:tcBorders>
            <w:shd w:val="clear" w:color="auto" w:fill="auto"/>
            <w:hideMark/>
          </w:tcPr>
          <w:p w14:paraId="3575F49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Demonstrates that justice can operate through an explanatory mechanism and supports mediation-based organisational research.</w:t>
            </w:r>
          </w:p>
        </w:tc>
      </w:tr>
      <w:tr w:rsidR="00566303" w:rsidRPr="00566303" w14:paraId="62584F5B"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A62015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The Association of Organizational Justice with Job Satisfaction and Organizational Commitment among Nigerian Correctional Staff</w:t>
            </w:r>
          </w:p>
        </w:tc>
        <w:tc>
          <w:tcPr>
            <w:tcW w:w="2027" w:type="dxa"/>
            <w:tcBorders>
              <w:top w:val="single" w:sz="8" w:space="0" w:color="auto"/>
              <w:left w:val="single" w:sz="8" w:space="0" w:color="auto"/>
              <w:bottom w:val="single" w:sz="8" w:space="0" w:color="auto"/>
              <w:right w:val="nil"/>
            </w:tcBorders>
            <w:shd w:val="clear" w:color="auto" w:fill="auto"/>
            <w:hideMark/>
          </w:tcPr>
          <w:p w14:paraId="5CD93E9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Lambert, E.G., Tewksbury, R., Otu, S.E. &amp; Elechi, O.O. (2021) / International Journal of Offender Therapy and Comparative Criminology</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5440419"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89" w:history="1">
              <w:r w:rsidR="00566303" w:rsidRPr="00566303">
                <w:rPr>
                  <w:rStyle w:val="Hyperlink"/>
                  <w:kern w:val="0"/>
                  <w:szCs w:val="24"/>
                  <w:lang w:val="en-US" w:eastAsia="en-US"/>
                  <w14:ligatures w14:val="none"/>
                </w:rPr>
                <w:t xml:space="preserve">https://doi.org/10.1177/0306624X20946926 </w:t>
              </w:r>
            </w:hyperlink>
          </w:p>
        </w:tc>
        <w:tc>
          <w:tcPr>
            <w:tcW w:w="4629" w:type="dxa"/>
            <w:tcBorders>
              <w:top w:val="single" w:sz="8" w:space="0" w:color="auto"/>
              <w:left w:val="nil"/>
              <w:bottom w:val="single" w:sz="8" w:space="0" w:color="auto"/>
              <w:right w:val="nil"/>
            </w:tcBorders>
            <w:shd w:val="clear" w:color="auto" w:fill="auto"/>
            <w:hideMark/>
          </w:tcPr>
          <w:p w14:paraId="6D5DFE9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distributive, procedural and interpersonal justice are associated with job satisfaction and organisational commitment.</w:t>
            </w:r>
          </w:p>
        </w:tc>
        <w:tc>
          <w:tcPr>
            <w:tcW w:w="1833" w:type="dxa"/>
            <w:tcBorders>
              <w:top w:val="single" w:sz="8" w:space="0" w:color="auto"/>
              <w:left w:val="nil"/>
              <w:bottom w:val="single" w:sz="8" w:space="0" w:color="auto"/>
              <w:right w:val="nil"/>
            </w:tcBorders>
            <w:shd w:val="clear" w:color="auto" w:fill="auto"/>
            <w:hideMark/>
          </w:tcPr>
          <w:p w14:paraId="49FD841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Multidimensional organisational-justice framework.</w:t>
            </w:r>
          </w:p>
        </w:tc>
        <w:tc>
          <w:tcPr>
            <w:tcW w:w="1922" w:type="dxa"/>
            <w:tcBorders>
              <w:top w:val="single" w:sz="8" w:space="0" w:color="auto"/>
              <w:left w:val="nil"/>
              <w:bottom w:val="single" w:sz="8" w:space="0" w:color="auto"/>
              <w:right w:val="nil"/>
            </w:tcBorders>
            <w:shd w:val="clear" w:color="auto" w:fill="auto"/>
            <w:hideMark/>
          </w:tcPr>
          <w:p w14:paraId="1DC1ED2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staff survey at a medium-security Nigerian prison analysed using OLS regression.</w:t>
            </w:r>
          </w:p>
        </w:tc>
        <w:tc>
          <w:tcPr>
            <w:tcW w:w="2068" w:type="dxa"/>
            <w:tcBorders>
              <w:top w:val="single" w:sz="8" w:space="0" w:color="auto"/>
              <w:left w:val="nil"/>
              <w:bottom w:val="single" w:sz="8" w:space="0" w:color="auto"/>
              <w:right w:val="nil"/>
            </w:tcBorders>
            <w:shd w:val="clear" w:color="auto" w:fill="auto"/>
            <w:hideMark/>
          </w:tcPr>
          <w:p w14:paraId="33B2E55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Evidence on separate justice dimensions and employee attitudes is limited in non-Western correctional settings.</w:t>
            </w:r>
          </w:p>
        </w:tc>
        <w:tc>
          <w:tcPr>
            <w:tcW w:w="2112" w:type="dxa"/>
            <w:tcBorders>
              <w:top w:val="single" w:sz="8" w:space="0" w:color="auto"/>
              <w:left w:val="nil"/>
              <w:bottom w:val="single" w:sz="8" w:space="0" w:color="auto"/>
              <w:right w:val="nil"/>
            </w:tcBorders>
            <w:shd w:val="clear" w:color="auto" w:fill="auto"/>
            <w:hideMark/>
          </w:tcPr>
          <w:p w14:paraId="711589C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Single-organisation self-report data and the correctional context limit generalisability and causal claims.</w:t>
            </w:r>
          </w:p>
        </w:tc>
        <w:tc>
          <w:tcPr>
            <w:tcW w:w="2118" w:type="dxa"/>
            <w:tcBorders>
              <w:top w:val="single" w:sz="8" w:space="0" w:color="auto"/>
              <w:left w:val="nil"/>
              <w:bottom w:val="single" w:sz="8" w:space="0" w:color="auto"/>
              <w:right w:val="nil"/>
            </w:tcBorders>
            <w:shd w:val="clear" w:color="auto" w:fill="auto"/>
            <w:hideMark/>
          </w:tcPr>
          <w:p w14:paraId="6253A08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All three justice dimensions were positively associated with commitment, while procedural and interpersonal justice predicted satisfaction.</w:t>
            </w:r>
          </w:p>
        </w:tc>
        <w:tc>
          <w:tcPr>
            <w:tcW w:w="2153" w:type="dxa"/>
            <w:tcBorders>
              <w:top w:val="single" w:sz="8" w:space="0" w:color="auto"/>
              <w:left w:val="nil"/>
              <w:bottom w:val="single" w:sz="8" w:space="0" w:color="auto"/>
              <w:right w:val="single" w:sz="4" w:space="0" w:color="auto"/>
            </w:tcBorders>
            <w:shd w:val="clear" w:color="auto" w:fill="auto"/>
            <w:hideMark/>
          </w:tcPr>
          <w:p w14:paraId="3D43852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measuring multiple dimensions of organisational justice and their relationship with commitment.</w:t>
            </w:r>
          </w:p>
        </w:tc>
      </w:tr>
      <w:tr w:rsidR="00566303" w:rsidRPr="00566303" w14:paraId="4791B6F0"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0E9519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Linking Organizational Justice to Organizational Commitment Among Nigerian Police Officers</w:t>
            </w:r>
          </w:p>
        </w:tc>
        <w:tc>
          <w:tcPr>
            <w:tcW w:w="2027" w:type="dxa"/>
            <w:tcBorders>
              <w:top w:val="single" w:sz="8" w:space="0" w:color="auto"/>
              <w:left w:val="single" w:sz="8" w:space="0" w:color="auto"/>
              <w:bottom w:val="single" w:sz="8" w:space="0" w:color="auto"/>
              <w:right w:val="nil"/>
            </w:tcBorders>
            <w:shd w:val="clear" w:color="auto" w:fill="auto"/>
            <w:hideMark/>
          </w:tcPr>
          <w:p w14:paraId="41ECE20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Sun, I.Y., Wu, Y., Otu, S.E., Aro, G.C., Akor, I.C. &amp; Nnam, M.U. (2022) / Criminal Justice and Behavior</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7A81942"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0" w:history="1">
              <w:r w:rsidR="00566303" w:rsidRPr="00566303">
                <w:rPr>
                  <w:rStyle w:val="Hyperlink"/>
                  <w:kern w:val="0"/>
                  <w:szCs w:val="24"/>
                  <w:lang w:val="en-US" w:eastAsia="en-US"/>
                  <w14:ligatures w14:val="none"/>
                </w:rPr>
                <w:t xml:space="preserve">https://doi.org/10.1177/00938548211036177 </w:t>
              </w:r>
            </w:hyperlink>
          </w:p>
        </w:tc>
        <w:tc>
          <w:tcPr>
            <w:tcW w:w="4629" w:type="dxa"/>
            <w:tcBorders>
              <w:top w:val="single" w:sz="8" w:space="0" w:color="auto"/>
              <w:left w:val="nil"/>
              <w:bottom w:val="single" w:sz="8" w:space="0" w:color="auto"/>
              <w:right w:val="nil"/>
            </w:tcBorders>
            <w:shd w:val="clear" w:color="auto" w:fill="auto"/>
            <w:hideMark/>
          </w:tcPr>
          <w:p w14:paraId="46DDD65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assess direct and indirect relationships between organisational justice and organisational commitment among police officers.</w:t>
            </w:r>
          </w:p>
        </w:tc>
        <w:tc>
          <w:tcPr>
            <w:tcW w:w="1833" w:type="dxa"/>
            <w:tcBorders>
              <w:top w:val="single" w:sz="8" w:space="0" w:color="auto"/>
              <w:left w:val="nil"/>
              <w:bottom w:val="single" w:sz="8" w:space="0" w:color="auto"/>
              <w:right w:val="nil"/>
            </w:tcBorders>
            <w:shd w:val="clear" w:color="auto" w:fill="auto"/>
            <w:hideMark/>
          </w:tcPr>
          <w:p w14:paraId="4774878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supervisor trust; job satisfaction; social exchange.</w:t>
            </w:r>
          </w:p>
        </w:tc>
        <w:tc>
          <w:tcPr>
            <w:tcW w:w="1922" w:type="dxa"/>
            <w:tcBorders>
              <w:top w:val="single" w:sz="8" w:space="0" w:color="auto"/>
              <w:left w:val="nil"/>
              <w:bottom w:val="single" w:sz="8" w:space="0" w:color="auto"/>
              <w:right w:val="nil"/>
            </w:tcBorders>
            <w:shd w:val="clear" w:color="auto" w:fill="auto"/>
            <w:hideMark/>
          </w:tcPr>
          <w:p w14:paraId="5C7FD0D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Survey of 128 Nigerian police officers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2E7B5B3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has rarely tested the mechanisms through which justice influences commitment in African public organisations.</w:t>
            </w:r>
          </w:p>
        </w:tc>
        <w:tc>
          <w:tcPr>
            <w:tcW w:w="2112" w:type="dxa"/>
            <w:tcBorders>
              <w:top w:val="single" w:sz="8" w:space="0" w:color="auto"/>
              <w:left w:val="nil"/>
              <w:bottom w:val="single" w:sz="8" w:space="0" w:color="auto"/>
              <w:right w:val="nil"/>
            </w:tcBorders>
            <w:shd w:val="clear" w:color="auto" w:fill="auto"/>
            <w:hideMark/>
          </w:tcPr>
          <w:p w14:paraId="4D670CA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modest, occupation-specific and cross-sectional sample limits causal and sector-wide conclusions.</w:t>
            </w:r>
          </w:p>
        </w:tc>
        <w:tc>
          <w:tcPr>
            <w:tcW w:w="2118" w:type="dxa"/>
            <w:tcBorders>
              <w:top w:val="single" w:sz="8" w:space="0" w:color="auto"/>
              <w:left w:val="nil"/>
              <w:bottom w:val="single" w:sz="8" w:space="0" w:color="auto"/>
              <w:right w:val="nil"/>
            </w:tcBorders>
            <w:shd w:val="clear" w:color="auto" w:fill="auto"/>
            <w:hideMark/>
          </w:tcPr>
          <w:p w14:paraId="055DE51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relationship between justice and commitment operated mainly through supervisor trust and job satisfaction.</w:t>
            </w:r>
          </w:p>
        </w:tc>
        <w:tc>
          <w:tcPr>
            <w:tcW w:w="2153" w:type="dxa"/>
            <w:tcBorders>
              <w:top w:val="single" w:sz="8" w:space="0" w:color="auto"/>
              <w:left w:val="nil"/>
              <w:bottom w:val="single" w:sz="8" w:space="0" w:color="auto"/>
              <w:right w:val="single" w:sz="4" w:space="0" w:color="auto"/>
            </w:tcBorders>
            <w:shd w:val="clear" w:color="auto" w:fill="auto"/>
            <w:hideMark/>
          </w:tcPr>
          <w:p w14:paraId="7E2AB5E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Shows that justice is a central explanatory variable linking workplace experiences with organisational commitment.</w:t>
            </w:r>
          </w:p>
        </w:tc>
      </w:tr>
      <w:tr w:rsidR="00566303" w:rsidRPr="00566303" w14:paraId="56B990A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C23E27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influence of organisational justice on work engagement, organisational commitment, and job satisfaction: A comprehensive study</w:t>
            </w:r>
          </w:p>
        </w:tc>
        <w:tc>
          <w:tcPr>
            <w:tcW w:w="2027" w:type="dxa"/>
            <w:tcBorders>
              <w:top w:val="single" w:sz="8" w:space="0" w:color="auto"/>
              <w:left w:val="single" w:sz="8" w:space="0" w:color="auto"/>
              <w:bottom w:val="single" w:sz="8" w:space="0" w:color="auto"/>
              <w:right w:val="nil"/>
            </w:tcBorders>
            <w:shd w:val="clear" w:color="auto" w:fill="auto"/>
            <w:hideMark/>
          </w:tcPr>
          <w:p w14:paraId="47B2C6F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Gomes, J.F.S. &amp; Marques, T.M.G. (2025) / Journal of General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086E6BD"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1" w:history="1">
              <w:r w:rsidR="00566303" w:rsidRPr="00566303">
                <w:rPr>
                  <w:rStyle w:val="Hyperlink"/>
                  <w:kern w:val="0"/>
                  <w:szCs w:val="24"/>
                  <w:lang w:val="en-US" w:eastAsia="en-US"/>
                  <w14:ligatures w14:val="none"/>
                </w:rPr>
                <w:t xml:space="preserve">https://doi.org/10.1177/03063070221140726 </w:t>
              </w:r>
            </w:hyperlink>
          </w:p>
        </w:tc>
        <w:tc>
          <w:tcPr>
            <w:tcW w:w="4629" w:type="dxa"/>
            <w:tcBorders>
              <w:top w:val="single" w:sz="8" w:space="0" w:color="auto"/>
              <w:left w:val="nil"/>
              <w:bottom w:val="single" w:sz="8" w:space="0" w:color="auto"/>
              <w:right w:val="nil"/>
            </w:tcBorders>
            <w:shd w:val="clear" w:color="auto" w:fill="auto"/>
            <w:hideMark/>
          </w:tcPr>
          <w:p w14:paraId="424EBCA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the effects of organisational-justice dimensions on engagement, commitment and job satisfaction.</w:t>
            </w:r>
          </w:p>
        </w:tc>
        <w:tc>
          <w:tcPr>
            <w:tcW w:w="1833" w:type="dxa"/>
            <w:tcBorders>
              <w:top w:val="single" w:sz="8" w:space="0" w:color="auto"/>
              <w:left w:val="nil"/>
              <w:bottom w:val="single" w:sz="8" w:space="0" w:color="auto"/>
              <w:right w:val="nil"/>
            </w:tcBorders>
            <w:shd w:val="clear" w:color="auto" w:fill="auto"/>
            <w:hideMark/>
          </w:tcPr>
          <w:p w14:paraId="61A8EE6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employee engagement; organisational commitment.</w:t>
            </w:r>
          </w:p>
        </w:tc>
        <w:tc>
          <w:tcPr>
            <w:tcW w:w="1922" w:type="dxa"/>
            <w:tcBorders>
              <w:top w:val="single" w:sz="8" w:space="0" w:color="auto"/>
              <w:left w:val="nil"/>
              <w:bottom w:val="single" w:sz="8" w:space="0" w:color="auto"/>
              <w:right w:val="nil"/>
            </w:tcBorders>
            <w:shd w:val="clear" w:color="auto" w:fill="auto"/>
            <w:hideMark/>
          </w:tcPr>
          <w:p w14:paraId="28CF7A3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100 employees from a Big Four consultancy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3A8FF5F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Evidence remains mixed regarding whether justice affects employee outcomes directly or through engagement and satisfaction.</w:t>
            </w:r>
          </w:p>
        </w:tc>
        <w:tc>
          <w:tcPr>
            <w:tcW w:w="2112" w:type="dxa"/>
            <w:tcBorders>
              <w:top w:val="single" w:sz="8" w:space="0" w:color="auto"/>
              <w:left w:val="nil"/>
              <w:bottom w:val="single" w:sz="8" w:space="0" w:color="auto"/>
              <w:right w:val="nil"/>
            </w:tcBorders>
            <w:shd w:val="clear" w:color="auto" w:fill="auto"/>
            <w:hideMark/>
          </w:tcPr>
          <w:p w14:paraId="3FDC76E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small, single-industry sample and cross-sectional design constrain generalisability.</w:t>
            </w:r>
          </w:p>
        </w:tc>
        <w:tc>
          <w:tcPr>
            <w:tcW w:w="2118" w:type="dxa"/>
            <w:tcBorders>
              <w:top w:val="single" w:sz="8" w:space="0" w:color="auto"/>
              <w:left w:val="nil"/>
              <w:bottom w:val="single" w:sz="8" w:space="0" w:color="auto"/>
              <w:right w:val="nil"/>
            </w:tcBorders>
            <w:shd w:val="clear" w:color="auto" w:fill="auto"/>
            <w:hideMark/>
          </w:tcPr>
          <w:p w14:paraId="07CA31C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directly predicted engagement, commitment and satisfaction, while the proposed mediation effects were not supported.</w:t>
            </w:r>
          </w:p>
        </w:tc>
        <w:tc>
          <w:tcPr>
            <w:tcW w:w="2153" w:type="dxa"/>
            <w:tcBorders>
              <w:top w:val="single" w:sz="8" w:space="0" w:color="auto"/>
              <w:left w:val="nil"/>
              <w:bottom w:val="single" w:sz="8" w:space="0" w:color="auto"/>
              <w:right w:val="single" w:sz="4" w:space="0" w:color="auto"/>
            </w:tcBorders>
            <w:shd w:val="clear" w:color="auto" w:fill="auto"/>
            <w:hideMark/>
          </w:tcPr>
          <w:p w14:paraId="72E5033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Offers recent evidence for H3 and shows why the dissertation must empirically test rather than assume mediation.</w:t>
            </w:r>
          </w:p>
        </w:tc>
      </w:tr>
      <w:tr w:rsidR="00566303" w:rsidRPr="00566303" w14:paraId="5AA62644"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27F0172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Effect of psychosocial safety climate and organizational justice on affective commitment: A study in the Algarve hotel sector during the COVID-19 pandemic</w:t>
            </w:r>
          </w:p>
        </w:tc>
        <w:tc>
          <w:tcPr>
            <w:tcW w:w="2027" w:type="dxa"/>
            <w:tcBorders>
              <w:top w:val="single" w:sz="8" w:space="0" w:color="auto"/>
              <w:left w:val="single" w:sz="8" w:space="0" w:color="auto"/>
              <w:bottom w:val="single" w:sz="8" w:space="0" w:color="auto"/>
              <w:right w:val="nil"/>
            </w:tcBorders>
            <w:shd w:val="clear" w:color="auto" w:fill="auto"/>
            <w:hideMark/>
          </w:tcPr>
          <w:p w14:paraId="40B46ED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Viseu, J., Guerreiro, S., Jesus, S.N. &amp; Pinto, P. (2023) / Journal of Human Resources in Hospitality &amp; Tourism</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650CC867"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2" w:history="1">
              <w:r w:rsidR="00566303" w:rsidRPr="00566303">
                <w:rPr>
                  <w:rStyle w:val="Hyperlink"/>
                  <w:kern w:val="0"/>
                  <w:szCs w:val="24"/>
                  <w:lang w:val="en-US" w:eastAsia="en-US"/>
                  <w14:ligatures w14:val="none"/>
                </w:rPr>
                <w:t xml:space="preserve">https://doi.org/10.1080/15332845.2023.2154035 </w:t>
              </w:r>
            </w:hyperlink>
          </w:p>
        </w:tc>
        <w:tc>
          <w:tcPr>
            <w:tcW w:w="4629" w:type="dxa"/>
            <w:tcBorders>
              <w:top w:val="single" w:sz="8" w:space="0" w:color="auto"/>
              <w:left w:val="nil"/>
              <w:bottom w:val="single" w:sz="8" w:space="0" w:color="auto"/>
              <w:right w:val="nil"/>
            </w:tcBorders>
            <w:shd w:val="clear" w:color="auto" w:fill="auto"/>
            <w:hideMark/>
          </w:tcPr>
          <w:p w14:paraId="36710E4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investigate how psychosocial safety climate and organisational justice influence affective commitment in hospitality work.</w:t>
            </w:r>
          </w:p>
        </w:tc>
        <w:tc>
          <w:tcPr>
            <w:tcW w:w="1833" w:type="dxa"/>
            <w:tcBorders>
              <w:top w:val="single" w:sz="8" w:space="0" w:color="auto"/>
              <w:left w:val="nil"/>
              <w:bottom w:val="single" w:sz="8" w:space="0" w:color="auto"/>
              <w:right w:val="nil"/>
            </w:tcBorders>
            <w:shd w:val="clear" w:color="auto" w:fill="auto"/>
            <w:hideMark/>
          </w:tcPr>
          <w:p w14:paraId="2A3CB09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Job Demands–Resources model; organisational justice; psychological capital.</w:t>
            </w:r>
          </w:p>
        </w:tc>
        <w:tc>
          <w:tcPr>
            <w:tcW w:w="1922" w:type="dxa"/>
            <w:tcBorders>
              <w:top w:val="single" w:sz="8" w:space="0" w:color="auto"/>
              <w:left w:val="nil"/>
              <w:bottom w:val="single" w:sz="8" w:space="0" w:color="auto"/>
              <w:right w:val="nil"/>
            </w:tcBorders>
            <w:shd w:val="clear" w:color="auto" w:fill="auto"/>
            <w:hideMark/>
          </w:tcPr>
          <w:p w14:paraId="754FC76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survey of 217 hotel employees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10A0C05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Hospitality research has insufficiently examined psychological mechanisms connecting fair workplaces with affective commitment during crises.</w:t>
            </w:r>
          </w:p>
        </w:tc>
        <w:tc>
          <w:tcPr>
            <w:tcW w:w="2112" w:type="dxa"/>
            <w:tcBorders>
              <w:top w:val="single" w:sz="8" w:space="0" w:color="auto"/>
              <w:left w:val="nil"/>
              <w:bottom w:val="single" w:sz="8" w:space="0" w:color="auto"/>
              <w:right w:val="nil"/>
            </w:tcBorders>
            <w:shd w:val="clear" w:color="auto" w:fill="auto"/>
            <w:hideMark/>
          </w:tcPr>
          <w:p w14:paraId="0200677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Pandemic conditions, one region and self-report data restrict temporal and sectoral generalisation.</w:t>
            </w:r>
          </w:p>
        </w:tc>
        <w:tc>
          <w:tcPr>
            <w:tcW w:w="2118" w:type="dxa"/>
            <w:tcBorders>
              <w:top w:val="single" w:sz="8" w:space="0" w:color="auto"/>
              <w:left w:val="nil"/>
              <w:bottom w:val="single" w:sz="8" w:space="0" w:color="auto"/>
              <w:right w:val="nil"/>
            </w:tcBorders>
            <w:shd w:val="clear" w:color="auto" w:fill="auto"/>
            <w:hideMark/>
          </w:tcPr>
          <w:p w14:paraId="648DCBC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supported affective commitment through psychological capital and work engagement.</w:t>
            </w:r>
          </w:p>
        </w:tc>
        <w:tc>
          <w:tcPr>
            <w:tcW w:w="2153" w:type="dxa"/>
            <w:tcBorders>
              <w:top w:val="single" w:sz="8" w:space="0" w:color="auto"/>
              <w:left w:val="nil"/>
              <w:bottom w:val="single" w:sz="8" w:space="0" w:color="auto"/>
              <w:right w:val="single" w:sz="4" w:space="0" w:color="auto"/>
            </w:tcBorders>
            <w:shd w:val="clear" w:color="auto" w:fill="auto"/>
            <w:hideMark/>
          </w:tcPr>
          <w:p w14:paraId="2ECF1D5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Relevant service-sector evidence that fairness can strengthen the emotional form of organisational commitment.</w:t>
            </w:r>
          </w:p>
        </w:tc>
      </w:tr>
      <w:tr w:rsidR="00566303" w:rsidRPr="00566303" w14:paraId="6DA302B1"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316E25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Exploring the Role of Perceived Organizational Justice and Organizational Commitment as Predictors of Job Satisfaction among Employees in the Hospitality Industry</w:t>
            </w:r>
          </w:p>
        </w:tc>
        <w:tc>
          <w:tcPr>
            <w:tcW w:w="2027" w:type="dxa"/>
            <w:tcBorders>
              <w:top w:val="single" w:sz="8" w:space="0" w:color="auto"/>
              <w:left w:val="single" w:sz="8" w:space="0" w:color="auto"/>
              <w:bottom w:val="single" w:sz="8" w:space="0" w:color="auto"/>
              <w:right w:val="nil"/>
            </w:tcBorders>
            <w:shd w:val="clear" w:color="auto" w:fill="auto"/>
            <w:hideMark/>
          </w:tcPr>
          <w:p w14:paraId="0FF6AD3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Ghaderi, Z., Tabatabaei, F., Khoshkam, M. &amp; Shahabi Sorman Abadi, R. (2023) / International Journal of Hospitality &amp; Tourism Administration</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56060B1"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3" w:history="1">
              <w:r w:rsidR="00566303" w:rsidRPr="00566303">
                <w:rPr>
                  <w:rStyle w:val="Hyperlink"/>
                  <w:kern w:val="0"/>
                  <w:szCs w:val="24"/>
                  <w:lang w:val="en-US" w:eastAsia="en-US"/>
                  <w14:ligatures w14:val="none"/>
                </w:rPr>
                <w:t xml:space="preserve">https://doi.org/10.1080/15256480.2021.1988882 </w:t>
              </w:r>
            </w:hyperlink>
          </w:p>
        </w:tc>
        <w:tc>
          <w:tcPr>
            <w:tcW w:w="4629" w:type="dxa"/>
            <w:tcBorders>
              <w:top w:val="single" w:sz="8" w:space="0" w:color="auto"/>
              <w:left w:val="nil"/>
              <w:bottom w:val="single" w:sz="8" w:space="0" w:color="auto"/>
              <w:right w:val="nil"/>
            </w:tcBorders>
            <w:shd w:val="clear" w:color="auto" w:fill="auto"/>
            <w:hideMark/>
          </w:tcPr>
          <w:p w14:paraId="5D6A18E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determine how justice and commitment dimensions predict job satisfaction among hospitality employees.</w:t>
            </w:r>
          </w:p>
        </w:tc>
        <w:tc>
          <w:tcPr>
            <w:tcW w:w="1833" w:type="dxa"/>
            <w:tcBorders>
              <w:top w:val="single" w:sz="8" w:space="0" w:color="auto"/>
              <w:left w:val="nil"/>
              <w:bottom w:val="single" w:sz="8" w:space="0" w:color="auto"/>
              <w:right w:val="nil"/>
            </w:tcBorders>
            <w:shd w:val="clear" w:color="auto" w:fill="auto"/>
            <w:hideMark/>
          </w:tcPr>
          <w:p w14:paraId="4A493A8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three-component organisational commitment.</w:t>
            </w:r>
          </w:p>
        </w:tc>
        <w:tc>
          <w:tcPr>
            <w:tcW w:w="1922" w:type="dxa"/>
            <w:tcBorders>
              <w:top w:val="single" w:sz="8" w:space="0" w:color="auto"/>
              <w:left w:val="nil"/>
              <w:bottom w:val="single" w:sz="8" w:space="0" w:color="auto"/>
              <w:right w:val="nil"/>
            </w:tcBorders>
            <w:shd w:val="clear" w:color="auto" w:fill="auto"/>
            <w:hideMark/>
          </w:tcPr>
          <w:p w14:paraId="7656BE6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119 hotel employees in Tehran with multivariate statistical analysis.</w:t>
            </w:r>
          </w:p>
        </w:tc>
        <w:tc>
          <w:tcPr>
            <w:tcW w:w="2068" w:type="dxa"/>
            <w:tcBorders>
              <w:top w:val="single" w:sz="8" w:space="0" w:color="auto"/>
              <w:left w:val="nil"/>
              <w:bottom w:val="single" w:sz="8" w:space="0" w:color="auto"/>
              <w:right w:val="nil"/>
            </w:tcBorders>
            <w:shd w:val="clear" w:color="auto" w:fill="auto"/>
            <w:hideMark/>
          </w:tcPr>
          <w:p w14:paraId="78D4720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Hospitality studies often combine justice and commitment into overall scores and overlook dimension-specific effects.</w:t>
            </w:r>
          </w:p>
        </w:tc>
        <w:tc>
          <w:tcPr>
            <w:tcW w:w="2112" w:type="dxa"/>
            <w:tcBorders>
              <w:top w:val="single" w:sz="8" w:space="0" w:color="auto"/>
              <w:left w:val="nil"/>
              <w:bottom w:val="single" w:sz="8" w:space="0" w:color="auto"/>
              <w:right w:val="nil"/>
            </w:tcBorders>
            <w:shd w:val="clear" w:color="auto" w:fill="auto"/>
            <w:hideMark/>
          </w:tcPr>
          <w:p w14:paraId="092852B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small, single-city sample and cross-sectional design limit generalisation.</w:t>
            </w:r>
          </w:p>
        </w:tc>
        <w:tc>
          <w:tcPr>
            <w:tcW w:w="2118" w:type="dxa"/>
            <w:tcBorders>
              <w:top w:val="single" w:sz="8" w:space="0" w:color="auto"/>
              <w:left w:val="nil"/>
              <w:bottom w:val="single" w:sz="8" w:space="0" w:color="auto"/>
              <w:right w:val="nil"/>
            </w:tcBorders>
            <w:shd w:val="clear" w:color="auto" w:fill="auto"/>
            <w:hideMark/>
          </w:tcPr>
          <w:p w14:paraId="6AFAD36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Distributive justice and normative commitment significantly predicted job satisfaction, while several other dimensions were not direct predictors.</w:t>
            </w:r>
          </w:p>
        </w:tc>
        <w:tc>
          <w:tcPr>
            <w:tcW w:w="2153" w:type="dxa"/>
            <w:tcBorders>
              <w:top w:val="single" w:sz="8" w:space="0" w:color="auto"/>
              <w:left w:val="nil"/>
              <w:bottom w:val="single" w:sz="8" w:space="0" w:color="auto"/>
              <w:right w:val="single" w:sz="4" w:space="0" w:color="auto"/>
            </w:tcBorders>
            <w:shd w:val="clear" w:color="auto" w:fill="auto"/>
            <w:hideMark/>
          </w:tcPr>
          <w:p w14:paraId="338E1AB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Highlights that justice and commitment dimensions may behave differently and should be measured carefully in the dissertation.</w:t>
            </w:r>
          </w:p>
        </w:tc>
      </w:tr>
      <w:tr w:rsidR="00566303" w:rsidRPr="00566303" w14:paraId="3FD27A32"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21AB2CF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Effect of organizational justice and support on organizational commitment and employee turnover intentions: The mediating role of </w:t>
            </w:r>
            <w:r w:rsidRPr="00566303">
              <w:rPr>
                <w:color w:val="000000"/>
                <w:kern w:val="0"/>
                <w:szCs w:val="24"/>
                <w:lang w:val="en-US" w:eastAsia="en-US"/>
                <w14:ligatures w14:val="none"/>
              </w:rPr>
              <w:lastRenderedPageBreak/>
              <w:t>employee engagement</w:t>
            </w:r>
          </w:p>
        </w:tc>
        <w:tc>
          <w:tcPr>
            <w:tcW w:w="2027" w:type="dxa"/>
            <w:tcBorders>
              <w:top w:val="single" w:sz="8" w:space="0" w:color="auto"/>
              <w:left w:val="single" w:sz="8" w:space="0" w:color="auto"/>
              <w:bottom w:val="single" w:sz="8" w:space="0" w:color="auto"/>
              <w:right w:val="nil"/>
            </w:tcBorders>
            <w:shd w:val="clear" w:color="auto" w:fill="auto"/>
            <w:hideMark/>
          </w:tcPr>
          <w:p w14:paraId="3EE8287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Aggarwal, A., Jaisinghani, D. &amp; Nobi, K. (2022) / International Journal of Quality and Service Sciences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6B64396F"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4" w:history="1">
              <w:r w:rsidR="00566303" w:rsidRPr="00566303">
                <w:rPr>
                  <w:rStyle w:val="Hyperlink"/>
                  <w:kern w:val="0"/>
                  <w:szCs w:val="24"/>
                  <w:lang w:val="en-US" w:eastAsia="en-US"/>
                  <w14:ligatures w14:val="none"/>
                </w:rPr>
                <w:t xml:space="preserve">https://doi.org/10.1108/IJQSS-08-2021-0112 </w:t>
              </w:r>
            </w:hyperlink>
          </w:p>
        </w:tc>
        <w:tc>
          <w:tcPr>
            <w:tcW w:w="4629" w:type="dxa"/>
            <w:tcBorders>
              <w:top w:val="single" w:sz="8" w:space="0" w:color="auto"/>
              <w:left w:val="nil"/>
              <w:bottom w:val="single" w:sz="8" w:space="0" w:color="auto"/>
              <w:right w:val="nil"/>
            </w:tcBorders>
            <w:shd w:val="clear" w:color="auto" w:fill="auto"/>
            <w:hideMark/>
          </w:tcPr>
          <w:p w14:paraId="7EFC54F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how organisational justice and organisational support affect commitment and turnover intention through employee engagement.</w:t>
            </w:r>
          </w:p>
        </w:tc>
        <w:tc>
          <w:tcPr>
            <w:tcW w:w="1833" w:type="dxa"/>
            <w:tcBorders>
              <w:top w:val="single" w:sz="8" w:space="0" w:color="auto"/>
              <w:left w:val="nil"/>
              <w:bottom w:val="single" w:sz="8" w:space="0" w:color="auto"/>
              <w:right w:val="nil"/>
            </w:tcBorders>
            <w:shd w:val="clear" w:color="auto" w:fill="auto"/>
            <w:hideMark/>
          </w:tcPr>
          <w:p w14:paraId="3154EC3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Social exchange theory; organisational support; employee engagement.</w:t>
            </w:r>
          </w:p>
        </w:tc>
        <w:tc>
          <w:tcPr>
            <w:tcW w:w="1922" w:type="dxa"/>
            <w:tcBorders>
              <w:top w:val="single" w:sz="8" w:space="0" w:color="auto"/>
              <w:left w:val="nil"/>
              <w:bottom w:val="single" w:sz="8" w:space="0" w:color="auto"/>
              <w:right w:val="nil"/>
            </w:tcBorders>
            <w:shd w:val="clear" w:color="auto" w:fill="auto"/>
            <w:hideMark/>
          </w:tcPr>
          <w:p w14:paraId="21F5C08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Cross-sectional survey of 432 Indian information-technology employees analysed using structural </w:t>
            </w:r>
            <w:r w:rsidRPr="00566303">
              <w:rPr>
                <w:color w:val="000000"/>
                <w:kern w:val="0"/>
                <w:szCs w:val="24"/>
                <w:lang w:val="en-US" w:eastAsia="en-US"/>
                <w14:ligatures w14:val="none"/>
              </w:rPr>
              <w:lastRenderedPageBreak/>
              <w:t>equation modelling.</w:t>
            </w:r>
          </w:p>
        </w:tc>
        <w:tc>
          <w:tcPr>
            <w:tcW w:w="2068" w:type="dxa"/>
            <w:tcBorders>
              <w:top w:val="single" w:sz="8" w:space="0" w:color="auto"/>
              <w:left w:val="nil"/>
              <w:bottom w:val="single" w:sz="8" w:space="0" w:color="auto"/>
              <w:right w:val="nil"/>
            </w:tcBorders>
            <w:shd w:val="clear" w:color="auto" w:fill="auto"/>
            <w:hideMark/>
          </w:tcPr>
          <w:p w14:paraId="6BE80C1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Research has not sufficiently integrated justice, support, engagement, commitment and turnover in one model.</w:t>
            </w:r>
          </w:p>
        </w:tc>
        <w:tc>
          <w:tcPr>
            <w:tcW w:w="2112" w:type="dxa"/>
            <w:tcBorders>
              <w:top w:val="single" w:sz="8" w:space="0" w:color="auto"/>
              <w:left w:val="nil"/>
              <w:bottom w:val="single" w:sz="8" w:space="0" w:color="auto"/>
              <w:right w:val="nil"/>
            </w:tcBorders>
            <w:shd w:val="clear" w:color="auto" w:fill="auto"/>
            <w:hideMark/>
          </w:tcPr>
          <w:p w14:paraId="4025347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single-sector, self-reported and cross-sectional design limits causal and UK retail conclusions.</w:t>
            </w:r>
          </w:p>
        </w:tc>
        <w:tc>
          <w:tcPr>
            <w:tcW w:w="2118" w:type="dxa"/>
            <w:tcBorders>
              <w:top w:val="single" w:sz="8" w:space="0" w:color="auto"/>
              <w:left w:val="nil"/>
              <w:bottom w:val="single" w:sz="8" w:space="0" w:color="auto"/>
              <w:right w:val="nil"/>
            </w:tcBorders>
            <w:shd w:val="clear" w:color="auto" w:fill="auto"/>
            <w:hideMark/>
          </w:tcPr>
          <w:p w14:paraId="6E5A65C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Justice and organisational support increased engagement, which strengthened commitment and reduced turnover intention.</w:t>
            </w:r>
          </w:p>
        </w:tc>
        <w:tc>
          <w:tcPr>
            <w:tcW w:w="2153" w:type="dxa"/>
            <w:tcBorders>
              <w:top w:val="single" w:sz="8" w:space="0" w:color="auto"/>
              <w:left w:val="nil"/>
              <w:bottom w:val="single" w:sz="8" w:space="0" w:color="auto"/>
              <w:right w:val="single" w:sz="4" w:space="0" w:color="auto"/>
            </w:tcBorders>
            <w:shd w:val="clear" w:color="auto" w:fill="auto"/>
            <w:hideMark/>
          </w:tcPr>
          <w:p w14:paraId="1D00B95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a recent mediation model showing how fairness-related experiences can translate into organisational attachment.</w:t>
            </w:r>
          </w:p>
        </w:tc>
      </w:tr>
      <w:tr w:rsidR="00566303" w:rsidRPr="00566303" w14:paraId="78AEC375"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8A6B03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Organizational justice research: A review, synthesis, and research agenda</w:t>
            </w:r>
          </w:p>
        </w:tc>
        <w:tc>
          <w:tcPr>
            <w:tcW w:w="2027" w:type="dxa"/>
            <w:tcBorders>
              <w:top w:val="single" w:sz="8" w:space="0" w:color="auto"/>
              <w:left w:val="single" w:sz="8" w:space="0" w:color="auto"/>
              <w:bottom w:val="single" w:sz="8" w:space="0" w:color="auto"/>
              <w:right w:val="nil"/>
            </w:tcBorders>
            <w:shd w:val="clear" w:color="auto" w:fill="auto"/>
            <w:hideMark/>
          </w:tcPr>
          <w:p w14:paraId="7DC34F4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Adamovic, M. (2023) / European Management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48C61995"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5" w:history="1">
              <w:r w:rsidR="00566303" w:rsidRPr="00566303">
                <w:rPr>
                  <w:rStyle w:val="Hyperlink"/>
                  <w:kern w:val="0"/>
                  <w:szCs w:val="24"/>
                  <w:lang w:val="en-US" w:eastAsia="en-US"/>
                  <w14:ligatures w14:val="none"/>
                </w:rPr>
                <w:t xml:space="preserve">https://doi.org/10.1111/emre.12564 </w:t>
              </w:r>
            </w:hyperlink>
          </w:p>
        </w:tc>
        <w:tc>
          <w:tcPr>
            <w:tcW w:w="4629" w:type="dxa"/>
            <w:tcBorders>
              <w:top w:val="single" w:sz="8" w:space="0" w:color="auto"/>
              <w:left w:val="nil"/>
              <w:bottom w:val="single" w:sz="8" w:space="0" w:color="auto"/>
              <w:right w:val="nil"/>
            </w:tcBorders>
            <w:shd w:val="clear" w:color="auto" w:fill="auto"/>
            <w:hideMark/>
          </w:tcPr>
          <w:p w14:paraId="72D0567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review organisational-justice research, synthesise major themes and propose a future research agenda.</w:t>
            </w:r>
          </w:p>
        </w:tc>
        <w:tc>
          <w:tcPr>
            <w:tcW w:w="1833" w:type="dxa"/>
            <w:tcBorders>
              <w:top w:val="single" w:sz="8" w:space="0" w:color="auto"/>
              <w:left w:val="nil"/>
              <w:bottom w:val="single" w:sz="8" w:space="0" w:color="auto"/>
              <w:right w:val="nil"/>
            </w:tcBorders>
            <w:shd w:val="clear" w:color="auto" w:fill="auto"/>
            <w:hideMark/>
          </w:tcPr>
          <w:p w14:paraId="3D91542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Distributive, procedural, interpersonal and informational justice; multiple justice theories.</w:t>
            </w:r>
          </w:p>
        </w:tc>
        <w:tc>
          <w:tcPr>
            <w:tcW w:w="1922" w:type="dxa"/>
            <w:tcBorders>
              <w:top w:val="single" w:sz="8" w:space="0" w:color="auto"/>
              <w:left w:val="nil"/>
              <w:bottom w:val="single" w:sz="8" w:space="0" w:color="auto"/>
              <w:right w:val="nil"/>
            </w:tcBorders>
            <w:shd w:val="clear" w:color="auto" w:fill="auto"/>
            <w:hideMark/>
          </w:tcPr>
          <w:p w14:paraId="0B55C55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Semi-systematic literature review across major academic databases.</w:t>
            </w:r>
          </w:p>
        </w:tc>
        <w:tc>
          <w:tcPr>
            <w:tcW w:w="2068" w:type="dxa"/>
            <w:tcBorders>
              <w:top w:val="single" w:sz="8" w:space="0" w:color="auto"/>
              <w:left w:val="nil"/>
              <w:bottom w:val="single" w:sz="8" w:space="0" w:color="auto"/>
              <w:right w:val="nil"/>
            </w:tcBorders>
            <w:shd w:val="clear" w:color="auto" w:fill="auto"/>
            <w:hideMark/>
          </w:tcPr>
          <w:p w14:paraId="747F7EE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Justice research remains fragmented and needs stronger attention to culture, diversity, conflict, teams and changing work arrangements.</w:t>
            </w:r>
          </w:p>
        </w:tc>
        <w:tc>
          <w:tcPr>
            <w:tcW w:w="2112" w:type="dxa"/>
            <w:tcBorders>
              <w:top w:val="single" w:sz="8" w:space="0" w:color="auto"/>
              <w:left w:val="nil"/>
              <w:bottom w:val="single" w:sz="8" w:space="0" w:color="auto"/>
              <w:right w:val="nil"/>
            </w:tcBorders>
            <w:shd w:val="clear" w:color="auto" w:fill="auto"/>
            <w:hideMark/>
          </w:tcPr>
          <w:p w14:paraId="5A3452E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 broad review cannot quantify every relationship or resolve causal limitations in the underlying studies.</w:t>
            </w:r>
          </w:p>
        </w:tc>
        <w:tc>
          <w:tcPr>
            <w:tcW w:w="2118" w:type="dxa"/>
            <w:tcBorders>
              <w:top w:val="single" w:sz="8" w:space="0" w:color="auto"/>
              <w:left w:val="nil"/>
              <w:bottom w:val="single" w:sz="8" w:space="0" w:color="auto"/>
              <w:right w:val="nil"/>
            </w:tcBorders>
            <w:shd w:val="clear" w:color="auto" w:fill="auto"/>
            <w:hideMark/>
          </w:tcPr>
          <w:p w14:paraId="245CA8C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is multidimensional, context dependent and connected with a wide range of employee attitudes and behaviours.</w:t>
            </w:r>
          </w:p>
        </w:tc>
        <w:tc>
          <w:tcPr>
            <w:tcW w:w="2153" w:type="dxa"/>
            <w:tcBorders>
              <w:top w:val="single" w:sz="8" w:space="0" w:color="auto"/>
              <w:left w:val="nil"/>
              <w:bottom w:val="single" w:sz="8" w:space="0" w:color="auto"/>
              <w:right w:val="single" w:sz="4" w:space="0" w:color="auto"/>
            </w:tcBorders>
            <w:shd w:val="clear" w:color="auto" w:fill="auto"/>
            <w:hideMark/>
          </w:tcPr>
          <w:p w14:paraId="11C2C93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an up-to-date foundation for defining and measuring the mediator and identifying literature gaps.</w:t>
            </w:r>
          </w:p>
        </w:tc>
      </w:tr>
      <w:tr w:rsidR="00566303" w:rsidRPr="00566303" w14:paraId="38AA3E6A"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638D565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relationship between organizational justice and organizational commitment in educational organizations: A meta-analysis study</w:t>
            </w:r>
          </w:p>
        </w:tc>
        <w:tc>
          <w:tcPr>
            <w:tcW w:w="2027" w:type="dxa"/>
            <w:tcBorders>
              <w:top w:val="single" w:sz="8" w:space="0" w:color="auto"/>
              <w:left w:val="single" w:sz="8" w:space="0" w:color="auto"/>
              <w:bottom w:val="single" w:sz="8" w:space="0" w:color="auto"/>
              <w:right w:val="nil"/>
            </w:tcBorders>
            <w:shd w:val="clear" w:color="auto" w:fill="auto"/>
            <w:hideMark/>
          </w:tcPr>
          <w:p w14:paraId="403624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Tosun, A. (2025) / Journal of Human Sciences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82C5E64"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6" w:history="1">
              <w:r w:rsidR="00566303" w:rsidRPr="00566303">
                <w:rPr>
                  <w:rStyle w:val="Hyperlink"/>
                  <w:kern w:val="0"/>
                  <w:szCs w:val="24"/>
                  <w:lang w:val="en-US" w:eastAsia="en-US"/>
                  <w14:ligatures w14:val="none"/>
                </w:rPr>
                <w:t xml:space="preserve">https://doi.org/10.14687/jhs.v22i1.6540 </w:t>
              </w:r>
            </w:hyperlink>
          </w:p>
        </w:tc>
        <w:tc>
          <w:tcPr>
            <w:tcW w:w="4629" w:type="dxa"/>
            <w:tcBorders>
              <w:top w:val="single" w:sz="8" w:space="0" w:color="auto"/>
              <w:left w:val="nil"/>
              <w:bottom w:val="single" w:sz="8" w:space="0" w:color="auto"/>
              <w:right w:val="nil"/>
            </w:tcBorders>
            <w:shd w:val="clear" w:color="auto" w:fill="auto"/>
            <w:hideMark/>
          </w:tcPr>
          <w:p w14:paraId="592E2C9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estimate the overall relationship between organisational justice and organisational commitment in educational organisations.</w:t>
            </w:r>
          </w:p>
        </w:tc>
        <w:tc>
          <w:tcPr>
            <w:tcW w:w="1833" w:type="dxa"/>
            <w:tcBorders>
              <w:top w:val="single" w:sz="8" w:space="0" w:color="auto"/>
              <w:left w:val="nil"/>
              <w:bottom w:val="single" w:sz="8" w:space="0" w:color="auto"/>
              <w:right w:val="nil"/>
            </w:tcBorders>
            <w:shd w:val="clear" w:color="auto" w:fill="auto"/>
            <w:hideMark/>
          </w:tcPr>
          <w:p w14:paraId="5B70BBD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organisational commitment.</w:t>
            </w:r>
          </w:p>
        </w:tc>
        <w:tc>
          <w:tcPr>
            <w:tcW w:w="1922" w:type="dxa"/>
            <w:tcBorders>
              <w:top w:val="single" w:sz="8" w:space="0" w:color="auto"/>
              <w:left w:val="nil"/>
              <w:bottom w:val="single" w:sz="8" w:space="0" w:color="auto"/>
              <w:right w:val="nil"/>
            </w:tcBorders>
            <w:shd w:val="clear" w:color="auto" w:fill="auto"/>
            <w:hideMark/>
          </w:tcPr>
          <w:p w14:paraId="0EE25EE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Meta-analysis of 10 studies involving teachers in Türkiye.</w:t>
            </w:r>
          </w:p>
        </w:tc>
        <w:tc>
          <w:tcPr>
            <w:tcW w:w="2068" w:type="dxa"/>
            <w:tcBorders>
              <w:top w:val="single" w:sz="8" w:space="0" w:color="auto"/>
              <w:left w:val="nil"/>
              <w:bottom w:val="single" w:sz="8" w:space="0" w:color="auto"/>
              <w:right w:val="nil"/>
            </w:tcBorders>
            <w:shd w:val="clear" w:color="auto" w:fill="auto"/>
            <w:hideMark/>
          </w:tcPr>
          <w:p w14:paraId="1D5E8D5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Individual studies report varying strengths for the justice–commitment relationship, requiring quantitative synthesis.</w:t>
            </w:r>
          </w:p>
        </w:tc>
        <w:tc>
          <w:tcPr>
            <w:tcW w:w="2112" w:type="dxa"/>
            <w:tcBorders>
              <w:top w:val="single" w:sz="8" w:space="0" w:color="auto"/>
              <w:left w:val="nil"/>
              <w:bottom w:val="single" w:sz="8" w:space="0" w:color="auto"/>
              <w:right w:val="nil"/>
            </w:tcBorders>
            <w:shd w:val="clear" w:color="auto" w:fill="auto"/>
            <w:hideMark/>
          </w:tcPr>
          <w:p w14:paraId="4F60436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evidence is restricted to education and one national setting, and the number of studies is limited.</w:t>
            </w:r>
          </w:p>
        </w:tc>
        <w:tc>
          <w:tcPr>
            <w:tcW w:w="2118" w:type="dxa"/>
            <w:tcBorders>
              <w:top w:val="single" w:sz="8" w:space="0" w:color="auto"/>
              <w:left w:val="nil"/>
              <w:bottom w:val="single" w:sz="8" w:space="0" w:color="auto"/>
              <w:right w:val="nil"/>
            </w:tcBorders>
            <w:shd w:val="clear" w:color="auto" w:fill="auto"/>
            <w:hideMark/>
          </w:tcPr>
          <w:p w14:paraId="3B05A9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meta-analysis identified a statistically significant positive relationship between organisational justice and commitment.</w:t>
            </w:r>
          </w:p>
        </w:tc>
        <w:tc>
          <w:tcPr>
            <w:tcW w:w="2153" w:type="dxa"/>
            <w:tcBorders>
              <w:top w:val="single" w:sz="8" w:space="0" w:color="auto"/>
              <w:left w:val="nil"/>
              <w:bottom w:val="single" w:sz="8" w:space="0" w:color="auto"/>
              <w:right w:val="single" w:sz="4" w:space="0" w:color="auto"/>
            </w:tcBorders>
            <w:shd w:val="clear" w:color="auto" w:fill="auto"/>
            <w:hideMark/>
          </w:tcPr>
          <w:p w14:paraId="634DBF2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recent aggregated support for H3 while also indicating the need for evidence from UK retail.</w:t>
            </w:r>
          </w:p>
        </w:tc>
      </w:tr>
      <w:tr w:rsidR="00566303" w:rsidRPr="00566303" w14:paraId="426B0BC8"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62931C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Psychological contract and work outcomes during COVID-19 pandemic</w:t>
            </w:r>
          </w:p>
        </w:tc>
        <w:tc>
          <w:tcPr>
            <w:tcW w:w="2027" w:type="dxa"/>
            <w:tcBorders>
              <w:top w:val="single" w:sz="8" w:space="0" w:color="auto"/>
              <w:left w:val="single" w:sz="8" w:space="0" w:color="auto"/>
              <w:bottom w:val="single" w:sz="8" w:space="0" w:color="auto"/>
              <w:right w:val="nil"/>
            </w:tcBorders>
            <w:shd w:val="clear" w:color="auto" w:fill="auto"/>
            <w:hideMark/>
          </w:tcPr>
          <w:p w14:paraId="2567DE9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Karani, A., Trivedi, P. &amp; Thanki, H. (2022) / Journal of Organizational Effectiveness: People and Performance</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CD2EFFE"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7" w:history="1">
              <w:r w:rsidR="00566303" w:rsidRPr="00566303">
                <w:rPr>
                  <w:rStyle w:val="Hyperlink"/>
                  <w:kern w:val="0"/>
                  <w:szCs w:val="24"/>
                  <w:lang w:val="en-US" w:eastAsia="en-US"/>
                  <w14:ligatures w14:val="none"/>
                </w:rPr>
                <w:t xml:space="preserve">https://doi.org/10.1108/JOEPP-09-2020-0186 </w:t>
              </w:r>
            </w:hyperlink>
          </w:p>
        </w:tc>
        <w:tc>
          <w:tcPr>
            <w:tcW w:w="4629" w:type="dxa"/>
            <w:tcBorders>
              <w:top w:val="single" w:sz="8" w:space="0" w:color="auto"/>
              <w:left w:val="nil"/>
              <w:bottom w:val="single" w:sz="8" w:space="0" w:color="auto"/>
              <w:right w:val="nil"/>
            </w:tcBorders>
            <w:shd w:val="clear" w:color="auto" w:fill="auto"/>
            <w:hideMark/>
          </w:tcPr>
          <w:p w14:paraId="634DB26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psychological-contract fulfilment affected work outcomes during pandemic-related remote working.</w:t>
            </w:r>
          </w:p>
        </w:tc>
        <w:tc>
          <w:tcPr>
            <w:tcW w:w="1833" w:type="dxa"/>
            <w:tcBorders>
              <w:top w:val="single" w:sz="8" w:space="0" w:color="auto"/>
              <w:left w:val="nil"/>
              <w:bottom w:val="single" w:sz="8" w:space="0" w:color="auto"/>
              <w:right w:val="nil"/>
            </w:tcBorders>
            <w:shd w:val="clear" w:color="auto" w:fill="auto"/>
            <w:hideMark/>
          </w:tcPr>
          <w:p w14:paraId="36C1C5B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 contract theory; employee engagement; social support.</w:t>
            </w:r>
          </w:p>
        </w:tc>
        <w:tc>
          <w:tcPr>
            <w:tcW w:w="1922" w:type="dxa"/>
            <w:tcBorders>
              <w:top w:val="single" w:sz="8" w:space="0" w:color="auto"/>
              <w:left w:val="nil"/>
              <w:bottom w:val="single" w:sz="8" w:space="0" w:color="auto"/>
              <w:right w:val="nil"/>
            </w:tcBorders>
            <w:shd w:val="clear" w:color="auto" w:fill="auto"/>
            <w:hideMark/>
          </w:tcPr>
          <w:p w14:paraId="42CA4B4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Snowball survey of 926 service-sector employees working from home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65B6C82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evidence explains how fulfilment influences commitment and satisfaction through engagement and coworker support during disruption.</w:t>
            </w:r>
          </w:p>
        </w:tc>
        <w:tc>
          <w:tcPr>
            <w:tcW w:w="2112" w:type="dxa"/>
            <w:tcBorders>
              <w:top w:val="single" w:sz="8" w:space="0" w:color="auto"/>
              <w:left w:val="nil"/>
              <w:bottom w:val="single" w:sz="8" w:space="0" w:color="auto"/>
              <w:right w:val="nil"/>
            </w:tcBorders>
            <w:shd w:val="clear" w:color="auto" w:fill="auto"/>
            <w:hideMark/>
          </w:tcPr>
          <w:p w14:paraId="302A109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Pandemic and remote-work conditions reduce direct comparability with ordinary UK retail work.</w:t>
            </w:r>
          </w:p>
        </w:tc>
        <w:tc>
          <w:tcPr>
            <w:tcW w:w="2118" w:type="dxa"/>
            <w:tcBorders>
              <w:top w:val="single" w:sz="8" w:space="0" w:color="auto"/>
              <w:left w:val="nil"/>
              <w:bottom w:val="single" w:sz="8" w:space="0" w:color="auto"/>
              <w:right w:val="nil"/>
            </w:tcBorders>
            <w:shd w:val="clear" w:color="auto" w:fill="auto"/>
            <w:hideMark/>
          </w:tcPr>
          <w:p w14:paraId="58CBF53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Psychological-contract fulfilment increased commitment and satisfaction, with engagement and coworker support acting as mechanisms.</w:t>
            </w:r>
          </w:p>
        </w:tc>
        <w:tc>
          <w:tcPr>
            <w:tcW w:w="2153" w:type="dxa"/>
            <w:tcBorders>
              <w:top w:val="single" w:sz="8" w:space="0" w:color="auto"/>
              <w:left w:val="nil"/>
              <w:bottom w:val="single" w:sz="8" w:space="0" w:color="auto"/>
              <w:right w:val="single" w:sz="4" w:space="0" w:color="auto"/>
            </w:tcBorders>
            <w:shd w:val="clear" w:color="auto" w:fill="auto"/>
            <w:hideMark/>
          </w:tcPr>
          <w:p w14:paraId="238BB9F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the theoretical claim that awareness clarifies obligations and that perceived fulfilment contributes to commitment.</w:t>
            </w:r>
          </w:p>
        </w:tc>
      </w:tr>
      <w:tr w:rsidR="00566303" w:rsidRPr="00566303" w14:paraId="00B57548"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1FAFCE9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Employees’ reactions to supervisors’ fulfillment/non-fulfillment of psychological contract promises: An experimental field study</w:t>
            </w:r>
          </w:p>
        </w:tc>
        <w:tc>
          <w:tcPr>
            <w:tcW w:w="2027" w:type="dxa"/>
            <w:tcBorders>
              <w:top w:val="single" w:sz="8" w:space="0" w:color="auto"/>
              <w:left w:val="single" w:sz="8" w:space="0" w:color="auto"/>
              <w:bottom w:val="single" w:sz="8" w:space="0" w:color="auto"/>
              <w:right w:val="nil"/>
            </w:tcBorders>
            <w:shd w:val="clear" w:color="auto" w:fill="auto"/>
            <w:hideMark/>
          </w:tcPr>
          <w:p w14:paraId="3694ABD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Ababneh, K.I., Dedousis, E. &amp; Braendle, U. (2022) / Employee Relations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091AADB"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8" w:history="1">
              <w:r w:rsidR="00566303" w:rsidRPr="00566303">
                <w:rPr>
                  <w:rStyle w:val="Hyperlink"/>
                  <w:kern w:val="0"/>
                  <w:szCs w:val="24"/>
                  <w:lang w:val="en-US" w:eastAsia="en-US"/>
                  <w14:ligatures w14:val="none"/>
                </w:rPr>
                <w:t xml:space="preserve">https://doi.org/10.1108/ER-07-2020-0308 </w:t>
              </w:r>
            </w:hyperlink>
          </w:p>
        </w:tc>
        <w:tc>
          <w:tcPr>
            <w:tcW w:w="4629" w:type="dxa"/>
            <w:tcBorders>
              <w:top w:val="single" w:sz="8" w:space="0" w:color="auto"/>
              <w:left w:val="nil"/>
              <w:bottom w:val="single" w:sz="8" w:space="0" w:color="auto"/>
              <w:right w:val="nil"/>
            </w:tcBorders>
            <w:shd w:val="clear" w:color="auto" w:fill="auto"/>
            <w:hideMark/>
          </w:tcPr>
          <w:p w14:paraId="6F54532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how fulfilment and breach of transactional and relational promises affect employee reactions.</w:t>
            </w:r>
          </w:p>
        </w:tc>
        <w:tc>
          <w:tcPr>
            <w:tcW w:w="1833" w:type="dxa"/>
            <w:tcBorders>
              <w:top w:val="single" w:sz="8" w:space="0" w:color="auto"/>
              <w:left w:val="nil"/>
              <w:bottom w:val="single" w:sz="8" w:space="0" w:color="auto"/>
              <w:right w:val="nil"/>
            </w:tcBorders>
            <w:shd w:val="clear" w:color="auto" w:fill="auto"/>
            <w:hideMark/>
          </w:tcPr>
          <w:p w14:paraId="1107A0F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 contract theory; social exchange.</w:t>
            </w:r>
          </w:p>
        </w:tc>
        <w:tc>
          <w:tcPr>
            <w:tcW w:w="1922" w:type="dxa"/>
            <w:tcBorders>
              <w:top w:val="single" w:sz="8" w:space="0" w:color="auto"/>
              <w:left w:val="nil"/>
              <w:bottom w:val="single" w:sz="8" w:space="0" w:color="auto"/>
              <w:right w:val="nil"/>
            </w:tcBorders>
            <w:shd w:val="clear" w:color="auto" w:fill="auto"/>
            <w:hideMark/>
          </w:tcPr>
          <w:p w14:paraId="6CB805C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Experimental field study involving 234 employees of a multinational organisation in the United Arab Emirates.</w:t>
            </w:r>
          </w:p>
        </w:tc>
        <w:tc>
          <w:tcPr>
            <w:tcW w:w="2068" w:type="dxa"/>
            <w:tcBorders>
              <w:top w:val="single" w:sz="8" w:space="0" w:color="auto"/>
              <w:left w:val="nil"/>
              <w:bottom w:val="single" w:sz="8" w:space="0" w:color="auto"/>
              <w:right w:val="nil"/>
            </w:tcBorders>
            <w:shd w:val="clear" w:color="auto" w:fill="auto"/>
            <w:hideMark/>
          </w:tcPr>
          <w:p w14:paraId="6AC213B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Most psychological-contract evidence is correlational and does not clearly distinguish reactions to transactional and relational breaches.</w:t>
            </w:r>
          </w:p>
        </w:tc>
        <w:tc>
          <w:tcPr>
            <w:tcW w:w="2112" w:type="dxa"/>
            <w:tcBorders>
              <w:top w:val="single" w:sz="8" w:space="0" w:color="auto"/>
              <w:left w:val="nil"/>
              <w:bottom w:val="single" w:sz="8" w:space="0" w:color="auto"/>
              <w:right w:val="nil"/>
            </w:tcBorders>
            <w:shd w:val="clear" w:color="auto" w:fill="auto"/>
            <w:hideMark/>
          </w:tcPr>
          <w:p w14:paraId="327AE8F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scenario-based field experiment and one organisational context may not reproduce all real workplace dynamics.</w:t>
            </w:r>
          </w:p>
        </w:tc>
        <w:tc>
          <w:tcPr>
            <w:tcW w:w="2118" w:type="dxa"/>
            <w:tcBorders>
              <w:top w:val="single" w:sz="8" w:space="0" w:color="auto"/>
              <w:left w:val="nil"/>
              <w:bottom w:val="single" w:sz="8" w:space="0" w:color="auto"/>
              <w:right w:val="nil"/>
            </w:tcBorders>
            <w:shd w:val="clear" w:color="auto" w:fill="auto"/>
            <w:hideMark/>
          </w:tcPr>
          <w:p w14:paraId="3048EA6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Non-fulfilment reduced trust, commitment and willingness to recommend the organisation; transactional breach produced particularly strong reactions.</w:t>
            </w:r>
          </w:p>
        </w:tc>
        <w:tc>
          <w:tcPr>
            <w:tcW w:w="2153" w:type="dxa"/>
            <w:tcBorders>
              <w:top w:val="single" w:sz="8" w:space="0" w:color="auto"/>
              <w:left w:val="nil"/>
              <w:bottom w:val="single" w:sz="8" w:space="0" w:color="auto"/>
              <w:right w:val="single" w:sz="4" w:space="0" w:color="auto"/>
            </w:tcBorders>
            <w:shd w:val="clear" w:color="auto" w:fill="auto"/>
            <w:hideMark/>
          </w:tcPr>
          <w:p w14:paraId="78556FF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Demonstrates how failure to honour employment-related obligations can undermine trust and commitment.</w:t>
            </w:r>
          </w:p>
        </w:tc>
      </w:tr>
      <w:tr w:rsidR="00566303" w:rsidRPr="00566303" w14:paraId="5FEF6D74"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4C610C1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Psychological and formal employment contracts, workplace attitudes and employees’ turnover intentions: Causal and boundary </w:t>
            </w:r>
            <w:r w:rsidRPr="00566303">
              <w:rPr>
                <w:color w:val="000000"/>
                <w:kern w:val="0"/>
                <w:szCs w:val="24"/>
                <w:lang w:val="en-US" w:eastAsia="en-US"/>
                <w14:ligatures w14:val="none"/>
              </w:rPr>
              <w:lastRenderedPageBreak/>
              <w:t>inferences in the hotel industry</w:t>
            </w:r>
          </w:p>
        </w:tc>
        <w:tc>
          <w:tcPr>
            <w:tcW w:w="2027" w:type="dxa"/>
            <w:tcBorders>
              <w:top w:val="single" w:sz="8" w:space="0" w:color="auto"/>
              <w:left w:val="single" w:sz="8" w:space="0" w:color="auto"/>
              <w:bottom w:val="single" w:sz="8" w:space="0" w:color="auto"/>
              <w:right w:val="nil"/>
            </w:tcBorders>
            <w:shd w:val="clear" w:color="auto" w:fill="auto"/>
            <w:hideMark/>
          </w:tcPr>
          <w:p w14:paraId="421AC73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Manolopoulos, D., Peitzika, E., Mamakou, X.J. &amp; Myloni, B. (2022) / Journal of Hospitality and Tourism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85A93DB"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99" w:history="1">
              <w:r w:rsidR="00566303" w:rsidRPr="00566303">
                <w:rPr>
                  <w:rStyle w:val="Hyperlink"/>
                  <w:kern w:val="0"/>
                  <w:szCs w:val="24"/>
                  <w:lang w:val="en-US" w:eastAsia="en-US"/>
                  <w14:ligatures w14:val="none"/>
                </w:rPr>
                <w:t xml:space="preserve">https://doi.org/10.1016/j.jhtm.2022.03.011 </w:t>
              </w:r>
            </w:hyperlink>
          </w:p>
        </w:tc>
        <w:tc>
          <w:tcPr>
            <w:tcW w:w="4629" w:type="dxa"/>
            <w:tcBorders>
              <w:top w:val="single" w:sz="8" w:space="0" w:color="auto"/>
              <w:left w:val="nil"/>
              <w:bottom w:val="single" w:sz="8" w:space="0" w:color="auto"/>
              <w:right w:val="nil"/>
            </w:tcBorders>
            <w:shd w:val="clear" w:color="auto" w:fill="auto"/>
            <w:hideMark/>
          </w:tcPr>
          <w:p w14:paraId="65E6F57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psychological-contract breach and formal employment status influence attitudes and turnover intentions in hospitality.</w:t>
            </w:r>
          </w:p>
        </w:tc>
        <w:tc>
          <w:tcPr>
            <w:tcW w:w="1833" w:type="dxa"/>
            <w:tcBorders>
              <w:top w:val="single" w:sz="8" w:space="0" w:color="auto"/>
              <w:left w:val="nil"/>
              <w:bottom w:val="single" w:sz="8" w:space="0" w:color="auto"/>
              <w:right w:val="nil"/>
            </w:tcBorders>
            <w:shd w:val="clear" w:color="auto" w:fill="auto"/>
            <w:hideMark/>
          </w:tcPr>
          <w:p w14:paraId="686416A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 contract theory; social exchange; formal employment contracts.</w:t>
            </w:r>
          </w:p>
        </w:tc>
        <w:tc>
          <w:tcPr>
            <w:tcW w:w="1922" w:type="dxa"/>
            <w:tcBorders>
              <w:top w:val="single" w:sz="8" w:space="0" w:color="auto"/>
              <w:left w:val="nil"/>
              <w:bottom w:val="single" w:sz="8" w:space="0" w:color="auto"/>
              <w:right w:val="nil"/>
            </w:tcBorders>
            <w:shd w:val="clear" w:color="auto" w:fill="auto"/>
            <w:hideMark/>
          </w:tcPr>
          <w:p w14:paraId="62C5A32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study of 254 permanent and temporary employees in luxury hotels using causal and boundary-condition analysis.</w:t>
            </w:r>
          </w:p>
        </w:tc>
        <w:tc>
          <w:tcPr>
            <w:tcW w:w="2068" w:type="dxa"/>
            <w:tcBorders>
              <w:top w:val="single" w:sz="8" w:space="0" w:color="auto"/>
              <w:left w:val="nil"/>
              <w:bottom w:val="single" w:sz="8" w:space="0" w:color="auto"/>
              <w:right w:val="nil"/>
            </w:tcBorders>
            <w:shd w:val="clear" w:color="auto" w:fill="auto"/>
            <w:hideMark/>
          </w:tcPr>
          <w:p w14:paraId="5311595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rarely integrates formal contract status with psychological-contract breach when explaining employee attitudes.</w:t>
            </w:r>
          </w:p>
        </w:tc>
        <w:tc>
          <w:tcPr>
            <w:tcW w:w="2112" w:type="dxa"/>
            <w:tcBorders>
              <w:top w:val="single" w:sz="8" w:space="0" w:color="auto"/>
              <w:left w:val="nil"/>
              <w:bottom w:val="single" w:sz="8" w:space="0" w:color="auto"/>
              <w:right w:val="nil"/>
            </w:tcBorders>
            <w:shd w:val="clear" w:color="auto" w:fill="auto"/>
            <w:hideMark/>
          </w:tcPr>
          <w:p w14:paraId="5B9CA18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hospitality and luxury-hotel context limits direct transfer to UK retail; self-report measures remain vulnerable to bias.</w:t>
            </w:r>
          </w:p>
        </w:tc>
        <w:tc>
          <w:tcPr>
            <w:tcW w:w="2118" w:type="dxa"/>
            <w:tcBorders>
              <w:top w:val="single" w:sz="8" w:space="0" w:color="auto"/>
              <w:left w:val="nil"/>
              <w:bottom w:val="single" w:sz="8" w:space="0" w:color="auto"/>
              <w:right w:val="nil"/>
            </w:tcBorders>
            <w:shd w:val="clear" w:color="auto" w:fill="auto"/>
            <w:hideMark/>
          </w:tcPr>
          <w:p w14:paraId="22EE038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Contract breach was associated with weaker commitment and satisfaction and stronger turnover intentions, with contract status shaping some effects.</w:t>
            </w:r>
          </w:p>
        </w:tc>
        <w:tc>
          <w:tcPr>
            <w:tcW w:w="2153" w:type="dxa"/>
            <w:tcBorders>
              <w:top w:val="single" w:sz="8" w:space="0" w:color="auto"/>
              <w:left w:val="nil"/>
              <w:bottom w:val="single" w:sz="8" w:space="0" w:color="auto"/>
              <w:right w:val="single" w:sz="4" w:space="0" w:color="auto"/>
            </w:tcBorders>
            <w:shd w:val="clear" w:color="auto" w:fill="auto"/>
            <w:hideMark/>
          </w:tcPr>
          <w:p w14:paraId="200AF89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Relevant because retail employees’ contractual insecurity may influence how rights awareness and perceived fairness affect commitment.</w:t>
            </w:r>
          </w:p>
        </w:tc>
      </w:tr>
      <w:tr w:rsidR="00566303" w:rsidRPr="00566303" w14:paraId="4D6FFE65"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F46E89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 Contracts and Organizational Commitment: The Positive Impact of Relational Contracts on Call Center Operators</w:t>
            </w:r>
          </w:p>
        </w:tc>
        <w:tc>
          <w:tcPr>
            <w:tcW w:w="2027" w:type="dxa"/>
            <w:tcBorders>
              <w:top w:val="single" w:sz="8" w:space="0" w:color="auto"/>
              <w:left w:val="single" w:sz="8" w:space="0" w:color="auto"/>
              <w:bottom w:val="single" w:sz="8" w:space="0" w:color="auto"/>
              <w:right w:val="nil"/>
            </w:tcBorders>
            <w:shd w:val="clear" w:color="auto" w:fill="auto"/>
            <w:hideMark/>
          </w:tcPr>
          <w:p w14:paraId="5E5690F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Fantinelli, S., Galanti, T., Guidetti, G., Conserva, F., Giffi, V., Cortini, M. &amp; Di Fiore, T. (2023) / Administrative Sciences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A04744D" w14:textId="77777777" w:rsidR="00566303" w:rsidRPr="00566303" w:rsidRDefault="00000000" w:rsidP="00566303">
            <w:pPr>
              <w:spacing w:before="0" w:after="0" w:line="240" w:lineRule="auto"/>
              <w:jc w:val="left"/>
              <w:rPr>
                <w:color w:val="0563C1"/>
                <w:kern w:val="0"/>
                <w:szCs w:val="24"/>
                <w:u w:val="single"/>
                <w:lang w:val="en-US" w:eastAsia="en-US"/>
                <w14:ligatures w14:val="none"/>
              </w:rPr>
            </w:pPr>
            <w:hyperlink r:id="rId100" w:history="1">
              <w:r w:rsidR="00566303" w:rsidRPr="00566303">
                <w:rPr>
                  <w:rStyle w:val="Hyperlink"/>
                  <w:kern w:val="0"/>
                  <w:szCs w:val="24"/>
                  <w:lang w:val="en-US" w:eastAsia="en-US"/>
                  <w14:ligatures w14:val="none"/>
                </w:rPr>
                <w:t xml:space="preserve">https://doi.org/10.3390/admsci13040112 </w:t>
              </w:r>
            </w:hyperlink>
          </w:p>
        </w:tc>
        <w:tc>
          <w:tcPr>
            <w:tcW w:w="4629" w:type="dxa"/>
            <w:tcBorders>
              <w:top w:val="single" w:sz="8" w:space="0" w:color="auto"/>
              <w:left w:val="nil"/>
              <w:bottom w:val="single" w:sz="8" w:space="0" w:color="auto"/>
              <w:right w:val="nil"/>
            </w:tcBorders>
            <w:shd w:val="clear" w:color="auto" w:fill="auto"/>
            <w:hideMark/>
          </w:tcPr>
          <w:p w14:paraId="57EE91A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transactional and relational psychological contracts relate to different dimensions of organisational commitment.</w:t>
            </w:r>
          </w:p>
        </w:tc>
        <w:tc>
          <w:tcPr>
            <w:tcW w:w="1833" w:type="dxa"/>
            <w:tcBorders>
              <w:top w:val="single" w:sz="8" w:space="0" w:color="auto"/>
              <w:left w:val="nil"/>
              <w:bottom w:val="single" w:sz="8" w:space="0" w:color="auto"/>
              <w:right w:val="nil"/>
            </w:tcBorders>
            <w:shd w:val="clear" w:color="auto" w:fill="auto"/>
            <w:hideMark/>
          </w:tcPr>
          <w:p w14:paraId="7655974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Psychological contract theory; three-component organisational commitment.</w:t>
            </w:r>
          </w:p>
        </w:tc>
        <w:tc>
          <w:tcPr>
            <w:tcW w:w="1922" w:type="dxa"/>
            <w:tcBorders>
              <w:top w:val="single" w:sz="8" w:space="0" w:color="auto"/>
              <w:left w:val="nil"/>
              <w:bottom w:val="single" w:sz="8" w:space="0" w:color="auto"/>
              <w:right w:val="nil"/>
            </w:tcBorders>
            <w:shd w:val="clear" w:color="auto" w:fill="auto"/>
            <w:hideMark/>
          </w:tcPr>
          <w:p w14:paraId="4C99EED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questionnaire study of 201 call-centre employees with multivariate analysis.</w:t>
            </w:r>
          </w:p>
        </w:tc>
        <w:tc>
          <w:tcPr>
            <w:tcW w:w="2068" w:type="dxa"/>
            <w:tcBorders>
              <w:top w:val="single" w:sz="8" w:space="0" w:color="auto"/>
              <w:left w:val="nil"/>
              <w:bottom w:val="single" w:sz="8" w:space="0" w:color="auto"/>
              <w:right w:val="nil"/>
            </w:tcBorders>
            <w:shd w:val="clear" w:color="auto" w:fill="auto"/>
            <w:hideMark/>
          </w:tcPr>
          <w:p w14:paraId="486D6D3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service-sector research distinguishes how transactional and relational contracts relate to affective, normative and continuance commitment.</w:t>
            </w:r>
          </w:p>
        </w:tc>
        <w:tc>
          <w:tcPr>
            <w:tcW w:w="2112" w:type="dxa"/>
            <w:tcBorders>
              <w:top w:val="single" w:sz="8" w:space="0" w:color="auto"/>
              <w:left w:val="nil"/>
              <w:bottom w:val="single" w:sz="8" w:space="0" w:color="auto"/>
              <w:right w:val="nil"/>
            </w:tcBorders>
            <w:shd w:val="clear" w:color="auto" w:fill="auto"/>
            <w:hideMark/>
          </w:tcPr>
          <w:p w14:paraId="290414D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self-reports and one occupational context prevent causal conclusions and broad generalisation.</w:t>
            </w:r>
          </w:p>
        </w:tc>
        <w:tc>
          <w:tcPr>
            <w:tcW w:w="2118" w:type="dxa"/>
            <w:tcBorders>
              <w:top w:val="single" w:sz="8" w:space="0" w:color="auto"/>
              <w:left w:val="nil"/>
              <w:bottom w:val="single" w:sz="8" w:space="0" w:color="auto"/>
              <w:right w:val="nil"/>
            </w:tcBorders>
            <w:shd w:val="clear" w:color="auto" w:fill="auto"/>
            <w:hideMark/>
          </w:tcPr>
          <w:p w14:paraId="1CA0AD5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Relational contracts supported affective and normative commitment, while transactional contracts were negatively associated with healthier forms of commitment.</w:t>
            </w:r>
          </w:p>
        </w:tc>
        <w:tc>
          <w:tcPr>
            <w:tcW w:w="2153" w:type="dxa"/>
            <w:tcBorders>
              <w:top w:val="single" w:sz="8" w:space="0" w:color="auto"/>
              <w:left w:val="nil"/>
              <w:bottom w:val="single" w:sz="8" w:space="0" w:color="auto"/>
              <w:right w:val="single" w:sz="4" w:space="0" w:color="auto"/>
            </w:tcBorders>
            <w:shd w:val="clear" w:color="auto" w:fill="auto"/>
            <w:hideMark/>
          </w:tcPr>
          <w:p w14:paraId="5B259FC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analysing the quality of commitment and explains why fair, relational treatment may connect rights awareness with genuine attachment.</w:t>
            </w:r>
          </w:p>
        </w:tc>
      </w:tr>
      <w:tr w:rsidR="00566303" w:rsidRPr="00566303" w14:paraId="4D7E8347"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1243B27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Title of the Study</w:t>
            </w:r>
          </w:p>
        </w:tc>
        <w:tc>
          <w:tcPr>
            <w:tcW w:w="2027" w:type="dxa"/>
            <w:tcBorders>
              <w:top w:val="single" w:sz="8" w:space="0" w:color="auto"/>
              <w:left w:val="single" w:sz="8" w:space="0" w:color="auto"/>
              <w:bottom w:val="single" w:sz="8" w:space="0" w:color="auto"/>
              <w:right w:val="nil"/>
            </w:tcBorders>
            <w:shd w:val="clear" w:color="auto" w:fill="auto"/>
            <w:hideMark/>
          </w:tcPr>
          <w:p w14:paraId="4A2250E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Author(s) + Year / Journal</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186874F"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DOI</w:t>
            </w:r>
          </w:p>
        </w:tc>
        <w:tc>
          <w:tcPr>
            <w:tcW w:w="4629" w:type="dxa"/>
            <w:tcBorders>
              <w:top w:val="single" w:sz="8" w:space="0" w:color="auto"/>
              <w:left w:val="nil"/>
              <w:bottom w:val="single" w:sz="8" w:space="0" w:color="auto"/>
              <w:right w:val="nil"/>
            </w:tcBorders>
            <w:shd w:val="clear" w:color="auto" w:fill="auto"/>
            <w:hideMark/>
          </w:tcPr>
          <w:p w14:paraId="4101AFE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Aim / Objectives</w:t>
            </w:r>
          </w:p>
        </w:tc>
        <w:tc>
          <w:tcPr>
            <w:tcW w:w="1833" w:type="dxa"/>
            <w:tcBorders>
              <w:top w:val="single" w:sz="8" w:space="0" w:color="auto"/>
              <w:left w:val="nil"/>
              <w:bottom w:val="single" w:sz="8" w:space="0" w:color="auto"/>
              <w:right w:val="nil"/>
            </w:tcBorders>
            <w:shd w:val="clear" w:color="auto" w:fill="auto"/>
            <w:hideMark/>
          </w:tcPr>
          <w:p w14:paraId="78C6E2D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Theory / Framework</w:t>
            </w:r>
          </w:p>
        </w:tc>
        <w:tc>
          <w:tcPr>
            <w:tcW w:w="1922" w:type="dxa"/>
            <w:tcBorders>
              <w:top w:val="single" w:sz="8" w:space="0" w:color="auto"/>
              <w:left w:val="nil"/>
              <w:bottom w:val="single" w:sz="8" w:space="0" w:color="auto"/>
              <w:right w:val="nil"/>
            </w:tcBorders>
            <w:shd w:val="clear" w:color="auto" w:fill="auto"/>
            <w:hideMark/>
          </w:tcPr>
          <w:p w14:paraId="00F9912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Methodology</w:t>
            </w:r>
          </w:p>
        </w:tc>
        <w:tc>
          <w:tcPr>
            <w:tcW w:w="2068" w:type="dxa"/>
            <w:tcBorders>
              <w:top w:val="single" w:sz="8" w:space="0" w:color="auto"/>
              <w:left w:val="nil"/>
              <w:bottom w:val="single" w:sz="8" w:space="0" w:color="auto"/>
              <w:right w:val="nil"/>
            </w:tcBorders>
            <w:shd w:val="clear" w:color="auto" w:fill="auto"/>
            <w:hideMark/>
          </w:tcPr>
          <w:p w14:paraId="0143260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Research Gaps Highlighted</w:t>
            </w:r>
          </w:p>
        </w:tc>
        <w:tc>
          <w:tcPr>
            <w:tcW w:w="2112" w:type="dxa"/>
            <w:tcBorders>
              <w:top w:val="single" w:sz="8" w:space="0" w:color="auto"/>
              <w:left w:val="nil"/>
              <w:bottom w:val="single" w:sz="8" w:space="0" w:color="auto"/>
              <w:right w:val="nil"/>
            </w:tcBorders>
            <w:shd w:val="clear" w:color="auto" w:fill="auto"/>
            <w:hideMark/>
          </w:tcPr>
          <w:p w14:paraId="081649E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Methodological Limits</w:t>
            </w:r>
          </w:p>
        </w:tc>
        <w:tc>
          <w:tcPr>
            <w:tcW w:w="2118" w:type="dxa"/>
            <w:tcBorders>
              <w:top w:val="single" w:sz="8" w:space="0" w:color="auto"/>
              <w:left w:val="nil"/>
              <w:bottom w:val="single" w:sz="8" w:space="0" w:color="auto"/>
              <w:right w:val="nil"/>
            </w:tcBorders>
            <w:shd w:val="clear" w:color="auto" w:fill="auto"/>
            <w:hideMark/>
          </w:tcPr>
          <w:p w14:paraId="5A1E488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Key Finding</w:t>
            </w:r>
          </w:p>
        </w:tc>
        <w:tc>
          <w:tcPr>
            <w:tcW w:w="2153" w:type="dxa"/>
            <w:tcBorders>
              <w:top w:val="single" w:sz="8" w:space="0" w:color="auto"/>
              <w:left w:val="nil"/>
              <w:bottom w:val="single" w:sz="8" w:space="0" w:color="auto"/>
              <w:right w:val="single" w:sz="4" w:space="0" w:color="auto"/>
            </w:tcBorders>
            <w:shd w:val="clear" w:color="auto" w:fill="auto"/>
            <w:hideMark/>
          </w:tcPr>
          <w:p w14:paraId="56D1E65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Relevance to Study</w:t>
            </w:r>
          </w:p>
        </w:tc>
      </w:tr>
      <w:tr w:rsidR="00566303" w:rsidRPr="00566303" w14:paraId="6776022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97F154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Human resources management practices and organizational commitment in higher education</w:t>
            </w:r>
          </w:p>
        </w:tc>
        <w:tc>
          <w:tcPr>
            <w:tcW w:w="2027" w:type="dxa"/>
            <w:tcBorders>
              <w:top w:val="single" w:sz="8" w:space="0" w:color="auto"/>
              <w:left w:val="single" w:sz="8" w:space="0" w:color="auto"/>
              <w:bottom w:val="single" w:sz="8" w:space="0" w:color="auto"/>
              <w:right w:val="nil"/>
            </w:tcBorders>
            <w:shd w:val="clear" w:color="auto" w:fill="auto"/>
            <w:hideMark/>
          </w:tcPr>
          <w:p w14:paraId="6B613B5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Aboramadan, M., Albashiti, B., Alharazin, H. and Dahleez, K.A. (2020) / International Journal of Educational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C2F1317"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https://doi.org/10.1108/ijem-04-2019-0160</w:t>
            </w:r>
          </w:p>
        </w:tc>
        <w:tc>
          <w:tcPr>
            <w:tcW w:w="4629" w:type="dxa"/>
            <w:tcBorders>
              <w:top w:val="single" w:sz="8" w:space="0" w:color="auto"/>
              <w:left w:val="nil"/>
              <w:bottom w:val="single" w:sz="8" w:space="0" w:color="auto"/>
              <w:right w:val="nil"/>
            </w:tcBorders>
            <w:shd w:val="clear" w:color="auto" w:fill="auto"/>
            <w:hideMark/>
          </w:tcPr>
          <w:p w14:paraId="04FC04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HRM practices influence organisational commitment in Palestinian universities and whether work engagement explains the HRM–commitment relationship.</w:t>
            </w:r>
          </w:p>
        </w:tc>
        <w:tc>
          <w:tcPr>
            <w:tcW w:w="1833" w:type="dxa"/>
            <w:tcBorders>
              <w:top w:val="single" w:sz="8" w:space="0" w:color="auto"/>
              <w:left w:val="nil"/>
              <w:bottom w:val="single" w:sz="8" w:space="0" w:color="auto"/>
              <w:right w:val="nil"/>
            </w:tcBorders>
            <w:shd w:val="clear" w:color="auto" w:fill="auto"/>
            <w:hideMark/>
          </w:tcPr>
          <w:p w14:paraId="534EA70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Social exchange theory; HRM practices; work engagement; organisational commitment.</w:t>
            </w:r>
          </w:p>
        </w:tc>
        <w:tc>
          <w:tcPr>
            <w:tcW w:w="1922" w:type="dxa"/>
            <w:tcBorders>
              <w:top w:val="single" w:sz="8" w:space="0" w:color="auto"/>
              <w:left w:val="nil"/>
              <w:bottom w:val="single" w:sz="8" w:space="0" w:color="auto"/>
              <w:right w:val="nil"/>
            </w:tcBorders>
            <w:shd w:val="clear" w:color="auto" w:fill="auto"/>
            <w:hideMark/>
          </w:tcPr>
          <w:p w14:paraId="0B6A34E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237 academic and administrative employees in Palestinian universities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047D0DD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non-Western evidence explains the “black box” through which HRM practices translate into commitment in higher education.</w:t>
            </w:r>
          </w:p>
        </w:tc>
        <w:tc>
          <w:tcPr>
            <w:tcW w:w="2112" w:type="dxa"/>
            <w:tcBorders>
              <w:top w:val="single" w:sz="8" w:space="0" w:color="auto"/>
              <w:left w:val="nil"/>
              <w:bottom w:val="single" w:sz="8" w:space="0" w:color="auto"/>
              <w:right w:val="nil"/>
            </w:tcBorders>
            <w:shd w:val="clear" w:color="auto" w:fill="auto"/>
            <w:hideMark/>
          </w:tcPr>
          <w:p w14:paraId="4C899F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self-report data from one national higher-education context limit causal inference and transfer to UK retail.</w:t>
            </w:r>
          </w:p>
        </w:tc>
        <w:tc>
          <w:tcPr>
            <w:tcW w:w="2118" w:type="dxa"/>
            <w:tcBorders>
              <w:top w:val="single" w:sz="8" w:space="0" w:color="auto"/>
              <w:left w:val="nil"/>
              <w:bottom w:val="single" w:sz="8" w:space="0" w:color="auto"/>
              <w:right w:val="nil"/>
            </w:tcBorders>
            <w:shd w:val="clear" w:color="auto" w:fill="auto"/>
            <w:hideMark/>
          </w:tcPr>
          <w:p w14:paraId="56C2084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HRM practices significantly increased organisational commitment; work engagement mediated key links involving performance appraisal and rewards/compensation.</w:t>
            </w:r>
          </w:p>
        </w:tc>
        <w:tc>
          <w:tcPr>
            <w:tcW w:w="2153" w:type="dxa"/>
            <w:tcBorders>
              <w:top w:val="single" w:sz="8" w:space="0" w:color="auto"/>
              <w:left w:val="nil"/>
              <w:bottom w:val="single" w:sz="8" w:space="0" w:color="auto"/>
              <w:right w:val="single" w:sz="4" w:space="0" w:color="auto"/>
            </w:tcBorders>
            <w:shd w:val="clear" w:color="auto" w:fill="auto"/>
            <w:hideMark/>
          </w:tcPr>
          <w:p w14:paraId="6CC5485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the wider argument that fair, supportive HR practices can strengthen commitment through employees’ positive work experiences.</w:t>
            </w:r>
          </w:p>
        </w:tc>
      </w:tr>
      <w:tr w:rsidR="00566303" w:rsidRPr="00566303" w14:paraId="020ED62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53E9C3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Organizational justice research: A review, synthesis, and research agenda</w:t>
            </w:r>
          </w:p>
        </w:tc>
        <w:tc>
          <w:tcPr>
            <w:tcW w:w="2027" w:type="dxa"/>
            <w:tcBorders>
              <w:top w:val="single" w:sz="8" w:space="0" w:color="auto"/>
              <w:left w:val="single" w:sz="8" w:space="0" w:color="auto"/>
              <w:bottom w:val="single" w:sz="8" w:space="0" w:color="auto"/>
              <w:right w:val="nil"/>
            </w:tcBorders>
            <w:shd w:val="clear" w:color="auto" w:fill="auto"/>
            <w:hideMark/>
          </w:tcPr>
          <w:p w14:paraId="3DFBCD5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Adamovic, M. (2023) / European Management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001308A"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https://doi.org/10.1111/emre.12564</w:t>
            </w:r>
          </w:p>
        </w:tc>
        <w:tc>
          <w:tcPr>
            <w:tcW w:w="4629" w:type="dxa"/>
            <w:tcBorders>
              <w:top w:val="single" w:sz="8" w:space="0" w:color="auto"/>
              <w:left w:val="nil"/>
              <w:bottom w:val="single" w:sz="8" w:space="0" w:color="auto"/>
              <w:right w:val="nil"/>
            </w:tcBorders>
            <w:shd w:val="clear" w:color="auto" w:fill="auto"/>
            <w:hideMark/>
          </w:tcPr>
          <w:p w14:paraId="48AFDED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review organisational-justice research, synthesise major themes and propose a future research agenda.</w:t>
            </w:r>
          </w:p>
        </w:tc>
        <w:tc>
          <w:tcPr>
            <w:tcW w:w="1833" w:type="dxa"/>
            <w:tcBorders>
              <w:top w:val="single" w:sz="8" w:space="0" w:color="auto"/>
              <w:left w:val="nil"/>
              <w:bottom w:val="single" w:sz="8" w:space="0" w:color="auto"/>
              <w:right w:val="nil"/>
            </w:tcBorders>
            <w:shd w:val="clear" w:color="auto" w:fill="auto"/>
            <w:hideMark/>
          </w:tcPr>
          <w:p w14:paraId="1E05E87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Distributive, procedural, interpersonal and informational justice; multiple justice theories.</w:t>
            </w:r>
          </w:p>
        </w:tc>
        <w:tc>
          <w:tcPr>
            <w:tcW w:w="1922" w:type="dxa"/>
            <w:tcBorders>
              <w:top w:val="single" w:sz="8" w:space="0" w:color="auto"/>
              <w:left w:val="nil"/>
              <w:bottom w:val="single" w:sz="8" w:space="0" w:color="auto"/>
              <w:right w:val="nil"/>
            </w:tcBorders>
            <w:shd w:val="clear" w:color="auto" w:fill="auto"/>
            <w:hideMark/>
          </w:tcPr>
          <w:p w14:paraId="63B390D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Semi-systematic literature review across major academic databases.</w:t>
            </w:r>
          </w:p>
        </w:tc>
        <w:tc>
          <w:tcPr>
            <w:tcW w:w="2068" w:type="dxa"/>
            <w:tcBorders>
              <w:top w:val="single" w:sz="8" w:space="0" w:color="auto"/>
              <w:left w:val="nil"/>
              <w:bottom w:val="single" w:sz="8" w:space="0" w:color="auto"/>
              <w:right w:val="nil"/>
            </w:tcBorders>
            <w:shd w:val="clear" w:color="auto" w:fill="auto"/>
            <w:hideMark/>
          </w:tcPr>
          <w:p w14:paraId="7AC96F9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Justice research remains fragmented and needs stronger attention to culture, diversity, conflict, teams and changing work arrangements.</w:t>
            </w:r>
          </w:p>
        </w:tc>
        <w:tc>
          <w:tcPr>
            <w:tcW w:w="2112" w:type="dxa"/>
            <w:tcBorders>
              <w:top w:val="single" w:sz="8" w:space="0" w:color="auto"/>
              <w:left w:val="nil"/>
              <w:bottom w:val="single" w:sz="8" w:space="0" w:color="auto"/>
              <w:right w:val="nil"/>
            </w:tcBorders>
            <w:shd w:val="clear" w:color="auto" w:fill="auto"/>
            <w:hideMark/>
          </w:tcPr>
          <w:p w14:paraId="1CCBA12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 broad review cannot quantify every relationship or resolve causal limitations in the underlying studies.</w:t>
            </w:r>
          </w:p>
        </w:tc>
        <w:tc>
          <w:tcPr>
            <w:tcW w:w="2118" w:type="dxa"/>
            <w:tcBorders>
              <w:top w:val="single" w:sz="8" w:space="0" w:color="auto"/>
              <w:left w:val="nil"/>
              <w:bottom w:val="single" w:sz="8" w:space="0" w:color="auto"/>
              <w:right w:val="nil"/>
            </w:tcBorders>
            <w:shd w:val="clear" w:color="auto" w:fill="auto"/>
            <w:hideMark/>
          </w:tcPr>
          <w:p w14:paraId="4AF1CA7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is multidimensional, context dependent and connected with a wide range of employee attitudes and behaviours.</w:t>
            </w:r>
          </w:p>
        </w:tc>
        <w:tc>
          <w:tcPr>
            <w:tcW w:w="2153" w:type="dxa"/>
            <w:tcBorders>
              <w:top w:val="single" w:sz="8" w:space="0" w:color="auto"/>
              <w:left w:val="nil"/>
              <w:bottom w:val="single" w:sz="8" w:space="0" w:color="auto"/>
              <w:right w:val="single" w:sz="4" w:space="0" w:color="auto"/>
            </w:tcBorders>
            <w:shd w:val="clear" w:color="auto" w:fill="auto"/>
            <w:hideMark/>
          </w:tcPr>
          <w:p w14:paraId="38F09EF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an up-to-date foundation for defining and measuring the mediator and identifying literature gaps.</w:t>
            </w:r>
          </w:p>
        </w:tc>
      </w:tr>
      <w:tr w:rsidR="00566303" w:rsidRPr="00566303" w14:paraId="38C51E2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E3B468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Gen Z entering the workforce: Restructuring HR policies and practices for fostering the task performance and organizational commitment</w:t>
            </w:r>
          </w:p>
        </w:tc>
        <w:tc>
          <w:tcPr>
            <w:tcW w:w="2027" w:type="dxa"/>
            <w:tcBorders>
              <w:top w:val="single" w:sz="8" w:space="0" w:color="auto"/>
              <w:left w:val="single" w:sz="8" w:space="0" w:color="auto"/>
              <w:bottom w:val="single" w:sz="8" w:space="0" w:color="auto"/>
              <w:right w:val="nil"/>
            </w:tcBorders>
            <w:shd w:val="clear" w:color="auto" w:fill="auto"/>
            <w:hideMark/>
          </w:tcPr>
          <w:p w14:paraId="130D7C2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Aggarwal, A., Sadhna, P., Gupta, S., Mittal, A. and Rastogi, S. (2022) / Journal of Public Affairs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7604C6B"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https://doi.org/10.1002/pa.2535</w:t>
            </w:r>
          </w:p>
        </w:tc>
        <w:tc>
          <w:tcPr>
            <w:tcW w:w="4629" w:type="dxa"/>
            <w:tcBorders>
              <w:top w:val="single" w:sz="8" w:space="0" w:color="auto"/>
              <w:left w:val="nil"/>
              <w:bottom w:val="single" w:sz="8" w:space="0" w:color="auto"/>
              <w:right w:val="nil"/>
            </w:tcBorders>
            <w:shd w:val="clear" w:color="auto" w:fill="auto"/>
            <w:hideMark/>
          </w:tcPr>
          <w:p w14:paraId="1460687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identify which HR policies and practices foster Generation Z employees’ task performance and affective organisational commitment, including the mediating role of job satisfaction.</w:t>
            </w:r>
          </w:p>
        </w:tc>
        <w:tc>
          <w:tcPr>
            <w:tcW w:w="1833" w:type="dxa"/>
            <w:tcBorders>
              <w:top w:val="single" w:sz="8" w:space="0" w:color="auto"/>
              <w:left w:val="nil"/>
              <w:bottom w:val="single" w:sz="8" w:space="0" w:color="auto"/>
              <w:right w:val="nil"/>
            </w:tcBorders>
            <w:shd w:val="clear" w:color="auto" w:fill="auto"/>
            <w:hideMark/>
          </w:tcPr>
          <w:p w14:paraId="5194243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Person–organisation fit/attraction–selection–attrition theory; self-determination theory; job satisfaction; </w:t>
            </w:r>
            <w:r w:rsidRPr="00566303">
              <w:rPr>
                <w:color w:val="000000"/>
                <w:kern w:val="0"/>
                <w:szCs w:val="24"/>
                <w:lang w:val="en-US" w:eastAsia="en-US"/>
                <w14:ligatures w14:val="none"/>
              </w:rPr>
              <w:lastRenderedPageBreak/>
              <w:t>affective commitment.</w:t>
            </w:r>
          </w:p>
        </w:tc>
        <w:tc>
          <w:tcPr>
            <w:tcW w:w="1922" w:type="dxa"/>
            <w:tcBorders>
              <w:top w:val="single" w:sz="8" w:space="0" w:color="auto"/>
              <w:left w:val="nil"/>
              <w:bottom w:val="single" w:sz="8" w:space="0" w:color="auto"/>
              <w:right w:val="nil"/>
            </w:tcBorders>
            <w:shd w:val="clear" w:color="auto" w:fill="auto"/>
            <w:hideMark/>
          </w:tcPr>
          <w:p w14:paraId="3B3D8E3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Quantitative survey of 493 Generation Z employees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4386D8E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HR research has limited generationally specific evidence on which employment practices are most effective for Gen Z.</w:t>
            </w:r>
          </w:p>
        </w:tc>
        <w:tc>
          <w:tcPr>
            <w:tcW w:w="2112" w:type="dxa"/>
            <w:tcBorders>
              <w:top w:val="single" w:sz="8" w:space="0" w:color="auto"/>
              <w:left w:val="nil"/>
              <w:bottom w:val="single" w:sz="8" w:space="0" w:color="auto"/>
              <w:right w:val="nil"/>
            </w:tcBorders>
            <w:shd w:val="clear" w:color="auto" w:fill="auto"/>
            <w:hideMark/>
          </w:tcPr>
          <w:p w14:paraId="273D1EB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Generation-specific, cross-sectional self-report evidence limits causal conclusions and may not represent older UK retail employees.</w:t>
            </w:r>
          </w:p>
        </w:tc>
        <w:tc>
          <w:tcPr>
            <w:tcW w:w="2118" w:type="dxa"/>
            <w:tcBorders>
              <w:top w:val="single" w:sz="8" w:space="0" w:color="auto"/>
              <w:left w:val="nil"/>
              <w:bottom w:val="single" w:sz="8" w:space="0" w:color="auto"/>
              <w:right w:val="nil"/>
            </w:tcBorders>
            <w:shd w:val="clear" w:color="auto" w:fill="auto"/>
            <w:hideMark/>
          </w:tcPr>
          <w:p w14:paraId="6ECF4C4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Flexible work, rewards and recognition, compensation/benefits, feedback seeking and volunteering were positive; job satisfaction </w:t>
            </w:r>
            <w:r w:rsidRPr="00566303">
              <w:rPr>
                <w:color w:val="000000"/>
                <w:kern w:val="0"/>
                <w:szCs w:val="24"/>
                <w:lang w:val="en-US" w:eastAsia="en-US"/>
                <w14:ligatures w14:val="none"/>
              </w:rPr>
              <w:lastRenderedPageBreak/>
              <w:t>mediated effects on performance and affective commitment.</w:t>
            </w:r>
          </w:p>
        </w:tc>
        <w:tc>
          <w:tcPr>
            <w:tcW w:w="2153" w:type="dxa"/>
            <w:tcBorders>
              <w:top w:val="single" w:sz="8" w:space="0" w:color="auto"/>
              <w:left w:val="nil"/>
              <w:bottom w:val="single" w:sz="8" w:space="0" w:color="auto"/>
              <w:right w:val="single" w:sz="4" w:space="0" w:color="auto"/>
            </w:tcBorders>
            <w:shd w:val="clear" w:color="auto" w:fill="auto"/>
            <w:hideMark/>
          </w:tcPr>
          <w:p w14:paraId="21AE5A2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Relevant to younger retail workers and shows that employment practices can influence commitment through satisfaction and perceived fit.</w:t>
            </w:r>
          </w:p>
        </w:tc>
      </w:tr>
      <w:tr w:rsidR="00566303" w:rsidRPr="00566303" w14:paraId="256836DD"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D236AE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participation of people with disabilities in the workplace across the employment cycle: Employer concerns and research evidence</w:t>
            </w:r>
          </w:p>
        </w:tc>
        <w:tc>
          <w:tcPr>
            <w:tcW w:w="2027" w:type="dxa"/>
            <w:tcBorders>
              <w:top w:val="single" w:sz="8" w:space="0" w:color="auto"/>
              <w:left w:val="single" w:sz="8" w:space="0" w:color="auto"/>
              <w:bottom w:val="single" w:sz="8" w:space="0" w:color="auto"/>
              <w:right w:val="nil"/>
            </w:tcBorders>
            <w:shd w:val="clear" w:color="auto" w:fill="auto"/>
            <w:hideMark/>
          </w:tcPr>
          <w:p w14:paraId="52CA0A5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Bonaccio, S., Connelly, C.E., Gellatly, I.R., Jetha, A. and Martin Ginis, K.A. (2020) / Journal of Business and Psychology</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BFBC2BD"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https://doi.org/10.1007/s10869-018-9602-5</w:t>
            </w:r>
          </w:p>
        </w:tc>
        <w:tc>
          <w:tcPr>
            <w:tcW w:w="4629" w:type="dxa"/>
            <w:tcBorders>
              <w:top w:val="single" w:sz="8" w:space="0" w:color="auto"/>
              <w:left w:val="nil"/>
              <w:bottom w:val="single" w:sz="8" w:space="0" w:color="auto"/>
              <w:right w:val="nil"/>
            </w:tcBorders>
            <w:shd w:val="clear" w:color="auto" w:fill="auto"/>
            <w:hideMark/>
          </w:tcPr>
          <w:p w14:paraId="746A8E4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evaluate employer concerns about people with disabilities across the employment cycle and compare those concerns with available research evidence.</w:t>
            </w:r>
          </w:p>
        </w:tc>
        <w:tc>
          <w:tcPr>
            <w:tcW w:w="1833" w:type="dxa"/>
            <w:tcBorders>
              <w:top w:val="single" w:sz="8" w:space="0" w:color="auto"/>
              <w:left w:val="nil"/>
              <w:bottom w:val="single" w:sz="8" w:space="0" w:color="auto"/>
              <w:right w:val="nil"/>
            </w:tcBorders>
            <w:shd w:val="clear" w:color="auto" w:fill="auto"/>
            <w:hideMark/>
          </w:tcPr>
          <w:p w14:paraId="36E1D7F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Employment-cycle framework; disability inclusion; employer attitudes and accommodation.</w:t>
            </w:r>
          </w:p>
        </w:tc>
        <w:tc>
          <w:tcPr>
            <w:tcW w:w="1922" w:type="dxa"/>
            <w:tcBorders>
              <w:top w:val="single" w:sz="8" w:space="0" w:color="auto"/>
              <w:left w:val="nil"/>
              <w:bottom w:val="single" w:sz="8" w:space="0" w:color="auto"/>
              <w:right w:val="nil"/>
            </w:tcBorders>
            <w:shd w:val="clear" w:color="auto" w:fill="auto"/>
            <w:hideMark/>
          </w:tcPr>
          <w:p w14:paraId="11262CC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Evidence-based integrative review using cited-reference searches and multiple academic databases across recruitment, selection, integration, performance and exit.</w:t>
            </w:r>
          </w:p>
        </w:tc>
        <w:tc>
          <w:tcPr>
            <w:tcW w:w="2068" w:type="dxa"/>
            <w:tcBorders>
              <w:top w:val="single" w:sz="8" w:space="0" w:color="auto"/>
              <w:left w:val="nil"/>
              <w:bottom w:val="single" w:sz="8" w:space="0" w:color="auto"/>
              <w:right w:val="nil"/>
            </w:tcBorders>
            <w:shd w:val="clear" w:color="auto" w:fill="auto"/>
            <w:hideMark/>
          </w:tcPr>
          <w:p w14:paraId="00902A7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Employer concerns are well documented, but there has been insufficient analysis of where they arise and whether empirical evidence supports them.</w:t>
            </w:r>
          </w:p>
        </w:tc>
        <w:tc>
          <w:tcPr>
            <w:tcW w:w="2112" w:type="dxa"/>
            <w:tcBorders>
              <w:top w:val="single" w:sz="8" w:space="0" w:color="auto"/>
              <w:left w:val="nil"/>
              <w:bottom w:val="single" w:sz="8" w:space="0" w:color="auto"/>
              <w:right w:val="nil"/>
            </w:tcBorders>
            <w:shd w:val="clear" w:color="auto" w:fill="auto"/>
            <w:hideMark/>
          </w:tcPr>
          <w:p w14:paraId="35BA6AE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 broad interdisciplinary review synthesises heterogeneous studies and does not directly test rights awareness, justice or commitment in one workforce.</w:t>
            </w:r>
          </w:p>
        </w:tc>
        <w:tc>
          <w:tcPr>
            <w:tcW w:w="2118" w:type="dxa"/>
            <w:tcBorders>
              <w:top w:val="single" w:sz="8" w:space="0" w:color="auto"/>
              <w:left w:val="nil"/>
              <w:bottom w:val="single" w:sz="8" w:space="0" w:color="auto"/>
              <w:right w:val="nil"/>
            </w:tcBorders>
            <w:shd w:val="clear" w:color="auto" w:fill="auto"/>
            <w:hideMark/>
          </w:tcPr>
          <w:p w14:paraId="4BA3FEE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Many employer concerns are not supported by evidence; inclusive employment practices and accommodations can improve access and should extend beyond legal compliance.</w:t>
            </w:r>
          </w:p>
        </w:tc>
        <w:tc>
          <w:tcPr>
            <w:tcW w:w="2153" w:type="dxa"/>
            <w:tcBorders>
              <w:top w:val="single" w:sz="8" w:space="0" w:color="auto"/>
              <w:left w:val="nil"/>
              <w:bottom w:val="single" w:sz="8" w:space="0" w:color="auto"/>
              <w:right w:val="single" w:sz="4" w:space="0" w:color="auto"/>
            </w:tcBorders>
            <w:shd w:val="clear" w:color="auto" w:fill="auto"/>
            <w:hideMark/>
          </w:tcPr>
          <w:p w14:paraId="6D77BBB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Useful for discrimination and equality-rights context, showing that formal legal protection alone does not guarantee fair workplace experience.</w:t>
            </w:r>
          </w:p>
        </w:tc>
      </w:tr>
      <w:tr w:rsidR="00566303" w:rsidRPr="00566303" w14:paraId="0819A04A"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2A0D93B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Sense of community, sense of community responsibility, organizational commitment and identification, and public service motivation: A </w:t>
            </w:r>
            <w:r w:rsidRPr="00566303">
              <w:rPr>
                <w:color w:val="000000"/>
                <w:kern w:val="0"/>
                <w:szCs w:val="24"/>
                <w:lang w:val="en-US" w:eastAsia="en-US"/>
                <w14:ligatures w14:val="none"/>
              </w:rPr>
              <w:lastRenderedPageBreak/>
              <w:t>simultaneous test of affective states on employee well-being and engagement in a public service work context</w:t>
            </w:r>
          </w:p>
        </w:tc>
        <w:tc>
          <w:tcPr>
            <w:tcW w:w="2027" w:type="dxa"/>
            <w:tcBorders>
              <w:top w:val="single" w:sz="8" w:space="0" w:color="auto"/>
              <w:left w:val="single" w:sz="8" w:space="0" w:color="auto"/>
              <w:bottom w:val="single" w:sz="8" w:space="0" w:color="auto"/>
              <w:right w:val="nil"/>
            </w:tcBorders>
            <w:shd w:val="clear" w:color="auto" w:fill="auto"/>
            <w:hideMark/>
          </w:tcPr>
          <w:p w14:paraId="65E91F6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Boyd, N.M. and Nowell, B. (2020) / Public Management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B67CF80"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https://doi.org/10.1080/14719037.2020.1740301</w:t>
            </w:r>
          </w:p>
        </w:tc>
        <w:tc>
          <w:tcPr>
            <w:tcW w:w="4629" w:type="dxa"/>
            <w:tcBorders>
              <w:top w:val="single" w:sz="8" w:space="0" w:color="auto"/>
              <w:left w:val="nil"/>
              <w:bottom w:val="single" w:sz="8" w:space="0" w:color="auto"/>
              <w:right w:val="nil"/>
            </w:tcBorders>
            <w:shd w:val="clear" w:color="auto" w:fill="auto"/>
            <w:hideMark/>
          </w:tcPr>
          <w:p w14:paraId="189023B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compare sense of community, community responsibility, organisational commitment/identification and public service motivation as predictors of employee well-being and engagement.</w:t>
            </w:r>
          </w:p>
        </w:tc>
        <w:tc>
          <w:tcPr>
            <w:tcW w:w="1833" w:type="dxa"/>
            <w:tcBorders>
              <w:top w:val="single" w:sz="8" w:space="0" w:color="auto"/>
              <w:left w:val="nil"/>
              <w:bottom w:val="single" w:sz="8" w:space="0" w:color="auto"/>
              <w:right w:val="nil"/>
            </w:tcBorders>
            <w:shd w:val="clear" w:color="auto" w:fill="auto"/>
            <w:hideMark/>
          </w:tcPr>
          <w:p w14:paraId="6CB7D30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Sense of community; sense of community responsibility; organisational commitment and identification; </w:t>
            </w:r>
            <w:r w:rsidRPr="00566303">
              <w:rPr>
                <w:color w:val="000000"/>
                <w:kern w:val="0"/>
                <w:szCs w:val="24"/>
                <w:lang w:val="en-US" w:eastAsia="en-US"/>
                <w14:ligatures w14:val="none"/>
              </w:rPr>
              <w:lastRenderedPageBreak/>
              <w:t>public service motivation.</w:t>
            </w:r>
          </w:p>
        </w:tc>
        <w:tc>
          <w:tcPr>
            <w:tcW w:w="1922" w:type="dxa"/>
            <w:tcBorders>
              <w:top w:val="single" w:sz="8" w:space="0" w:color="auto"/>
              <w:left w:val="nil"/>
              <w:bottom w:val="single" w:sz="8" w:space="0" w:color="auto"/>
              <w:right w:val="nil"/>
            </w:tcBorders>
            <w:shd w:val="clear" w:color="auto" w:fill="auto"/>
            <w:hideMark/>
          </w:tcPr>
          <w:p w14:paraId="6327139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 xml:space="preserve">Quantitative survey of employees in a public-service work context using multivariate/structural modelling of direct and </w:t>
            </w:r>
            <w:r w:rsidRPr="00566303">
              <w:rPr>
                <w:color w:val="000000"/>
                <w:kern w:val="0"/>
                <w:szCs w:val="24"/>
                <w:lang w:val="en-US" w:eastAsia="en-US"/>
                <w14:ligatures w14:val="none"/>
              </w:rPr>
              <w:lastRenderedPageBreak/>
              <w:t>indirect relationships.</w:t>
            </w:r>
          </w:p>
        </w:tc>
        <w:tc>
          <w:tcPr>
            <w:tcW w:w="2068" w:type="dxa"/>
            <w:tcBorders>
              <w:top w:val="single" w:sz="8" w:space="0" w:color="auto"/>
              <w:left w:val="nil"/>
              <w:bottom w:val="single" w:sz="8" w:space="0" w:color="auto"/>
              <w:right w:val="nil"/>
            </w:tcBorders>
            <w:shd w:val="clear" w:color="auto" w:fill="auto"/>
            <w:hideMark/>
          </w:tcPr>
          <w:p w14:paraId="6D28AC9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 xml:space="preserve">Public-management research has often examined these affective states separately rather than testing their relative and </w:t>
            </w:r>
            <w:r w:rsidRPr="00566303">
              <w:rPr>
                <w:color w:val="000000"/>
                <w:kern w:val="0"/>
                <w:szCs w:val="24"/>
                <w:lang w:val="en-US" w:eastAsia="en-US"/>
                <w14:ligatures w14:val="none"/>
              </w:rPr>
              <w:lastRenderedPageBreak/>
              <w:t>simultaneous effects.</w:t>
            </w:r>
          </w:p>
        </w:tc>
        <w:tc>
          <w:tcPr>
            <w:tcW w:w="2112" w:type="dxa"/>
            <w:tcBorders>
              <w:top w:val="single" w:sz="8" w:space="0" w:color="auto"/>
              <w:left w:val="nil"/>
              <w:bottom w:val="single" w:sz="8" w:space="0" w:color="auto"/>
              <w:right w:val="nil"/>
            </w:tcBorders>
            <w:shd w:val="clear" w:color="auto" w:fill="auto"/>
            <w:hideMark/>
          </w:tcPr>
          <w:p w14:paraId="4C71803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Public-service and cross-sectional self-report evidence limits causal inference and direct transfer to private-sector UK retail.</w:t>
            </w:r>
          </w:p>
        </w:tc>
        <w:tc>
          <w:tcPr>
            <w:tcW w:w="2118" w:type="dxa"/>
            <w:tcBorders>
              <w:top w:val="single" w:sz="8" w:space="0" w:color="auto"/>
              <w:left w:val="nil"/>
              <w:bottom w:val="single" w:sz="8" w:space="0" w:color="auto"/>
              <w:right w:val="nil"/>
            </w:tcBorders>
            <w:shd w:val="clear" w:color="auto" w:fill="auto"/>
            <w:hideMark/>
          </w:tcPr>
          <w:p w14:paraId="395148F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Community experiences were strong predictors of engagement and well-being, while public service motivation operated more </w:t>
            </w:r>
            <w:r w:rsidRPr="00566303">
              <w:rPr>
                <w:color w:val="000000"/>
                <w:kern w:val="0"/>
                <w:szCs w:val="24"/>
                <w:lang w:val="en-US" w:eastAsia="en-US"/>
                <w14:ligatures w14:val="none"/>
              </w:rPr>
              <w:lastRenderedPageBreak/>
              <w:t>indirectly than directly.</w:t>
            </w:r>
          </w:p>
        </w:tc>
        <w:tc>
          <w:tcPr>
            <w:tcW w:w="2153" w:type="dxa"/>
            <w:tcBorders>
              <w:top w:val="single" w:sz="8" w:space="0" w:color="auto"/>
              <w:left w:val="nil"/>
              <w:bottom w:val="single" w:sz="8" w:space="0" w:color="auto"/>
              <w:right w:val="single" w:sz="4" w:space="0" w:color="auto"/>
            </w:tcBorders>
            <w:shd w:val="clear" w:color="auto" w:fill="auto"/>
            <w:hideMark/>
          </w:tcPr>
          <w:p w14:paraId="7E68733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 xml:space="preserve">Shows that attachment and community perceptions can coexist with commitment, helping distinguish commitment from </w:t>
            </w:r>
            <w:r w:rsidRPr="00566303">
              <w:rPr>
                <w:color w:val="000000"/>
                <w:kern w:val="0"/>
                <w:szCs w:val="24"/>
                <w:lang w:val="en-US" w:eastAsia="en-US"/>
                <w14:ligatures w14:val="none"/>
              </w:rPr>
              <w:lastRenderedPageBreak/>
              <w:t>related employee attitudes.</w:t>
            </w:r>
          </w:p>
        </w:tc>
      </w:tr>
      <w:tr w:rsidR="00566303" w:rsidRPr="00566303" w14:paraId="5CEAD019"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5A26E21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Corporate social responsibility and employee outcomes: Interrelations of external and internal orientations with job satisfaction and organizational commitment</w:t>
            </w:r>
          </w:p>
        </w:tc>
        <w:tc>
          <w:tcPr>
            <w:tcW w:w="2027" w:type="dxa"/>
            <w:tcBorders>
              <w:top w:val="single" w:sz="8" w:space="0" w:color="auto"/>
              <w:left w:val="single" w:sz="8" w:space="0" w:color="auto"/>
              <w:bottom w:val="single" w:sz="8" w:space="0" w:color="auto"/>
              <w:right w:val="nil"/>
            </w:tcBorders>
            <w:shd w:val="clear" w:color="auto" w:fill="auto"/>
            <w:hideMark/>
          </w:tcPr>
          <w:p w14:paraId="20BD6B5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Chatzopoulou, E.-C., Manolopoulos, D. and Agapitou, V. (2022) / Journal of Business Ethics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1DCAFB23"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https://doi.org/10.1007/s10551-021-04872-7</w:t>
            </w:r>
          </w:p>
        </w:tc>
        <w:tc>
          <w:tcPr>
            <w:tcW w:w="4629" w:type="dxa"/>
            <w:tcBorders>
              <w:top w:val="single" w:sz="8" w:space="0" w:color="auto"/>
              <w:left w:val="nil"/>
              <w:bottom w:val="single" w:sz="8" w:space="0" w:color="auto"/>
              <w:right w:val="nil"/>
            </w:tcBorders>
            <w:shd w:val="clear" w:color="auto" w:fill="auto"/>
            <w:hideMark/>
          </w:tcPr>
          <w:p w14:paraId="0F11391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how internal and external CSR orientations interact to influence employees’ job satisfaction, organisational commitment and related work outcomes.</w:t>
            </w:r>
          </w:p>
        </w:tc>
        <w:tc>
          <w:tcPr>
            <w:tcW w:w="1833" w:type="dxa"/>
            <w:tcBorders>
              <w:top w:val="single" w:sz="8" w:space="0" w:color="auto"/>
              <w:left w:val="nil"/>
              <w:bottom w:val="single" w:sz="8" w:space="0" w:color="auto"/>
              <w:right w:val="nil"/>
            </w:tcBorders>
            <w:shd w:val="clear" w:color="auto" w:fill="auto"/>
            <w:hideMark/>
          </w:tcPr>
          <w:p w14:paraId="22C81D3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Social identity theory; social exchange theory; internal and external corporate social responsibility.</w:t>
            </w:r>
          </w:p>
        </w:tc>
        <w:tc>
          <w:tcPr>
            <w:tcW w:w="1922" w:type="dxa"/>
            <w:tcBorders>
              <w:top w:val="single" w:sz="8" w:space="0" w:color="auto"/>
              <w:left w:val="nil"/>
              <w:bottom w:val="single" w:sz="8" w:space="0" w:color="auto"/>
              <w:right w:val="nil"/>
            </w:tcBorders>
            <w:shd w:val="clear" w:color="auto" w:fill="auto"/>
            <w:hideMark/>
          </w:tcPr>
          <w:p w14:paraId="7215BC7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employee survey testing a moderated-mediation model with structural equation modelling.</w:t>
            </w:r>
          </w:p>
        </w:tc>
        <w:tc>
          <w:tcPr>
            <w:tcW w:w="2068" w:type="dxa"/>
            <w:tcBorders>
              <w:top w:val="single" w:sz="8" w:space="0" w:color="auto"/>
              <w:left w:val="nil"/>
              <w:bottom w:val="single" w:sz="8" w:space="0" w:color="auto"/>
              <w:right w:val="nil"/>
            </w:tcBorders>
            <w:shd w:val="clear" w:color="auto" w:fill="auto"/>
            <w:hideMark/>
          </w:tcPr>
          <w:p w14:paraId="46EC1A3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Micro-CSR research has often examined internal and external CSR separately, giving limited attention to their complementarity for employee outcomes.</w:t>
            </w:r>
          </w:p>
        </w:tc>
        <w:tc>
          <w:tcPr>
            <w:tcW w:w="2112" w:type="dxa"/>
            <w:tcBorders>
              <w:top w:val="single" w:sz="8" w:space="0" w:color="auto"/>
              <w:left w:val="nil"/>
              <w:bottom w:val="single" w:sz="8" w:space="0" w:color="auto"/>
              <w:right w:val="nil"/>
            </w:tcBorders>
            <w:shd w:val="clear" w:color="auto" w:fill="auto"/>
            <w:hideMark/>
          </w:tcPr>
          <w:p w14:paraId="6AB77D7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perceptual data limit causal inference, and CSR-focused findings may not translate directly to legal-rights awareness in UK retail.</w:t>
            </w:r>
          </w:p>
        </w:tc>
        <w:tc>
          <w:tcPr>
            <w:tcW w:w="2118" w:type="dxa"/>
            <w:tcBorders>
              <w:top w:val="single" w:sz="8" w:space="0" w:color="auto"/>
              <w:left w:val="nil"/>
              <w:bottom w:val="single" w:sz="8" w:space="0" w:color="auto"/>
              <w:right w:val="nil"/>
            </w:tcBorders>
            <w:shd w:val="clear" w:color="auto" w:fill="auto"/>
            <w:hideMark/>
          </w:tcPr>
          <w:p w14:paraId="1C55EA6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Internal and external CSR were complementary; external CSR produced stronger positive employee outcomes when accompanied by strong internal CSR.</w:t>
            </w:r>
          </w:p>
        </w:tc>
        <w:tc>
          <w:tcPr>
            <w:tcW w:w="2153" w:type="dxa"/>
            <w:tcBorders>
              <w:top w:val="single" w:sz="8" w:space="0" w:color="auto"/>
              <w:left w:val="nil"/>
              <w:bottom w:val="single" w:sz="8" w:space="0" w:color="auto"/>
              <w:right w:val="single" w:sz="4" w:space="0" w:color="auto"/>
            </w:tcBorders>
            <w:shd w:val="clear" w:color="auto" w:fill="auto"/>
            <w:hideMark/>
          </w:tcPr>
          <w:p w14:paraId="270DF13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the idea that employees judge organisations through both external values and internal treatment, which can shape fairness and commitment.</w:t>
            </w:r>
          </w:p>
        </w:tc>
      </w:tr>
      <w:tr w:rsidR="00566303" w:rsidRPr="00566303" w14:paraId="61BBD2E2"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73E2D1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Workplace spirituality as a mediator between ethical climate and workplace deviant behavior</w:t>
            </w:r>
          </w:p>
        </w:tc>
        <w:tc>
          <w:tcPr>
            <w:tcW w:w="2027" w:type="dxa"/>
            <w:tcBorders>
              <w:top w:val="single" w:sz="8" w:space="0" w:color="auto"/>
              <w:left w:val="single" w:sz="8" w:space="0" w:color="auto"/>
              <w:bottom w:val="single" w:sz="8" w:space="0" w:color="auto"/>
              <w:right w:val="nil"/>
            </w:tcBorders>
            <w:shd w:val="clear" w:color="auto" w:fill="auto"/>
            <w:hideMark/>
          </w:tcPr>
          <w:p w14:paraId="6755B02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Haldorai, K., Kim, W.G., Chang, H.S. and Li, J.J. (2020) / International Journal of Hospitality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D54140C"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https://doi.org/10.1016/j.ijhm.2019.102372</w:t>
            </w:r>
          </w:p>
        </w:tc>
        <w:tc>
          <w:tcPr>
            <w:tcW w:w="4629" w:type="dxa"/>
            <w:tcBorders>
              <w:top w:val="single" w:sz="8" w:space="0" w:color="auto"/>
              <w:left w:val="nil"/>
              <w:bottom w:val="single" w:sz="8" w:space="0" w:color="auto"/>
              <w:right w:val="nil"/>
            </w:tcBorders>
            <w:shd w:val="clear" w:color="auto" w:fill="auto"/>
            <w:hideMark/>
          </w:tcPr>
          <w:p w14:paraId="7D91F39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organisational justice and ethical climate as antecedents of workplace spirituality and examine its mediating role in citizenship and deviant behaviour.</w:t>
            </w:r>
          </w:p>
        </w:tc>
        <w:tc>
          <w:tcPr>
            <w:tcW w:w="1833" w:type="dxa"/>
            <w:tcBorders>
              <w:top w:val="single" w:sz="8" w:space="0" w:color="auto"/>
              <w:left w:val="nil"/>
              <w:bottom w:val="single" w:sz="8" w:space="0" w:color="auto"/>
              <w:right w:val="nil"/>
            </w:tcBorders>
            <w:shd w:val="clear" w:color="auto" w:fill="auto"/>
            <w:hideMark/>
          </w:tcPr>
          <w:p w14:paraId="6339C80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ethical climate; workplace spirituality; organisational citizenship and workplace deviance.</w:t>
            </w:r>
          </w:p>
        </w:tc>
        <w:tc>
          <w:tcPr>
            <w:tcW w:w="1922" w:type="dxa"/>
            <w:tcBorders>
              <w:top w:val="single" w:sz="8" w:space="0" w:color="auto"/>
              <w:left w:val="nil"/>
              <w:bottom w:val="single" w:sz="8" w:space="0" w:color="auto"/>
              <w:right w:val="nil"/>
            </w:tcBorders>
            <w:shd w:val="clear" w:color="auto" w:fill="auto"/>
            <w:hideMark/>
          </w:tcPr>
          <w:p w14:paraId="3ABBCA5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641 employees from economy-to-luxury hotels in India analysed through mediation/structural modelling.</w:t>
            </w:r>
          </w:p>
        </w:tc>
        <w:tc>
          <w:tcPr>
            <w:tcW w:w="2068" w:type="dxa"/>
            <w:tcBorders>
              <w:top w:val="single" w:sz="8" w:space="0" w:color="auto"/>
              <w:left w:val="nil"/>
              <w:bottom w:val="single" w:sz="8" w:space="0" w:color="auto"/>
              <w:right w:val="nil"/>
            </w:tcBorders>
            <w:shd w:val="clear" w:color="auto" w:fill="auto"/>
            <w:hideMark/>
          </w:tcPr>
          <w:p w14:paraId="514DAFD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Hospitality research has given limited attention to workplace spirituality as an explanatory mechanism connecting justice/ethical climate with </w:t>
            </w:r>
            <w:r w:rsidRPr="00566303">
              <w:rPr>
                <w:color w:val="000000"/>
                <w:kern w:val="0"/>
                <w:szCs w:val="24"/>
                <w:lang w:val="en-US" w:eastAsia="en-US"/>
                <w14:ligatures w14:val="none"/>
              </w:rPr>
              <w:lastRenderedPageBreak/>
              <w:t>employee behaviour.</w:t>
            </w:r>
          </w:p>
        </w:tc>
        <w:tc>
          <w:tcPr>
            <w:tcW w:w="2112" w:type="dxa"/>
            <w:tcBorders>
              <w:top w:val="single" w:sz="8" w:space="0" w:color="auto"/>
              <w:left w:val="nil"/>
              <w:bottom w:val="single" w:sz="8" w:space="0" w:color="auto"/>
              <w:right w:val="nil"/>
            </w:tcBorders>
            <w:shd w:val="clear" w:color="auto" w:fill="auto"/>
            <w:hideMark/>
          </w:tcPr>
          <w:p w14:paraId="2C5E9A5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Single-country hospitality and self-report data limit generalisability and do not directly examine organisational commitment.</w:t>
            </w:r>
          </w:p>
        </w:tc>
        <w:tc>
          <w:tcPr>
            <w:tcW w:w="2118" w:type="dxa"/>
            <w:tcBorders>
              <w:top w:val="single" w:sz="8" w:space="0" w:color="auto"/>
              <w:left w:val="nil"/>
              <w:bottom w:val="single" w:sz="8" w:space="0" w:color="auto"/>
              <w:right w:val="nil"/>
            </w:tcBorders>
            <w:shd w:val="clear" w:color="auto" w:fill="auto"/>
            <w:hideMark/>
          </w:tcPr>
          <w:p w14:paraId="445435B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Workplace spirituality mediated the organisational justice–OCB relationship and the ethical climate–workplace deviance relationship.</w:t>
            </w:r>
          </w:p>
        </w:tc>
        <w:tc>
          <w:tcPr>
            <w:tcW w:w="2153" w:type="dxa"/>
            <w:tcBorders>
              <w:top w:val="single" w:sz="8" w:space="0" w:color="auto"/>
              <w:left w:val="nil"/>
              <w:bottom w:val="single" w:sz="8" w:space="0" w:color="auto"/>
              <w:right w:val="single" w:sz="4" w:space="0" w:color="auto"/>
            </w:tcBorders>
            <w:shd w:val="clear" w:color="auto" w:fill="auto"/>
            <w:hideMark/>
          </w:tcPr>
          <w:p w14:paraId="6D9E01E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Indirectly supports the importance of justice: fair treatment can shape positive behavioural outcomes through employees’ experience of the workplace.</w:t>
            </w:r>
          </w:p>
        </w:tc>
      </w:tr>
      <w:tr w:rsidR="00566303" w:rsidRPr="00566303" w14:paraId="4B1043B9"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D960B8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effects of organizational justice on employee performance using dimension of organizational citizenship behavior as mediation</w:t>
            </w:r>
          </w:p>
        </w:tc>
        <w:tc>
          <w:tcPr>
            <w:tcW w:w="2027" w:type="dxa"/>
            <w:tcBorders>
              <w:top w:val="single" w:sz="8" w:space="0" w:color="auto"/>
              <w:left w:val="single" w:sz="8" w:space="0" w:color="auto"/>
              <w:bottom w:val="single" w:sz="8" w:space="0" w:color="auto"/>
              <w:right w:val="nil"/>
            </w:tcBorders>
            <w:shd w:val="clear" w:color="auto" w:fill="auto"/>
            <w:hideMark/>
          </w:tcPr>
          <w:p w14:paraId="00453BA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Hermanto, Y.B. and Srimulyani, V.A. (2022) / Sustainability</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7B0EF23F"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https://doi.org/10.3390/su142013322</w:t>
            </w:r>
          </w:p>
        </w:tc>
        <w:tc>
          <w:tcPr>
            <w:tcW w:w="4629" w:type="dxa"/>
            <w:tcBorders>
              <w:top w:val="single" w:sz="8" w:space="0" w:color="auto"/>
              <w:left w:val="nil"/>
              <w:bottom w:val="single" w:sz="8" w:space="0" w:color="auto"/>
              <w:right w:val="nil"/>
            </w:tcBorders>
            <w:shd w:val="clear" w:color="auto" w:fill="auto"/>
            <w:hideMark/>
          </w:tcPr>
          <w:p w14:paraId="0770670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analyse the direct effect of organisational justice on employee performance and its indirect effects through individual- and organisation-directed citizenship behaviour.</w:t>
            </w:r>
          </w:p>
        </w:tc>
        <w:tc>
          <w:tcPr>
            <w:tcW w:w="1833" w:type="dxa"/>
            <w:tcBorders>
              <w:top w:val="single" w:sz="8" w:space="0" w:color="auto"/>
              <w:left w:val="nil"/>
              <w:bottom w:val="single" w:sz="8" w:space="0" w:color="auto"/>
              <w:right w:val="nil"/>
            </w:tcBorders>
            <w:shd w:val="clear" w:color="auto" w:fill="auto"/>
            <w:hideMark/>
          </w:tcPr>
          <w:p w14:paraId="7E2C6CD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organisational citizenship behaviour (OCBI/OCBO); employee performance.</w:t>
            </w:r>
          </w:p>
        </w:tc>
        <w:tc>
          <w:tcPr>
            <w:tcW w:w="1922" w:type="dxa"/>
            <w:tcBorders>
              <w:top w:val="single" w:sz="8" w:space="0" w:color="auto"/>
              <w:left w:val="nil"/>
              <w:bottom w:val="single" w:sz="8" w:space="0" w:color="auto"/>
              <w:right w:val="nil"/>
            </w:tcBorders>
            <w:shd w:val="clear" w:color="auto" w:fill="auto"/>
            <w:hideMark/>
          </w:tcPr>
          <w:p w14:paraId="0958B8B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Survey of 820 full-time Indonesian high/vocational-school teachers; convenience sampling; structural equation modelling and Sobel mediation tests.</w:t>
            </w:r>
          </w:p>
        </w:tc>
        <w:tc>
          <w:tcPr>
            <w:tcW w:w="2068" w:type="dxa"/>
            <w:tcBorders>
              <w:top w:val="single" w:sz="8" w:space="0" w:color="auto"/>
              <w:left w:val="nil"/>
              <w:bottom w:val="single" w:sz="8" w:space="0" w:color="auto"/>
              <w:right w:val="nil"/>
            </w:tcBorders>
            <w:shd w:val="clear" w:color="auto" w:fill="auto"/>
            <w:hideMark/>
          </w:tcPr>
          <w:p w14:paraId="2BB3364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More evidence is needed on how distinct forms of citizenship behaviour transmit organisational justice into performance in educational workplaces.</w:t>
            </w:r>
          </w:p>
        </w:tc>
        <w:tc>
          <w:tcPr>
            <w:tcW w:w="2112" w:type="dxa"/>
            <w:tcBorders>
              <w:top w:val="single" w:sz="8" w:space="0" w:color="auto"/>
              <w:left w:val="nil"/>
              <w:bottom w:val="single" w:sz="8" w:space="0" w:color="auto"/>
              <w:right w:val="nil"/>
            </w:tcBorders>
            <w:shd w:val="clear" w:color="auto" w:fill="auto"/>
            <w:hideMark/>
          </w:tcPr>
          <w:p w14:paraId="1536D81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Convenience sampling, self-report measures and an Indonesian education setting restrict causal and UK-retail generalisation.</w:t>
            </w:r>
          </w:p>
        </w:tc>
        <w:tc>
          <w:tcPr>
            <w:tcW w:w="2118" w:type="dxa"/>
            <w:tcBorders>
              <w:top w:val="single" w:sz="8" w:space="0" w:color="auto"/>
              <w:left w:val="nil"/>
              <w:bottom w:val="single" w:sz="8" w:space="0" w:color="auto"/>
              <w:right w:val="nil"/>
            </w:tcBorders>
            <w:shd w:val="clear" w:color="auto" w:fill="auto"/>
            <w:hideMark/>
          </w:tcPr>
          <w:p w14:paraId="740C424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positively predicted OCBI, OCBO and performance; both forms of OCB partially mediated the justice–performance relationship.</w:t>
            </w:r>
          </w:p>
        </w:tc>
        <w:tc>
          <w:tcPr>
            <w:tcW w:w="2153" w:type="dxa"/>
            <w:tcBorders>
              <w:top w:val="single" w:sz="8" w:space="0" w:color="auto"/>
              <w:left w:val="nil"/>
              <w:bottom w:val="single" w:sz="8" w:space="0" w:color="auto"/>
              <w:right w:val="single" w:sz="4" w:space="0" w:color="auto"/>
            </w:tcBorders>
            <w:shd w:val="clear" w:color="auto" w:fill="auto"/>
            <w:hideMark/>
          </w:tcPr>
          <w:p w14:paraId="1557241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Reinforces organisational justice as an important mechanism linking workplace treatment to employee attitudes and behaviours.</w:t>
            </w:r>
          </w:p>
        </w:tc>
      </w:tr>
      <w:tr w:rsidR="00566303" w:rsidRPr="00566303" w14:paraId="1A934967"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4A02E0F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Beyond a numbers game? Impact of diversity and inclusion on the perception of organizational justice</w:t>
            </w:r>
          </w:p>
        </w:tc>
        <w:tc>
          <w:tcPr>
            <w:tcW w:w="2027" w:type="dxa"/>
            <w:tcBorders>
              <w:top w:val="single" w:sz="8" w:space="0" w:color="auto"/>
              <w:left w:val="single" w:sz="8" w:space="0" w:color="auto"/>
              <w:bottom w:val="single" w:sz="8" w:space="0" w:color="auto"/>
              <w:right w:val="nil"/>
            </w:tcBorders>
            <w:shd w:val="clear" w:color="auto" w:fill="auto"/>
            <w:hideMark/>
          </w:tcPr>
          <w:p w14:paraId="6B7DCFA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Hoang, T., Suh, J. and Sabharwal, M. (2022) / Public Administration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4951F86"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https://doi.org/10.1111/puar.13463</w:t>
            </w:r>
          </w:p>
        </w:tc>
        <w:tc>
          <w:tcPr>
            <w:tcW w:w="4629" w:type="dxa"/>
            <w:tcBorders>
              <w:top w:val="single" w:sz="8" w:space="0" w:color="auto"/>
              <w:left w:val="nil"/>
              <w:bottom w:val="single" w:sz="8" w:space="0" w:color="auto"/>
              <w:right w:val="nil"/>
            </w:tcBorders>
            <w:shd w:val="clear" w:color="auto" w:fill="auto"/>
            <w:hideMark/>
          </w:tcPr>
          <w:p w14:paraId="77E7454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assess how workforce diversity, diversity-management practices and inclusive leadership influence employees’ perceptions of organisational justice.</w:t>
            </w:r>
          </w:p>
        </w:tc>
        <w:tc>
          <w:tcPr>
            <w:tcW w:w="1833" w:type="dxa"/>
            <w:tcBorders>
              <w:top w:val="single" w:sz="8" w:space="0" w:color="auto"/>
              <w:left w:val="nil"/>
              <w:bottom w:val="single" w:sz="8" w:space="0" w:color="auto"/>
              <w:right w:val="nil"/>
            </w:tcBorders>
            <w:shd w:val="clear" w:color="auto" w:fill="auto"/>
            <w:hideMark/>
          </w:tcPr>
          <w:p w14:paraId="7E5A6AD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diversity management; inclusive leadership; intersectionality.</w:t>
            </w:r>
          </w:p>
        </w:tc>
        <w:tc>
          <w:tcPr>
            <w:tcW w:w="1922" w:type="dxa"/>
            <w:tcBorders>
              <w:top w:val="single" w:sz="8" w:space="0" w:color="auto"/>
              <w:left w:val="nil"/>
              <w:bottom w:val="single" w:sz="8" w:space="0" w:color="auto"/>
              <w:right w:val="nil"/>
            </w:tcBorders>
            <w:shd w:val="clear" w:color="auto" w:fill="auto"/>
            <w:hideMark/>
          </w:tcPr>
          <w:p w14:paraId="6DC1D29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analysis of FedScope and 2019 US Federal Employee Viewpoint Survey data using multilevel models.</w:t>
            </w:r>
          </w:p>
        </w:tc>
        <w:tc>
          <w:tcPr>
            <w:tcW w:w="2068" w:type="dxa"/>
            <w:tcBorders>
              <w:top w:val="single" w:sz="8" w:space="0" w:color="auto"/>
              <w:left w:val="nil"/>
              <w:bottom w:val="single" w:sz="8" w:space="0" w:color="auto"/>
              <w:right w:val="nil"/>
            </w:tcBorders>
            <w:shd w:val="clear" w:color="auto" w:fill="auto"/>
            <w:hideMark/>
          </w:tcPr>
          <w:p w14:paraId="3FB8908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Diversity research often focuses on representation counts rather than whether inclusion practices create a genuine sense of fairness.</w:t>
            </w:r>
          </w:p>
        </w:tc>
        <w:tc>
          <w:tcPr>
            <w:tcW w:w="2112" w:type="dxa"/>
            <w:tcBorders>
              <w:top w:val="single" w:sz="8" w:space="0" w:color="auto"/>
              <w:left w:val="nil"/>
              <w:bottom w:val="single" w:sz="8" w:space="0" w:color="auto"/>
              <w:right w:val="nil"/>
            </w:tcBorders>
            <w:shd w:val="clear" w:color="auto" w:fill="auto"/>
            <w:hideMark/>
          </w:tcPr>
          <w:p w14:paraId="268E0C6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US federal-sector secondary survey data are observational and may not generalise to UK retail or establish causality.</w:t>
            </w:r>
          </w:p>
        </w:tc>
        <w:tc>
          <w:tcPr>
            <w:tcW w:w="2118" w:type="dxa"/>
            <w:tcBorders>
              <w:top w:val="single" w:sz="8" w:space="0" w:color="auto"/>
              <w:left w:val="nil"/>
              <w:bottom w:val="single" w:sz="8" w:space="0" w:color="auto"/>
              <w:right w:val="nil"/>
            </w:tcBorders>
            <w:shd w:val="clear" w:color="auto" w:fill="auto"/>
            <w:hideMark/>
          </w:tcPr>
          <w:p w14:paraId="327F629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 xml:space="preserve">Greater representation alone did not improve justice perceptions; inclusive leadership strengthened perceived justice, with effects </w:t>
            </w:r>
            <w:r w:rsidRPr="00566303">
              <w:rPr>
                <w:color w:val="000000"/>
                <w:kern w:val="0"/>
                <w:szCs w:val="24"/>
                <w:lang w:val="en-US" w:eastAsia="en-US"/>
                <w14:ligatures w14:val="none"/>
              </w:rPr>
              <w:lastRenderedPageBreak/>
              <w:t>varying across gender and racial groups.</w:t>
            </w:r>
          </w:p>
        </w:tc>
        <w:tc>
          <w:tcPr>
            <w:tcW w:w="2153" w:type="dxa"/>
            <w:tcBorders>
              <w:top w:val="single" w:sz="8" w:space="0" w:color="auto"/>
              <w:left w:val="nil"/>
              <w:bottom w:val="single" w:sz="8" w:space="0" w:color="auto"/>
              <w:right w:val="single" w:sz="4" w:space="0" w:color="auto"/>
            </w:tcBorders>
            <w:shd w:val="clear" w:color="auto" w:fill="auto"/>
            <w:hideMark/>
          </w:tcPr>
          <w:p w14:paraId="5BF67FD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Highly relevant to discrimination and equality rights because inclusion practices influence whether formal diversity is experienced as fair.</w:t>
            </w:r>
          </w:p>
        </w:tc>
      </w:tr>
      <w:tr w:rsidR="00566303" w:rsidRPr="00566303" w14:paraId="58389825"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1F73B64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mediating role of organizational commitment between organizational justice and organizational citizenship behavior</w:t>
            </w:r>
          </w:p>
        </w:tc>
        <w:tc>
          <w:tcPr>
            <w:tcW w:w="2027" w:type="dxa"/>
            <w:tcBorders>
              <w:top w:val="single" w:sz="8" w:space="0" w:color="auto"/>
              <w:left w:val="single" w:sz="8" w:space="0" w:color="auto"/>
              <w:bottom w:val="single" w:sz="8" w:space="0" w:color="auto"/>
              <w:right w:val="nil"/>
            </w:tcBorders>
            <w:shd w:val="clear" w:color="auto" w:fill="auto"/>
            <w:hideMark/>
          </w:tcPr>
          <w:p w14:paraId="3524B50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Jehanzeb, K. and Mohanty, J. (2020) / Personnel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C41DBAE"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https://doi.org/10.1108/pr-09-2018-0327</w:t>
            </w:r>
          </w:p>
        </w:tc>
        <w:tc>
          <w:tcPr>
            <w:tcW w:w="4629" w:type="dxa"/>
            <w:tcBorders>
              <w:top w:val="single" w:sz="8" w:space="0" w:color="auto"/>
              <w:left w:val="nil"/>
              <w:bottom w:val="single" w:sz="8" w:space="0" w:color="auto"/>
              <w:right w:val="nil"/>
            </w:tcBorders>
            <w:shd w:val="clear" w:color="auto" w:fill="auto"/>
            <w:hideMark/>
          </w:tcPr>
          <w:p w14:paraId="6595920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organisational justice and OCB while testing organisational commitment as a mediator and power distance as a moderator.</w:t>
            </w:r>
          </w:p>
        </w:tc>
        <w:tc>
          <w:tcPr>
            <w:tcW w:w="1833" w:type="dxa"/>
            <w:tcBorders>
              <w:top w:val="single" w:sz="8" w:space="0" w:color="auto"/>
              <w:left w:val="nil"/>
              <w:bottom w:val="single" w:sz="8" w:space="0" w:color="auto"/>
              <w:right w:val="nil"/>
            </w:tcBorders>
            <w:shd w:val="clear" w:color="auto" w:fill="auto"/>
            <w:hideMark/>
          </w:tcPr>
          <w:p w14:paraId="360F0A8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Organisational justice; organisational commitment; organisational citizenship behaviour; power distance.</w:t>
            </w:r>
          </w:p>
        </w:tc>
        <w:tc>
          <w:tcPr>
            <w:tcW w:w="1922" w:type="dxa"/>
            <w:tcBorders>
              <w:top w:val="single" w:sz="8" w:space="0" w:color="auto"/>
              <w:left w:val="nil"/>
              <w:bottom w:val="single" w:sz="8" w:space="0" w:color="auto"/>
              <w:right w:val="nil"/>
            </w:tcBorders>
            <w:shd w:val="clear" w:color="auto" w:fill="auto"/>
            <w:hideMark/>
          </w:tcPr>
          <w:p w14:paraId="7A12BE0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Stratified survey of Pakistani bank employees; 379 usable questionnaires analysed with structural equation modelling in AMOS.</w:t>
            </w:r>
          </w:p>
        </w:tc>
        <w:tc>
          <w:tcPr>
            <w:tcW w:w="2068" w:type="dxa"/>
            <w:tcBorders>
              <w:top w:val="single" w:sz="8" w:space="0" w:color="auto"/>
              <w:left w:val="nil"/>
              <w:bottom w:val="single" w:sz="8" w:space="0" w:color="auto"/>
              <w:right w:val="nil"/>
            </w:tcBorders>
            <w:shd w:val="clear" w:color="auto" w:fill="auto"/>
            <w:hideMark/>
          </w:tcPr>
          <w:p w14:paraId="3C119B4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research has tested commitment and cultural power distance together as mechanisms linking justice with citizenship behaviour in developing-country settings.</w:t>
            </w:r>
          </w:p>
        </w:tc>
        <w:tc>
          <w:tcPr>
            <w:tcW w:w="2112" w:type="dxa"/>
            <w:tcBorders>
              <w:top w:val="single" w:sz="8" w:space="0" w:color="auto"/>
              <w:left w:val="nil"/>
              <w:bottom w:val="single" w:sz="8" w:space="0" w:color="auto"/>
              <w:right w:val="nil"/>
            </w:tcBorders>
            <w:shd w:val="clear" w:color="auto" w:fill="auto"/>
            <w:hideMark/>
          </w:tcPr>
          <w:p w14:paraId="0A7E4F8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banking data from Pakistan limit causal inference and transfer to UK retail employees.</w:t>
            </w:r>
          </w:p>
        </w:tc>
        <w:tc>
          <w:tcPr>
            <w:tcW w:w="2118" w:type="dxa"/>
            <w:tcBorders>
              <w:top w:val="single" w:sz="8" w:space="0" w:color="auto"/>
              <w:left w:val="nil"/>
              <w:bottom w:val="single" w:sz="8" w:space="0" w:color="auto"/>
              <w:right w:val="nil"/>
            </w:tcBorders>
            <w:shd w:val="clear" w:color="auto" w:fill="auto"/>
            <w:hideMark/>
          </w:tcPr>
          <w:p w14:paraId="2ABCCC8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Justice significantly increased commitment; commitment fully mediated justice–OCB, while power distance moderated the justice–commitment relationship.</w:t>
            </w:r>
          </w:p>
        </w:tc>
        <w:tc>
          <w:tcPr>
            <w:tcW w:w="2153" w:type="dxa"/>
            <w:tcBorders>
              <w:top w:val="single" w:sz="8" w:space="0" w:color="auto"/>
              <w:left w:val="nil"/>
              <w:bottom w:val="single" w:sz="8" w:space="0" w:color="auto"/>
              <w:right w:val="single" w:sz="4" w:space="0" w:color="auto"/>
            </w:tcBorders>
            <w:shd w:val="clear" w:color="auto" w:fill="auto"/>
            <w:hideMark/>
          </w:tcPr>
          <w:p w14:paraId="27FE0CA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Directly supports organisational commitment as an outcome of perceived justice and shows that justice can influence behaviour through commitment.</w:t>
            </w:r>
          </w:p>
        </w:tc>
      </w:tr>
      <w:tr w:rsidR="00566303" w:rsidRPr="00566303" w14:paraId="7410725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E319AB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effects of transformational leadership on organisational citizenship behaviour: The role of Organisational Justice and affective commitment</w:t>
            </w:r>
          </w:p>
        </w:tc>
        <w:tc>
          <w:tcPr>
            <w:tcW w:w="2027" w:type="dxa"/>
            <w:tcBorders>
              <w:top w:val="single" w:sz="8" w:space="0" w:color="auto"/>
              <w:left w:val="single" w:sz="8" w:space="0" w:color="auto"/>
              <w:bottom w:val="single" w:sz="8" w:space="0" w:color="auto"/>
              <w:right w:val="nil"/>
            </w:tcBorders>
            <w:shd w:val="clear" w:color="auto" w:fill="auto"/>
            <w:hideMark/>
          </w:tcPr>
          <w:p w14:paraId="2009E93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Khaola, P. and Rambe, P. (2021) / Management Research Review</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7452220"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https://doi.org/10.1108/mrr-07-2019-0323</w:t>
            </w:r>
          </w:p>
        </w:tc>
        <w:tc>
          <w:tcPr>
            <w:tcW w:w="4629" w:type="dxa"/>
            <w:tcBorders>
              <w:top w:val="single" w:sz="8" w:space="0" w:color="auto"/>
              <w:left w:val="nil"/>
              <w:bottom w:val="single" w:sz="8" w:space="0" w:color="auto"/>
              <w:right w:val="nil"/>
            </w:tcBorders>
            <w:shd w:val="clear" w:color="auto" w:fill="auto"/>
            <w:hideMark/>
          </w:tcPr>
          <w:p w14:paraId="723AE71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whether organisational justice and affective commitment serially mediate the relationship between transformational leadership and OCB.</w:t>
            </w:r>
          </w:p>
        </w:tc>
        <w:tc>
          <w:tcPr>
            <w:tcW w:w="1833" w:type="dxa"/>
            <w:tcBorders>
              <w:top w:val="single" w:sz="8" w:space="0" w:color="auto"/>
              <w:left w:val="nil"/>
              <w:bottom w:val="single" w:sz="8" w:space="0" w:color="auto"/>
              <w:right w:val="nil"/>
            </w:tcBorders>
            <w:shd w:val="clear" w:color="auto" w:fill="auto"/>
            <w:hideMark/>
          </w:tcPr>
          <w:p w14:paraId="58C113E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Transformational leadership; organisational justice; affective commitment; organisational citizenship behaviour.</w:t>
            </w:r>
          </w:p>
        </w:tc>
        <w:tc>
          <w:tcPr>
            <w:tcW w:w="1922" w:type="dxa"/>
            <w:tcBorders>
              <w:top w:val="single" w:sz="8" w:space="0" w:color="auto"/>
              <w:left w:val="nil"/>
              <w:bottom w:val="single" w:sz="8" w:space="0" w:color="auto"/>
              <w:right w:val="nil"/>
            </w:tcBorders>
            <w:shd w:val="clear" w:color="auto" w:fill="auto"/>
            <w:hideMark/>
          </w:tcPr>
          <w:p w14:paraId="02268DEC"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Survey of 300 public-university employees plus 122 public/private employees in Lesotho, analysed with PLS-SEM and PROCESS mediation.</w:t>
            </w:r>
          </w:p>
        </w:tc>
        <w:tc>
          <w:tcPr>
            <w:tcW w:w="2068" w:type="dxa"/>
            <w:tcBorders>
              <w:top w:val="single" w:sz="8" w:space="0" w:color="auto"/>
              <w:left w:val="nil"/>
              <w:bottom w:val="single" w:sz="8" w:space="0" w:color="auto"/>
              <w:right w:val="nil"/>
            </w:tcBorders>
            <w:shd w:val="clear" w:color="auto" w:fill="auto"/>
            <w:hideMark/>
          </w:tcPr>
          <w:p w14:paraId="1C1F3EE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Few theory-driven studies have tested organisational justice and affective commitment together as serial mechanisms linking leadership with OCB.</w:t>
            </w:r>
          </w:p>
        </w:tc>
        <w:tc>
          <w:tcPr>
            <w:tcW w:w="2112" w:type="dxa"/>
            <w:tcBorders>
              <w:top w:val="single" w:sz="8" w:space="0" w:color="auto"/>
              <w:left w:val="nil"/>
              <w:bottom w:val="single" w:sz="8" w:space="0" w:color="auto"/>
              <w:right w:val="nil"/>
            </w:tcBorders>
            <w:shd w:val="clear" w:color="auto" w:fill="auto"/>
            <w:hideMark/>
          </w:tcPr>
          <w:p w14:paraId="75BCBED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Lesotho sample spans mixed organisational contexts and is cross-sectional, limiting direct generalisation to UK retail.</w:t>
            </w:r>
          </w:p>
        </w:tc>
        <w:tc>
          <w:tcPr>
            <w:tcW w:w="2118" w:type="dxa"/>
            <w:tcBorders>
              <w:top w:val="single" w:sz="8" w:space="0" w:color="auto"/>
              <w:left w:val="nil"/>
              <w:bottom w:val="single" w:sz="8" w:space="0" w:color="auto"/>
              <w:right w:val="nil"/>
            </w:tcBorders>
            <w:shd w:val="clear" w:color="auto" w:fill="auto"/>
            <w:hideMark/>
          </w:tcPr>
          <w:p w14:paraId="64F150C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Transformational leadership increased justice, justice increased affective commitment, and affective commitment increased OCB; serial mediation was supported.</w:t>
            </w:r>
          </w:p>
        </w:tc>
        <w:tc>
          <w:tcPr>
            <w:tcW w:w="2153" w:type="dxa"/>
            <w:tcBorders>
              <w:top w:val="single" w:sz="8" w:space="0" w:color="auto"/>
              <w:left w:val="nil"/>
              <w:bottom w:val="single" w:sz="8" w:space="0" w:color="auto"/>
              <w:right w:val="single" w:sz="4" w:space="0" w:color="auto"/>
            </w:tcBorders>
            <w:shd w:val="clear" w:color="auto" w:fill="auto"/>
            <w:hideMark/>
          </w:tcPr>
          <w:p w14:paraId="18B5086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Strongly relevant because it positions organisational justice upstream of affective commitment, consistent with the dissertation’s proposed mediation logic.</w:t>
            </w:r>
          </w:p>
        </w:tc>
      </w:tr>
      <w:tr w:rsidR="00566303" w:rsidRPr="00566303" w14:paraId="6243CD12"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3600724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Unethical pro-organizational behavior: A systematic review and Future Research Agenda</w:t>
            </w:r>
          </w:p>
        </w:tc>
        <w:tc>
          <w:tcPr>
            <w:tcW w:w="2027" w:type="dxa"/>
            <w:tcBorders>
              <w:top w:val="single" w:sz="8" w:space="0" w:color="auto"/>
              <w:left w:val="single" w:sz="8" w:space="0" w:color="auto"/>
              <w:bottom w:val="single" w:sz="8" w:space="0" w:color="auto"/>
              <w:right w:val="nil"/>
            </w:tcBorders>
            <w:shd w:val="clear" w:color="auto" w:fill="auto"/>
            <w:hideMark/>
          </w:tcPr>
          <w:p w14:paraId="4A2C66C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Mishra, M., Ghosh, K. and Sharma, D. (2022) / Journal of Business Ethics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46EE1F7"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https://doi.org/10.1007/s10551-021-04764-w</w:t>
            </w:r>
          </w:p>
        </w:tc>
        <w:tc>
          <w:tcPr>
            <w:tcW w:w="4629" w:type="dxa"/>
            <w:tcBorders>
              <w:top w:val="single" w:sz="8" w:space="0" w:color="auto"/>
              <w:left w:val="nil"/>
              <w:bottom w:val="single" w:sz="8" w:space="0" w:color="auto"/>
              <w:right w:val="nil"/>
            </w:tcBorders>
            <w:shd w:val="clear" w:color="auto" w:fill="auto"/>
            <w:hideMark/>
          </w:tcPr>
          <w:p w14:paraId="4CDF9121"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systematically synthesise research on unethical pro-organisational behaviour, classify its theories, antecedents, consequences and boundary conditions, and propose future research.</w:t>
            </w:r>
          </w:p>
        </w:tc>
        <w:tc>
          <w:tcPr>
            <w:tcW w:w="1833" w:type="dxa"/>
            <w:tcBorders>
              <w:top w:val="single" w:sz="8" w:space="0" w:color="auto"/>
              <w:left w:val="nil"/>
              <w:bottom w:val="single" w:sz="8" w:space="0" w:color="auto"/>
              <w:right w:val="nil"/>
            </w:tcBorders>
            <w:shd w:val="clear" w:color="auto" w:fill="auto"/>
            <w:hideMark/>
          </w:tcPr>
          <w:p w14:paraId="37CF750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Theory-based UPOB framework; organisational identification; social exchange and moral/ethical perspectives.</w:t>
            </w:r>
          </w:p>
        </w:tc>
        <w:tc>
          <w:tcPr>
            <w:tcW w:w="1922" w:type="dxa"/>
            <w:tcBorders>
              <w:top w:val="single" w:sz="8" w:space="0" w:color="auto"/>
              <w:left w:val="nil"/>
              <w:bottom w:val="single" w:sz="8" w:space="0" w:color="auto"/>
              <w:right w:val="nil"/>
            </w:tcBorders>
            <w:shd w:val="clear" w:color="auto" w:fill="auto"/>
            <w:hideMark/>
          </w:tcPr>
          <w:p w14:paraId="2CC8954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Systematic literature review and theory-based synthesis; no new primary data were collected.</w:t>
            </w:r>
          </w:p>
        </w:tc>
        <w:tc>
          <w:tcPr>
            <w:tcW w:w="2068" w:type="dxa"/>
            <w:tcBorders>
              <w:top w:val="single" w:sz="8" w:space="0" w:color="auto"/>
              <w:left w:val="nil"/>
              <w:bottom w:val="single" w:sz="8" w:space="0" w:color="auto"/>
              <w:right w:val="nil"/>
            </w:tcBorders>
            <w:shd w:val="clear" w:color="auto" w:fill="auto"/>
            <w:hideMark/>
          </w:tcPr>
          <w:p w14:paraId="2613D6E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UPOB research remains theoretically fragmented, with incomplete understanding of why, when and under what boundary conditions pro-organisational motives become unethical.</w:t>
            </w:r>
          </w:p>
        </w:tc>
        <w:tc>
          <w:tcPr>
            <w:tcW w:w="2112" w:type="dxa"/>
            <w:tcBorders>
              <w:top w:val="single" w:sz="8" w:space="0" w:color="auto"/>
              <w:left w:val="nil"/>
              <w:bottom w:val="single" w:sz="8" w:space="0" w:color="auto"/>
              <w:right w:val="nil"/>
            </w:tcBorders>
            <w:shd w:val="clear" w:color="auto" w:fill="auto"/>
            <w:hideMark/>
          </w:tcPr>
          <w:p w14:paraId="62283D6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Review conclusions depend on the scope and quality of prior studies and cannot establish new causal effects.</w:t>
            </w:r>
          </w:p>
        </w:tc>
        <w:tc>
          <w:tcPr>
            <w:tcW w:w="2118" w:type="dxa"/>
            <w:tcBorders>
              <w:top w:val="single" w:sz="8" w:space="0" w:color="auto"/>
              <w:left w:val="nil"/>
              <w:bottom w:val="single" w:sz="8" w:space="0" w:color="auto"/>
              <w:right w:val="nil"/>
            </w:tcBorders>
            <w:shd w:val="clear" w:color="auto" w:fill="auto"/>
            <w:hideMark/>
          </w:tcPr>
          <w:p w14:paraId="3CC857F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Strong organisational motives and identification can sometimes encourage unethical actions when moral safeguards and contextual boundaries are weak.</w:t>
            </w:r>
          </w:p>
        </w:tc>
        <w:tc>
          <w:tcPr>
            <w:tcW w:w="2153" w:type="dxa"/>
            <w:tcBorders>
              <w:top w:val="single" w:sz="8" w:space="0" w:color="auto"/>
              <w:left w:val="nil"/>
              <w:bottom w:val="single" w:sz="8" w:space="0" w:color="auto"/>
              <w:right w:val="single" w:sz="4" w:space="0" w:color="auto"/>
            </w:tcBorders>
            <w:shd w:val="clear" w:color="auto" w:fill="auto"/>
            <w:hideMark/>
          </w:tcPr>
          <w:p w14:paraId="6CE32D0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Provides a useful caution: stronger commitment is not automatically beneficial, so commitment outcomes should be interpreted alongside justice and ethical context.</w:t>
            </w:r>
          </w:p>
        </w:tc>
      </w:tr>
      <w:tr w:rsidR="00566303" w:rsidRPr="00566303" w14:paraId="62271F5A"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5E1F0FD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Mediating effects of job satisfaction and organizational commitment between problems with performance appraisal and organizational citizenship behavior</w:t>
            </w:r>
          </w:p>
        </w:tc>
        <w:tc>
          <w:tcPr>
            <w:tcW w:w="2027" w:type="dxa"/>
            <w:tcBorders>
              <w:top w:val="single" w:sz="8" w:space="0" w:color="auto"/>
              <w:left w:val="single" w:sz="8" w:space="0" w:color="auto"/>
              <w:bottom w:val="single" w:sz="8" w:space="0" w:color="auto"/>
              <w:right w:val="nil"/>
            </w:tcBorders>
            <w:shd w:val="clear" w:color="auto" w:fill="auto"/>
            <w:hideMark/>
          </w:tcPr>
          <w:p w14:paraId="68B099C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Na-Nan, K., Kanthong, S., Joungtrakul, J. and Smith, I.D. (2020) / Journal of Open Innovation: Technology, Market, and Complexity</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5A094BBA"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https://doi.org/10.3390/joitmc6030064</w:t>
            </w:r>
          </w:p>
        </w:tc>
        <w:tc>
          <w:tcPr>
            <w:tcW w:w="4629" w:type="dxa"/>
            <w:tcBorders>
              <w:top w:val="single" w:sz="8" w:space="0" w:color="auto"/>
              <w:left w:val="nil"/>
              <w:bottom w:val="single" w:sz="8" w:space="0" w:color="auto"/>
              <w:right w:val="nil"/>
            </w:tcBorders>
            <w:shd w:val="clear" w:color="auto" w:fill="auto"/>
            <w:hideMark/>
          </w:tcPr>
          <w:p w14:paraId="31AAFAE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test job satisfaction and organisational commitment as mediators between problems with performance appraisal and organisational citizenship behaviour.</w:t>
            </w:r>
          </w:p>
        </w:tc>
        <w:tc>
          <w:tcPr>
            <w:tcW w:w="1833" w:type="dxa"/>
            <w:tcBorders>
              <w:top w:val="single" w:sz="8" w:space="0" w:color="auto"/>
              <w:left w:val="nil"/>
              <w:bottom w:val="single" w:sz="8" w:space="0" w:color="auto"/>
              <w:right w:val="nil"/>
            </w:tcBorders>
            <w:shd w:val="clear" w:color="auto" w:fill="auto"/>
            <w:hideMark/>
          </w:tcPr>
          <w:p w14:paraId="0767818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Performance-appraisal perceptions; job satisfaction; organisational commitment; organisational citizenship behaviour.</w:t>
            </w:r>
          </w:p>
        </w:tc>
        <w:tc>
          <w:tcPr>
            <w:tcW w:w="1922" w:type="dxa"/>
            <w:tcBorders>
              <w:top w:val="single" w:sz="8" w:space="0" w:color="auto"/>
              <w:left w:val="nil"/>
              <w:bottom w:val="single" w:sz="8" w:space="0" w:color="auto"/>
              <w:right w:val="nil"/>
            </w:tcBorders>
            <w:shd w:val="clear" w:color="auto" w:fill="auto"/>
            <w:hideMark/>
          </w:tcPr>
          <w:p w14:paraId="28E1C2B5"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450 operational employees in Thai automobile-parts manufacturers, analysed using mediation/structural modelling.</w:t>
            </w:r>
          </w:p>
        </w:tc>
        <w:tc>
          <w:tcPr>
            <w:tcW w:w="2068" w:type="dxa"/>
            <w:tcBorders>
              <w:top w:val="single" w:sz="8" w:space="0" w:color="auto"/>
              <w:left w:val="nil"/>
              <w:bottom w:val="single" w:sz="8" w:space="0" w:color="auto"/>
              <w:right w:val="nil"/>
            </w:tcBorders>
            <w:shd w:val="clear" w:color="auto" w:fill="auto"/>
            <w:hideMark/>
          </w:tcPr>
          <w:p w14:paraId="77F7745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Performance-appraisal research has not sufficiently explained how appraisal problems translate into OCB through employee attitudes.</w:t>
            </w:r>
          </w:p>
        </w:tc>
        <w:tc>
          <w:tcPr>
            <w:tcW w:w="2112" w:type="dxa"/>
            <w:tcBorders>
              <w:top w:val="single" w:sz="8" w:space="0" w:color="auto"/>
              <w:left w:val="nil"/>
              <w:bottom w:val="single" w:sz="8" w:space="0" w:color="auto"/>
              <w:right w:val="nil"/>
            </w:tcBorders>
            <w:shd w:val="clear" w:color="auto" w:fill="auto"/>
            <w:hideMark/>
          </w:tcPr>
          <w:p w14:paraId="6B371E9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manufacturing data from one Thai industrial estate limit causality and transfer to UK retail.</w:t>
            </w:r>
          </w:p>
        </w:tc>
        <w:tc>
          <w:tcPr>
            <w:tcW w:w="2118" w:type="dxa"/>
            <w:tcBorders>
              <w:top w:val="single" w:sz="8" w:space="0" w:color="auto"/>
              <w:left w:val="nil"/>
              <w:bottom w:val="single" w:sz="8" w:space="0" w:color="auto"/>
              <w:right w:val="nil"/>
            </w:tcBorders>
            <w:shd w:val="clear" w:color="auto" w:fill="auto"/>
            <w:hideMark/>
          </w:tcPr>
          <w:p w14:paraId="3C9DAA2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Appraisal problems weakened favourable employee attitudes; job satisfaction and organisational commitment acted as mechanisms linking appraisal problems with OCB.</w:t>
            </w:r>
          </w:p>
        </w:tc>
        <w:tc>
          <w:tcPr>
            <w:tcW w:w="2153" w:type="dxa"/>
            <w:tcBorders>
              <w:top w:val="single" w:sz="8" w:space="0" w:color="auto"/>
              <w:left w:val="nil"/>
              <w:bottom w:val="single" w:sz="8" w:space="0" w:color="auto"/>
              <w:right w:val="single" w:sz="4" w:space="0" w:color="auto"/>
            </w:tcBorders>
            <w:shd w:val="clear" w:color="auto" w:fill="auto"/>
            <w:hideMark/>
          </w:tcPr>
          <w:p w14:paraId="07945FA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Relevant because appraisal fairness is a procedural-justice issue and commitment is shown as an attitudinal pathway from HR processes to behaviour.</w:t>
            </w:r>
          </w:p>
        </w:tc>
      </w:tr>
      <w:tr w:rsidR="00566303" w:rsidRPr="00566303" w14:paraId="6ED8A4AC"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11EA9FA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Employee engagement as an antecedent of organizational commitment – a study on Indian seafaring officers</w:t>
            </w:r>
          </w:p>
        </w:tc>
        <w:tc>
          <w:tcPr>
            <w:tcW w:w="2027" w:type="dxa"/>
            <w:tcBorders>
              <w:top w:val="single" w:sz="8" w:space="0" w:color="auto"/>
              <w:left w:val="single" w:sz="8" w:space="0" w:color="auto"/>
              <w:bottom w:val="single" w:sz="8" w:space="0" w:color="auto"/>
              <w:right w:val="nil"/>
            </w:tcBorders>
            <w:shd w:val="clear" w:color="auto" w:fill="auto"/>
            <w:hideMark/>
          </w:tcPr>
          <w:p w14:paraId="70FCA3D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Rameshkumar, M. (2020) / The Asian Journal of Shipping and Logistics</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2726297A"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https://doi.org/10.1016/j.ajsl.2019.11.003</w:t>
            </w:r>
          </w:p>
        </w:tc>
        <w:tc>
          <w:tcPr>
            <w:tcW w:w="4629" w:type="dxa"/>
            <w:tcBorders>
              <w:top w:val="single" w:sz="8" w:space="0" w:color="auto"/>
              <w:left w:val="nil"/>
              <w:bottom w:val="single" w:sz="8" w:space="0" w:color="auto"/>
              <w:right w:val="nil"/>
            </w:tcBorders>
            <w:shd w:val="clear" w:color="auto" w:fill="auto"/>
            <w:hideMark/>
          </w:tcPr>
          <w:p w14:paraId="7E11F3F9"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identify factors associated with employee engagement and test its relationship with affective, continuance and normative organisational commitment among Indian seafaring officers.</w:t>
            </w:r>
          </w:p>
        </w:tc>
        <w:tc>
          <w:tcPr>
            <w:tcW w:w="1833" w:type="dxa"/>
            <w:tcBorders>
              <w:top w:val="single" w:sz="8" w:space="0" w:color="auto"/>
              <w:left w:val="nil"/>
              <w:bottom w:val="single" w:sz="8" w:space="0" w:color="auto"/>
              <w:right w:val="nil"/>
            </w:tcBorders>
            <w:shd w:val="clear" w:color="auto" w:fill="auto"/>
            <w:hideMark/>
          </w:tcPr>
          <w:p w14:paraId="11C9A2AD"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Employee engagement; three-component organisational commitment model.</w:t>
            </w:r>
          </w:p>
        </w:tc>
        <w:tc>
          <w:tcPr>
            <w:tcW w:w="1922" w:type="dxa"/>
            <w:tcBorders>
              <w:top w:val="single" w:sz="8" w:space="0" w:color="auto"/>
              <w:left w:val="nil"/>
              <w:bottom w:val="single" w:sz="8" w:space="0" w:color="auto"/>
              <w:right w:val="nil"/>
            </w:tcBorders>
            <w:shd w:val="clear" w:color="auto" w:fill="auto"/>
            <w:hideMark/>
          </w:tcPr>
          <w:p w14:paraId="7F728D3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quantitative survey of 413 male Indian seafaring officers with statistical analysis of engagement–commitment relationships.</w:t>
            </w:r>
          </w:p>
        </w:tc>
        <w:tc>
          <w:tcPr>
            <w:tcW w:w="2068" w:type="dxa"/>
            <w:tcBorders>
              <w:top w:val="single" w:sz="8" w:space="0" w:color="auto"/>
              <w:left w:val="nil"/>
              <w:bottom w:val="single" w:sz="8" w:space="0" w:color="auto"/>
              <w:right w:val="nil"/>
            </w:tcBorders>
            <w:shd w:val="clear" w:color="auto" w:fill="auto"/>
            <w:hideMark/>
          </w:tcPr>
          <w:p w14:paraId="689FF33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Limited evidence has examined how engagement relates separately to the three commitment components in the maritime workforce.</w:t>
            </w:r>
          </w:p>
        </w:tc>
        <w:tc>
          <w:tcPr>
            <w:tcW w:w="2112" w:type="dxa"/>
            <w:tcBorders>
              <w:top w:val="single" w:sz="8" w:space="0" w:color="auto"/>
              <w:left w:val="nil"/>
              <w:bottom w:val="single" w:sz="8" w:space="0" w:color="auto"/>
              <w:right w:val="nil"/>
            </w:tcBorders>
            <w:shd w:val="clear" w:color="auto" w:fill="auto"/>
            <w:hideMark/>
          </w:tcPr>
          <w:p w14:paraId="5B431BA3"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All-male, occupation-specific and single-country self-report data limit generalisability and causal conclusions.</w:t>
            </w:r>
          </w:p>
        </w:tc>
        <w:tc>
          <w:tcPr>
            <w:tcW w:w="2118" w:type="dxa"/>
            <w:tcBorders>
              <w:top w:val="single" w:sz="8" w:space="0" w:color="auto"/>
              <w:left w:val="nil"/>
              <w:bottom w:val="single" w:sz="8" w:space="0" w:color="auto"/>
              <w:right w:val="nil"/>
            </w:tcBorders>
            <w:shd w:val="clear" w:color="auto" w:fill="auto"/>
            <w:hideMark/>
          </w:tcPr>
          <w:p w14:paraId="38882A0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Engagement was positively associated with affective and normative commitment but was not significantly associated with continuance commitment.</w:t>
            </w:r>
          </w:p>
        </w:tc>
        <w:tc>
          <w:tcPr>
            <w:tcW w:w="2153" w:type="dxa"/>
            <w:tcBorders>
              <w:top w:val="single" w:sz="8" w:space="0" w:color="auto"/>
              <w:left w:val="nil"/>
              <w:bottom w:val="single" w:sz="8" w:space="0" w:color="auto"/>
              <w:right w:val="single" w:sz="4" w:space="0" w:color="auto"/>
            </w:tcBorders>
            <w:shd w:val="clear" w:color="auto" w:fill="auto"/>
            <w:hideMark/>
          </w:tcPr>
          <w:p w14:paraId="5AC2663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Supports distinguishing commitment dimensions and suggests that positive engagement is linked more closely to emotional and normative attachment than to staying costs.</w:t>
            </w:r>
          </w:p>
        </w:tc>
      </w:tr>
      <w:tr w:rsidR="00566303" w:rsidRPr="00566303" w14:paraId="4E539350"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0832400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Relationship between Workplace spirituality, Organizational Justice and mental health: Mediation role of employee engagement</w:t>
            </w:r>
          </w:p>
        </w:tc>
        <w:tc>
          <w:tcPr>
            <w:tcW w:w="2027" w:type="dxa"/>
            <w:tcBorders>
              <w:top w:val="single" w:sz="8" w:space="0" w:color="auto"/>
              <w:left w:val="single" w:sz="8" w:space="0" w:color="auto"/>
              <w:bottom w:val="single" w:sz="8" w:space="0" w:color="auto"/>
              <w:right w:val="nil"/>
            </w:tcBorders>
            <w:shd w:val="clear" w:color="auto" w:fill="auto"/>
            <w:hideMark/>
          </w:tcPr>
          <w:p w14:paraId="0ACE91B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Sharma, P.K. and Kumra, R. (2020) / Journal of Advances in Management Research</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1B94FDB"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https://doi.org/10.1108/jamr-01-2020-0007</w:t>
            </w:r>
          </w:p>
        </w:tc>
        <w:tc>
          <w:tcPr>
            <w:tcW w:w="4629" w:type="dxa"/>
            <w:tcBorders>
              <w:top w:val="single" w:sz="8" w:space="0" w:color="auto"/>
              <w:left w:val="nil"/>
              <w:bottom w:val="single" w:sz="8" w:space="0" w:color="auto"/>
              <w:right w:val="nil"/>
            </w:tcBorders>
            <w:shd w:val="clear" w:color="auto" w:fill="auto"/>
            <w:hideMark/>
          </w:tcPr>
          <w:p w14:paraId="2D3962B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workplace spirituality and organisational justice as predictors of mental health, with employee engagement as the mediating mechanism.</w:t>
            </w:r>
          </w:p>
        </w:tc>
        <w:tc>
          <w:tcPr>
            <w:tcW w:w="1833" w:type="dxa"/>
            <w:tcBorders>
              <w:top w:val="single" w:sz="8" w:space="0" w:color="auto"/>
              <w:left w:val="nil"/>
              <w:bottom w:val="single" w:sz="8" w:space="0" w:color="auto"/>
              <w:right w:val="nil"/>
            </w:tcBorders>
            <w:shd w:val="clear" w:color="auto" w:fill="auto"/>
            <w:hideMark/>
          </w:tcPr>
          <w:p w14:paraId="0D8DF93B"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Workplace spirituality; organisational justice; employee engagement; mental health.</w:t>
            </w:r>
          </w:p>
        </w:tc>
        <w:tc>
          <w:tcPr>
            <w:tcW w:w="1922" w:type="dxa"/>
            <w:tcBorders>
              <w:top w:val="single" w:sz="8" w:space="0" w:color="auto"/>
              <w:left w:val="nil"/>
              <w:bottom w:val="single" w:sz="8" w:space="0" w:color="auto"/>
              <w:right w:val="nil"/>
            </w:tcBorders>
            <w:shd w:val="clear" w:color="auto" w:fill="auto"/>
            <w:hideMark/>
          </w:tcPr>
          <w:p w14:paraId="1A9EF69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Survey of 344 Indian IT professionals analysed using structural equation modelling.</w:t>
            </w:r>
          </w:p>
        </w:tc>
        <w:tc>
          <w:tcPr>
            <w:tcW w:w="2068" w:type="dxa"/>
            <w:tcBorders>
              <w:top w:val="single" w:sz="8" w:space="0" w:color="auto"/>
              <w:left w:val="nil"/>
              <w:bottom w:val="single" w:sz="8" w:space="0" w:color="auto"/>
              <w:right w:val="nil"/>
            </w:tcBorders>
            <w:shd w:val="clear" w:color="auto" w:fill="auto"/>
            <w:hideMark/>
          </w:tcPr>
          <w:p w14:paraId="5F67EF5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The intervening role of employee engagement between organisational justice/workplace spirituality and mental health had received limited empirical attention.</w:t>
            </w:r>
          </w:p>
        </w:tc>
        <w:tc>
          <w:tcPr>
            <w:tcW w:w="2112" w:type="dxa"/>
            <w:tcBorders>
              <w:top w:val="single" w:sz="8" w:space="0" w:color="auto"/>
              <w:left w:val="nil"/>
              <w:bottom w:val="single" w:sz="8" w:space="0" w:color="auto"/>
              <w:right w:val="nil"/>
            </w:tcBorders>
            <w:shd w:val="clear" w:color="auto" w:fill="auto"/>
            <w:hideMark/>
          </w:tcPr>
          <w:p w14:paraId="3156356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Cross-sectional self-report data from the Indian IT sector limit causal inference and generalisation to UK retail.</w:t>
            </w:r>
          </w:p>
        </w:tc>
        <w:tc>
          <w:tcPr>
            <w:tcW w:w="2118" w:type="dxa"/>
            <w:tcBorders>
              <w:top w:val="single" w:sz="8" w:space="0" w:color="auto"/>
              <w:left w:val="nil"/>
              <w:bottom w:val="single" w:sz="8" w:space="0" w:color="auto"/>
              <w:right w:val="nil"/>
            </w:tcBorders>
            <w:shd w:val="clear" w:color="auto" w:fill="auto"/>
            <w:hideMark/>
          </w:tcPr>
          <w:p w14:paraId="534A6A02"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Workplace spirituality and justice positively predicted engagement; engagement related positively to mental health and partially mediated both relationships.</w:t>
            </w:r>
          </w:p>
        </w:tc>
        <w:tc>
          <w:tcPr>
            <w:tcW w:w="2153" w:type="dxa"/>
            <w:tcBorders>
              <w:top w:val="single" w:sz="8" w:space="0" w:color="auto"/>
              <w:left w:val="nil"/>
              <w:bottom w:val="single" w:sz="8" w:space="0" w:color="auto"/>
              <w:right w:val="single" w:sz="4" w:space="0" w:color="auto"/>
            </w:tcBorders>
            <w:shd w:val="clear" w:color="auto" w:fill="auto"/>
            <w:hideMark/>
          </w:tcPr>
          <w:p w14:paraId="68D1A92A"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Shows that organisational justice can shape important employee outcomes through engagement, supporting justice as a meaningful explanatory mechanism.</w:t>
            </w:r>
          </w:p>
        </w:tc>
      </w:tr>
      <w:tr w:rsidR="00566303" w:rsidRPr="00566303" w14:paraId="1AD530DE" w14:textId="77777777" w:rsidTr="00566303">
        <w:trPr>
          <w:trHeight w:val="2180"/>
        </w:trPr>
        <w:tc>
          <w:tcPr>
            <w:tcW w:w="2098" w:type="dxa"/>
            <w:tcBorders>
              <w:top w:val="single" w:sz="4" w:space="0" w:color="8EA9DB"/>
              <w:left w:val="single" w:sz="4" w:space="0" w:color="auto"/>
              <w:bottom w:val="single" w:sz="8" w:space="0" w:color="auto"/>
              <w:right w:val="nil"/>
            </w:tcBorders>
            <w:shd w:val="clear" w:color="auto" w:fill="auto"/>
            <w:hideMark/>
          </w:tcPr>
          <w:p w14:paraId="774742D8"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lastRenderedPageBreak/>
              <w:t>Employees’ perception of corporate social responsibility and performance: The mediating roles of job satisfaction, organizational commitment and organizational trust</w:t>
            </w:r>
          </w:p>
        </w:tc>
        <w:tc>
          <w:tcPr>
            <w:tcW w:w="2027" w:type="dxa"/>
            <w:tcBorders>
              <w:top w:val="single" w:sz="8" w:space="0" w:color="auto"/>
              <w:left w:val="single" w:sz="8" w:space="0" w:color="auto"/>
              <w:bottom w:val="single" w:sz="8" w:space="0" w:color="auto"/>
              <w:right w:val="nil"/>
            </w:tcBorders>
            <w:shd w:val="clear" w:color="auto" w:fill="auto"/>
            <w:hideMark/>
          </w:tcPr>
          <w:p w14:paraId="03DC500F"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Silva, P., Moreira, A.C. and Mota, J. (2023) / Journal of Strategy and Management</w:t>
            </w:r>
          </w:p>
        </w:tc>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35F7FF08" w14:textId="77777777" w:rsidR="00566303" w:rsidRPr="00566303" w:rsidRDefault="00566303" w:rsidP="00566303">
            <w:pPr>
              <w:spacing w:before="0" w:after="0" w:line="240" w:lineRule="auto"/>
              <w:jc w:val="left"/>
              <w:rPr>
                <w:color w:val="0563C1"/>
                <w:kern w:val="0"/>
                <w:szCs w:val="24"/>
                <w:u w:val="single"/>
                <w:lang w:val="en-US" w:eastAsia="en-US"/>
                <w14:ligatures w14:val="none"/>
              </w:rPr>
            </w:pPr>
            <w:r w:rsidRPr="00566303">
              <w:rPr>
                <w:color w:val="0563C1"/>
                <w:kern w:val="0"/>
                <w:szCs w:val="24"/>
                <w:u w:val="single"/>
                <w:lang w:val="en-US" w:eastAsia="en-US"/>
                <w14:ligatures w14:val="none"/>
              </w:rPr>
              <w:t>https://doi.org/10.1108/jsma-10-2021-0213</w:t>
            </w:r>
          </w:p>
        </w:tc>
        <w:tc>
          <w:tcPr>
            <w:tcW w:w="4629" w:type="dxa"/>
            <w:tcBorders>
              <w:top w:val="single" w:sz="8" w:space="0" w:color="auto"/>
              <w:left w:val="nil"/>
              <w:bottom w:val="single" w:sz="8" w:space="0" w:color="auto"/>
              <w:right w:val="nil"/>
            </w:tcBorders>
            <w:shd w:val="clear" w:color="auto" w:fill="auto"/>
            <w:hideMark/>
          </w:tcPr>
          <w:p w14:paraId="05FF968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To examine whether employees’ CSR perceptions influence performance through job satisfaction, organisational commitment and organisational trust.</w:t>
            </w:r>
          </w:p>
        </w:tc>
        <w:tc>
          <w:tcPr>
            <w:tcW w:w="1833" w:type="dxa"/>
            <w:tcBorders>
              <w:top w:val="single" w:sz="8" w:space="0" w:color="auto"/>
              <w:left w:val="nil"/>
              <w:bottom w:val="single" w:sz="8" w:space="0" w:color="auto"/>
              <w:right w:val="nil"/>
            </w:tcBorders>
            <w:shd w:val="clear" w:color="auto" w:fill="auto"/>
            <w:hideMark/>
          </w:tcPr>
          <w:p w14:paraId="393D4FA4"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Social identity theory; corporate social responsibility; job satisfaction; organisational commitment; organisational trust.</w:t>
            </w:r>
          </w:p>
        </w:tc>
        <w:tc>
          <w:tcPr>
            <w:tcW w:w="1922" w:type="dxa"/>
            <w:tcBorders>
              <w:top w:val="single" w:sz="8" w:space="0" w:color="auto"/>
              <w:left w:val="nil"/>
              <w:bottom w:val="single" w:sz="8" w:space="0" w:color="auto"/>
              <w:right w:val="nil"/>
            </w:tcBorders>
            <w:shd w:val="clear" w:color="auto" w:fill="auto"/>
            <w:hideMark/>
          </w:tcPr>
          <w:p w14:paraId="002527B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Quantitative survey of 171 construction-industry employees analysed using partial least squares structural equation modelling.</w:t>
            </w:r>
          </w:p>
        </w:tc>
        <w:tc>
          <w:tcPr>
            <w:tcW w:w="2068" w:type="dxa"/>
            <w:tcBorders>
              <w:top w:val="single" w:sz="8" w:space="0" w:color="auto"/>
              <w:left w:val="nil"/>
              <w:bottom w:val="single" w:sz="8" w:space="0" w:color="auto"/>
              <w:right w:val="nil"/>
            </w:tcBorders>
            <w:shd w:val="clear" w:color="auto" w:fill="auto"/>
            <w:hideMark/>
          </w:tcPr>
          <w:p w14:paraId="2C704E00"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CSR–performance research has not fully explained which employee attitudes transmit perceived CSR into individual performance.</w:t>
            </w:r>
          </w:p>
        </w:tc>
        <w:tc>
          <w:tcPr>
            <w:tcW w:w="2112" w:type="dxa"/>
            <w:tcBorders>
              <w:top w:val="single" w:sz="8" w:space="0" w:color="auto"/>
              <w:left w:val="nil"/>
              <w:bottom w:val="single" w:sz="8" w:space="0" w:color="auto"/>
              <w:right w:val="nil"/>
            </w:tcBorders>
            <w:shd w:val="clear" w:color="auto" w:fill="auto"/>
            <w:hideMark/>
          </w:tcPr>
          <w:p w14:paraId="6B6D1F47"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A small, single-industry cross-sectional sample limits causal inference and wider generalisation.</w:t>
            </w:r>
          </w:p>
        </w:tc>
        <w:tc>
          <w:tcPr>
            <w:tcW w:w="2118" w:type="dxa"/>
            <w:tcBorders>
              <w:top w:val="single" w:sz="8" w:space="0" w:color="auto"/>
              <w:left w:val="nil"/>
              <w:bottom w:val="single" w:sz="8" w:space="0" w:color="auto"/>
              <w:right w:val="nil"/>
            </w:tcBorders>
            <w:shd w:val="clear" w:color="auto" w:fill="auto"/>
            <w:hideMark/>
          </w:tcPr>
          <w:p w14:paraId="5455E7BE"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Perceived CSR did not directly predict performance; supported indirect effects operated through job satisfaction and organisational trust rather than all proposed mediators.</w:t>
            </w:r>
          </w:p>
        </w:tc>
        <w:tc>
          <w:tcPr>
            <w:tcW w:w="2153" w:type="dxa"/>
            <w:tcBorders>
              <w:top w:val="single" w:sz="8" w:space="0" w:color="auto"/>
              <w:left w:val="nil"/>
              <w:bottom w:val="single" w:sz="8" w:space="0" w:color="auto"/>
              <w:right w:val="single" w:sz="4" w:space="0" w:color="auto"/>
            </w:tcBorders>
            <w:shd w:val="clear" w:color="auto" w:fill="auto"/>
            <w:hideMark/>
          </w:tcPr>
          <w:p w14:paraId="7EA85516" w14:textId="77777777" w:rsidR="00566303" w:rsidRPr="00566303" w:rsidRDefault="00566303" w:rsidP="00566303">
            <w:pPr>
              <w:spacing w:before="0" w:after="0" w:line="240" w:lineRule="auto"/>
              <w:jc w:val="left"/>
              <w:rPr>
                <w:color w:val="000000"/>
                <w:kern w:val="0"/>
                <w:szCs w:val="24"/>
                <w:lang w:val="en-US" w:eastAsia="en-US"/>
                <w14:ligatures w14:val="none"/>
              </w:rPr>
            </w:pPr>
            <w:r w:rsidRPr="00566303">
              <w:rPr>
                <w:color w:val="000000"/>
                <w:kern w:val="0"/>
                <w:szCs w:val="24"/>
                <w:lang w:val="en-US" w:eastAsia="en-US"/>
                <w14:ligatures w14:val="none"/>
              </w:rPr>
              <w:t>Shows that commitment is not always the dominant mediator, reinforcing the need to test competing employee-attitude mechanisms empirically.</w:t>
            </w:r>
          </w:p>
        </w:tc>
      </w:tr>
    </w:tbl>
    <w:p w14:paraId="01F960CE" w14:textId="1607E160" w:rsidR="00680D7A" w:rsidRDefault="00680D7A" w:rsidP="00455397">
      <w:pPr>
        <w:rPr>
          <w:lang w:val="en-US" w:eastAsia="en-US" w:bidi="bn-IN"/>
        </w:rPr>
      </w:pPr>
    </w:p>
    <w:p w14:paraId="475DEFF9" w14:textId="77777777" w:rsidR="00680D7A" w:rsidRDefault="00680D7A">
      <w:pPr>
        <w:spacing w:before="0" w:after="160" w:line="259" w:lineRule="auto"/>
        <w:jc w:val="left"/>
        <w:rPr>
          <w:lang w:val="en-US" w:eastAsia="en-US" w:bidi="bn-IN"/>
        </w:rPr>
      </w:pPr>
      <w:r>
        <w:rPr>
          <w:lang w:val="en-US" w:eastAsia="en-US" w:bidi="bn-IN"/>
        </w:rPr>
        <w:br w:type="page"/>
      </w:r>
    </w:p>
    <w:p w14:paraId="0FB7B783" w14:textId="2A395654" w:rsidR="00DD5D57" w:rsidRDefault="00680D7A" w:rsidP="00680D7A">
      <w:pPr>
        <w:pStyle w:val="Heading2"/>
        <w:rPr>
          <w:bCs/>
        </w:rPr>
      </w:pPr>
      <w:r>
        <w:lastRenderedPageBreak/>
        <w:t xml:space="preserve">Appendix F: </w:t>
      </w:r>
      <w:r w:rsidRPr="00680D7A">
        <w:rPr>
          <w:bCs/>
        </w:rPr>
        <w:t>Ethical Approval</w:t>
      </w:r>
    </w:p>
    <w:p w14:paraId="2622DFD6" w14:textId="77777777" w:rsidR="00AB3A3E" w:rsidRDefault="00AB3A3E" w:rsidP="00AB3A3E">
      <w:pPr>
        <w:tabs>
          <w:tab w:val="left" w:pos="5103"/>
        </w:tabs>
        <w:jc w:val="center"/>
        <w:rPr>
          <w:rFonts w:ascii="Arial" w:hAnsi="Arial" w:cs="Arial"/>
          <w:b/>
          <w:bCs/>
          <w:szCs w:val="24"/>
        </w:rPr>
      </w:pPr>
      <w:r>
        <w:rPr>
          <w:rFonts w:ascii="Arial" w:hAnsi="Arial" w:cs="Arial"/>
          <w:b/>
          <w:bCs/>
          <w:szCs w:val="24"/>
        </w:rPr>
        <w:t>-</w:t>
      </w:r>
    </w:p>
    <w:p w14:paraId="22F1E54B" w14:textId="77777777" w:rsidR="00AB3A3E" w:rsidRPr="004C3A0B" w:rsidRDefault="00AB3A3E" w:rsidP="00AB3A3E">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34F642D7" w14:textId="77777777" w:rsidR="00AB3A3E" w:rsidRPr="004C3A0B" w:rsidRDefault="00AB3A3E" w:rsidP="00AB3A3E">
      <w:pPr>
        <w:tabs>
          <w:tab w:val="left" w:pos="5103"/>
        </w:tabs>
        <w:ind w:right="282"/>
        <w:jc w:val="center"/>
        <w:rPr>
          <w:rFonts w:ascii="Arial" w:hAnsi="Arial" w:cs="Arial"/>
          <w:b/>
          <w:bCs/>
        </w:rPr>
      </w:pPr>
    </w:p>
    <w:p w14:paraId="666F0EB7" w14:textId="77777777" w:rsidR="00AB3A3E" w:rsidRPr="004C3A0B" w:rsidRDefault="00AB3A3E" w:rsidP="00AB3A3E">
      <w:pPr>
        <w:tabs>
          <w:tab w:val="left" w:pos="5103"/>
        </w:tabs>
        <w:ind w:right="282"/>
        <w:rPr>
          <w:rFonts w:ascii="Arial" w:hAnsi="Arial" w:cs="Arial"/>
          <w:b/>
          <w:bCs/>
          <w:sz w:val="22"/>
        </w:rPr>
      </w:pPr>
      <w:r w:rsidRPr="004C3A0B">
        <w:rPr>
          <w:rFonts w:ascii="Arial" w:hAnsi="Arial" w:cs="Arial"/>
          <w:b/>
          <w:bCs/>
          <w:sz w:val="22"/>
        </w:rPr>
        <w:t xml:space="preserve">In order for research to result in benefit and minimise risk of harm, it must be conducted ethically. </w:t>
      </w:r>
    </w:p>
    <w:p w14:paraId="4D946FCD" w14:textId="77777777" w:rsidR="00AB3A3E" w:rsidRPr="004C3A0B" w:rsidRDefault="00AB3A3E" w:rsidP="00AB3A3E">
      <w:pPr>
        <w:tabs>
          <w:tab w:val="left" w:pos="5103"/>
        </w:tabs>
        <w:ind w:right="282"/>
        <w:jc w:val="center"/>
        <w:rPr>
          <w:rFonts w:ascii="Arial" w:hAnsi="Arial" w:cs="Arial"/>
          <w:b/>
          <w:bCs/>
          <w:sz w:val="16"/>
          <w:szCs w:val="16"/>
        </w:rPr>
      </w:pPr>
    </w:p>
    <w:p w14:paraId="5291E5D6" w14:textId="77777777" w:rsidR="00AB3A3E" w:rsidRPr="004C3A0B" w:rsidRDefault="00AB3A3E" w:rsidP="00AB3A3E">
      <w:pPr>
        <w:tabs>
          <w:tab w:val="left" w:pos="5103"/>
        </w:tabs>
        <w:ind w:right="282"/>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2B1ED4" w14:textId="77777777" w:rsidR="00AB3A3E" w:rsidRPr="004C3A0B" w:rsidRDefault="00AB3A3E" w:rsidP="00AB3A3E">
      <w:pPr>
        <w:tabs>
          <w:tab w:val="left" w:pos="5103"/>
        </w:tabs>
        <w:ind w:right="282"/>
        <w:rPr>
          <w:rFonts w:ascii="Arial" w:hAnsi="Arial" w:cs="Arial"/>
          <w:sz w:val="22"/>
        </w:rPr>
      </w:pPr>
    </w:p>
    <w:p w14:paraId="0B4A8DED" w14:textId="77777777" w:rsidR="00AB3A3E" w:rsidRPr="004C3A0B" w:rsidRDefault="00AB3A3E" w:rsidP="00AB3A3E">
      <w:pPr>
        <w:tabs>
          <w:tab w:val="left" w:pos="5103"/>
        </w:tabs>
        <w:ind w:right="282"/>
        <w:rPr>
          <w:rFonts w:ascii="Arial" w:hAnsi="Arial" w:cs="Arial"/>
          <w:sz w:val="22"/>
        </w:rPr>
      </w:pPr>
      <w:r w:rsidRPr="004C3A0B">
        <w:rPr>
          <w:rFonts w:ascii="Arial" w:hAnsi="Arial" w:cs="Arial"/>
          <w:sz w:val="22"/>
        </w:rPr>
        <w:t>The individual undertaking the research activity is known as the “principal researcher”.</w:t>
      </w:r>
    </w:p>
    <w:p w14:paraId="46336795" w14:textId="77777777" w:rsidR="00AB3A3E" w:rsidRPr="004C3A0B" w:rsidRDefault="00AB3A3E" w:rsidP="00AB3A3E">
      <w:pPr>
        <w:tabs>
          <w:tab w:val="left" w:pos="5103"/>
        </w:tabs>
        <w:ind w:right="282"/>
        <w:rPr>
          <w:rFonts w:ascii="Arial" w:hAnsi="Arial" w:cs="Arial"/>
          <w:sz w:val="22"/>
        </w:rPr>
      </w:pPr>
    </w:p>
    <w:p w14:paraId="3D199898" w14:textId="77777777" w:rsidR="00AB3A3E" w:rsidRDefault="00AB3A3E" w:rsidP="00AB3A3E">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w:t>
      </w:r>
    </w:p>
    <w:p w14:paraId="19FFD46A" w14:textId="77777777" w:rsidR="00AB3A3E" w:rsidRPr="004C3A0B" w:rsidRDefault="00AB3A3E" w:rsidP="00AB3A3E">
      <w:pPr>
        <w:autoSpaceDE w:val="0"/>
        <w:autoSpaceDN w:val="0"/>
        <w:adjustRightInd w:val="0"/>
        <w:rPr>
          <w:rFonts w:ascii="Arial" w:hAnsi="Arial" w:cs="Arial"/>
          <w:sz w:val="22"/>
        </w:rPr>
      </w:pPr>
    </w:p>
    <w:p w14:paraId="0684AE25" w14:textId="77777777" w:rsidR="00AB3A3E" w:rsidRPr="004C3A0B" w:rsidRDefault="00AB3A3E" w:rsidP="00AB3A3E">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B3A3E" w:rsidRPr="004C3A0B" w14:paraId="210CB7B2" w14:textId="77777777" w:rsidTr="005A5587">
        <w:trPr>
          <w:trHeight w:val="439"/>
        </w:trPr>
        <w:tc>
          <w:tcPr>
            <w:tcW w:w="559" w:type="dxa"/>
            <w:shd w:val="clear" w:color="auto" w:fill="F2F2F2" w:themeFill="background1" w:themeFillShade="F2"/>
            <w:vAlign w:val="center"/>
          </w:tcPr>
          <w:p w14:paraId="2B19676F" w14:textId="77777777" w:rsidR="00AB3A3E" w:rsidRPr="004C3A0B" w:rsidRDefault="00AB3A3E" w:rsidP="005A5587">
            <w:pPr>
              <w:rPr>
                <w:rFonts w:ascii="Arial" w:hAnsi="Arial" w:cs="Arial"/>
                <w:sz w:val="22"/>
              </w:rPr>
            </w:pPr>
            <w:r>
              <w:rPr>
                <w:rFonts w:ascii="Arial" w:hAnsi="Arial" w:cs="Arial"/>
                <w:sz w:val="22"/>
              </w:rPr>
              <w:t>1</w:t>
            </w:r>
          </w:p>
        </w:tc>
        <w:tc>
          <w:tcPr>
            <w:tcW w:w="3253" w:type="dxa"/>
            <w:shd w:val="clear" w:color="auto" w:fill="F2F2F2" w:themeFill="background1" w:themeFillShade="F2"/>
            <w:vAlign w:val="center"/>
          </w:tcPr>
          <w:p w14:paraId="08A1C453" w14:textId="77777777" w:rsidR="00AB3A3E" w:rsidRPr="004C3A0B" w:rsidRDefault="00AB3A3E" w:rsidP="005A5587">
            <w:pPr>
              <w:rPr>
                <w:rFonts w:ascii="Arial" w:hAnsi="Arial" w:cs="Arial"/>
                <w:sz w:val="22"/>
              </w:rPr>
            </w:pPr>
            <w:r w:rsidRPr="004C3A0B">
              <w:rPr>
                <w:rFonts w:ascii="Arial" w:hAnsi="Arial" w:cs="Arial"/>
                <w:sz w:val="22"/>
              </w:rPr>
              <w:t>Full Name:</w:t>
            </w:r>
          </w:p>
        </w:tc>
        <w:tc>
          <w:tcPr>
            <w:tcW w:w="6636" w:type="dxa"/>
            <w:vAlign w:val="center"/>
          </w:tcPr>
          <w:p w14:paraId="40F56411" w14:textId="77777777" w:rsidR="00AB3A3E" w:rsidRPr="004C3A0B" w:rsidRDefault="00AB3A3E" w:rsidP="005A5587">
            <w:pPr>
              <w:rPr>
                <w:rFonts w:ascii="Arial" w:hAnsi="Arial" w:cs="Arial"/>
                <w:sz w:val="22"/>
              </w:rPr>
            </w:pPr>
            <w:r w:rsidRPr="00CA7040">
              <w:rPr>
                <w:rFonts w:ascii="Arial" w:hAnsi="Arial" w:cs="Arial"/>
                <w:sz w:val="22"/>
              </w:rPr>
              <w:t>Rabin Hasan</w:t>
            </w:r>
          </w:p>
        </w:tc>
      </w:tr>
      <w:tr w:rsidR="00AB3A3E" w:rsidRPr="004C3A0B" w14:paraId="7D15009B" w14:textId="77777777" w:rsidTr="005A5587">
        <w:trPr>
          <w:cantSplit/>
          <w:trHeight w:val="340"/>
        </w:trPr>
        <w:tc>
          <w:tcPr>
            <w:tcW w:w="559" w:type="dxa"/>
            <w:shd w:val="clear" w:color="auto" w:fill="F2F2F2" w:themeFill="background1" w:themeFillShade="F2"/>
            <w:vAlign w:val="center"/>
          </w:tcPr>
          <w:p w14:paraId="7FEFE121" w14:textId="77777777" w:rsidR="00AB3A3E" w:rsidRPr="004C3A0B" w:rsidRDefault="00AB3A3E" w:rsidP="005A5587">
            <w:pPr>
              <w:rPr>
                <w:rFonts w:ascii="Arial" w:hAnsi="Arial" w:cs="Arial"/>
                <w:sz w:val="22"/>
              </w:rPr>
            </w:pPr>
            <w:r>
              <w:rPr>
                <w:rFonts w:ascii="Arial" w:hAnsi="Arial" w:cs="Arial"/>
                <w:sz w:val="22"/>
              </w:rPr>
              <w:lastRenderedPageBreak/>
              <w:t>2</w:t>
            </w:r>
          </w:p>
        </w:tc>
        <w:tc>
          <w:tcPr>
            <w:tcW w:w="3253" w:type="dxa"/>
            <w:shd w:val="clear" w:color="auto" w:fill="F2F2F2" w:themeFill="background1" w:themeFillShade="F2"/>
            <w:vAlign w:val="center"/>
          </w:tcPr>
          <w:p w14:paraId="309CBB68" w14:textId="77777777" w:rsidR="00AB3A3E" w:rsidRPr="004C3A0B" w:rsidRDefault="00AB3A3E" w:rsidP="005A5587">
            <w:pPr>
              <w:rPr>
                <w:rFonts w:ascii="Arial" w:hAnsi="Arial" w:cs="Arial"/>
                <w:sz w:val="22"/>
              </w:rPr>
            </w:pPr>
            <w:r>
              <w:rPr>
                <w:rFonts w:ascii="Arial" w:hAnsi="Arial" w:cs="Arial"/>
                <w:sz w:val="22"/>
              </w:rPr>
              <w:t>Student Number:</w:t>
            </w:r>
          </w:p>
        </w:tc>
        <w:tc>
          <w:tcPr>
            <w:tcW w:w="6636" w:type="dxa"/>
            <w:vAlign w:val="center"/>
          </w:tcPr>
          <w:p w14:paraId="07CE4765" w14:textId="77777777" w:rsidR="00AB3A3E" w:rsidRDefault="00AB3A3E" w:rsidP="005A5587">
            <w:pPr>
              <w:rPr>
                <w:rFonts w:ascii="Arial" w:hAnsi="Arial" w:cs="Arial"/>
                <w:sz w:val="22"/>
              </w:rPr>
            </w:pPr>
          </w:p>
          <w:p w14:paraId="0F95B387" w14:textId="77777777" w:rsidR="00AB3A3E" w:rsidRPr="004C3A0B" w:rsidRDefault="00AB3A3E" w:rsidP="005A5587">
            <w:pPr>
              <w:rPr>
                <w:rFonts w:ascii="Arial" w:hAnsi="Arial" w:cs="Arial"/>
                <w:sz w:val="22"/>
              </w:rPr>
            </w:pPr>
            <w:r w:rsidRPr="00CA7040">
              <w:rPr>
                <w:rFonts w:ascii="Arial" w:hAnsi="Arial" w:cs="Arial"/>
                <w:sz w:val="22"/>
              </w:rPr>
              <w:t>2504378</w:t>
            </w:r>
          </w:p>
        </w:tc>
      </w:tr>
      <w:tr w:rsidR="00AB3A3E" w:rsidRPr="004C3A0B" w14:paraId="6D55C5E4" w14:textId="77777777" w:rsidTr="005A5587">
        <w:trPr>
          <w:trHeight w:val="513"/>
        </w:trPr>
        <w:tc>
          <w:tcPr>
            <w:tcW w:w="559" w:type="dxa"/>
            <w:shd w:val="clear" w:color="auto" w:fill="F2F2F2" w:themeFill="background1" w:themeFillShade="F2"/>
            <w:vAlign w:val="center"/>
          </w:tcPr>
          <w:p w14:paraId="29C52DDA" w14:textId="77777777" w:rsidR="00AB3A3E" w:rsidRPr="004C3A0B" w:rsidRDefault="00AB3A3E" w:rsidP="005A5587">
            <w:pPr>
              <w:rPr>
                <w:rFonts w:ascii="Arial" w:hAnsi="Arial" w:cs="Arial"/>
                <w:sz w:val="22"/>
              </w:rPr>
            </w:pPr>
            <w:r>
              <w:rPr>
                <w:rFonts w:ascii="Arial" w:hAnsi="Arial" w:cs="Arial"/>
                <w:sz w:val="22"/>
              </w:rPr>
              <w:t>3</w:t>
            </w:r>
          </w:p>
        </w:tc>
        <w:tc>
          <w:tcPr>
            <w:tcW w:w="3253" w:type="dxa"/>
            <w:shd w:val="clear" w:color="auto" w:fill="F2F2F2" w:themeFill="background1" w:themeFillShade="F2"/>
            <w:vAlign w:val="center"/>
          </w:tcPr>
          <w:p w14:paraId="0C7CBB1F" w14:textId="77777777" w:rsidR="00AB3A3E" w:rsidRPr="004C3A0B" w:rsidRDefault="00AB3A3E" w:rsidP="005A5587">
            <w:pPr>
              <w:rPr>
                <w:rFonts w:ascii="Arial" w:hAnsi="Arial" w:cs="Arial"/>
                <w:sz w:val="22"/>
              </w:rPr>
            </w:pPr>
            <w:r>
              <w:rPr>
                <w:rFonts w:ascii="Arial" w:hAnsi="Arial" w:cs="Arial"/>
                <w:sz w:val="22"/>
              </w:rPr>
              <w:t>Email address</w:t>
            </w:r>
            <w:r w:rsidRPr="004C3A0B">
              <w:rPr>
                <w:rFonts w:ascii="Arial" w:hAnsi="Arial" w:cs="Arial"/>
                <w:sz w:val="22"/>
              </w:rPr>
              <w:t>:</w:t>
            </w:r>
          </w:p>
        </w:tc>
        <w:tc>
          <w:tcPr>
            <w:tcW w:w="6636" w:type="dxa"/>
            <w:vAlign w:val="center"/>
          </w:tcPr>
          <w:p w14:paraId="28234D36" w14:textId="77777777" w:rsidR="00AB3A3E" w:rsidRPr="004C3A0B" w:rsidRDefault="00AB3A3E" w:rsidP="005A5587">
            <w:pPr>
              <w:rPr>
                <w:rFonts w:ascii="Arial" w:hAnsi="Arial" w:cs="Arial"/>
                <w:sz w:val="22"/>
              </w:rPr>
            </w:pPr>
            <w:r w:rsidRPr="00CA7040">
              <w:rPr>
                <w:rFonts w:ascii="Arial" w:hAnsi="Arial" w:cs="Arial"/>
                <w:sz w:val="22"/>
              </w:rPr>
              <w:t>advrabinhasan36@gmail.com</w:t>
            </w:r>
          </w:p>
        </w:tc>
      </w:tr>
      <w:tr w:rsidR="00AB3A3E" w:rsidRPr="004C3A0B" w14:paraId="53533F26" w14:textId="77777777" w:rsidTr="005A5587">
        <w:trPr>
          <w:trHeight w:val="549"/>
        </w:trPr>
        <w:tc>
          <w:tcPr>
            <w:tcW w:w="559" w:type="dxa"/>
            <w:shd w:val="clear" w:color="auto" w:fill="F2F2F2" w:themeFill="background1" w:themeFillShade="F2"/>
            <w:vAlign w:val="center"/>
          </w:tcPr>
          <w:p w14:paraId="0E959B4A" w14:textId="77777777" w:rsidR="00AB3A3E" w:rsidRPr="004C3A0B" w:rsidRDefault="00AB3A3E" w:rsidP="005A5587">
            <w:pPr>
              <w:rPr>
                <w:rFonts w:ascii="Arial" w:hAnsi="Arial" w:cs="Arial"/>
                <w:sz w:val="22"/>
              </w:rPr>
            </w:pPr>
            <w:r>
              <w:rPr>
                <w:rFonts w:ascii="Arial" w:hAnsi="Arial" w:cs="Arial"/>
                <w:sz w:val="22"/>
              </w:rPr>
              <w:t>4</w:t>
            </w:r>
          </w:p>
        </w:tc>
        <w:tc>
          <w:tcPr>
            <w:tcW w:w="3253" w:type="dxa"/>
            <w:shd w:val="clear" w:color="auto" w:fill="F2F2F2" w:themeFill="background1" w:themeFillShade="F2"/>
            <w:vAlign w:val="center"/>
          </w:tcPr>
          <w:p w14:paraId="1C732919" w14:textId="77777777" w:rsidR="00AB3A3E" w:rsidRPr="004C3A0B" w:rsidRDefault="00AB3A3E" w:rsidP="005A5587">
            <w:pPr>
              <w:rPr>
                <w:rFonts w:ascii="Arial" w:hAnsi="Arial" w:cs="Arial"/>
                <w:sz w:val="22"/>
              </w:rPr>
            </w:pPr>
            <w:r w:rsidRPr="004C3A0B">
              <w:rPr>
                <w:rFonts w:ascii="Arial" w:hAnsi="Arial" w:cs="Arial"/>
                <w:sz w:val="22"/>
              </w:rPr>
              <w:t>Programme of Study:</w:t>
            </w:r>
          </w:p>
        </w:tc>
        <w:tc>
          <w:tcPr>
            <w:tcW w:w="6636" w:type="dxa"/>
            <w:vAlign w:val="center"/>
          </w:tcPr>
          <w:p w14:paraId="08FC54F0" w14:textId="77777777" w:rsidR="00AB3A3E" w:rsidRPr="004C3A0B" w:rsidRDefault="00AB3A3E" w:rsidP="005A5587">
            <w:pPr>
              <w:rPr>
                <w:rFonts w:ascii="Arial" w:hAnsi="Arial" w:cs="Arial"/>
                <w:sz w:val="22"/>
              </w:rPr>
            </w:pPr>
            <w:r w:rsidRPr="00CA7040">
              <w:rPr>
                <w:rFonts w:ascii="Arial" w:hAnsi="Arial" w:cs="Arial"/>
                <w:sz w:val="22"/>
              </w:rPr>
              <w:t>MBA in international business</w:t>
            </w:r>
          </w:p>
        </w:tc>
      </w:tr>
      <w:tr w:rsidR="00AB3A3E" w:rsidRPr="004C3A0B" w14:paraId="6B7CE2AA" w14:textId="77777777" w:rsidTr="005A5587">
        <w:trPr>
          <w:trHeight w:val="557"/>
        </w:trPr>
        <w:tc>
          <w:tcPr>
            <w:tcW w:w="559" w:type="dxa"/>
            <w:shd w:val="clear" w:color="auto" w:fill="F2F2F2" w:themeFill="background1" w:themeFillShade="F2"/>
            <w:vAlign w:val="center"/>
          </w:tcPr>
          <w:p w14:paraId="3BAA64FB" w14:textId="77777777" w:rsidR="00AB3A3E" w:rsidRPr="004C3A0B" w:rsidRDefault="00AB3A3E" w:rsidP="005A5587">
            <w:pPr>
              <w:rPr>
                <w:rFonts w:ascii="Arial" w:hAnsi="Arial" w:cs="Arial"/>
                <w:sz w:val="22"/>
              </w:rPr>
            </w:pPr>
            <w:r>
              <w:rPr>
                <w:rFonts w:ascii="Arial" w:hAnsi="Arial" w:cs="Arial"/>
                <w:sz w:val="22"/>
              </w:rPr>
              <w:t>5</w:t>
            </w:r>
          </w:p>
        </w:tc>
        <w:tc>
          <w:tcPr>
            <w:tcW w:w="3253" w:type="dxa"/>
            <w:shd w:val="clear" w:color="auto" w:fill="F2F2F2" w:themeFill="background1" w:themeFillShade="F2"/>
            <w:vAlign w:val="center"/>
          </w:tcPr>
          <w:p w14:paraId="12F0B24D" w14:textId="77777777" w:rsidR="00AB3A3E" w:rsidRPr="004C3A0B" w:rsidRDefault="00AB3A3E" w:rsidP="005A5587">
            <w:pPr>
              <w:rPr>
                <w:rFonts w:ascii="Arial" w:hAnsi="Arial" w:cs="Arial"/>
                <w:sz w:val="22"/>
              </w:rPr>
            </w:pPr>
            <w:r w:rsidRPr="004C3A0B">
              <w:rPr>
                <w:rFonts w:ascii="Arial" w:hAnsi="Arial" w:cs="Arial"/>
                <w:sz w:val="22"/>
              </w:rPr>
              <w:t>Supervisor:</w:t>
            </w:r>
          </w:p>
        </w:tc>
        <w:tc>
          <w:tcPr>
            <w:tcW w:w="6636" w:type="dxa"/>
            <w:vAlign w:val="center"/>
          </w:tcPr>
          <w:p w14:paraId="36F4E188" w14:textId="77777777" w:rsidR="00AB3A3E" w:rsidRPr="004C3A0B" w:rsidRDefault="00AB3A3E" w:rsidP="005A5587">
            <w:pPr>
              <w:rPr>
                <w:rFonts w:ascii="Arial" w:hAnsi="Arial" w:cs="Arial"/>
                <w:sz w:val="22"/>
              </w:rPr>
            </w:pPr>
            <w:r w:rsidRPr="00CA7040">
              <w:rPr>
                <w:rFonts w:ascii="Arial" w:hAnsi="Arial" w:cs="Arial"/>
                <w:sz w:val="22"/>
              </w:rPr>
              <w:t>Alireza Nazarian</w:t>
            </w:r>
          </w:p>
        </w:tc>
      </w:tr>
    </w:tbl>
    <w:p w14:paraId="31107FCE" w14:textId="77777777" w:rsidR="00AB3A3E" w:rsidRDefault="00AB3A3E" w:rsidP="00AB3A3E">
      <w:pPr>
        <w:autoSpaceDE w:val="0"/>
        <w:autoSpaceDN w:val="0"/>
        <w:adjustRightInd w:val="0"/>
        <w:spacing w:after="240"/>
        <w:rPr>
          <w:rFonts w:ascii="Arial" w:hAnsi="Arial" w:cs="Arial"/>
          <w:b/>
          <w:sz w:val="22"/>
        </w:rPr>
      </w:pPr>
    </w:p>
    <w:p w14:paraId="6103D8D3" w14:textId="77777777" w:rsidR="00AB3A3E" w:rsidRPr="004C3A0B" w:rsidRDefault="00AB3A3E" w:rsidP="00AB3A3E">
      <w:pPr>
        <w:autoSpaceDE w:val="0"/>
        <w:autoSpaceDN w:val="0"/>
        <w:adjustRightInd w:val="0"/>
        <w:spacing w:after="240"/>
        <w:rPr>
          <w:rFonts w:ascii="Arial" w:hAnsi="Arial" w:cs="Arial"/>
          <w:b/>
          <w:sz w:val="22"/>
        </w:rPr>
      </w:pPr>
      <w:r w:rsidRPr="004C3A0B">
        <w:rPr>
          <w:rFonts w:ascii="Arial" w:hAnsi="Arial" w:cs="Arial"/>
          <w:b/>
          <w:sz w:val="22"/>
        </w:rPr>
        <w:t>SECTION</w:t>
      </w:r>
      <w:r>
        <w:rPr>
          <w:rFonts w:ascii="Arial" w:hAnsi="Arial" w:cs="Arial"/>
          <w:b/>
          <w:sz w:val="22"/>
        </w:rPr>
        <w:t xml:space="preserve"> B</w:t>
      </w:r>
      <w:r w:rsidRPr="004C3A0B">
        <w:rPr>
          <w:rFonts w:ascii="Arial" w:hAnsi="Arial" w:cs="Arial"/>
          <w:b/>
          <w:sz w:val="22"/>
        </w:rPr>
        <w:t xml:space="preserve">: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B3A3E" w:rsidRPr="004C3A0B" w14:paraId="6D22C659" w14:textId="77777777" w:rsidTr="005A5587">
        <w:tc>
          <w:tcPr>
            <w:tcW w:w="562" w:type="dxa"/>
            <w:shd w:val="clear" w:color="auto" w:fill="F2F2F2" w:themeFill="background1" w:themeFillShade="F2"/>
          </w:tcPr>
          <w:p w14:paraId="6BA2126E" w14:textId="77777777" w:rsidR="00AB3A3E" w:rsidRPr="004C3A0B" w:rsidRDefault="00AB3A3E" w:rsidP="005A5587">
            <w:pPr>
              <w:autoSpaceDE w:val="0"/>
              <w:autoSpaceDN w:val="0"/>
              <w:adjustRightInd w:val="0"/>
              <w:rPr>
                <w:rFonts w:ascii="Arial" w:hAnsi="Arial" w:cs="Arial"/>
                <w:sz w:val="22"/>
              </w:rPr>
            </w:pPr>
          </w:p>
        </w:tc>
        <w:tc>
          <w:tcPr>
            <w:tcW w:w="9918" w:type="dxa"/>
            <w:gridSpan w:val="2"/>
            <w:shd w:val="clear" w:color="auto" w:fill="F2F2F2" w:themeFill="background1" w:themeFillShade="F2"/>
          </w:tcPr>
          <w:p w14:paraId="43AA08DC"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Please list the core ethical guidance documents that have been referred to during the completion of this form (including any discipline-specific codes of research ethics, </w:t>
            </w:r>
            <w:r>
              <w:rPr>
                <w:rFonts w:ascii="Arial" w:hAnsi="Arial" w:cs="Arial"/>
                <w:sz w:val="22"/>
              </w:rPr>
              <w:t xml:space="preserve">location-specific codes of research ethics, </w:t>
            </w:r>
            <w:r w:rsidRPr="004C3A0B">
              <w:rPr>
                <w:rFonts w:ascii="Arial" w:hAnsi="Arial" w:cs="Arial"/>
                <w:sz w:val="22"/>
              </w:rPr>
              <w:t>and also any specific ethical guidance relating to the proposed methodology).  Please tick to confirm that your research proposal adheres to these codes and guidelines.</w:t>
            </w:r>
            <w:r>
              <w:rPr>
                <w:rFonts w:ascii="Arial" w:hAnsi="Arial" w:cs="Arial"/>
                <w:sz w:val="22"/>
              </w:rPr>
              <w:t xml:space="preserve"> You may add rows to this table if needed.</w:t>
            </w:r>
          </w:p>
        </w:tc>
      </w:tr>
      <w:tr w:rsidR="00AB3A3E" w:rsidRPr="004C3A0B" w14:paraId="6DD8C1E3" w14:textId="77777777" w:rsidTr="005A5587">
        <w:trPr>
          <w:trHeight w:val="355"/>
        </w:trPr>
        <w:tc>
          <w:tcPr>
            <w:tcW w:w="562" w:type="dxa"/>
            <w:vAlign w:val="center"/>
          </w:tcPr>
          <w:p w14:paraId="6A2029C8" w14:textId="77777777" w:rsidR="00AB3A3E" w:rsidRPr="002132F9" w:rsidRDefault="00AB3A3E" w:rsidP="005A5587">
            <w:pPr>
              <w:autoSpaceDE w:val="0"/>
              <w:autoSpaceDN w:val="0"/>
              <w:adjustRightInd w:val="0"/>
              <w:rPr>
                <w:rFonts w:ascii="Arial" w:hAnsi="Arial" w:cs="Arial"/>
                <w:sz w:val="22"/>
              </w:rPr>
            </w:pPr>
            <w:r w:rsidRPr="002132F9">
              <w:rPr>
                <w:rFonts w:ascii="Arial" w:hAnsi="Arial" w:cs="Arial"/>
                <w:sz w:val="22"/>
              </w:rPr>
              <w:t>1</w:t>
            </w:r>
          </w:p>
        </w:tc>
        <w:tc>
          <w:tcPr>
            <w:tcW w:w="8784" w:type="dxa"/>
            <w:vAlign w:val="center"/>
          </w:tcPr>
          <w:p w14:paraId="6EEFDB9C" w14:textId="77777777" w:rsidR="00AB3A3E" w:rsidRPr="003F6F7B" w:rsidRDefault="00000000" w:rsidP="005A5587">
            <w:pPr>
              <w:autoSpaceDE w:val="0"/>
              <w:autoSpaceDN w:val="0"/>
              <w:adjustRightInd w:val="0"/>
              <w:rPr>
                <w:rFonts w:ascii="Arial" w:hAnsi="Arial" w:cs="Arial"/>
                <w:b/>
                <w:bCs/>
                <w:sz w:val="22"/>
              </w:rPr>
            </w:pPr>
            <w:hyperlink r:id="rId101" w:history="1">
              <w:r w:rsidR="00AB3A3E" w:rsidRPr="005704BE">
                <w:rPr>
                  <w:rStyle w:val="Hyperlink"/>
                  <w:rFonts w:ascii="Arial" w:eastAsiaTheme="majorEastAsia" w:hAnsi="Arial" w:cs="Arial"/>
                  <w:b/>
                  <w:bCs/>
                  <w:color w:val="auto"/>
                  <w:sz w:val="22"/>
                </w:rPr>
                <w:t>UWTSD Research Ethi</w:t>
              </w:r>
              <w:r w:rsidR="00AB3A3E">
                <w:rPr>
                  <w:rStyle w:val="Hyperlink"/>
                  <w:rFonts w:ascii="Arial" w:eastAsiaTheme="majorEastAsia" w:hAnsi="Arial" w:cs="Arial"/>
                  <w:b/>
                  <w:bCs/>
                  <w:color w:val="auto"/>
                  <w:sz w:val="22"/>
                </w:rPr>
                <w:t>cs &amp; Integrity Code of Practice</w:t>
              </w:r>
            </w:hyperlink>
          </w:p>
        </w:tc>
        <w:sdt>
          <w:sdtPr>
            <w:rPr>
              <w:rFonts w:ascii="Arial" w:hAnsi="Arial" w:cs="Arial"/>
              <w:b/>
              <w:bCs/>
              <w:sz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2C8D67A" w14:textId="77777777" w:rsidR="00AB3A3E" w:rsidRPr="00DD0929"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r>
      <w:tr w:rsidR="00AB3A3E" w:rsidRPr="004C3A0B" w14:paraId="5C8A80A3" w14:textId="77777777" w:rsidTr="005A5587">
        <w:trPr>
          <w:trHeight w:val="417"/>
        </w:trPr>
        <w:tc>
          <w:tcPr>
            <w:tcW w:w="562" w:type="dxa"/>
            <w:vAlign w:val="center"/>
          </w:tcPr>
          <w:p w14:paraId="2F930AD1" w14:textId="77777777" w:rsidR="00AB3A3E" w:rsidRPr="002132F9" w:rsidRDefault="00AB3A3E" w:rsidP="005A5587">
            <w:pPr>
              <w:autoSpaceDE w:val="0"/>
              <w:autoSpaceDN w:val="0"/>
              <w:adjustRightInd w:val="0"/>
              <w:rPr>
                <w:rFonts w:ascii="Arial" w:hAnsi="Arial" w:cs="Arial"/>
                <w:sz w:val="22"/>
              </w:rPr>
            </w:pPr>
            <w:r w:rsidRPr="002132F9">
              <w:rPr>
                <w:rFonts w:ascii="Arial" w:hAnsi="Arial" w:cs="Arial"/>
                <w:sz w:val="22"/>
              </w:rPr>
              <w:t>2</w:t>
            </w:r>
          </w:p>
        </w:tc>
        <w:tc>
          <w:tcPr>
            <w:tcW w:w="8784" w:type="dxa"/>
            <w:vAlign w:val="center"/>
          </w:tcPr>
          <w:p w14:paraId="3712CD2B" w14:textId="77777777" w:rsidR="00AB3A3E" w:rsidRPr="006C1FDD" w:rsidRDefault="00AB3A3E" w:rsidP="005A5587">
            <w:pPr>
              <w:autoSpaceDE w:val="0"/>
              <w:autoSpaceDN w:val="0"/>
              <w:adjustRightInd w:val="0"/>
              <w:rPr>
                <w:rFonts w:ascii="Arial" w:hAnsi="Arial" w:cs="Arial"/>
                <w:b/>
                <w:bCs/>
                <w:color w:val="FF0000"/>
                <w:sz w:val="22"/>
              </w:rPr>
            </w:pPr>
            <w:r w:rsidRPr="006C1FDD">
              <w:rPr>
                <w:rFonts w:ascii="Arial" w:hAnsi="Arial" w:cs="Arial"/>
                <w:b/>
                <w:bCs/>
                <w:sz w:val="22"/>
              </w:rPr>
              <w:t>UWTSD Research Data Management Policy</w:t>
            </w:r>
          </w:p>
        </w:tc>
        <w:tc>
          <w:tcPr>
            <w:tcW w:w="1134" w:type="dxa"/>
            <w:shd w:val="clear" w:color="auto" w:fill="BFBFBF" w:themeFill="background1" w:themeFillShade="BF"/>
            <w:vAlign w:val="center"/>
          </w:tcPr>
          <w:sdt>
            <w:sdtPr>
              <w:rPr>
                <w:rFonts w:ascii="Arial" w:hAnsi="Arial" w:cs="Arial"/>
                <w:b/>
                <w:bCs/>
                <w:sz w:val="22"/>
              </w:rPr>
              <w:id w:val="-2040961117"/>
              <w14:checkbox>
                <w14:checked w14:val="1"/>
                <w14:checkedState w14:val="2612" w14:font="MS Gothic"/>
                <w14:uncheckedState w14:val="2610" w14:font="MS Gothic"/>
              </w14:checkbox>
            </w:sdtPr>
            <w:sdtContent>
              <w:p w14:paraId="6755AAE8" w14:textId="77777777" w:rsidR="00AB3A3E" w:rsidRPr="004C3A0B" w:rsidRDefault="00AB3A3E" w:rsidP="005A5587">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r w:rsidR="00AB3A3E" w:rsidRPr="004C3A0B" w14:paraId="12065F27" w14:textId="77777777" w:rsidTr="005A5587">
        <w:trPr>
          <w:trHeight w:val="409"/>
        </w:trPr>
        <w:tc>
          <w:tcPr>
            <w:tcW w:w="562" w:type="dxa"/>
            <w:vAlign w:val="center"/>
          </w:tcPr>
          <w:p w14:paraId="4875DECE" w14:textId="77777777" w:rsidR="00AB3A3E" w:rsidRPr="002132F9" w:rsidRDefault="00AB3A3E" w:rsidP="005A5587">
            <w:pPr>
              <w:autoSpaceDE w:val="0"/>
              <w:autoSpaceDN w:val="0"/>
              <w:adjustRightInd w:val="0"/>
              <w:rPr>
                <w:rFonts w:ascii="Arial" w:hAnsi="Arial" w:cs="Arial"/>
                <w:sz w:val="22"/>
              </w:rPr>
            </w:pPr>
            <w:r w:rsidRPr="002132F9">
              <w:rPr>
                <w:rFonts w:ascii="Arial" w:hAnsi="Arial" w:cs="Arial"/>
                <w:sz w:val="22"/>
              </w:rPr>
              <w:lastRenderedPageBreak/>
              <w:t>3</w:t>
            </w:r>
          </w:p>
        </w:tc>
        <w:tc>
          <w:tcPr>
            <w:tcW w:w="8784" w:type="dxa"/>
            <w:vAlign w:val="center"/>
          </w:tcPr>
          <w:p w14:paraId="6CF16CC2" w14:textId="77777777" w:rsidR="00AB3A3E" w:rsidRPr="001B41AD" w:rsidRDefault="00AB3A3E" w:rsidP="005A5587">
            <w:pPr>
              <w:autoSpaceDE w:val="0"/>
              <w:autoSpaceDN w:val="0"/>
              <w:adjustRightInd w:val="0"/>
              <w:rPr>
                <w:rFonts w:ascii="Arial" w:hAnsi="Arial" w:cs="Arial"/>
                <w:b/>
                <w:bCs/>
                <w:iCs/>
                <w:sz w:val="22"/>
              </w:rPr>
            </w:pPr>
          </w:p>
        </w:tc>
        <w:tc>
          <w:tcPr>
            <w:tcW w:w="1134" w:type="dxa"/>
            <w:shd w:val="clear" w:color="auto" w:fill="BFBFBF" w:themeFill="background1" w:themeFillShade="BF"/>
            <w:vAlign w:val="center"/>
          </w:tcPr>
          <w:sdt>
            <w:sdtPr>
              <w:rPr>
                <w:rFonts w:ascii="Arial" w:hAnsi="Arial" w:cs="Arial"/>
                <w:b/>
                <w:bCs/>
                <w:sz w:val="22"/>
              </w:rPr>
              <w:id w:val="-2087453121"/>
              <w14:checkbox>
                <w14:checked w14:val="0"/>
                <w14:checkedState w14:val="2612" w14:font="MS Gothic"/>
                <w14:uncheckedState w14:val="2610" w14:font="MS Gothic"/>
              </w14:checkbox>
            </w:sdtPr>
            <w:sdtContent>
              <w:p w14:paraId="04E64C36" w14:textId="77777777" w:rsidR="00AB3A3E" w:rsidRPr="004C3A0B" w:rsidRDefault="00AB3A3E" w:rsidP="005A5587">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r w:rsidR="00AB3A3E" w:rsidRPr="004C3A0B" w14:paraId="5B6FF42D" w14:textId="77777777" w:rsidTr="005A5587">
        <w:trPr>
          <w:trHeight w:val="409"/>
        </w:trPr>
        <w:tc>
          <w:tcPr>
            <w:tcW w:w="562" w:type="dxa"/>
            <w:vAlign w:val="center"/>
          </w:tcPr>
          <w:p w14:paraId="197D231A" w14:textId="77777777" w:rsidR="00AB3A3E" w:rsidRPr="002132F9" w:rsidRDefault="00AB3A3E" w:rsidP="005A5587">
            <w:pPr>
              <w:autoSpaceDE w:val="0"/>
              <w:autoSpaceDN w:val="0"/>
              <w:adjustRightInd w:val="0"/>
              <w:rPr>
                <w:rFonts w:ascii="Arial" w:hAnsi="Arial" w:cs="Arial"/>
                <w:sz w:val="22"/>
              </w:rPr>
            </w:pPr>
            <w:r>
              <w:rPr>
                <w:rFonts w:ascii="Arial" w:hAnsi="Arial" w:cs="Arial"/>
                <w:sz w:val="22"/>
              </w:rPr>
              <w:t>4</w:t>
            </w:r>
          </w:p>
        </w:tc>
        <w:tc>
          <w:tcPr>
            <w:tcW w:w="8784" w:type="dxa"/>
            <w:vAlign w:val="center"/>
          </w:tcPr>
          <w:p w14:paraId="70B85E4E" w14:textId="77777777" w:rsidR="00AB3A3E" w:rsidRPr="004C3A0B" w:rsidRDefault="00AB3A3E" w:rsidP="005A5587">
            <w:pPr>
              <w:autoSpaceDE w:val="0"/>
              <w:autoSpaceDN w:val="0"/>
              <w:adjustRightInd w:val="0"/>
              <w:rPr>
                <w:rFonts w:ascii="Arial" w:hAnsi="Arial" w:cs="Arial"/>
                <w:b/>
                <w:bCs/>
                <w:i/>
                <w:sz w:val="22"/>
              </w:rPr>
            </w:pPr>
          </w:p>
        </w:tc>
        <w:tc>
          <w:tcPr>
            <w:tcW w:w="1134" w:type="dxa"/>
            <w:shd w:val="clear" w:color="auto" w:fill="BFBFBF" w:themeFill="background1" w:themeFillShade="BF"/>
            <w:vAlign w:val="center"/>
          </w:tcPr>
          <w:sdt>
            <w:sdtPr>
              <w:rPr>
                <w:rFonts w:ascii="Arial" w:hAnsi="Arial" w:cs="Arial"/>
                <w:b/>
                <w:bCs/>
                <w:sz w:val="22"/>
              </w:rPr>
              <w:id w:val="-1002195764"/>
              <w14:checkbox>
                <w14:checked w14:val="0"/>
                <w14:checkedState w14:val="2612" w14:font="MS Gothic"/>
                <w14:uncheckedState w14:val="2610" w14:font="MS Gothic"/>
              </w14:checkbox>
            </w:sdtPr>
            <w:sdtContent>
              <w:p w14:paraId="6C06C993"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bl>
    <w:p w14:paraId="70F75237" w14:textId="77777777" w:rsidR="00AB3A3E" w:rsidRDefault="00AB3A3E" w:rsidP="00AB3A3E">
      <w:pPr>
        <w:autoSpaceDE w:val="0"/>
        <w:autoSpaceDN w:val="0"/>
        <w:adjustRightInd w:val="0"/>
        <w:spacing w:after="240"/>
        <w:rPr>
          <w:rFonts w:ascii="Arial" w:hAnsi="Arial" w:cs="Arial"/>
          <w:b/>
          <w:sz w:val="22"/>
        </w:rPr>
      </w:pPr>
    </w:p>
    <w:p w14:paraId="5B19E916" w14:textId="77777777" w:rsidR="00AB3A3E" w:rsidRPr="004C3A0B" w:rsidRDefault="00AB3A3E" w:rsidP="00AB3A3E">
      <w:pPr>
        <w:autoSpaceDE w:val="0"/>
        <w:autoSpaceDN w:val="0"/>
        <w:adjustRightInd w:val="0"/>
        <w:spacing w:after="240"/>
        <w:rPr>
          <w:rFonts w:ascii="Arial" w:hAnsi="Arial" w:cs="Arial"/>
          <w:b/>
          <w:sz w:val="22"/>
        </w:rPr>
      </w:pPr>
      <w:r w:rsidRPr="004C3A0B">
        <w:rPr>
          <w:rFonts w:ascii="Arial" w:hAnsi="Arial" w:cs="Arial"/>
          <w:b/>
          <w:sz w:val="22"/>
        </w:rPr>
        <w:t xml:space="preserve">SECTION </w:t>
      </w:r>
      <w:r>
        <w:rPr>
          <w:rFonts w:ascii="Arial" w:hAnsi="Arial" w:cs="Arial"/>
          <w:b/>
          <w:sz w:val="22"/>
        </w:rPr>
        <w:t>C</w:t>
      </w:r>
      <w:r w:rsidRPr="004C3A0B">
        <w:rPr>
          <w:rFonts w:ascii="Arial" w:hAnsi="Arial" w:cs="Arial"/>
          <w:b/>
          <w:sz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64"/>
        <w:gridCol w:w="2156"/>
        <w:gridCol w:w="4375"/>
        <w:gridCol w:w="2268"/>
        <w:gridCol w:w="4540"/>
      </w:tblGrid>
      <w:tr w:rsidR="00AB3A3E" w:rsidRPr="004C3A0B" w14:paraId="4082C3F0" w14:textId="77777777" w:rsidTr="005A558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FDA6B" w14:textId="77777777" w:rsidR="00AB3A3E" w:rsidRPr="00D66471" w:rsidRDefault="00AB3A3E" w:rsidP="005A5587">
            <w:pPr>
              <w:rPr>
                <w:rFonts w:ascii="Arial" w:hAnsi="Arial" w:cs="Arial"/>
                <w:sz w:val="22"/>
              </w:rPr>
            </w:pPr>
            <w:r w:rsidRPr="00D66471">
              <w:rPr>
                <w:rFonts w:ascii="Arial" w:hAnsi="Arial" w:cs="Arial"/>
                <w:sz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B0426" w14:textId="77777777" w:rsidR="00AB3A3E" w:rsidRPr="004C3A0B" w:rsidRDefault="00AB3A3E" w:rsidP="005A5587">
            <w:pPr>
              <w:rPr>
                <w:rFonts w:ascii="Arial" w:hAnsi="Arial" w:cs="Arial"/>
                <w:sz w:val="22"/>
              </w:rPr>
            </w:pPr>
            <w:r w:rsidRPr="004C3A0B">
              <w:rPr>
                <w:rFonts w:ascii="Arial" w:hAnsi="Arial" w:cs="Arial"/>
                <w:sz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tcPr>
          <w:p w14:paraId="0E1B1860" w14:textId="77777777" w:rsidR="00AB3A3E" w:rsidRPr="0026717F" w:rsidRDefault="00AB3A3E" w:rsidP="005A5587">
            <w:pPr>
              <w:rPr>
                <w:rFonts w:ascii="Arial" w:hAnsi="Arial" w:cs="Arial"/>
                <w:sz w:val="22"/>
              </w:rPr>
            </w:pPr>
            <w:r w:rsidRPr="00E95A26">
              <w:rPr>
                <w:b/>
                <w:bCs/>
                <w:szCs w:val="24"/>
              </w:rPr>
              <w:t xml:space="preserve">The </w:t>
            </w:r>
            <w:r w:rsidRPr="00E95A26">
              <w:rPr>
                <w:b/>
                <w:bCs/>
                <w:szCs w:val="24"/>
                <w:lang w:val="en-US"/>
              </w:rPr>
              <w:t>Impact</w:t>
            </w:r>
            <w:r w:rsidRPr="00E95A26">
              <w:rPr>
                <w:b/>
                <w:bCs/>
                <w:szCs w:val="24"/>
              </w:rPr>
              <w:t xml:space="preserve"> of Employment Rights Awareness on Organisational Commitment Among UK Retail Employee</w:t>
            </w:r>
            <w:r w:rsidRPr="00E95A26">
              <w:rPr>
                <w:b/>
                <w:bCs/>
                <w:szCs w:val="24"/>
                <w:lang w:val="en-US"/>
              </w:rPr>
              <w:t>s</w:t>
            </w:r>
          </w:p>
        </w:tc>
      </w:tr>
      <w:tr w:rsidR="00AB3A3E" w:rsidRPr="004C3A0B" w14:paraId="58BFF990" w14:textId="77777777" w:rsidTr="005A558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39657" w14:textId="77777777" w:rsidR="00AB3A3E" w:rsidRPr="00D66471" w:rsidRDefault="00AB3A3E" w:rsidP="005A5587">
            <w:pPr>
              <w:rPr>
                <w:rFonts w:ascii="Arial" w:hAnsi="Arial" w:cs="Arial"/>
                <w:sz w:val="22"/>
              </w:rPr>
            </w:pPr>
            <w:r w:rsidRPr="00D66471">
              <w:rPr>
                <w:rFonts w:ascii="Arial" w:hAnsi="Arial" w:cs="Arial"/>
                <w:sz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B84BC" w14:textId="77777777" w:rsidR="00AB3A3E" w:rsidRPr="00D839CD" w:rsidRDefault="00AB3A3E" w:rsidP="005A5587">
            <w:pPr>
              <w:rPr>
                <w:rFonts w:ascii="Arial" w:hAnsi="Arial" w:cs="Arial"/>
                <w:sz w:val="22"/>
              </w:rPr>
            </w:pPr>
            <w:r w:rsidRPr="00D839CD">
              <w:rPr>
                <w:rFonts w:ascii="Arial" w:hAnsi="Arial" w:cs="Arial"/>
                <w:sz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BB0072C" w14:textId="77777777" w:rsidR="00AB3A3E" w:rsidRPr="00D839CD" w:rsidRDefault="00AB3A3E" w:rsidP="005A5587">
            <w:pPr>
              <w:rPr>
                <w:rFonts w:ascii="Arial" w:hAnsi="Arial" w:cs="Arial"/>
                <w:sz w:val="22"/>
              </w:rPr>
            </w:pPr>
            <w:r>
              <w:rPr>
                <w:rFonts w:ascii="Arial" w:hAnsi="Arial" w:cs="Arial"/>
                <w:sz w:val="22"/>
              </w:rPr>
              <w:t>21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00BE2" w14:textId="77777777" w:rsidR="00AB3A3E" w:rsidRPr="00D839CD" w:rsidRDefault="00AB3A3E" w:rsidP="005A5587">
            <w:pPr>
              <w:rPr>
                <w:rFonts w:ascii="Arial" w:hAnsi="Arial" w:cs="Arial"/>
                <w:sz w:val="22"/>
              </w:rPr>
            </w:pPr>
            <w:r w:rsidRPr="00D839CD">
              <w:rPr>
                <w:rFonts w:ascii="Arial" w:hAnsi="Arial" w:cs="Arial"/>
                <w:sz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1A4C254" w14:textId="77777777" w:rsidR="00AB3A3E" w:rsidRPr="004C3A0B" w:rsidRDefault="00AB3A3E" w:rsidP="005A5587">
            <w:pPr>
              <w:rPr>
                <w:rFonts w:ascii="Arial" w:hAnsi="Arial" w:cs="Arial"/>
                <w:sz w:val="22"/>
              </w:rPr>
            </w:pPr>
            <w:r>
              <w:rPr>
                <w:rFonts w:ascii="Arial" w:hAnsi="Arial" w:cs="Arial"/>
                <w:sz w:val="22"/>
              </w:rPr>
              <w:t>18 August 2026</w:t>
            </w:r>
          </w:p>
        </w:tc>
      </w:tr>
      <w:tr w:rsidR="00AB3A3E" w:rsidRPr="004C3A0B" w14:paraId="6BF1DEDA" w14:textId="77777777" w:rsidTr="005A5587">
        <w:trPr>
          <w:trHeight w:val="454"/>
        </w:trPr>
        <w:tc>
          <w:tcPr>
            <w:tcW w:w="237" w:type="pct"/>
            <w:tcBorders>
              <w:top w:val="single" w:sz="4" w:space="0" w:color="auto"/>
            </w:tcBorders>
            <w:shd w:val="clear" w:color="auto" w:fill="F2F2F2" w:themeFill="background1" w:themeFillShade="F2"/>
            <w:vAlign w:val="center"/>
          </w:tcPr>
          <w:p w14:paraId="57D5FC7A" w14:textId="77777777" w:rsidR="00AB3A3E" w:rsidRPr="002132F9" w:rsidRDefault="00AB3A3E" w:rsidP="005A5587">
            <w:pPr>
              <w:rPr>
                <w:rFonts w:ascii="Arial" w:hAnsi="Arial" w:cs="Arial"/>
                <w:sz w:val="22"/>
              </w:rPr>
            </w:pPr>
          </w:p>
        </w:tc>
        <w:tc>
          <w:tcPr>
            <w:tcW w:w="4763" w:type="pct"/>
            <w:gridSpan w:val="4"/>
            <w:tcBorders>
              <w:top w:val="single" w:sz="4" w:space="0" w:color="auto"/>
            </w:tcBorders>
            <w:shd w:val="clear" w:color="auto" w:fill="F2F2F2" w:themeFill="background1" w:themeFillShade="F2"/>
            <w:vAlign w:val="center"/>
          </w:tcPr>
          <w:p w14:paraId="4743B521" w14:textId="77777777" w:rsidR="00AB3A3E" w:rsidRDefault="00AB3A3E" w:rsidP="005A5587">
            <w:pPr>
              <w:rPr>
                <w:rFonts w:ascii="Arial" w:hAnsi="Arial" w:cs="Arial"/>
                <w:b/>
                <w:sz w:val="22"/>
              </w:rPr>
            </w:pPr>
            <w:r>
              <w:rPr>
                <w:rFonts w:ascii="Arial" w:hAnsi="Arial" w:cs="Arial"/>
                <w:b/>
                <w:sz w:val="22"/>
              </w:rPr>
              <w:t>Introduction to the Research (maximum 300 words in each section)</w:t>
            </w:r>
          </w:p>
          <w:p w14:paraId="0B88808B" w14:textId="77777777" w:rsidR="00AB3A3E" w:rsidRPr="009D2E0B" w:rsidRDefault="00AB3A3E" w:rsidP="005A5587">
            <w:pPr>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three points below:</w:t>
            </w:r>
          </w:p>
          <w:p w14:paraId="0EB807E6" w14:textId="77777777" w:rsidR="00AB3A3E" w:rsidRPr="006C1FDD" w:rsidRDefault="00AB3A3E" w:rsidP="00AB3A3E">
            <w:pPr>
              <w:pStyle w:val="ListParagraph"/>
              <w:numPr>
                <w:ilvl w:val="0"/>
                <w:numId w:val="70"/>
              </w:numPr>
              <w:spacing w:after="0" w:line="240" w:lineRule="auto"/>
              <w:contextualSpacing w:val="0"/>
              <w:jc w:val="left"/>
              <w:rPr>
                <w:rFonts w:ascii="Arial" w:hAnsi="Arial" w:cs="Arial"/>
                <w:i/>
              </w:rPr>
            </w:pPr>
            <w:r w:rsidRPr="006C1FDD">
              <w:rPr>
                <w:rFonts w:ascii="Arial" w:hAnsi="Arial" w:cs="Arial"/>
                <w:i/>
              </w:rPr>
              <w:t>Purpose of Research Activity</w:t>
            </w:r>
          </w:p>
          <w:p w14:paraId="4513CD42" w14:textId="77777777" w:rsidR="00AB3A3E" w:rsidRPr="006C1FDD" w:rsidRDefault="00AB3A3E" w:rsidP="00AB3A3E">
            <w:pPr>
              <w:pStyle w:val="ListParagraph"/>
              <w:numPr>
                <w:ilvl w:val="0"/>
                <w:numId w:val="70"/>
              </w:numPr>
              <w:spacing w:after="0" w:line="240" w:lineRule="auto"/>
              <w:contextualSpacing w:val="0"/>
              <w:jc w:val="left"/>
              <w:rPr>
                <w:rFonts w:ascii="Arial" w:hAnsi="Arial" w:cs="Arial"/>
                <w:i/>
              </w:rPr>
            </w:pPr>
            <w:r w:rsidRPr="006C1FDD">
              <w:rPr>
                <w:rFonts w:ascii="Arial" w:hAnsi="Arial" w:cs="Arial"/>
                <w:i/>
              </w:rPr>
              <w:t>Proposed Research Question</w:t>
            </w:r>
          </w:p>
          <w:p w14:paraId="23B63A7D" w14:textId="77777777" w:rsidR="00AB3A3E" w:rsidRPr="009D2E0B" w:rsidRDefault="00AB3A3E" w:rsidP="00AB3A3E">
            <w:pPr>
              <w:pStyle w:val="ListParagraph"/>
              <w:numPr>
                <w:ilvl w:val="0"/>
                <w:numId w:val="70"/>
              </w:numPr>
              <w:spacing w:after="0" w:line="240" w:lineRule="auto"/>
              <w:contextualSpacing w:val="0"/>
              <w:jc w:val="left"/>
              <w:rPr>
                <w:rFonts w:ascii="Arial" w:hAnsi="Arial" w:cs="Arial"/>
                <w:i/>
              </w:rPr>
            </w:pPr>
            <w:r w:rsidRPr="009D2E0B">
              <w:rPr>
                <w:rFonts w:ascii="Arial" w:hAnsi="Arial" w:cs="Arial"/>
                <w:i/>
              </w:rPr>
              <w:t>Aims of Research Activity</w:t>
            </w:r>
          </w:p>
          <w:p w14:paraId="20EE9B43" w14:textId="77777777" w:rsidR="00AB3A3E" w:rsidRPr="009D2E0B" w:rsidRDefault="00AB3A3E" w:rsidP="00AB3A3E">
            <w:pPr>
              <w:pStyle w:val="ListParagraph"/>
              <w:numPr>
                <w:ilvl w:val="0"/>
                <w:numId w:val="70"/>
              </w:numPr>
              <w:spacing w:after="0" w:line="240" w:lineRule="auto"/>
              <w:ind w:left="714" w:hanging="357"/>
              <w:contextualSpacing w:val="0"/>
              <w:jc w:val="left"/>
              <w:rPr>
                <w:rFonts w:ascii="Arial" w:hAnsi="Arial" w:cs="Arial"/>
                <w:i/>
              </w:rPr>
            </w:pPr>
            <w:r w:rsidRPr="009D2E0B">
              <w:rPr>
                <w:rFonts w:ascii="Arial" w:hAnsi="Arial" w:cs="Arial"/>
                <w:i/>
              </w:rPr>
              <w:t>Objectives of Research Activity</w:t>
            </w:r>
          </w:p>
          <w:p w14:paraId="7CC7289C" w14:textId="77777777" w:rsidR="00AB3A3E" w:rsidRDefault="00AB3A3E" w:rsidP="005A5587">
            <w:pPr>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7F6DEF9D" w14:textId="77777777" w:rsidR="00AB3A3E" w:rsidRPr="009D2E0B" w:rsidRDefault="00AB3A3E" w:rsidP="00AB3A3E">
            <w:pPr>
              <w:pStyle w:val="ListParagraph"/>
              <w:numPr>
                <w:ilvl w:val="0"/>
                <w:numId w:val="70"/>
              </w:numPr>
              <w:spacing w:after="0" w:line="240" w:lineRule="auto"/>
              <w:contextualSpacing w:val="0"/>
              <w:jc w:val="left"/>
              <w:rPr>
                <w:rFonts w:ascii="Arial" w:hAnsi="Arial" w:cs="Arial"/>
                <w:i/>
              </w:rPr>
            </w:pPr>
            <w:r w:rsidRPr="009D2E0B">
              <w:rPr>
                <w:rFonts w:ascii="Arial" w:hAnsi="Arial" w:cs="Arial"/>
                <w:i/>
              </w:rPr>
              <w:t xml:space="preserve">What the research activity will add to the body of knowledge </w:t>
            </w:r>
          </w:p>
          <w:p w14:paraId="378E5F7C" w14:textId="77777777" w:rsidR="00AB3A3E" w:rsidRPr="009D2E0B" w:rsidRDefault="00AB3A3E" w:rsidP="00AB3A3E">
            <w:pPr>
              <w:pStyle w:val="ListParagraph"/>
              <w:numPr>
                <w:ilvl w:val="0"/>
                <w:numId w:val="70"/>
              </w:numPr>
              <w:spacing w:after="0" w:line="240" w:lineRule="auto"/>
              <w:contextualSpacing w:val="0"/>
              <w:jc w:val="left"/>
              <w:rPr>
                <w:rFonts w:ascii="Arial" w:hAnsi="Arial" w:cs="Arial"/>
              </w:rPr>
            </w:pPr>
            <w:r w:rsidRPr="009D2E0B">
              <w:rPr>
                <w:rFonts w:ascii="Arial" w:hAnsi="Arial" w:cs="Arial"/>
                <w:i/>
              </w:rPr>
              <w:t xml:space="preserve">How it addresses an area of importance. </w:t>
            </w:r>
          </w:p>
        </w:tc>
      </w:tr>
      <w:tr w:rsidR="00AB3A3E" w:rsidRPr="004C3A0B" w:rsidDel="002A152D" w14:paraId="2FCF35EC" w14:textId="77777777" w:rsidTr="005A5587">
        <w:trPr>
          <w:trHeight w:val="454"/>
        </w:trPr>
        <w:tc>
          <w:tcPr>
            <w:tcW w:w="237" w:type="pct"/>
            <w:vAlign w:val="center"/>
          </w:tcPr>
          <w:p w14:paraId="38FF43FC" w14:textId="77777777" w:rsidR="00AB3A3E" w:rsidRPr="002132F9" w:rsidRDefault="00AB3A3E" w:rsidP="005A5587">
            <w:pPr>
              <w:autoSpaceDE w:val="0"/>
              <w:autoSpaceDN w:val="0"/>
              <w:adjustRightInd w:val="0"/>
              <w:rPr>
                <w:rFonts w:ascii="Arial" w:hAnsi="Arial" w:cs="Arial"/>
                <w:sz w:val="22"/>
              </w:rPr>
            </w:pPr>
            <w:r>
              <w:rPr>
                <w:rFonts w:ascii="Arial" w:hAnsi="Arial" w:cs="Arial"/>
                <w:sz w:val="22"/>
              </w:rPr>
              <w:t>3</w:t>
            </w:r>
          </w:p>
        </w:tc>
        <w:tc>
          <w:tcPr>
            <w:tcW w:w="4763" w:type="pct"/>
            <w:gridSpan w:val="4"/>
            <w:vAlign w:val="center"/>
          </w:tcPr>
          <w:p w14:paraId="33DFFEE0" w14:textId="77777777" w:rsidR="00AB3A3E" w:rsidRPr="009D2E0B" w:rsidRDefault="00AB3A3E" w:rsidP="005A5587">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3341B988" w14:textId="77777777" w:rsidR="00AB3A3E" w:rsidRDefault="00AB3A3E" w:rsidP="005A5587">
            <w:pPr>
              <w:rPr>
                <w:rFonts w:ascii="Arial" w:hAnsi="Arial" w:cs="Arial"/>
              </w:rPr>
            </w:pPr>
          </w:p>
          <w:p w14:paraId="7B776E4B" w14:textId="77777777" w:rsidR="00AB3A3E" w:rsidRPr="0026717F" w:rsidDel="00425DA7" w:rsidRDefault="00AB3A3E" w:rsidP="005A5587">
            <w:pPr>
              <w:rPr>
                <w:rFonts w:ascii="Arial" w:hAnsi="Arial" w:cs="Arial"/>
                <w:szCs w:val="24"/>
              </w:rPr>
            </w:pPr>
            <w:r w:rsidRPr="0026717F">
              <w:rPr>
                <w:szCs w:val="24"/>
              </w:rPr>
              <w:t>The purpose of this research is to understand whether UK retail employees' awareness of employment rights affects their commitment to their organisation. Retail work often involves low pay, flexible hours, customer pressure and high staff turnover. These conditions make rights awareness important because employees may judge their employer through fairness, respect and clear communication. Existing research discusses workplace rights, fairness and organisational commitment, but there is still limited primary evidence on how rights awareness is linked with employee trust, loyalty, satisfaction and intention to stay in UK retail. This study will add small-scale primary evidence by surveying 50 UK retail employees through an online Google Forms questionnaire. The research is important because clearer communication of rights may help employees feel protected and valued, while poor awareness or poor practice may weaken commitment. The findings may help retail employers understand that employment rights are not only legal duties, but also part of a fair employment relationship.</w:t>
            </w:r>
          </w:p>
        </w:tc>
      </w:tr>
      <w:tr w:rsidR="00AB3A3E" w:rsidRPr="006C1FDD" w:rsidDel="002A152D" w14:paraId="69D9A7A4" w14:textId="77777777" w:rsidTr="005A5587">
        <w:trPr>
          <w:trHeight w:val="454"/>
        </w:trPr>
        <w:tc>
          <w:tcPr>
            <w:tcW w:w="237" w:type="pct"/>
            <w:vAlign w:val="center"/>
          </w:tcPr>
          <w:p w14:paraId="3B54702F" w14:textId="77777777" w:rsidR="00AB3A3E" w:rsidRPr="002132F9" w:rsidRDefault="00AB3A3E" w:rsidP="005A5587">
            <w:pPr>
              <w:autoSpaceDE w:val="0"/>
              <w:autoSpaceDN w:val="0"/>
              <w:adjustRightInd w:val="0"/>
              <w:rPr>
                <w:rFonts w:ascii="Arial" w:hAnsi="Arial" w:cs="Arial"/>
                <w:sz w:val="22"/>
              </w:rPr>
            </w:pPr>
            <w:r>
              <w:rPr>
                <w:rFonts w:ascii="Arial" w:hAnsi="Arial" w:cs="Arial"/>
                <w:sz w:val="22"/>
              </w:rPr>
              <w:t>4</w:t>
            </w:r>
          </w:p>
        </w:tc>
        <w:tc>
          <w:tcPr>
            <w:tcW w:w="4763" w:type="pct"/>
            <w:gridSpan w:val="4"/>
            <w:vAlign w:val="center"/>
          </w:tcPr>
          <w:p w14:paraId="31607F8F" w14:textId="77777777" w:rsidR="00AB3A3E" w:rsidRPr="006C1FDD" w:rsidRDefault="00AB3A3E" w:rsidP="005A5587">
            <w:pPr>
              <w:autoSpaceDE w:val="0"/>
              <w:autoSpaceDN w:val="0"/>
              <w:adjustRightInd w:val="0"/>
              <w:rPr>
                <w:rFonts w:ascii="Arial" w:hAnsi="Arial" w:cs="Arial"/>
                <w:b/>
                <w:bCs/>
                <w:sz w:val="22"/>
              </w:rPr>
            </w:pPr>
            <w:r w:rsidRPr="006C1FDD">
              <w:rPr>
                <w:rFonts w:ascii="Arial" w:hAnsi="Arial" w:cs="Arial"/>
                <w:b/>
                <w:bCs/>
                <w:sz w:val="22"/>
              </w:rPr>
              <w:t>Research Question</w:t>
            </w:r>
          </w:p>
          <w:p w14:paraId="5E0A6B89" w14:textId="77777777" w:rsidR="00AB3A3E" w:rsidRPr="006C1FDD" w:rsidRDefault="00AB3A3E" w:rsidP="005A5587">
            <w:pPr>
              <w:rPr>
                <w:rFonts w:ascii="Arial" w:hAnsi="Arial" w:cs="Arial"/>
              </w:rPr>
            </w:pPr>
          </w:p>
          <w:p w14:paraId="50CC57C3" w14:textId="77777777" w:rsidR="00AB3A3E" w:rsidRPr="0026717F" w:rsidRDefault="00AB3A3E" w:rsidP="005A5587">
            <w:pPr>
              <w:rPr>
                <w:szCs w:val="24"/>
              </w:rPr>
            </w:pPr>
            <w:r w:rsidRPr="0026717F">
              <w:rPr>
                <w:szCs w:val="24"/>
              </w:rPr>
              <w:t>Main research question: How does employment rights awareness influence organisational commitment among UK retail employees?</w:t>
            </w:r>
          </w:p>
          <w:p w14:paraId="4A4FAA62" w14:textId="77777777" w:rsidR="00AB3A3E" w:rsidRPr="0026717F" w:rsidRDefault="00AB3A3E" w:rsidP="005A5587">
            <w:pPr>
              <w:rPr>
                <w:szCs w:val="24"/>
              </w:rPr>
            </w:pPr>
          </w:p>
          <w:p w14:paraId="6D484392" w14:textId="77777777" w:rsidR="00AB3A3E" w:rsidRPr="0026717F" w:rsidRDefault="00AB3A3E" w:rsidP="005A5587">
            <w:pPr>
              <w:rPr>
                <w:szCs w:val="24"/>
              </w:rPr>
            </w:pPr>
            <w:r w:rsidRPr="0026717F">
              <w:rPr>
                <w:szCs w:val="24"/>
              </w:rPr>
              <w:t>Sub-questions:</w:t>
            </w:r>
          </w:p>
          <w:p w14:paraId="08552D4E" w14:textId="77777777" w:rsidR="00AB3A3E" w:rsidRPr="0026717F" w:rsidRDefault="00AB3A3E" w:rsidP="005A5587">
            <w:pPr>
              <w:rPr>
                <w:szCs w:val="24"/>
              </w:rPr>
            </w:pPr>
            <w:r w:rsidRPr="0026717F">
              <w:rPr>
                <w:szCs w:val="24"/>
              </w:rPr>
              <w:t>1. What is the level of employment rights awareness among UK retail employees?</w:t>
            </w:r>
          </w:p>
          <w:p w14:paraId="46B7C727" w14:textId="77777777" w:rsidR="00AB3A3E" w:rsidRPr="0026717F" w:rsidRDefault="00AB3A3E" w:rsidP="005A5587">
            <w:pPr>
              <w:rPr>
                <w:szCs w:val="24"/>
              </w:rPr>
            </w:pPr>
            <w:r w:rsidRPr="0026717F">
              <w:rPr>
                <w:szCs w:val="24"/>
              </w:rPr>
              <w:t>2. What is the relationship between employment rights awareness and organisational commitment among UK retail employees?</w:t>
            </w:r>
          </w:p>
          <w:p w14:paraId="135FF764" w14:textId="77777777" w:rsidR="00AB3A3E" w:rsidRPr="0026717F" w:rsidRDefault="00AB3A3E" w:rsidP="005A5587">
            <w:pPr>
              <w:rPr>
                <w:rFonts w:ascii="Arial" w:hAnsi="Arial" w:cs="Arial"/>
                <w:szCs w:val="24"/>
              </w:rPr>
            </w:pPr>
            <w:r w:rsidRPr="0026717F">
              <w:rPr>
                <w:szCs w:val="24"/>
              </w:rPr>
              <w:lastRenderedPageBreak/>
              <w:t>3. Which aspects of employment rights awareness most influence organisational commitment among UK retail employees?</w:t>
            </w:r>
          </w:p>
          <w:p w14:paraId="63A27119" w14:textId="77777777" w:rsidR="00AB3A3E" w:rsidRPr="006C1FDD" w:rsidRDefault="00AB3A3E" w:rsidP="005A5587">
            <w:pPr>
              <w:autoSpaceDE w:val="0"/>
              <w:autoSpaceDN w:val="0"/>
              <w:adjustRightInd w:val="0"/>
              <w:rPr>
                <w:rFonts w:ascii="Arial" w:hAnsi="Arial" w:cs="Arial"/>
                <w:b/>
                <w:bCs/>
                <w:sz w:val="22"/>
              </w:rPr>
            </w:pPr>
          </w:p>
        </w:tc>
      </w:tr>
      <w:tr w:rsidR="00AB3A3E" w:rsidRPr="004C3A0B" w14:paraId="19A3A9BD" w14:textId="77777777" w:rsidTr="005A5587">
        <w:trPr>
          <w:trHeight w:val="454"/>
        </w:trPr>
        <w:tc>
          <w:tcPr>
            <w:tcW w:w="237" w:type="pct"/>
            <w:vAlign w:val="center"/>
          </w:tcPr>
          <w:p w14:paraId="5E013D6E" w14:textId="77777777" w:rsidR="00AB3A3E" w:rsidRPr="002132F9" w:rsidRDefault="00AB3A3E" w:rsidP="005A5587">
            <w:pPr>
              <w:autoSpaceDE w:val="0"/>
              <w:autoSpaceDN w:val="0"/>
              <w:adjustRightInd w:val="0"/>
              <w:rPr>
                <w:rFonts w:ascii="Arial" w:hAnsi="Arial" w:cs="Arial"/>
                <w:sz w:val="22"/>
              </w:rPr>
            </w:pPr>
            <w:r>
              <w:rPr>
                <w:rFonts w:ascii="Arial" w:hAnsi="Arial" w:cs="Arial"/>
                <w:sz w:val="22"/>
              </w:rPr>
              <w:t>5</w:t>
            </w:r>
          </w:p>
        </w:tc>
        <w:tc>
          <w:tcPr>
            <w:tcW w:w="4763" w:type="pct"/>
            <w:gridSpan w:val="4"/>
            <w:vAlign w:val="center"/>
          </w:tcPr>
          <w:p w14:paraId="709E92A7" w14:textId="77777777" w:rsidR="00AB3A3E" w:rsidRDefault="00AB3A3E" w:rsidP="005A5587">
            <w:pPr>
              <w:autoSpaceDE w:val="0"/>
              <w:autoSpaceDN w:val="0"/>
              <w:adjustRightInd w:val="0"/>
              <w:rPr>
                <w:rFonts w:ascii="Arial" w:hAnsi="Arial" w:cs="Arial"/>
                <w:b/>
                <w:bCs/>
                <w:sz w:val="22"/>
              </w:rPr>
            </w:pPr>
            <w:r w:rsidRPr="009D2E0B">
              <w:rPr>
                <w:rFonts w:ascii="Arial" w:hAnsi="Arial" w:cs="Arial"/>
                <w:b/>
                <w:bCs/>
                <w:sz w:val="22"/>
              </w:rPr>
              <w:t>Aims of Research Activity</w:t>
            </w:r>
          </w:p>
          <w:p w14:paraId="0E6D0DE0" w14:textId="77777777" w:rsidR="00AB3A3E" w:rsidRDefault="00AB3A3E" w:rsidP="005A5587">
            <w:pPr>
              <w:autoSpaceDE w:val="0"/>
              <w:autoSpaceDN w:val="0"/>
              <w:adjustRightInd w:val="0"/>
              <w:rPr>
                <w:rFonts w:ascii="Arial" w:hAnsi="Arial" w:cs="Arial"/>
                <w:b/>
                <w:bCs/>
                <w:sz w:val="22"/>
              </w:rPr>
            </w:pPr>
          </w:p>
          <w:p w14:paraId="08BA11EF" w14:textId="77777777" w:rsidR="00AB3A3E" w:rsidRPr="009D2539" w:rsidRDefault="00AB3A3E" w:rsidP="005A5587">
            <w:pPr>
              <w:rPr>
                <w:szCs w:val="24"/>
                <w:lang w:bidi="bn-IN"/>
              </w:rPr>
            </w:pPr>
            <w:r w:rsidRPr="009D2539">
              <w:rPr>
                <w:szCs w:val="24"/>
                <w:lang w:bidi="bn-IN"/>
              </w:rPr>
              <w:t xml:space="preserve">To examine </w:t>
            </w:r>
            <w:r w:rsidRPr="009D2539">
              <w:rPr>
                <w:szCs w:val="24"/>
                <w:lang w:val="en-US" w:bidi="bn-IN"/>
              </w:rPr>
              <w:t>the influence of</w:t>
            </w:r>
            <w:r w:rsidRPr="009D2539">
              <w:rPr>
                <w:szCs w:val="24"/>
                <w:lang w:bidi="bn-IN"/>
              </w:rPr>
              <w:t xml:space="preserve"> employment rights awareness on organisational commitment among UK retail employees.</w:t>
            </w:r>
          </w:p>
          <w:p w14:paraId="654EC335" w14:textId="77777777" w:rsidR="00AB3A3E" w:rsidRPr="002A152D" w:rsidRDefault="00AB3A3E" w:rsidP="005A5587">
            <w:pPr>
              <w:rPr>
                <w:rFonts w:ascii="Arial" w:hAnsi="Arial" w:cs="Arial"/>
              </w:rPr>
            </w:pPr>
          </w:p>
        </w:tc>
      </w:tr>
      <w:tr w:rsidR="00AB3A3E" w:rsidRPr="004C3A0B" w14:paraId="161384E7" w14:textId="77777777" w:rsidTr="005A5587">
        <w:trPr>
          <w:trHeight w:val="454"/>
        </w:trPr>
        <w:tc>
          <w:tcPr>
            <w:tcW w:w="237" w:type="pct"/>
            <w:vAlign w:val="center"/>
          </w:tcPr>
          <w:p w14:paraId="36B37733" w14:textId="77777777" w:rsidR="00AB3A3E" w:rsidRPr="002132F9" w:rsidRDefault="00AB3A3E" w:rsidP="005A5587">
            <w:pPr>
              <w:autoSpaceDE w:val="0"/>
              <w:autoSpaceDN w:val="0"/>
              <w:adjustRightInd w:val="0"/>
              <w:rPr>
                <w:rFonts w:ascii="Arial" w:hAnsi="Arial" w:cs="Arial"/>
                <w:sz w:val="22"/>
              </w:rPr>
            </w:pPr>
            <w:r>
              <w:rPr>
                <w:rFonts w:ascii="Arial" w:hAnsi="Arial" w:cs="Arial"/>
                <w:sz w:val="22"/>
              </w:rPr>
              <w:t>6</w:t>
            </w:r>
          </w:p>
        </w:tc>
        <w:tc>
          <w:tcPr>
            <w:tcW w:w="4763" w:type="pct"/>
            <w:gridSpan w:val="4"/>
            <w:vAlign w:val="center"/>
          </w:tcPr>
          <w:p w14:paraId="1DF0BA91" w14:textId="77777777" w:rsidR="00AB3A3E" w:rsidRPr="009D2E0B" w:rsidRDefault="00AB3A3E" w:rsidP="005A5587">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37321AC0" w14:textId="77777777" w:rsidR="00AB3A3E" w:rsidRDefault="00AB3A3E" w:rsidP="005A5587">
            <w:pPr>
              <w:rPr>
                <w:rFonts w:ascii="Arial" w:hAnsi="Arial" w:cs="Arial"/>
              </w:rPr>
            </w:pPr>
          </w:p>
          <w:p w14:paraId="18391BEF" w14:textId="77777777" w:rsidR="00AB3A3E" w:rsidRPr="009D2539" w:rsidRDefault="00AB3A3E" w:rsidP="00AB3A3E">
            <w:pPr>
              <w:numPr>
                <w:ilvl w:val="0"/>
                <w:numId w:val="72"/>
              </w:numPr>
              <w:spacing w:after="160"/>
              <w:contextualSpacing/>
              <w:rPr>
                <w:rFonts w:eastAsia="Calibri" w:cs="Vrinda"/>
                <w:szCs w:val="28"/>
                <w:lang w:bidi="bn-IN"/>
              </w:rPr>
            </w:pPr>
            <w:r w:rsidRPr="009D2539">
              <w:rPr>
                <w:rFonts w:eastAsia="Calibri" w:cs="Vrinda"/>
                <w:szCs w:val="28"/>
                <w:lang w:bidi="bn-IN"/>
              </w:rPr>
              <w:t>To assess the level of employment rights awareness among UK retail employees.</w:t>
            </w:r>
          </w:p>
          <w:p w14:paraId="61F14DAE" w14:textId="77777777" w:rsidR="00AB3A3E" w:rsidRPr="009D2539" w:rsidRDefault="00AB3A3E" w:rsidP="00AB3A3E">
            <w:pPr>
              <w:numPr>
                <w:ilvl w:val="0"/>
                <w:numId w:val="72"/>
              </w:numPr>
              <w:spacing w:after="160"/>
              <w:contextualSpacing/>
              <w:rPr>
                <w:rFonts w:eastAsia="Calibri" w:cs="Vrinda"/>
                <w:szCs w:val="28"/>
                <w:lang w:bidi="bn-IN"/>
              </w:rPr>
            </w:pPr>
            <w:r w:rsidRPr="009D2539">
              <w:rPr>
                <w:rFonts w:eastAsia="Calibri" w:cs="Vrinda"/>
                <w:szCs w:val="28"/>
                <w:lang w:bidi="bn-IN"/>
              </w:rPr>
              <w:t>To examine whether employment rights awareness is associated with organisational commitment among UK retail employees.</w:t>
            </w:r>
          </w:p>
          <w:p w14:paraId="013DEC59" w14:textId="77777777" w:rsidR="00AB3A3E" w:rsidRPr="009D2539" w:rsidRDefault="00AB3A3E" w:rsidP="00AB3A3E">
            <w:pPr>
              <w:numPr>
                <w:ilvl w:val="0"/>
                <w:numId w:val="72"/>
              </w:numPr>
              <w:spacing w:after="160"/>
              <w:contextualSpacing/>
              <w:rPr>
                <w:rFonts w:eastAsia="Calibri" w:cs="Vrinda"/>
                <w:szCs w:val="28"/>
                <w:lang w:bidi="bn-IN"/>
              </w:rPr>
            </w:pPr>
            <w:r w:rsidRPr="009D2539">
              <w:rPr>
                <w:rFonts w:eastAsia="Calibri" w:cs="Vrinda"/>
                <w:szCs w:val="28"/>
                <w:lang w:bidi="bn-IN"/>
              </w:rPr>
              <w:t>To identify which aspects of employment rights awareness have the greatest influence on organisational commitment among UK retail employees.</w:t>
            </w:r>
          </w:p>
          <w:p w14:paraId="3FA0C788" w14:textId="77777777" w:rsidR="00AB3A3E" w:rsidRPr="004C3A0B" w:rsidRDefault="00AB3A3E" w:rsidP="005A5587">
            <w:pPr>
              <w:rPr>
                <w:rFonts w:ascii="Arial" w:hAnsi="Arial" w:cs="Arial"/>
                <w:sz w:val="22"/>
              </w:rPr>
            </w:pPr>
          </w:p>
        </w:tc>
      </w:tr>
      <w:tr w:rsidR="00AB3A3E" w:rsidRPr="004C3A0B" w14:paraId="51F50B83" w14:textId="77777777" w:rsidTr="005A5587">
        <w:trPr>
          <w:trHeight w:val="454"/>
        </w:trPr>
        <w:tc>
          <w:tcPr>
            <w:tcW w:w="237" w:type="pct"/>
            <w:shd w:val="clear" w:color="auto" w:fill="F2F2F2" w:themeFill="background1" w:themeFillShade="F2"/>
            <w:vAlign w:val="center"/>
          </w:tcPr>
          <w:p w14:paraId="05DE3E5B" w14:textId="77777777" w:rsidR="00AB3A3E" w:rsidRPr="002132F9" w:rsidRDefault="00AB3A3E" w:rsidP="005A5587">
            <w:pPr>
              <w:rPr>
                <w:rFonts w:ascii="Arial" w:hAnsi="Arial" w:cs="Arial"/>
                <w:sz w:val="22"/>
              </w:rPr>
            </w:pPr>
          </w:p>
        </w:tc>
        <w:tc>
          <w:tcPr>
            <w:tcW w:w="4763" w:type="pct"/>
            <w:gridSpan w:val="4"/>
            <w:shd w:val="clear" w:color="auto" w:fill="F2F2F2" w:themeFill="background1" w:themeFillShade="F2"/>
            <w:vAlign w:val="center"/>
          </w:tcPr>
          <w:p w14:paraId="3A0AD185" w14:textId="77777777" w:rsidR="00AB3A3E" w:rsidRPr="004C3A0B" w:rsidRDefault="00AB3A3E" w:rsidP="005A5587">
            <w:pPr>
              <w:rPr>
                <w:rFonts w:ascii="Arial" w:hAnsi="Arial" w:cs="Arial"/>
                <w:b/>
                <w:sz w:val="22"/>
              </w:rPr>
            </w:pPr>
            <w:r>
              <w:rPr>
                <w:rFonts w:ascii="Arial" w:hAnsi="Arial" w:cs="Arial"/>
                <w:b/>
                <w:sz w:val="22"/>
              </w:rPr>
              <w:t xml:space="preserve">Proposed data collection </w:t>
            </w:r>
            <w:r w:rsidRPr="004C3A0B">
              <w:rPr>
                <w:rFonts w:ascii="Arial" w:hAnsi="Arial" w:cs="Arial"/>
                <w:b/>
                <w:sz w:val="22"/>
              </w:rPr>
              <w:t>methods</w:t>
            </w:r>
            <w:r>
              <w:rPr>
                <w:rFonts w:ascii="Arial" w:hAnsi="Arial" w:cs="Arial"/>
                <w:b/>
                <w:sz w:val="22"/>
              </w:rPr>
              <w:t xml:space="preserve"> (maximum 600 words)</w:t>
            </w:r>
          </w:p>
          <w:p w14:paraId="4C14B874" w14:textId="77777777" w:rsidR="00AB3A3E" w:rsidRPr="004C3A0B" w:rsidRDefault="00AB3A3E" w:rsidP="005A5587">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w:t>
            </w:r>
            <w:r>
              <w:rPr>
                <w:rFonts w:ascii="Arial" w:hAnsi="Arial" w:cs="Arial"/>
                <w:sz w:val="22"/>
              </w:rPr>
              <w:t xml:space="preserve"> to collect data</w:t>
            </w:r>
            <w:r w:rsidRPr="004C3A0B">
              <w:rPr>
                <w:rFonts w:ascii="Arial" w:hAnsi="Arial" w:cs="Arial"/>
                <w:sz w:val="22"/>
              </w:rPr>
              <w:t xml:space="preserve">, making it clear what specific techniques may be used. If methods other than those listed in this section are deemed appropriate later, additional ethical approval for those methods </w:t>
            </w:r>
            <w:r w:rsidRPr="004C3A0B">
              <w:rPr>
                <w:rFonts w:ascii="Arial" w:hAnsi="Arial" w:cs="Arial"/>
                <w:sz w:val="22"/>
              </w:rPr>
              <w:lastRenderedPageBreak/>
              <w:t>wi</w:t>
            </w:r>
            <w:r>
              <w:rPr>
                <w:rFonts w:ascii="Arial" w:hAnsi="Arial" w:cs="Arial"/>
                <w:sz w:val="22"/>
              </w:rPr>
              <w:t>ll be needed. You do not need to justify the methods here but should instead describe how you intend to collect the data necessary for you to complete your project.</w:t>
            </w:r>
          </w:p>
        </w:tc>
      </w:tr>
      <w:tr w:rsidR="00AB3A3E" w:rsidRPr="004C3A0B" w14:paraId="12623FF3" w14:textId="77777777" w:rsidTr="005A5587">
        <w:trPr>
          <w:trHeight w:val="454"/>
        </w:trPr>
        <w:tc>
          <w:tcPr>
            <w:tcW w:w="237" w:type="pct"/>
            <w:vAlign w:val="center"/>
          </w:tcPr>
          <w:p w14:paraId="40C78478" w14:textId="77777777" w:rsidR="00AB3A3E" w:rsidRPr="00D66471" w:rsidRDefault="00AB3A3E" w:rsidP="005A5587">
            <w:pPr>
              <w:rPr>
                <w:rFonts w:ascii="Arial" w:hAnsi="Arial" w:cs="Arial"/>
                <w:sz w:val="22"/>
              </w:rPr>
            </w:pPr>
            <w:r>
              <w:rPr>
                <w:rFonts w:ascii="Arial" w:hAnsi="Arial" w:cs="Arial"/>
                <w:sz w:val="22"/>
              </w:rPr>
              <w:t>7</w:t>
            </w:r>
          </w:p>
        </w:tc>
        <w:tc>
          <w:tcPr>
            <w:tcW w:w="4763" w:type="pct"/>
            <w:gridSpan w:val="4"/>
            <w:vAlign w:val="center"/>
          </w:tcPr>
          <w:p w14:paraId="4131CE4E" w14:textId="77777777" w:rsidR="00AB3A3E" w:rsidRPr="0026717F" w:rsidRDefault="00AB3A3E" w:rsidP="005A5587">
            <w:pPr>
              <w:rPr>
                <w:szCs w:val="24"/>
              </w:rPr>
            </w:pPr>
            <w:r w:rsidRPr="0026717F">
              <w:rPr>
                <w:szCs w:val="24"/>
              </w:rPr>
              <w:t>The research will collect primary data using an online questionnaire created in Google Forms. The questionnaire will be shared with adults aged 18 or above who currently work, or have recently worked, in the UK retail sector. A target sample of 50 respondents will be used. Participants will be recruited through online networks, social media, professional contacts and, where appropriate, snowball sharing. The first page of the Google Form will provide an information statement and consent confirmation. Participants will only continue if they confirm that they are aged 18 or above, understand the purpose of the research and agree to take part voluntarily.</w:t>
            </w:r>
          </w:p>
          <w:p w14:paraId="2EC45097" w14:textId="77777777" w:rsidR="00AB3A3E" w:rsidRPr="0026717F" w:rsidRDefault="00AB3A3E" w:rsidP="005A5587">
            <w:pPr>
              <w:rPr>
                <w:rFonts w:ascii="Arial" w:hAnsi="Arial" w:cs="Arial"/>
                <w:szCs w:val="24"/>
              </w:rPr>
            </w:pPr>
            <w:r w:rsidRPr="0026717F">
              <w:rPr>
                <w:szCs w:val="24"/>
              </w:rPr>
              <w:t>The questionnaire will include three main sections. The first section will ask brief demographic and employment questions, such as age group, gender, job role, employment status and length of retail experience. The second section will measure awareness of employment rights, including minimum wage, holiday pay, sick pay, working hours, discrimination protection, grievance procedures and dismissal rights. The third section will measure organisational commitment through questions on trust, loyalty, job satisfaction, emotional attachment and intention to stay. Most questions will use closed Likert-scale answers, such as strongly agree to strongly disagree. No interviews, focus groups, observations, audio recordings or video recordings will be used. No names, email addresses, employer names or identifying workplace details will be collected. Data will be downloaded from Google Forms and analysed using descriptive statistics and simple correlation analysis in Excel.</w:t>
            </w:r>
          </w:p>
          <w:p w14:paraId="3C548AEB" w14:textId="77777777" w:rsidR="00AB3A3E" w:rsidRPr="004C3A0B" w:rsidRDefault="00AB3A3E" w:rsidP="005A5587">
            <w:pPr>
              <w:rPr>
                <w:rFonts w:ascii="Arial" w:hAnsi="Arial" w:cs="Arial"/>
                <w:b/>
                <w:sz w:val="22"/>
              </w:rPr>
            </w:pPr>
          </w:p>
        </w:tc>
      </w:tr>
    </w:tbl>
    <w:p w14:paraId="5E3C1A4D" w14:textId="77777777" w:rsidR="00AB3A3E" w:rsidRDefault="00AB3A3E" w:rsidP="00AB3A3E"/>
    <w:p w14:paraId="42C9F1AF" w14:textId="77777777" w:rsidR="00AB3A3E" w:rsidRPr="004C3A0B" w:rsidRDefault="00AB3A3E" w:rsidP="00AB3A3E">
      <w:pPr>
        <w:spacing w:after="240"/>
        <w:rPr>
          <w:rFonts w:ascii="Arial" w:hAnsi="Arial" w:cs="Arial"/>
          <w:b/>
          <w:sz w:val="22"/>
        </w:rPr>
      </w:pPr>
      <w:r>
        <w:rPr>
          <w:rFonts w:ascii="Arial" w:hAnsi="Arial" w:cs="Arial"/>
          <w:b/>
          <w:sz w:val="22"/>
        </w:rPr>
        <w:t>SECTION D</w:t>
      </w:r>
      <w:r w:rsidRPr="004C3A0B">
        <w:rPr>
          <w:rFonts w:ascii="Arial" w:hAnsi="Arial" w:cs="Arial"/>
          <w:b/>
          <w:sz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B3A3E" w:rsidRPr="004C3A0B" w14:paraId="4334DFC3" w14:textId="77777777" w:rsidTr="005A5587">
        <w:trPr>
          <w:trHeight w:val="558"/>
        </w:trPr>
        <w:tc>
          <w:tcPr>
            <w:tcW w:w="562" w:type="dxa"/>
            <w:shd w:val="clear" w:color="auto" w:fill="F2F2F2" w:themeFill="background1" w:themeFillShade="F2"/>
            <w:vAlign w:val="center"/>
          </w:tcPr>
          <w:p w14:paraId="5849AE20" w14:textId="77777777" w:rsidR="00AB3A3E" w:rsidRPr="004C3A0B" w:rsidRDefault="00AB3A3E" w:rsidP="005A5587">
            <w:pPr>
              <w:autoSpaceDE w:val="0"/>
              <w:autoSpaceDN w:val="0"/>
              <w:adjustRightInd w:val="0"/>
              <w:rPr>
                <w:rFonts w:ascii="Arial" w:hAnsi="Arial" w:cs="Arial"/>
                <w:b/>
                <w:sz w:val="22"/>
              </w:rPr>
            </w:pPr>
          </w:p>
        </w:tc>
        <w:tc>
          <w:tcPr>
            <w:tcW w:w="8227" w:type="dxa"/>
            <w:shd w:val="clear" w:color="auto" w:fill="F2F2F2" w:themeFill="background1" w:themeFillShade="F2"/>
            <w:vAlign w:val="center"/>
          </w:tcPr>
          <w:p w14:paraId="1DA9DC84" w14:textId="77777777" w:rsidR="00AB3A3E" w:rsidRPr="004C3A0B" w:rsidRDefault="00AB3A3E" w:rsidP="005A5587">
            <w:pPr>
              <w:autoSpaceDE w:val="0"/>
              <w:autoSpaceDN w:val="0"/>
              <w:adjustRightInd w:val="0"/>
              <w:rPr>
                <w:rFonts w:ascii="Arial" w:hAnsi="Arial" w:cs="Arial"/>
                <w:b/>
                <w:sz w:val="22"/>
              </w:rPr>
            </w:pPr>
            <w:r w:rsidRPr="004C3A0B">
              <w:rPr>
                <w:rFonts w:ascii="Arial" w:hAnsi="Arial" w:cs="Arial"/>
                <w:b/>
                <w:sz w:val="22"/>
              </w:rPr>
              <w:t>Will the research activity include:</w:t>
            </w:r>
          </w:p>
        </w:tc>
        <w:tc>
          <w:tcPr>
            <w:tcW w:w="846" w:type="dxa"/>
            <w:shd w:val="clear" w:color="auto" w:fill="F2F2F2" w:themeFill="background1" w:themeFillShade="F2"/>
            <w:vAlign w:val="center"/>
          </w:tcPr>
          <w:p w14:paraId="187D7418"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16" w:type="dxa"/>
            <w:shd w:val="clear" w:color="auto" w:fill="F2F2F2" w:themeFill="background1" w:themeFillShade="F2"/>
            <w:vAlign w:val="center"/>
          </w:tcPr>
          <w:p w14:paraId="1FDB82C7"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r>
      <w:tr w:rsidR="00AB3A3E" w:rsidRPr="004C3A0B" w14:paraId="717DC36E" w14:textId="77777777" w:rsidTr="005A5587">
        <w:trPr>
          <w:trHeight w:val="439"/>
        </w:trPr>
        <w:tc>
          <w:tcPr>
            <w:tcW w:w="562" w:type="dxa"/>
            <w:shd w:val="clear" w:color="auto" w:fill="F2F2F2" w:themeFill="background1" w:themeFillShade="F2"/>
            <w:vAlign w:val="center"/>
          </w:tcPr>
          <w:p w14:paraId="5E792304"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w:t>
            </w:r>
          </w:p>
        </w:tc>
        <w:tc>
          <w:tcPr>
            <w:tcW w:w="8227" w:type="dxa"/>
            <w:shd w:val="clear" w:color="auto" w:fill="F2F2F2" w:themeFill="background1" w:themeFillShade="F2"/>
            <w:vAlign w:val="center"/>
          </w:tcPr>
          <w:p w14:paraId="68412EDC"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rPr>
              <w:id w:val="1843739070"/>
              <w14:checkbox>
                <w14:checked w14:val="1"/>
                <w14:checkedState w14:val="2612" w14:font="MS Gothic"/>
                <w14:uncheckedState w14:val="2610" w14:font="MS Gothic"/>
              </w14:checkbox>
            </w:sdtPr>
            <w:sdtContent>
              <w:p w14:paraId="27AFA90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474143939"/>
              <w14:checkbox>
                <w14:checked w14:val="0"/>
                <w14:checkedState w14:val="2612" w14:font="MS Gothic"/>
                <w14:uncheckedState w14:val="2610" w14:font="MS Gothic"/>
              </w14:checkbox>
            </w:sdtPr>
            <w:sdtContent>
              <w:p w14:paraId="18F45C1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3A3337A" w14:textId="77777777" w:rsidTr="005A5587">
        <w:trPr>
          <w:trHeight w:val="439"/>
        </w:trPr>
        <w:tc>
          <w:tcPr>
            <w:tcW w:w="562" w:type="dxa"/>
            <w:shd w:val="clear" w:color="auto" w:fill="F2F2F2" w:themeFill="background1" w:themeFillShade="F2"/>
            <w:vAlign w:val="center"/>
          </w:tcPr>
          <w:p w14:paraId="00BF5471"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2</w:t>
            </w:r>
          </w:p>
        </w:tc>
        <w:tc>
          <w:tcPr>
            <w:tcW w:w="8227" w:type="dxa"/>
            <w:shd w:val="clear" w:color="auto" w:fill="F2F2F2" w:themeFill="background1" w:themeFillShade="F2"/>
            <w:vAlign w:val="center"/>
          </w:tcPr>
          <w:p w14:paraId="471721B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Use of interviews?</w:t>
            </w:r>
          </w:p>
        </w:tc>
        <w:tc>
          <w:tcPr>
            <w:tcW w:w="846" w:type="dxa"/>
            <w:shd w:val="clear" w:color="auto" w:fill="BFBFBF" w:themeFill="background1" w:themeFillShade="BF"/>
            <w:vAlign w:val="center"/>
          </w:tcPr>
          <w:sdt>
            <w:sdtPr>
              <w:rPr>
                <w:rFonts w:ascii="Arial" w:hAnsi="Arial" w:cs="Arial"/>
                <w:b/>
                <w:bCs/>
                <w:sz w:val="22"/>
              </w:rPr>
              <w:id w:val="-800765487"/>
              <w14:checkbox>
                <w14:checked w14:val="0"/>
                <w14:checkedState w14:val="2612" w14:font="MS Gothic"/>
                <w14:uncheckedState w14:val="2610" w14:font="MS Gothic"/>
              </w14:checkbox>
            </w:sdtPr>
            <w:sdtContent>
              <w:p w14:paraId="5D75E2FE"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749926786"/>
              <w14:checkbox>
                <w14:checked w14:val="1"/>
                <w14:checkedState w14:val="2612" w14:font="MS Gothic"/>
                <w14:uncheckedState w14:val="2610" w14:font="MS Gothic"/>
              </w14:checkbox>
            </w:sdtPr>
            <w:sdtContent>
              <w:p w14:paraId="0E920A56"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07EB5CA" w14:textId="77777777" w:rsidTr="005A5587">
        <w:trPr>
          <w:trHeight w:val="439"/>
        </w:trPr>
        <w:tc>
          <w:tcPr>
            <w:tcW w:w="562" w:type="dxa"/>
            <w:shd w:val="clear" w:color="auto" w:fill="F2F2F2" w:themeFill="background1" w:themeFillShade="F2"/>
            <w:vAlign w:val="center"/>
          </w:tcPr>
          <w:p w14:paraId="76FA8591" w14:textId="77777777" w:rsidR="00AB3A3E" w:rsidRDefault="00AB3A3E" w:rsidP="005A5587">
            <w:pPr>
              <w:autoSpaceDE w:val="0"/>
              <w:autoSpaceDN w:val="0"/>
              <w:adjustRightInd w:val="0"/>
              <w:rPr>
                <w:rFonts w:ascii="Arial" w:hAnsi="Arial" w:cs="Arial"/>
                <w:sz w:val="22"/>
              </w:rPr>
            </w:pPr>
            <w:r>
              <w:rPr>
                <w:rFonts w:ascii="Arial" w:hAnsi="Arial" w:cs="Arial"/>
                <w:sz w:val="22"/>
              </w:rPr>
              <w:t>3</w:t>
            </w:r>
          </w:p>
        </w:tc>
        <w:tc>
          <w:tcPr>
            <w:tcW w:w="8227" w:type="dxa"/>
            <w:shd w:val="clear" w:color="auto" w:fill="F2F2F2" w:themeFill="background1" w:themeFillShade="F2"/>
            <w:vAlign w:val="center"/>
          </w:tcPr>
          <w:p w14:paraId="03E2F900"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focus groups</w:t>
            </w:r>
            <w:r w:rsidRPr="004C3A0B">
              <w:rPr>
                <w:rFonts w:ascii="Arial" w:hAnsi="Arial" w:cs="Arial"/>
                <w:sz w:val="22"/>
              </w:rPr>
              <w:t>?</w:t>
            </w:r>
          </w:p>
        </w:tc>
        <w:tc>
          <w:tcPr>
            <w:tcW w:w="846" w:type="dxa"/>
            <w:shd w:val="clear" w:color="auto" w:fill="BFBFBF" w:themeFill="background1" w:themeFillShade="BF"/>
            <w:vAlign w:val="center"/>
          </w:tcPr>
          <w:sdt>
            <w:sdtPr>
              <w:rPr>
                <w:rFonts w:ascii="Arial" w:hAnsi="Arial" w:cs="Arial"/>
                <w:b/>
                <w:bCs/>
                <w:sz w:val="22"/>
              </w:rPr>
              <w:id w:val="-507049709"/>
              <w14:checkbox>
                <w14:checked w14:val="0"/>
                <w14:checkedState w14:val="2612" w14:font="MS Gothic"/>
                <w14:uncheckedState w14:val="2610" w14:font="MS Gothic"/>
              </w14:checkbox>
            </w:sdtPr>
            <w:sdtContent>
              <w:p w14:paraId="35772913"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238368725"/>
              <w14:checkbox>
                <w14:checked w14:val="1"/>
                <w14:checkedState w14:val="2612" w14:font="MS Gothic"/>
                <w14:uncheckedState w14:val="2610" w14:font="MS Gothic"/>
              </w14:checkbox>
            </w:sdtPr>
            <w:sdtContent>
              <w:p w14:paraId="376FA0F5"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r w:rsidR="00AB3A3E" w:rsidRPr="004C3A0B" w14:paraId="21B18CCD" w14:textId="77777777" w:rsidTr="005A5587">
        <w:trPr>
          <w:trHeight w:val="403"/>
        </w:trPr>
        <w:tc>
          <w:tcPr>
            <w:tcW w:w="562" w:type="dxa"/>
            <w:shd w:val="clear" w:color="auto" w:fill="F2F2F2" w:themeFill="background1" w:themeFillShade="F2"/>
            <w:vAlign w:val="center"/>
          </w:tcPr>
          <w:p w14:paraId="2810D79B"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4</w:t>
            </w:r>
          </w:p>
        </w:tc>
        <w:tc>
          <w:tcPr>
            <w:tcW w:w="8227" w:type="dxa"/>
            <w:shd w:val="clear" w:color="auto" w:fill="F2F2F2" w:themeFill="background1" w:themeFillShade="F2"/>
            <w:vAlign w:val="center"/>
          </w:tcPr>
          <w:p w14:paraId="292C2B41"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 xml:space="preserve">participant </w:t>
            </w:r>
            <w:r w:rsidRPr="004C3A0B">
              <w:rPr>
                <w:rFonts w:ascii="Arial" w:hAnsi="Arial" w:cs="Arial"/>
                <w:sz w:val="22"/>
              </w:rPr>
              <w:t xml:space="preserve">diaries? </w:t>
            </w:r>
          </w:p>
        </w:tc>
        <w:tc>
          <w:tcPr>
            <w:tcW w:w="846" w:type="dxa"/>
            <w:shd w:val="clear" w:color="auto" w:fill="BFBFBF" w:themeFill="background1" w:themeFillShade="BF"/>
            <w:vAlign w:val="center"/>
          </w:tcPr>
          <w:sdt>
            <w:sdtPr>
              <w:rPr>
                <w:rFonts w:ascii="Arial" w:hAnsi="Arial" w:cs="Arial"/>
                <w:b/>
                <w:bCs/>
                <w:sz w:val="22"/>
              </w:rPr>
              <w:id w:val="319468663"/>
              <w14:checkbox>
                <w14:checked w14:val="0"/>
                <w14:checkedState w14:val="2612" w14:font="MS Gothic"/>
                <w14:uncheckedState w14:val="2610" w14:font="MS Gothic"/>
              </w14:checkbox>
            </w:sdtPr>
            <w:sdtContent>
              <w:p w14:paraId="1E841D3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900483589"/>
              <w14:checkbox>
                <w14:checked w14:val="1"/>
                <w14:checkedState w14:val="2612" w14:font="MS Gothic"/>
                <w14:uncheckedState w14:val="2610" w14:font="MS Gothic"/>
              </w14:checkbox>
            </w:sdtPr>
            <w:sdtContent>
              <w:p w14:paraId="4D611D6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25F6ADB5" w14:textId="77777777" w:rsidTr="005A5587">
        <w:trPr>
          <w:trHeight w:val="403"/>
        </w:trPr>
        <w:tc>
          <w:tcPr>
            <w:tcW w:w="562" w:type="dxa"/>
            <w:shd w:val="clear" w:color="auto" w:fill="F2F2F2" w:themeFill="background1" w:themeFillShade="F2"/>
            <w:vAlign w:val="center"/>
          </w:tcPr>
          <w:p w14:paraId="33735789" w14:textId="77777777" w:rsidR="00AB3A3E" w:rsidRDefault="00AB3A3E" w:rsidP="005A5587">
            <w:pPr>
              <w:autoSpaceDE w:val="0"/>
              <w:autoSpaceDN w:val="0"/>
              <w:adjustRightInd w:val="0"/>
              <w:rPr>
                <w:rFonts w:ascii="Arial" w:hAnsi="Arial" w:cs="Arial"/>
                <w:sz w:val="22"/>
              </w:rPr>
            </w:pPr>
            <w:r>
              <w:rPr>
                <w:rFonts w:ascii="Arial" w:hAnsi="Arial" w:cs="Arial"/>
                <w:sz w:val="22"/>
              </w:rPr>
              <w:t>5</w:t>
            </w:r>
          </w:p>
        </w:tc>
        <w:tc>
          <w:tcPr>
            <w:tcW w:w="8227" w:type="dxa"/>
            <w:shd w:val="clear" w:color="auto" w:fill="F2F2F2" w:themeFill="background1" w:themeFillShade="F2"/>
            <w:vAlign w:val="center"/>
          </w:tcPr>
          <w:p w14:paraId="6AF1EC0C"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Use of video or audio recording?</w:t>
            </w:r>
          </w:p>
        </w:tc>
        <w:tc>
          <w:tcPr>
            <w:tcW w:w="846" w:type="dxa"/>
            <w:shd w:val="clear" w:color="auto" w:fill="BFBFBF" w:themeFill="background1" w:themeFillShade="BF"/>
            <w:vAlign w:val="center"/>
          </w:tcPr>
          <w:sdt>
            <w:sdtPr>
              <w:rPr>
                <w:rFonts w:ascii="Arial" w:hAnsi="Arial" w:cs="Arial"/>
                <w:b/>
                <w:bCs/>
                <w:sz w:val="22"/>
              </w:rPr>
              <w:id w:val="-494723296"/>
              <w14:checkbox>
                <w14:checked w14:val="0"/>
                <w14:checkedState w14:val="2612" w14:font="MS Gothic"/>
                <w14:uncheckedState w14:val="2610" w14:font="MS Gothic"/>
              </w14:checkbox>
            </w:sdtPr>
            <w:sdtContent>
              <w:p w14:paraId="5DF97AEC"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672298898"/>
              <w14:checkbox>
                <w14:checked w14:val="1"/>
                <w14:checkedState w14:val="2612" w14:font="MS Gothic"/>
                <w14:uncheckedState w14:val="2610" w14:font="MS Gothic"/>
              </w14:checkbox>
            </w:sdtPr>
            <w:sdtContent>
              <w:p w14:paraId="46EDA599"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r w:rsidR="00AB3A3E" w:rsidRPr="004C3A0B" w14:paraId="067CA15F" w14:textId="77777777" w:rsidTr="005A5587">
        <w:trPr>
          <w:trHeight w:val="403"/>
        </w:trPr>
        <w:tc>
          <w:tcPr>
            <w:tcW w:w="562" w:type="dxa"/>
            <w:shd w:val="clear" w:color="auto" w:fill="F2F2F2" w:themeFill="background1" w:themeFillShade="F2"/>
            <w:vAlign w:val="center"/>
          </w:tcPr>
          <w:p w14:paraId="0372CB67"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6</w:t>
            </w:r>
          </w:p>
        </w:tc>
        <w:tc>
          <w:tcPr>
            <w:tcW w:w="8227" w:type="dxa"/>
            <w:shd w:val="clear" w:color="auto" w:fill="F2F2F2" w:themeFill="background1" w:themeFillShade="F2"/>
            <w:vAlign w:val="center"/>
          </w:tcPr>
          <w:p w14:paraId="65F1EF4E"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Use of computer-generated log files?</w:t>
            </w:r>
          </w:p>
        </w:tc>
        <w:tc>
          <w:tcPr>
            <w:tcW w:w="846" w:type="dxa"/>
            <w:shd w:val="clear" w:color="auto" w:fill="BFBFBF" w:themeFill="background1" w:themeFillShade="BF"/>
            <w:vAlign w:val="center"/>
          </w:tcPr>
          <w:sdt>
            <w:sdtPr>
              <w:rPr>
                <w:rFonts w:ascii="Arial" w:hAnsi="Arial" w:cs="Arial"/>
                <w:b/>
                <w:bCs/>
                <w:sz w:val="22"/>
              </w:rPr>
              <w:id w:val="282394886"/>
              <w14:checkbox>
                <w14:checked w14:val="0"/>
                <w14:checkedState w14:val="2612" w14:font="MS Gothic"/>
                <w14:uncheckedState w14:val="2610" w14:font="MS Gothic"/>
              </w14:checkbox>
            </w:sdtPr>
            <w:sdtContent>
              <w:p w14:paraId="0D7668B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338917432"/>
              <w14:checkbox>
                <w14:checked w14:val="1"/>
                <w14:checkedState w14:val="2612" w14:font="MS Gothic"/>
                <w14:uncheckedState w14:val="2610" w14:font="MS Gothic"/>
              </w14:checkbox>
            </w:sdtPr>
            <w:sdtContent>
              <w:p w14:paraId="129C051B"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C9B2525" w14:textId="77777777" w:rsidTr="005A5587">
        <w:trPr>
          <w:trHeight w:val="439"/>
        </w:trPr>
        <w:tc>
          <w:tcPr>
            <w:tcW w:w="562" w:type="dxa"/>
            <w:shd w:val="clear" w:color="auto" w:fill="F2F2F2" w:themeFill="background1" w:themeFillShade="F2"/>
            <w:vAlign w:val="center"/>
          </w:tcPr>
          <w:p w14:paraId="764774B4"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7</w:t>
            </w:r>
          </w:p>
        </w:tc>
        <w:tc>
          <w:tcPr>
            <w:tcW w:w="8227" w:type="dxa"/>
            <w:shd w:val="clear" w:color="auto" w:fill="F2F2F2" w:themeFill="background1" w:themeFillShade="F2"/>
            <w:vAlign w:val="center"/>
          </w:tcPr>
          <w:p w14:paraId="2E550A43"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rPr>
              <w:id w:val="-1942599491"/>
              <w14:checkbox>
                <w14:checked w14:val="0"/>
                <w14:checkedState w14:val="2612" w14:font="MS Gothic"/>
                <w14:uncheckedState w14:val="2610" w14:font="MS Gothic"/>
              </w14:checkbox>
            </w:sdtPr>
            <w:sdtContent>
              <w:p w14:paraId="0F778356"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626286741"/>
              <w14:checkbox>
                <w14:checked w14:val="1"/>
                <w14:checkedState w14:val="2612" w14:font="MS Gothic"/>
                <w14:uncheckedState w14:val="2610" w14:font="MS Gothic"/>
              </w14:checkbox>
            </w:sdtPr>
            <w:sdtContent>
              <w:p w14:paraId="76F6294B"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8738D78" w14:textId="77777777" w:rsidTr="005A5587">
        <w:trPr>
          <w:trHeight w:val="403"/>
        </w:trPr>
        <w:tc>
          <w:tcPr>
            <w:tcW w:w="562" w:type="dxa"/>
            <w:shd w:val="clear" w:color="auto" w:fill="F2F2F2" w:themeFill="background1" w:themeFillShade="F2"/>
            <w:vAlign w:val="center"/>
          </w:tcPr>
          <w:p w14:paraId="46ECE2DE"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8</w:t>
            </w:r>
          </w:p>
        </w:tc>
        <w:tc>
          <w:tcPr>
            <w:tcW w:w="8227" w:type="dxa"/>
            <w:shd w:val="clear" w:color="auto" w:fill="F2F2F2" w:themeFill="background1" w:themeFillShade="F2"/>
            <w:vAlign w:val="center"/>
          </w:tcPr>
          <w:p w14:paraId="08C8441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rPr>
              <w:id w:val="-387187341"/>
              <w14:checkbox>
                <w14:checked w14:val="0"/>
                <w14:checkedState w14:val="2612" w14:font="MS Gothic"/>
                <w14:uncheckedState w14:val="2610" w14:font="MS Gothic"/>
              </w14:checkbox>
            </w:sdtPr>
            <w:sdtContent>
              <w:p w14:paraId="05E9710A"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580675213"/>
              <w14:checkbox>
                <w14:checked w14:val="1"/>
                <w14:checkedState w14:val="2612" w14:font="MS Gothic"/>
                <w14:uncheckedState w14:val="2610" w14:font="MS Gothic"/>
              </w14:checkbox>
            </w:sdtPr>
            <w:sdtContent>
              <w:p w14:paraId="67A24D12"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A53F356" w14:textId="77777777" w:rsidTr="005A5587">
        <w:trPr>
          <w:trHeight w:val="439"/>
        </w:trPr>
        <w:tc>
          <w:tcPr>
            <w:tcW w:w="562" w:type="dxa"/>
            <w:shd w:val="clear" w:color="auto" w:fill="F2F2F2" w:themeFill="background1" w:themeFillShade="F2"/>
            <w:vAlign w:val="center"/>
          </w:tcPr>
          <w:p w14:paraId="64071DF1"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9</w:t>
            </w:r>
          </w:p>
        </w:tc>
        <w:tc>
          <w:tcPr>
            <w:tcW w:w="8227" w:type="dxa"/>
            <w:shd w:val="clear" w:color="auto" w:fill="F2F2F2" w:themeFill="background1" w:themeFillShade="F2"/>
            <w:vAlign w:val="center"/>
          </w:tcPr>
          <w:p w14:paraId="00148F3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rPr>
              <w:id w:val="-1397120567"/>
              <w14:checkbox>
                <w14:checked w14:val="0"/>
                <w14:checkedState w14:val="2612" w14:font="MS Gothic"/>
                <w14:uncheckedState w14:val="2610" w14:font="MS Gothic"/>
              </w14:checkbox>
            </w:sdtPr>
            <w:sdtContent>
              <w:p w14:paraId="2FC7746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587048268"/>
              <w14:checkbox>
                <w14:checked w14:val="1"/>
                <w14:checkedState w14:val="2612" w14:font="MS Gothic"/>
                <w14:uncheckedState w14:val="2610" w14:font="MS Gothic"/>
              </w14:checkbox>
            </w:sdtPr>
            <w:sdtContent>
              <w:p w14:paraId="11C915BF"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6953042" w14:textId="77777777" w:rsidTr="005A5587">
        <w:trPr>
          <w:trHeight w:val="403"/>
        </w:trPr>
        <w:tc>
          <w:tcPr>
            <w:tcW w:w="562" w:type="dxa"/>
            <w:shd w:val="clear" w:color="auto" w:fill="F2F2F2" w:themeFill="background1" w:themeFillShade="F2"/>
            <w:vAlign w:val="center"/>
          </w:tcPr>
          <w:p w14:paraId="31AB17DD"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10</w:t>
            </w:r>
          </w:p>
        </w:tc>
        <w:tc>
          <w:tcPr>
            <w:tcW w:w="8227" w:type="dxa"/>
            <w:shd w:val="clear" w:color="auto" w:fill="F2F2F2" w:themeFill="background1" w:themeFillShade="F2"/>
            <w:vAlign w:val="center"/>
          </w:tcPr>
          <w:p w14:paraId="0BBF492A"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rPr>
              <w:id w:val="-723911514"/>
              <w14:checkbox>
                <w14:checked w14:val="0"/>
                <w14:checkedState w14:val="2612" w14:font="MS Gothic"/>
                <w14:uncheckedState w14:val="2610" w14:font="MS Gothic"/>
              </w14:checkbox>
            </w:sdtPr>
            <w:sdtContent>
              <w:p w14:paraId="4466757F"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655270249"/>
              <w14:checkbox>
                <w14:checked w14:val="1"/>
                <w14:checkedState w14:val="2612" w14:font="MS Gothic"/>
                <w14:uncheckedState w14:val="2610" w14:font="MS Gothic"/>
              </w14:checkbox>
            </w:sdtPr>
            <w:sdtContent>
              <w:p w14:paraId="29B66D8B"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D5DA870" w14:textId="77777777" w:rsidTr="005A5587">
        <w:trPr>
          <w:trHeight w:val="403"/>
        </w:trPr>
        <w:tc>
          <w:tcPr>
            <w:tcW w:w="562" w:type="dxa"/>
            <w:shd w:val="clear" w:color="auto" w:fill="F2F2F2" w:themeFill="background1" w:themeFillShade="F2"/>
            <w:vAlign w:val="center"/>
          </w:tcPr>
          <w:p w14:paraId="346927BF"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lastRenderedPageBreak/>
              <w:t>11</w:t>
            </w:r>
          </w:p>
        </w:tc>
        <w:tc>
          <w:tcPr>
            <w:tcW w:w="8227" w:type="dxa"/>
            <w:shd w:val="clear" w:color="auto" w:fill="F2F2F2" w:themeFill="background1" w:themeFillShade="F2"/>
            <w:vAlign w:val="center"/>
          </w:tcPr>
          <w:p w14:paraId="4126A713"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rPr>
              <w:id w:val="1994977168"/>
              <w14:checkbox>
                <w14:checked w14:val="0"/>
                <w14:checkedState w14:val="2612" w14:font="MS Gothic"/>
                <w14:uncheckedState w14:val="2610" w14:font="MS Gothic"/>
              </w14:checkbox>
            </w:sdtPr>
            <w:sdtContent>
              <w:p w14:paraId="02E451D5"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2119442801"/>
              <w14:checkbox>
                <w14:checked w14:val="1"/>
                <w14:checkedState w14:val="2612" w14:font="MS Gothic"/>
                <w14:uncheckedState w14:val="2610" w14:font="MS Gothic"/>
              </w14:checkbox>
            </w:sdtPr>
            <w:sdtContent>
              <w:p w14:paraId="0C240843"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4CF51065" w14:textId="77777777" w:rsidTr="005A5587">
        <w:trPr>
          <w:trHeight w:val="403"/>
        </w:trPr>
        <w:tc>
          <w:tcPr>
            <w:tcW w:w="562" w:type="dxa"/>
            <w:shd w:val="clear" w:color="auto" w:fill="F2F2F2" w:themeFill="background1" w:themeFillShade="F2"/>
            <w:vAlign w:val="center"/>
          </w:tcPr>
          <w:p w14:paraId="6D13C710"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12</w:t>
            </w:r>
          </w:p>
        </w:tc>
        <w:tc>
          <w:tcPr>
            <w:tcW w:w="8227" w:type="dxa"/>
            <w:shd w:val="clear" w:color="auto" w:fill="F2F2F2" w:themeFill="background1" w:themeFillShade="F2"/>
            <w:vAlign w:val="center"/>
          </w:tcPr>
          <w:p w14:paraId="2AC8A16E"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rPr>
              <w:id w:val="-570350383"/>
              <w14:checkbox>
                <w14:checked w14:val="0"/>
                <w14:checkedState w14:val="2612" w14:font="MS Gothic"/>
                <w14:uncheckedState w14:val="2610" w14:font="MS Gothic"/>
              </w14:checkbox>
            </w:sdtPr>
            <w:sdtContent>
              <w:p w14:paraId="6DE5D319"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904758639"/>
              <w14:checkbox>
                <w14:checked w14:val="1"/>
                <w14:checkedState w14:val="2612" w14:font="MS Gothic"/>
                <w14:uncheckedState w14:val="2610" w14:font="MS Gothic"/>
              </w14:checkbox>
            </w:sdtPr>
            <w:sdtContent>
              <w:p w14:paraId="24E053A1"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1FDCD8CF" w14:textId="77777777" w:rsidTr="005A5587">
        <w:trPr>
          <w:trHeight w:val="403"/>
        </w:trPr>
        <w:tc>
          <w:tcPr>
            <w:tcW w:w="562" w:type="dxa"/>
            <w:shd w:val="clear" w:color="auto" w:fill="F2F2F2" w:themeFill="background1" w:themeFillShade="F2"/>
            <w:vAlign w:val="center"/>
          </w:tcPr>
          <w:p w14:paraId="7082C26A"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13</w:t>
            </w:r>
          </w:p>
        </w:tc>
        <w:tc>
          <w:tcPr>
            <w:tcW w:w="8227" w:type="dxa"/>
            <w:shd w:val="clear" w:color="auto" w:fill="F2F2F2" w:themeFill="background1" w:themeFillShade="F2"/>
            <w:vAlign w:val="center"/>
          </w:tcPr>
          <w:p w14:paraId="63694089"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846" w:type="dxa"/>
            <w:shd w:val="clear" w:color="auto" w:fill="BFBFBF" w:themeFill="background1" w:themeFillShade="BF"/>
            <w:vAlign w:val="center"/>
          </w:tcPr>
          <w:sdt>
            <w:sdtPr>
              <w:rPr>
                <w:rFonts w:ascii="Arial" w:hAnsi="Arial" w:cs="Arial"/>
                <w:b/>
                <w:bCs/>
                <w:sz w:val="22"/>
              </w:rPr>
              <w:id w:val="362719355"/>
              <w14:checkbox>
                <w14:checked w14:val="0"/>
                <w14:checkedState w14:val="2612" w14:font="MS Gothic"/>
                <w14:uncheckedState w14:val="2610" w14:font="MS Gothic"/>
              </w14:checkbox>
            </w:sdtPr>
            <w:sdtContent>
              <w:p w14:paraId="57DDB47D"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074700241"/>
              <w14:checkbox>
                <w14:checked w14:val="1"/>
                <w14:checkedState w14:val="2612" w14:font="MS Gothic"/>
                <w14:uncheckedState w14:val="2610" w14:font="MS Gothic"/>
              </w14:checkbox>
            </w:sdtPr>
            <w:sdtContent>
              <w:p w14:paraId="6F620EC0"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280CA332" w14:textId="77777777" w:rsidTr="005A5587">
        <w:trPr>
          <w:trHeight w:val="403"/>
        </w:trPr>
        <w:tc>
          <w:tcPr>
            <w:tcW w:w="562" w:type="dxa"/>
            <w:shd w:val="clear" w:color="auto" w:fill="F2F2F2" w:themeFill="background1" w:themeFillShade="F2"/>
            <w:vAlign w:val="center"/>
          </w:tcPr>
          <w:p w14:paraId="767636D1"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14</w:t>
            </w:r>
          </w:p>
        </w:tc>
        <w:tc>
          <w:tcPr>
            <w:tcW w:w="8227" w:type="dxa"/>
            <w:shd w:val="clear" w:color="auto" w:fill="F2F2F2" w:themeFill="background1" w:themeFillShade="F2"/>
            <w:vAlign w:val="center"/>
          </w:tcPr>
          <w:p w14:paraId="3021E3E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rPr>
              <w:id w:val="-1924798936"/>
              <w14:checkbox>
                <w14:checked w14:val="0"/>
                <w14:checkedState w14:val="2612" w14:font="MS Gothic"/>
                <w14:uncheckedState w14:val="2610" w14:font="MS Gothic"/>
              </w14:checkbox>
            </w:sdtPr>
            <w:sdtContent>
              <w:p w14:paraId="1F3168BE"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624625241"/>
              <w14:checkbox>
                <w14:checked w14:val="1"/>
                <w14:checkedState w14:val="2612" w14:font="MS Gothic"/>
                <w14:uncheckedState w14:val="2610" w14:font="MS Gothic"/>
              </w14:checkbox>
            </w:sdtPr>
            <w:sdtContent>
              <w:p w14:paraId="458C079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4D515022" w14:textId="77777777" w:rsidTr="005A5587">
        <w:trPr>
          <w:trHeight w:val="403"/>
        </w:trPr>
        <w:tc>
          <w:tcPr>
            <w:tcW w:w="562" w:type="dxa"/>
            <w:shd w:val="clear" w:color="auto" w:fill="F2F2F2" w:themeFill="background1" w:themeFillShade="F2"/>
            <w:vAlign w:val="center"/>
          </w:tcPr>
          <w:p w14:paraId="07DD7F7F"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15</w:t>
            </w:r>
          </w:p>
        </w:tc>
        <w:tc>
          <w:tcPr>
            <w:tcW w:w="8227" w:type="dxa"/>
            <w:shd w:val="clear" w:color="auto" w:fill="F2F2F2" w:themeFill="background1" w:themeFillShade="F2"/>
            <w:vAlign w:val="center"/>
          </w:tcPr>
          <w:p w14:paraId="5770E5CE"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846" w:type="dxa"/>
            <w:shd w:val="clear" w:color="auto" w:fill="BFBFBF" w:themeFill="background1" w:themeFillShade="BF"/>
            <w:vAlign w:val="center"/>
          </w:tcPr>
          <w:sdt>
            <w:sdtPr>
              <w:rPr>
                <w:rFonts w:ascii="Arial" w:hAnsi="Arial" w:cs="Arial"/>
                <w:b/>
                <w:bCs/>
                <w:sz w:val="22"/>
              </w:rPr>
              <w:id w:val="300428637"/>
              <w14:checkbox>
                <w14:checked w14:val="0"/>
                <w14:checkedState w14:val="2612" w14:font="MS Gothic"/>
                <w14:uncheckedState w14:val="2610" w14:font="MS Gothic"/>
              </w14:checkbox>
            </w:sdtPr>
            <w:sdtContent>
              <w:p w14:paraId="212CF24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236861983"/>
              <w14:checkbox>
                <w14:checked w14:val="1"/>
                <w14:checkedState w14:val="2612" w14:font="MS Gothic"/>
                <w14:uncheckedState w14:val="2610" w14:font="MS Gothic"/>
              </w14:checkbox>
            </w:sdtPr>
            <w:sdtContent>
              <w:p w14:paraId="5457F4A5"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324669C1" w14:textId="77777777" w:rsidTr="005A5587">
        <w:trPr>
          <w:trHeight w:val="403"/>
        </w:trPr>
        <w:tc>
          <w:tcPr>
            <w:tcW w:w="562" w:type="dxa"/>
            <w:shd w:val="clear" w:color="auto" w:fill="F2F2F2" w:themeFill="background1" w:themeFillShade="F2"/>
            <w:vAlign w:val="center"/>
          </w:tcPr>
          <w:p w14:paraId="437BFB4C" w14:textId="77777777" w:rsidR="00AB3A3E" w:rsidRDefault="00AB3A3E" w:rsidP="005A5587">
            <w:pPr>
              <w:autoSpaceDE w:val="0"/>
              <w:autoSpaceDN w:val="0"/>
              <w:adjustRightInd w:val="0"/>
              <w:rPr>
                <w:rFonts w:ascii="Arial" w:hAnsi="Arial" w:cs="Arial"/>
                <w:sz w:val="22"/>
              </w:rPr>
            </w:pPr>
            <w:r>
              <w:rPr>
                <w:rFonts w:ascii="Arial" w:hAnsi="Arial" w:cs="Arial"/>
                <w:sz w:val="22"/>
              </w:rPr>
              <w:t>16</w:t>
            </w:r>
          </w:p>
        </w:tc>
        <w:tc>
          <w:tcPr>
            <w:tcW w:w="8227" w:type="dxa"/>
            <w:shd w:val="clear" w:color="auto" w:fill="F2F2F2" w:themeFill="background1" w:themeFillShade="F2"/>
            <w:vAlign w:val="center"/>
          </w:tcPr>
          <w:p w14:paraId="06646F60" w14:textId="77777777" w:rsidR="00AB3A3E" w:rsidRPr="004C3A0B" w:rsidRDefault="00AB3A3E" w:rsidP="005A5587">
            <w:pPr>
              <w:autoSpaceDE w:val="0"/>
              <w:autoSpaceDN w:val="0"/>
              <w:adjustRightInd w:val="0"/>
              <w:rPr>
                <w:rFonts w:ascii="Arial" w:hAnsi="Arial" w:cs="Arial"/>
                <w:sz w:val="22"/>
              </w:rPr>
            </w:pPr>
            <w:r>
              <w:rPr>
                <w:rFonts w:ascii="Arial" w:hAnsi="Arial" w:cs="Arial"/>
                <w:sz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rPr>
              <w:id w:val="1647247395"/>
              <w14:checkbox>
                <w14:checked w14:val="0"/>
                <w14:checkedState w14:val="2612" w14:font="MS Gothic"/>
                <w14:uncheckedState w14:val="2610" w14:font="MS Gothic"/>
              </w14:checkbox>
            </w:sdtPr>
            <w:sdtContent>
              <w:p w14:paraId="56116468"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816" w:type="dxa"/>
            <w:shd w:val="clear" w:color="auto" w:fill="BFBFBF" w:themeFill="background1" w:themeFillShade="BF"/>
            <w:vAlign w:val="center"/>
          </w:tcPr>
          <w:sdt>
            <w:sdtPr>
              <w:rPr>
                <w:rFonts w:ascii="Arial" w:hAnsi="Arial" w:cs="Arial"/>
                <w:b/>
                <w:bCs/>
                <w:sz w:val="22"/>
              </w:rPr>
              <w:id w:val="-1995170133"/>
              <w14:checkbox>
                <w14:checked w14:val="1"/>
                <w14:checkedState w14:val="2612" w14:font="MS Gothic"/>
                <w14:uncheckedState w14:val="2610" w14:font="MS Gothic"/>
              </w14:checkbox>
            </w:sdtPr>
            <w:sdtContent>
              <w:p w14:paraId="7445BBE6" w14:textId="77777777" w:rsidR="00AB3A3E"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r w:rsidR="00AB3A3E" w:rsidRPr="006C1FDD" w14:paraId="0C79BA1B" w14:textId="77777777" w:rsidTr="005A5587">
        <w:trPr>
          <w:trHeight w:val="403"/>
        </w:trPr>
        <w:tc>
          <w:tcPr>
            <w:tcW w:w="562" w:type="dxa"/>
            <w:shd w:val="clear" w:color="auto" w:fill="F2F2F2" w:themeFill="background1" w:themeFillShade="F2"/>
            <w:vAlign w:val="center"/>
          </w:tcPr>
          <w:p w14:paraId="5253ED0D" w14:textId="77777777" w:rsidR="00AB3A3E" w:rsidRPr="006C1FDD" w:rsidRDefault="00AB3A3E" w:rsidP="005A5587">
            <w:pPr>
              <w:autoSpaceDE w:val="0"/>
              <w:autoSpaceDN w:val="0"/>
              <w:adjustRightInd w:val="0"/>
              <w:rPr>
                <w:rFonts w:ascii="Arial" w:hAnsi="Arial" w:cs="Arial"/>
                <w:sz w:val="22"/>
              </w:rPr>
            </w:pPr>
            <w:r>
              <w:rPr>
                <w:rFonts w:ascii="Arial" w:hAnsi="Arial" w:cs="Arial"/>
                <w:sz w:val="22"/>
              </w:rPr>
              <w:t>17</w:t>
            </w:r>
          </w:p>
        </w:tc>
        <w:tc>
          <w:tcPr>
            <w:tcW w:w="8227" w:type="dxa"/>
            <w:shd w:val="clear" w:color="auto" w:fill="F2F2F2" w:themeFill="background1" w:themeFillShade="F2"/>
            <w:vAlign w:val="center"/>
          </w:tcPr>
          <w:p w14:paraId="78B9E0B0" w14:textId="77777777" w:rsidR="00AB3A3E" w:rsidRPr="006C1FDD" w:rsidRDefault="00AB3A3E" w:rsidP="005A5587">
            <w:pPr>
              <w:autoSpaceDE w:val="0"/>
              <w:autoSpaceDN w:val="0"/>
              <w:adjustRightInd w:val="0"/>
              <w:rPr>
                <w:rFonts w:ascii="Arial" w:hAnsi="Arial" w:cs="Arial"/>
                <w:sz w:val="22"/>
              </w:rPr>
            </w:pPr>
            <w:r w:rsidRPr="006C1FDD">
              <w:rPr>
                <w:rFonts w:ascii="Arial" w:hAnsi="Arial" w:cs="Arial"/>
                <w:sz w:val="22"/>
              </w:rPr>
              <w:t xml:space="preserve">Other primary data </w:t>
            </w:r>
            <w:r>
              <w:rPr>
                <w:rFonts w:ascii="Arial" w:hAnsi="Arial" w:cs="Arial"/>
                <w:sz w:val="22"/>
              </w:rPr>
              <w:t xml:space="preserve">collection methods. </w:t>
            </w:r>
            <w:r w:rsidRPr="006C1FDD">
              <w:rPr>
                <w:rFonts w:ascii="Arial" w:hAnsi="Arial" w:cs="Arial"/>
                <w:sz w:val="22"/>
              </w:rPr>
              <w:t xml:space="preserve">Please indicate the type of data collection method(s) </w:t>
            </w:r>
            <w:r>
              <w:rPr>
                <w:rFonts w:ascii="Arial" w:hAnsi="Arial" w:cs="Arial"/>
                <w:sz w:val="22"/>
              </w:rPr>
              <w:t>below.</w:t>
            </w:r>
          </w:p>
        </w:tc>
        <w:tc>
          <w:tcPr>
            <w:tcW w:w="846" w:type="dxa"/>
            <w:vMerge w:val="restart"/>
            <w:shd w:val="clear" w:color="auto" w:fill="BFBFBF" w:themeFill="background1" w:themeFillShade="BF"/>
            <w:vAlign w:val="center"/>
          </w:tcPr>
          <w:sdt>
            <w:sdtPr>
              <w:rPr>
                <w:rFonts w:ascii="Arial" w:hAnsi="Arial" w:cs="Arial"/>
                <w:b/>
                <w:bCs/>
                <w:sz w:val="22"/>
              </w:rPr>
              <w:id w:val="2049023668"/>
              <w14:checkbox>
                <w14:checked w14:val="0"/>
                <w14:checkedState w14:val="2612" w14:font="MS Gothic"/>
                <w14:uncheckedState w14:val="2610" w14:font="MS Gothic"/>
              </w14:checkbox>
            </w:sdtPr>
            <w:sdtContent>
              <w:p w14:paraId="0DEDBF65" w14:textId="77777777" w:rsidR="00AB3A3E" w:rsidRPr="006C1FDD" w:rsidRDefault="00AB3A3E" w:rsidP="005A5587">
                <w:pPr>
                  <w:autoSpaceDE w:val="0"/>
                  <w:autoSpaceDN w:val="0"/>
                  <w:adjustRightInd w:val="0"/>
                  <w:jc w:val="center"/>
                  <w:rPr>
                    <w:rFonts w:ascii="Arial" w:hAnsi="Arial" w:cs="Arial"/>
                    <w:b/>
                    <w:bCs/>
                    <w:sz w:val="22"/>
                  </w:rPr>
                </w:pPr>
                <w:r w:rsidRPr="006C1FDD">
                  <w:rPr>
                    <w:rFonts w:ascii="MS Gothic" w:eastAsia="MS Gothic" w:hAnsi="MS Gothic" w:cs="Arial" w:hint="eastAsia"/>
                    <w:b/>
                    <w:bCs/>
                    <w:sz w:val="22"/>
                  </w:rPr>
                  <w:t>☐</w:t>
                </w:r>
              </w:p>
            </w:sdtContent>
          </w:sdt>
        </w:tc>
        <w:tc>
          <w:tcPr>
            <w:tcW w:w="816" w:type="dxa"/>
            <w:vMerge w:val="restart"/>
            <w:shd w:val="clear" w:color="auto" w:fill="BFBFBF" w:themeFill="background1" w:themeFillShade="BF"/>
            <w:vAlign w:val="center"/>
          </w:tcPr>
          <w:sdt>
            <w:sdtPr>
              <w:rPr>
                <w:rFonts w:ascii="Arial" w:hAnsi="Arial" w:cs="Arial"/>
                <w:b/>
                <w:bCs/>
                <w:sz w:val="22"/>
              </w:rPr>
              <w:id w:val="1900947946"/>
              <w14:checkbox>
                <w14:checked w14:val="1"/>
                <w14:checkedState w14:val="2612" w14:font="MS Gothic"/>
                <w14:uncheckedState w14:val="2610" w14:font="MS Gothic"/>
              </w14:checkbox>
            </w:sdtPr>
            <w:sdtContent>
              <w:p w14:paraId="74D4381E" w14:textId="77777777" w:rsidR="00AB3A3E" w:rsidRPr="006C1FDD"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r w:rsidR="00AB3A3E" w:rsidRPr="006C1FDD" w14:paraId="43ABB063" w14:textId="77777777" w:rsidTr="005A5587">
        <w:trPr>
          <w:trHeight w:val="403"/>
        </w:trPr>
        <w:tc>
          <w:tcPr>
            <w:tcW w:w="562" w:type="dxa"/>
            <w:vAlign w:val="center"/>
          </w:tcPr>
          <w:p w14:paraId="34E5642B" w14:textId="77777777" w:rsidR="00AB3A3E" w:rsidRPr="006C1FDD" w:rsidRDefault="00AB3A3E" w:rsidP="005A5587">
            <w:pPr>
              <w:autoSpaceDE w:val="0"/>
              <w:autoSpaceDN w:val="0"/>
              <w:adjustRightInd w:val="0"/>
              <w:rPr>
                <w:rFonts w:ascii="Arial" w:hAnsi="Arial" w:cs="Arial"/>
                <w:sz w:val="22"/>
              </w:rPr>
            </w:pPr>
          </w:p>
        </w:tc>
        <w:tc>
          <w:tcPr>
            <w:tcW w:w="8227" w:type="dxa"/>
            <w:vAlign w:val="center"/>
          </w:tcPr>
          <w:p w14:paraId="5F408E9A" w14:textId="77777777" w:rsidR="00AB3A3E" w:rsidRPr="006C1FDD" w:rsidRDefault="00AB3A3E" w:rsidP="005A5587">
            <w:pPr>
              <w:autoSpaceDE w:val="0"/>
              <w:autoSpaceDN w:val="0"/>
              <w:adjustRightInd w:val="0"/>
              <w:rPr>
                <w:rFonts w:ascii="Arial" w:hAnsi="Arial" w:cs="Arial"/>
                <w:sz w:val="22"/>
              </w:rPr>
            </w:pPr>
            <w:r w:rsidRPr="006C1FDD">
              <w:rPr>
                <w:rFonts w:ascii="Arial" w:hAnsi="Arial" w:cs="Arial"/>
                <w:sz w:val="22"/>
              </w:rPr>
              <w:t>D</w:t>
            </w:r>
            <w:r>
              <w:rPr>
                <w:rFonts w:ascii="Arial" w:hAnsi="Arial" w:cs="Arial"/>
                <w:sz w:val="22"/>
              </w:rPr>
              <w:t>etails of any other primary d</w:t>
            </w:r>
            <w:r w:rsidRPr="006C1FDD">
              <w:rPr>
                <w:rFonts w:ascii="Arial" w:hAnsi="Arial" w:cs="Arial"/>
                <w:sz w:val="22"/>
              </w:rPr>
              <w:t>ata collection method:</w:t>
            </w:r>
          </w:p>
          <w:p w14:paraId="4AAB80A3" w14:textId="77777777" w:rsidR="00AB3A3E" w:rsidRPr="006C1FDD" w:rsidRDefault="00AB3A3E" w:rsidP="005A5587">
            <w:pPr>
              <w:rPr>
                <w:rFonts w:ascii="Arial" w:hAnsi="Arial" w:cs="Arial"/>
              </w:rPr>
            </w:pPr>
          </w:p>
          <w:p w14:paraId="3072CD20" w14:textId="77777777" w:rsidR="00AB3A3E" w:rsidRPr="006C1FDD" w:rsidRDefault="00AB3A3E" w:rsidP="005A5587">
            <w:pPr>
              <w:rPr>
                <w:rFonts w:ascii="Arial" w:hAnsi="Arial" w:cs="Arial"/>
              </w:rPr>
            </w:pPr>
          </w:p>
          <w:p w14:paraId="3F340B48" w14:textId="77777777" w:rsidR="00AB3A3E" w:rsidRPr="006C1FDD" w:rsidRDefault="00AB3A3E" w:rsidP="005A5587">
            <w:pPr>
              <w:rPr>
                <w:rFonts w:ascii="Arial" w:hAnsi="Arial" w:cs="Arial"/>
                <w:sz w:val="22"/>
              </w:rPr>
            </w:pPr>
          </w:p>
          <w:p w14:paraId="4AA1AE02" w14:textId="77777777" w:rsidR="00AB3A3E" w:rsidRPr="006C1FDD" w:rsidRDefault="00AB3A3E" w:rsidP="005A5587">
            <w:pPr>
              <w:autoSpaceDE w:val="0"/>
              <w:autoSpaceDN w:val="0"/>
              <w:adjustRightInd w:val="0"/>
              <w:rPr>
                <w:rFonts w:ascii="Arial" w:hAnsi="Arial" w:cs="Arial"/>
                <w:sz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79D6F4C" w14:textId="77777777" w:rsidR="00AB3A3E" w:rsidRPr="006C1FDD" w:rsidRDefault="00AB3A3E" w:rsidP="005A5587">
            <w:pPr>
              <w:autoSpaceDE w:val="0"/>
              <w:autoSpaceDN w:val="0"/>
              <w:adjustRightInd w:val="0"/>
              <w:jc w:val="center"/>
              <w:rPr>
                <w:rFonts w:ascii="Arial" w:hAnsi="Arial" w:cs="Arial"/>
                <w:b/>
                <w:bCs/>
                <w:sz w:val="22"/>
              </w:rPr>
            </w:pPr>
          </w:p>
        </w:tc>
        <w:tc>
          <w:tcPr>
            <w:tcW w:w="816" w:type="dxa"/>
            <w:vMerge/>
            <w:shd w:val="clear" w:color="auto" w:fill="BFBFBF" w:themeFill="background1" w:themeFillShade="BF"/>
            <w:vAlign w:val="center"/>
          </w:tcPr>
          <w:p w14:paraId="2DC39805" w14:textId="77777777" w:rsidR="00AB3A3E" w:rsidRPr="006C1FDD" w:rsidRDefault="00AB3A3E" w:rsidP="005A5587">
            <w:pPr>
              <w:autoSpaceDE w:val="0"/>
              <w:autoSpaceDN w:val="0"/>
              <w:adjustRightInd w:val="0"/>
              <w:jc w:val="center"/>
              <w:rPr>
                <w:rFonts w:ascii="Arial" w:hAnsi="Arial" w:cs="Arial"/>
                <w:b/>
                <w:bCs/>
                <w:sz w:val="22"/>
              </w:rPr>
            </w:pPr>
          </w:p>
        </w:tc>
      </w:tr>
    </w:tbl>
    <w:p w14:paraId="2C9AA520" w14:textId="77777777" w:rsidR="00AB3A3E" w:rsidRDefault="00AB3A3E" w:rsidP="00AB3A3E">
      <w:pPr>
        <w:rPr>
          <w:rFonts w:ascii="Arial" w:hAnsi="Arial" w:cs="Arial"/>
          <w:bCs/>
          <w:iCs/>
          <w:sz w:val="22"/>
        </w:rPr>
      </w:pPr>
    </w:p>
    <w:p w14:paraId="43BD8A53" w14:textId="77777777" w:rsidR="00AB3A3E" w:rsidRPr="003D0884" w:rsidRDefault="00AB3A3E" w:rsidP="00AB3A3E">
      <w:pPr>
        <w:rPr>
          <w:rFonts w:ascii="Arial" w:hAnsi="Arial" w:cs="Arial"/>
          <w:bCs/>
          <w:iCs/>
          <w:sz w:val="22"/>
        </w:rPr>
      </w:pPr>
      <w:r w:rsidRPr="003D0884">
        <w:rPr>
          <w:rFonts w:ascii="Arial" w:hAnsi="Arial" w:cs="Arial"/>
          <w:bCs/>
          <w:iCs/>
          <w:sz w:val="22"/>
        </w:rPr>
        <w:lastRenderedPageBreak/>
        <w:t xml:space="preserve">If </w:t>
      </w:r>
      <w:r>
        <w:rPr>
          <w:rFonts w:ascii="Arial" w:hAnsi="Arial" w:cs="Arial"/>
          <w:bCs/>
          <w:iCs/>
          <w:sz w:val="22"/>
        </w:rPr>
        <w:t>you have ticked NO to every question</w:t>
      </w:r>
      <w:r w:rsidRPr="003D0884">
        <w:rPr>
          <w:rFonts w:ascii="Arial" w:hAnsi="Arial" w:cs="Arial"/>
          <w:bCs/>
          <w:iCs/>
          <w:sz w:val="22"/>
        </w:rPr>
        <w:t xml:space="preserve"> then the research activity is (ethically) low risk and </w:t>
      </w:r>
      <w:r>
        <w:rPr>
          <w:rFonts w:ascii="Arial" w:hAnsi="Arial" w:cs="Arial"/>
          <w:bCs/>
          <w:iCs/>
          <w:sz w:val="22"/>
        </w:rPr>
        <w:t xml:space="preserve">you may skip section </w:t>
      </w:r>
      <w:r w:rsidRPr="003D0884">
        <w:rPr>
          <w:rFonts w:ascii="Arial" w:hAnsi="Arial" w:cs="Arial"/>
          <w:bCs/>
          <w:iCs/>
          <w:sz w:val="22"/>
        </w:rPr>
        <w:t xml:space="preserve">E and continue to section </w:t>
      </w:r>
      <w:r>
        <w:rPr>
          <w:rFonts w:ascii="Arial" w:hAnsi="Arial" w:cs="Arial"/>
          <w:bCs/>
          <w:iCs/>
          <w:sz w:val="22"/>
        </w:rPr>
        <w:t>F</w:t>
      </w:r>
      <w:r w:rsidRPr="003D0884">
        <w:rPr>
          <w:rFonts w:ascii="Arial" w:hAnsi="Arial" w:cs="Arial"/>
          <w:bCs/>
          <w:iCs/>
          <w:sz w:val="22"/>
        </w:rPr>
        <w:t>.</w:t>
      </w:r>
    </w:p>
    <w:p w14:paraId="597079DA" w14:textId="77777777" w:rsidR="00AB3A3E" w:rsidRPr="004C3A0B" w:rsidRDefault="00AB3A3E" w:rsidP="00AB3A3E">
      <w:pPr>
        <w:rPr>
          <w:rFonts w:ascii="Arial" w:hAnsi="Arial" w:cs="Arial"/>
          <w:bCs/>
          <w:iCs/>
          <w:sz w:val="22"/>
        </w:rPr>
      </w:pPr>
    </w:p>
    <w:p w14:paraId="4AFF8905" w14:textId="77777777" w:rsidR="00AB3A3E" w:rsidRDefault="00AB3A3E" w:rsidP="00AB3A3E">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48386313" w14:textId="77777777" w:rsidR="00AB3A3E" w:rsidRPr="004C3A0B" w:rsidRDefault="00AB3A3E" w:rsidP="00AB3A3E">
      <w:pPr>
        <w:rPr>
          <w:rFonts w:ascii="Arial" w:hAnsi="Arial" w:cs="Arial"/>
          <w:bCs/>
          <w:iCs/>
          <w:sz w:val="22"/>
        </w:rPr>
      </w:pPr>
    </w:p>
    <w:p w14:paraId="363DBD13" w14:textId="77777777" w:rsidR="00AB3A3E" w:rsidRPr="00354F34" w:rsidRDefault="00AB3A3E" w:rsidP="00AB3A3E">
      <w:pPr>
        <w:autoSpaceDE w:val="0"/>
        <w:autoSpaceDN w:val="0"/>
        <w:adjustRightInd w:val="0"/>
        <w:spacing w:after="240"/>
        <w:rPr>
          <w:rFonts w:ascii="Arial" w:hAnsi="Arial" w:cs="Arial"/>
          <w:b/>
          <w:sz w:val="22"/>
        </w:rPr>
      </w:pPr>
      <w:r w:rsidRPr="00354F34">
        <w:rPr>
          <w:rFonts w:ascii="Arial" w:hAnsi="Arial" w:cs="Arial"/>
          <w:b/>
          <w:sz w:val="22"/>
        </w:rPr>
        <w:t xml:space="preserve">SECTION </w:t>
      </w:r>
      <w:r>
        <w:rPr>
          <w:rFonts w:ascii="Arial" w:hAnsi="Arial" w:cs="Arial"/>
          <w:b/>
          <w:sz w:val="22"/>
        </w:rPr>
        <w:t>E</w:t>
      </w:r>
      <w:r w:rsidRPr="00354F34">
        <w:rPr>
          <w:rFonts w:ascii="Arial" w:hAnsi="Arial" w:cs="Arial"/>
          <w:b/>
          <w:sz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AB3A3E" w:rsidRPr="004C3A0B" w14:paraId="511A29B9" w14:textId="77777777" w:rsidTr="005A5587">
        <w:tc>
          <w:tcPr>
            <w:tcW w:w="562" w:type="dxa"/>
            <w:shd w:val="clear" w:color="auto" w:fill="F2F2F2" w:themeFill="background1" w:themeFillShade="F2"/>
            <w:vAlign w:val="center"/>
          </w:tcPr>
          <w:p w14:paraId="798B4E53" w14:textId="77777777" w:rsidR="00AB3A3E" w:rsidRPr="004C3A0B" w:rsidRDefault="00AB3A3E" w:rsidP="005A5587">
            <w:pPr>
              <w:autoSpaceDE w:val="0"/>
              <w:autoSpaceDN w:val="0"/>
              <w:adjustRightInd w:val="0"/>
              <w:jc w:val="center"/>
              <w:rPr>
                <w:rFonts w:ascii="Arial" w:hAnsi="Arial" w:cs="Arial"/>
                <w:b/>
                <w:sz w:val="22"/>
              </w:rPr>
            </w:pPr>
          </w:p>
        </w:tc>
        <w:tc>
          <w:tcPr>
            <w:tcW w:w="8217" w:type="dxa"/>
            <w:shd w:val="clear" w:color="auto" w:fill="F2F2F2" w:themeFill="background1" w:themeFillShade="F2"/>
          </w:tcPr>
          <w:p w14:paraId="7048D0D8" w14:textId="77777777" w:rsidR="00AB3A3E" w:rsidRPr="004C3A0B" w:rsidRDefault="00AB3A3E" w:rsidP="005A5587">
            <w:pPr>
              <w:autoSpaceDE w:val="0"/>
              <w:autoSpaceDN w:val="0"/>
              <w:adjustRightInd w:val="0"/>
              <w:rPr>
                <w:rFonts w:ascii="Arial" w:hAnsi="Arial" w:cs="Arial"/>
                <w:b/>
                <w:sz w:val="22"/>
              </w:rPr>
            </w:pPr>
            <w:r w:rsidRPr="004C3A0B">
              <w:rPr>
                <w:rFonts w:ascii="Arial" w:hAnsi="Arial" w:cs="Arial"/>
                <w:b/>
                <w:sz w:val="22"/>
              </w:rPr>
              <w:t>Who are the intended participants:</w:t>
            </w:r>
          </w:p>
        </w:tc>
        <w:tc>
          <w:tcPr>
            <w:tcW w:w="850" w:type="dxa"/>
            <w:shd w:val="clear" w:color="auto" w:fill="F2F2F2" w:themeFill="background1" w:themeFillShade="F2"/>
          </w:tcPr>
          <w:p w14:paraId="3480D0B3" w14:textId="77777777" w:rsidR="00AB3A3E" w:rsidRPr="004C3A0B" w:rsidRDefault="00AB3A3E" w:rsidP="005A5587">
            <w:pPr>
              <w:autoSpaceDE w:val="0"/>
              <w:autoSpaceDN w:val="0"/>
              <w:adjustRightInd w:val="0"/>
              <w:jc w:val="center"/>
              <w:rPr>
                <w:rFonts w:ascii="Arial" w:hAnsi="Arial" w:cs="Arial"/>
                <w:b/>
                <w:bCs/>
                <w:sz w:val="22"/>
              </w:rPr>
            </w:pPr>
          </w:p>
          <w:p w14:paraId="4CD341F6"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22" w:type="dxa"/>
            <w:shd w:val="clear" w:color="auto" w:fill="F2F2F2" w:themeFill="background1" w:themeFillShade="F2"/>
          </w:tcPr>
          <w:p w14:paraId="5F965986" w14:textId="77777777" w:rsidR="00AB3A3E" w:rsidRPr="004C3A0B" w:rsidRDefault="00AB3A3E" w:rsidP="005A5587">
            <w:pPr>
              <w:autoSpaceDE w:val="0"/>
              <w:autoSpaceDN w:val="0"/>
              <w:adjustRightInd w:val="0"/>
              <w:jc w:val="center"/>
              <w:rPr>
                <w:rFonts w:ascii="Arial" w:hAnsi="Arial" w:cs="Arial"/>
                <w:b/>
                <w:bCs/>
                <w:sz w:val="22"/>
              </w:rPr>
            </w:pPr>
          </w:p>
          <w:p w14:paraId="25F55DBF"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r>
      <w:tr w:rsidR="00AB3A3E" w:rsidRPr="004C3A0B" w14:paraId="7E1A664A" w14:textId="77777777" w:rsidTr="005A5587">
        <w:trPr>
          <w:trHeight w:val="439"/>
        </w:trPr>
        <w:tc>
          <w:tcPr>
            <w:tcW w:w="562" w:type="dxa"/>
            <w:shd w:val="clear" w:color="auto" w:fill="F2F2F2" w:themeFill="background1" w:themeFillShade="F2"/>
            <w:vAlign w:val="center"/>
          </w:tcPr>
          <w:p w14:paraId="73BF8707"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w:t>
            </w:r>
          </w:p>
        </w:tc>
        <w:tc>
          <w:tcPr>
            <w:tcW w:w="8217" w:type="dxa"/>
            <w:shd w:val="clear" w:color="auto" w:fill="F2F2F2" w:themeFill="background1" w:themeFillShade="F2"/>
            <w:vAlign w:val="center"/>
          </w:tcPr>
          <w:p w14:paraId="15AC1C2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850" w:type="dxa"/>
            <w:shd w:val="clear" w:color="auto" w:fill="BFBFBF" w:themeFill="background1" w:themeFillShade="BF"/>
            <w:vAlign w:val="center"/>
          </w:tcPr>
          <w:sdt>
            <w:sdtPr>
              <w:rPr>
                <w:rFonts w:ascii="Arial" w:hAnsi="Arial" w:cs="Arial"/>
                <w:b/>
                <w:bCs/>
                <w:sz w:val="22"/>
              </w:rPr>
              <w:id w:val="-227763996"/>
              <w14:checkbox>
                <w14:checked w14:val="0"/>
                <w14:checkedState w14:val="2612" w14:font="MS Gothic"/>
                <w14:uncheckedState w14:val="2610" w14:font="MS Gothic"/>
              </w14:checkbox>
            </w:sdtPr>
            <w:sdtContent>
              <w:p w14:paraId="06C1646F"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947306252"/>
              <w14:checkbox>
                <w14:checked w14:val="1"/>
                <w14:checkedState w14:val="2612" w14:font="MS Gothic"/>
                <w14:uncheckedState w14:val="2610" w14:font="MS Gothic"/>
              </w14:checkbox>
            </w:sdtPr>
            <w:sdtContent>
              <w:p w14:paraId="44369C6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431ED19E" w14:textId="77777777" w:rsidTr="005A5587">
        <w:trPr>
          <w:trHeight w:val="403"/>
        </w:trPr>
        <w:tc>
          <w:tcPr>
            <w:tcW w:w="562" w:type="dxa"/>
            <w:shd w:val="clear" w:color="auto" w:fill="F2F2F2" w:themeFill="background1" w:themeFillShade="F2"/>
            <w:vAlign w:val="center"/>
          </w:tcPr>
          <w:p w14:paraId="55D32D67"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w:t>
            </w:r>
          </w:p>
        </w:tc>
        <w:tc>
          <w:tcPr>
            <w:tcW w:w="8217" w:type="dxa"/>
            <w:shd w:val="clear" w:color="auto" w:fill="F2F2F2" w:themeFill="background1" w:themeFillShade="F2"/>
            <w:vAlign w:val="center"/>
          </w:tcPr>
          <w:p w14:paraId="2181A050"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rPr>
              <w:id w:val="-1780247199"/>
              <w14:checkbox>
                <w14:checked w14:val="1"/>
                <w14:checkedState w14:val="2612" w14:font="MS Gothic"/>
                <w14:uncheckedState w14:val="2610" w14:font="MS Gothic"/>
              </w14:checkbox>
            </w:sdtPr>
            <w:sdtContent>
              <w:p w14:paraId="04EFD30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666435130"/>
              <w14:checkbox>
                <w14:checked w14:val="0"/>
                <w14:checkedState w14:val="2612" w14:font="MS Gothic"/>
                <w14:uncheckedState w14:val="2610" w14:font="MS Gothic"/>
              </w14:checkbox>
            </w:sdtPr>
            <w:sdtContent>
              <w:p w14:paraId="7F7EEB89"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4EFC2930" w14:textId="77777777" w:rsidTr="005A5587">
        <w:trPr>
          <w:trHeight w:val="439"/>
        </w:trPr>
        <w:tc>
          <w:tcPr>
            <w:tcW w:w="562" w:type="dxa"/>
            <w:shd w:val="clear" w:color="auto" w:fill="F2F2F2" w:themeFill="background1" w:themeFillShade="F2"/>
            <w:vAlign w:val="center"/>
          </w:tcPr>
          <w:p w14:paraId="105C74FD"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3</w:t>
            </w:r>
          </w:p>
        </w:tc>
        <w:tc>
          <w:tcPr>
            <w:tcW w:w="8217" w:type="dxa"/>
            <w:shd w:val="clear" w:color="auto" w:fill="F2F2F2" w:themeFill="background1" w:themeFillShade="F2"/>
            <w:vAlign w:val="center"/>
          </w:tcPr>
          <w:p w14:paraId="4600D88A"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Vulnerable adults?</w:t>
            </w:r>
          </w:p>
        </w:tc>
        <w:tc>
          <w:tcPr>
            <w:tcW w:w="850" w:type="dxa"/>
            <w:shd w:val="clear" w:color="auto" w:fill="BFBFBF" w:themeFill="background1" w:themeFillShade="BF"/>
            <w:vAlign w:val="center"/>
          </w:tcPr>
          <w:sdt>
            <w:sdtPr>
              <w:rPr>
                <w:rFonts w:ascii="Arial" w:hAnsi="Arial" w:cs="Arial"/>
                <w:b/>
                <w:bCs/>
                <w:sz w:val="22"/>
              </w:rPr>
              <w:id w:val="555978563"/>
              <w14:checkbox>
                <w14:checked w14:val="0"/>
                <w14:checkedState w14:val="2612" w14:font="MS Gothic"/>
                <w14:uncheckedState w14:val="2610" w14:font="MS Gothic"/>
              </w14:checkbox>
            </w:sdtPr>
            <w:sdtContent>
              <w:p w14:paraId="297FFCAD"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435668532"/>
              <w14:checkbox>
                <w14:checked w14:val="1"/>
                <w14:checkedState w14:val="2612" w14:font="MS Gothic"/>
                <w14:uncheckedState w14:val="2610" w14:font="MS Gothic"/>
              </w14:checkbox>
            </w:sdtPr>
            <w:sdtContent>
              <w:p w14:paraId="2E0D4AD2"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383C4B37" w14:textId="77777777" w:rsidTr="005A5587">
        <w:trPr>
          <w:trHeight w:val="403"/>
        </w:trPr>
        <w:tc>
          <w:tcPr>
            <w:tcW w:w="562" w:type="dxa"/>
            <w:shd w:val="clear" w:color="auto" w:fill="F2F2F2" w:themeFill="background1" w:themeFillShade="F2"/>
            <w:vAlign w:val="center"/>
          </w:tcPr>
          <w:p w14:paraId="3AC4FA8B"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4</w:t>
            </w:r>
          </w:p>
        </w:tc>
        <w:tc>
          <w:tcPr>
            <w:tcW w:w="8217" w:type="dxa"/>
            <w:shd w:val="clear" w:color="auto" w:fill="F2F2F2" w:themeFill="background1" w:themeFillShade="F2"/>
            <w:vAlign w:val="center"/>
          </w:tcPr>
          <w:p w14:paraId="31CC73C0"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Children </w:t>
            </w:r>
            <w:r>
              <w:rPr>
                <w:rFonts w:ascii="Arial" w:hAnsi="Arial" w:cs="Arial"/>
                <w:sz w:val="22"/>
              </w:rPr>
              <w:t xml:space="preserve">and Young People </w:t>
            </w:r>
            <w:r w:rsidRPr="004C3A0B">
              <w:rPr>
                <w:rFonts w:ascii="Arial" w:hAnsi="Arial" w:cs="Arial"/>
                <w:sz w:val="22"/>
              </w:rPr>
              <w:t xml:space="preserve">under </w:t>
            </w:r>
            <w:r>
              <w:rPr>
                <w:rFonts w:ascii="Arial" w:hAnsi="Arial" w:cs="Arial"/>
                <w:sz w:val="22"/>
              </w:rPr>
              <w:t>the age of 1</w:t>
            </w:r>
            <w:r w:rsidRPr="004C3A0B">
              <w:rPr>
                <w:rFonts w:ascii="Arial" w:hAnsi="Arial" w:cs="Arial"/>
                <w:sz w:val="22"/>
              </w:rPr>
              <w:t>8?</w:t>
            </w:r>
            <w:r>
              <w:rPr>
                <w:rFonts w:ascii="Arial" w:hAnsi="Arial" w:cs="Arial"/>
                <w:sz w:val="22"/>
              </w:rPr>
              <w:t xml:space="preserve"> </w:t>
            </w:r>
            <w:r w:rsidRPr="00D839CD">
              <w:rPr>
                <w:rFonts w:ascii="Arial" w:hAnsi="Arial" w:cs="Arial"/>
                <w:sz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rPr>
              <w:id w:val="-375472827"/>
              <w14:checkbox>
                <w14:checked w14:val="0"/>
                <w14:checkedState w14:val="2612" w14:font="MS Gothic"/>
                <w14:uncheckedState w14:val="2610" w14:font="MS Gothic"/>
              </w14:checkbox>
            </w:sdtPr>
            <w:sdtContent>
              <w:p w14:paraId="0B814AA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887361462"/>
              <w14:checkbox>
                <w14:checked w14:val="1"/>
                <w14:checkedState w14:val="2612" w14:font="MS Gothic"/>
                <w14:uncheckedState w14:val="2610" w14:font="MS Gothic"/>
              </w14:checkbox>
            </w:sdtPr>
            <w:sdtContent>
              <w:p w14:paraId="7A1950C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6DF3C79" w14:textId="77777777" w:rsidTr="005A5587">
        <w:trPr>
          <w:trHeight w:val="403"/>
        </w:trPr>
        <w:tc>
          <w:tcPr>
            <w:tcW w:w="562" w:type="dxa"/>
            <w:shd w:val="clear" w:color="auto" w:fill="F2F2F2" w:themeFill="background1" w:themeFillShade="F2"/>
            <w:vAlign w:val="center"/>
          </w:tcPr>
          <w:p w14:paraId="7C1E58EA"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5</w:t>
            </w:r>
          </w:p>
        </w:tc>
        <w:tc>
          <w:tcPr>
            <w:tcW w:w="8217" w:type="dxa"/>
            <w:shd w:val="clear" w:color="auto" w:fill="F2F2F2" w:themeFill="background1" w:themeFillShade="F2"/>
            <w:vAlign w:val="center"/>
          </w:tcPr>
          <w:p w14:paraId="33460457"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Prisoners?</w:t>
            </w:r>
          </w:p>
        </w:tc>
        <w:tc>
          <w:tcPr>
            <w:tcW w:w="850" w:type="dxa"/>
            <w:shd w:val="clear" w:color="auto" w:fill="BFBFBF" w:themeFill="background1" w:themeFillShade="BF"/>
            <w:vAlign w:val="center"/>
          </w:tcPr>
          <w:sdt>
            <w:sdtPr>
              <w:rPr>
                <w:rFonts w:ascii="Arial" w:hAnsi="Arial" w:cs="Arial"/>
                <w:b/>
                <w:bCs/>
                <w:sz w:val="22"/>
              </w:rPr>
              <w:id w:val="1692793907"/>
              <w14:checkbox>
                <w14:checked w14:val="0"/>
                <w14:checkedState w14:val="2612" w14:font="MS Gothic"/>
                <w14:uncheckedState w14:val="2610" w14:font="MS Gothic"/>
              </w14:checkbox>
            </w:sdtPr>
            <w:sdtContent>
              <w:p w14:paraId="202156B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326411418"/>
              <w14:checkbox>
                <w14:checked w14:val="1"/>
                <w14:checkedState w14:val="2612" w14:font="MS Gothic"/>
                <w14:uncheckedState w14:val="2610" w14:font="MS Gothic"/>
              </w14:checkbox>
            </w:sdtPr>
            <w:sdtContent>
              <w:p w14:paraId="3A07C361"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30BC687" w14:textId="77777777" w:rsidTr="005A5587">
        <w:trPr>
          <w:trHeight w:val="439"/>
        </w:trPr>
        <w:tc>
          <w:tcPr>
            <w:tcW w:w="562" w:type="dxa"/>
            <w:shd w:val="clear" w:color="auto" w:fill="F2F2F2" w:themeFill="background1" w:themeFillShade="F2"/>
            <w:vAlign w:val="center"/>
          </w:tcPr>
          <w:p w14:paraId="4D1FDECC"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6</w:t>
            </w:r>
          </w:p>
        </w:tc>
        <w:tc>
          <w:tcPr>
            <w:tcW w:w="8217" w:type="dxa"/>
            <w:shd w:val="clear" w:color="auto" w:fill="F2F2F2" w:themeFill="background1" w:themeFillShade="F2"/>
            <w:vAlign w:val="center"/>
          </w:tcPr>
          <w:p w14:paraId="5AB32714"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Young offenders?</w:t>
            </w:r>
          </w:p>
        </w:tc>
        <w:tc>
          <w:tcPr>
            <w:tcW w:w="850" w:type="dxa"/>
            <w:shd w:val="clear" w:color="auto" w:fill="BFBFBF" w:themeFill="background1" w:themeFillShade="BF"/>
            <w:vAlign w:val="center"/>
          </w:tcPr>
          <w:sdt>
            <w:sdtPr>
              <w:rPr>
                <w:rFonts w:ascii="Arial" w:hAnsi="Arial" w:cs="Arial"/>
                <w:b/>
                <w:bCs/>
                <w:sz w:val="22"/>
              </w:rPr>
              <w:id w:val="1255410168"/>
              <w14:checkbox>
                <w14:checked w14:val="0"/>
                <w14:checkedState w14:val="2612" w14:font="MS Gothic"/>
                <w14:uncheckedState w14:val="2610" w14:font="MS Gothic"/>
              </w14:checkbox>
            </w:sdtPr>
            <w:sdtContent>
              <w:p w14:paraId="25EF047B"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236000582"/>
              <w14:checkbox>
                <w14:checked w14:val="1"/>
                <w14:checkedState w14:val="2612" w14:font="MS Gothic"/>
                <w14:uncheckedState w14:val="2610" w14:font="MS Gothic"/>
              </w14:checkbox>
            </w:sdtPr>
            <w:sdtContent>
              <w:p w14:paraId="5D8BB0D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0A1191C" w14:textId="77777777" w:rsidTr="005A5587">
        <w:trPr>
          <w:trHeight w:val="403"/>
        </w:trPr>
        <w:tc>
          <w:tcPr>
            <w:tcW w:w="562" w:type="dxa"/>
            <w:shd w:val="clear" w:color="auto" w:fill="F2F2F2" w:themeFill="background1" w:themeFillShade="F2"/>
            <w:vAlign w:val="center"/>
          </w:tcPr>
          <w:p w14:paraId="05CBF925"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lastRenderedPageBreak/>
              <w:t>7</w:t>
            </w:r>
          </w:p>
        </w:tc>
        <w:tc>
          <w:tcPr>
            <w:tcW w:w="8217" w:type="dxa"/>
            <w:shd w:val="clear" w:color="auto" w:fill="F2F2F2" w:themeFill="background1" w:themeFillShade="F2"/>
            <w:vAlign w:val="center"/>
          </w:tcPr>
          <w:p w14:paraId="7D21BA95"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rPr>
              <w:id w:val="-1016453075"/>
              <w14:checkbox>
                <w14:checked w14:val="0"/>
                <w14:checkedState w14:val="2612" w14:font="MS Gothic"/>
                <w14:uncheckedState w14:val="2610" w14:font="MS Gothic"/>
              </w14:checkbox>
            </w:sdtPr>
            <w:sdtContent>
              <w:p w14:paraId="11FFE489"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673070048"/>
              <w14:checkbox>
                <w14:checked w14:val="1"/>
                <w14:checkedState w14:val="2612" w14:font="MS Gothic"/>
                <w14:uncheckedState w14:val="2610" w14:font="MS Gothic"/>
              </w14:checkbox>
            </w:sdtPr>
            <w:sdtContent>
              <w:p w14:paraId="20EF1FB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051ED762" w14:textId="77777777" w:rsidTr="005A5587">
        <w:trPr>
          <w:trHeight w:val="403"/>
        </w:trPr>
        <w:tc>
          <w:tcPr>
            <w:tcW w:w="562" w:type="dxa"/>
            <w:shd w:val="clear" w:color="auto" w:fill="F2F2F2" w:themeFill="background1" w:themeFillShade="F2"/>
            <w:vAlign w:val="center"/>
          </w:tcPr>
          <w:p w14:paraId="0F4D084A"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8</w:t>
            </w:r>
          </w:p>
        </w:tc>
        <w:tc>
          <w:tcPr>
            <w:tcW w:w="8217" w:type="dxa"/>
            <w:shd w:val="clear" w:color="auto" w:fill="F2F2F2" w:themeFill="background1" w:themeFillShade="F2"/>
            <w:vAlign w:val="center"/>
          </w:tcPr>
          <w:p w14:paraId="1943AC71"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850" w:type="dxa"/>
            <w:shd w:val="clear" w:color="auto" w:fill="BFBFBF" w:themeFill="background1" w:themeFillShade="BF"/>
            <w:vAlign w:val="center"/>
          </w:tcPr>
          <w:sdt>
            <w:sdtPr>
              <w:rPr>
                <w:rFonts w:ascii="Arial" w:hAnsi="Arial" w:cs="Arial"/>
                <w:b/>
                <w:bCs/>
                <w:sz w:val="22"/>
              </w:rPr>
              <w:id w:val="-1519850840"/>
              <w14:checkbox>
                <w14:checked w14:val="0"/>
                <w14:checkedState w14:val="2612" w14:font="MS Gothic"/>
                <w14:uncheckedState w14:val="2610" w14:font="MS Gothic"/>
              </w14:checkbox>
            </w:sdtPr>
            <w:sdtContent>
              <w:p w14:paraId="543B2F4F"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072859745"/>
              <w14:checkbox>
                <w14:checked w14:val="1"/>
                <w14:checkedState w14:val="2612" w14:font="MS Gothic"/>
                <w14:uncheckedState w14:val="2610" w14:font="MS Gothic"/>
              </w14:checkbox>
            </w:sdtPr>
            <w:sdtContent>
              <w:p w14:paraId="7D92D5BE"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589934F2" w14:textId="77777777" w:rsidTr="005A5587">
        <w:trPr>
          <w:trHeight w:val="403"/>
        </w:trPr>
        <w:tc>
          <w:tcPr>
            <w:tcW w:w="562" w:type="dxa"/>
            <w:shd w:val="clear" w:color="auto" w:fill="F2F2F2" w:themeFill="background1" w:themeFillShade="F2"/>
            <w:vAlign w:val="center"/>
          </w:tcPr>
          <w:p w14:paraId="0B3979BC"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9</w:t>
            </w:r>
          </w:p>
        </w:tc>
        <w:tc>
          <w:tcPr>
            <w:tcW w:w="8217" w:type="dxa"/>
            <w:shd w:val="clear" w:color="auto" w:fill="F2F2F2" w:themeFill="background1" w:themeFillShade="F2"/>
            <w:vAlign w:val="center"/>
          </w:tcPr>
          <w:p w14:paraId="36FFDE70"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Others</w:t>
            </w:r>
            <w:r>
              <w:rPr>
                <w:rFonts w:ascii="Arial" w:hAnsi="Arial" w:cs="Arial"/>
                <w:sz w:val="22"/>
              </w:rPr>
              <w:t>. Please indicate the participants below, and specifically any group who may be unable to give consent.</w:t>
            </w:r>
          </w:p>
          <w:p w14:paraId="110550EC" w14:textId="77777777" w:rsidR="00AB3A3E" w:rsidRPr="004C3A0B" w:rsidRDefault="00AB3A3E" w:rsidP="005A5587">
            <w:pPr>
              <w:autoSpaceDE w:val="0"/>
              <w:autoSpaceDN w:val="0"/>
              <w:adjustRightInd w:val="0"/>
              <w:rPr>
                <w:rFonts w:ascii="Arial" w:hAnsi="Arial" w:cs="Arial"/>
                <w:sz w:val="22"/>
              </w:rPr>
            </w:pPr>
          </w:p>
        </w:tc>
        <w:tc>
          <w:tcPr>
            <w:tcW w:w="850" w:type="dxa"/>
            <w:vMerge w:val="restart"/>
            <w:shd w:val="clear" w:color="auto" w:fill="BFBFBF" w:themeFill="background1" w:themeFillShade="BF"/>
            <w:vAlign w:val="center"/>
          </w:tcPr>
          <w:sdt>
            <w:sdtPr>
              <w:rPr>
                <w:rFonts w:ascii="Arial" w:hAnsi="Arial" w:cs="Arial"/>
                <w:b/>
                <w:bCs/>
                <w:sz w:val="22"/>
              </w:rPr>
              <w:id w:val="-1984918035"/>
              <w14:checkbox>
                <w14:checked w14:val="0"/>
                <w14:checkedState w14:val="2612" w14:font="MS Gothic"/>
                <w14:uncheckedState w14:val="2610" w14:font="MS Gothic"/>
              </w14:checkbox>
            </w:sdtPr>
            <w:sdtContent>
              <w:p w14:paraId="13FE263C"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vMerge w:val="restart"/>
            <w:shd w:val="clear" w:color="auto" w:fill="BFBFBF" w:themeFill="background1" w:themeFillShade="BF"/>
            <w:vAlign w:val="center"/>
          </w:tcPr>
          <w:sdt>
            <w:sdtPr>
              <w:rPr>
                <w:rFonts w:ascii="Arial" w:hAnsi="Arial" w:cs="Arial"/>
                <w:b/>
                <w:bCs/>
                <w:sz w:val="22"/>
              </w:rPr>
              <w:id w:val="-1870052561"/>
              <w14:checkbox>
                <w14:checked w14:val="1"/>
                <w14:checkedState w14:val="2612" w14:font="MS Gothic"/>
                <w14:uncheckedState w14:val="2610" w14:font="MS Gothic"/>
              </w14:checkbox>
            </w:sdtPr>
            <w:sdtContent>
              <w:p w14:paraId="180D7DA1"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AB3A3E" w:rsidRPr="004C3A0B" w14:paraId="5DE57765" w14:textId="77777777" w:rsidTr="005A5587">
        <w:trPr>
          <w:trHeight w:val="403"/>
        </w:trPr>
        <w:tc>
          <w:tcPr>
            <w:tcW w:w="562" w:type="dxa"/>
            <w:vAlign w:val="center"/>
          </w:tcPr>
          <w:p w14:paraId="08910F3E" w14:textId="77777777" w:rsidR="00AB3A3E" w:rsidRPr="006C1FDD" w:rsidRDefault="00AB3A3E" w:rsidP="005A5587">
            <w:pPr>
              <w:autoSpaceDE w:val="0"/>
              <w:autoSpaceDN w:val="0"/>
              <w:adjustRightInd w:val="0"/>
              <w:jc w:val="center"/>
              <w:rPr>
                <w:rFonts w:ascii="Arial" w:hAnsi="Arial" w:cs="Arial"/>
                <w:sz w:val="22"/>
              </w:rPr>
            </w:pPr>
          </w:p>
        </w:tc>
        <w:tc>
          <w:tcPr>
            <w:tcW w:w="8217" w:type="dxa"/>
            <w:vAlign w:val="center"/>
          </w:tcPr>
          <w:p w14:paraId="40028382" w14:textId="77777777" w:rsidR="00AB3A3E" w:rsidRPr="006C1FDD" w:rsidRDefault="00AB3A3E" w:rsidP="005A5587">
            <w:pPr>
              <w:autoSpaceDE w:val="0"/>
              <w:autoSpaceDN w:val="0"/>
              <w:adjustRightInd w:val="0"/>
              <w:rPr>
                <w:rFonts w:ascii="Arial" w:hAnsi="Arial" w:cs="Arial"/>
                <w:sz w:val="22"/>
              </w:rPr>
            </w:pPr>
            <w:r>
              <w:rPr>
                <w:rFonts w:ascii="Arial" w:hAnsi="Arial" w:cs="Arial"/>
                <w:sz w:val="22"/>
              </w:rPr>
              <w:t>Details of any other participant groups:</w:t>
            </w:r>
          </w:p>
          <w:p w14:paraId="3B7BDEBB" w14:textId="77777777" w:rsidR="00AB3A3E" w:rsidRDefault="00AB3A3E" w:rsidP="005A5587">
            <w:pPr>
              <w:rPr>
                <w:rFonts w:ascii="Arial" w:hAnsi="Arial" w:cs="Arial"/>
              </w:rPr>
            </w:pPr>
            <w:r w:rsidRPr="00AA34BD">
              <w:rPr>
                <w:rFonts w:ascii="Arial" w:hAnsi="Arial" w:cs="Arial"/>
                <w:color w:val="00B050"/>
                <w:sz w:val="22"/>
              </w:rPr>
              <w:t>Complete this only if your participants cannot give consent. This includes animals</w:t>
            </w:r>
          </w:p>
          <w:p w14:paraId="1A1C70DF" w14:textId="77777777" w:rsidR="00AB3A3E" w:rsidRDefault="00AB3A3E" w:rsidP="005A5587">
            <w:pPr>
              <w:rPr>
                <w:rFonts w:ascii="Arial" w:hAnsi="Arial" w:cs="Arial"/>
              </w:rPr>
            </w:pPr>
          </w:p>
          <w:p w14:paraId="5022D2AF"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F95BD7" w14:textId="77777777" w:rsidR="00AB3A3E" w:rsidRDefault="00AB3A3E" w:rsidP="005A5587">
            <w:pPr>
              <w:autoSpaceDE w:val="0"/>
              <w:autoSpaceDN w:val="0"/>
              <w:adjustRightInd w:val="0"/>
              <w:jc w:val="center"/>
              <w:rPr>
                <w:rFonts w:ascii="Arial" w:hAnsi="Arial" w:cs="Arial"/>
                <w:b/>
                <w:bCs/>
                <w:sz w:val="22"/>
              </w:rPr>
            </w:pPr>
          </w:p>
        </w:tc>
        <w:tc>
          <w:tcPr>
            <w:tcW w:w="822" w:type="dxa"/>
            <w:vMerge/>
            <w:shd w:val="clear" w:color="auto" w:fill="BFBFBF" w:themeFill="background1" w:themeFillShade="BF"/>
            <w:vAlign w:val="center"/>
          </w:tcPr>
          <w:p w14:paraId="13451FE6" w14:textId="77777777" w:rsidR="00AB3A3E" w:rsidRDefault="00AB3A3E" w:rsidP="005A5587">
            <w:pPr>
              <w:autoSpaceDE w:val="0"/>
              <w:autoSpaceDN w:val="0"/>
              <w:adjustRightInd w:val="0"/>
              <w:jc w:val="center"/>
              <w:rPr>
                <w:rFonts w:ascii="Arial" w:hAnsi="Arial" w:cs="Arial"/>
                <w:b/>
                <w:bCs/>
                <w:sz w:val="22"/>
              </w:rPr>
            </w:pPr>
          </w:p>
        </w:tc>
      </w:tr>
    </w:tbl>
    <w:p w14:paraId="47224A6A" w14:textId="77777777" w:rsidR="00AB3A3E" w:rsidRPr="00D71982" w:rsidRDefault="00AB3A3E" w:rsidP="00AB3A3E">
      <w:pPr>
        <w:rPr>
          <w:rFonts w:ascii="Arial" w:hAnsi="Arial" w:cs="Arial"/>
          <w:bCs/>
          <w:szCs w:val="24"/>
        </w:rPr>
      </w:pPr>
    </w:p>
    <w:tbl>
      <w:tblPr>
        <w:tblStyle w:val="TableGrid"/>
        <w:tblW w:w="10451" w:type="dxa"/>
        <w:tblLook w:val="04A0" w:firstRow="1" w:lastRow="0" w:firstColumn="1" w:lastColumn="0" w:noHBand="0" w:noVBand="1"/>
      </w:tblPr>
      <w:tblGrid>
        <w:gridCol w:w="562"/>
        <w:gridCol w:w="3256"/>
        <w:gridCol w:w="6633"/>
      </w:tblGrid>
      <w:tr w:rsidR="00AB3A3E" w:rsidRPr="004C3A0B" w14:paraId="72EF5DB7" w14:textId="77777777" w:rsidTr="005A5587">
        <w:trPr>
          <w:trHeight w:val="403"/>
        </w:trPr>
        <w:tc>
          <w:tcPr>
            <w:tcW w:w="562" w:type="dxa"/>
            <w:tcBorders>
              <w:bottom w:val="single" w:sz="4" w:space="0" w:color="auto"/>
            </w:tcBorders>
            <w:shd w:val="clear" w:color="auto" w:fill="F2F2F2" w:themeFill="background1" w:themeFillShade="F2"/>
          </w:tcPr>
          <w:p w14:paraId="098D8D7E" w14:textId="77777777" w:rsidR="00AB3A3E" w:rsidRPr="002132F9" w:rsidRDefault="00AB3A3E" w:rsidP="005A5587">
            <w:pPr>
              <w:rPr>
                <w:rFonts w:ascii="Arial" w:hAnsi="Arial" w:cs="Arial"/>
                <w:bCs/>
                <w:sz w:val="22"/>
              </w:rPr>
            </w:pPr>
          </w:p>
        </w:tc>
        <w:tc>
          <w:tcPr>
            <w:tcW w:w="9889" w:type="dxa"/>
            <w:gridSpan w:val="2"/>
            <w:tcBorders>
              <w:bottom w:val="single" w:sz="4" w:space="0" w:color="auto"/>
            </w:tcBorders>
            <w:shd w:val="clear" w:color="auto" w:fill="F2F2F2" w:themeFill="background1" w:themeFillShade="F2"/>
            <w:vAlign w:val="center"/>
          </w:tcPr>
          <w:p w14:paraId="1679CB1B" w14:textId="77777777" w:rsidR="00AB3A3E" w:rsidRPr="004C3A0B" w:rsidRDefault="00AB3A3E" w:rsidP="005A5587">
            <w:pPr>
              <w:rPr>
                <w:rFonts w:ascii="Arial" w:hAnsi="Arial" w:cs="Arial"/>
                <w:b/>
                <w:sz w:val="22"/>
              </w:rPr>
            </w:pPr>
            <w:r w:rsidRPr="004C3A0B">
              <w:rPr>
                <w:rFonts w:ascii="Arial" w:hAnsi="Arial" w:cs="Arial"/>
                <w:b/>
                <w:sz w:val="22"/>
              </w:rPr>
              <w:t>Participant numbers and source</w:t>
            </w:r>
          </w:p>
          <w:p w14:paraId="5971845A"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AB3A3E" w:rsidRPr="004C3A0B" w14:paraId="580179E2" w14:textId="77777777" w:rsidTr="005A558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B1A55" w14:textId="77777777" w:rsidR="00AB3A3E" w:rsidRDefault="00AB3A3E" w:rsidP="005A5587">
            <w:pPr>
              <w:jc w:val="center"/>
              <w:rPr>
                <w:rFonts w:ascii="Arial" w:hAnsi="Arial" w:cs="Arial"/>
                <w:sz w:val="22"/>
              </w:rPr>
            </w:pPr>
            <w:r>
              <w:rPr>
                <w:rFonts w:ascii="Arial" w:hAnsi="Arial" w:cs="Arial"/>
                <w:sz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E1B73" w14:textId="77777777" w:rsidR="00AB3A3E" w:rsidRPr="004C3A0B" w:rsidRDefault="00AB3A3E" w:rsidP="005A5587">
            <w:pPr>
              <w:rPr>
                <w:rFonts w:ascii="Arial" w:hAnsi="Arial" w:cs="Arial"/>
                <w:sz w:val="22"/>
              </w:rPr>
            </w:pPr>
            <w:r>
              <w:rPr>
                <w:rFonts w:ascii="Arial" w:hAnsi="Arial" w:cs="Arial"/>
                <w:sz w:val="22"/>
              </w:rPr>
              <w:t>How many participants are expected?</w:t>
            </w:r>
          </w:p>
          <w:p w14:paraId="2E4FEC2F" w14:textId="77777777" w:rsidR="00AB3A3E" w:rsidRPr="004C3A0B" w:rsidRDefault="00AB3A3E" w:rsidP="005A5587">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24A602" w14:textId="77777777" w:rsidR="00AB3A3E" w:rsidRPr="0026717F" w:rsidRDefault="00AB3A3E" w:rsidP="005A5587">
            <w:pPr>
              <w:rPr>
                <w:rFonts w:ascii="Arial" w:hAnsi="Arial" w:cs="Arial"/>
                <w:b/>
                <w:szCs w:val="24"/>
              </w:rPr>
            </w:pPr>
            <w:r w:rsidRPr="0026717F">
              <w:rPr>
                <w:szCs w:val="24"/>
              </w:rPr>
              <w:lastRenderedPageBreak/>
              <w:t xml:space="preserve">Approximately 50 participants. They will be identified through online contacts, social media posts, professional networks and </w:t>
            </w:r>
            <w:r w:rsidRPr="0026717F">
              <w:rPr>
                <w:szCs w:val="24"/>
              </w:rPr>
              <w:lastRenderedPageBreak/>
              <w:t>snowball sharing. The recruitment message will invite only adults who currently work, or have recently worked, in UK retail to complete the Google Forms questionnaire</w:t>
            </w:r>
          </w:p>
        </w:tc>
      </w:tr>
      <w:tr w:rsidR="00AB3A3E" w:rsidRPr="004C3A0B" w14:paraId="57E071D7" w14:textId="77777777" w:rsidTr="005A558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DC72A" w14:textId="77777777" w:rsidR="00AB3A3E" w:rsidRDefault="00AB3A3E" w:rsidP="005A5587">
            <w:pPr>
              <w:jc w:val="center"/>
              <w:rPr>
                <w:rFonts w:ascii="Arial" w:hAnsi="Arial" w:cs="Arial"/>
                <w:sz w:val="22"/>
              </w:rPr>
            </w:pPr>
            <w:r>
              <w:rPr>
                <w:rFonts w:ascii="Arial" w:hAnsi="Arial"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E7DF5" w14:textId="77777777" w:rsidR="00AB3A3E" w:rsidRDefault="00AB3A3E" w:rsidP="005A5587">
            <w:pPr>
              <w:rPr>
                <w:rFonts w:ascii="Arial" w:hAnsi="Arial" w:cs="Arial"/>
                <w:sz w:val="22"/>
              </w:rPr>
            </w:pPr>
            <w:r>
              <w:rPr>
                <w:rFonts w:ascii="Arial" w:hAnsi="Arial" w:cs="Arial"/>
                <w:sz w:val="22"/>
              </w:rPr>
              <w:t>Who will the participants be?</w:t>
            </w:r>
          </w:p>
          <w:p w14:paraId="7AF308D3" w14:textId="77777777" w:rsidR="00AB3A3E" w:rsidRDefault="00AB3A3E" w:rsidP="005A5587">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A68B46" w14:textId="77777777" w:rsidR="00AB3A3E" w:rsidRDefault="00AB3A3E" w:rsidP="005A5587">
            <w:pPr>
              <w:rPr>
                <w:rFonts w:ascii="Arial" w:hAnsi="Arial" w:cs="Arial"/>
                <w:sz w:val="22"/>
              </w:rPr>
            </w:pPr>
          </w:p>
          <w:p w14:paraId="0839E99B" w14:textId="77777777" w:rsidR="00AB3A3E" w:rsidRPr="0026717F" w:rsidRDefault="00AB3A3E" w:rsidP="005A5587">
            <w:pPr>
              <w:rPr>
                <w:rFonts w:ascii="Arial" w:hAnsi="Arial" w:cs="Arial"/>
                <w:szCs w:val="24"/>
              </w:rPr>
            </w:pPr>
            <w:r w:rsidRPr="0026717F">
              <w:rPr>
                <w:szCs w:val="24"/>
              </w:rPr>
              <w:t>Participants will be adult UK retail employees. They may work in roles such as sales assistant, cashier, supervisor, customer service assistant, warehouse/stockroom assistant, team leader or manager. Participants must be aged 18 or above and able to give consent.</w:t>
            </w:r>
          </w:p>
          <w:p w14:paraId="30C38560" w14:textId="77777777" w:rsidR="00AB3A3E" w:rsidRPr="003257BD" w:rsidRDefault="00AB3A3E" w:rsidP="005A5587">
            <w:pPr>
              <w:rPr>
                <w:rFonts w:ascii="Arial" w:hAnsi="Arial" w:cs="Arial"/>
                <w:i/>
                <w:color w:val="808080"/>
                <w:sz w:val="18"/>
                <w:szCs w:val="18"/>
              </w:rPr>
            </w:pPr>
          </w:p>
        </w:tc>
      </w:tr>
      <w:tr w:rsidR="00AB3A3E" w:rsidRPr="004C3A0B" w14:paraId="4DD155A8" w14:textId="77777777" w:rsidTr="005A5587">
        <w:trPr>
          <w:trHeight w:val="403"/>
        </w:trPr>
        <w:tc>
          <w:tcPr>
            <w:tcW w:w="562" w:type="dxa"/>
            <w:tcBorders>
              <w:top w:val="single" w:sz="4" w:space="0" w:color="auto"/>
            </w:tcBorders>
            <w:shd w:val="clear" w:color="auto" w:fill="F2F2F2" w:themeFill="background1" w:themeFillShade="F2"/>
            <w:vAlign w:val="center"/>
          </w:tcPr>
          <w:p w14:paraId="587C2743" w14:textId="77777777" w:rsidR="00AB3A3E" w:rsidRDefault="00AB3A3E" w:rsidP="005A5587">
            <w:pPr>
              <w:jc w:val="center"/>
              <w:rPr>
                <w:rFonts w:ascii="Arial" w:hAnsi="Arial" w:cs="Arial"/>
                <w:sz w:val="22"/>
              </w:rPr>
            </w:pPr>
            <w:r>
              <w:rPr>
                <w:rFonts w:ascii="Arial" w:hAnsi="Arial" w:cs="Arial"/>
                <w:sz w:val="22"/>
              </w:rPr>
              <w:t>12</w:t>
            </w:r>
          </w:p>
        </w:tc>
        <w:tc>
          <w:tcPr>
            <w:tcW w:w="3256" w:type="dxa"/>
            <w:tcBorders>
              <w:top w:val="single" w:sz="4" w:space="0" w:color="auto"/>
            </w:tcBorders>
            <w:shd w:val="clear" w:color="auto" w:fill="F2F2F2" w:themeFill="background1" w:themeFillShade="F2"/>
            <w:vAlign w:val="center"/>
          </w:tcPr>
          <w:p w14:paraId="2DFB0D3B" w14:textId="77777777" w:rsidR="00AB3A3E" w:rsidRDefault="00AB3A3E" w:rsidP="005A5587">
            <w:pPr>
              <w:rPr>
                <w:rFonts w:ascii="Arial" w:hAnsi="Arial" w:cs="Arial"/>
                <w:sz w:val="22"/>
              </w:rPr>
            </w:pPr>
            <w:r>
              <w:rPr>
                <w:rFonts w:ascii="Arial" w:hAnsi="Arial" w:cs="Arial"/>
                <w:sz w:val="22"/>
              </w:rPr>
              <w:t>How will you identify the participants?</w:t>
            </w:r>
          </w:p>
        </w:tc>
        <w:tc>
          <w:tcPr>
            <w:tcW w:w="6633" w:type="dxa"/>
            <w:tcBorders>
              <w:top w:val="single" w:sz="4" w:space="0" w:color="auto"/>
            </w:tcBorders>
            <w:vAlign w:val="center"/>
          </w:tcPr>
          <w:p w14:paraId="13376CC0" w14:textId="77777777" w:rsidR="00AB3A3E" w:rsidRDefault="00AB3A3E" w:rsidP="005A5587">
            <w:pPr>
              <w:rPr>
                <w:rFonts w:ascii="Arial" w:hAnsi="Arial" w:cs="Arial"/>
                <w:sz w:val="22"/>
              </w:rPr>
            </w:pPr>
          </w:p>
          <w:p w14:paraId="5053ACD5" w14:textId="77777777" w:rsidR="00AB3A3E" w:rsidRPr="0026717F" w:rsidRDefault="00AB3A3E" w:rsidP="005A5587">
            <w:pPr>
              <w:rPr>
                <w:rFonts w:ascii="Arial" w:hAnsi="Arial" w:cs="Arial"/>
                <w:szCs w:val="24"/>
              </w:rPr>
            </w:pPr>
            <w:r w:rsidRPr="0026717F">
              <w:rPr>
                <w:szCs w:val="24"/>
              </w:rPr>
              <w:t>Participants will be adult UK retail employees. They may work in roles such as sales assistant, cashier, supervisor, customer service assistant, warehouse/stockroom assistant, team leader or manager. Participants must be aged 18 or above and able to give consent.</w:t>
            </w:r>
          </w:p>
          <w:p w14:paraId="351A523A" w14:textId="77777777" w:rsidR="00AB3A3E" w:rsidRPr="004C3A0B" w:rsidRDefault="00AB3A3E" w:rsidP="005A5587">
            <w:pPr>
              <w:rPr>
                <w:rFonts w:ascii="Arial" w:hAnsi="Arial" w:cs="Arial"/>
                <w:color w:val="808080"/>
                <w:sz w:val="18"/>
                <w:szCs w:val="18"/>
              </w:rPr>
            </w:pPr>
          </w:p>
        </w:tc>
      </w:tr>
    </w:tbl>
    <w:p w14:paraId="72CFFF05" w14:textId="77777777" w:rsidR="00AB3A3E" w:rsidRPr="00D71982" w:rsidRDefault="00AB3A3E" w:rsidP="00AB3A3E">
      <w:pPr>
        <w:rPr>
          <w:rFonts w:ascii="Arial" w:hAnsi="Arial" w:cs="Arial"/>
          <w:bCs/>
          <w:szCs w:val="24"/>
        </w:rPr>
      </w:pPr>
    </w:p>
    <w:p w14:paraId="30775FB9" w14:textId="77777777" w:rsidR="00AB3A3E" w:rsidRDefault="00AB3A3E" w:rsidP="00AB3A3E"/>
    <w:tbl>
      <w:tblPr>
        <w:tblStyle w:val="TableGrid"/>
        <w:tblW w:w="10485" w:type="dxa"/>
        <w:tblLook w:val="04A0" w:firstRow="1" w:lastRow="0" w:firstColumn="1" w:lastColumn="0" w:noHBand="0" w:noVBand="1"/>
      </w:tblPr>
      <w:tblGrid>
        <w:gridCol w:w="562"/>
        <w:gridCol w:w="7088"/>
        <w:gridCol w:w="992"/>
        <w:gridCol w:w="851"/>
        <w:gridCol w:w="992"/>
      </w:tblGrid>
      <w:tr w:rsidR="00AB3A3E" w:rsidRPr="004C3A0B" w14:paraId="35C7DA47" w14:textId="77777777" w:rsidTr="005A5587">
        <w:tc>
          <w:tcPr>
            <w:tcW w:w="562" w:type="dxa"/>
            <w:shd w:val="clear" w:color="auto" w:fill="F2F2F2" w:themeFill="background1" w:themeFillShade="F2"/>
            <w:vAlign w:val="center"/>
          </w:tcPr>
          <w:p w14:paraId="6EA00E40" w14:textId="77777777" w:rsidR="00AB3A3E" w:rsidRPr="002132F9" w:rsidRDefault="00AB3A3E" w:rsidP="005A5587">
            <w:pPr>
              <w:autoSpaceDE w:val="0"/>
              <w:autoSpaceDN w:val="0"/>
              <w:adjustRightInd w:val="0"/>
              <w:jc w:val="center"/>
              <w:rPr>
                <w:rFonts w:ascii="Arial" w:hAnsi="Arial" w:cs="Arial"/>
                <w:bCs/>
                <w:sz w:val="22"/>
              </w:rPr>
            </w:pPr>
          </w:p>
        </w:tc>
        <w:tc>
          <w:tcPr>
            <w:tcW w:w="7088" w:type="dxa"/>
            <w:shd w:val="clear" w:color="auto" w:fill="F2F2F2" w:themeFill="background1" w:themeFillShade="F2"/>
          </w:tcPr>
          <w:p w14:paraId="0D4FA97C" w14:textId="77777777" w:rsidR="00AB3A3E" w:rsidRPr="004C3A0B" w:rsidRDefault="00AB3A3E" w:rsidP="005A5587">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992" w:type="dxa"/>
            <w:shd w:val="clear" w:color="auto" w:fill="F2F2F2" w:themeFill="background1" w:themeFillShade="F2"/>
            <w:vAlign w:val="bottom"/>
          </w:tcPr>
          <w:p w14:paraId="4425B3AB" w14:textId="77777777" w:rsidR="00AB3A3E" w:rsidRPr="004C3A0B" w:rsidRDefault="00AB3A3E" w:rsidP="005A5587">
            <w:pPr>
              <w:autoSpaceDE w:val="0"/>
              <w:autoSpaceDN w:val="0"/>
              <w:adjustRightInd w:val="0"/>
              <w:jc w:val="center"/>
              <w:rPr>
                <w:rFonts w:ascii="Arial" w:hAnsi="Arial" w:cs="Arial"/>
                <w:b/>
                <w:bCs/>
                <w:sz w:val="16"/>
                <w:szCs w:val="16"/>
              </w:rPr>
            </w:pPr>
          </w:p>
          <w:p w14:paraId="756A74BE"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51" w:type="dxa"/>
            <w:shd w:val="clear" w:color="auto" w:fill="F2F2F2" w:themeFill="background1" w:themeFillShade="F2"/>
            <w:vAlign w:val="bottom"/>
          </w:tcPr>
          <w:p w14:paraId="100DA41F"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992" w:type="dxa"/>
            <w:shd w:val="clear" w:color="auto" w:fill="F2F2F2" w:themeFill="background1" w:themeFillShade="F2"/>
          </w:tcPr>
          <w:p w14:paraId="765DFFEB" w14:textId="77777777" w:rsidR="00AB3A3E" w:rsidRPr="004C3A0B" w:rsidRDefault="00AB3A3E" w:rsidP="005A5587">
            <w:pPr>
              <w:autoSpaceDE w:val="0"/>
              <w:autoSpaceDN w:val="0"/>
              <w:adjustRightInd w:val="0"/>
              <w:jc w:val="center"/>
              <w:rPr>
                <w:rFonts w:ascii="Arial" w:hAnsi="Arial" w:cs="Arial"/>
                <w:b/>
                <w:bCs/>
                <w:sz w:val="16"/>
                <w:szCs w:val="16"/>
              </w:rPr>
            </w:pPr>
          </w:p>
          <w:p w14:paraId="0F2FBF3A"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N/A</w:t>
            </w:r>
          </w:p>
        </w:tc>
      </w:tr>
      <w:tr w:rsidR="00AB3A3E" w:rsidRPr="004C3A0B" w14:paraId="2C76EB89" w14:textId="77777777" w:rsidTr="005A5587">
        <w:trPr>
          <w:trHeight w:val="439"/>
        </w:trPr>
        <w:tc>
          <w:tcPr>
            <w:tcW w:w="562" w:type="dxa"/>
            <w:shd w:val="clear" w:color="auto" w:fill="F2F2F2" w:themeFill="background1" w:themeFillShade="F2"/>
            <w:vAlign w:val="center"/>
          </w:tcPr>
          <w:p w14:paraId="4F0DB733"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13</w:t>
            </w:r>
          </w:p>
        </w:tc>
        <w:tc>
          <w:tcPr>
            <w:tcW w:w="7088" w:type="dxa"/>
            <w:shd w:val="clear" w:color="auto" w:fill="F2F2F2" w:themeFill="background1" w:themeFillShade="F2"/>
            <w:vAlign w:val="center"/>
          </w:tcPr>
          <w:p w14:paraId="5C39FE76"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rPr>
              <w:id w:val="638854427"/>
              <w14:checkbox>
                <w14:checked w14:val="1"/>
                <w14:checkedState w14:val="2612" w14:font="MS Gothic"/>
                <w14:uncheckedState w14:val="2610" w14:font="MS Gothic"/>
              </w14:checkbox>
            </w:sdtPr>
            <w:sdtContent>
              <w:p w14:paraId="37E3D407"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838415725"/>
              <w14:checkbox>
                <w14:checked w14:val="0"/>
                <w14:checkedState w14:val="2612" w14:font="MS Gothic"/>
                <w14:uncheckedState w14:val="2610" w14:font="MS Gothic"/>
              </w14:checkbox>
            </w:sdtPr>
            <w:sdtContent>
              <w:p w14:paraId="3A49DE3F"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018272357"/>
              <w14:checkbox>
                <w14:checked w14:val="0"/>
                <w14:checkedState w14:val="2612" w14:font="MS Gothic"/>
                <w14:uncheckedState w14:val="2610" w14:font="MS Gothic"/>
              </w14:checkbox>
            </w:sdtPr>
            <w:sdtContent>
              <w:p w14:paraId="3EDFD839"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39550AD" w14:textId="77777777" w:rsidTr="005A5587">
        <w:trPr>
          <w:trHeight w:val="403"/>
        </w:trPr>
        <w:tc>
          <w:tcPr>
            <w:tcW w:w="562" w:type="dxa"/>
            <w:shd w:val="clear" w:color="auto" w:fill="F2F2F2" w:themeFill="background1" w:themeFillShade="F2"/>
            <w:vAlign w:val="center"/>
          </w:tcPr>
          <w:p w14:paraId="69369EAA"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14</w:t>
            </w:r>
          </w:p>
        </w:tc>
        <w:tc>
          <w:tcPr>
            <w:tcW w:w="7088" w:type="dxa"/>
            <w:shd w:val="clear" w:color="auto" w:fill="F2F2F2" w:themeFill="background1" w:themeFillShade="F2"/>
            <w:vAlign w:val="center"/>
          </w:tcPr>
          <w:p w14:paraId="6F71CCED"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rPr>
              <w:id w:val="1917978816"/>
              <w14:checkbox>
                <w14:checked w14:val="1"/>
                <w14:checkedState w14:val="2612" w14:font="MS Gothic"/>
                <w14:uncheckedState w14:val="2610" w14:font="MS Gothic"/>
              </w14:checkbox>
            </w:sdtPr>
            <w:sdtContent>
              <w:p w14:paraId="7BCF92E2"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266745090"/>
              <w14:checkbox>
                <w14:checked w14:val="0"/>
                <w14:checkedState w14:val="2612" w14:font="MS Gothic"/>
                <w14:uncheckedState w14:val="2610" w14:font="MS Gothic"/>
              </w14:checkbox>
            </w:sdtPr>
            <w:sdtContent>
              <w:p w14:paraId="6542F2C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964613576"/>
              <w14:checkbox>
                <w14:checked w14:val="0"/>
                <w14:checkedState w14:val="2612" w14:font="MS Gothic"/>
                <w14:uncheckedState w14:val="2610" w14:font="MS Gothic"/>
              </w14:checkbox>
            </w:sdtPr>
            <w:sdtContent>
              <w:p w14:paraId="546937FA"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41C0619" w14:textId="77777777" w:rsidTr="005A5587">
        <w:trPr>
          <w:trHeight w:val="439"/>
        </w:trPr>
        <w:tc>
          <w:tcPr>
            <w:tcW w:w="562" w:type="dxa"/>
            <w:shd w:val="clear" w:color="auto" w:fill="F2F2F2" w:themeFill="background1" w:themeFillShade="F2"/>
            <w:vAlign w:val="center"/>
          </w:tcPr>
          <w:p w14:paraId="7244FB66"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15</w:t>
            </w:r>
          </w:p>
        </w:tc>
        <w:tc>
          <w:tcPr>
            <w:tcW w:w="7088" w:type="dxa"/>
            <w:shd w:val="clear" w:color="auto" w:fill="F2F2F2" w:themeFill="background1" w:themeFillShade="F2"/>
            <w:vAlign w:val="center"/>
          </w:tcPr>
          <w:p w14:paraId="5B6D703D"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rPr>
              <w:id w:val="173071009"/>
              <w14:checkbox>
                <w14:checked w14:val="1"/>
                <w14:checkedState w14:val="2612" w14:font="MS Gothic"/>
                <w14:uncheckedState w14:val="2610" w14:font="MS Gothic"/>
              </w14:checkbox>
            </w:sdtPr>
            <w:sdtContent>
              <w:p w14:paraId="1077BB7D"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777214799"/>
              <w14:checkbox>
                <w14:checked w14:val="0"/>
                <w14:checkedState w14:val="2612" w14:font="MS Gothic"/>
                <w14:uncheckedState w14:val="2610" w14:font="MS Gothic"/>
              </w14:checkbox>
            </w:sdtPr>
            <w:sdtContent>
              <w:p w14:paraId="5C607064"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046200750"/>
              <w14:checkbox>
                <w14:checked w14:val="0"/>
                <w14:checkedState w14:val="2612" w14:font="MS Gothic"/>
                <w14:uncheckedState w14:val="2610" w14:font="MS Gothic"/>
              </w14:checkbox>
            </w:sdtPr>
            <w:sdtContent>
              <w:p w14:paraId="7AC49F31"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786A103F" w14:textId="77777777" w:rsidTr="005A5587">
        <w:trPr>
          <w:trHeight w:val="403"/>
        </w:trPr>
        <w:tc>
          <w:tcPr>
            <w:tcW w:w="562" w:type="dxa"/>
            <w:shd w:val="clear" w:color="auto" w:fill="F2F2F2" w:themeFill="background1" w:themeFillShade="F2"/>
            <w:vAlign w:val="center"/>
          </w:tcPr>
          <w:p w14:paraId="2222CB1F"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16</w:t>
            </w:r>
          </w:p>
        </w:tc>
        <w:tc>
          <w:tcPr>
            <w:tcW w:w="7088" w:type="dxa"/>
            <w:shd w:val="clear" w:color="auto" w:fill="F2F2F2" w:themeFill="background1" w:themeFillShade="F2"/>
            <w:vAlign w:val="center"/>
          </w:tcPr>
          <w:p w14:paraId="2BD7162A"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rPr>
              <w:id w:val="1907947677"/>
              <w14:checkbox>
                <w14:checked w14:val="1"/>
                <w14:checkedState w14:val="2612" w14:font="MS Gothic"/>
                <w14:uncheckedState w14:val="2610" w14:font="MS Gothic"/>
              </w14:checkbox>
            </w:sdtPr>
            <w:sdtContent>
              <w:p w14:paraId="757A220B"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997954874"/>
              <w14:checkbox>
                <w14:checked w14:val="0"/>
                <w14:checkedState w14:val="2612" w14:font="MS Gothic"/>
                <w14:uncheckedState w14:val="2610" w14:font="MS Gothic"/>
              </w14:checkbox>
            </w:sdtPr>
            <w:sdtContent>
              <w:p w14:paraId="69790990"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833887313"/>
              <w14:checkbox>
                <w14:checked w14:val="0"/>
                <w14:checkedState w14:val="2612" w14:font="MS Gothic"/>
                <w14:uncheckedState w14:val="2610" w14:font="MS Gothic"/>
              </w14:checkbox>
            </w:sdtPr>
            <w:sdtContent>
              <w:p w14:paraId="6370C60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0606F89A" w14:textId="77777777" w:rsidTr="005A5587">
        <w:trPr>
          <w:trHeight w:val="439"/>
        </w:trPr>
        <w:tc>
          <w:tcPr>
            <w:tcW w:w="562" w:type="dxa"/>
            <w:shd w:val="clear" w:color="auto" w:fill="F2F2F2" w:themeFill="background1" w:themeFillShade="F2"/>
            <w:vAlign w:val="center"/>
          </w:tcPr>
          <w:p w14:paraId="17FE3DF2"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17</w:t>
            </w:r>
          </w:p>
        </w:tc>
        <w:tc>
          <w:tcPr>
            <w:tcW w:w="7088" w:type="dxa"/>
            <w:shd w:val="clear" w:color="auto" w:fill="F2F2F2" w:themeFill="background1" w:themeFillShade="F2"/>
            <w:vAlign w:val="center"/>
          </w:tcPr>
          <w:p w14:paraId="0F9B268A"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rPr>
              <w:id w:val="-65498961"/>
              <w14:checkbox>
                <w14:checked w14:val="0"/>
                <w14:checkedState w14:val="2612" w14:font="MS Gothic"/>
                <w14:uncheckedState w14:val="2610" w14:font="MS Gothic"/>
              </w14:checkbox>
            </w:sdtPr>
            <w:sdtContent>
              <w:p w14:paraId="4E22236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327907113"/>
              <w14:checkbox>
                <w14:checked w14:val="0"/>
                <w14:checkedState w14:val="2612" w14:font="MS Gothic"/>
                <w14:uncheckedState w14:val="2610" w14:font="MS Gothic"/>
              </w14:checkbox>
            </w:sdtPr>
            <w:sdtContent>
              <w:p w14:paraId="0EB4BA6D"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843242132"/>
              <w14:checkbox>
                <w14:checked w14:val="1"/>
                <w14:checkedState w14:val="2612" w14:font="MS Gothic"/>
                <w14:uncheckedState w14:val="2610" w14:font="MS Gothic"/>
              </w14:checkbox>
            </w:sdtPr>
            <w:sdtContent>
              <w:p w14:paraId="4660AE2E"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48D5025B" w14:textId="77777777" w:rsidTr="005A5587">
        <w:trPr>
          <w:trHeight w:val="403"/>
        </w:trPr>
        <w:tc>
          <w:tcPr>
            <w:tcW w:w="562" w:type="dxa"/>
            <w:shd w:val="clear" w:color="auto" w:fill="F2F2F2" w:themeFill="background1" w:themeFillShade="F2"/>
            <w:vAlign w:val="center"/>
          </w:tcPr>
          <w:p w14:paraId="547BCFE9"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18</w:t>
            </w:r>
          </w:p>
        </w:tc>
        <w:tc>
          <w:tcPr>
            <w:tcW w:w="7088" w:type="dxa"/>
            <w:shd w:val="clear" w:color="auto" w:fill="F2F2F2" w:themeFill="background1" w:themeFillShade="F2"/>
            <w:vAlign w:val="center"/>
          </w:tcPr>
          <w:p w14:paraId="2CE3FEAE"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rPr>
              <w:id w:val="-1689744163"/>
              <w14:checkbox>
                <w14:checked w14:val="1"/>
                <w14:checkedState w14:val="2612" w14:font="MS Gothic"/>
                <w14:uncheckedState w14:val="2610" w14:font="MS Gothic"/>
              </w14:checkbox>
            </w:sdtPr>
            <w:sdtContent>
              <w:p w14:paraId="41AE154E"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160307203"/>
              <w14:checkbox>
                <w14:checked w14:val="0"/>
                <w14:checkedState w14:val="2612" w14:font="MS Gothic"/>
                <w14:uncheckedState w14:val="2610" w14:font="MS Gothic"/>
              </w14:checkbox>
            </w:sdtPr>
            <w:sdtContent>
              <w:p w14:paraId="4E741EBC"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70004211"/>
              <w14:checkbox>
                <w14:checked w14:val="0"/>
                <w14:checkedState w14:val="2612" w14:font="MS Gothic"/>
                <w14:uncheckedState w14:val="2610" w14:font="MS Gothic"/>
              </w14:checkbox>
            </w:sdtPr>
            <w:sdtContent>
              <w:p w14:paraId="57CC047D"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72EFE148" w14:textId="77777777" w:rsidTr="005A5587">
        <w:trPr>
          <w:trHeight w:val="439"/>
        </w:trPr>
        <w:tc>
          <w:tcPr>
            <w:tcW w:w="562" w:type="dxa"/>
            <w:shd w:val="clear" w:color="auto" w:fill="F2F2F2" w:themeFill="background1" w:themeFillShade="F2"/>
            <w:vAlign w:val="center"/>
          </w:tcPr>
          <w:p w14:paraId="2EC839D2"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19</w:t>
            </w:r>
          </w:p>
        </w:tc>
        <w:tc>
          <w:tcPr>
            <w:tcW w:w="7088" w:type="dxa"/>
            <w:shd w:val="clear" w:color="auto" w:fill="F2F2F2" w:themeFill="background1" w:themeFillShade="F2"/>
            <w:vAlign w:val="center"/>
          </w:tcPr>
          <w:p w14:paraId="525F022F"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rPr>
              <w:id w:val="-120004605"/>
              <w14:checkbox>
                <w14:checked w14:val="1"/>
                <w14:checkedState w14:val="2612" w14:font="MS Gothic"/>
                <w14:uncheckedState w14:val="2610" w14:font="MS Gothic"/>
              </w14:checkbox>
            </w:sdtPr>
            <w:sdtContent>
              <w:p w14:paraId="21E3973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502748247"/>
              <w14:checkbox>
                <w14:checked w14:val="0"/>
                <w14:checkedState w14:val="2612" w14:font="MS Gothic"/>
                <w14:uncheckedState w14:val="2610" w14:font="MS Gothic"/>
              </w14:checkbox>
            </w:sdtPr>
            <w:sdtContent>
              <w:p w14:paraId="332C3600"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96125454"/>
              <w14:checkbox>
                <w14:checked w14:val="0"/>
                <w14:checkedState w14:val="2612" w14:font="MS Gothic"/>
                <w14:uncheckedState w14:val="2610" w14:font="MS Gothic"/>
              </w14:checkbox>
            </w:sdtPr>
            <w:sdtContent>
              <w:p w14:paraId="422079DD"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408E82C" w14:textId="77777777" w:rsidTr="005A5587">
        <w:trPr>
          <w:trHeight w:val="403"/>
        </w:trPr>
        <w:tc>
          <w:tcPr>
            <w:tcW w:w="562" w:type="dxa"/>
            <w:shd w:val="clear" w:color="auto" w:fill="F2F2F2" w:themeFill="background1" w:themeFillShade="F2"/>
            <w:vAlign w:val="center"/>
          </w:tcPr>
          <w:p w14:paraId="77A28ABA"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20</w:t>
            </w:r>
          </w:p>
        </w:tc>
        <w:tc>
          <w:tcPr>
            <w:tcW w:w="7088" w:type="dxa"/>
            <w:shd w:val="clear" w:color="auto" w:fill="F2F2F2" w:themeFill="background1" w:themeFillShade="F2"/>
            <w:vAlign w:val="center"/>
          </w:tcPr>
          <w:p w14:paraId="31B10046"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rPr>
              <w:id w:val="96221617"/>
              <w14:checkbox>
                <w14:checked w14:val="1"/>
                <w14:checkedState w14:val="2612" w14:font="MS Gothic"/>
                <w14:uncheckedState w14:val="2610" w14:font="MS Gothic"/>
              </w14:checkbox>
            </w:sdtPr>
            <w:sdtContent>
              <w:p w14:paraId="6E645D4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715357891"/>
              <w14:checkbox>
                <w14:checked w14:val="0"/>
                <w14:checkedState w14:val="2612" w14:font="MS Gothic"/>
                <w14:uncheckedState w14:val="2610" w14:font="MS Gothic"/>
              </w14:checkbox>
            </w:sdtPr>
            <w:sdtContent>
              <w:p w14:paraId="1B5AB965"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861819308"/>
              <w14:checkbox>
                <w14:checked w14:val="0"/>
                <w14:checkedState w14:val="2612" w14:font="MS Gothic"/>
                <w14:uncheckedState w14:val="2610" w14:font="MS Gothic"/>
              </w14:checkbox>
            </w:sdtPr>
            <w:sdtContent>
              <w:p w14:paraId="02871A4F"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13715AE" w14:textId="77777777" w:rsidTr="005A5587">
        <w:trPr>
          <w:trHeight w:val="439"/>
        </w:trPr>
        <w:tc>
          <w:tcPr>
            <w:tcW w:w="562" w:type="dxa"/>
            <w:shd w:val="clear" w:color="auto" w:fill="F2F2F2" w:themeFill="background1" w:themeFillShade="F2"/>
            <w:vAlign w:val="center"/>
          </w:tcPr>
          <w:p w14:paraId="34BF9E8E"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lastRenderedPageBreak/>
              <w:t>21</w:t>
            </w:r>
          </w:p>
        </w:tc>
        <w:tc>
          <w:tcPr>
            <w:tcW w:w="7088" w:type="dxa"/>
            <w:shd w:val="clear" w:color="auto" w:fill="F2F2F2" w:themeFill="background1" w:themeFillShade="F2"/>
            <w:vAlign w:val="center"/>
          </w:tcPr>
          <w:p w14:paraId="36326B67"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rPr>
              <w:id w:val="1507015635"/>
              <w14:checkbox>
                <w14:checked w14:val="1"/>
                <w14:checkedState w14:val="2612" w14:font="MS Gothic"/>
                <w14:uncheckedState w14:val="2610" w14:font="MS Gothic"/>
              </w14:checkbox>
            </w:sdtPr>
            <w:sdtContent>
              <w:p w14:paraId="474F22A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282701375"/>
              <w14:checkbox>
                <w14:checked w14:val="0"/>
                <w14:checkedState w14:val="2612" w14:font="MS Gothic"/>
                <w14:uncheckedState w14:val="2610" w14:font="MS Gothic"/>
              </w14:checkbox>
            </w:sdtPr>
            <w:sdtContent>
              <w:p w14:paraId="41F0A759"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075428902"/>
              <w14:checkbox>
                <w14:checked w14:val="0"/>
                <w14:checkedState w14:val="2612" w14:font="MS Gothic"/>
                <w14:uncheckedState w14:val="2610" w14:font="MS Gothic"/>
              </w14:checkbox>
            </w:sdtPr>
            <w:sdtContent>
              <w:p w14:paraId="4850DCE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6794B1B" w14:textId="77777777" w:rsidTr="005A5587">
        <w:trPr>
          <w:trHeight w:val="403"/>
        </w:trPr>
        <w:tc>
          <w:tcPr>
            <w:tcW w:w="562" w:type="dxa"/>
            <w:tcBorders>
              <w:bottom w:val="single" w:sz="4" w:space="0" w:color="auto"/>
            </w:tcBorders>
            <w:shd w:val="clear" w:color="auto" w:fill="F2F2F2" w:themeFill="background1" w:themeFillShade="F2"/>
            <w:vAlign w:val="center"/>
          </w:tcPr>
          <w:p w14:paraId="1947A1E9"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22</w:t>
            </w:r>
          </w:p>
        </w:tc>
        <w:tc>
          <w:tcPr>
            <w:tcW w:w="9923" w:type="dxa"/>
            <w:gridSpan w:val="4"/>
            <w:tcBorders>
              <w:bottom w:val="single" w:sz="4" w:space="0" w:color="auto"/>
            </w:tcBorders>
            <w:shd w:val="clear" w:color="auto" w:fill="F2F2F2" w:themeFill="background1" w:themeFillShade="F2"/>
            <w:vAlign w:val="center"/>
          </w:tcPr>
          <w:p w14:paraId="6C1B181F"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AB3A3E" w:rsidRPr="004C3A0B" w14:paraId="505ED818" w14:textId="77777777" w:rsidTr="005A5587">
        <w:trPr>
          <w:trHeight w:val="403"/>
        </w:trPr>
        <w:tc>
          <w:tcPr>
            <w:tcW w:w="562" w:type="dxa"/>
            <w:vAlign w:val="center"/>
          </w:tcPr>
          <w:p w14:paraId="56432F96" w14:textId="77777777" w:rsidR="00AB3A3E" w:rsidRDefault="00AB3A3E" w:rsidP="005A5587">
            <w:pPr>
              <w:jc w:val="center"/>
              <w:rPr>
                <w:rFonts w:ascii="Arial" w:hAnsi="Arial" w:cs="Arial"/>
                <w:sz w:val="22"/>
              </w:rPr>
            </w:pPr>
          </w:p>
        </w:tc>
        <w:tc>
          <w:tcPr>
            <w:tcW w:w="9923" w:type="dxa"/>
            <w:gridSpan w:val="4"/>
            <w:vAlign w:val="center"/>
          </w:tcPr>
          <w:p w14:paraId="6A857318" w14:textId="77777777" w:rsidR="00AB3A3E" w:rsidRPr="00AA34BD" w:rsidRDefault="00AB3A3E" w:rsidP="005A5587">
            <w:pPr>
              <w:rPr>
                <w:rFonts w:ascii="Arial" w:hAnsi="Arial" w:cs="Arial"/>
                <w:color w:val="00B050"/>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1C9D4540" w14:textId="77777777" w:rsidR="00AB3A3E" w:rsidRPr="004C3A0B" w:rsidRDefault="00AB3A3E" w:rsidP="005A5587">
            <w:pPr>
              <w:rPr>
                <w:rFonts w:ascii="Arial" w:hAnsi="Arial" w:cs="Arial"/>
                <w:sz w:val="22"/>
              </w:rPr>
            </w:pPr>
          </w:p>
          <w:p w14:paraId="58766072" w14:textId="77777777" w:rsidR="00AB3A3E" w:rsidRPr="004C3A0B" w:rsidRDefault="00AB3A3E" w:rsidP="005A55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94F306" w14:textId="77777777" w:rsidR="00AB3A3E" w:rsidRPr="004C3A0B" w:rsidRDefault="00AB3A3E" w:rsidP="00AB3A3E"/>
    <w:tbl>
      <w:tblPr>
        <w:tblStyle w:val="TableGrid"/>
        <w:tblW w:w="10485" w:type="dxa"/>
        <w:tblLook w:val="04A0" w:firstRow="1" w:lastRow="0" w:firstColumn="1" w:lastColumn="0" w:noHBand="0" w:noVBand="1"/>
      </w:tblPr>
      <w:tblGrid>
        <w:gridCol w:w="562"/>
        <w:gridCol w:w="7088"/>
        <w:gridCol w:w="992"/>
        <w:gridCol w:w="851"/>
        <w:gridCol w:w="992"/>
      </w:tblGrid>
      <w:tr w:rsidR="00AB3A3E" w:rsidRPr="004C3A0B" w14:paraId="10535F84" w14:textId="77777777" w:rsidTr="005A5587">
        <w:tc>
          <w:tcPr>
            <w:tcW w:w="562" w:type="dxa"/>
            <w:shd w:val="clear" w:color="auto" w:fill="F2F2F2" w:themeFill="background1" w:themeFillShade="F2"/>
          </w:tcPr>
          <w:p w14:paraId="2A3C1302" w14:textId="77777777" w:rsidR="00AB3A3E" w:rsidRPr="002132F9" w:rsidRDefault="00AB3A3E" w:rsidP="005A5587">
            <w:pPr>
              <w:autoSpaceDE w:val="0"/>
              <w:autoSpaceDN w:val="0"/>
              <w:adjustRightInd w:val="0"/>
              <w:rPr>
                <w:rFonts w:ascii="Arial" w:hAnsi="Arial" w:cs="Arial"/>
                <w:bCs/>
                <w:sz w:val="22"/>
              </w:rPr>
            </w:pPr>
          </w:p>
        </w:tc>
        <w:tc>
          <w:tcPr>
            <w:tcW w:w="7088" w:type="dxa"/>
            <w:shd w:val="clear" w:color="auto" w:fill="F2F2F2" w:themeFill="background1" w:themeFillShade="F2"/>
            <w:vAlign w:val="center"/>
          </w:tcPr>
          <w:p w14:paraId="5DB207CB" w14:textId="77777777" w:rsidR="00AB3A3E" w:rsidRPr="004C3A0B" w:rsidRDefault="00AB3A3E" w:rsidP="005A5587">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992" w:type="dxa"/>
            <w:shd w:val="clear" w:color="auto" w:fill="F2F2F2" w:themeFill="background1" w:themeFillShade="F2"/>
            <w:vAlign w:val="bottom"/>
          </w:tcPr>
          <w:p w14:paraId="11E1EF4F" w14:textId="77777777" w:rsidR="00AB3A3E" w:rsidRPr="004C3A0B" w:rsidRDefault="00AB3A3E" w:rsidP="005A5587">
            <w:pPr>
              <w:autoSpaceDE w:val="0"/>
              <w:autoSpaceDN w:val="0"/>
              <w:adjustRightInd w:val="0"/>
              <w:jc w:val="center"/>
              <w:rPr>
                <w:rFonts w:ascii="Arial" w:hAnsi="Arial" w:cs="Arial"/>
                <w:b/>
                <w:bCs/>
                <w:sz w:val="16"/>
                <w:szCs w:val="16"/>
              </w:rPr>
            </w:pPr>
          </w:p>
          <w:p w14:paraId="23A66724"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51" w:type="dxa"/>
            <w:shd w:val="clear" w:color="auto" w:fill="F2F2F2" w:themeFill="background1" w:themeFillShade="F2"/>
            <w:vAlign w:val="bottom"/>
          </w:tcPr>
          <w:p w14:paraId="41CFA7D2"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992" w:type="dxa"/>
            <w:shd w:val="clear" w:color="auto" w:fill="F2F2F2" w:themeFill="background1" w:themeFillShade="F2"/>
            <w:vAlign w:val="bottom"/>
          </w:tcPr>
          <w:p w14:paraId="5665F1AA" w14:textId="77777777" w:rsidR="00AB3A3E" w:rsidRPr="004C3A0B" w:rsidRDefault="00AB3A3E" w:rsidP="005A5587">
            <w:pPr>
              <w:autoSpaceDE w:val="0"/>
              <w:autoSpaceDN w:val="0"/>
              <w:adjustRightInd w:val="0"/>
              <w:jc w:val="center"/>
              <w:rPr>
                <w:rFonts w:ascii="Arial" w:hAnsi="Arial" w:cs="Arial"/>
                <w:b/>
                <w:bCs/>
                <w:sz w:val="16"/>
                <w:szCs w:val="16"/>
              </w:rPr>
            </w:pPr>
          </w:p>
          <w:p w14:paraId="1FF4E073"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N/A</w:t>
            </w:r>
          </w:p>
        </w:tc>
      </w:tr>
      <w:tr w:rsidR="00AB3A3E" w:rsidRPr="004C3A0B" w14:paraId="41B6771C" w14:textId="77777777" w:rsidTr="005A5587">
        <w:trPr>
          <w:trHeight w:val="439"/>
        </w:trPr>
        <w:tc>
          <w:tcPr>
            <w:tcW w:w="562" w:type="dxa"/>
            <w:shd w:val="clear" w:color="auto" w:fill="F2F2F2" w:themeFill="background1" w:themeFillShade="F2"/>
            <w:vAlign w:val="center"/>
          </w:tcPr>
          <w:p w14:paraId="69840638"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24</w:t>
            </w:r>
          </w:p>
        </w:tc>
        <w:tc>
          <w:tcPr>
            <w:tcW w:w="7088" w:type="dxa"/>
            <w:shd w:val="clear" w:color="auto" w:fill="F2F2F2" w:themeFill="background1" w:themeFillShade="F2"/>
            <w:vAlign w:val="center"/>
          </w:tcPr>
          <w:p w14:paraId="08EF8630"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participants be paid?</w:t>
            </w:r>
          </w:p>
        </w:tc>
        <w:tc>
          <w:tcPr>
            <w:tcW w:w="992" w:type="dxa"/>
            <w:shd w:val="clear" w:color="auto" w:fill="BFBFBF" w:themeFill="background1" w:themeFillShade="BF"/>
            <w:vAlign w:val="center"/>
          </w:tcPr>
          <w:sdt>
            <w:sdtPr>
              <w:rPr>
                <w:rFonts w:ascii="Arial" w:hAnsi="Arial" w:cs="Arial"/>
                <w:b/>
                <w:bCs/>
                <w:sz w:val="22"/>
              </w:rPr>
              <w:id w:val="51043762"/>
              <w14:checkbox>
                <w14:checked w14:val="0"/>
                <w14:checkedState w14:val="2612" w14:font="MS Gothic"/>
                <w14:uncheckedState w14:val="2610" w14:font="MS Gothic"/>
              </w14:checkbox>
            </w:sdtPr>
            <w:sdtContent>
              <w:p w14:paraId="67FB8BDE"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256140063"/>
              <w14:checkbox>
                <w14:checked w14:val="1"/>
                <w14:checkedState w14:val="2612" w14:font="MS Gothic"/>
                <w14:uncheckedState w14:val="2610" w14:font="MS Gothic"/>
              </w14:checkbox>
            </w:sdtPr>
            <w:sdtContent>
              <w:p w14:paraId="3831B8D6"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634219724"/>
              <w14:checkbox>
                <w14:checked w14:val="0"/>
                <w14:checkedState w14:val="2612" w14:font="MS Gothic"/>
                <w14:uncheckedState w14:val="2610" w14:font="MS Gothic"/>
              </w14:checkbox>
            </w:sdtPr>
            <w:sdtContent>
              <w:p w14:paraId="668CC6E0"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4208EC3F" w14:textId="77777777" w:rsidTr="005A5587">
        <w:trPr>
          <w:trHeight w:val="403"/>
        </w:trPr>
        <w:tc>
          <w:tcPr>
            <w:tcW w:w="562" w:type="dxa"/>
            <w:shd w:val="clear" w:color="auto" w:fill="F2F2F2" w:themeFill="background1" w:themeFillShade="F2"/>
            <w:vAlign w:val="center"/>
          </w:tcPr>
          <w:p w14:paraId="1004510E"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25</w:t>
            </w:r>
          </w:p>
        </w:tc>
        <w:tc>
          <w:tcPr>
            <w:tcW w:w="7088" w:type="dxa"/>
            <w:shd w:val="clear" w:color="auto" w:fill="F2F2F2" w:themeFill="background1" w:themeFillShade="F2"/>
            <w:vAlign w:val="center"/>
          </w:tcPr>
          <w:p w14:paraId="10A63E6F"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rPr>
              <w:id w:val="-1438982454"/>
              <w14:checkbox>
                <w14:checked w14:val="0"/>
                <w14:checkedState w14:val="2612" w14:font="MS Gothic"/>
                <w14:uncheckedState w14:val="2610" w14:font="MS Gothic"/>
              </w14:checkbox>
            </w:sdtPr>
            <w:sdtContent>
              <w:p w14:paraId="54B5F29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2089267095"/>
              <w14:checkbox>
                <w14:checked w14:val="1"/>
                <w14:checkedState w14:val="2612" w14:font="MS Gothic"/>
                <w14:uncheckedState w14:val="2610" w14:font="MS Gothic"/>
              </w14:checkbox>
            </w:sdtPr>
            <w:sdtContent>
              <w:p w14:paraId="6327F1D4"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425468845"/>
              <w14:checkbox>
                <w14:checked w14:val="0"/>
                <w14:checkedState w14:val="2612" w14:font="MS Gothic"/>
                <w14:uncheckedState w14:val="2610" w14:font="MS Gothic"/>
              </w14:checkbox>
            </w:sdtPr>
            <w:sdtContent>
              <w:p w14:paraId="0E753899"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0AFE304D" w14:textId="77777777" w:rsidTr="005A5587">
        <w:trPr>
          <w:trHeight w:val="439"/>
        </w:trPr>
        <w:tc>
          <w:tcPr>
            <w:tcW w:w="562" w:type="dxa"/>
            <w:shd w:val="clear" w:color="auto" w:fill="F2F2F2" w:themeFill="background1" w:themeFillShade="F2"/>
            <w:vAlign w:val="center"/>
          </w:tcPr>
          <w:p w14:paraId="6B5BFC3C"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26</w:t>
            </w:r>
          </w:p>
        </w:tc>
        <w:tc>
          <w:tcPr>
            <w:tcW w:w="7088" w:type="dxa"/>
            <w:shd w:val="clear" w:color="auto" w:fill="F2F2F2" w:themeFill="background1" w:themeFillShade="F2"/>
            <w:vAlign w:val="center"/>
          </w:tcPr>
          <w:p w14:paraId="42E87159"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rPr>
              <w:id w:val="-225606969"/>
              <w14:checkbox>
                <w14:checked w14:val="0"/>
                <w14:checkedState w14:val="2612" w14:font="MS Gothic"/>
                <w14:uncheckedState w14:val="2610" w14:font="MS Gothic"/>
              </w14:checkbox>
            </w:sdtPr>
            <w:sdtContent>
              <w:p w14:paraId="6A513E3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565337314"/>
              <w14:checkbox>
                <w14:checked w14:val="1"/>
                <w14:checkedState w14:val="2612" w14:font="MS Gothic"/>
                <w14:uncheckedState w14:val="2610" w14:font="MS Gothic"/>
              </w14:checkbox>
            </w:sdtPr>
            <w:sdtContent>
              <w:p w14:paraId="49CCD0D8"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33575194"/>
              <w14:checkbox>
                <w14:checked w14:val="0"/>
                <w14:checkedState w14:val="2612" w14:font="MS Gothic"/>
                <w14:uncheckedState w14:val="2610" w14:font="MS Gothic"/>
              </w14:checkbox>
            </w:sdtPr>
            <w:sdtContent>
              <w:p w14:paraId="5174DAE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80481D2" w14:textId="77777777" w:rsidTr="005A5587">
        <w:trPr>
          <w:trHeight w:val="403"/>
        </w:trPr>
        <w:tc>
          <w:tcPr>
            <w:tcW w:w="562" w:type="dxa"/>
            <w:shd w:val="clear" w:color="auto" w:fill="F2F2F2" w:themeFill="background1" w:themeFillShade="F2"/>
            <w:vAlign w:val="center"/>
          </w:tcPr>
          <w:p w14:paraId="548FBAC9"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t>27</w:t>
            </w:r>
          </w:p>
        </w:tc>
        <w:tc>
          <w:tcPr>
            <w:tcW w:w="7088" w:type="dxa"/>
            <w:shd w:val="clear" w:color="auto" w:fill="F2F2F2" w:themeFill="background1" w:themeFillShade="F2"/>
            <w:vAlign w:val="center"/>
          </w:tcPr>
          <w:p w14:paraId="28FD8F6E"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rPr>
              <w:id w:val="-873932248"/>
              <w14:checkbox>
                <w14:checked w14:val="0"/>
                <w14:checkedState w14:val="2612" w14:font="MS Gothic"/>
                <w14:uncheckedState w14:val="2610" w14:font="MS Gothic"/>
              </w14:checkbox>
            </w:sdtPr>
            <w:sdtContent>
              <w:p w14:paraId="227443B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51" w:type="dxa"/>
            <w:shd w:val="clear" w:color="auto" w:fill="BFBFBF" w:themeFill="background1" w:themeFillShade="BF"/>
            <w:vAlign w:val="center"/>
          </w:tcPr>
          <w:sdt>
            <w:sdtPr>
              <w:rPr>
                <w:rFonts w:ascii="Arial" w:hAnsi="Arial" w:cs="Arial"/>
                <w:b/>
                <w:bCs/>
                <w:sz w:val="22"/>
              </w:rPr>
              <w:id w:val="-1867361740"/>
              <w14:checkbox>
                <w14:checked w14:val="1"/>
                <w14:checkedState w14:val="2612" w14:font="MS Gothic"/>
                <w14:uncheckedState w14:val="2610" w14:font="MS Gothic"/>
              </w14:checkbox>
            </w:sdtPr>
            <w:sdtContent>
              <w:p w14:paraId="61563AF0"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14328365"/>
              <w14:checkbox>
                <w14:checked w14:val="0"/>
                <w14:checkedState w14:val="2612" w14:font="MS Gothic"/>
                <w14:uncheckedState w14:val="2610" w14:font="MS Gothic"/>
              </w14:checkbox>
            </w:sdtPr>
            <w:sdtContent>
              <w:p w14:paraId="441FEE4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0152A9C4" w14:textId="77777777" w:rsidTr="005A5587">
        <w:trPr>
          <w:trHeight w:val="403"/>
        </w:trPr>
        <w:tc>
          <w:tcPr>
            <w:tcW w:w="562" w:type="dxa"/>
            <w:shd w:val="clear" w:color="auto" w:fill="F2F2F2" w:themeFill="background1" w:themeFillShade="F2"/>
            <w:vAlign w:val="center"/>
          </w:tcPr>
          <w:p w14:paraId="7FF503F7" w14:textId="77777777" w:rsidR="00AB3A3E" w:rsidRPr="004C3A0B" w:rsidRDefault="00AB3A3E" w:rsidP="005A5587">
            <w:pPr>
              <w:autoSpaceDE w:val="0"/>
              <w:autoSpaceDN w:val="0"/>
              <w:adjustRightInd w:val="0"/>
              <w:jc w:val="center"/>
              <w:rPr>
                <w:rFonts w:ascii="Arial" w:hAnsi="Arial" w:cs="Arial"/>
                <w:sz w:val="22"/>
              </w:rPr>
            </w:pPr>
            <w:r>
              <w:rPr>
                <w:rFonts w:ascii="Arial" w:hAnsi="Arial" w:cs="Arial"/>
                <w:sz w:val="22"/>
              </w:rPr>
              <w:lastRenderedPageBreak/>
              <w:t>28</w:t>
            </w:r>
          </w:p>
        </w:tc>
        <w:tc>
          <w:tcPr>
            <w:tcW w:w="9923" w:type="dxa"/>
            <w:gridSpan w:val="4"/>
            <w:shd w:val="clear" w:color="auto" w:fill="F2F2F2" w:themeFill="background1" w:themeFillShade="F2"/>
            <w:vAlign w:val="center"/>
          </w:tcPr>
          <w:p w14:paraId="75A62126"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AB3A3E" w:rsidRPr="004C3A0B" w14:paraId="6789470B" w14:textId="77777777" w:rsidTr="005A5587">
        <w:trPr>
          <w:trHeight w:val="403"/>
        </w:trPr>
        <w:tc>
          <w:tcPr>
            <w:tcW w:w="562" w:type="dxa"/>
            <w:vAlign w:val="center"/>
          </w:tcPr>
          <w:p w14:paraId="5B477A86" w14:textId="77777777" w:rsidR="00AB3A3E" w:rsidRDefault="00AB3A3E" w:rsidP="005A5587">
            <w:pPr>
              <w:jc w:val="center"/>
              <w:rPr>
                <w:rFonts w:ascii="Arial" w:hAnsi="Arial" w:cs="Arial"/>
                <w:sz w:val="22"/>
              </w:rPr>
            </w:pPr>
          </w:p>
        </w:tc>
        <w:tc>
          <w:tcPr>
            <w:tcW w:w="9923" w:type="dxa"/>
            <w:gridSpan w:val="4"/>
            <w:vAlign w:val="center"/>
          </w:tcPr>
          <w:p w14:paraId="60345AF8" w14:textId="77777777" w:rsidR="00AB3A3E" w:rsidRPr="00AA34BD" w:rsidRDefault="00AB3A3E" w:rsidP="005A5587">
            <w:pPr>
              <w:rPr>
                <w:rFonts w:ascii="Arial" w:hAnsi="Arial" w:cs="Arial"/>
                <w:color w:val="00B050"/>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5392BDCD" w14:textId="77777777" w:rsidR="00AB3A3E" w:rsidRPr="004C3A0B" w:rsidRDefault="00AB3A3E" w:rsidP="005A5587">
            <w:pPr>
              <w:rPr>
                <w:rFonts w:ascii="Arial" w:hAnsi="Arial" w:cs="Arial"/>
                <w:sz w:val="22"/>
              </w:rPr>
            </w:pPr>
          </w:p>
          <w:p w14:paraId="3F8835EB" w14:textId="77777777" w:rsidR="00AB3A3E" w:rsidRPr="004C3A0B" w:rsidRDefault="00AB3A3E" w:rsidP="005A55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776690" w14:textId="77777777" w:rsidR="00AB3A3E" w:rsidRPr="00354F34" w:rsidRDefault="00AB3A3E" w:rsidP="00AB3A3E">
      <w:pPr>
        <w:autoSpaceDE w:val="0"/>
        <w:autoSpaceDN w:val="0"/>
        <w:adjustRightInd w:val="0"/>
        <w:spacing w:after="240"/>
        <w:rPr>
          <w:rFonts w:ascii="Arial" w:hAnsi="Arial" w:cs="Arial"/>
          <w:b/>
          <w:sz w:val="22"/>
        </w:rPr>
      </w:pPr>
    </w:p>
    <w:p w14:paraId="37A65590" w14:textId="77777777" w:rsidR="00AB3A3E" w:rsidRDefault="00AB3A3E" w:rsidP="00AB3A3E">
      <w:pPr>
        <w:rPr>
          <w:rFonts w:ascii="Arial" w:hAnsi="Arial" w:cs="Arial"/>
          <w:b/>
          <w:sz w:val="22"/>
        </w:rPr>
      </w:pPr>
      <w:r w:rsidRPr="00354F34">
        <w:rPr>
          <w:rFonts w:ascii="Arial" w:hAnsi="Arial" w:cs="Arial"/>
          <w:b/>
          <w:sz w:val="22"/>
        </w:rPr>
        <w:t xml:space="preserve">SECTION </w:t>
      </w:r>
      <w:r>
        <w:rPr>
          <w:rFonts w:ascii="Arial" w:hAnsi="Arial" w:cs="Arial"/>
          <w:b/>
          <w:sz w:val="22"/>
        </w:rPr>
        <w:t>F</w:t>
      </w:r>
      <w:r w:rsidRPr="00354F34">
        <w:rPr>
          <w:rFonts w:ascii="Arial" w:hAnsi="Arial" w:cs="Arial"/>
          <w:b/>
          <w:sz w:val="22"/>
        </w:rPr>
        <w:t>: Anticipated Risks</w:t>
      </w:r>
    </w:p>
    <w:p w14:paraId="032D5872" w14:textId="77777777" w:rsidR="00AB3A3E" w:rsidRPr="00354F34" w:rsidRDefault="00AB3A3E" w:rsidP="00AB3A3E">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AB3A3E" w:rsidRPr="004C3A0B" w14:paraId="76022F81" w14:textId="77777777" w:rsidTr="005A5587">
        <w:tc>
          <w:tcPr>
            <w:tcW w:w="596" w:type="dxa"/>
            <w:tcBorders>
              <w:bottom w:val="single" w:sz="4" w:space="0" w:color="auto"/>
            </w:tcBorders>
            <w:shd w:val="clear" w:color="auto" w:fill="F2F2F2" w:themeFill="background1" w:themeFillShade="F2"/>
          </w:tcPr>
          <w:p w14:paraId="7DA6CCCD" w14:textId="77777777" w:rsidR="00AB3A3E" w:rsidRPr="002132F9" w:rsidRDefault="00AB3A3E" w:rsidP="005A5587">
            <w:pPr>
              <w:pStyle w:val="Heading1"/>
              <w:jc w:val="left"/>
              <w:rPr>
                <w:rFonts w:ascii="Arial" w:hAnsi="Arial" w:cs="Arial"/>
                <w:b w:val="0"/>
                <w:bCs/>
              </w:rPr>
            </w:pPr>
          </w:p>
        </w:tc>
        <w:tc>
          <w:tcPr>
            <w:tcW w:w="9923" w:type="dxa"/>
            <w:gridSpan w:val="2"/>
            <w:tcBorders>
              <w:bottom w:val="single" w:sz="4" w:space="0" w:color="auto"/>
            </w:tcBorders>
            <w:shd w:val="clear" w:color="auto" w:fill="F2F2F2" w:themeFill="background1" w:themeFillShade="F2"/>
          </w:tcPr>
          <w:p w14:paraId="030BC7F2" w14:textId="77777777" w:rsidR="00AB3A3E" w:rsidRPr="00204E14" w:rsidRDefault="00AB3A3E" w:rsidP="005A558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AB3A3E" w:rsidRPr="004C3A0B" w14:paraId="09394FE6" w14:textId="77777777" w:rsidTr="005A5587">
        <w:tc>
          <w:tcPr>
            <w:tcW w:w="596" w:type="dxa"/>
            <w:tcBorders>
              <w:bottom w:val="single" w:sz="4" w:space="0" w:color="auto"/>
            </w:tcBorders>
            <w:shd w:val="clear" w:color="auto" w:fill="F2F2F2" w:themeFill="background1" w:themeFillShade="F2"/>
            <w:vAlign w:val="center"/>
          </w:tcPr>
          <w:p w14:paraId="4CE56898" w14:textId="77777777" w:rsidR="00AB3A3E" w:rsidRPr="002132F9" w:rsidRDefault="00AB3A3E" w:rsidP="005A5587">
            <w:pPr>
              <w:jc w:val="center"/>
              <w:rPr>
                <w:rFonts w:ascii="Arial" w:hAnsi="Arial" w:cs="Arial"/>
                <w:sz w:val="22"/>
              </w:rPr>
            </w:pPr>
            <w:r>
              <w:rPr>
                <w:rFonts w:ascii="Arial" w:hAnsi="Arial" w:cs="Arial"/>
                <w:sz w:val="22"/>
              </w:rPr>
              <w:t>1</w:t>
            </w:r>
          </w:p>
        </w:tc>
        <w:tc>
          <w:tcPr>
            <w:tcW w:w="9923" w:type="dxa"/>
            <w:gridSpan w:val="2"/>
            <w:tcBorders>
              <w:bottom w:val="single" w:sz="4" w:space="0" w:color="auto"/>
            </w:tcBorders>
            <w:shd w:val="clear" w:color="auto" w:fill="F2F2F2" w:themeFill="background1" w:themeFillShade="F2"/>
          </w:tcPr>
          <w:p w14:paraId="17EA5BE0" w14:textId="77777777" w:rsidR="00AB3A3E" w:rsidRPr="004C3A0B" w:rsidRDefault="00AB3A3E" w:rsidP="005A5587">
            <w:pPr>
              <w:rPr>
                <w:rFonts w:ascii="Arial" w:hAnsi="Arial" w:cs="Arial"/>
                <w:sz w:val="22"/>
              </w:rPr>
            </w:pPr>
            <w:r w:rsidRPr="004C3A0B">
              <w:rPr>
                <w:rFonts w:ascii="Arial" w:hAnsi="Arial" w:cs="Arial"/>
                <w:b/>
                <w:sz w:val="22"/>
              </w:rPr>
              <w:t>Risks to participants</w:t>
            </w:r>
          </w:p>
          <w:p w14:paraId="14D34CE3" w14:textId="77777777" w:rsidR="00AB3A3E" w:rsidRPr="004C3A0B" w:rsidRDefault="00AB3A3E" w:rsidP="005A5587">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r>
              <w:rPr>
                <w:rFonts w:ascii="Arial" w:hAnsi="Arial" w:cs="Arial"/>
                <w:sz w:val="22"/>
              </w:rPr>
              <w:t>. If you have identified in section D that there are no participants, then enter N/A and go skip to question 3.</w:t>
            </w:r>
          </w:p>
        </w:tc>
      </w:tr>
      <w:tr w:rsidR="00AB3A3E" w:rsidRPr="004C3A0B" w14:paraId="6898D3EE" w14:textId="77777777" w:rsidTr="005A5587">
        <w:tc>
          <w:tcPr>
            <w:tcW w:w="596" w:type="dxa"/>
            <w:tcBorders>
              <w:top w:val="single" w:sz="4" w:space="0" w:color="auto"/>
              <w:bottom w:val="single" w:sz="4" w:space="0" w:color="auto"/>
            </w:tcBorders>
            <w:vAlign w:val="center"/>
          </w:tcPr>
          <w:p w14:paraId="76BADD34" w14:textId="77777777" w:rsidR="00AB3A3E" w:rsidRPr="00CE0890" w:rsidRDefault="00AB3A3E" w:rsidP="005A5587">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79C50BFF" w14:textId="77777777" w:rsidR="00AB3A3E" w:rsidRPr="0026717F" w:rsidRDefault="00AB3A3E" w:rsidP="005A5587">
            <w:pPr>
              <w:autoSpaceDE w:val="0"/>
              <w:autoSpaceDN w:val="0"/>
              <w:adjustRightInd w:val="0"/>
              <w:rPr>
                <w:rFonts w:ascii="Arial" w:hAnsi="Arial" w:cs="Arial"/>
                <w:szCs w:val="24"/>
              </w:rPr>
            </w:pPr>
            <w:r w:rsidRPr="0026717F">
              <w:rPr>
                <w:rFonts w:ascii="Arial" w:hAnsi="Arial" w:cs="Arial"/>
                <w:szCs w:val="24"/>
              </w:rPr>
              <w:t>Risk to participants:</w:t>
            </w:r>
          </w:p>
          <w:p w14:paraId="176A3C6F" w14:textId="77777777" w:rsidR="00AB3A3E" w:rsidRPr="0026717F" w:rsidRDefault="00AB3A3E" w:rsidP="005A5587">
            <w:pPr>
              <w:autoSpaceDE w:val="0"/>
              <w:autoSpaceDN w:val="0"/>
              <w:adjustRightInd w:val="0"/>
              <w:rPr>
                <w:rFonts w:ascii="Arial" w:hAnsi="Arial" w:cs="Arial"/>
                <w:szCs w:val="24"/>
              </w:rPr>
            </w:pPr>
            <w:r w:rsidRPr="0026717F">
              <w:rPr>
                <w:szCs w:val="24"/>
              </w:rPr>
              <w:t>Participants may feel mild discomfort when thinking about workplace rights, fairness or commitment. There is also a small risk that participants could worry about being identified by their employer if they describe negative workplace experiences. Online survey data also carries a small confidentiality or data security risk.</w:t>
            </w:r>
          </w:p>
        </w:tc>
        <w:tc>
          <w:tcPr>
            <w:tcW w:w="4932" w:type="dxa"/>
            <w:tcBorders>
              <w:top w:val="single" w:sz="4" w:space="0" w:color="auto"/>
              <w:bottom w:val="single" w:sz="4" w:space="0" w:color="auto"/>
            </w:tcBorders>
          </w:tcPr>
          <w:p w14:paraId="619D3F78" w14:textId="77777777" w:rsidR="00AB3A3E" w:rsidRPr="0026717F" w:rsidRDefault="00AB3A3E" w:rsidP="005A5587">
            <w:pPr>
              <w:autoSpaceDE w:val="0"/>
              <w:autoSpaceDN w:val="0"/>
              <w:adjustRightInd w:val="0"/>
              <w:rPr>
                <w:rFonts w:cs="Arial"/>
                <w:i/>
                <w:szCs w:val="24"/>
              </w:rPr>
            </w:pPr>
            <w:r w:rsidRPr="0026717F">
              <w:rPr>
                <w:szCs w:val="24"/>
              </w:rPr>
              <w:t>The questionnaire will be anonymous. Names, email addresses, employer names and specific workplace locations will not be collected. Participants can skip any question they do not want to answer and can stop before submitting. The survey will not ask for detailed allegations against named employers. Data will be stored securely and used only for academic purposes.</w:t>
            </w:r>
          </w:p>
        </w:tc>
      </w:tr>
      <w:tr w:rsidR="00AB3A3E" w:rsidRPr="004C3A0B" w14:paraId="2323882F" w14:textId="77777777" w:rsidTr="005A5587">
        <w:tc>
          <w:tcPr>
            <w:tcW w:w="596" w:type="dxa"/>
            <w:tcBorders>
              <w:bottom w:val="single" w:sz="4" w:space="0" w:color="auto"/>
            </w:tcBorders>
            <w:shd w:val="clear" w:color="auto" w:fill="F2F2F2" w:themeFill="background1" w:themeFillShade="F2"/>
            <w:vAlign w:val="center"/>
          </w:tcPr>
          <w:p w14:paraId="4A073C88" w14:textId="77777777" w:rsidR="00AB3A3E" w:rsidRPr="00E32138" w:rsidRDefault="00AB3A3E" w:rsidP="005A5587">
            <w:pPr>
              <w:jc w:val="center"/>
              <w:rPr>
                <w:rFonts w:ascii="Arial" w:hAnsi="Arial" w:cs="Arial"/>
                <w:sz w:val="22"/>
              </w:rPr>
            </w:pPr>
            <w:r>
              <w:rPr>
                <w:rFonts w:ascii="Arial" w:hAnsi="Arial" w:cs="Arial"/>
                <w:sz w:val="22"/>
              </w:rPr>
              <w:t>2</w:t>
            </w:r>
          </w:p>
        </w:tc>
        <w:tc>
          <w:tcPr>
            <w:tcW w:w="9923" w:type="dxa"/>
            <w:gridSpan w:val="2"/>
            <w:tcBorders>
              <w:bottom w:val="single" w:sz="4" w:space="0" w:color="auto"/>
            </w:tcBorders>
            <w:shd w:val="clear" w:color="auto" w:fill="F2F2F2" w:themeFill="background1" w:themeFillShade="F2"/>
          </w:tcPr>
          <w:p w14:paraId="12AA1CE7" w14:textId="77777777" w:rsidR="00AB3A3E" w:rsidRPr="004C3A0B" w:rsidRDefault="00AB3A3E" w:rsidP="005A5587">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rPr>
              <w:t>where applicable, consent procedures should make it clear that if something potentially or actually illegal is discovered in the course of a project, it may need to be disclosed to the proper authorities</w:t>
            </w:r>
          </w:p>
        </w:tc>
      </w:tr>
      <w:tr w:rsidR="00AB3A3E" w:rsidRPr="004C3A0B" w14:paraId="3101B3C6" w14:textId="77777777" w:rsidTr="005A5587">
        <w:tc>
          <w:tcPr>
            <w:tcW w:w="596" w:type="dxa"/>
            <w:tcBorders>
              <w:top w:val="single" w:sz="4" w:space="0" w:color="auto"/>
              <w:bottom w:val="single" w:sz="4" w:space="0" w:color="auto"/>
            </w:tcBorders>
            <w:vAlign w:val="center"/>
          </w:tcPr>
          <w:p w14:paraId="252C4ABE" w14:textId="77777777" w:rsidR="00AB3A3E" w:rsidRPr="00CE0890" w:rsidRDefault="00AB3A3E" w:rsidP="005A5587">
            <w:pPr>
              <w:jc w:val="center"/>
              <w:rPr>
                <w:rFonts w:ascii="Arial" w:hAnsi="Arial" w:cs="Arial"/>
                <w:sz w:val="22"/>
              </w:rPr>
            </w:pPr>
          </w:p>
        </w:tc>
        <w:tc>
          <w:tcPr>
            <w:tcW w:w="9923" w:type="dxa"/>
            <w:gridSpan w:val="2"/>
            <w:tcBorders>
              <w:top w:val="single" w:sz="4" w:space="0" w:color="auto"/>
              <w:bottom w:val="single" w:sz="4" w:space="0" w:color="auto"/>
            </w:tcBorders>
          </w:tcPr>
          <w:p w14:paraId="2F3C226E" w14:textId="77777777" w:rsidR="00AB3A3E" w:rsidRPr="0026717F" w:rsidRDefault="00AB3A3E" w:rsidP="005A5587">
            <w:pPr>
              <w:autoSpaceDE w:val="0"/>
              <w:autoSpaceDN w:val="0"/>
              <w:adjustRightInd w:val="0"/>
              <w:rPr>
                <w:rFonts w:cs="Arial"/>
                <w:szCs w:val="24"/>
              </w:rPr>
            </w:pPr>
            <w:r w:rsidRPr="0026717F">
              <w:rPr>
                <w:szCs w:val="24"/>
              </w:rPr>
              <w:t xml:space="preserve">The research does not intentionally include sensitive, embarrassing or upsetting topics such as health, sexual activity, drug use, criminal activity or illegal behaviour. Some questions relate to workplace rights and fairness, which may be mildly sensitive for some participants. Participants will be reminded that they may skip questions, avoid naming employers or colleagues, and stop before submitting. If a </w:t>
            </w:r>
            <w:r w:rsidRPr="0026717F">
              <w:rPr>
                <w:szCs w:val="24"/>
              </w:rPr>
              <w:lastRenderedPageBreak/>
              <w:t>participant wants employment rights advice, the debrief page may signpost them to Acas or Citizens Advice.</w:t>
            </w:r>
          </w:p>
        </w:tc>
      </w:tr>
      <w:tr w:rsidR="00AB3A3E" w:rsidRPr="004C3A0B" w14:paraId="47DCE69E" w14:textId="77777777" w:rsidTr="005A5587">
        <w:tc>
          <w:tcPr>
            <w:tcW w:w="596" w:type="dxa"/>
            <w:tcBorders>
              <w:top w:val="single" w:sz="4" w:space="0" w:color="auto"/>
              <w:bottom w:val="single" w:sz="4" w:space="0" w:color="auto"/>
            </w:tcBorders>
            <w:shd w:val="clear" w:color="auto" w:fill="F2F2F2" w:themeFill="background1" w:themeFillShade="F2"/>
            <w:vAlign w:val="center"/>
          </w:tcPr>
          <w:p w14:paraId="295A764B" w14:textId="77777777" w:rsidR="00AB3A3E" w:rsidRPr="002132F9" w:rsidRDefault="00AB3A3E" w:rsidP="005A5587">
            <w:pPr>
              <w:jc w:val="center"/>
              <w:rPr>
                <w:rFonts w:ascii="Arial" w:hAnsi="Arial" w:cs="Arial"/>
                <w:sz w:val="22"/>
              </w:rPr>
            </w:pPr>
            <w:r>
              <w:rPr>
                <w:rFonts w:ascii="Arial" w:hAnsi="Arial" w:cs="Arial"/>
                <w:sz w:val="22"/>
              </w:rPr>
              <w:t>3</w:t>
            </w:r>
          </w:p>
        </w:tc>
        <w:tc>
          <w:tcPr>
            <w:tcW w:w="9923" w:type="dxa"/>
            <w:gridSpan w:val="2"/>
            <w:tcBorders>
              <w:top w:val="single" w:sz="4" w:space="0" w:color="auto"/>
              <w:bottom w:val="single" w:sz="4" w:space="0" w:color="auto"/>
            </w:tcBorders>
            <w:shd w:val="clear" w:color="auto" w:fill="F2F2F2" w:themeFill="background1" w:themeFillShade="F2"/>
          </w:tcPr>
          <w:p w14:paraId="0E78DA0A" w14:textId="77777777" w:rsidR="00AB3A3E" w:rsidRPr="004C3A0B" w:rsidRDefault="00AB3A3E" w:rsidP="005A5587">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4D516D5A" w14:textId="77777777" w:rsidR="00AB3A3E" w:rsidRPr="004C3A0B" w:rsidRDefault="00AB3A3E" w:rsidP="005A5587">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AB3A3E" w:rsidRPr="004C3A0B" w14:paraId="171C5E1E" w14:textId="77777777" w:rsidTr="005A5587">
        <w:tc>
          <w:tcPr>
            <w:tcW w:w="596" w:type="dxa"/>
            <w:tcBorders>
              <w:top w:val="single" w:sz="4" w:space="0" w:color="auto"/>
              <w:bottom w:val="single" w:sz="4" w:space="0" w:color="auto"/>
            </w:tcBorders>
            <w:vAlign w:val="center"/>
          </w:tcPr>
          <w:p w14:paraId="00881BD6" w14:textId="77777777" w:rsidR="00AB3A3E" w:rsidRPr="00CE0890" w:rsidRDefault="00AB3A3E" w:rsidP="005A5587">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00A08B75" w14:textId="77777777" w:rsidR="00AB3A3E" w:rsidRPr="0026717F" w:rsidRDefault="00AB3A3E" w:rsidP="005A5587">
            <w:pPr>
              <w:autoSpaceDE w:val="0"/>
              <w:autoSpaceDN w:val="0"/>
              <w:adjustRightInd w:val="0"/>
              <w:rPr>
                <w:rFonts w:ascii="Arial" w:hAnsi="Arial" w:cs="Arial"/>
                <w:szCs w:val="24"/>
              </w:rPr>
            </w:pPr>
            <w:r w:rsidRPr="0026717F">
              <w:rPr>
                <w:rFonts w:ascii="Arial" w:hAnsi="Arial" w:cs="Arial"/>
                <w:szCs w:val="24"/>
              </w:rPr>
              <w:t>Risk to the investigator:</w:t>
            </w:r>
          </w:p>
          <w:p w14:paraId="2A12A926" w14:textId="77777777" w:rsidR="00AB3A3E" w:rsidRPr="0026717F" w:rsidRDefault="00AB3A3E" w:rsidP="005A5587">
            <w:pPr>
              <w:autoSpaceDE w:val="0"/>
              <w:autoSpaceDN w:val="0"/>
              <w:adjustRightInd w:val="0"/>
              <w:rPr>
                <w:rFonts w:ascii="Arial" w:hAnsi="Arial" w:cs="Arial"/>
                <w:szCs w:val="24"/>
              </w:rPr>
            </w:pPr>
            <w:r w:rsidRPr="0026717F">
              <w:rPr>
                <w:szCs w:val="24"/>
              </w:rPr>
              <w:t>The researcher may face minor stress in managing recruitment, ensuring accurate data handling, and avoiding bias when interpreting results. There is also a small risk of receiving negative comments about workplaces if optional comments are included.</w:t>
            </w:r>
          </w:p>
        </w:tc>
        <w:tc>
          <w:tcPr>
            <w:tcW w:w="4932" w:type="dxa"/>
            <w:tcBorders>
              <w:top w:val="single" w:sz="4" w:space="0" w:color="auto"/>
              <w:bottom w:val="single" w:sz="4" w:space="0" w:color="auto"/>
            </w:tcBorders>
          </w:tcPr>
          <w:p w14:paraId="28EFEB23" w14:textId="77777777" w:rsidR="00AB3A3E" w:rsidRPr="0026717F" w:rsidRDefault="00AB3A3E" w:rsidP="005A5587">
            <w:pPr>
              <w:autoSpaceDE w:val="0"/>
              <w:autoSpaceDN w:val="0"/>
              <w:adjustRightInd w:val="0"/>
              <w:rPr>
                <w:rFonts w:cs="Arial"/>
                <w:szCs w:val="24"/>
              </w:rPr>
            </w:pPr>
            <w:r w:rsidRPr="0026717F">
              <w:rPr>
                <w:szCs w:val="24"/>
              </w:rPr>
              <w:t>The researcher will follow the approved ethics procedure, use only anonymised survey data, avoid collecting employer names, and seek supervisor guidance where needed. Data will be kept securely, and analysis will be reported objectively using aggregated results.</w:t>
            </w:r>
          </w:p>
        </w:tc>
      </w:tr>
      <w:tr w:rsidR="00AB3A3E" w:rsidRPr="004C3A0B" w14:paraId="311FDDCA" w14:textId="77777777" w:rsidTr="005A5587">
        <w:tc>
          <w:tcPr>
            <w:tcW w:w="596" w:type="dxa"/>
            <w:tcBorders>
              <w:top w:val="single" w:sz="4" w:space="0" w:color="auto"/>
              <w:bottom w:val="single" w:sz="4" w:space="0" w:color="auto"/>
            </w:tcBorders>
            <w:shd w:val="clear" w:color="auto" w:fill="F2F2F2" w:themeFill="background1" w:themeFillShade="F2"/>
            <w:vAlign w:val="center"/>
          </w:tcPr>
          <w:p w14:paraId="3653702A" w14:textId="77777777" w:rsidR="00AB3A3E" w:rsidRPr="002132F9" w:rsidRDefault="00AB3A3E" w:rsidP="005A5587">
            <w:pPr>
              <w:jc w:val="center"/>
              <w:rPr>
                <w:rFonts w:ascii="Arial" w:hAnsi="Arial" w:cs="Arial"/>
                <w:sz w:val="22"/>
              </w:rPr>
            </w:pPr>
            <w:r>
              <w:rPr>
                <w:rFonts w:ascii="Arial" w:hAnsi="Arial" w:cs="Arial"/>
                <w:sz w:val="22"/>
              </w:rPr>
              <w:t>4</w:t>
            </w:r>
          </w:p>
        </w:tc>
        <w:tc>
          <w:tcPr>
            <w:tcW w:w="9923" w:type="dxa"/>
            <w:gridSpan w:val="2"/>
            <w:tcBorders>
              <w:top w:val="single" w:sz="4" w:space="0" w:color="auto"/>
              <w:bottom w:val="single" w:sz="4" w:space="0" w:color="auto"/>
            </w:tcBorders>
            <w:shd w:val="clear" w:color="auto" w:fill="F2F2F2" w:themeFill="background1" w:themeFillShade="F2"/>
          </w:tcPr>
          <w:p w14:paraId="3A02D37D" w14:textId="77777777" w:rsidR="00AB3A3E" w:rsidRPr="004C3A0B" w:rsidRDefault="00AB3A3E" w:rsidP="005A5587">
            <w:pPr>
              <w:rPr>
                <w:rFonts w:ascii="Arial" w:hAnsi="Arial" w:cs="Arial"/>
                <w:sz w:val="22"/>
              </w:rPr>
            </w:pPr>
            <w:r w:rsidRPr="004C3A0B">
              <w:rPr>
                <w:rFonts w:ascii="Arial" w:hAnsi="Arial" w:cs="Arial"/>
                <w:b/>
                <w:sz w:val="22"/>
              </w:rPr>
              <w:t>University/institutional risks</w:t>
            </w:r>
          </w:p>
          <w:p w14:paraId="19782493" w14:textId="77777777" w:rsidR="00AB3A3E" w:rsidRPr="004C3A0B" w:rsidRDefault="00AB3A3E" w:rsidP="005A5587">
            <w:pPr>
              <w:rPr>
                <w:rFonts w:ascii="Arial" w:hAnsi="Arial" w:cs="Arial"/>
                <w:sz w:val="22"/>
              </w:rPr>
            </w:pPr>
            <w:r w:rsidRPr="004C3A0B">
              <w:rPr>
                <w:rFonts w:ascii="Arial" w:hAnsi="Arial" w:cs="Arial"/>
                <w:sz w:val="22"/>
              </w:rPr>
              <w:t>For example: adverse publicity, financial loss, data protection</w:t>
            </w:r>
          </w:p>
        </w:tc>
      </w:tr>
      <w:tr w:rsidR="00AB3A3E" w:rsidRPr="004C3A0B" w14:paraId="3927B9B0" w14:textId="77777777" w:rsidTr="005A5587">
        <w:tc>
          <w:tcPr>
            <w:tcW w:w="596" w:type="dxa"/>
            <w:tcBorders>
              <w:top w:val="single" w:sz="4" w:space="0" w:color="auto"/>
              <w:bottom w:val="single" w:sz="4" w:space="0" w:color="auto"/>
            </w:tcBorders>
            <w:vAlign w:val="center"/>
          </w:tcPr>
          <w:p w14:paraId="2E8C65AD" w14:textId="77777777" w:rsidR="00AB3A3E" w:rsidRPr="00CE0890" w:rsidRDefault="00AB3A3E" w:rsidP="005A5587">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5B2568C6" w14:textId="77777777" w:rsidR="00AB3A3E" w:rsidRPr="0026717F" w:rsidRDefault="00AB3A3E" w:rsidP="005A5587">
            <w:pPr>
              <w:autoSpaceDE w:val="0"/>
              <w:autoSpaceDN w:val="0"/>
              <w:adjustRightInd w:val="0"/>
              <w:rPr>
                <w:rFonts w:ascii="Arial" w:hAnsi="Arial" w:cs="Arial"/>
                <w:szCs w:val="24"/>
              </w:rPr>
            </w:pPr>
            <w:r w:rsidRPr="0026717F">
              <w:rPr>
                <w:rFonts w:ascii="Arial" w:hAnsi="Arial" w:cs="Arial"/>
                <w:szCs w:val="24"/>
              </w:rPr>
              <w:t>Risk to the University:</w:t>
            </w:r>
          </w:p>
          <w:p w14:paraId="45316658" w14:textId="77777777" w:rsidR="00AB3A3E" w:rsidRPr="0026717F" w:rsidRDefault="00AB3A3E" w:rsidP="005A5587">
            <w:pPr>
              <w:autoSpaceDE w:val="0"/>
              <w:autoSpaceDN w:val="0"/>
              <w:adjustRightInd w:val="0"/>
              <w:rPr>
                <w:rFonts w:ascii="Arial" w:hAnsi="Arial" w:cs="Arial"/>
                <w:szCs w:val="24"/>
              </w:rPr>
            </w:pPr>
            <w:r w:rsidRPr="0026717F">
              <w:rPr>
                <w:szCs w:val="24"/>
              </w:rPr>
              <w:lastRenderedPageBreak/>
              <w:t>The University may face a minor data protection or reputational risk if participant data is mishandled or if findings are presented unfairly.</w:t>
            </w:r>
          </w:p>
        </w:tc>
        <w:tc>
          <w:tcPr>
            <w:tcW w:w="4932" w:type="dxa"/>
            <w:tcBorders>
              <w:top w:val="single" w:sz="4" w:space="0" w:color="auto"/>
              <w:bottom w:val="single" w:sz="4" w:space="0" w:color="auto"/>
            </w:tcBorders>
          </w:tcPr>
          <w:p w14:paraId="133025D3" w14:textId="77777777" w:rsidR="00AB3A3E" w:rsidRPr="0026717F" w:rsidRDefault="00AB3A3E" w:rsidP="005A5587">
            <w:pPr>
              <w:autoSpaceDE w:val="0"/>
              <w:autoSpaceDN w:val="0"/>
              <w:adjustRightInd w:val="0"/>
              <w:rPr>
                <w:rFonts w:cs="Arial"/>
                <w:szCs w:val="24"/>
              </w:rPr>
            </w:pPr>
            <w:r w:rsidRPr="0026717F">
              <w:rPr>
                <w:szCs w:val="24"/>
              </w:rPr>
              <w:lastRenderedPageBreak/>
              <w:t xml:space="preserve">The study will follow the University ethics guidance, GDPR/DPA 2018 requirements and the approved data management plan. Findings will be </w:t>
            </w:r>
            <w:r w:rsidRPr="0026717F">
              <w:rPr>
                <w:szCs w:val="24"/>
              </w:rPr>
              <w:lastRenderedPageBreak/>
              <w:t>reported in an anonymised and balanced way. No individual participants or employers will be identified.</w:t>
            </w:r>
          </w:p>
        </w:tc>
      </w:tr>
      <w:tr w:rsidR="00AB3A3E" w:rsidRPr="004C3A0B" w14:paraId="12C2E326" w14:textId="77777777" w:rsidTr="005A5587">
        <w:tc>
          <w:tcPr>
            <w:tcW w:w="596" w:type="dxa"/>
            <w:tcBorders>
              <w:top w:val="single" w:sz="4" w:space="0" w:color="auto"/>
              <w:bottom w:val="single" w:sz="4" w:space="0" w:color="auto"/>
            </w:tcBorders>
            <w:shd w:val="clear" w:color="auto" w:fill="F2F2F2" w:themeFill="background1" w:themeFillShade="F2"/>
            <w:vAlign w:val="center"/>
          </w:tcPr>
          <w:p w14:paraId="440B6AF5" w14:textId="77777777" w:rsidR="00AB3A3E" w:rsidRPr="002132F9" w:rsidRDefault="00AB3A3E" w:rsidP="005A5587">
            <w:pPr>
              <w:jc w:val="center"/>
              <w:rPr>
                <w:rFonts w:ascii="Arial" w:hAnsi="Arial" w:cs="Arial"/>
                <w:sz w:val="22"/>
              </w:rPr>
            </w:pPr>
            <w:r>
              <w:rPr>
                <w:rFonts w:ascii="Arial" w:hAnsi="Arial" w:cs="Arial"/>
                <w:sz w:val="22"/>
              </w:rPr>
              <w:t>5</w:t>
            </w:r>
          </w:p>
        </w:tc>
        <w:tc>
          <w:tcPr>
            <w:tcW w:w="9923" w:type="dxa"/>
            <w:gridSpan w:val="2"/>
            <w:tcBorders>
              <w:top w:val="single" w:sz="4" w:space="0" w:color="auto"/>
              <w:bottom w:val="single" w:sz="4" w:space="0" w:color="auto"/>
            </w:tcBorders>
            <w:shd w:val="clear" w:color="auto" w:fill="F2F2F2" w:themeFill="background1" w:themeFillShade="F2"/>
          </w:tcPr>
          <w:p w14:paraId="05130090" w14:textId="77777777" w:rsidR="00AB3A3E" w:rsidRPr="004C3A0B" w:rsidRDefault="00AB3A3E" w:rsidP="005A5587">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450959B2" w14:textId="77777777" w:rsidR="00AB3A3E" w:rsidRPr="004C3A0B" w:rsidRDefault="00AB3A3E" w:rsidP="005A5587">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AB3A3E" w:rsidRPr="004C3A0B" w14:paraId="337CD799" w14:textId="77777777" w:rsidTr="005A5587">
        <w:tc>
          <w:tcPr>
            <w:tcW w:w="596" w:type="dxa"/>
            <w:tcBorders>
              <w:top w:val="single" w:sz="4" w:space="0" w:color="auto"/>
              <w:bottom w:val="single" w:sz="4" w:space="0" w:color="auto"/>
            </w:tcBorders>
            <w:vAlign w:val="center"/>
          </w:tcPr>
          <w:p w14:paraId="5990E858" w14:textId="77777777" w:rsidR="00AB3A3E" w:rsidRPr="00CE0890" w:rsidRDefault="00AB3A3E" w:rsidP="005A5587">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272E5302" w14:textId="77777777" w:rsidR="00AB3A3E" w:rsidRPr="0026717F" w:rsidRDefault="00AB3A3E" w:rsidP="005A5587">
            <w:pPr>
              <w:autoSpaceDE w:val="0"/>
              <w:autoSpaceDN w:val="0"/>
              <w:adjustRightInd w:val="0"/>
              <w:rPr>
                <w:rFonts w:ascii="Arial" w:hAnsi="Arial" w:cs="Arial"/>
                <w:szCs w:val="24"/>
              </w:rPr>
            </w:pPr>
            <w:r w:rsidRPr="0026717F">
              <w:rPr>
                <w:rFonts w:ascii="Arial" w:hAnsi="Arial" w:cs="Arial"/>
                <w:szCs w:val="24"/>
              </w:rPr>
              <w:t>Risk to the environment:</w:t>
            </w:r>
          </w:p>
          <w:p w14:paraId="373341CD" w14:textId="77777777" w:rsidR="00AB3A3E" w:rsidRPr="0026717F" w:rsidRDefault="00AB3A3E" w:rsidP="005A5587">
            <w:pPr>
              <w:autoSpaceDE w:val="0"/>
              <w:autoSpaceDN w:val="0"/>
              <w:adjustRightInd w:val="0"/>
              <w:rPr>
                <w:rFonts w:ascii="Arial" w:hAnsi="Arial" w:cs="Arial"/>
                <w:szCs w:val="24"/>
              </w:rPr>
            </w:pPr>
            <w:r w:rsidRPr="0026717F">
              <w:rPr>
                <w:szCs w:val="24"/>
              </w:rPr>
              <w:t>The environmental risk is very low because the research will be conducted online and will not involve travel, paper questionnaires, laboratory work or physical materials.</w:t>
            </w:r>
          </w:p>
        </w:tc>
        <w:tc>
          <w:tcPr>
            <w:tcW w:w="4932" w:type="dxa"/>
            <w:tcBorders>
              <w:top w:val="single" w:sz="4" w:space="0" w:color="auto"/>
              <w:bottom w:val="single" w:sz="4" w:space="0" w:color="auto"/>
            </w:tcBorders>
          </w:tcPr>
          <w:p w14:paraId="447039A7" w14:textId="77777777" w:rsidR="00AB3A3E" w:rsidRPr="0026717F" w:rsidRDefault="00AB3A3E" w:rsidP="005A5587">
            <w:pPr>
              <w:autoSpaceDE w:val="0"/>
              <w:autoSpaceDN w:val="0"/>
              <w:adjustRightInd w:val="0"/>
              <w:rPr>
                <w:rFonts w:ascii="Arial" w:hAnsi="Arial" w:cs="Arial"/>
                <w:i/>
                <w:szCs w:val="24"/>
              </w:rPr>
            </w:pPr>
            <w:r w:rsidRPr="0026717F">
              <w:rPr>
                <w:rFonts w:ascii="Arial" w:hAnsi="Arial" w:cs="Arial"/>
                <w:i/>
                <w:szCs w:val="24"/>
              </w:rPr>
              <w:t>How you will mitigate the risk to environment:</w:t>
            </w:r>
          </w:p>
          <w:p w14:paraId="20608FE4" w14:textId="77777777" w:rsidR="00AB3A3E" w:rsidRPr="0026717F" w:rsidRDefault="00AB3A3E" w:rsidP="005A5587">
            <w:pPr>
              <w:autoSpaceDE w:val="0"/>
              <w:autoSpaceDN w:val="0"/>
              <w:adjustRightInd w:val="0"/>
              <w:rPr>
                <w:rFonts w:cs="Arial"/>
                <w:szCs w:val="24"/>
              </w:rPr>
            </w:pPr>
            <w:r w:rsidRPr="0026717F">
              <w:rPr>
                <w:szCs w:val="24"/>
              </w:rPr>
              <w:t>The survey will be distributed digitally through Google Forms. No printing will be required unless the University requests a printed copy of the final submission. Digital files will be stored securely and deleted according to the data management plan.</w:t>
            </w:r>
          </w:p>
        </w:tc>
      </w:tr>
    </w:tbl>
    <w:p w14:paraId="5767E425" w14:textId="77777777" w:rsidR="00AB3A3E" w:rsidRDefault="00AB3A3E" w:rsidP="00AB3A3E"/>
    <w:p w14:paraId="47A837EE" w14:textId="77777777" w:rsidR="00AB3A3E" w:rsidRDefault="00AB3A3E" w:rsidP="00AB3A3E">
      <w:pPr>
        <w:rPr>
          <w:rFonts w:ascii="Arial" w:hAnsi="Arial" w:cs="Arial"/>
          <w:b/>
          <w:sz w:val="22"/>
        </w:rPr>
      </w:pPr>
      <w:r w:rsidRPr="00354F34">
        <w:rPr>
          <w:rFonts w:ascii="Arial" w:hAnsi="Arial" w:cs="Arial"/>
          <w:b/>
          <w:sz w:val="22"/>
        </w:rPr>
        <w:t xml:space="preserve">SECTION </w:t>
      </w:r>
      <w:r>
        <w:rPr>
          <w:rFonts w:ascii="Arial" w:hAnsi="Arial" w:cs="Arial"/>
          <w:b/>
          <w:sz w:val="22"/>
        </w:rPr>
        <w:t>G</w:t>
      </w:r>
      <w:r w:rsidRPr="00354F34">
        <w:rPr>
          <w:rFonts w:ascii="Arial" w:hAnsi="Arial" w:cs="Arial"/>
          <w:b/>
          <w:sz w:val="22"/>
        </w:rPr>
        <w:t>: Feedback, Consent and Confidentiality</w:t>
      </w:r>
    </w:p>
    <w:p w14:paraId="1B769329" w14:textId="77777777" w:rsidR="00AB3A3E" w:rsidRDefault="00AB3A3E" w:rsidP="00AB3A3E">
      <w:pPr>
        <w:rPr>
          <w:rFonts w:ascii="Arial" w:hAnsi="Arial" w:cs="Arial"/>
          <w:b/>
          <w:sz w:val="22"/>
        </w:rPr>
      </w:pPr>
    </w:p>
    <w:p w14:paraId="2EF83C60" w14:textId="77777777" w:rsidR="00AB3A3E" w:rsidRDefault="00AB3A3E" w:rsidP="00AB3A3E">
      <w:pPr>
        <w:rPr>
          <w:rFonts w:ascii="Arial" w:hAnsi="Arial" w:cs="Arial"/>
          <w:sz w:val="22"/>
        </w:rPr>
      </w:pPr>
      <w:r>
        <w:rPr>
          <w:rFonts w:ascii="Arial" w:hAnsi="Arial" w:cs="Arial"/>
          <w:sz w:val="22"/>
        </w:rPr>
        <w:t>If you have identified in section D that there are no participants, then enter skip this section and continue to section H.</w:t>
      </w:r>
    </w:p>
    <w:p w14:paraId="0430F65C" w14:textId="77777777" w:rsidR="00AB3A3E" w:rsidRPr="00354F34" w:rsidRDefault="00AB3A3E" w:rsidP="00AB3A3E">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B3A3E" w:rsidRPr="004C3A0B" w14:paraId="094FEFB3" w14:textId="77777777" w:rsidTr="005A5587">
        <w:tc>
          <w:tcPr>
            <w:tcW w:w="596" w:type="dxa"/>
            <w:tcBorders>
              <w:top w:val="single" w:sz="4" w:space="0" w:color="auto"/>
              <w:bottom w:val="single" w:sz="4" w:space="0" w:color="auto"/>
            </w:tcBorders>
            <w:shd w:val="clear" w:color="auto" w:fill="F2F2F2" w:themeFill="background1" w:themeFillShade="F2"/>
          </w:tcPr>
          <w:p w14:paraId="6567E5D6" w14:textId="77777777" w:rsidR="00AB3A3E" w:rsidRPr="002132F9" w:rsidRDefault="00AB3A3E" w:rsidP="005A5587">
            <w:pPr>
              <w:rPr>
                <w:rFonts w:ascii="Arial" w:hAnsi="Arial" w:cs="Arial"/>
                <w:bCs/>
                <w:sz w:val="22"/>
              </w:rPr>
            </w:pPr>
            <w:r w:rsidRPr="002132F9">
              <w:rPr>
                <w:rFonts w:ascii="Arial" w:hAnsi="Arial" w:cs="Arial"/>
                <w:bCs/>
                <w:sz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5DE92858" w14:textId="77777777" w:rsidR="00AB3A3E" w:rsidRPr="004C3A0B" w:rsidRDefault="00AB3A3E" w:rsidP="005A5587">
            <w:pPr>
              <w:rPr>
                <w:rFonts w:ascii="Arial" w:hAnsi="Arial" w:cs="Arial"/>
                <w:sz w:val="22"/>
              </w:rPr>
            </w:pPr>
            <w:r w:rsidRPr="004C3A0B">
              <w:rPr>
                <w:rFonts w:ascii="Arial" w:hAnsi="Arial" w:cs="Arial"/>
                <w:b/>
                <w:sz w:val="22"/>
              </w:rPr>
              <w:t>Feedback</w:t>
            </w:r>
          </w:p>
          <w:p w14:paraId="54BD9D7F" w14:textId="77777777" w:rsidR="00AB3A3E" w:rsidRPr="004C3A0B" w:rsidRDefault="00AB3A3E" w:rsidP="005A5587">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AB3A3E" w:rsidRPr="004C3A0B" w14:paraId="2825DF42" w14:textId="77777777" w:rsidTr="005A5587">
        <w:tc>
          <w:tcPr>
            <w:tcW w:w="596" w:type="dxa"/>
            <w:tcBorders>
              <w:top w:val="single" w:sz="4" w:space="0" w:color="auto"/>
              <w:bottom w:val="single" w:sz="4" w:space="0" w:color="auto"/>
            </w:tcBorders>
          </w:tcPr>
          <w:p w14:paraId="5AAB6258" w14:textId="77777777" w:rsidR="00AB3A3E" w:rsidRPr="00E32138" w:rsidRDefault="00AB3A3E" w:rsidP="005A5587">
            <w:pPr>
              <w:rPr>
                <w:rFonts w:ascii="Arial" w:hAnsi="Arial" w:cs="Arial"/>
                <w:bCs/>
                <w:sz w:val="22"/>
              </w:rPr>
            </w:pPr>
          </w:p>
        </w:tc>
        <w:tc>
          <w:tcPr>
            <w:tcW w:w="9923" w:type="dxa"/>
            <w:tcBorders>
              <w:top w:val="single" w:sz="4" w:space="0" w:color="auto"/>
              <w:bottom w:val="single" w:sz="4" w:space="0" w:color="auto"/>
            </w:tcBorders>
          </w:tcPr>
          <w:p w14:paraId="7BE8AC45" w14:textId="77777777" w:rsidR="00AB3A3E" w:rsidRPr="0026717F" w:rsidRDefault="00AB3A3E" w:rsidP="005A5587">
            <w:pPr>
              <w:autoSpaceDE w:val="0"/>
              <w:autoSpaceDN w:val="0"/>
              <w:adjustRightInd w:val="0"/>
              <w:rPr>
                <w:rFonts w:cs="Arial"/>
                <w:szCs w:val="24"/>
              </w:rPr>
            </w:pPr>
            <w:r w:rsidRPr="0026717F">
              <w:rPr>
                <w:szCs w:val="24"/>
              </w:rPr>
              <w:t>After completing the questionnaire, participants will see a short debrief message thanking them and reminding them of the purpose of the study. The debrief will state that the data will be used only for academic research and reported anonymously. A contact email for the researcher and/or supervisor can be provided so participants may request further information about the study.</w:t>
            </w:r>
          </w:p>
        </w:tc>
      </w:tr>
      <w:tr w:rsidR="00AB3A3E" w:rsidRPr="004C3A0B" w14:paraId="4A297846" w14:textId="77777777" w:rsidTr="005A5587">
        <w:tc>
          <w:tcPr>
            <w:tcW w:w="596" w:type="dxa"/>
            <w:tcBorders>
              <w:top w:val="single" w:sz="4" w:space="0" w:color="auto"/>
              <w:bottom w:val="single" w:sz="4" w:space="0" w:color="auto"/>
            </w:tcBorders>
            <w:shd w:val="clear" w:color="auto" w:fill="F2F2F2" w:themeFill="background1" w:themeFillShade="F2"/>
          </w:tcPr>
          <w:p w14:paraId="4FF2BB1F" w14:textId="77777777" w:rsidR="00AB3A3E" w:rsidRPr="002132F9" w:rsidRDefault="00AB3A3E" w:rsidP="005A5587">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14:paraId="2E016D6E" w14:textId="77777777" w:rsidR="00AB3A3E" w:rsidRPr="004C3A0B" w:rsidRDefault="00AB3A3E" w:rsidP="005A5587">
            <w:pPr>
              <w:rPr>
                <w:rFonts w:ascii="Arial" w:hAnsi="Arial" w:cs="Arial"/>
                <w:sz w:val="22"/>
              </w:rPr>
            </w:pPr>
            <w:r w:rsidRPr="004C3A0B">
              <w:rPr>
                <w:rFonts w:ascii="Arial" w:hAnsi="Arial" w:cs="Arial"/>
                <w:b/>
                <w:sz w:val="22"/>
              </w:rPr>
              <w:t>Informed consent</w:t>
            </w:r>
          </w:p>
          <w:p w14:paraId="07CFCE49"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rPr>
              <w:t xml:space="preserve"> in accordance with prevailing data protection legislation.</w:t>
            </w:r>
          </w:p>
        </w:tc>
      </w:tr>
      <w:tr w:rsidR="00AB3A3E" w:rsidRPr="004C3A0B" w14:paraId="659DA0EA" w14:textId="77777777" w:rsidTr="005A5587">
        <w:tc>
          <w:tcPr>
            <w:tcW w:w="596" w:type="dxa"/>
            <w:tcBorders>
              <w:top w:val="single" w:sz="4" w:space="0" w:color="auto"/>
              <w:bottom w:val="single" w:sz="4" w:space="0" w:color="auto"/>
            </w:tcBorders>
          </w:tcPr>
          <w:p w14:paraId="33F7E049" w14:textId="77777777" w:rsidR="00AB3A3E" w:rsidRPr="00E32138" w:rsidRDefault="00AB3A3E" w:rsidP="005A5587">
            <w:pPr>
              <w:rPr>
                <w:rFonts w:ascii="Arial" w:hAnsi="Arial" w:cs="Arial"/>
                <w:bCs/>
                <w:sz w:val="22"/>
              </w:rPr>
            </w:pPr>
          </w:p>
        </w:tc>
        <w:tc>
          <w:tcPr>
            <w:tcW w:w="9923" w:type="dxa"/>
            <w:tcBorders>
              <w:top w:val="single" w:sz="4" w:space="0" w:color="auto"/>
              <w:bottom w:val="single" w:sz="4" w:space="0" w:color="auto"/>
            </w:tcBorders>
          </w:tcPr>
          <w:p w14:paraId="4764159A" w14:textId="77777777" w:rsidR="00AB3A3E" w:rsidRPr="0026717F" w:rsidRDefault="00AB3A3E" w:rsidP="005A5587">
            <w:pPr>
              <w:autoSpaceDE w:val="0"/>
              <w:autoSpaceDN w:val="0"/>
              <w:adjustRightInd w:val="0"/>
              <w:rPr>
                <w:rFonts w:cs="Arial"/>
                <w:szCs w:val="24"/>
              </w:rPr>
            </w:pPr>
            <w:r w:rsidRPr="0026717F">
              <w:rPr>
                <w:szCs w:val="24"/>
              </w:rPr>
              <w:t>The first page of the Google Form will act as an information and consent page. It will explain the research title, purpose, what participation involves, approximate completion time, voluntary nature of participation, confidentiality, data storage and right to withdraw before submission. Participants will confirm consent by ticking a consent box and selecting Next/Submit to continue. Those who do not consent will be advised not to complete the questionnaire.</w:t>
            </w:r>
          </w:p>
        </w:tc>
      </w:tr>
      <w:tr w:rsidR="00AB3A3E" w:rsidRPr="004C3A0B" w14:paraId="541736F6" w14:textId="77777777" w:rsidTr="005A5587">
        <w:tc>
          <w:tcPr>
            <w:tcW w:w="596" w:type="dxa"/>
            <w:tcBorders>
              <w:top w:val="single" w:sz="4" w:space="0" w:color="auto"/>
              <w:bottom w:val="single" w:sz="4" w:space="0" w:color="auto"/>
            </w:tcBorders>
            <w:shd w:val="clear" w:color="auto" w:fill="F2F2F2" w:themeFill="background1" w:themeFillShade="F2"/>
          </w:tcPr>
          <w:p w14:paraId="6B332764" w14:textId="77777777" w:rsidR="00AB3A3E" w:rsidRPr="002132F9" w:rsidRDefault="00AB3A3E" w:rsidP="005A5587">
            <w:pPr>
              <w:rPr>
                <w:rFonts w:ascii="Arial" w:hAnsi="Arial" w:cs="Arial"/>
                <w:bCs/>
                <w:sz w:val="22"/>
              </w:rPr>
            </w:pPr>
            <w:r>
              <w:rPr>
                <w:rFonts w:ascii="Arial" w:hAnsi="Arial" w:cs="Arial"/>
                <w:bCs/>
                <w:sz w:val="22"/>
              </w:rPr>
              <w:t>3</w:t>
            </w:r>
          </w:p>
        </w:tc>
        <w:tc>
          <w:tcPr>
            <w:tcW w:w="9923" w:type="dxa"/>
            <w:tcBorders>
              <w:top w:val="single" w:sz="4" w:space="0" w:color="auto"/>
              <w:bottom w:val="single" w:sz="4" w:space="0" w:color="auto"/>
            </w:tcBorders>
            <w:shd w:val="clear" w:color="auto" w:fill="F2F2F2" w:themeFill="background1" w:themeFillShade="F2"/>
          </w:tcPr>
          <w:p w14:paraId="247B273C" w14:textId="77777777" w:rsidR="00AB3A3E" w:rsidRPr="004C3A0B" w:rsidRDefault="00AB3A3E" w:rsidP="005A5587">
            <w:pPr>
              <w:rPr>
                <w:rFonts w:ascii="Arial" w:hAnsi="Arial" w:cs="Arial"/>
                <w:b/>
                <w:sz w:val="22"/>
              </w:rPr>
            </w:pPr>
            <w:r w:rsidRPr="004C3A0B">
              <w:rPr>
                <w:rFonts w:ascii="Arial" w:hAnsi="Arial" w:cs="Arial"/>
                <w:b/>
                <w:sz w:val="22"/>
              </w:rPr>
              <w:t>Confidentiality / Anonymity</w:t>
            </w:r>
          </w:p>
          <w:p w14:paraId="239CDEAC" w14:textId="77777777" w:rsidR="00AB3A3E" w:rsidRPr="004C3A0B" w:rsidRDefault="00AB3A3E" w:rsidP="005A5587">
            <w:pPr>
              <w:rPr>
                <w:rFonts w:ascii="Arial" w:hAnsi="Arial" w:cs="Arial"/>
                <w:sz w:val="22"/>
              </w:rPr>
            </w:pPr>
            <w:r w:rsidRPr="004C3A0B">
              <w:rPr>
                <w:rFonts w:ascii="Arial" w:hAnsi="Arial" w:cs="Arial"/>
                <w:sz w:val="22"/>
              </w:rPr>
              <w:lastRenderedPageBreak/>
              <w:t xml:space="preserve">Set out how anonymity of participants and confidentiality will be ensured in any outputs. If anonymity is not being offered, explain why this is the case. </w:t>
            </w:r>
          </w:p>
        </w:tc>
      </w:tr>
      <w:tr w:rsidR="00AB3A3E" w:rsidRPr="004C3A0B" w14:paraId="5FDF39A7" w14:textId="77777777" w:rsidTr="005A5587">
        <w:tc>
          <w:tcPr>
            <w:tcW w:w="596" w:type="dxa"/>
            <w:tcBorders>
              <w:top w:val="single" w:sz="4" w:space="0" w:color="auto"/>
              <w:bottom w:val="single" w:sz="4" w:space="0" w:color="auto"/>
            </w:tcBorders>
          </w:tcPr>
          <w:p w14:paraId="19A46A57" w14:textId="77777777" w:rsidR="00AB3A3E" w:rsidRPr="00E32138" w:rsidRDefault="00AB3A3E" w:rsidP="005A5587">
            <w:pPr>
              <w:rPr>
                <w:rFonts w:ascii="Arial" w:hAnsi="Arial" w:cs="Arial"/>
                <w:bCs/>
                <w:sz w:val="22"/>
              </w:rPr>
            </w:pPr>
          </w:p>
        </w:tc>
        <w:tc>
          <w:tcPr>
            <w:tcW w:w="9923" w:type="dxa"/>
            <w:tcBorders>
              <w:top w:val="single" w:sz="4" w:space="0" w:color="auto"/>
              <w:bottom w:val="single" w:sz="4" w:space="0" w:color="auto"/>
            </w:tcBorders>
          </w:tcPr>
          <w:p w14:paraId="53903F74" w14:textId="77777777" w:rsidR="00AB3A3E" w:rsidRPr="0026717F" w:rsidRDefault="00AB3A3E" w:rsidP="005A5587">
            <w:pPr>
              <w:autoSpaceDE w:val="0"/>
              <w:autoSpaceDN w:val="0"/>
              <w:adjustRightInd w:val="0"/>
              <w:rPr>
                <w:rFonts w:cs="Arial"/>
                <w:szCs w:val="24"/>
              </w:rPr>
            </w:pPr>
            <w:r w:rsidRPr="0026717F">
              <w:rPr>
                <w:szCs w:val="24"/>
              </w:rPr>
              <w:t>The survey will be anonymous. The researcher will not collect names, email addresses, employer names, exact workplace locations or any information intended to identify individuals. Results will be reported only in summary form, such as percentages, frequencies, means and general patterns. If optional comments are used, any identifying details will be removed or paraphrased before inclusion in the dissertation.</w:t>
            </w:r>
          </w:p>
        </w:tc>
      </w:tr>
    </w:tbl>
    <w:p w14:paraId="11B3A6D2" w14:textId="77777777" w:rsidR="00AB3A3E" w:rsidRPr="004C3A0B" w:rsidRDefault="00AB3A3E" w:rsidP="00AB3A3E">
      <w:pPr>
        <w:rPr>
          <w:rFonts w:ascii="Arial" w:hAnsi="Arial" w:cs="Arial"/>
          <w:sz w:val="22"/>
        </w:rPr>
      </w:pPr>
    </w:p>
    <w:p w14:paraId="34137006" w14:textId="77777777" w:rsidR="00AB3A3E" w:rsidRDefault="00AB3A3E" w:rsidP="00AB3A3E">
      <w:pPr>
        <w:rPr>
          <w:rFonts w:ascii="Arial" w:hAnsi="Arial" w:cs="Arial"/>
          <w:b/>
          <w:sz w:val="22"/>
        </w:rPr>
      </w:pPr>
      <w:r>
        <w:rPr>
          <w:rFonts w:ascii="Arial" w:hAnsi="Arial" w:cs="Arial"/>
          <w:b/>
          <w:sz w:val="22"/>
        </w:rPr>
        <w:t>SECTION H</w:t>
      </w:r>
      <w:r w:rsidRPr="00354F34">
        <w:rPr>
          <w:rFonts w:ascii="Arial" w:hAnsi="Arial" w:cs="Arial"/>
          <w:b/>
          <w:sz w:val="22"/>
        </w:rPr>
        <w:t>: Data Protection and Storage</w:t>
      </w:r>
    </w:p>
    <w:p w14:paraId="68BD76AF" w14:textId="77777777" w:rsidR="00AB3A3E" w:rsidRPr="00354F34" w:rsidRDefault="00AB3A3E" w:rsidP="00AB3A3E">
      <w:pPr>
        <w:rPr>
          <w:rFonts w:ascii="Arial" w:hAnsi="Arial"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B3A3E" w14:paraId="06F6782E" w14:textId="77777777" w:rsidTr="005A55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7F15FA" w14:textId="77777777" w:rsidR="00AB3A3E" w:rsidRDefault="00AB3A3E" w:rsidP="005A558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7B0211" w14:textId="77777777" w:rsidR="00AB3A3E" w:rsidRDefault="00AB3A3E" w:rsidP="005A558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B35BF"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9A5B3"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3A3E" w14:paraId="5591AD96" w14:textId="77777777" w:rsidTr="005A55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6D405F" w14:textId="77777777" w:rsidR="00AB3A3E" w:rsidRPr="00CF6CA5" w:rsidRDefault="00AB3A3E" w:rsidP="005A5587">
            <w:pPr>
              <w:pStyle w:val="NormalWeb"/>
              <w:autoSpaceDE w:val="0"/>
              <w:autoSpaceDN w:val="0"/>
              <w:adjustRightInd w:val="0"/>
              <w:spacing w:before="0" w:after="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4B572D" w14:textId="77777777" w:rsidR="00AB3A3E" w:rsidRDefault="00AB3A3E" w:rsidP="005A5587">
            <w:pPr>
              <w:pStyle w:val="NormalWeb"/>
              <w:autoSpaceDE w:val="0"/>
              <w:autoSpaceDN w:val="0"/>
              <w:adjustRightInd w:val="0"/>
              <w:spacing w:before="0" w:after="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Pr="00354F34">
              <w:rPr>
                <w:rFonts w:ascii="Arial" w:hAnsi="Arial" w:cs="Arial"/>
                <w:i/>
                <w:iCs/>
                <w:color w:val="333333"/>
                <w:sz w:val="22"/>
                <w:shd w:val="clear" w:color="auto" w:fill="F2F2F2" w:themeFill="background1" w:themeFillShade="F2"/>
              </w:rPr>
              <w:lastRenderedPageBreak/>
              <w:t>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rPr>
              <w:id w:val="-992950479"/>
              <w14:checkbox>
                <w14:checked w14:val="0"/>
                <w14:checkedState w14:val="2612" w14:font="MS Gothic"/>
                <w14:uncheckedState w14:val="2610" w14:font="MS Gothic"/>
              </w14:checkbox>
            </w:sdtPr>
            <w:sdtContent>
              <w:p w14:paraId="2F5C2AF2" w14:textId="77777777" w:rsidR="00AB3A3E" w:rsidRPr="0026717F"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rPr>
              <w:id w:val="-702783315"/>
              <w14:checkbox>
                <w14:checked w14:val="1"/>
                <w14:checkedState w14:val="2612" w14:font="MS Gothic"/>
                <w14:uncheckedState w14:val="2610" w14:font="MS Gothic"/>
              </w14:checkbox>
            </w:sdtPr>
            <w:sdtContent>
              <w:p w14:paraId="7DE85855" w14:textId="77777777" w:rsidR="00AB3A3E" w:rsidRPr="00F26405" w:rsidRDefault="00AB3A3E" w:rsidP="005A5587">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r w:rsidR="00AB3A3E" w14:paraId="384442A0" w14:textId="77777777" w:rsidTr="005A55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D454F" w14:textId="77777777" w:rsidR="00AB3A3E" w:rsidRDefault="00AB3A3E" w:rsidP="005A558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18BE2C" w14:textId="77777777" w:rsidR="00AB3A3E" w:rsidRDefault="00AB3A3E" w:rsidP="005A55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B3A3E" w14:paraId="758A47D8" w14:textId="77777777" w:rsidTr="005A558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DBCC726" w14:textId="77777777" w:rsidR="00AB3A3E" w:rsidRDefault="00AB3A3E" w:rsidP="005A5587">
            <w:pPr>
              <w:jc w:val="center"/>
              <w:rPr>
                <w:rFonts w:ascii="Arial" w:hAnsi="Arial" w:cs="Arial"/>
                <w:sz w:val="22"/>
              </w:rPr>
            </w:pPr>
            <w:r>
              <w:rPr>
                <w:rFonts w:ascii="Arial" w:hAnsi="Arial"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30BA2C" w14:textId="77777777" w:rsidR="00AB3A3E" w:rsidRPr="004033FC" w:rsidRDefault="00AB3A3E" w:rsidP="005A5587">
            <w:pPr>
              <w:rPr>
                <w:rFonts w:ascii="Arial" w:hAnsi="Arial" w:cs="Arial"/>
                <w:color w:val="00B050"/>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62FAC1" w14:textId="77777777" w:rsidR="00AB3A3E" w:rsidRPr="004C3A0B" w:rsidRDefault="00AB3A3E" w:rsidP="005A5587">
            <w:pPr>
              <w:rPr>
                <w:rFonts w:ascii="Arial" w:hAnsi="Arial" w:cs="Arial"/>
                <w:sz w:val="22"/>
              </w:rPr>
            </w:pPr>
          </w:p>
          <w:p w14:paraId="663AB6F8" w14:textId="77777777" w:rsidR="00AB3A3E" w:rsidRPr="00354F34" w:rsidRDefault="00AB3A3E" w:rsidP="005A5587">
            <w:pPr>
              <w:autoSpaceDE w:val="0"/>
              <w:autoSpaceDN w:val="0"/>
              <w:adjustRightInd w:val="0"/>
              <w:rPr>
                <w:i/>
              </w:rPr>
            </w:pPr>
            <w:r w:rsidRPr="003257BD">
              <w:rPr>
                <w:rFonts w:ascii="Arial" w:hAnsi="Arial" w:cs="Arial"/>
                <w:i/>
                <w:color w:val="808080"/>
                <w:sz w:val="18"/>
                <w:szCs w:val="18"/>
              </w:rPr>
              <w:t>(this box should expand as you type)</w:t>
            </w:r>
          </w:p>
        </w:tc>
      </w:tr>
      <w:tr w:rsidR="00AB3A3E" w14:paraId="78BB21EC" w14:textId="77777777" w:rsidTr="005A55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F31E0E" w14:textId="77777777" w:rsidR="00AB3A3E" w:rsidRDefault="00AB3A3E" w:rsidP="005A5587">
            <w:pPr>
              <w:pStyle w:val="NormalWeb"/>
              <w:autoSpaceDE w:val="0"/>
              <w:autoSpaceDN w:val="0"/>
              <w:adjustRightInd w:val="0"/>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D4F135" w14:textId="77777777" w:rsidR="00AB3A3E" w:rsidRPr="00947984" w:rsidRDefault="00AB3A3E" w:rsidP="005A5587">
            <w:pPr>
              <w:pStyle w:val="NormalWeb"/>
              <w:autoSpaceDE w:val="0"/>
              <w:autoSpaceDN w:val="0"/>
              <w:adjustRightInd w:val="0"/>
              <w:spacing w:before="0" w:after="0"/>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623DE"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ADC87"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3A3E" w14:paraId="1B62F213" w14:textId="77777777" w:rsidTr="005A55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156BE" w14:textId="77777777" w:rsidR="00AB3A3E" w:rsidRPr="00CF6CA5" w:rsidRDefault="00AB3A3E" w:rsidP="005A5587">
            <w:pPr>
              <w:pStyle w:val="NormalWeb"/>
              <w:spacing w:before="0" w:after="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39822D" w14:textId="77777777" w:rsidR="00AB3A3E" w:rsidRDefault="00AB3A3E" w:rsidP="005A5587">
            <w:pPr>
              <w:pStyle w:val="NormalWeb"/>
              <w:spacing w:before="0"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B43D94E" w14:textId="77777777" w:rsidR="00AB3A3E" w:rsidRDefault="00AB3A3E" w:rsidP="005A5587">
            <w:pPr>
              <w:pStyle w:val="NormalWeb"/>
              <w:spacing w:before="0" w:after="0"/>
              <w:ind w:left="1134" w:right="567"/>
            </w:pPr>
            <w:r>
              <w:rPr>
                <w:rFonts w:ascii="Arial" w:hAnsi="Arial" w:cs="Arial"/>
                <w:i/>
                <w:iCs/>
                <w:color w:val="000000"/>
                <w:sz w:val="20"/>
                <w:szCs w:val="23"/>
              </w:rPr>
              <w:t>(a) racial or ethnic origin,</w:t>
            </w:r>
          </w:p>
          <w:p w14:paraId="04F460D4" w14:textId="77777777" w:rsidR="00AB3A3E" w:rsidRDefault="00AB3A3E" w:rsidP="005A5587">
            <w:pPr>
              <w:pStyle w:val="NormalWeb"/>
              <w:spacing w:before="0" w:after="0"/>
              <w:ind w:left="1134" w:right="567"/>
            </w:pPr>
            <w:r>
              <w:rPr>
                <w:rFonts w:ascii="Arial" w:hAnsi="Arial" w:cs="Arial"/>
                <w:i/>
                <w:iCs/>
                <w:color w:val="000000"/>
                <w:sz w:val="20"/>
                <w:szCs w:val="23"/>
              </w:rPr>
              <w:t>(b) political opinions,</w:t>
            </w:r>
          </w:p>
          <w:p w14:paraId="2E33502D" w14:textId="77777777" w:rsidR="00AB3A3E" w:rsidRDefault="00AB3A3E" w:rsidP="005A5587">
            <w:pPr>
              <w:pStyle w:val="NormalWeb"/>
              <w:spacing w:before="0" w:after="0"/>
              <w:ind w:left="1134" w:right="567"/>
            </w:pPr>
            <w:r>
              <w:rPr>
                <w:rFonts w:ascii="Arial" w:hAnsi="Arial" w:cs="Arial"/>
                <w:i/>
                <w:iCs/>
                <w:color w:val="000000"/>
                <w:sz w:val="20"/>
                <w:szCs w:val="23"/>
              </w:rPr>
              <w:t>(c) religious beliefs or other beliefs of a similar nature,</w:t>
            </w:r>
          </w:p>
          <w:p w14:paraId="019799CE" w14:textId="77777777" w:rsidR="00AB3A3E" w:rsidRDefault="00AB3A3E" w:rsidP="005A5587">
            <w:pPr>
              <w:pStyle w:val="NormalWeb"/>
              <w:spacing w:before="0" w:after="0"/>
              <w:ind w:left="1134" w:right="567"/>
            </w:pPr>
            <w:r>
              <w:rPr>
                <w:rFonts w:ascii="Arial" w:hAnsi="Arial" w:cs="Arial"/>
                <w:i/>
                <w:iCs/>
                <w:color w:val="000000"/>
                <w:sz w:val="20"/>
                <w:szCs w:val="23"/>
              </w:rPr>
              <w:t>(d) membership of a trade union (within the meaning of the Trade Union and Labour Relations (Consolidation) Act 1992),</w:t>
            </w:r>
          </w:p>
          <w:p w14:paraId="2FF423F1" w14:textId="77777777" w:rsidR="00AB3A3E" w:rsidRDefault="00AB3A3E" w:rsidP="005A5587">
            <w:pPr>
              <w:pStyle w:val="NormalWeb"/>
              <w:spacing w:before="0" w:after="0"/>
              <w:ind w:left="1134" w:right="567"/>
            </w:pPr>
            <w:r>
              <w:rPr>
                <w:rFonts w:ascii="Arial" w:hAnsi="Arial" w:cs="Arial"/>
                <w:i/>
                <w:iCs/>
                <w:color w:val="000000"/>
                <w:sz w:val="20"/>
                <w:szCs w:val="23"/>
              </w:rPr>
              <w:t>(e) physical or mental health or condition,</w:t>
            </w:r>
          </w:p>
          <w:p w14:paraId="44139F8E" w14:textId="77777777" w:rsidR="00AB3A3E" w:rsidRDefault="00AB3A3E" w:rsidP="005A5587">
            <w:pPr>
              <w:pStyle w:val="NormalWeb"/>
              <w:spacing w:before="0" w:after="0"/>
              <w:ind w:left="1134" w:right="567"/>
            </w:pPr>
            <w:r>
              <w:rPr>
                <w:rFonts w:ascii="Arial" w:hAnsi="Arial" w:cs="Arial"/>
                <w:i/>
                <w:iCs/>
                <w:color w:val="000000"/>
                <w:sz w:val="20"/>
                <w:szCs w:val="23"/>
              </w:rPr>
              <w:t>(f) sexual life,</w:t>
            </w:r>
          </w:p>
          <w:p w14:paraId="3FDCE91C" w14:textId="77777777" w:rsidR="00AB3A3E" w:rsidRDefault="00AB3A3E" w:rsidP="005A5587">
            <w:pPr>
              <w:pStyle w:val="NormalWeb"/>
              <w:spacing w:before="0" w:after="0"/>
              <w:ind w:left="1134" w:right="567"/>
            </w:pPr>
            <w:r>
              <w:rPr>
                <w:rFonts w:ascii="Arial" w:hAnsi="Arial" w:cs="Arial"/>
                <w:i/>
                <w:iCs/>
                <w:color w:val="000000"/>
                <w:sz w:val="20"/>
                <w:szCs w:val="23"/>
              </w:rPr>
              <w:t>(g) genetics,</w:t>
            </w:r>
          </w:p>
          <w:p w14:paraId="18E7A33A" w14:textId="77777777" w:rsidR="00AB3A3E" w:rsidRPr="00354F34" w:rsidRDefault="00AB3A3E" w:rsidP="005A5587">
            <w:pPr>
              <w:pStyle w:val="NormalWeb"/>
              <w:spacing w:before="0"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6DA990"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p>
          <w:p w14:paraId="4F0EA359" w14:textId="77777777" w:rsidR="00AB3A3E" w:rsidRDefault="00AB3A3E" w:rsidP="005A558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9D6359" w14:textId="77777777" w:rsidR="00AB3A3E" w:rsidRDefault="00AB3A3E" w:rsidP="005A5587">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rPr>
              <w:id w:val="-1995483778"/>
              <w14:checkbox>
                <w14:checked w14:val="1"/>
                <w14:checkedState w14:val="2612" w14:font="MS Gothic"/>
                <w14:uncheckedState w14:val="2610" w14:font="MS Gothic"/>
              </w14:checkbox>
            </w:sdtPr>
            <w:sdtContent>
              <w:p w14:paraId="53F93B40" w14:textId="77777777" w:rsidR="00AB3A3E" w:rsidRPr="0026717F" w:rsidRDefault="00AB3A3E" w:rsidP="005A5587">
                <w:pPr>
                  <w:autoSpaceDE w:val="0"/>
                  <w:autoSpaceDN w:val="0"/>
                  <w:adjustRightInd w:val="0"/>
                  <w:jc w:val="center"/>
                  <w:rPr>
                    <w:rFonts w:ascii="Arial" w:hAnsi="Arial" w:cs="Arial"/>
                    <w:b/>
                    <w:bCs/>
                    <w:sz w:val="22"/>
                  </w:rPr>
                </w:pPr>
                <w:r w:rsidRPr="0026717F">
                  <w:rPr>
                    <w:rFonts w:ascii="Arial" w:eastAsia="MS Gothic" w:hAnsi="Arial" w:cs="Arial" w:hint="eastAsia"/>
                    <w:b/>
                    <w:bCs/>
                    <w:sz w:val="22"/>
                  </w:rPr>
                  <w:t>☒</w:t>
                </w:r>
              </w:p>
            </w:sdtContent>
          </w:sdt>
        </w:tc>
      </w:tr>
      <w:tr w:rsidR="00AB3A3E" w14:paraId="7CADC4B6" w14:textId="77777777" w:rsidTr="005A55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D84FD" w14:textId="77777777" w:rsidR="00AB3A3E" w:rsidRDefault="00AB3A3E" w:rsidP="005A558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3BFB1" w14:textId="77777777" w:rsidR="00AB3A3E" w:rsidRDefault="00AB3A3E" w:rsidP="005A55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B3A3E" w14:paraId="7A18BDA6" w14:textId="77777777" w:rsidTr="005A558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1606B09" w14:textId="77777777" w:rsidR="00AB3A3E" w:rsidRDefault="00AB3A3E" w:rsidP="005A5587">
            <w:pPr>
              <w:jc w:val="center"/>
              <w:rPr>
                <w:rFonts w:ascii="Arial" w:hAnsi="Arial" w:cs="Arial"/>
                <w:sz w:val="22"/>
              </w:rPr>
            </w:pPr>
            <w:r>
              <w:rPr>
                <w:rFonts w:ascii="Arial" w:hAnsi="Arial"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F707EB" w14:textId="77777777" w:rsidR="00AB3A3E" w:rsidRPr="004033FC" w:rsidRDefault="00AB3A3E" w:rsidP="005A5587">
            <w:pPr>
              <w:rPr>
                <w:rFonts w:ascii="Arial" w:hAnsi="Arial" w:cs="Arial"/>
                <w:color w:val="00B050"/>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51F79F6E" w14:textId="77777777" w:rsidR="00AB3A3E" w:rsidRDefault="00AB3A3E" w:rsidP="005A5587">
            <w:pPr>
              <w:rPr>
                <w:rFonts w:ascii="Arial" w:hAnsi="Arial" w:cs="Arial"/>
                <w:sz w:val="22"/>
              </w:rPr>
            </w:pPr>
          </w:p>
          <w:p w14:paraId="23AC2FBB" w14:textId="77777777" w:rsidR="00AB3A3E" w:rsidRDefault="00AB3A3E" w:rsidP="005A5587">
            <w:pPr>
              <w:rPr>
                <w:rFonts w:ascii="Arial" w:hAnsi="Arial" w:cs="Arial"/>
                <w:sz w:val="22"/>
              </w:rPr>
            </w:pPr>
          </w:p>
          <w:p w14:paraId="1FAFDA93" w14:textId="77777777" w:rsidR="00AB3A3E" w:rsidRPr="004C3A0B" w:rsidRDefault="00AB3A3E" w:rsidP="005A5587">
            <w:pPr>
              <w:rPr>
                <w:rFonts w:ascii="Arial" w:hAnsi="Arial" w:cs="Arial"/>
                <w:sz w:val="22"/>
              </w:rPr>
            </w:pPr>
          </w:p>
          <w:p w14:paraId="3860F160" w14:textId="77777777" w:rsidR="00AB3A3E" w:rsidRDefault="00AB3A3E" w:rsidP="005A5587">
            <w:pPr>
              <w:autoSpaceDE w:val="0"/>
              <w:autoSpaceDN w:val="0"/>
              <w:adjustRightInd w:val="0"/>
            </w:pPr>
            <w:r w:rsidRPr="003257BD">
              <w:rPr>
                <w:rFonts w:ascii="Arial" w:hAnsi="Arial" w:cs="Arial"/>
                <w:i/>
                <w:color w:val="808080"/>
                <w:sz w:val="18"/>
                <w:szCs w:val="18"/>
              </w:rPr>
              <w:t>(this box should expand as you type)</w:t>
            </w:r>
          </w:p>
        </w:tc>
      </w:tr>
    </w:tbl>
    <w:p w14:paraId="223077FA" w14:textId="77777777" w:rsidR="00AB3A3E" w:rsidRDefault="00AB3A3E" w:rsidP="00AB3A3E"/>
    <w:tbl>
      <w:tblPr>
        <w:tblStyle w:val="TableGrid"/>
        <w:tblW w:w="10485" w:type="dxa"/>
        <w:tblLook w:val="04A0" w:firstRow="1" w:lastRow="0" w:firstColumn="1" w:lastColumn="0" w:noHBand="0" w:noVBand="1"/>
      </w:tblPr>
      <w:tblGrid>
        <w:gridCol w:w="562"/>
        <w:gridCol w:w="7905"/>
        <w:gridCol w:w="992"/>
        <w:gridCol w:w="1026"/>
      </w:tblGrid>
      <w:tr w:rsidR="00AB3A3E" w:rsidRPr="004C3A0B" w14:paraId="7ACA699D" w14:textId="77777777" w:rsidTr="005A5587">
        <w:trPr>
          <w:trHeight w:val="439"/>
        </w:trPr>
        <w:tc>
          <w:tcPr>
            <w:tcW w:w="562" w:type="dxa"/>
            <w:shd w:val="clear" w:color="auto" w:fill="F2F2F2" w:themeFill="background1" w:themeFillShade="F2"/>
            <w:vAlign w:val="center"/>
          </w:tcPr>
          <w:p w14:paraId="3877703D" w14:textId="77777777" w:rsidR="00AB3A3E" w:rsidRPr="002132F9" w:rsidRDefault="00AB3A3E" w:rsidP="005A5587">
            <w:pPr>
              <w:autoSpaceDE w:val="0"/>
              <w:autoSpaceDN w:val="0"/>
              <w:adjustRightInd w:val="0"/>
              <w:jc w:val="center"/>
              <w:rPr>
                <w:rFonts w:ascii="Arial" w:hAnsi="Arial" w:cs="Arial"/>
                <w:sz w:val="22"/>
              </w:rPr>
            </w:pPr>
          </w:p>
        </w:tc>
        <w:tc>
          <w:tcPr>
            <w:tcW w:w="7905" w:type="dxa"/>
            <w:shd w:val="clear" w:color="auto" w:fill="F2F2F2" w:themeFill="background1" w:themeFillShade="F2"/>
          </w:tcPr>
          <w:p w14:paraId="59199366" w14:textId="77777777" w:rsidR="00AB3A3E" w:rsidRPr="009563B2" w:rsidRDefault="00AB3A3E" w:rsidP="005A5587">
            <w:pPr>
              <w:autoSpaceDE w:val="0"/>
              <w:autoSpaceDN w:val="0"/>
              <w:adjustRightInd w:val="0"/>
              <w:rPr>
                <w:rFonts w:ascii="Arial" w:hAnsi="Arial" w:cs="Arial"/>
                <w:b/>
                <w:bCs/>
                <w:sz w:val="22"/>
              </w:rPr>
            </w:pPr>
            <w:r w:rsidRPr="009563B2">
              <w:rPr>
                <w:b/>
              </w:rPr>
              <w:br w:type="page"/>
            </w:r>
            <w:r>
              <w:rPr>
                <w:rFonts w:ascii="Arial" w:hAnsi="Arial" w:cs="Arial"/>
                <w:b/>
                <w:sz w:val="22"/>
              </w:rPr>
              <w:t>W</w:t>
            </w:r>
            <w:r w:rsidRPr="009563B2">
              <w:rPr>
                <w:rFonts w:ascii="Arial" w:hAnsi="Arial" w:cs="Arial"/>
                <w:b/>
                <w:sz w:val="22"/>
              </w:rPr>
              <w:t>ill data f</w:t>
            </w:r>
            <w:r>
              <w:rPr>
                <w:rFonts w:ascii="Arial" w:hAnsi="Arial" w:cs="Arial"/>
                <w:b/>
                <w:sz w:val="22"/>
              </w:rPr>
              <w:t xml:space="preserve">rom the research activity (collected data, </w:t>
            </w:r>
            <w:r w:rsidRPr="009563B2">
              <w:rPr>
                <w:rFonts w:ascii="Arial" w:hAnsi="Arial" w:cs="Arial"/>
                <w:b/>
                <w:sz w:val="22"/>
              </w:rPr>
              <w:t>drafts of the thesis</w:t>
            </w:r>
            <w:r>
              <w:rPr>
                <w:rFonts w:ascii="Arial" w:hAnsi="Arial" w:cs="Arial"/>
                <w:b/>
                <w:sz w:val="22"/>
              </w:rPr>
              <w:t>,</w:t>
            </w:r>
            <w:r w:rsidRPr="009563B2">
              <w:rPr>
                <w:rFonts w:ascii="Arial" w:hAnsi="Arial" w:cs="Arial"/>
                <w:b/>
                <w:sz w:val="22"/>
              </w:rPr>
              <w:t xml:space="preserve"> or materials for publication) be stored</w:t>
            </w:r>
            <w:r>
              <w:rPr>
                <w:rFonts w:ascii="Arial" w:hAnsi="Arial" w:cs="Arial"/>
                <w:b/>
                <w:sz w:val="22"/>
              </w:rPr>
              <w:t xml:space="preserve"> in any of the following ways?</w:t>
            </w:r>
          </w:p>
        </w:tc>
        <w:tc>
          <w:tcPr>
            <w:tcW w:w="992" w:type="dxa"/>
            <w:shd w:val="clear" w:color="auto" w:fill="F2F2F2" w:themeFill="background1" w:themeFillShade="F2"/>
          </w:tcPr>
          <w:p w14:paraId="45389595"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026" w:type="dxa"/>
            <w:shd w:val="clear" w:color="auto" w:fill="F2F2F2" w:themeFill="background1" w:themeFillShade="F2"/>
          </w:tcPr>
          <w:p w14:paraId="26CF53B1"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r>
      <w:tr w:rsidR="00AB3A3E" w:rsidRPr="004C3A0B" w14:paraId="572E8845" w14:textId="77777777" w:rsidTr="005A5587">
        <w:trPr>
          <w:trHeight w:val="439"/>
        </w:trPr>
        <w:tc>
          <w:tcPr>
            <w:tcW w:w="562" w:type="dxa"/>
            <w:shd w:val="clear" w:color="auto" w:fill="F2F2F2" w:themeFill="background1" w:themeFillShade="F2"/>
            <w:vAlign w:val="center"/>
          </w:tcPr>
          <w:p w14:paraId="4242B4B4" w14:textId="77777777" w:rsidR="00AB3A3E" w:rsidRPr="00903B3C" w:rsidRDefault="00AB3A3E" w:rsidP="005A5587">
            <w:pPr>
              <w:autoSpaceDE w:val="0"/>
              <w:autoSpaceDN w:val="0"/>
              <w:adjustRightInd w:val="0"/>
              <w:jc w:val="center"/>
              <w:rPr>
                <w:rFonts w:ascii="Arial" w:hAnsi="Arial" w:cs="Arial"/>
                <w:sz w:val="22"/>
              </w:rPr>
            </w:pPr>
            <w:r>
              <w:rPr>
                <w:rFonts w:ascii="Arial" w:hAnsi="Arial" w:cs="Arial"/>
                <w:sz w:val="22"/>
              </w:rPr>
              <w:t>5</w:t>
            </w:r>
          </w:p>
        </w:tc>
        <w:tc>
          <w:tcPr>
            <w:tcW w:w="7905" w:type="dxa"/>
            <w:shd w:val="clear" w:color="auto" w:fill="F2F2F2" w:themeFill="background1" w:themeFillShade="F2"/>
            <w:vAlign w:val="center"/>
          </w:tcPr>
          <w:p w14:paraId="141B4339"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Manual files (i.e. in paper form)?</w:t>
            </w:r>
          </w:p>
        </w:tc>
        <w:tc>
          <w:tcPr>
            <w:tcW w:w="992" w:type="dxa"/>
            <w:shd w:val="clear" w:color="auto" w:fill="BFBFBF" w:themeFill="background1" w:themeFillShade="BF"/>
          </w:tcPr>
          <w:sdt>
            <w:sdtPr>
              <w:rPr>
                <w:rFonts w:ascii="Arial" w:hAnsi="Arial" w:cs="Arial"/>
                <w:b/>
                <w:bCs/>
                <w:sz w:val="22"/>
              </w:rPr>
              <w:id w:val="-716891366"/>
              <w14:checkbox>
                <w14:checked w14:val="0"/>
                <w14:checkedState w14:val="2612" w14:font="MS Gothic"/>
                <w14:uncheckedState w14:val="2610" w14:font="MS Gothic"/>
              </w14:checkbox>
            </w:sdtPr>
            <w:sdtContent>
              <w:p w14:paraId="74EE8F69"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124512450"/>
              <w14:checkbox>
                <w14:checked w14:val="1"/>
                <w14:checkedState w14:val="2612" w14:font="MS Gothic"/>
                <w14:uncheckedState w14:val="2610" w14:font="MS Gothic"/>
              </w14:checkbox>
            </w:sdtPr>
            <w:sdtContent>
              <w:p w14:paraId="7F00A7B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B5C0275" w14:textId="77777777" w:rsidTr="005A5587">
        <w:trPr>
          <w:trHeight w:val="403"/>
        </w:trPr>
        <w:tc>
          <w:tcPr>
            <w:tcW w:w="562" w:type="dxa"/>
            <w:shd w:val="clear" w:color="auto" w:fill="F2F2F2" w:themeFill="background1" w:themeFillShade="F2"/>
            <w:vAlign w:val="center"/>
          </w:tcPr>
          <w:p w14:paraId="2F2E9DDA" w14:textId="77777777" w:rsidR="00AB3A3E" w:rsidRPr="00903B3C" w:rsidRDefault="00AB3A3E" w:rsidP="005A5587">
            <w:pPr>
              <w:autoSpaceDE w:val="0"/>
              <w:autoSpaceDN w:val="0"/>
              <w:adjustRightInd w:val="0"/>
              <w:jc w:val="center"/>
              <w:rPr>
                <w:rFonts w:ascii="Arial" w:hAnsi="Arial" w:cs="Arial"/>
                <w:sz w:val="22"/>
              </w:rPr>
            </w:pPr>
            <w:r>
              <w:rPr>
                <w:rFonts w:ascii="Arial" w:hAnsi="Arial" w:cs="Arial"/>
                <w:sz w:val="22"/>
              </w:rPr>
              <w:t>6</w:t>
            </w:r>
          </w:p>
        </w:tc>
        <w:tc>
          <w:tcPr>
            <w:tcW w:w="7905" w:type="dxa"/>
            <w:shd w:val="clear" w:color="auto" w:fill="F2F2F2" w:themeFill="background1" w:themeFillShade="F2"/>
            <w:vAlign w:val="center"/>
          </w:tcPr>
          <w:p w14:paraId="2A6A856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University computers?</w:t>
            </w:r>
          </w:p>
        </w:tc>
        <w:tc>
          <w:tcPr>
            <w:tcW w:w="992" w:type="dxa"/>
            <w:shd w:val="clear" w:color="auto" w:fill="BFBFBF" w:themeFill="background1" w:themeFillShade="BF"/>
          </w:tcPr>
          <w:sdt>
            <w:sdtPr>
              <w:rPr>
                <w:rFonts w:ascii="Arial" w:hAnsi="Arial" w:cs="Arial"/>
                <w:b/>
                <w:bCs/>
                <w:sz w:val="22"/>
              </w:rPr>
              <w:id w:val="-1058942064"/>
              <w14:checkbox>
                <w14:checked w14:val="0"/>
                <w14:checkedState w14:val="2612" w14:font="MS Gothic"/>
                <w14:uncheckedState w14:val="2610" w14:font="MS Gothic"/>
              </w14:checkbox>
            </w:sdtPr>
            <w:sdtContent>
              <w:p w14:paraId="538D2FD0"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1525707884"/>
              <w14:checkbox>
                <w14:checked w14:val="1"/>
                <w14:checkedState w14:val="2612" w14:font="MS Gothic"/>
                <w14:uncheckedState w14:val="2610" w14:font="MS Gothic"/>
              </w14:checkbox>
            </w:sdtPr>
            <w:sdtContent>
              <w:p w14:paraId="6A702583"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094B7556" w14:textId="77777777" w:rsidTr="005A5587">
        <w:trPr>
          <w:trHeight w:val="439"/>
        </w:trPr>
        <w:tc>
          <w:tcPr>
            <w:tcW w:w="562" w:type="dxa"/>
            <w:shd w:val="clear" w:color="auto" w:fill="F2F2F2" w:themeFill="background1" w:themeFillShade="F2"/>
            <w:vAlign w:val="center"/>
          </w:tcPr>
          <w:p w14:paraId="43D7239C" w14:textId="77777777" w:rsidR="00AB3A3E" w:rsidRPr="00903B3C" w:rsidRDefault="00AB3A3E" w:rsidP="005A5587">
            <w:pPr>
              <w:autoSpaceDE w:val="0"/>
              <w:autoSpaceDN w:val="0"/>
              <w:adjustRightInd w:val="0"/>
              <w:jc w:val="center"/>
              <w:rPr>
                <w:rFonts w:ascii="Arial" w:hAnsi="Arial" w:cs="Arial"/>
                <w:sz w:val="22"/>
              </w:rPr>
            </w:pPr>
            <w:r>
              <w:rPr>
                <w:rFonts w:ascii="Arial" w:hAnsi="Arial" w:cs="Arial"/>
                <w:sz w:val="22"/>
              </w:rPr>
              <w:t>7</w:t>
            </w:r>
          </w:p>
        </w:tc>
        <w:tc>
          <w:tcPr>
            <w:tcW w:w="7905" w:type="dxa"/>
            <w:shd w:val="clear" w:color="auto" w:fill="F2F2F2" w:themeFill="background1" w:themeFillShade="F2"/>
            <w:vAlign w:val="center"/>
          </w:tcPr>
          <w:p w14:paraId="2F7E0119"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Private company computers?</w:t>
            </w:r>
          </w:p>
        </w:tc>
        <w:tc>
          <w:tcPr>
            <w:tcW w:w="992" w:type="dxa"/>
            <w:shd w:val="clear" w:color="auto" w:fill="BFBFBF" w:themeFill="background1" w:themeFillShade="BF"/>
          </w:tcPr>
          <w:sdt>
            <w:sdtPr>
              <w:rPr>
                <w:rFonts w:ascii="Arial" w:hAnsi="Arial" w:cs="Arial"/>
                <w:b/>
                <w:bCs/>
                <w:sz w:val="22"/>
              </w:rPr>
              <w:id w:val="428779520"/>
              <w14:checkbox>
                <w14:checked w14:val="0"/>
                <w14:checkedState w14:val="2612" w14:font="MS Gothic"/>
                <w14:uncheckedState w14:val="2610" w14:font="MS Gothic"/>
              </w14:checkbox>
            </w:sdtPr>
            <w:sdtContent>
              <w:p w14:paraId="0FFCE55D"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1738441066"/>
              <w14:checkbox>
                <w14:checked w14:val="1"/>
                <w14:checkedState w14:val="2612" w14:font="MS Gothic"/>
                <w14:uncheckedState w14:val="2610" w14:font="MS Gothic"/>
              </w14:checkbox>
            </w:sdtPr>
            <w:sdtContent>
              <w:p w14:paraId="73F7ECFC"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2F0BE5C3" w14:textId="77777777" w:rsidTr="005A5587">
        <w:trPr>
          <w:trHeight w:val="403"/>
        </w:trPr>
        <w:tc>
          <w:tcPr>
            <w:tcW w:w="562" w:type="dxa"/>
            <w:shd w:val="clear" w:color="auto" w:fill="F2F2F2" w:themeFill="background1" w:themeFillShade="F2"/>
            <w:vAlign w:val="center"/>
          </w:tcPr>
          <w:p w14:paraId="2EE12C66" w14:textId="77777777" w:rsidR="00AB3A3E" w:rsidRPr="00903B3C" w:rsidRDefault="00AB3A3E" w:rsidP="005A5587">
            <w:pPr>
              <w:autoSpaceDE w:val="0"/>
              <w:autoSpaceDN w:val="0"/>
              <w:adjustRightInd w:val="0"/>
              <w:jc w:val="center"/>
              <w:rPr>
                <w:rFonts w:ascii="Arial" w:hAnsi="Arial" w:cs="Arial"/>
                <w:sz w:val="22"/>
              </w:rPr>
            </w:pPr>
            <w:r>
              <w:rPr>
                <w:rFonts w:ascii="Arial" w:hAnsi="Arial" w:cs="Arial"/>
                <w:sz w:val="22"/>
              </w:rPr>
              <w:t>8</w:t>
            </w:r>
          </w:p>
        </w:tc>
        <w:tc>
          <w:tcPr>
            <w:tcW w:w="7905" w:type="dxa"/>
            <w:shd w:val="clear" w:color="auto" w:fill="F2F2F2" w:themeFill="background1" w:themeFillShade="F2"/>
            <w:vAlign w:val="center"/>
          </w:tcPr>
          <w:p w14:paraId="0F711BD3"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Home or other personal computers?</w:t>
            </w:r>
          </w:p>
        </w:tc>
        <w:tc>
          <w:tcPr>
            <w:tcW w:w="992" w:type="dxa"/>
            <w:shd w:val="clear" w:color="auto" w:fill="BFBFBF" w:themeFill="background1" w:themeFillShade="BF"/>
          </w:tcPr>
          <w:sdt>
            <w:sdtPr>
              <w:rPr>
                <w:rFonts w:ascii="Arial" w:hAnsi="Arial" w:cs="Arial"/>
                <w:b/>
                <w:bCs/>
                <w:sz w:val="22"/>
              </w:rPr>
              <w:id w:val="666676712"/>
              <w14:checkbox>
                <w14:checked w14:val="0"/>
                <w14:checkedState w14:val="2612" w14:font="MS Gothic"/>
                <w14:uncheckedState w14:val="2610" w14:font="MS Gothic"/>
              </w14:checkbox>
            </w:sdtPr>
            <w:sdtContent>
              <w:p w14:paraId="01452E2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243309197"/>
              <w14:checkbox>
                <w14:checked w14:val="1"/>
                <w14:checkedState w14:val="2612" w14:font="MS Gothic"/>
                <w14:uncheckedState w14:val="2610" w14:font="MS Gothic"/>
              </w14:checkbox>
            </w:sdtPr>
            <w:sdtContent>
              <w:p w14:paraId="5608EA28"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E1D5431" w14:textId="77777777" w:rsidTr="005A5587">
        <w:trPr>
          <w:trHeight w:val="403"/>
        </w:trPr>
        <w:tc>
          <w:tcPr>
            <w:tcW w:w="562" w:type="dxa"/>
            <w:shd w:val="clear" w:color="auto" w:fill="F2F2F2" w:themeFill="background1" w:themeFillShade="F2"/>
            <w:vAlign w:val="center"/>
          </w:tcPr>
          <w:p w14:paraId="767A37FD" w14:textId="77777777" w:rsidR="00AB3A3E" w:rsidRPr="00903B3C" w:rsidRDefault="00AB3A3E" w:rsidP="005A5587">
            <w:pPr>
              <w:autoSpaceDE w:val="0"/>
              <w:autoSpaceDN w:val="0"/>
              <w:adjustRightInd w:val="0"/>
              <w:jc w:val="center"/>
              <w:rPr>
                <w:rFonts w:ascii="Arial" w:hAnsi="Arial" w:cs="Arial"/>
                <w:sz w:val="22"/>
              </w:rPr>
            </w:pPr>
            <w:r>
              <w:rPr>
                <w:rFonts w:ascii="Arial" w:hAnsi="Arial" w:cs="Arial"/>
                <w:sz w:val="22"/>
              </w:rPr>
              <w:lastRenderedPageBreak/>
              <w:t>9</w:t>
            </w:r>
          </w:p>
        </w:tc>
        <w:tc>
          <w:tcPr>
            <w:tcW w:w="7905" w:type="dxa"/>
            <w:shd w:val="clear" w:color="auto" w:fill="F2F2F2" w:themeFill="background1" w:themeFillShade="F2"/>
            <w:vAlign w:val="center"/>
          </w:tcPr>
          <w:p w14:paraId="49C2D00F"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992" w:type="dxa"/>
            <w:shd w:val="clear" w:color="auto" w:fill="BFBFBF" w:themeFill="background1" w:themeFillShade="BF"/>
          </w:tcPr>
          <w:sdt>
            <w:sdtPr>
              <w:rPr>
                <w:rFonts w:ascii="Arial" w:hAnsi="Arial" w:cs="Arial"/>
                <w:b/>
                <w:bCs/>
                <w:sz w:val="22"/>
              </w:rPr>
              <w:id w:val="1761182650"/>
              <w14:checkbox>
                <w14:checked w14:val="0"/>
                <w14:checkedState w14:val="2612" w14:font="MS Gothic"/>
                <w14:uncheckedState w14:val="2610" w14:font="MS Gothic"/>
              </w14:checkbox>
            </w:sdtPr>
            <w:sdtContent>
              <w:p w14:paraId="51B49F8C"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1031489010"/>
              <w14:checkbox>
                <w14:checked w14:val="1"/>
                <w14:checkedState w14:val="2612" w14:font="MS Gothic"/>
                <w14:uncheckedState w14:val="2610" w14:font="MS Gothic"/>
              </w14:checkbox>
            </w:sdtPr>
            <w:sdtContent>
              <w:p w14:paraId="19599E5F"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2F0A1679" w14:textId="77777777" w:rsidTr="005A5587">
        <w:trPr>
          <w:trHeight w:val="403"/>
        </w:trPr>
        <w:tc>
          <w:tcPr>
            <w:tcW w:w="562" w:type="dxa"/>
            <w:shd w:val="clear" w:color="auto" w:fill="F2F2F2" w:themeFill="background1" w:themeFillShade="F2"/>
            <w:vAlign w:val="center"/>
          </w:tcPr>
          <w:p w14:paraId="66339FAF" w14:textId="77777777" w:rsidR="00AB3A3E" w:rsidRPr="00903B3C"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0</w:t>
            </w:r>
          </w:p>
        </w:tc>
        <w:tc>
          <w:tcPr>
            <w:tcW w:w="7905" w:type="dxa"/>
            <w:shd w:val="clear" w:color="auto" w:fill="F2F2F2" w:themeFill="background1" w:themeFillShade="F2"/>
            <w:vAlign w:val="center"/>
          </w:tcPr>
          <w:p w14:paraId="6581EC24"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“Cloud” storage or websites?</w:t>
            </w:r>
          </w:p>
        </w:tc>
        <w:tc>
          <w:tcPr>
            <w:tcW w:w="992" w:type="dxa"/>
            <w:shd w:val="clear" w:color="auto" w:fill="BFBFBF" w:themeFill="background1" w:themeFillShade="BF"/>
          </w:tcPr>
          <w:sdt>
            <w:sdtPr>
              <w:rPr>
                <w:rFonts w:ascii="Arial" w:hAnsi="Arial" w:cs="Arial"/>
                <w:b/>
                <w:bCs/>
                <w:sz w:val="22"/>
              </w:rPr>
              <w:id w:val="-40376448"/>
              <w14:checkbox>
                <w14:checked w14:val="1"/>
                <w14:checkedState w14:val="2612" w14:font="MS Gothic"/>
                <w14:uncheckedState w14:val="2610" w14:font="MS Gothic"/>
              </w14:checkbox>
            </w:sdtPr>
            <w:sdtContent>
              <w:p w14:paraId="444D0CAD"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tcPr>
          <w:sdt>
            <w:sdtPr>
              <w:rPr>
                <w:rFonts w:ascii="Arial" w:hAnsi="Arial" w:cs="Arial"/>
                <w:b/>
                <w:bCs/>
                <w:sz w:val="22"/>
              </w:rPr>
              <w:id w:val="-2004037841"/>
              <w14:checkbox>
                <w14:checked w14:val="0"/>
                <w14:checkedState w14:val="2612" w14:font="MS Gothic"/>
                <w14:uncheckedState w14:val="2610" w14:font="MS Gothic"/>
              </w14:checkbox>
            </w:sdtPr>
            <w:sdtContent>
              <w:p w14:paraId="5AEC1C64"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14DE9861" w14:textId="77777777" w:rsidTr="005A5587">
        <w:trPr>
          <w:trHeight w:val="403"/>
        </w:trPr>
        <w:tc>
          <w:tcPr>
            <w:tcW w:w="562" w:type="dxa"/>
            <w:shd w:val="clear" w:color="auto" w:fill="F2F2F2" w:themeFill="background1" w:themeFillShade="F2"/>
            <w:vAlign w:val="center"/>
          </w:tcPr>
          <w:p w14:paraId="310CFA3F" w14:textId="77777777" w:rsidR="00AB3A3E" w:rsidRPr="00903B3C"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1</w:t>
            </w:r>
          </w:p>
        </w:tc>
        <w:tc>
          <w:tcPr>
            <w:tcW w:w="7905" w:type="dxa"/>
            <w:shd w:val="clear" w:color="auto" w:fill="F2F2F2" w:themeFill="background1" w:themeFillShade="F2"/>
          </w:tcPr>
          <w:p w14:paraId="59E91801"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Other – specify:</w:t>
            </w:r>
          </w:p>
          <w:p w14:paraId="5E4AC563" w14:textId="77777777" w:rsidR="00AB3A3E" w:rsidRPr="004C3A0B" w:rsidRDefault="00AB3A3E" w:rsidP="005A5587">
            <w:pPr>
              <w:autoSpaceDE w:val="0"/>
              <w:autoSpaceDN w:val="0"/>
              <w:adjustRightInd w:val="0"/>
              <w:rPr>
                <w:rFonts w:ascii="Arial" w:hAnsi="Arial" w:cs="Arial"/>
                <w:sz w:val="22"/>
              </w:rPr>
            </w:pPr>
          </w:p>
        </w:tc>
        <w:tc>
          <w:tcPr>
            <w:tcW w:w="992" w:type="dxa"/>
            <w:shd w:val="clear" w:color="auto" w:fill="BFBFBF" w:themeFill="background1" w:themeFillShade="BF"/>
            <w:vAlign w:val="center"/>
          </w:tcPr>
          <w:sdt>
            <w:sdtPr>
              <w:rPr>
                <w:rFonts w:ascii="Arial" w:hAnsi="Arial" w:cs="Arial"/>
                <w:b/>
                <w:bCs/>
                <w:sz w:val="22"/>
              </w:rPr>
              <w:id w:val="-1556230815"/>
              <w14:checkbox>
                <w14:checked w14:val="0"/>
                <w14:checkedState w14:val="2612" w14:font="MS Gothic"/>
                <w14:uncheckedState w14:val="2610" w14:font="MS Gothic"/>
              </w14:checkbox>
            </w:sdtPr>
            <w:sdtContent>
              <w:p w14:paraId="75835DCC"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1575544959"/>
              <w14:checkbox>
                <w14:checked w14:val="1"/>
                <w14:checkedState w14:val="2612" w14:font="MS Gothic"/>
                <w14:uncheckedState w14:val="2610" w14:font="MS Gothic"/>
              </w14:checkbox>
            </w:sdtPr>
            <w:sdtContent>
              <w:p w14:paraId="4BB25E75"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5B5DB0B6" w14:textId="77777777" w:rsidTr="005A5587">
        <w:trPr>
          <w:trHeight w:val="403"/>
        </w:trPr>
        <w:tc>
          <w:tcPr>
            <w:tcW w:w="562" w:type="dxa"/>
            <w:shd w:val="clear" w:color="auto" w:fill="F2F2F2" w:themeFill="background1" w:themeFillShade="F2"/>
            <w:vAlign w:val="center"/>
          </w:tcPr>
          <w:p w14:paraId="3A888DF7" w14:textId="77777777" w:rsidR="00AB3A3E" w:rsidRPr="00903B3C" w:rsidRDefault="00AB3A3E" w:rsidP="005A5587">
            <w:pPr>
              <w:autoSpaceDE w:val="0"/>
              <w:autoSpaceDN w:val="0"/>
              <w:adjustRightInd w:val="0"/>
              <w:jc w:val="center"/>
              <w:rPr>
                <w:rFonts w:ascii="Arial" w:hAnsi="Arial" w:cs="Arial"/>
                <w:bCs/>
                <w:sz w:val="22"/>
              </w:rPr>
            </w:pPr>
            <w:r>
              <w:rPr>
                <w:rFonts w:ascii="Arial" w:hAnsi="Arial" w:cs="Arial"/>
                <w:sz w:val="22"/>
              </w:rPr>
              <w:t>12</w:t>
            </w:r>
          </w:p>
        </w:tc>
        <w:tc>
          <w:tcPr>
            <w:tcW w:w="9923" w:type="dxa"/>
            <w:gridSpan w:val="3"/>
            <w:shd w:val="clear" w:color="auto" w:fill="F2F2F2" w:themeFill="background1" w:themeFillShade="F2"/>
          </w:tcPr>
          <w:p w14:paraId="23BB1692" w14:textId="77777777" w:rsidR="00AB3A3E" w:rsidRDefault="00AB3A3E" w:rsidP="005A5587">
            <w:pPr>
              <w:autoSpaceDE w:val="0"/>
              <w:autoSpaceDN w:val="0"/>
              <w:adjustRightInd w:val="0"/>
              <w:rPr>
                <w:rFonts w:ascii="Arial" w:hAnsi="Arial" w:cs="Arial"/>
                <w:b/>
                <w:bCs/>
                <w:sz w:val="22"/>
              </w:rPr>
            </w:pPr>
            <w:r w:rsidRPr="00204E14">
              <w:rPr>
                <w:rFonts w:ascii="Arial" w:hAnsi="Arial" w:cs="Arial"/>
                <w:bCs/>
                <w:sz w:val="22"/>
              </w:rPr>
              <w:t xml:space="preserve">For all stored data, explain the measures in place to ensure </w:t>
            </w:r>
            <w:r>
              <w:rPr>
                <w:rFonts w:ascii="Arial" w:hAnsi="Arial" w:cs="Arial"/>
                <w:bCs/>
                <w:sz w:val="22"/>
              </w:rPr>
              <w:t xml:space="preserve">the security of the data collected, </w:t>
            </w:r>
            <w:r w:rsidRPr="00204E14">
              <w:rPr>
                <w:rFonts w:ascii="Arial" w:hAnsi="Arial" w:cs="Arial"/>
                <w:bCs/>
                <w:sz w:val="22"/>
              </w:rPr>
              <w:t xml:space="preserve">data confidentiality, including details of </w:t>
            </w:r>
            <w:r>
              <w:rPr>
                <w:rFonts w:ascii="Arial" w:hAnsi="Arial" w:cs="Arial"/>
                <w:bCs/>
                <w:sz w:val="22"/>
              </w:rPr>
              <w:t xml:space="preserve">backup procedures, </w:t>
            </w:r>
            <w:r w:rsidRPr="00065801">
              <w:rPr>
                <w:rFonts w:ascii="Arial" w:hAnsi="Arial" w:cs="Arial"/>
                <w:bCs/>
                <w:sz w:val="22"/>
                <w:shd w:val="clear" w:color="auto" w:fill="F2F2F2" w:themeFill="background1" w:themeFillShade="F2"/>
              </w:rPr>
              <w:t>password</w:t>
            </w:r>
            <w:r>
              <w:rPr>
                <w:rFonts w:ascii="Arial" w:hAnsi="Arial" w:cs="Arial"/>
                <w:bCs/>
                <w:sz w:val="22"/>
              </w:rPr>
              <w:t xml:space="preserve"> protection, encryption, anonymisation and pseudonymisation</w:t>
            </w:r>
            <w:r w:rsidRPr="00204E14">
              <w:rPr>
                <w:rFonts w:ascii="Arial" w:hAnsi="Arial" w:cs="Arial"/>
                <w:sz w:val="22"/>
              </w:rPr>
              <w:t>:</w:t>
            </w:r>
          </w:p>
        </w:tc>
      </w:tr>
      <w:tr w:rsidR="00AB3A3E" w:rsidRPr="004C3A0B" w14:paraId="384CCC74" w14:textId="77777777" w:rsidTr="005A5587">
        <w:trPr>
          <w:trHeight w:val="403"/>
        </w:trPr>
        <w:tc>
          <w:tcPr>
            <w:tcW w:w="562" w:type="dxa"/>
            <w:vAlign w:val="center"/>
          </w:tcPr>
          <w:p w14:paraId="34510F82" w14:textId="77777777" w:rsidR="00AB3A3E" w:rsidRPr="00E65973" w:rsidRDefault="00AB3A3E" w:rsidP="005A5587">
            <w:pPr>
              <w:jc w:val="center"/>
              <w:rPr>
                <w:rFonts w:ascii="Arial" w:hAnsi="Arial" w:cs="Arial"/>
                <w:sz w:val="22"/>
              </w:rPr>
            </w:pPr>
          </w:p>
        </w:tc>
        <w:tc>
          <w:tcPr>
            <w:tcW w:w="9923" w:type="dxa"/>
            <w:gridSpan w:val="3"/>
          </w:tcPr>
          <w:p w14:paraId="24CCBC74" w14:textId="77777777" w:rsidR="00AB3A3E" w:rsidRDefault="00AB3A3E" w:rsidP="005A5587">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D6679E4" w14:textId="77777777" w:rsidR="00AB3A3E" w:rsidRPr="004033FC" w:rsidRDefault="00AB3A3E" w:rsidP="005A5587">
            <w:pPr>
              <w:rPr>
                <w:rFonts w:ascii="Arial" w:hAnsi="Arial" w:cs="Arial"/>
                <w:color w:val="00B050"/>
                <w:sz w:val="22"/>
              </w:rPr>
            </w:pPr>
          </w:p>
          <w:p w14:paraId="3F5F122B" w14:textId="77777777" w:rsidR="00AB3A3E" w:rsidRPr="006C06BB" w:rsidRDefault="00AB3A3E" w:rsidP="005A5587">
            <w:pPr>
              <w:autoSpaceDE w:val="0"/>
              <w:autoSpaceDN w:val="0"/>
              <w:adjustRightInd w:val="0"/>
              <w:rPr>
                <w:rFonts w:ascii="Arial" w:hAnsi="Arial" w:cs="Arial"/>
                <w:i/>
                <w:color w:val="7030A0"/>
                <w:sz w:val="22"/>
              </w:rPr>
            </w:pPr>
            <w:r w:rsidRPr="006C06BB">
              <w:rPr>
                <w:rFonts w:ascii="Arial" w:hAnsi="Arial" w:cs="Arial"/>
                <w:i/>
                <w:color w:val="7030A0"/>
                <w:sz w:val="22"/>
              </w:rPr>
              <w:t>All data will be kept in password protected cloud storage on the University Office 365 system which</w:t>
            </w:r>
          </w:p>
          <w:p w14:paraId="3D48DC81" w14:textId="77777777" w:rsidR="00AB3A3E" w:rsidRPr="006C06BB" w:rsidRDefault="00AB3A3E" w:rsidP="005A5587">
            <w:pPr>
              <w:autoSpaceDE w:val="0"/>
              <w:autoSpaceDN w:val="0"/>
              <w:adjustRightInd w:val="0"/>
              <w:rPr>
                <w:rFonts w:ascii="Arial" w:hAnsi="Arial" w:cs="Arial"/>
                <w:i/>
                <w:color w:val="7030A0"/>
                <w:sz w:val="22"/>
              </w:rPr>
            </w:pPr>
            <w:r w:rsidRPr="006C06BB">
              <w:rPr>
                <w:rFonts w:ascii="Arial" w:hAnsi="Arial" w:cs="Arial"/>
                <w:i/>
                <w:color w:val="7030A0"/>
                <w:sz w:val="22"/>
              </w:rPr>
              <w:t>will not be shared. Audio/visual data will be transcribed and would be shown to p</w:t>
            </w:r>
            <w:r>
              <w:rPr>
                <w:rFonts w:ascii="Arial" w:hAnsi="Arial" w:cs="Arial"/>
                <w:i/>
                <w:color w:val="7030A0"/>
                <w:sz w:val="22"/>
              </w:rPr>
              <w:t xml:space="preserve">articipants </w:t>
            </w:r>
            <w:r w:rsidRPr="006C06BB">
              <w:rPr>
                <w:rFonts w:ascii="Arial" w:hAnsi="Arial" w:cs="Arial"/>
                <w:i/>
                <w:color w:val="7030A0"/>
                <w:sz w:val="22"/>
              </w:rPr>
              <w:t>to</w:t>
            </w:r>
          </w:p>
          <w:p w14:paraId="2F401562" w14:textId="77777777" w:rsidR="00AB3A3E" w:rsidRPr="006C06BB" w:rsidRDefault="00AB3A3E" w:rsidP="005A5587">
            <w:pPr>
              <w:autoSpaceDE w:val="0"/>
              <w:autoSpaceDN w:val="0"/>
              <w:adjustRightInd w:val="0"/>
              <w:rPr>
                <w:rFonts w:ascii="Arial" w:hAnsi="Arial" w:cs="Arial"/>
                <w:i/>
                <w:color w:val="7030A0"/>
                <w:sz w:val="22"/>
              </w:rPr>
            </w:pPr>
            <w:r w:rsidRPr="006C06BB">
              <w:rPr>
                <w:rFonts w:ascii="Arial" w:hAnsi="Arial" w:cs="Arial"/>
                <w:i/>
                <w:color w:val="7030A0"/>
                <w:sz w:val="22"/>
              </w:rPr>
              <w:t xml:space="preserve">check accuracy of reporting. </w:t>
            </w:r>
            <w:r>
              <w:rPr>
                <w:rFonts w:ascii="Arial" w:hAnsi="Arial" w:cs="Arial"/>
                <w:i/>
                <w:color w:val="7030A0"/>
                <w:sz w:val="22"/>
              </w:rPr>
              <w:t xml:space="preserve">Any USB sticks used to store or transfer data will be password protected. </w:t>
            </w:r>
            <w:r w:rsidRPr="006C06BB">
              <w:rPr>
                <w:rFonts w:ascii="Arial" w:hAnsi="Arial" w:cs="Arial"/>
                <w:i/>
                <w:color w:val="7030A0"/>
                <w:sz w:val="22"/>
              </w:rPr>
              <w:t>All participants will be given a unique identifier to ensure</w:t>
            </w:r>
            <w:r>
              <w:rPr>
                <w:rFonts w:ascii="Arial" w:hAnsi="Arial" w:cs="Arial"/>
                <w:i/>
                <w:color w:val="7030A0"/>
                <w:sz w:val="22"/>
              </w:rPr>
              <w:t xml:space="preserve"> </w:t>
            </w:r>
            <w:r w:rsidRPr="006C06BB">
              <w:rPr>
                <w:rFonts w:ascii="Arial" w:hAnsi="Arial" w:cs="Arial"/>
                <w:i/>
                <w:color w:val="7030A0"/>
                <w:sz w:val="22"/>
              </w:rPr>
              <w:t>confidentiality and this list will be kept securely in the password protected folder.</w:t>
            </w:r>
            <w:r>
              <w:rPr>
                <w:rFonts w:ascii="Arial" w:hAnsi="Arial" w:cs="Arial"/>
                <w:i/>
                <w:color w:val="7030A0"/>
                <w:sz w:val="22"/>
              </w:rPr>
              <w:t xml:space="preserve"> </w:t>
            </w:r>
          </w:p>
          <w:p w14:paraId="4881263F" w14:textId="77777777" w:rsidR="00AB3A3E" w:rsidRDefault="00AB3A3E" w:rsidP="005A5587">
            <w:pPr>
              <w:rPr>
                <w:rFonts w:ascii="Arial" w:hAnsi="Arial" w:cs="Arial"/>
                <w:sz w:val="22"/>
              </w:rPr>
            </w:pPr>
          </w:p>
          <w:p w14:paraId="1DA509F8" w14:textId="77777777" w:rsidR="00AB3A3E" w:rsidRPr="004C3A0B" w:rsidRDefault="00AB3A3E" w:rsidP="005A5587">
            <w:pPr>
              <w:rPr>
                <w:rFonts w:ascii="Arial" w:hAnsi="Arial" w:cs="Arial"/>
                <w:sz w:val="22"/>
              </w:rPr>
            </w:pPr>
          </w:p>
          <w:p w14:paraId="5F7C22B8" w14:textId="77777777" w:rsidR="00AB3A3E" w:rsidRDefault="00AB3A3E" w:rsidP="005A5587">
            <w:pPr>
              <w:autoSpaceDE w:val="0"/>
              <w:autoSpaceDN w:val="0"/>
              <w:adjustRightInd w:val="0"/>
              <w:rPr>
                <w:rFonts w:ascii="Arial" w:hAnsi="Arial" w:cs="Arial"/>
                <w:b/>
                <w:bCs/>
                <w:sz w:val="22"/>
              </w:rPr>
            </w:pPr>
            <w:r w:rsidRPr="003257BD">
              <w:rPr>
                <w:rFonts w:ascii="Arial" w:hAnsi="Arial" w:cs="Arial"/>
                <w:i/>
                <w:color w:val="808080"/>
                <w:sz w:val="18"/>
                <w:szCs w:val="18"/>
              </w:rPr>
              <w:t>(this box should expand as you type)</w:t>
            </w:r>
          </w:p>
        </w:tc>
      </w:tr>
    </w:tbl>
    <w:p w14:paraId="754C4F49" w14:textId="77777777" w:rsidR="00AB3A3E" w:rsidRDefault="00AB3A3E" w:rsidP="00AB3A3E"/>
    <w:tbl>
      <w:tblPr>
        <w:tblStyle w:val="TableGrid"/>
        <w:tblW w:w="10485" w:type="dxa"/>
        <w:tblLook w:val="04A0" w:firstRow="1" w:lastRow="0" w:firstColumn="1" w:lastColumn="0" w:noHBand="0" w:noVBand="1"/>
      </w:tblPr>
      <w:tblGrid>
        <w:gridCol w:w="562"/>
        <w:gridCol w:w="7905"/>
        <w:gridCol w:w="992"/>
        <w:gridCol w:w="1026"/>
      </w:tblGrid>
      <w:tr w:rsidR="00AB3A3E" w:rsidRPr="004C3A0B" w14:paraId="0EB3B3FC" w14:textId="77777777" w:rsidTr="005A5587">
        <w:trPr>
          <w:trHeight w:val="439"/>
        </w:trPr>
        <w:tc>
          <w:tcPr>
            <w:tcW w:w="562" w:type="dxa"/>
            <w:shd w:val="clear" w:color="auto" w:fill="F2F2F2" w:themeFill="background1" w:themeFillShade="F2"/>
          </w:tcPr>
          <w:p w14:paraId="0B8A98DC" w14:textId="77777777" w:rsidR="00AB3A3E" w:rsidRPr="002132F9" w:rsidRDefault="00AB3A3E" w:rsidP="005A5587">
            <w:pPr>
              <w:autoSpaceDE w:val="0"/>
              <w:autoSpaceDN w:val="0"/>
              <w:adjustRightInd w:val="0"/>
              <w:rPr>
                <w:rFonts w:ascii="Arial" w:hAnsi="Arial" w:cs="Arial"/>
                <w:sz w:val="22"/>
              </w:rPr>
            </w:pPr>
          </w:p>
        </w:tc>
        <w:tc>
          <w:tcPr>
            <w:tcW w:w="9923" w:type="dxa"/>
            <w:gridSpan w:val="3"/>
            <w:shd w:val="clear" w:color="auto" w:fill="F2F2F2" w:themeFill="background1" w:themeFillShade="F2"/>
            <w:vAlign w:val="center"/>
          </w:tcPr>
          <w:p w14:paraId="5F16F4A1" w14:textId="77777777" w:rsidR="00AB3A3E" w:rsidRPr="004C3A0B" w:rsidRDefault="00AB3A3E" w:rsidP="005A5587">
            <w:pPr>
              <w:autoSpaceDE w:val="0"/>
              <w:autoSpaceDN w:val="0"/>
              <w:adjustRightInd w:val="0"/>
              <w:rPr>
                <w:rFonts w:ascii="Arial" w:hAnsi="Arial" w:cs="Arial"/>
                <w:b/>
                <w:bCs/>
                <w:sz w:val="22"/>
              </w:rPr>
            </w:pPr>
            <w:r>
              <w:rPr>
                <w:rFonts w:ascii="Arial" w:hAnsi="Arial" w:cs="Arial"/>
                <w:b/>
                <w:bCs/>
                <w:sz w:val="22"/>
              </w:rPr>
              <w:t>Data Protection</w:t>
            </w:r>
          </w:p>
        </w:tc>
      </w:tr>
      <w:tr w:rsidR="00AB3A3E" w:rsidRPr="004C3A0B" w14:paraId="0E74C0BC" w14:textId="77777777" w:rsidTr="005A5587">
        <w:trPr>
          <w:trHeight w:val="439"/>
        </w:trPr>
        <w:tc>
          <w:tcPr>
            <w:tcW w:w="562" w:type="dxa"/>
            <w:shd w:val="clear" w:color="auto" w:fill="F2F2F2" w:themeFill="background1" w:themeFillShade="F2"/>
            <w:vAlign w:val="center"/>
          </w:tcPr>
          <w:p w14:paraId="1F0C88D1" w14:textId="77777777" w:rsidR="00AB3A3E" w:rsidRPr="00842FC0" w:rsidRDefault="00AB3A3E" w:rsidP="005A5587">
            <w:pPr>
              <w:autoSpaceDE w:val="0"/>
              <w:autoSpaceDN w:val="0"/>
              <w:adjustRightInd w:val="0"/>
              <w:jc w:val="center"/>
              <w:rPr>
                <w:rFonts w:ascii="Arial" w:hAnsi="Arial" w:cs="Arial"/>
                <w:sz w:val="22"/>
              </w:rPr>
            </w:pPr>
          </w:p>
        </w:tc>
        <w:tc>
          <w:tcPr>
            <w:tcW w:w="7905" w:type="dxa"/>
            <w:shd w:val="clear" w:color="auto" w:fill="F2F2F2" w:themeFill="background1" w:themeFillShade="F2"/>
            <w:vAlign w:val="center"/>
          </w:tcPr>
          <w:p w14:paraId="3EE96B3B" w14:textId="77777777" w:rsidR="00AB3A3E" w:rsidRPr="004C3A0B" w:rsidRDefault="00AB3A3E" w:rsidP="005A5587">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any of the following activities:</w:t>
            </w:r>
          </w:p>
        </w:tc>
        <w:tc>
          <w:tcPr>
            <w:tcW w:w="992" w:type="dxa"/>
            <w:shd w:val="clear" w:color="auto" w:fill="F2F2F2" w:themeFill="background1" w:themeFillShade="F2"/>
            <w:vAlign w:val="center"/>
          </w:tcPr>
          <w:p w14:paraId="1BC37DD8"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026" w:type="dxa"/>
            <w:shd w:val="clear" w:color="auto" w:fill="F2F2F2" w:themeFill="background1" w:themeFillShade="F2"/>
            <w:vAlign w:val="center"/>
          </w:tcPr>
          <w:p w14:paraId="35BF7EEB" w14:textId="77777777" w:rsidR="00AB3A3E" w:rsidRPr="004C3A0B" w:rsidRDefault="00AB3A3E" w:rsidP="005A5587">
            <w:pPr>
              <w:autoSpaceDE w:val="0"/>
              <w:autoSpaceDN w:val="0"/>
              <w:adjustRightInd w:val="0"/>
              <w:jc w:val="center"/>
              <w:rPr>
                <w:rFonts w:ascii="Arial" w:hAnsi="Arial" w:cs="Arial"/>
                <w:b/>
                <w:bCs/>
                <w:sz w:val="22"/>
              </w:rPr>
            </w:pPr>
            <w:r w:rsidRPr="004C3A0B">
              <w:rPr>
                <w:rFonts w:ascii="Arial" w:hAnsi="Arial" w:cs="Arial"/>
                <w:b/>
                <w:bCs/>
                <w:sz w:val="22"/>
              </w:rPr>
              <w:t>NO</w:t>
            </w:r>
          </w:p>
        </w:tc>
      </w:tr>
      <w:tr w:rsidR="00AB3A3E" w:rsidRPr="004C3A0B" w14:paraId="32707224" w14:textId="77777777" w:rsidTr="005A5587">
        <w:trPr>
          <w:trHeight w:val="439"/>
        </w:trPr>
        <w:tc>
          <w:tcPr>
            <w:tcW w:w="562" w:type="dxa"/>
            <w:shd w:val="clear" w:color="auto" w:fill="F2F2F2" w:themeFill="background1" w:themeFillShade="F2"/>
            <w:vAlign w:val="center"/>
          </w:tcPr>
          <w:p w14:paraId="3012AB17" w14:textId="77777777" w:rsidR="00AB3A3E" w:rsidRPr="00842FC0"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3</w:t>
            </w:r>
          </w:p>
        </w:tc>
        <w:tc>
          <w:tcPr>
            <w:tcW w:w="7905" w:type="dxa"/>
            <w:shd w:val="clear" w:color="auto" w:fill="F2F2F2" w:themeFill="background1" w:themeFillShade="F2"/>
            <w:vAlign w:val="center"/>
          </w:tcPr>
          <w:p w14:paraId="573A4D12"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992" w:type="dxa"/>
            <w:shd w:val="clear" w:color="auto" w:fill="BFBFBF" w:themeFill="background1" w:themeFillShade="BF"/>
            <w:vAlign w:val="center"/>
          </w:tcPr>
          <w:sdt>
            <w:sdtPr>
              <w:rPr>
                <w:rFonts w:ascii="Arial" w:hAnsi="Arial" w:cs="Arial"/>
                <w:b/>
                <w:bCs/>
                <w:sz w:val="22"/>
              </w:rPr>
              <w:id w:val="-243347341"/>
              <w14:checkbox>
                <w14:checked w14:val="1"/>
                <w14:checkedState w14:val="2612" w14:font="MS Gothic"/>
                <w14:uncheckedState w14:val="2610" w14:font="MS Gothic"/>
              </w14:checkbox>
            </w:sdtPr>
            <w:sdtContent>
              <w:p w14:paraId="72ABA2D2"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809138048"/>
              <w14:checkbox>
                <w14:checked w14:val="0"/>
                <w14:checkedState w14:val="2612" w14:font="MS Gothic"/>
                <w14:uncheckedState w14:val="2610" w14:font="MS Gothic"/>
              </w14:checkbox>
            </w:sdtPr>
            <w:sdtContent>
              <w:p w14:paraId="3D925916"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6D21C71F" w14:textId="77777777" w:rsidTr="005A5587">
        <w:trPr>
          <w:trHeight w:val="403"/>
        </w:trPr>
        <w:tc>
          <w:tcPr>
            <w:tcW w:w="562" w:type="dxa"/>
            <w:shd w:val="clear" w:color="auto" w:fill="F2F2F2" w:themeFill="background1" w:themeFillShade="F2"/>
            <w:vAlign w:val="center"/>
          </w:tcPr>
          <w:p w14:paraId="1ED79E0E" w14:textId="77777777" w:rsidR="00AB3A3E" w:rsidRPr="00842FC0"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4</w:t>
            </w:r>
          </w:p>
        </w:tc>
        <w:tc>
          <w:tcPr>
            <w:tcW w:w="7905" w:type="dxa"/>
            <w:shd w:val="clear" w:color="auto" w:fill="F2F2F2" w:themeFill="background1" w:themeFillShade="F2"/>
            <w:vAlign w:val="center"/>
          </w:tcPr>
          <w:p w14:paraId="50D743CB"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Sharing of data with others at the University</w:t>
            </w:r>
            <w:r>
              <w:rPr>
                <w:rFonts w:ascii="Arial" w:hAnsi="Arial" w:cs="Arial"/>
                <w:sz w:val="22"/>
              </w:rPr>
              <w:t xml:space="preserve"> outside of the immediate research team</w:t>
            </w:r>
            <w:r w:rsidRPr="004C3A0B">
              <w:rPr>
                <w:rFonts w:ascii="Arial" w:hAnsi="Arial" w:cs="Arial"/>
                <w:sz w:val="22"/>
              </w:rPr>
              <w:t>?</w:t>
            </w:r>
          </w:p>
        </w:tc>
        <w:tc>
          <w:tcPr>
            <w:tcW w:w="992" w:type="dxa"/>
            <w:shd w:val="clear" w:color="auto" w:fill="BFBFBF" w:themeFill="background1" w:themeFillShade="BF"/>
            <w:vAlign w:val="center"/>
          </w:tcPr>
          <w:sdt>
            <w:sdtPr>
              <w:rPr>
                <w:rFonts w:ascii="Arial" w:hAnsi="Arial" w:cs="Arial"/>
                <w:b/>
                <w:bCs/>
                <w:sz w:val="22"/>
              </w:rPr>
              <w:id w:val="206609976"/>
              <w14:checkbox>
                <w14:checked w14:val="0"/>
                <w14:checkedState w14:val="2612" w14:font="MS Gothic"/>
                <w14:uncheckedState w14:val="2610" w14:font="MS Gothic"/>
              </w14:checkbox>
            </w:sdtPr>
            <w:sdtContent>
              <w:p w14:paraId="6D50B23D"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1162969108"/>
              <w14:checkbox>
                <w14:checked w14:val="1"/>
                <w14:checkedState w14:val="2612" w14:font="MS Gothic"/>
                <w14:uncheckedState w14:val="2610" w14:font="MS Gothic"/>
              </w14:checkbox>
            </w:sdtPr>
            <w:sdtContent>
              <w:p w14:paraId="4BD2B2CA"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07F7C966" w14:textId="77777777" w:rsidTr="005A5587">
        <w:trPr>
          <w:trHeight w:val="439"/>
        </w:trPr>
        <w:tc>
          <w:tcPr>
            <w:tcW w:w="562" w:type="dxa"/>
            <w:shd w:val="clear" w:color="auto" w:fill="F2F2F2" w:themeFill="background1" w:themeFillShade="F2"/>
            <w:vAlign w:val="center"/>
          </w:tcPr>
          <w:p w14:paraId="43E0E500" w14:textId="77777777" w:rsidR="00AB3A3E" w:rsidRPr="00842FC0"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5</w:t>
            </w:r>
          </w:p>
        </w:tc>
        <w:tc>
          <w:tcPr>
            <w:tcW w:w="7905" w:type="dxa"/>
            <w:shd w:val="clear" w:color="auto" w:fill="F2F2F2" w:themeFill="background1" w:themeFillShade="F2"/>
            <w:vAlign w:val="center"/>
          </w:tcPr>
          <w:p w14:paraId="25BE0AB1"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992" w:type="dxa"/>
            <w:shd w:val="clear" w:color="auto" w:fill="BFBFBF" w:themeFill="background1" w:themeFillShade="BF"/>
            <w:vAlign w:val="center"/>
          </w:tcPr>
          <w:sdt>
            <w:sdtPr>
              <w:rPr>
                <w:rFonts w:ascii="Arial" w:hAnsi="Arial" w:cs="Arial"/>
                <w:b/>
                <w:bCs/>
                <w:sz w:val="22"/>
              </w:rPr>
              <w:id w:val="-853718064"/>
              <w14:checkbox>
                <w14:checked w14:val="0"/>
                <w14:checkedState w14:val="2612" w14:font="MS Gothic"/>
                <w14:uncheckedState w14:val="2610" w14:font="MS Gothic"/>
              </w14:checkbox>
            </w:sdtPr>
            <w:sdtContent>
              <w:p w14:paraId="06ACEC0A"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692922631"/>
              <w14:checkbox>
                <w14:checked w14:val="1"/>
                <w14:checkedState w14:val="2612" w14:font="MS Gothic"/>
                <w14:uncheckedState w14:val="2610" w14:font="MS Gothic"/>
              </w14:checkbox>
            </w:sdtPr>
            <w:sdtContent>
              <w:p w14:paraId="32E7F6E7"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20BA320C" w14:textId="77777777" w:rsidTr="005A5587">
        <w:trPr>
          <w:trHeight w:val="403"/>
        </w:trPr>
        <w:tc>
          <w:tcPr>
            <w:tcW w:w="562" w:type="dxa"/>
            <w:shd w:val="clear" w:color="auto" w:fill="F2F2F2" w:themeFill="background1" w:themeFillShade="F2"/>
            <w:vAlign w:val="center"/>
          </w:tcPr>
          <w:p w14:paraId="47F5FA7D" w14:textId="77777777" w:rsidR="00AB3A3E" w:rsidRPr="00842FC0" w:rsidRDefault="00AB3A3E" w:rsidP="005A5587">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6</w:t>
            </w:r>
          </w:p>
        </w:tc>
        <w:tc>
          <w:tcPr>
            <w:tcW w:w="7905" w:type="dxa"/>
            <w:shd w:val="clear" w:color="auto" w:fill="F2F2F2" w:themeFill="background1" w:themeFillShade="F2"/>
            <w:vAlign w:val="center"/>
          </w:tcPr>
          <w:p w14:paraId="42975C3C"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 xml:space="preserve">Export of data outside the </w:t>
            </w:r>
            <w:r>
              <w:rPr>
                <w:rFonts w:ascii="Arial" w:hAnsi="Arial" w:cs="Arial"/>
                <w:sz w:val="22"/>
              </w:rPr>
              <w:t>UK</w:t>
            </w:r>
            <w:r w:rsidRPr="004C3A0B">
              <w:rPr>
                <w:rFonts w:ascii="Arial" w:hAnsi="Arial" w:cs="Arial"/>
                <w:sz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rPr>
              <w:id w:val="-1311477419"/>
              <w14:checkbox>
                <w14:checked w14:val="1"/>
                <w14:checkedState w14:val="2612" w14:font="MS Gothic"/>
                <w14:uncheckedState w14:val="2610" w14:font="MS Gothic"/>
              </w14:checkbox>
            </w:sdtPr>
            <w:sdtContent>
              <w:p w14:paraId="43BA46EF"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982232726"/>
              <w14:checkbox>
                <w14:checked w14:val="0"/>
                <w14:checkedState w14:val="2612" w14:font="MS Gothic"/>
                <w14:uncheckedState w14:val="2610" w14:font="MS Gothic"/>
              </w14:checkbox>
            </w:sdtPr>
            <w:sdtContent>
              <w:p w14:paraId="5C401032"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3648BF65" w14:textId="77777777" w:rsidTr="005A5587">
        <w:trPr>
          <w:trHeight w:val="403"/>
        </w:trPr>
        <w:tc>
          <w:tcPr>
            <w:tcW w:w="562" w:type="dxa"/>
            <w:shd w:val="clear" w:color="auto" w:fill="F2F2F2" w:themeFill="background1" w:themeFillShade="F2"/>
            <w:vAlign w:val="center"/>
          </w:tcPr>
          <w:p w14:paraId="221EAEB5" w14:textId="77777777" w:rsidR="00AB3A3E" w:rsidRPr="00842FC0" w:rsidRDefault="00AB3A3E" w:rsidP="005A5587">
            <w:pPr>
              <w:autoSpaceDE w:val="0"/>
              <w:autoSpaceDN w:val="0"/>
              <w:adjustRightInd w:val="0"/>
              <w:jc w:val="center"/>
              <w:rPr>
                <w:rFonts w:ascii="Arial" w:hAnsi="Arial" w:cs="Arial"/>
                <w:sz w:val="22"/>
              </w:rPr>
            </w:pPr>
            <w:r>
              <w:rPr>
                <w:rFonts w:ascii="Arial" w:hAnsi="Arial" w:cs="Arial"/>
                <w:sz w:val="22"/>
              </w:rPr>
              <w:t>17</w:t>
            </w:r>
          </w:p>
        </w:tc>
        <w:tc>
          <w:tcPr>
            <w:tcW w:w="7905" w:type="dxa"/>
            <w:shd w:val="clear" w:color="auto" w:fill="F2F2F2" w:themeFill="background1" w:themeFillShade="F2"/>
            <w:vAlign w:val="center"/>
          </w:tcPr>
          <w:p w14:paraId="0E212003"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rPr>
              <w:id w:val="580263657"/>
              <w14:checkbox>
                <w14:checked w14:val="0"/>
                <w14:checkedState w14:val="2612" w14:font="MS Gothic"/>
                <w14:uncheckedState w14:val="2610" w14:font="MS Gothic"/>
              </w14:checkbox>
            </w:sdtPr>
            <w:sdtContent>
              <w:p w14:paraId="27D5C6CB"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705679297"/>
              <w14:checkbox>
                <w14:checked w14:val="1"/>
                <w14:checkedState w14:val="2612" w14:font="MS Gothic"/>
                <w14:uncheckedState w14:val="2610" w14:font="MS Gothic"/>
              </w14:checkbox>
            </w:sdtPr>
            <w:sdtContent>
              <w:p w14:paraId="4F3819F6"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79721CF0" w14:textId="77777777" w:rsidTr="005A5587">
        <w:trPr>
          <w:trHeight w:val="403"/>
        </w:trPr>
        <w:tc>
          <w:tcPr>
            <w:tcW w:w="562" w:type="dxa"/>
            <w:shd w:val="clear" w:color="auto" w:fill="F2F2F2" w:themeFill="background1" w:themeFillShade="F2"/>
            <w:vAlign w:val="center"/>
          </w:tcPr>
          <w:p w14:paraId="1FE3550B" w14:textId="77777777" w:rsidR="00AB3A3E" w:rsidRPr="00842FC0" w:rsidRDefault="00AB3A3E" w:rsidP="005A5587">
            <w:pPr>
              <w:autoSpaceDE w:val="0"/>
              <w:autoSpaceDN w:val="0"/>
              <w:adjustRightInd w:val="0"/>
              <w:jc w:val="center"/>
              <w:rPr>
                <w:rFonts w:ascii="Arial" w:hAnsi="Arial" w:cs="Arial"/>
                <w:sz w:val="22"/>
              </w:rPr>
            </w:pPr>
            <w:r>
              <w:rPr>
                <w:rFonts w:ascii="Arial" w:hAnsi="Arial" w:cs="Arial"/>
                <w:sz w:val="22"/>
              </w:rPr>
              <w:t>18</w:t>
            </w:r>
          </w:p>
        </w:tc>
        <w:tc>
          <w:tcPr>
            <w:tcW w:w="7905" w:type="dxa"/>
            <w:shd w:val="clear" w:color="auto" w:fill="F2F2F2" w:themeFill="background1" w:themeFillShade="F2"/>
            <w:vAlign w:val="center"/>
          </w:tcPr>
          <w:p w14:paraId="6F42482E"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rPr>
              <w:id w:val="1833259881"/>
              <w14:checkbox>
                <w14:checked w14:val="0"/>
                <w14:checkedState w14:val="2612" w14:font="MS Gothic"/>
                <w14:uncheckedState w14:val="2610" w14:font="MS Gothic"/>
              </w14:checkbox>
            </w:sdtPr>
            <w:sdtContent>
              <w:p w14:paraId="5CD80DF6" w14:textId="77777777" w:rsidR="00AB3A3E" w:rsidRPr="004C3A0B" w:rsidRDefault="00AB3A3E" w:rsidP="005A5587">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026" w:type="dxa"/>
            <w:shd w:val="clear" w:color="auto" w:fill="BFBFBF" w:themeFill="background1" w:themeFillShade="BF"/>
            <w:vAlign w:val="center"/>
          </w:tcPr>
          <w:sdt>
            <w:sdtPr>
              <w:rPr>
                <w:rFonts w:ascii="Arial" w:hAnsi="Arial" w:cs="Arial"/>
                <w:b/>
                <w:bCs/>
                <w:sz w:val="22"/>
              </w:rPr>
              <w:id w:val="48495840"/>
              <w14:checkbox>
                <w14:checked w14:val="1"/>
                <w14:checkedState w14:val="2612" w14:font="MS Gothic"/>
                <w14:uncheckedState w14:val="2610" w14:font="MS Gothic"/>
              </w14:checkbox>
            </w:sdtPr>
            <w:sdtContent>
              <w:p w14:paraId="679C7CF1" w14:textId="77777777" w:rsidR="00AB3A3E" w:rsidRPr="004C3A0B" w:rsidRDefault="00AB3A3E" w:rsidP="005A5587">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AB3A3E" w:rsidRPr="004C3A0B" w14:paraId="28232192" w14:textId="77777777" w:rsidTr="005A5587">
        <w:trPr>
          <w:trHeight w:val="403"/>
        </w:trPr>
        <w:tc>
          <w:tcPr>
            <w:tcW w:w="562" w:type="dxa"/>
            <w:shd w:val="clear" w:color="auto" w:fill="F2F2F2" w:themeFill="background1" w:themeFillShade="F2"/>
            <w:vAlign w:val="center"/>
          </w:tcPr>
          <w:p w14:paraId="29CD18E7" w14:textId="77777777" w:rsidR="00AB3A3E" w:rsidRPr="00842FC0" w:rsidRDefault="00AB3A3E" w:rsidP="005A5587">
            <w:pPr>
              <w:jc w:val="center"/>
              <w:rPr>
                <w:rFonts w:ascii="Arial" w:hAnsi="Arial" w:cs="Arial"/>
                <w:sz w:val="22"/>
              </w:rPr>
            </w:pPr>
            <w:r>
              <w:rPr>
                <w:rFonts w:ascii="Arial" w:hAnsi="Arial" w:cs="Arial"/>
                <w:sz w:val="22"/>
              </w:rPr>
              <w:t>19</w:t>
            </w:r>
          </w:p>
        </w:tc>
        <w:tc>
          <w:tcPr>
            <w:tcW w:w="9923" w:type="dxa"/>
            <w:gridSpan w:val="3"/>
            <w:shd w:val="clear" w:color="auto" w:fill="F2F2F2" w:themeFill="background1" w:themeFillShade="F2"/>
            <w:vAlign w:val="center"/>
          </w:tcPr>
          <w:p w14:paraId="3C41172E" w14:textId="77777777" w:rsidR="00AB3A3E" w:rsidRPr="004C3A0B" w:rsidRDefault="00AB3A3E" w:rsidP="005A5587">
            <w:pPr>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 xml:space="preserve">explaining how this will be conducted in accordance with the </w:t>
            </w:r>
            <w:r>
              <w:rPr>
                <w:rFonts w:ascii="Arial" w:hAnsi="Arial" w:cs="Arial"/>
                <w:bCs/>
                <w:sz w:val="22"/>
              </w:rPr>
              <w:t>GDPR and Data Protection Act (2018)</w:t>
            </w:r>
            <w:r w:rsidRPr="004C3A0B">
              <w:rPr>
                <w:rFonts w:ascii="Arial" w:hAnsi="Arial" w:cs="Arial"/>
                <w:bCs/>
                <w:sz w:val="22"/>
              </w:rPr>
              <w:t xml:space="preserve"> (and/or any international equivalent):</w:t>
            </w:r>
          </w:p>
        </w:tc>
      </w:tr>
      <w:tr w:rsidR="00AB3A3E" w:rsidRPr="004C3A0B" w14:paraId="16EF690E" w14:textId="77777777" w:rsidTr="005A5587">
        <w:trPr>
          <w:trHeight w:val="403"/>
        </w:trPr>
        <w:tc>
          <w:tcPr>
            <w:tcW w:w="562" w:type="dxa"/>
            <w:vAlign w:val="center"/>
          </w:tcPr>
          <w:p w14:paraId="66CB9A0E" w14:textId="77777777" w:rsidR="00AB3A3E" w:rsidRPr="00E65973" w:rsidRDefault="00AB3A3E" w:rsidP="005A5587">
            <w:pPr>
              <w:autoSpaceDE w:val="0"/>
              <w:autoSpaceDN w:val="0"/>
              <w:adjustRightInd w:val="0"/>
              <w:jc w:val="center"/>
              <w:rPr>
                <w:rFonts w:ascii="Arial" w:hAnsi="Arial" w:cs="Arial"/>
                <w:sz w:val="22"/>
              </w:rPr>
            </w:pPr>
          </w:p>
        </w:tc>
        <w:tc>
          <w:tcPr>
            <w:tcW w:w="9923" w:type="dxa"/>
            <w:gridSpan w:val="3"/>
          </w:tcPr>
          <w:p w14:paraId="2BE1F7E2" w14:textId="77777777" w:rsidR="00AB3A3E" w:rsidRPr="0026717F" w:rsidRDefault="00AB3A3E" w:rsidP="005A5587">
            <w:pPr>
              <w:autoSpaceDE w:val="0"/>
              <w:autoSpaceDN w:val="0"/>
              <w:adjustRightInd w:val="0"/>
              <w:rPr>
                <w:rFonts w:cs="Arial"/>
                <w:szCs w:val="24"/>
              </w:rPr>
            </w:pPr>
            <w:r w:rsidRPr="0026717F">
              <w:rPr>
                <w:szCs w:val="24"/>
              </w:rPr>
              <w:t>Data will be collected electronically through Google Forms and may involve cloud storage/transfer. The form settings will not collect email addresses and will not request names or employer names. Only anonymous survey responses will be downloaded for analysis. Because Google services may store or process data outside the UK, the researcher will minimise risk by collecting only non-identifying data. The downloaded dataset will be stored securely in password-protected University Office 365 storage where available. Data will not be shared with organisations outside the University and will not be published in a way that identifies individuals.</w:t>
            </w:r>
          </w:p>
        </w:tc>
      </w:tr>
      <w:tr w:rsidR="00AB3A3E" w:rsidRPr="004C3A0B" w14:paraId="2FF0679E" w14:textId="77777777" w:rsidTr="005A5587">
        <w:trPr>
          <w:trHeight w:val="403"/>
        </w:trPr>
        <w:tc>
          <w:tcPr>
            <w:tcW w:w="562" w:type="dxa"/>
            <w:shd w:val="clear" w:color="auto" w:fill="F2F2F2" w:themeFill="background1" w:themeFillShade="F2"/>
            <w:vAlign w:val="center"/>
          </w:tcPr>
          <w:p w14:paraId="799DEA4A" w14:textId="77777777" w:rsidR="00AB3A3E" w:rsidRPr="00842FC0" w:rsidRDefault="00AB3A3E" w:rsidP="005A5587">
            <w:pPr>
              <w:autoSpaceDE w:val="0"/>
              <w:autoSpaceDN w:val="0"/>
              <w:adjustRightInd w:val="0"/>
              <w:jc w:val="center"/>
              <w:rPr>
                <w:rFonts w:ascii="Arial" w:hAnsi="Arial" w:cs="Arial"/>
                <w:bCs/>
                <w:sz w:val="22"/>
              </w:rPr>
            </w:pPr>
            <w:r>
              <w:rPr>
                <w:rFonts w:ascii="Arial" w:hAnsi="Arial" w:cs="Arial"/>
                <w:sz w:val="22"/>
              </w:rPr>
              <w:t>20</w:t>
            </w:r>
          </w:p>
        </w:tc>
        <w:tc>
          <w:tcPr>
            <w:tcW w:w="9923" w:type="dxa"/>
            <w:gridSpan w:val="3"/>
            <w:shd w:val="clear" w:color="auto" w:fill="F2F2F2" w:themeFill="background1" w:themeFillShade="F2"/>
            <w:vAlign w:val="center"/>
          </w:tcPr>
          <w:p w14:paraId="3A321F88"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AB3A3E" w:rsidRPr="004C3A0B" w14:paraId="46674D98" w14:textId="77777777" w:rsidTr="005A5587">
        <w:trPr>
          <w:trHeight w:val="403"/>
        </w:trPr>
        <w:tc>
          <w:tcPr>
            <w:tcW w:w="562" w:type="dxa"/>
            <w:vAlign w:val="center"/>
          </w:tcPr>
          <w:p w14:paraId="34C3EF9E" w14:textId="77777777" w:rsidR="00AB3A3E" w:rsidRPr="00E65973" w:rsidRDefault="00AB3A3E" w:rsidP="005A5587">
            <w:pPr>
              <w:autoSpaceDE w:val="0"/>
              <w:autoSpaceDN w:val="0"/>
              <w:adjustRightInd w:val="0"/>
              <w:jc w:val="center"/>
              <w:rPr>
                <w:rFonts w:ascii="Arial" w:hAnsi="Arial" w:cs="Arial"/>
                <w:sz w:val="22"/>
              </w:rPr>
            </w:pPr>
          </w:p>
        </w:tc>
        <w:tc>
          <w:tcPr>
            <w:tcW w:w="9923" w:type="dxa"/>
            <w:gridSpan w:val="3"/>
          </w:tcPr>
          <w:p w14:paraId="5BCC445B" w14:textId="77777777" w:rsidR="00AB3A3E" w:rsidRPr="0026717F" w:rsidRDefault="00AB3A3E" w:rsidP="005A5587">
            <w:pPr>
              <w:autoSpaceDE w:val="0"/>
              <w:autoSpaceDN w:val="0"/>
              <w:adjustRightInd w:val="0"/>
              <w:rPr>
                <w:rFonts w:ascii="Arial" w:hAnsi="Arial" w:cs="Arial"/>
                <w:szCs w:val="24"/>
              </w:rPr>
            </w:pPr>
            <w:r w:rsidRPr="0026717F">
              <w:rPr>
                <w:szCs w:val="24"/>
              </w:rPr>
              <w:t>The principal researcher, the academic supervisor, and where necessary authorised University markers/examiners will have access to the anonymised research data or dissertation materials.</w:t>
            </w:r>
          </w:p>
        </w:tc>
      </w:tr>
      <w:tr w:rsidR="00AB3A3E" w:rsidRPr="004C3A0B" w14:paraId="5922DDC0" w14:textId="77777777" w:rsidTr="005A5587">
        <w:trPr>
          <w:trHeight w:val="403"/>
        </w:trPr>
        <w:tc>
          <w:tcPr>
            <w:tcW w:w="562" w:type="dxa"/>
            <w:shd w:val="clear" w:color="auto" w:fill="F2F2F2" w:themeFill="background1" w:themeFillShade="F2"/>
            <w:vAlign w:val="center"/>
          </w:tcPr>
          <w:p w14:paraId="0418A7B3" w14:textId="77777777" w:rsidR="00AB3A3E" w:rsidRPr="00842FC0" w:rsidRDefault="00AB3A3E" w:rsidP="005A5587">
            <w:pPr>
              <w:autoSpaceDE w:val="0"/>
              <w:autoSpaceDN w:val="0"/>
              <w:adjustRightInd w:val="0"/>
              <w:jc w:val="center"/>
              <w:rPr>
                <w:rFonts w:ascii="Arial" w:hAnsi="Arial" w:cs="Arial"/>
                <w:bCs/>
                <w:sz w:val="22"/>
              </w:rPr>
            </w:pPr>
            <w:r>
              <w:rPr>
                <w:rFonts w:ascii="Arial" w:hAnsi="Arial" w:cs="Arial"/>
                <w:sz w:val="22"/>
              </w:rPr>
              <w:t>21</w:t>
            </w:r>
          </w:p>
        </w:tc>
        <w:tc>
          <w:tcPr>
            <w:tcW w:w="9923" w:type="dxa"/>
            <w:gridSpan w:val="3"/>
            <w:shd w:val="clear" w:color="auto" w:fill="F2F2F2" w:themeFill="background1" w:themeFillShade="F2"/>
          </w:tcPr>
          <w:p w14:paraId="40E62B96"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AB3A3E" w:rsidRPr="004C3A0B" w14:paraId="372B29DD" w14:textId="77777777" w:rsidTr="005A5587">
        <w:trPr>
          <w:trHeight w:val="403"/>
        </w:trPr>
        <w:tc>
          <w:tcPr>
            <w:tcW w:w="562" w:type="dxa"/>
            <w:vAlign w:val="center"/>
          </w:tcPr>
          <w:p w14:paraId="29A1FACC" w14:textId="77777777" w:rsidR="00AB3A3E" w:rsidRPr="00E65973" w:rsidRDefault="00AB3A3E" w:rsidP="005A5587">
            <w:pPr>
              <w:autoSpaceDE w:val="0"/>
              <w:autoSpaceDN w:val="0"/>
              <w:adjustRightInd w:val="0"/>
              <w:jc w:val="center"/>
              <w:rPr>
                <w:rFonts w:ascii="Arial" w:hAnsi="Arial" w:cs="Arial"/>
                <w:sz w:val="22"/>
              </w:rPr>
            </w:pPr>
          </w:p>
        </w:tc>
        <w:tc>
          <w:tcPr>
            <w:tcW w:w="9923" w:type="dxa"/>
            <w:gridSpan w:val="3"/>
          </w:tcPr>
          <w:p w14:paraId="461F3B1A" w14:textId="77777777" w:rsidR="00AB3A3E" w:rsidRPr="0026717F" w:rsidRDefault="00AB3A3E" w:rsidP="005A5587">
            <w:pPr>
              <w:autoSpaceDE w:val="0"/>
              <w:autoSpaceDN w:val="0"/>
              <w:adjustRightInd w:val="0"/>
              <w:rPr>
                <w:rFonts w:ascii="Arial" w:hAnsi="Arial" w:cs="Arial"/>
                <w:szCs w:val="24"/>
              </w:rPr>
            </w:pPr>
            <w:r w:rsidRPr="0026717F">
              <w:rPr>
                <w:szCs w:val="24"/>
              </w:rPr>
              <w:t>The principal researcher will control and act as custodian for the data generated by the research activity, under the guidance of the academic supervisor and University policy.</w:t>
            </w:r>
          </w:p>
        </w:tc>
      </w:tr>
      <w:tr w:rsidR="00AB3A3E" w:rsidRPr="004C3A0B" w14:paraId="75C2AF0F" w14:textId="77777777" w:rsidTr="005A5587">
        <w:trPr>
          <w:trHeight w:val="403"/>
        </w:trPr>
        <w:tc>
          <w:tcPr>
            <w:tcW w:w="562" w:type="dxa"/>
            <w:shd w:val="clear" w:color="auto" w:fill="F2F2F2" w:themeFill="background1" w:themeFillShade="F2"/>
            <w:vAlign w:val="center"/>
          </w:tcPr>
          <w:p w14:paraId="0DF1DFD3" w14:textId="77777777" w:rsidR="00AB3A3E" w:rsidRPr="00842FC0" w:rsidRDefault="00AB3A3E" w:rsidP="005A5587">
            <w:pPr>
              <w:autoSpaceDE w:val="0"/>
              <w:autoSpaceDN w:val="0"/>
              <w:adjustRightInd w:val="0"/>
              <w:jc w:val="center"/>
              <w:rPr>
                <w:rFonts w:ascii="Arial" w:hAnsi="Arial" w:cs="Arial"/>
                <w:bCs/>
                <w:sz w:val="22"/>
              </w:rPr>
            </w:pPr>
            <w:r>
              <w:rPr>
                <w:rFonts w:ascii="Arial" w:hAnsi="Arial" w:cs="Arial"/>
                <w:sz w:val="22"/>
              </w:rPr>
              <w:t>22</w:t>
            </w:r>
          </w:p>
        </w:tc>
        <w:tc>
          <w:tcPr>
            <w:tcW w:w="9923" w:type="dxa"/>
            <w:gridSpan w:val="3"/>
            <w:shd w:val="clear" w:color="auto" w:fill="F2F2F2" w:themeFill="background1" w:themeFillShade="F2"/>
          </w:tcPr>
          <w:p w14:paraId="132461A5" w14:textId="77777777" w:rsidR="00AB3A3E" w:rsidRPr="004C3A0B" w:rsidRDefault="00AB3A3E" w:rsidP="005A5587">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t>
            </w:r>
            <w:r>
              <w:rPr>
                <w:rFonts w:ascii="Arial" w:hAnsi="Arial" w:cs="Arial"/>
                <w:bCs/>
                <w:sz w:val="22"/>
              </w:rPr>
              <w:t xml:space="preserve">security measures in place to protect the data, </w:t>
            </w:r>
            <w:r w:rsidRPr="004C3A0B">
              <w:rPr>
                <w:rFonts w:ascii="Arial" w:hAnsi="Arial" w:cs="Arial"/>
                <w:bCs/>
                <w:sz w:val="22"/>
              </w:rPr>
              <w:t xml:space="preserve">where data will be stored, how long for, and in what form. </w:t>
            </w:r>
          </w:p>
        </w:tc>
      </w:tr>
      <w:tr w:rsidR="00AB3A3E" w:rsidRPr="004C3A0B" w14:paraId="7ECA9442" w14:textId="77777777" w:rsidTr="005A5587">
        <w:trPr>
          <w:trHeight w:val="403"/>
        </w:trPr>
        <w:tc>
          <w:tcPr>
            <w:tcW w:w="562" w:type="dxa"/>
            <w:vAlign w:val="center"/>
          </w:tcPr>
          <w:p w14:paraId="48C2D486" w14:textId="77777777" w:rsidR="00AB3A3E" w:rsidRPr="00E65973" w:rsidRDefault="00AB3A3E" w:rsidP="005A5587">
            <w:pPr>
              <w:autoSpaceDE w:val="0"/>
              <w:autoSpaceDN w:val="0"/>
              <w:adjustRightInd w:val="0"/>
              <w:jc w:val="center"/>
              <w:rPr>
                <w:rFonts w:ascii="Arial" w:hAnsi="Arial" w:cs="Arial"/>
                <w:sz w:val="22"/>
              </w:rPr>
            </w:pPr>
          </w:p>
        </w:tc>
        <w:tc>
          <w:tcPr>
            <w:tcW w:w="9923" w:type="dxa"/>
            <w:gridSpan w:val="3"/>
          </w:tcPr>
          <w:p w14:paraId="755FFF1B" w14:textId="77777777" w:rsidR="00AB3A3E" w:rsidRPr="0026717F" w:rsidRDefault="00AB3A3E" w:rsidP="005A5587">
            <w:pPr>
              <w:autoSpaceDE w:val="0"/>
              <w:autoSpaceDN w:val="0"/>
              <w:adjustRightInd w:val="0"/>
              <w:rPr>
                <w:rFonts w:ascii="Arial" w:hAnsi="Arial" w:cs="Arial"/>
                <w:szCs w:val="24"/>
              </w:rPr>
            </w:pPr>
            <w:r w:rsidRPr="0026717F">
              <w:rPr>
                <w:szCs w:val="24"/>
              </w:rPr>
              <w:t xml:space="preserve">All data will be stored digitally. During collection, responses will be held in the password-protected Google Forms account used for the research. After collection, responses will be downloaded as an </w:t>
            </w:r>
            <w:r w:rsidRPr="0026717F">
              <w:rPr>
                <w:szCs w:val="24"/>
              </w:rPr>
              <w:lastRenderedPageBreak/>
              <w:t>Excel/CSV file and stored in password-protected University Office 365 storage where available. The dataset will contain no names, email addresses or employer names. Data will be kept until the research has been completed and assessed, or for the period required by the University, and then securely deleted.</w:t>
            </w:r>
          </w:p>
        </w:tc>
      </w:tr>
      <w:tr w:rsidR="00AB3A3E" w:rsidRPr="004C3A0B" w14:paraId="0A11784F" w14:textId="77777777" w:rsidTr="005A5587">
        <w:trPr>
          <w:trHeight w:val="600"/>
        </w:trPr>
        <w:tc>
          <w:tcPr>
            <w:tcW w:w="562" w:type="dxa"/>
            <w:shd w:val="clear" w:color="auto" w:fill="F2F2F2" w:themeFill="background1" w:themeFillShade="F2"/>
            <w:vAlign w:val="center"/>
          </w:tcPr>
          <w:p w14:paraId="3CA6A5EE" w14:textId="77777777" w:rsidR="00AB3A3E" w:rsidRPr="00842FC0" w:rsidRDefault="00AB3A3E" w:rsidP="005A5587">
            <w:pPr>
              <w:autoSpaceDE w:val="0"/>
              <w:autoSpaceDN w:val="0"/>
              <w:adjustRightInd w:val="0"/>
              <w:jc w:val="center"/>
              <w:rPr>
                <w:rFonts w:ascii="Arial" w:hAnsi="Arial" w:cs="Arial"/>
                <w:bCs/>
                <w:sz w:val="22"/>
              </w:rPr>
            </w:pPr>
            <w:r w:rsidRPr="00E65973">
              <w:rPr>
                <w:rFonts w:ascii="Arial" w:hAnsi="Arial" w:cs="Arial"/>
                <w:bCs/>
                <w:sz w:val="22"/>
              </w:rPr>
              <w:t>2</w:t>
            </w:r>
            <w:r>
              <w:rPr>
                <w:rFonts w:ascii="Arial" w:hAnsi="Arial" w:cs="Arial"/>
                <w:bCs/>
                <w:sz w:val="22"/>
              </w:rPr>
              <w:t>2</w:t>
            </w:r>
          </w:p>
        </w:tc>
        <w:tc>
          <w:tcPr>
            <w:tcW w:w="7905" w:type="dxa"/>
            <w:shd w:val="clear" w:color="auto" w:fill="F2F2F2" w:themeFill="background1" w:themeFillShade="F2"/>
          </w:tcPr>
          <w:p w14:paraId="60388256" w14:textId="77777777" w:rsidR="00AB3A3E" w:rsidRPr="009563B2" w:rsidRDefault="00AB3A3E" w:rsidP="005A5587">
            <w:pPr>
              <w:autoSpaceDE w:val="0"/>
              <w:autoSpaceDN w:val="0"/>
              <w:adjustRightInd w:val="0"/>
              <w:rPr>
                <w:rFonts w:ascii="Arial" w:hAnsi="Arial" w:cs="Arial"/>
                <w:color w:val="000000"/>
                <w:sz w:val="22"/>
              </w:rPr>
            </w:pPr>
            <w:r w:rsidRPr="004D6425">
              <w:rPr>
                <w:rFonts w:ascii="Arial" w:hAnsi="Arial" w:cs="Arial"/>
                <w:bCs/>
                <w:sz w:val="22"/>
              </w:rPr>
              <w:t xml:space="preserve">Confirm that you </w:t>
            </w:r>
            <w:r>
              <w:rPr>
                <w:rFonts w:ascii="Arial" w:hAnsi="Arial" w:cs="Arial"/>
                <w:bCs/>
                <w:sz w:val="22"/>
              </w:rPr>
              <w:t xml:space="preserve">have read the UWTSD guidance on data management (see </w:t>
            </w:r>
            <w:hyperlink r:id="rId102" w:history="1">
              <w:r w:rsidRPr="00C32EFB">
                <w:rPr>
                  <w:rStyle w:val="Hyperlink"/>
                  <w:rFonts w:ascii="Arial" w:eastAsiaTheme="majorEastAsia" w:hAnsi="Arial" w:cs="Arial"/>
                  <w:color w:val="000000"/>
                  <w:sz w:val="22"/>
                </w:rPr>
                <w:t>https://www.uwtsd.ac.uk/library/research-data-management/</w:t>
              </w:r>
            </w:hyperlink>
            <w:r w:rsidRPr="00C32EFB">
              <w:rPr>
                <w:rFonts w:ascii="Arial" w:hAnsi="Arial" w:cs="Arial"/>
                <w:color w:val="000000"/>
                <w:sz w:val="22"/>
              </w:rPr>
              <w:t>)</w:t>
            </w:r>
          </w:p>
        </w:tc>
        <w:tc>
          <w:tcPr>
            <w:tcW w:w="2018" w:type="dxa"/>
            <w:gridSpan w:val="2"/>
            <w:vAlign w:val="center"/>
          </w:tcPr>
          <w:p w14:paraId="72ED0624" w14:textId="77777777" w:rsidR="00AB3A3E" w:rsidRPr="0092487B" w:rsidRDefault="00000000" w:rsidP="005A5587">
            <w:pPr>
              <w:autoSpaceDE w:val="0"/>
              <w:autoSpaceDN w:val="0"/>
              <w:adjustRightInd w:val="0"/>
              <w:jc w:val="center"/>
              <w:rPr>
                <w:rFonts w:ascii="Arial" w:hAnsi="Arial" w:cs="Arial"/>
                <w:sz w:val="22"/>
              </w:rPr>
            </w:pPr>
            <w:sdt>
              <w:sdtPr>
                <w:rPr>
                  <w:rFonts w:ascii="Arial" w:hAnsi="Arial" w:cs="Arial"/>
                  <w:b/>
                  <w:bCs/>
                </w:rPr>
                <w:id w:val="1821611795"/>
                <w14:checkbox>
                  <w14:checked w14:val="0"/>
                  <w14:checkedState w14:val="2612" w14:font="MS Gothic"/>
                  <w14:uncheckedState w14:val="2610" w14:font="MS Gothic"/>
                </w14:checkbox>
              </w:sdtPr>
              <w:sdtContent>
                <w:r w:rsidR="00AB3A3E">
                  <w:rPr>
                    <w:rFonts w:ascii="MS Gothic" w:eastAsia="MS Gothic" w:hAnsi="MS Gothic" w:cs="Arial" w:hint="eastAsia"/>
                    <w:b/>
                    <w:bCs/>
                  </w:rPr>
                  <w:t>☐</w:t>
                </w:r>
              </w:sdtContent>
            </w:sdt>
          </w:p>
        </w:tc>
      </w:tr>
      <w:tr w:rsidR="00AB3A3E" w:rsidRPr="004C3A0B" w14:paraId="690CF7EB" w14:textId="77777777" w:rsidTr="005A5587">
        <w:trPr>
          <w:trHeight w:val="632"/>
        </w:trPr>
        <w:tc>
          <w:tcPr>
            <w:tcW w:w="562" w:type="dxa"/>
            <w:shd w:val="clear" w:color="auto" w:fill="F2F2F2" w:themeFill="background1" w:themeFillShade="F2"/>
            <w:vAlign w:val="center"/>
          </w:tcPr>
          <w:p w14:paraId="5B413176" w14:textId="77777777" w:rsidR="00AB3A3E" w:rsidRPr="00842FC0" w:rsidRDefault="00AB3A3E" w:rsidP="005A5587">
            <w:pPr>
              <w:autoSpaceDE w:val="0"/>
              <w:autoSpaceDN w:val="0"/>
              <w:adjustRightInd w:val="0"/>
              <w:jc w:val="center"/>
              <w:rPr>
                <w:rFonts w:ascii="Arial" w:hAnsi="Arial" w:cs="Arial"/>
                <w:bCs/>
                <w:sz w:val="22"/>
              </w:rPr>
            </w:pPr>
            <w:r>
              <w:rPr>
                <w:rFonts w:ascii="Arial" w:hAnsi="Arial" w:cs="Arial"/>
                <w:bCs/>
                <w:sz w:val="22"/>
              </w:rPr>
              <w:t>23</w:t>
            </w:r>
          </w:p>
        </w:tc>
        <w:tc>
          <w:tcPr>
            <w:tcW w:w="7905" w:type="dxa"/>
            <w:shd w:val="clear" w:color="auto" w:fill="F2F2F2" w:themeFill="background1" w:themeFillShade="F2"/>
          </w:tcPr>
          <w:p w14:paraId="6F134FA2" w14:textId="77777777" w:rsidR="00AB3A3E" w:rsidRPr="0092487B" w:rsidRDefault="00AB3A3E" w:rsidP="005A5587">
            <w:pPr>
              <w:autoSpaceDE w:val="0"/>
              <w:autoSpaceDN w:val="0"/>
              <w:adjustRightInd w:val="0"/>
              <w:rPr>
                <w:rFonts w:ascii="Arial" w:hAnsi="Arial" w:cs="Arial"/>
                <w:sz w:val="22"/>
              </w:rPr>
            </w:pPr>
            <w:r w:rsidRPr="004D6425">
              <w:rPr>
                <w:rFonts w:ascii="Arial" w:hAnsi="Arial" w:cs="Arial"/>
                <w:bCs/>
                <w:sz w:val="22"/>
              </w:rPr>
              <w:t>Confirm that you are aware that you need to keep all data until after your research has completed or the end of your funding</w:t>
            </w:r>
          </w:p>
        </w:tc>
        <w:tc>
          <w:tcPr>
            <w:tcW w:w="2018" w:type="dxa"/>
            <w:gridSpan w:val="2"/>
            <w:vAlign w:val="center"/>
          </w:tcPr>
          <w:p w14:paraId="52E2FCE6" w14:textId="77777777" w:rsidR="00AB3A3E" w:rsidRPr="0092487B" w:rsidRDefault="00000000" w:rsidP="005A5587">
            <w:pPr>
              <w:autoSpaceDE w:val="0"/>
              <w:autoSpaceDN w:val="0"/>
              <w:adjustRightInd w:val="0"/>
              <w:jc w:val="center"/>
              <w:rPr>
                <w:rFonts w:ascii="Arial" w:hAnsi="Arial" w:cs="Arial"/>
                <w:sz w:val="22"/>
              </w:rPr>
            </w:pPr>
            <w:sdt>
              <w:sdtPr>
                <w:rPr>
                  <w:rFonts w:ascii="Arial" w:hAnsi="Arial" w:cs="Arial"/>
                  <w:b/>
                  <w:bCs/>
                </w:rPr>
                <w:id w:val="767737168"/>
                <w14:checkbox>
                  <w14:checked w14:val="0"/>
                  <w14:checkedState w14:val="2612" w14:font="MS Gothic"/>
                  <w14:uncheckedState w14:val="2610" w14:font="MS Gothic"/>
                </w14:checkbox>
              </w:sdtPr>
              <w:sdtContent>
                <w:r w:rsidR="00AB3A3E">
                  <w:rPr>
                    <w:rFonts w:ascii="MS Gothic" w:eastAsia="MS Gothic" w:hAnsi="MS Gothic" w:cs="Arial" w:hint="eastAsia"/>
                    <w:b/>
                    <w:bCs/>
                  </w:rPr>
                  <w:t>☐</w:t>
                </w:r>
              </w:sdtContent>
            </w:sdt>
          </w:p>
        </w:tc>
      </w:tr>
    </w:tbl>
    <w:p w14:paraId="318FCF95" w14:textId="77777777" w:rsidR="00AB3A3E" w:rsidRDefault="00AB3A3E" w:rsidP="00AB3A3E">
      <w:pPr>
        <w:rPr>
          <w:rFonts w:ascii="Arial" w:hAnsi="Arial" w:cs="Arial"/>
          <w:b/>
          <w:bCs/>
          <w:sz w:val="22"/>
        </w:rPr>
      </w:pPr>
    </w:p>
    <w:p w14:paraId="751B5F77" w14:textId="77777777" w:rsidR="00AB3A3E" w:rsidRDefault="00AB3A3E" w:rsidP="00AB3A3E">
      <w:pPr>
        <w:autoSpaceDE w:val="0"/>
        <w:autoSpaceDN w:val="0"/>
        <w:adjustRightInd w:val="0"/>
        <w:spacing w:after="240"/>
        <w:rPr>
          <w:rFonts w:ascii="Arial" w:hAnsi="Arial" w:cs="Arial"/>
          <w:b/>
          <w:sz w:val="22"/>
        </w:rPr>
      </w:pPr>
    </w:p>
    <w:p w14:paraId="362A5E5A" w14:textId="77777777" w:rsidR="00AB3A3E" w:rsidRPr="001B41AD" w:rsidRDefault="00AB3A3E" w:rsidP="00AB3A3E">
      <w:pPr>
        <w:autoSpaceDE w:val="0"/>
        <w:autoSpaceDN w:val="0"/>
        <w:adjustRightInd w:val="0"/>
        <w:spacing w:after="240"/>
        <w:rPr>
          <w:rFonts w:ascii="Arial" w:hAnsi="Arial" w:cs="Arial"/>
          <w:b/>
          <w:sz w:val="22"/>
        </w:rPr>
      </w:pPr>
      <w:r w:rsidRPr="00354F34">
        <w:rPr>
          <w:rFonts w:ascii="Arial" w:hAnsi="Arial" w:cs="Arial"/>
          <w:b/>
          <w:sz w:val="22"/>
        </w:rPr>
        <w:t xml:space="preserve">SECTION </w:t>
      </w:r>
      <w:r>
        <w:rPr>
          <w:rFonts w:ascii="Arial" w:hAnsi="Arial" w:cs="Arial"/>
          <w:b/>
          <w:sz w:val="22"/>
        </w:rPr>
        <w:t>I</w:t>
      </w:r>
      <w:r w:rsidRPr="00354F34">
        <w:rPr>
          <w:rFonts w:ascii="Arial" w:hAnsi="Arial" w:cs="Arial"/>
          <w:b/>
          <w:sz w:val="22"/>
        </w:rPr>
        <w:t>:</w:t>
      </w:r>
      <w:r>
        <w:rPr>
          <w:rFonts w:ascii="Arial" w:hAnsi="Arial" w:cs="Arial"/>
          <w:b/>
          <w:sz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B3A3E" w:rsidRPr="003C7DED" w14:paraId="6D8BF442" w14:textId="77777777" w:rsidTr="005A5587">
        <w:tc>
          <w:tcPr>
            <w:tcW w:w="7392" w:type="dxa"/>
            <w:gridSpan w:val="2"/>
            <w:shd w:val="clear" w:color="auto" w:fill="F2F2F2" w:themeFill="background1" w:themeFillShade="F2"/>
          </w:tcPr>
          <w:p w14:paraId="127281C8" w14:textId="77777777" w:rsidR="00AB3A3E" w:rsidRPr="003C7DED" w:rsidRDefault="00AB3A3E" w:rsidP="005A5587">
            <w:pPr>
              <w:autoSpaceDE w:val="0"/>
              <w:autoSpaceDN w:val="0"/>
              <w:adjustRightInd w:val="0"/>
              <w:rPr>
                <w:rFonts w:ascii="Arial" w:hAnsi="Arial" w:cs="Arial"/>
                <w:b/>
                <w:sz w:val="22"/>
              </w:rPr>
            </w:pPr>
            <w:r>
              <w:rPr>
                <w:rFonts w:ascii="Arial" w:hAnsi="Arial" w:cs="Arial"/>
                <w:b/>
                <w:sz w:val="22"/>
              </w:rPr>
              <w:t>Use of generative AI and other AI-based tools</w:t>
            </w:r>
          </w:p>
          <w:p w14:paraId="4DE99C63" w14:textId="77777777" w:rsidR="00AB3A3E" w:rsidRDefault="00AB3A3E" w:rsidP="005A5587">
            <w:pPr>
              <w:autoSpaceDE w:val="0"/>
              <w:autoSpaceDN w:val="0"/>
              <w:adjustRightInd w:val="0"/>
              <w:rPr>
                <w:rFonts w:ascii="Arial" w:hAnsi="Arial" w:cs="Arial"/>
                <w:bCs/>
                <w:sz w:val="22"/>
              </w:rPr>
            </w:pPr>
            <w:r>
              <w:rPr>
                <w:rFonts w:ascii="Arial" w:hAnsi="Arial" w:cs="Arial"/>
                <w:bCs/>
                <w:sz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6216DCA" w14:textId="77777777" w:rsidR="00AB3A3E" w:rsidRDefault="00AB3A3E" w:rsidP="005A5587">
            <w:pPr>
              <w:autoSpaceDE w:val="0"/>
              <w:autoSpaceDN w:val="0"/>
              <w:adjustRightInd w:val="0"/>
              <w:rPr>
                <w:rFonts w:ascii="Arial" w:hAnsi="Arial" w:cs="Arial"/>
                <w:bCs/>
                <w:sz w:val="22"/>
              </w:rPr>
            </w:pPr>
          </w:p>
          <w:p w14:paraId="1B7DA079" w14:textId="77777777" w:rsidR="00AB3A3E" w:rsidRPr="00F11B19" w:rsidRDefault="00AB3A3E" w:rsidP="005A5587">
            <w:pPr>
              <w:autoSpaceDE w:val="0"/>
              <w:autoSpaceDN w:val="0"/>
              <w:adjustRightInd w:val="0"/>
              <w:rPr>
                <w:rFonts w:ascii="Arial" w:hAnsi="Arial" w:cs="Arial"/>
                <w:bCs/>
                <w:sz w:val="22"/>
              </w:rPr>
            </w:pPr>
            <w:r>
              <w:rPr>
                <w:rFonts w:ascii="Arial" w:hAnsi="Arial" w:cs="Arial"/>
                <w:bCs/>
                <w:sz w:val="22"/>
              </w:rPr>
              <w:t>Will the research use AI tools to do any of the following:</w:t>
            </w:r>
          </w:p>
        </w:tc>
        <w:tc>
          <w:tcPr>
            <w:tcW w:w="980" w:type="dxa"/>
            <w:shd w:val="clear" w:color="auto" w:fill="F2F2F2" w:themeFill="background1" w:themeFillShade="F2"/>
            <w:vAlign w:val="center"/>
          </w:tcPr>
          <w:p w14:paraId="3D81FD60" w14:textId="77777777" w:rsidR="00AB3A3E" w:rsidRPr="003C7DED" w:rsidRDefault="00AB3A3E" w:rsidP="005A5587">
            <w:pPr>
              <w:autoSpaceDE w:val="0"/>
              <w:autoSpaceDN w:val="0"/>
              <w:adjustRightInd w:val="0"/>
              <w:jc w:val="center"/>
              <w:rPr>
                <w:rFonts w:ascii="Arial" w:hAnsi="Arial" w:cs="Arial"/>
                <w:b/>
                <w:bCs/>
                <w:sz w:val="22"/>
              </w:rPr>
            </w:pPr>
            <w:r w:rsidRPr="003C7DED">
              <w:rPr>
                <w:rFonts w:ascii="Arial" w:hAnsi="Arial" w:cs="Arial"/>
                <w:b/>
                <w:bCs/>
                <w:sz w:val="22"/>
              </w:rPr>
              <w:lastRenderedPageBreak/>
              <w:t>YES</w:t>
            </w:r>
          </w:p>
        </w:tc>
        <w:tc>
          <w:tcPr>
            <w:tcW w:w="1109" w:type="dxa"/>
            <w:shd w:val="clear" w:color="auto" w:fill="F2F2F2" w:themeFill="background1" w:themeFillShade="F2"/>
            <w:vAlign w:val="center"/>
          </w:tcPr>
          <w:p w14:paraId="3EE2274A" w14:textId="77777777" w:rsidR="00AB3A3E" w:rsidRPr="003C7DED" w:rsidRDefault="00AB3A3E" w:rsidP="005A5587">
            <w:pPr>
              <w:autoSpaceDE w:val="0"/>
              <w:autoSpaceDN w:val="0"/>
              <w:adjustRightInd w:val="0"/>
              <w:jc w:val="center"/>
              <w:rPr>
                <w:rFonts w:ascii="Arial" w:hAnsi="Arial" w:cs="Arial"/>
                <w:b/>
                <w:bCs/>
                <w:sz w:val="22"/>
              </w:rPr>
            </w:pPr>
            <w:r w:rsidRPr="003C7DED">
              <w:rPr>
                <w:rFonts w:ascii="Arial" w:hAnsi="Arial" w:cs="Arial"/>
                <w:b/>
                <w:bCs/>
                <w:sz w:val="22"/>
              </w:rPr>
              <w:t>NO</w:t>
            </w:r>
          </w:p>
        </w:tc>
        <w:tc>
          <w:tcPr>
            <w:tcW w:w="1006" w:type="dxa"/>
            <w:shd w:val="clear" w:color="auto" w:fill="F2F2F2" w:themeFill="background1" w:themeFillShade="F2"/>
            <w:vAlign w:val="center"/>
          </w:tcPr>
          <w:p w14:paraId="050A0C71" w14:textId="77777777" w:rsidR="00AB3A3E" w:rsidRPr="003C7DED" w:rsidRDefault="00AB3A3E" w:rsidP="005A5587">
            <w:pPr>
              <w:autoSpaceDE w:val="0"/>
              <w:autoSpaceDN w:val="0"/>
              <w:adjustRightInd w:val="0"/>
              <w:jc w:val="center"/>
              <w:rPr>
                <w:rFonts w:ascii="Arial" w:hAnsi="Arial" w:cs="Arial"/>
                <w:b/>
                <w:bCs/>
                <w:sz w:val="22"/>
              </w:rPr>
            </w:pPr>
            <w:r w:rsidRPr="003C7DED">
              <w:rPr>
                <w:rFonts w:ascii="Arial" w:hAnsi="Arial" w:cs="Arial"/>
                <w:b/>
                <w:bCs/>
                <w:sz w:val="22"/>
              </w:rPr>
              <w:t>N/A</w:t>
            </w:r>
          </w:p>
        </w:tc>
      </w:tr>
      <w:tr w:rsidR="00AB3A3E" w:rsidRPr="003C7DED" w14:paraId="15F595A4" w14:textId="77777777" w:rsidTr="005A5587">
        <w:trPr>
          <w:trHeight w:val="439"/>
        </w:trPr>
        <w:tc>
          <w:tcPr>
            <w:tcW w:w="551" w:type="dxa"/>
            <w:shd w:val="clear" w:color="auto" w:fill="F2F2F2" w:themeFill="background1" w:themeFillShade="F2"/>
            <w:vAlign w:val="center"/>
          </w:tcPr>
          <w:p w14:paraId="2D26846F" w14:textId="77777777" w:rsidR="00AB3A3E" w:rsidRPr="003C7DED" w:rsidRDefault="00AB3A3E" w:rsidP="005A5587">
            <w:pPr>
              <w:autoSpaceDE w:val="0"/>
              <w:autoSpaceDN w:val="0"/>
              <w:adjustRightInd w:val="0"/>
              <w:jc w:val="center"/>
              <w:rPr>
                <w:rFonts w:ascii="Arial" w:hAnsi="Arial" w:cs="Arial"/>
                <w:sz w:val="22"/>
              </w:rPr>
            </w:pPr>
            <w:r w:rsidRPr="003C7DED">
              <w:rPr>
                <w:rFonts w:ascii="Arial" w:hAnsi="Arial" w:cs="Arial"/>
                <w:sz w:val="22"/>
              </w:rPr>
              <w:t>1</w:t>
            </w:r>
          </w:p>
        </w:tc>
        <w:tc>
          <w:tcPr>
            <w:tcW w:w="6841" w:type="dxa"/>
            <w:shd w:val="clear" w:color="auto" w:fill="F2F2F2" w:themeFill="background1" w:themeFillShade="F2"/>
            <w:vAlign w:val="center"/>
          </w:tcPr>
          <w:p w14:paraId="39B364ED"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Capture data?</w:t>
            </w:r>
          </w:p>
        </w:tc>
        <w:tc>
          <w:tcPr>
            <w:tcW w:w="980" w:type="dxa"/>
            <w:shd w:val="clear" w:color="auto" w:fill="BFBFBF" w:themeFill="background1" w:themeFillShade="BF"/>
            <w:vAlign w:val="center"/>
          </w:tcPr>
          <w:sdt>
            <w:sdtPr>
              <w:rPr>
                <w:rFonts w:ascii="Arial" w:hAnsi="Arial" w:cs="Arial"/>
                <w:sz w:val="22"/>
              </w:rPr>
              <w:id w:val="1926216434"/>
              <w14:checkbox>
                <w14:checked w14:val="0"/>
                <w14:checkedState w14:val="2612" w14:font="MS Gothic"/>
                <w14:uncheckedState w14:val="2610" w14:font="MS Gothic"/>
              </w14:checkbox>
            </w:sdtPr>
            <w:sdtContent>
              <w:p w14:paraId="3233A054"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109" w:type="dxa"/>
            <w:shd w:val="clear" w:color="auto" w:fill="BFBFBF" w:themeFill="background1" w:themeFillShade="BF"/>
            <w:vAlign w:val="center"/>
          </w:tcPr>
          <w:sdt>
            <w:sdtPr>
              <w:rPr>
                <w:rFonts w:ascii="Arial" w:hAnsi="Arial" w:cs="Arial"/>
                <w:sz w:val="22"/>
              </w:rPr>
              <w:id w:val="707373964"/>
              <w14:checkbox>
                <w14:checked w14:val="1"/>
                <w14:checkedState w14:val="2612" w14:font="MS Gothic"/>
                <w14:uncheckedState w14:val="2610" w14:font="MS Gothic"/>
              </w14:checkbox>
            </w:sdtPr>
            <w:sdtContent>
              <w:p w14:paraId="019A9441"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1946218528"/>
              <w14:checkbox>
                <w14:checked w14:val="0"/>
                <w14:checkedState w14:val="2612" w14:font="MS Gothic"/>
                <w14:uncheckedState w14:val="2610" w14:font="MS Gothic"/>
              </w14:checkbox>
            </w:sdtPr>
            <w:sdtContent>
              <w:p w14:paraId="22363E02"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2202563A" w14:textId="77777777" w:rsidTr="005A5587">
        <w:trPr>
          <w:trHeight w:val="403"/>
        </w:trPr>
        <w:tc>
          <w:tcPr>
            <w:tcW w:w="551" w:type="dxa"/>
            <w:shd w:val="clear" w:color="auto" w:fill="F2F2F2" w:themeFill="background1" w:themeFillShade="F2"/>
            <w:vAlign w:val="center"/>
          </w:tcPr>
          <w:p w14:paraId="097A7B6D"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2</w:t>
            </w:r>
          </w:p>
        </w:tc>
        <w:tc>
          <w:tcPr>
            <w:tcW w:w="6841" w:type="dxa"/>
            <w:shd w:val="clear" w:color="auto" w:fill="F2F2F2" w:themeFill="background1" w:themeFillShade="F2"/>
            <w:vAlign w:val="center"/>
          </w:tcPr>
          <w:p w14:paraId="3ADDC154" w14:textId="77777777" w:rsidR="00AB3A3E" w:rsidRDefault="00AB3A3E" w:rsidP="005A5587">
            <w:pPr>
              <w:autoSpaceDE w:val="0"/>
              <w:autoSpaceDN w:val="0"/>
              <w:adjustRightInd w:val="0"/>
              <w:rPr>
                <w:rFonts w:ascii="Arial" w:hAnsi="Arial" w:cs="Arial"/>
                <w:sz w:val="22"/>
              </w:rPr>
            </w:pPr>
            <w:r>
              <w:rPr>
                <w:rFonts w:ascii="Arial" w:hAnsi="Arial" w:cs="Arial"/>
                <w:sz w:val="22"/>
              </w:rPr>
              <w:t>Generate and/or edit text?</w:t>
            </w:r>
          </w:p>
        </w:tc>
        <w:tc>
          <w:tcPr>
            <w:tcW w:w="980" w:type="dxa"/>
            <w:shd w:val="clear" w:color="auto" w:fill="BFBFBF" w:themeFill="background1" w:themeFillShade="BF"/>
            <w:vAlign w:val="center"/>
          </w:tcPr>
          <w:sdt>
            <w:sdtPr>
              <w:rPr>
                <w:rFonts w:ascii="Arial" w:hAnsi="Arial" w:cs="Arial"/>
                <w:sz w:val="22"/>
              </w:rPr>
              <w:id w:val="-1976356530"/>
              <w14:checkbox>
                <w14:checked w14:val="0"/>
                <w14:checkedState w14:val="2612" w14:font="MS Gothic"/>
                <w14:uncheckedState w14:val="2610" w14:font="MS Gothic"/>
              </w14:checkbox>
            </w:sdtPr>
            <w:sdtContent>
              <w:p w14:paraId="684E829A"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109" w:type="dxa"/>
            <w:shd w:val="clear" w:color="auto" w:fill="BFBFBF" w:themeFill="background1" w:themeFillShade="BF"/>
            <w:vAlign w:val="center"/>
          </w:tcPr>
          <w:sdt>
            <w:sdtPr>
              <w:rPr>
                <w:rFonts w:ascii="Arial" w:hAnsi="Arial" w:cs="Arial"/>
                <w:sz w:val="22"/>
              </w:rPr>
              <w:id w:val="-1124915725"/>
              <w14:checkbox>
                <w14:checked w14:val="1"/>
                <w14:checkedState w14:val="2612" w14:font="MS Gothic"/>
                <w14:uncheckedState w14:val="2610" w14:font="MS Gothic"/>
              </w14:checkbox>
            </w:sdtPr>
            <w:sdtContent>
              <w:p w14:paraId="26F53054"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830252064"/>
              <w14:checkbox>
                <w14:checked w14:val="0"/>
                <w14:checkedState w14:val="2612" w14:font="MS Gothic"/>
                <w14:uncheckedState w14:val="2610" w14:font="MS Gothic"/>
              </w14:checkbox>
            </w:sdtPr>
            <w:sdtContent>
              <w:p w14:paraId="274BCCF3"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4D09B6C9" w14:textId="77777777" w:rsidTr="005A5587">
        <w:trPr>
          <w:trHeight w:val="403"/>
        </w:trPr>
        <w:tc>
          <w:tcPr>
            <w:tcW w:w="551" w:type="dxa"/>
            <w:shd w:val="clear" w:color="auto" w:fill="F2F2F2" w:themeFill="background1" w:themeFillShade="F2"/>
            <w:vAlign w:val="center"/>
          </w:tcPr>
          <w:p w14:paraId="4EB2C1A4"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3</w:t>
            </w:r>
          </w:p>
        </w:tc>
        <w:tc>
          <w:tcPr>
            <w:tcW w:w="6841" w:type="dxa"/>
            <w:shd w:val="clear" w:color="auto" w:fill="F2F2F2" w:themeFill="background1" w:themeFillShade="F2"/>
            <w:vAlign w:val="center"/>
          </w:tcPr>
          <w:p w14:paraId="3ABB90DD" w14:textId="77777777" w:rsidR="00AB3A3E" w:rsidRDefault="00AB3A3E" w:rsidP="005A5587">
            <w:pPr>
              <w:autoSpaceDE w:val="0"/>
              <w:autoSpaceDN w:val="0"/>
              <w:adjustRightInd w:val="0"/>
              <w:rPr>
                <w:rFonts w:ascii="Arial" w:hAnsi="Arial" w:cs="Arial"/>
                <w:sz w:val="22"/>
              </w:rPr>
            </w:pPr>
            <w:r>
              <w:rPr>
                <w:rFonts w:ascii="Arial" w:hAnsi="Arial" w:cs="Arial"/>
                <w:sz w:val="22"/>
              </w:rPr>
              <w:t>Generate graphics?</w:t>
            </w:r>
          </w:p>
        </w:tc>
        <w:tc>
          <w:tcPr>
            <w:tcW w:w="980" w:type="dxa"/>
            <w:shd w:val="clear" w:color="auto" w:fill="BFBFBF" w:themeFill="background1" w:themeFillShade="BF"/>
            <w:vAlign w:val="center"/>
          </w:tcPr>
          <w:sdt>
            <w:sdtPr>
              <w:rPr>
                <w:rFonts w:ascii="Arial" w:hAnsi="Arial" w:cs="Arial"/>
                <w:sz w:val="22"/>
              </w:rPr>
              <w:id w:val="-489091387"/>
              <w14:checkbox>
                <w14:checked w14:val="0"/>
                <w14:checkedState w14:val="2612" w14:font="MS Gothic"/>
                <w14:uncheckedState w14:val="2610" w14:font="MS Gothic"/>
              </w14:checkbox>
            </w:sdtPr>
            <w:sdtContent>
              <w:p w14:paraId="48B1316C"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109" w:type="dxa"/>
            <w:shd w:val="clear" w:color="auto" w:fill="BFBFBF" w:themeFill="background1" w:themeFillShade="BF"/>
            <w:vAlign w:val="center"/>
          </w:tcPr>
          <w:sdt>
            <w:sdtPr>
              <w:rPr>
                <w:rFonts w:ascii="Arial" w:hAnsi="Arial" w:cs="Arial"/>
                <w:sz w:val="22"/>
              </w:rPr>
              <w:id w:val="-190683493"/>
              <w14:checkbox>
                <w14:checked w14:val="1"/>
                <w14:checkedState w14:val="2612" w14:font="MS Gothic"/>
                <w14:uncheckedState w14:val="2610" w14:font="MS Gothic"/>
              </w14:checkbox>
            </w:sdtPr>
            <w:sdtContent>
              <w:p w14:paraId="50C1CC7B"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1396882234"/>
              <w14:checkbox>
                <w14:checked w14:val="0"/>
                <w14:checkedState w14:val="2612" w14:font="MS Gothic"/>
                <w14:uncheckedState w14:val="2610" w14:font="MS Gothic"/>
              </w14:checkbox>
            </w:sdtPr>
            <w:sdtContent>
              <w:p w14:paraId="35CE7921"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4FBA8840" w14:textId="77777777" w:rsidTr="005A5587">
        <w:trPr>
          <w:trHeight w:val="403"/>
        </w:trPr>
        <w:tc>
          <w:tcPr>
            <w:tcW w:w="551" w:type="dxa"/>
            <w:shd w:val="clear" w:color="auto" w:fill="F2F2F2" w:themeFill="background1" w:themeFillShade="F2"/>
            <w:vAlign w:val="center"/>
          </w:tcPr>
          <w:p w14:paraId="08B62805"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4</w:t>
            </w:r>
          </w:p>
        </w:tc>
        <w:tc>
          <w:tcPr>
            <w:tcW w:w="6841" w:type="dxa"/>
            <w:shd w:val="clear" w:color="auto" w:fill="F2F2F2" w:themeFill="background1" w:themeFillShade="F2"/>
            <w:vAlign w:val="center"/>
          </w:tcPr>
          <w:p w14:paraId="4F2A09FA" w14:textId="77777777" w:rsidR="00AB3A3E" w:rsidRDefault="00AB3A3E" w:rsidP="005A5587">
            <w:pPr>
              <w:autoSpaceDE w:val="0"/>
              <w:autoSpaceDN w:val="0"/>
              <w:adjustRightInd w:val="0"/>
              <w:rPr>
                <w:rFonts w:ascii="Arial" w:hAnsi="Arial" w:cs="Arial"/>
                <w:sz w:val="22"/>
              </w:rPr>
            </w:pPr>
            <w:r>
              <w:rPr>
                <w:rFonts w:ascii="Arial" w:hAnsi="Arial" w:cs="Arial"/>
                <w:sz w:val="22"/>
              </w:rPr>
              <w:t>Generate video?</w:t>
            </w:r>
          </w:p>
        </w:tc>
        <w:tc>
          <w:tcPr>
            <w:tcW w:w="980" w:type="dxa"/>
            <w:shd w:val="clear" w:color="auto" w:fill="BFBFBF" w:themeFill="background1" w:themeFillShade="BF"/>
            <w:vAlign w:val="center"/>
          </w:tcPr>
          <w:sdt>
            <w:sdtPr>
              <w:rPr>
                <w:rFonts w:ascii="Arial" w:hAnsi="Arial" w:cs="Arial"/>
                <w:sz w:val="22"/>
              </w:rPr>
              <w:id w:val="-1245803632"/>
              <w14:checkbox>
                <w14:checked w14:val="0"/>
                <w14:checkedState w14:val="2612" w14:font="MS Gothic"/>
                <w14:uncheckedState w14:val="2610" w14:font="MS Gothic"/>
              </w14:checkbox>
            </w:sdtPr>
            <w:sdtContent>
              <w:p w14:paraId="1ACDA493"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109" w:type="dxa"/>
            <w:shd w:val="clear" w:color="auto" w:fill="BFBFBF" w:themeFill="background1" w:themeFillShade="BF"/>
            <w:vAlign w:val="center"/>
          </w:tcPr>
          <w:sdt>
            <w:sdtPr>
              <w:rPr>
                <w:rFonts w:ascii="Arial" w:hAnsi="Arial" w:cs="Arial"/>
                <w:sz w:val="22"/>
              </w:rPr>
              <w:id w:val="2043635272"/>
              <w14:checkbox>
                <w14:checked w14:val="1"/>
                <w14:checkedState w14:val="2612" w14:font="MS Gothic"/>
                <w14:uncheckedState w14:val="2610" w14:font="MS Gothic"/>
              </w14:checkbox>
            </w:sdtPr>
            <w:sdtContent>
              <w:p w14:paraId="5E2F4C54"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523134186"/>
              <w14:checkbox>
                <w14:checked w14:val="0"/>
                <w14:checkedState w14:val="2612" w14:font="MS Gothic"/>
                <w14:uncheckedState w14:val="2610" w14:font="MS Gothic"/>
              </w14:checkbox>
            </w:sdtPr>
            <w:sdtContent>
              <w:p w14:paraId="579023CE"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033E92AD" w14:textId="77777777" w:rsidTr="005A5587">
        <w:trPr>
          <w:trHeight w:val="403"/>
        </w:trPr>
        <w:tc>
          <w:tcPr>
            <w:tcW w:w="551" w:type="dxa"/>
            <w:shd w:val="clear" w:color="auto" w:fill="F2F2F2" w:themeFill="background1" w:themeFillShade="F2"/>
            <w:vAlign w:val="center"/>
          </w:tcPr>
          <w:p w14:paraId="4209E71A"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5</w:t>
            </w:r>
          </w:p>
        </w:tc>
        <w:tc>
          <w:tcPr>
            <w:tcW w:w="6841" w:type="dxa"/>
            <w:shd w:val="clear" w:color="auto" w:fill="F2F2F2" w:themeFill="background1" w:themeFillShade="F2"/>
            <w:vAlign w:val="center"/>
          </w:tcPr>
          <w:p w14:paraId="10F3A0D9" w14:textId="77777777" w:rsidR="00AB3A3E" w:rsidRDefault="00AB3A3E" w:rsidP="005A5587">
            <w:pPr>
              <w:autoSpaceDE w:val="0"/>
              <w:autoSpaceDN w:val="0"/>
              <w:adjustRightInd w:val="0"/>
              <w:rPr>
                <w:rFonts w:ascii="Arial" w:hAnsi="Arial" w:cs="Arial"/>
                <w:sz w:val="22"/>
              </w:rPr>
            </w:pPr>
            <w:r>
              <w:rPr>
                <w:rFonts w:ascii="Arial" w:hAnsi="Arial" w:cs="Arial"/>
                <w:sz w:val="22"/>
              </w:rPr>
              <w:t>Generate sound/music?</w:t>
            </w:r>
          </w:p>
        </w:tc>
        <w:tc>
          <w:tcPr>
            <w:tcW w:w="980" w:type="dxa"/>
            <w:shd w:val="clear" w:color="auto" w:fill="BFBFBF" w:themeFill="background1" w:themeFillShade="BF"/>
            <w:vAlign w:val="center"/>
          </w:tcPr>
          <w:sdt>
            <w:sdtPr>
              <w:rPr>
                <w:rFonts w:ascii="Arial" w:hAnsi="Arial" w:cs="Arial"/>
                <w:sz w:val="22"/>
              </w:rPr>
              <w:id w:val="-405153558"/>
              <w14:checkbox>
                <w14:checked w14:val="0"/>
                <w14:checkedState w14:val="2612" w14:font="MS Gothic"/>
                <w14:uncheckedState w14:val="2610" w14:font="MS Gothic"/>
              </w14:checkbox>
            </w:sdtPr>
            <w:sdtContent>
              <w:p w14:paraId="6D6E547C"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109" w:type="dxa"/>
            <w:shd w:val="clear" w:color="auto" w:fill="BFBFBF" w:themeFill="background1" w:themeFillShade="BF"/>
            <w:vAlign w:val="center"/>
          </w:tcPr>
          <w:sdt>
            <w:sdtPr>
              <w:rPr>
                <w:rFonts w:ascii="Arial" w:hAnsi="Arial" w:cs="Arial"/>
                <w:sz w:val="22"/>
              </w:rPr>
              <w:id w:val="-115911874"/>
              <w14:checkbox>
                <w14:checked w14:val="1"/>
                <w14:checkedState w14:val="2612" w14:font="MS Gothic"/>
                <w14:uncheckedState w14:val="2610" w14:font="MS Gothic"/>
              </w14:checkbox>
            </w:sdtPr>
            <w:sdtContent>
              <w:p w14:paraId="3CAC06F8"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930580053"/>
              <w14:checkbox>
                <w14:checked w14:val="0"/>
                <w14:checkedState w14:val="2612" w14:font="MS Gothic"/>
                <w14:uncheckedState w14:val="2610" w14:font="MS Gothic"/>
              </w14:checkbox>
            </w:sdtPr>
            <w:sdtContent>
              <w:p w14:paraId="2E941D8E"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59DD7A2D" w14:textId="77777777" w:rsidTr="005A5587">
        <w:trPr>
          <w:trHeight w:val="439"/>
        </w:trPr>
        <w:tc>
          <w:tcPr>
            <w:tcW w:w="551" w:type="dxa"/>
            <w:shd w:val="clear" w:color="auto" w:fill="F2F2F2" w:themeFill="background1" w:themeFillShade="F2"/>
            <w:vAlign w:val="center"/>
          </w:tcPr>
          <w:p w14:paraId="128DB245"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6</w:t>
            </w:r>
          </w:p>
        </w:tc>
        <w:tc>
          <w:tcPr>
            <w:tcW w:w="6841" w:type="dxa"/>
            <w:shd w:val="clear" w:color="auto" w:fill="F2F2F2" w:themeFill="background1" w:themeFillShade="F2"/>
            <w:vAlign w:val="center"/>
          </w:tcPr>
          <w:p w14:paraId="60FCB61E"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Generate code?</w:t>
            </w:r>
          </w:p>
        </w:tc>
        <w:tc>
          <w:tcPr>
            <w:tcW w:w="980" w:type="dxa"/>
            <w:shd w:val="clear" w:color="auto" w:fill="BFBFBF" w:themeFill="background1" w:themeFillShade="BF"/>
            <w:vAlign w:val="center"/>
          </w:tcPr>
          <w:sdt>
            <w:sdtPr>
              <w:rPr>
                <w:rFonts w:ascii="Arial" w:hAnsi="Arial" w:cs="Arial"/>
                <w:sz w:val="22"/>
              </w:rPr>
              <w:id w:val="1457459209"/>
              <w14:checkbox>
                <w14:checked w14:val="0"/>
                <w14:checkedState w14:val="2612" w14:font="MS Gothic"/>
                <w14:uncheckedState w14:val="2610" w14:font="MS Gothic"/>
              </w14:checkbox>
            </w:sdtPr>
            <w:sdtContent>
              <w:p w14:paraId="59E37E74"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ascii="Arial" w:hAnsi="Arial" w:cs="Arial"/>
                <w:sz w:val="22"/>
              </w:rPr>
              <w:id w:val="-2044195477"/>
              <w14:checkbox>
                <w14:checked w14:val="1"/>
                <w14:checkedState w14:val="2612" w14:font="MS Gothic"/>
                <w14:uncheckedState w14:val="2610" w14:font="MS Gothic"/>
              </w14:checkbox>
            </w:sdtPr>
            <w:sdtContent>
              <w:p w14:paraId="07771504"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42519630"/>
              <w14:checkbox>
                <w14:checked w14:val="0"/>
                <w14:checkedState w14:val="2612" w14:font="MS Gothic"/>
                <w14:uncheckedState w14:val="2610" w14:font="MS Gothic"/>
              </w14:checkbox>
            </w:sdtPr>
            <w:sdtContent>
              <w:p w14:paraId="7E6DEB01"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01AA8FBC" w14:textId="77777777" w:rsidTr="005A5587">
        <w:trPr>
          <w:trHeight w:val="403"/>
        </w:trPr>
        <w:tc>
          <w:tcPr>
            <w:tcW w:w="551" w:type="dxa"/>
            <w:shd w:val="clear" w:color="auto" w:fill="F2F2F2" w:themeFill="background1" w:themeFillShade="F2"/>
            <w:vAlign w:val="center"/>
          </w:tcPr>
          <w:p w14:paraId="20A4F115"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7</w:t>
            </w:r>
          </w:p>
        </w:tc>
        <w:tc>
          <w:tcPr>
            <w:tcW w:w="6841" w:type="dxa"/>
            <w:shd w:val="clear" w:color="auto" w:fill="F2F2F2" w:themeFill="background1" w:themeFillShade="F2"/>
            <w:vAlign w:val="center"/>
          </w:tcPr>
          <w:p w14:paraId="72C17935"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Generate synthetic data?</w:t>
            </w:r>
          </w:p>
        </w:tc>
        <w:tc>
          <w:tcPr>
            <w:tcW w:w="980" w:type="dxa"/>
            <w:shd w:val="clear" w:color="auto" w:fill="BFBFBF" w:themeFill="background1" w:themeFillShade="BF"/>
            <w:vAlign w:val="center"/>
          </w:tcPr>
          <w:sdt>
            <w:sdtPr>
              <w:rPr>
                <w:rFonts w:ascii="Arial" w:hAnsi="Arial" w:cs="Arial"/>
                <w:sz w:val="22"/>
              </w:rPr>
              <w:id w:val="2016112145"/>
              <w14:checkbox>
                <w14:checked w14:val="0"/>
                <w14:checkedState w14:val="2612" w14:font="MS Gothic"/>
                <w14:uncheckedState w14:val="2610" w14:font="MS Gothic"/>
              </w14:checkbox>
            </w:sdtPr>
            <w:sdtContent>
              <w:p w14:paraId="0353EA82"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ascii="Arial" w:hAnsi="Arial" w:cs="Arial"/>
                <w:sz w:val="22"/>
              </w:rPr>
              <w:id w:val="-305010608"/>
              <w14:checkbox>
                <w14:checked w14:val="1"/>
                <w14:checkedState w14:val="2612" w14:font="MS Gothic"/>
                <w14:uncheckedState w14:val="2610" w14:font="MS Gothic"/>
              </w14:checkbox>
            </w:sdtPr>
            <w:sdtContent>
              <w:p w14:paraId="45582144"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1567940934"/>
              <w14:checkbox>
                <w14:checked w14:val="0"/>
                <w14:checkedState w14:val="2612" w14:font="MS Gothic"/>
                <w14:uncheckedState w14:val="2610" w14:font="MS Gothic"/>
              </w14:checkbox>
            </w:sdtPr>
            <w:sdtContent>
              <w:p w14:paraId="610115B4"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280F0736" w14:textId="77777777" w:rsidTr="005A5587">
        <w:trPr>
          <w:trHeight w:val="403"/>
        </w:trPr>
        <w:tc>
          <w:tcPr>
            <w:tcW w:w="551" w:type="dxa"/>
            <w:shd w:val="clear" w:color="auto" w:fill="F2F2F2" w:themeFill="background1" w:themeFillShade="F2"/>
            <w:vAlign w:val="center"/>
          </w:tcPr>
          <w:p w14:paraId="0758BDA6"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8</w:t>
            </w:r>
          </w:p>
        </w:tc>
        <w:tc>
          <w:tcPr>
            <w:tcW w:w="6841" w:type="dxa"/>
            <w:shd w:val="clear" w:color="auto" w:fill="F2F2F2" w:themeFill="background1" w:themeFillShade="F2"/>
            <w:vAlign w:val="center"/>
          </w:tcPr>
          <w:p w14:paraId="72702C12"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Analyse data?</w:t>
            </w:r>
          </w:p>
        </w:tc>
        <w:tc>
          <w:tcPr>
            <w:tcW w:w="980" w:type="dxa"/>
            <w:shd w:val="clear" w:color="auto" w:fill="BFBFBF" w:themeFill="background1" w:themeFillShade="BF"/>
            <w:vAlign w:val="center"/>
          </w:tcPr>
          <w:sdt>
            <w:sdtPr>
              <w:rPr>
                <w:rFonts w:ascii="Arial" w:hAnsi="Arial" w:cs="Arial"/>
                <w:sz w:val="22"/>
              </w:rPr>
              <w:id w:val="-1294974624"/>
              <w14:checkbox>
                <w14:checked w14:val="0"/>
                <w14:checkedState w14:val="2612" w14:font="MS Gothic"/>
                <w14:uncheckedState w14:val="2610" w14:font="MS Gothic"/>
              </w14:checkbox>
            </w:sdtPr>
            <w:sdtContent>
              <w:p w14:paraId="5457AA29"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ascii="Arial" w:hAnsi="Arial" w:cs="Arial"/>
                <w:sz w:val="22"/>
              </w:rPr>
              <w:id w:val="1502082000"/>
              <w14:checkbox>
                <w14:checked w14:val="1"/>
                <w14:checkedState w14:val="2612" w14:font="MS Gothic"/>
                <w14:uncheckedState w14:val="2610" w14:font="MS Gothic"/>
              </w14:checkbox>
            </w:sdtPr>
            <w:sdtContent>
              <w:p w14:paraId="4227CC93"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733089734"/>
              <w14:checkbox>
                <w14:checked w14:val="0"/>
                <w14:checkedState w14:val="2612" w14:font="MS Gothic"/>
                <w14:uncheckedState w14:val="2610" w14:font="MS Gothic"/>
              </w14:checkbox>
            </w:sdtPr>
            <w:sdtContent>
              <w:p w14:paraId="0BDFE98A"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625B6EB7" w14:textId="77777777" w:rsidTr="005A5587">
        <w:trPr>
          <w:trHeight w:val="403"/>
        </w:trPr>
        <w:tc>
          <w:tcPr>
            <w:tcW w:w="551" w:type="dxa"/>
            <w:shd w:val="clear" w:color="auto" w:fill="F2F2F2" w:themeFill="background1" w:themeFillShade="F2"/>
            <w:vAlign w:val="center"/>
          </w:tcPr>
          <w:p w14:paraId="63945F4F"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9</w:t>
            </w:r>
          </w:p>
        </w:tc>
        <w:tc>
          <w:tcPr>
            <w:tcW w:w="6841" w:type="dxa"/>
            <w:shd w:val="clear" w:color="auto" w:fill="F2F2F2" w:themeFill="background1" w:themeFillShade="F2"/>
            <w:vAlign w:val="center"/>
          </w:tcPr>
          <w:p w14:paraId="4E19387C"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Analyse personal or sensitive data?</w:t>
            </w:r>
          </w:p>
        </w:tc>
        <w:tc>
          <w:tcPr>
            <w:tcW w:w="980" w:type="dxa"/>
            <w:shd w:val="clear" w:color="auto" w:fill="BFBFBF" w:themeFill="background1" w:themeFillShade="BF"/>
            <w:vAlign w:val="center"/>
          </w:tcPr>
          <w:sdt>
            <w:sdtPr>
              <w:rPr>
                <w:rFonts w:ascii="Arial" w:hAnsi="Arial" w:cs="Arial"/>
                <w:sz w:val="22"/>
              </w:rPr>
              <w:id w:val="1608620116"/>
              <w14:checkbox>
                <w14:checked w14:val="0"/>
                <w14:checkedState w14:val="2612" w14:font="MS Gothic"/>
                <w14:uncheckedState w14:val="2610" w14:font="MS Gothic"/>
              </w14:checkbox>
            </w:sdtPr>
            <w:sdtContent>
              <w:p w14:paraId="3898BE45" w14:textId="77777777" w:rsidR="00AB3A3E" w:rsidRPr="003C7DED" w:rsidRDefault="00AB3A3E" w:rsidP="005A5587">
                <w:pPr>
                  <w:autoSpaceDE w:val="0"/>
                  <w:autoSpaceDN w:val="0"/>
                  <w:adjustRightInd w:val="0"/>
                  <w:jc w:val="center"/>
                  <w:rPr>
                    <w:rFonts w:ascii="Arial" w:hAnsi="Arial" w:cs="Arial"/>
                    <w:sz w:val="22"/>
                  </w:rPr>
                </w:pPr>
                <w:r w:rsidRPr="003C7DED">
                  <w:rPr>
                    <w:rFonts w:ascii="MS Gothic" w:eastAsia="MS Gothic" w:hAnsi="MS Gothic" w:cs="Arial"/>
                    <w:sz w:val="22"/>
                  </w:rPr>
                  <w:t>☐</w:t>
                </w:r>
              </w:p>
            </w:sdtContent>
          </w:sdt>
        </w:tc>
        <w:tc>
          <w:tcPr>
            <w:tcW w:w="1109" w:type="dxa"/>
            <w:shd w:val="clear" w:color="auto" w:fill="BFBFBF" w:themeFill="background1" w:themeFillShade="BF"/>
            <w:vAlign w:val="center"/>
          </w:tcPr>
          <w:sdt>
            <w:sdtPr>
              <w:rPr>
                <w:rFonts w:ascii="Arial" w:hAnsi="Arial" w:cs="Arial"/>
                <w:sz w:val="22"/>
              </w:rPr>
              <w:id w:val="559057466"/>
              <w14:checkbox>
                <w14:checked w14:val="1"/>
                <w14:checkedState w14:val="2612" w14:font="MS Gothic"/>
                <w14:uncheckedState w14:val="2610" w14:font="MS Gothic"/>
              </w14:checkbox>
            </w:sdtPr>
            <w:sdtContent>
              <w:p w14:paraId="56C83302"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644392904"/>
              <w14:checkbox>
                <w14:checked w14:val="0"/>
                <w14:checkedState w14:val="2612" w14:font="MS Gothic"/>
                <w14:uncheckedState w14:val="2610" w14:font="MS Gothic"/>
              </w14:checkbox>
            </w:sdtPr>
            <w:sdtContent>
              <w:p w14:paraId="5959BAAD"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2C125ED8" w14:textId="77777777" w:rsidTr="005A5587">
        <w:trPr>
          <w:trHeight w:val="439"/>
        </w:trPr>
        <w:tc>
          <w:tcPr>
            <w:tcW w:w="551" w:type="dxa"/>
            <w:shd w:val="clear" w:color="auto" w:fill="F2F2F2" w:themeFill="background1" w:themeFillShade="F2"/>
            <w:vAlign w:val="center"/>
          </w:tcPr>
          <w:p w14:paraId="68B34396"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t>10</w:t>
            </w:r>
          </w:p>
        </w:tc>
        <w:tc>
          <w:tcPr>
            <w:tcW w:w="6841" w:type="dxa"/>
            <w:shd w:val="clear" w:color="auto" w:fill="F2F2F2" w:themeFill="background1" w:themeFillShade="F2"/>
            <w:vAlign w:val="center"/>
          </w:tcPr>
          <w:p w14:paraId="4034BAEB" w14:textId="77777777" w:rsidR="00AB3A3E" w:rsidRPr="003C7DED" w:rsidRDefault="00AB3A3E" w:rsidP="005A5587">
            <w:pPr>
              <w:autoSpaceDE w:val="0"/>
              <w:autoSpaceDN w:val="0"/>
              <w:adjustRightInd w:val="0"/>
              <w:rPr>
                <w:rFonts w:ascii="Arial" w:hAnsi="Arial" w:cs="Arial"/>
                <w:sz w:val="22"/>
              </w:rPr>
            </w:pPr>
            <w:r>
              <w:rPr>
                <w:rFonts w:ascii="Arial" w:hAnsi="Arial" w:cs="Arial"/>
                <w:sz w:val="22"/>
              </w:rPr>
              <w:t>Classify data?</w:t>
            </w:r>
          </w:p>
        </w:tc>
        <w:tc>
          <w:tcPr>
            <w:tcW w:w="980" w:type="dxa"/>
            <w:shd w:val="clear" w:color="auto" w:fill="BFBFBF" w:themeFill="background1" w:themeFillShade="BF"/>
            <w:vAlign w:val="center"/>
          </w:tcPr>
          <w:sdt>
            <w:sdtPr>
              <w:rPr>
                <w:rFonts w:ascii="Arial" w:hAnsi="Arial" w:cs="Arial"/>
                <w:sz w:val="22"/>
              </w:rPr>
              <w:id w:val="324639604"/>
              <w14:checkbox>
                <w14:checked w14:val="0"/>
                <w14:checkedState w14:val="2612" w14:font="MS Gothic"/>
                <w14:uncheckedState w14:val="2610" w14:font="MS Gothic"/>
              </w14:checkbox>
            </w:sdtPr>
            <w:sdtContent>
              <w:p w14:paraId="41F392A7"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ascii="Arial" w:hAnsi="Arial" w:cs="Arial"/>
                <w:sz w:val="22"/>
              </w:rPr>
              <w:id w:val="116349551"/>
              <w14:checkbox>
                <w14:checked w14:val="1"/>
                <w14:checkedState w14:val="2612" w14:font="MS Gothic"/>
                <w14:uncheckedState w14:val="2610" w14:font="MS Gothic"/>
              </w14:checkbox>
            </w:sdtPr>
            <w:sdtContent>
              <w:p w14:paraId="384DDCDF" w14:textId="77777777" w:rsidR="00AB3A3E" w:rsidRPr="003C7DED"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1465344194"/>
              <w14:checkbox>
                <w14:checked w14:val="0"/>
                <w14:checkedState w14:val="2612" w14:font="MS Gothic"/>
                <w14:uncheckedState w14:val="2610" w14:font="MS Gothic"/>
              </w14:checkbox>
            </w:sdtPr>
            <w:sdtContent>
              <w:p w14:paraId="1E1F2670" w14:textId="77777777" w:rsidR="00AB3A3E" w:rsidRPr="003C7DED"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080F90FB" w14:textId="77777777" w:rsidTr="005A5587">
        <w:trPr>
          <w:trHeight w:val="439"/>
        </w:trPr>
        <w:tc>
          <w:tcPr>
            <w:tcW w:w="551" w:type="dxa"/>
            <w:shd w:val="clear" w:color="auto" w:fill="F2F2F2" w:themeFill="background1" w:themeFillShade="F2"/>
            <w:vAlign w:val="center"/>
          </w:tcPr>
          <w:p w14:paraId="57CD5B3C" w14:textId="77777777" w:rsidR="00AB3A3E" w:rsidRPr="003C7DED" w:rsidRDefault="00AB3A3E" w:rsidP="005A5587">
            <w:pPr>
              <w:autoSpaceDE w:val="0"/>
              <w:autoSpaceDN w:val="0"/>
              <w:adjustRightInd w:val="0"/>
              <w:jc w:val="center"/>
              <w:rPr>
                <w:rFonts w:ascii="Arial" w:hAnsi="Arial" w:cs="Arial"/>
                <w:sz w:val="22"/>
              </w:rPr>
            </w:pPr>
            <w:r>
              <w:rPr>
                <w:rFonts w:ascii="Arial" w:hAnsi="Arial" w:cs="Arial"/>
                <w:sz w:val="22"/>
              </w:rPr>
              <w:lastRenderedPageBreak/>
              <w:t>11</w:t>
            </w:r>
          </w:p>
        </w:tc>
        <w:tc>
          <w:tcPr>
            <w:tcW w:w="6841" w:type="dxa"/>
            <w:shd w:val="clear" w:color="auto" w:fill="F2F2F2" w:themeFill="background1" w:themeFillShade="F2"/>
            <w:vAlign w:val="center"/>
          </w:tcPr>
          <w:p w14:paraId="7C31F3AC" w14:textId="77777777" w:rsidR="00AB3A3E" w:rsidRDefault="00AB3A3E" w:rsidP="005A5587">
            <w:pPr>
              <w:autoSpaceDE w:val="0"/>
              <w:autoSpaceDN w:val="0"/>
              <w:adjustRightInd w:val="0"/>
              <w:rPr>
                <w:rFonts w:ascii="Arial" w:hAnsi="Arial" w:cs="Arial"/>
                <w:sz w:val="22"/>
              </w:rPr>
            </w:pPr>
            <w:r>
              <w:rPr>
                <w:rFonts w:ascii="Arial" w:hAnsi="Arial" w:cs="Arial"/>
                <w:sz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rPr>
              <w:id w:val="1717616931"/>
              <w14:checkbox>
                <w14:checked w14:val="0"/>
                <w14:checkedState w14:val="2612" w14:font="MS Gothic"/>
                <w14:uncheckedState w14:val="2610" w14:font="MS Gothic"/>
              </w14:checkbox>
            </w:sdtPr>
            <w:sdtContent>
              <w:p w14:paraId="235DF663"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ascii="Arial" w:hAnsi="Arial" w:cs="Arial"/>
                <w:sz w:val="22"/>
              </w:rPr>
              <w:id w:val="-767925130"/>
              <w14:checkbox>
                <w14:checked w14:val="1"/>
                <w14:checkedState w14:val="2612" w14:font="MS Gothic"/>
                <w14:uncheckedState w14:val="2610" w14:font="MS Gothic"/>
              </w14:checkbox>
            </w:sdtPr>
            <w:sdtContent>
              <w:p w14:paraId="66C1F2D4" w14:textId="77777777" w:rsidR="00AB3A3E" w:rsidRDefault="00AB3A3E" w:rsidP="005A5587">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06" w:type="dxa"/>
            <w:shd w:val="clear" w:color="auto" w:fill="BFBFBF" w:themeFill="background1" w:themeFillShade="BF"/>
            <w:vAlign w:val="center"/>
          </w:tcPr>
          <w:sdt>
            <w:sdtPr>
              <w:rPr>
                <w:rFonts w:ascii="Arial" w:hAnsi="Arial" w:cs="Arial"/>
                <w:sz w:val="22"/>
              </w:rPr>
              <w:id w:val="1748227023"/>
              <w14:checkbox>
                <w14:checked w14:val="0"/>
                <w14:checkedState w14:val="2612" w14:font="MS Gothic"/>
                <w14:uncheckedState w14:val="2610" w14:font="MS Gothic"/>
              </w14:checkbox>
            </w:sdtPr>
            <w:sdtContent>
              <w:p w14:paraId="398D9811" w14:textId="77777777" w:rsidR="00AB3A3E" w:rsidRDefault="00AB3A3E" w:rsidP="005A5587">
                <w:pPr>
                  <w:autoSpaceDE w:val="0"/>
                  <w:autoSpaceDN w:val="0"/>
                  <w:adjustRightInd w:val="0"/>
                  <w:jc w:val="center"/>
                  <w:rPr>
                    <w:rFonts w:ascii="Arial" w:hAnsi="Arial" w:cs="Arial"/>
                    <w:sz w:val="22"/>
                  </w:rPr>
                </w:pPr>
                <w:r w:rsidRPr="003C7DED">
                  <w:rPr>
                    <w:rFonts w:ascii="Segoe UI Symbol" w:eastAsia="MS Gothic" w:hAnsi="Segoe UI Symbol" w:cs="Segoe UI Symbol"/>
                    <w:sz w:val="22"/>
                  </w:rPr>
                  <w:t>☐</w:t>
                </w:r>
              </w:p>
            </w:sdtContent>
          </w:sdt>
        </w:tc>
      </w:tr>
      <w:tr w:rsidR="00AB3A3E" w:rsidRPr="003C7DED" w14:paraId="36E0990A" w14:textId="77777777" w:rsidTr="005A5587">
        <w:trPr>
          <w:trHeight w:val="403"/>
        </w:trPr>
        <w:tc>
          <w:tcPr>
            <w:tcW w:w="10487" w:type="dxa"/>
            <w:gridSpan w:val="5"/>
            <w:shd w:val="clear" w:color="auto" w:fill="F2F2F2" w:themeFill="background1" w:themeFillShade="F2"/>
            <w:vAlign w:val="center"/>
          </w:tcPr>
          <w:p w14:paraId="5839A7A0" w14:textId="77777777" w:rsidR="00AB3A3E" w:rsidRPr="003C7DED" w:rsidRDefault="00AB3A3E" w:rsidP="005A5587">
            <w:pPr>
              <w:autoSpaceDE w:val="0"/>
              <w:autoSpaceDN w:val="0"/>
              <w:adjustRightInd w:val="0"/>
              <w:rPr>
                <w:rFonts w:ascii="Arial" w:hAnsi="Arial" w:cs="Arial"/>
                <w:sz w:val="22"/>
              </w:rPr>
            </w:pPr>
            <w:r w:rsidRPr="003C7DED">
              <w:rPr>
                <w:rFonts w:ascii="Arial" w:hAnsi="Arial" w:cs="Arial"/>
                <w:sz w:val="22"/>
              </w:rPr>
              <w:t xml:space="preserve">If you have answered </w:t>
            </w:r>
            <w:r w:rsidRPr="006E7E24">
              <w:rPr>
                <w:rFonts w:ascii="Arial" w:hAnsi="Arial" w:cs="Arial"/>
                <w:b/>
                <w:bCs/>
                <w:sz w:val="22"/>
              </w:rPr>
              <w:t>YES</w:t>
            </w:r>
            <w:r w:rsidRPr="003C7DED">
              <w:rPr>
                <w:rFonts w:ascii="Arial" w:hAnsi="Arial" w:cs="Arial"/>
                <w:sz w:val="22"/>
              </w:rPr>
              <w:t xml:space="preserve"> to any of questions </w:t>
            </w:r>
            <w:r>
              <w:rPr>
                <w:rFonts w:ascii="Arial" w:hAnsi="Arial" w:cs="Arial"/>
                <w:sz w:val="22"/>
              </w:rPr>
              <w:t>O</w:t>
            </w:r>
            <w:r w:rsidRPr="003C7DED">
              <w:rPr>
                <w:rFonts w:ascii="Arial" w:hAnsi="Arial" w:cs="Arial"/>
                <w:sz w:val="22"/>
              </w:rPr>
              <w:t>1-</w:t>
            </w:r>
            <w:r>
              <w:rPr>
                <w:rFonts w:ascii="Arial" w:hAnsi="Arial" w:cs="Arial"/>
                <w:sz w:val="22"/>
              </w:rPr>
              <w:t>O11</w:t>
            </w:r>
            <w:r w:rsidRPr="003C7DED">
              <w:rPr>
                <w:rFonts w:ascii="Arial" w:hAnsi="Arial" w:cs="Arial"/>
                <w:sz w:val="22"/>
              </w:rPr>
              <w:t xml:space="preserve">, please provide justification detailing why this is necessary for the research.  </w:t>
            </w:r>
          </w:p>
        </w:tc>
      </w:tr>
      <w:tr w:rsidR="00AB3A3E" w:rsidRPr="003C7DED" w14:paraId="7653D71D" w14:textId="77777777" w:rsidTr="005A5587">
        <w:trPr>
          <w:trHeight w:val="403"/>
        </w:trPr>
        <w:tc>
          <w:tcPr>
            <w:tcW w:w="551" w:type="dxa"/>
            <w:vAlign w:val="center"/>
          </w:tcPr>
          <w:p w14:paraId="615BEE65" w14:textId="77777777" w:rsidR="00AB3A3E" w:rsidRPr="003C7DED" w:rsidRDefault="00AB3A3E" w:rsidP="005A5587">
            <w:pPr>
              <w:jc w:val="center"/>
              <w:rPr>
                <w:rFonts w:ascii="Arial" w:hAnsi="Arial" w:cs="Arial"/>
                <w:sz w:val="22"/>
              </w:rPr>
            </w:pPr>
            <w:r>
              <w:rPr>
                <w:rFonts w:ascii="Arial" w:hAnsi="Arial" w:cs="Arial"/>
                <w:sz w:val="22"/>
              </w:rPr>
              <w:t>12</w:t>
            </w:r>
          </w:p>
        </w:tc>
        <w:tc>
          <w:tcPr>
            <w:tcW w:w="9936" w:type="dxa"/>
            <w:gridSpan w:val="4"/>
            <w:vAlign w:val="center"/>
          </w:tcPr>
          <w:p w14:paraId="1ED589C3" w14:textId="77777777" w:rsidR="00AB3A3E" w:rsidRPr="001B41AD" w:rsidRDefault="00AB3A3E" w:rsidP="005A5587">
            <w:pPr>
              <w:rPr>
                <w:rFonts w:ascii="Arial" w:hAnsi="Arial" w:cs="Arial"/>
                <w:color w:val="00B050"/>
                <w:sz w:val="22"/>
              </w:rPr>
            </w:pPr>
            <w:r w:rsidRPr="001B41AD">
              <w:rPr>
                <w:rFonts w:ascii="Arial" w:hAnsi="Arial" w:cs="Arial"/>
                <w:color w:val="00B050"/>
                <w:sz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112B4FE" w14:textId="77777777" w:rsidR="00AB3A3E" w:rsidRDefault="00AB3A3E" w:rsidP="005A5587">
            <w:pPr>
              <w:autoSpaceDE w:val="0"/>
              <w:autoSpaceDN w:val="0"/>
              <w:adjustRightInd w:val="0"/>
              <w:rPr>
                <w:rFonts w:ascii="Arial" w:hAnsi="Arial" w:cs="Arial"/>
                <w:i/>
                <w:color w:val="808080"/>
                <w:sz w:val="18"/>
                <w:szCs w:val="18"/>
              </w:rPr>
            </w:pPr>
          </w:p>
          <w:p w14:paraId="45B61BC3" w14:textId="77777777" w:rsidR="00AB3A3E" w:rsidRPr="003C7DED" w:rsidRDefault="00AB3A3E" w:rsidP="005A558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09705F96" w14:textId="77777777" w:rsidR="00AB3A3E" w:rsidRDefault="00AB3A3E" w:rsidP="00AB3A3E">
      <w:pPr>
        <w:rPr>
          <w:rFonts w:ascii="Arial" w:hAnsi="Arial" w:cs="Arial"/>
          <w:b/>
          <w:bCs/>
          <w:sz w:val="22"/>
        </w:rPr>
      </w:pPr>
    </w:p>
    <w:p w14:paraId="370FAE1F" w14:textId="77777777" w:rsidR="00AB3A3E" w:rsidRDefault="00AB3A3E" w:rsidP="00AB3A3E">
      <w:pPr>
        <w:rPr>
          <w:rFonts w:ascii="Arial" w:hAnsi="Arial" w:cs="Arial"/>
          <w:b/>
          <w:bCs/>
          <w:sz w:val="22"/>
        </w:rPr>
      </w:pPr>
    </w:p>
    <w:p w14:paraId="6F97B0AD" w14:textId="77777777" w:rsidR="00AB3A3E" w:rsidRPr="00354F34" w:rsidRDefault="00AB3A3E" w:rsidP="00AB3A3E">
      <w:pPr>
        <w:autoSpaceDE w:val="0"/>
        <w:autoSpaceDN w:val="0"/>
        <w:adjustRightInd w:val="0"/>
        <w:spacing w:after="240"/>
        <w:rPr>
          <w:rFonts w:ascii="Arial" w:hAnsi="Arial" w:cs="Arial"/>
          <w:b/>
          <w:sz w:val="22"/>
        </w:rPr>
      </w:pPr>
      <w:r w:rsidRPr="00354F34">
        <w:rPr>
          <w:rFonts w:ascii="Arial" w:hAnsi="Arial" w:cs="Arial"/>
          <w:b/>
          <w:sz w:val="22"/>
        </w:rPr>
        <w:t xml:space="preserve">SECTION </w:t>
      </w:r>
      <w:r>
        <w:rPr>
          <w:rFonts w:ascii="Arial" w:hAnsi="Arial" w:cs="Arial"/>
          <w:b/>
          <w:sz w:val="22"/>
        </w:rPr>
        <w:t>J</w:t>
      </w:r>
      <w:r w:rsidRPr="00354F34">
        <w:rPr>
          <w:rFonts w:ascii="Arial" w:hAnsi="Arial" w:cs="Arial"/>
          <w:b/>
          <w:sz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AB3A3E" w:rsidRPr="004C3A0B" w14:paraId="1B349ACD" w14:textId="77777777" w:rsidTr="005A5587">
        <w:trPr>
          <w:gridBefore w:val="1"/>
          <w:wBefore w:w="8" w:type="dxa"/>
          <w:trHeight w:val="1807"/>
        </w:trPr>
        <w:tc>
          <w:tcPr>
            <w:tcW w:w="554" w:type="dxa"/>
            <w:shd w:val="clear" w:color="auto" w:fill="F2F2F2" w:themeFill="background1" w:themeFillShade="F2"/>
            <w:vAlign w:val="center"/>
          </w:tcPr>
          <w:p w14:paraId="2961DFC0" w14:textId="77777777" w:rsidR="00AB3A3E" w:rsidRPr="004C3A0B" w:rsidRDefault="00AB3A3E" w:rsidP="005A5587">
            <w:pPr>
              <w:jc w:val="center"/>
              <w:rPr>
                <w:rFonts w:ascii="Arial" w:hAnsi="Arial" w:cs="Arial"/>
                <w:sz w:val="22"/>
              </w:rPr>
            </w:pPr>
          </w:p>
        </w:tc>
        <w:tc>
          <w:tcPr>
            <w:tcW w:w="9923" w:type="dxa"/>
            <w:gridSpan w:val="5"/>
            <w:shd w:val="clear" w:color="auto" w:fill="F2F2F2" w:themeFill="background1" w:themeFillShade="F2"/>
            <w:vAlign w:val="center"/>
          </w:tcPr>
          <w:p w14:paraId="2AD188D1" w14:textId="77777777" w:rsidR="00AB3A3E" w:rsidRPr="004C3A0B" w:rsidRDefault="00AB3A3E" w:rsidP="005A5587">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437A7904" w14:textId="77777777" w:rsidR="00AB3A3E" w:rsidRPr="004C3A0B" w:rsidRDefault="00AB3A3E" w:rsidP="005A5587">
            <w:pPr>
              <w:rPr>
                <w:rFonts w:ascii="Arial" w:hAnsi="Arial" w:cs="Arial"/>
                <w:b/>
                <w:bCs/>
                <w:color w:val="000000"/>
                <w:sz w:val="22"/>
              </w:rPr>
            </w:pPr>
          </w:p>
          <w:p w14:paraId="4C81660B" w14:textId="77777777" w:rsidR="00AB3A3E" w:rsidRPr="004C3A0B" w:rsidRDefault="00AB3A3E" w:rsidP="005A5587">
            <w:pPr>
              <w:rPr>
                <w:rFonts w:ascii="Arial" w:hAnsi="Arial" w:cs="Arial"/>
                <w:color w:val="000080"/>
                <w:sz w:val="22"/>
              </w:rPr>
            </w:pPr>
            <w:r w:rsidRPr="004C3A0B">
              <w:rPr>
                <w:rFonts w:ascii="Arial" w:hAnsi="Arial" w:cs="Arial"/>
                <w:sz w:val="22"/>
              </w:rPr>
              <w:lastRenderedPageBreak/>
              <w:t xml:space="preserve">In submitting this application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103" w:history="1">
              <w:r w:rsidRPr="00100C35">
                <w:rPr>
                  <w:rStyle w:val="Hyperlink"/>
                  <w:rFonts w:ascii="Arial" w:eastAsiaTheme="majorEastAsia" w:hAnsi="Arial" w:cs="Arial"/>
                  <w:sz w:val="22"/>
                </w:rPr>
                <w:t>https://www.uwtsd.ac.uk/research/research-ethics/</w:t>
              </w:r>
            </w:hyperlink>
            <w:r>
              <w:rPr>
                <w:rFonts w:ascii="Arial" w:hAnsi="Arial" w:cs="Arial"/>
                <w:sz w:val="22"/>
              </w:rPr>
              <w:t xml:space="preserve"> </w:t>
            </w:r>
          </w:p>
        </w:tc>
      </w:tr>
      <w:tr w:rsidR="00AB3A3E" w:rsidRPr="004C3A0B" w14:paraId="6C669CDD" w14:textId="77777777" w:rsidTr="005A558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3660A" w14:textId="77777777" w:rsidR="00AB3A3E" w:rsidRPr="00BC301B" w:rsidRDefault="00AB3A3E" w:rsidP="005A5587">
            <w:pPr>
              <w:spacing w:before="100" w:beforeAutospacing="1" w:after="100" w:afterAutospacing="1"/>
              <w:jc w:val="center"/>
              <w:rPr>
                <w:rFonts w:ascii="Arial" w:hAnsi="Arial" w:cs="Arial"/>
                <w:bCs/>
                <w:sz w:val="22"/>
              </w:rPr>
            </w:pPr>
            <w:r>
              <w:rPr>
                <w:rFonts w:ascii="Arial" w:hAnsi="Arial" w:cs="Arial"/>
                <w:bCs/>
                <w:sz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E76FC" w14:textId="77777777" w:rsidR="00AB3A3E" w:rsidRPr="004C3A0B" w:rsidRDefault="00AB3A3E" w:rsidP="005A5587">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949" w:type="dxa"/>
            <w:tcBorders>
              <w:left w:val="single" w:sz="4" w:space="0" w:color="auto"/>
            </w:tcBorders>
            <w:vAlign w:val="center"/>
          </w:tcPr>
          <w:p w14:paraId="16F763DC" w14:textId="77777777" w:rsidR="00AB3A3E" w:rsidRPr="004C3A0B" w:rsidRDefault="00AB3A3E" w:rsidP="005A5587">
            <w:pPr>
              <w:spacing w:before="100" w:beforeAutospacing="1" w:after="100" w:afterAutospacing="1"/>
              <w:rPr>
                <w:rFonts w:ascii="Arial" w:hAnsi="Arial" w:cs="Arial"/>
                <w:sz w:val="22"/>
              </w:rPr>
            </w:pPr>
            <w:r w:rsidRPr="00CA7040">
              <w:rPr>
                <w:rFonts w:ascii="Arial" w:hAnsi="Arial" w:cs="Arial"/>
                <w:sz w:val="22"/>
              </w:rPr>
              <w:t>Rabin Hasan</w:t>
            </w:r>
          </w:p>
        </w:tc>
        <w:tc>
          <w:tcPr>
            <w:tcW w:w="2139" w:type="dxa"/>
            <w:gridSpan w:val="3"/>
            <w:vAlign w:val="center"/>
          </w:tcPr>
          <w:p w14:paraId="2BBEBF3F" w14:textId="77777777" w:rsidR="00AB3A3E" w:rsidRDefault="00AB3A3E" w:rsidP="005A5587">
            <w:pPr>
              <w:spacing w:before="100" w:beforeAutospacing="1" w:after="100" w:afterAutospacing="1"/>
              <w:rPr>
                <w:rFonts w:ascii="Arial" w:hAnsi="Arial" w:cs="Arial"/>
                <w:b/>
                <w:bCs/>
                <w:sz w:val="22"/>
              </w:rPr>
            </w:pPr>
            <w:r w:rsidRPr="004C3A0B">
              <w:rPr>
                <w:rFonts w:ascii="Arial" w:hAnsi="Arial" w:cs="Arial"/>
                <w:b/>
                <w:bCs/>
                <w:sz w:val="22"/>
              </w:rPr>
              <w:t>Date:</w:t>
            </w:r>
            <w:r>
              <w:rPr>
                <w:rFonts w:ascii="Arial" w:hAnsi="Arial" w:cs="Arial"/>
                <w:b/>
                <w:bCs/>
                <w:sz w:val="22"/>
              </w:rPr>
              <w:t xml:space="preserve"> 10 July 2026</w:t>
            </w:r>
          </w:p>
          <w:p w14:paraId="4FBBA2EF" w14:textId="77777777" w:rsidR="00AB3A3E" w:rsidRPr="004C3A0B" w:rsidRDefault="00AB3A3E" w:rsidP="005A5587">
            <w:pPr>
              <w:spacing w:before="100" w:beforeAutospacing="1" w:after="100" w:afterAutospacing="1"/>
              <w:rPr>
                <w:rFonts w:ascii="Arial" w:hAnsi="Arial" w:cs="Arial"/>
                <w:sz w:val="22"/>
              </w:rPr>
            </w:pPr>
          </w:p>
        </w:tc>
      </w:tr>
      <w:tr w:rsidR="00AB3A3E" w:rsidRPr="004C3A0B" w14:paraId="3390595F" w14:textId="77777777" w:rsidTr="005A55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79CB5A9" w14:textId="77777777" w:rsidR="00AB3A3E" w:rsidRPr="004C3A0B" w:rsidRDefault="00AB3A3E" w:rsidP="005A5587">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11F1D31D" w14:textId="77777777" w:rsidR="00AB3A3E" w:rsidRPr="004C3A0B" w:rsidRDefault="00AB3A3E" w:rsidP="005A5587">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053CB44A" w14:textId="77777777" w:rsidR="00AB3A3E" w:rsidRPr="004C3A0B" w:rsidRDefault="00AB3A3E" w:rsidP="005A5587">
            <w:pPr>
              <w:pStyle w:val="ListParagraph"/>
              <w:ind w:left="0"/>
              <w:rPr>
                <w:rFonts w:ascii="Arial" w:hAnsi="Arial" w:cs="Arial"/>
              </w:rPr>
            </w:pPr>
            <w:r w:rsidRPr="00CA7040">
              <w:rPr>
                <w:rFonts w:ascii="Arial" w:hAnsi="Arial" w:cs="Arial"/>
              </w:rPr>
              <w:t>Alireza Nazarian</w:t>
            </w:r>
          </w:p>
        </w:tc>
        <w:tc>
          <w:tcPr>
            <w:tcW w:w="2123" w:type="dxa"/>
            <w:vMerge w:val="restart"/>
          </w:tcPr>
          <w:p w14:paraId="04DD2991" w14:textId="77777777" w:rsidR="00AB3A3E" w:rsidRPr="004C3A0B" w:rsidRDefault="00AB3A3E" w:rsidP="005A5587">
            <w:pPr>
              <w:pStyle w:val="ListParagraph"/>
              <w:ind w:left="0"/>
              <w:rPr>
                <w:rFonts w:ascii="Arial" w:hAnsi="Arial" w:cs="Arial"/>
              </w:rPr>
            </w:pPr>
            <w:r w:rsidRPr="004C3A0B">
              <w:rPr>
                <w:rFonts w:ascii="Arial" w:hAnsi="Arial" w:cs="Arial"/>
                <w:b/>
                <w:bCs/>
              </w:rPr>
              <w:t>Date:</w:t>
            </w:r>
            <w:r>
              <w:rPr>
                <w:rFonts w:ascii="Arial" w:hAnsi="Arial" w:cs="Arial"/>
                <w:b/>
                <w:bCs/>
              </w:rPr>
              <w:t>14 July 2026</w:t>
            </w:r>
          </w:p>
        </w:tc>
      </w:tr>
      <w:tr w:rsidR="00AB3A3E" w:rsidRPr="004C3A0B" w14:paraId="7BB62536" w14:textId="77777777" w:rsidTr="005A55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43C1661B" w14:textId="77777777" w:rsidR="00AB3A3E" w:rsidRPr="004C3A0B" w:rsidRDefault="00AB3A3E" w:rsidP="005A5587">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D76F66B" w14:textId="77777777" w:rsidR="00AB3A3E" w:rsidRPr="004C3A0B" w:rsidRDefault="00AB3A3E" w:rsidP="005A5587">
            <w:pPr>
              <w:pStyle w:val="ListParagraph"/>
              <w:ind w:left="0"/>
              <w:rPr>
                <w:rFonts w:ascii="Arial" w:hAnsi="Arial" w:cs="Arial"/>
              </w:rPr>
            </w:pPr>
            <w:r w:rsidRPr="004C3A0B">
              <w:rPr>
                <w:rFonts w:ascii="Arial" w:hAnsi="Arial" w:cs="Arial"/>
              </w:rPr>
              <w:t>Signature:</w:t>
            </w:r>
          </w:p>
        </w:tc>
        <w:tc>
          <w:tcPr>
            <w:tcW w:w="4959" w:type="dxa"/>
            <w:gridSpan w:val="2"/>
            <w:vAlign w:val="center"/>
          </w:tcPr>
          <w:p w14:paraId="07D85432" w14:textId="77777777" w:rsidR="00AB3A3E" w:rsidRPr="004C3A0B" w:rsidRDefault="00AB3A3E" w:rsidP="005A5587">
            <w:pPr>
              <w:pStyle w:val="ListParagraph"/>
              <w:ind w:left="0"/>
              <w:rPr>
                <w:rFonts w:ascii="Arial" w:hAnsi="Arial" w:cs="Arial"/>
              </w:rPr>
            </w:pPr>
            <w:r w:rsidRPr="00CA7040">
              <w:rPr>
                <w:rFonts w:ascii="Arial" w:hAnsi="Arial" w:cs="Arial"/>
              </w:rPr>
              <w:t>Alireza Nazarian</w:t>
            </w:r>
          </w:p>
        </w:tc>
        <w:tc>
          <w:tcPr>
            <w:tcW w:w="2123" w:type="dxa"/>
            <w:vMerge/>
            <w:vAlign w:val="center"/>
          </w:tcPr>
          <w:p w14:paraId="1122B63E" w14:textId="77777777" w:rsidR="00AB3A3E" w:rsidRPr="004C3A0B" w:rsidRDefault="00AB3A3E" w:rsidP="005A5587">
            <w:pPr>
              <w:pStyle w:val="ListParagraph"/>
              <w:ind w:left="0"/>
              <w:rPr>
                <w:rFonts w:ascii="Arial" w:hAnsi="Arial" w:cs="Arial"/>
              </w:rPr>
            </w:pPr>
          </w:p>
        </w:tc>
      </w:tr>
    </w:tbl>
    <w:p w14:paraId="15BE8DC5" w14:textId="77777777" w:rsidR="00AB3A3E" w:rsidRDefault="00AB3A3E" w:rsidP="00AB3A3E">
      <w:pPr>
        <w:rPr>
          <w:rFonts w:ascii="Arial" w:hAnsi="Arial" w:cs="Arial"/>
          <w:sz w:val="22"/>
        </w:rPr>
      </w:pPr>
    </w:p>
    <w:p w14:paraId="484D11C1" w14:textId="77777777" w:rsidR="00680D7A" w:rsidRPr="00680D7A" w:rsidRDefault="00680D7A" w:rsidP="00680D7A">
      <w:pPr>
        <w:rPr>
          <w:lang w:eastAsia="en-US" w:bidi="bn-IN"/>
        </w:rPr>
      </w:pPr>
    </w:p>
    <w:sectPr w:rsidR="00680D7A" w:rsidRPr="00680D7A" w:rsidSect="00B17A2C">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3B783" w14:textId="77777777" w:rsidR="004D5D9B" w:rsidRDefault="004D5D9B" w:rsidP="00CD3D2B">
      <w:r>
        <w:separator/>
      </w:r>
    </w:p>
  </w:endnote>
  <w:endnote w:type="continuationSeparator" w:id="0">
    <w:p w14:paraId="1C5D7196" w14:textId="77777777" w:rsidR="004D5D9B" w:rsidRDefault="004D5D9B"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70309020205020404"/>
    <w:charset w:val="00"/>
    <w:family w:val="modern"/>
    <w:pitch w:val="fixed"/>
    <w:sig w:usb0="E0002AFF" w:usb1="C0007843" w:usb2="00000009" w:usb3="00000000" w:csb0="000001FF" w:csb1="00000000"/>
  </w:font>
  <w:font w:name="-webkit-standar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3465B" w14:textId="77777777" w:rsidR="004D5D9B" w:rsidRDefault="004D5D9B" w:rsidP="00CD3D2B">
      <w:r>
        <w:separator/>
      </w:r>
    </w:p>
  </w:footnote>
  <w:footnote w:type="continuationSeparator" w:id="0">
    <w:p w14:paraId="133AA663" w14:textId="77777777" w:rsidR="004D5D9B" w:rsidRDefault="004D5D9B"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0AA228F"/>
    <w:multiLevelType w:val="hybridMultilevel"/>
    <w:tmpl w:val="E5C69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C05D89"/>
    <w:multiLevelType w:val="multilevel"/>
    <w:tmpl w:val="32706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7EF1D48"/>
    <w:multiLevelType w:val="hybridMultilevel"/>
    <w:tmpl w:val="3346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98B592F"/>
    <w:multiLevelType w:val="multilevel"/>
    <w:tmpl w:val="336AF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69026B"/>
    <w:multiLevelType w:val="hybridMultilevel"/>
    <w:tmpl w:val="E41ED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48F5512"/>
    <w:multiLevelType w:val="multilevel"/>
    <w:tmpl w:val="9AFA1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27AC2D8C"/>
    <w:multiLevelType w:val="hybridMultilevel"/>
    <w:tmpl w:val="300EF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2D3D25"/>
    <w:multiLevelType w:val="multilevel"/>
    <w:tmpl w:val="044A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0154DD6"/>
    <w:multiLevelType w:val="hybridMultilevel"/>
    <w:tmpl w:val="89F4F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1431D57"/>
    <w:multiLevelType w:val="hybridMultilevel"/>
    <w:tmpl w:val="9846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BD26CE2"/>
    <w:multiLevelType w:val="hybridMultilevel"/>
    <w:tmpl w:val="2F461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7"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ED6CB5"/>
    <w:multiLevelType w:val="hybridMultilevel"/>
    <w:tmpl w:val="35788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428099">
    <w:abstractNumId w:val="55"/>
  </w:num>
  <w:num w:numId="2" w16cid:durableId="583612553">
    <w:abstractNumId w:val="12"/>
  </w:num>
  <w:num w:numId="3" w16cid:durableId="566232394">
    <w:abstractNumId w:val="26"/>
  </w:num>
  <w:num w:numId="4" w16cid:durableId="1264536779">
    <w:abstractNumId w:val="66"/>
  </w:num>
  <w:num w:numId="5" w16cid:durableId="1402406138">
    <w:abstractNumId w:val="31"/>
  </w:num>
  <w:num w:numId="6" w16cid:durableId="154344849">
    <w:abstractNumId w:val="57"/>
  </w:num>
  <w:num w:numId="7" w16cid:durableId="732234765">
    <w:abstractNumId w:val="17"/>
  </w:num>
  <w:num w:numId="8" w16cid:durableId="552890507">
    <w:abstractNumId w:val="13"/>
  </w:num>
  <w:num w:numId="9" w16cid:durableId="1538934186">
    <w:abstractNumId w:val="27"/>
  </w:num>
  <w:num w:numId="10" w16cid:durableId="1977955242">
    <w:abstractNumId w:val="20"/>
  </w:num>
  <w:num w:numId="11" w16cid:durableId="1831361936">
    <w:abstractNumId w:val="15"/>
  </w:num>
  <w:num w:numId="12" w16cid:durableId="2075808001">
    <w:abstractNumId w:val="32"/>
  </w:num>
  <w:num w:numId="13" w16cid:durableId="618804133">
    <w:abstractNumId w:val="37"/>
  </w:num>
  <w:num w:numId="14" w16cid:durableId="2111468546">
    <w:abstractNumId w:val="62"/>
  </w:num>
  <w:num w:numId="15" w16cid:durableId="179469349">
    <w:abstractNumId w:val="14"/>
  </w:num>
  <w:num w:numId="16" w16cid:durableId="1513253358">
    <w:abstractNumId w:val="49"/>
  </w:num>
  <w:num w:numId="17" w16cid:durableId="889343500">
    <w:abstractNumId w:val="45"/>
  </w:num>
  <w:num w:numId="18" w16cid:durableId="191043294">
    <w:abstractNumId w:val="9"/>
  </w:num>
  <w:num w:numId="19" w16cid:durableId="112555149">
    <w:abstractNumId w:val="41"/>
  </w:num>
  <w:num w:numId="20" w16cid:durableId="336007111">
    <w:abstractNumId w:val="54"/>
  </w:num>
  <w:num w:numId="21" w16cid:durableId="75518779">
    <w:abstractNumId w:val="21"/>
  </w:num>
  <w:num w:numId="22" w16cid:durableId="853347647">
    <w:abstractNumId w:val="35"/>
  </w:num>
  <w:num w:numId="23" w16cid:durableId="74716339">
    <w:abstractNumId w:val="53"/>
  </w:num>
  <w:num w:numId="24" w16cid:durableId="67846653">
    <w:abstractNumId w:val="18"/>
  </w:num>
  <w:num w:numId="25" w16cid:durableId="1372807990">
    <w:abstractNumId w:val="19"/>
  </w:num>
  <w:num w:numId="26" w16cid:durableId="949896654">
    <w:abstractNumId w:val="23"/>
  </w:num>
  <w:num w:numId="27" w16cid:durableId="1156340042">
    <w:abstractNumId w:val="10"/>
  </w:num>
  <w:num w:numId="28" w16cid:durableId="115606591">
    <w:abstractNumId w:val="52"/>
  </w:num>
  <w:num w:numId="29" w16cid:durableId="203056138">
    <w:abstractNumId w:val="11"/>
  </w:num>
  <w:num w:numId="30" w16cid:durableId="1068918862">
    <w:abstractNumId w:val="33"/>
  </w:num>
  <w:num w:numId="31" w16cid:durableId="137429481">
    <w:abstractNumId w:val="67"/>
  </w:num>
  <w:num w:numId="32" w16cid:durableId="1287810341">
    <w:abstractNumId w:val="22"/>
  </w:num>
  <w:num w:numId="33" w16cid:durableId="2003506481">
    <w:abstractNumId w:val="8"/>
  </w:num>
  <w:num w:numId="34" w16cid:durableId="72169356">
    <w:abstractNumId w:val="6"/>
  </w:num>
  <w:num w:numId="35" w16cid:durableId="1621643769">
    <w:abstractNumId w:val="5"/>
  </w:num>
  <w:num w:numId="36" w16cid:durableId="1910915822">
    <w:abstractNumId w:val="4"/>
  </w:num>
  <w:num w:numId="37" w16cid:durableId="1178540595">
    <w:abstractNumId w:val="7"/>
  </w:num>
  <w:num w:numId="38" w16cid:durableId="464742630">
    <w:abstractNumId w:val="3"/>
  </w:num>
  <w:num w:numId="39" w16cid:durableId="43874622">
    <w:abstractNumId w:val="2"/>
  </w:num>
  <w:num w:numId="40" w16cid:durableId="313678393">
    <w:abstractNumId w:val="1"/>
  </w:num>
  <w:num w:numId="41" w16cid:durableId="1406564101">
    <w:abstractNumId w:val="0"/>
  </w:num>
  <w:num w:numId="42" w16cid:durableId="51079376">
    <w:abstractNumId w:val="38"/>
  </w:num>
  <w:num w:numId="43" w16cid:durableId="1934627575">
    <w:abstractNumId w:val="40"/>
  </w:num>
  <w:num w:numId="44" w16cid:durableId="1340812707">
    <w:abstractNumId w:val="16"/>
  </w:num>
  <w:num w:numId="45" w16cid:durableId="357777554">
    <w:abstractNumId w:val="46"/>
  </w:num>
  <w:num w:numId="46" w16cid:durableId="1943223167">
    <w:abstractNumId w:val="61"/>
  </w:num>
  <w:num w:numId="47" w16cid:durableId="1200509547">
    <w:abstractNumId w:val="28"/>
  </w:num>
  <w:num w:numId="48" w16cid:durableId="540213336">
    <w:abstractNumId w:val="69"/>
  </w:num>
  <w:num w:numId="49" w16cid:durableId="18082778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814356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826063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55283741">
    <w:abstractNumId w:val="29"/>
  </w:num>
  <w:num w:numId="53" w16cid:durableId="275452992">
    <w:abstractNumId w:val="42"/>
  </w:num>
  <w:num w:numId="54" w16cid:durableId="80836985">
    <w:abstractNumId w:val="43"/>
  </w:num>
  <w:num w:numId="55" w16cid:durableId="1835682021">
    <w:abstractNumId w:val="65"/>
  </w:num>
  <w:num w:numId="56" w16cid:durableId="828860330">
    <w:abstractNumId w:val="63"/>
  </w:num>
  <w:num w:numId="57" w16cid:durableId="1010763389">
    <w:abstractNumId w:val="64"/>
  </w:num>
  <w:num w:numId="58" w16cid:durableId="128788687">
    <w:abstractNumId w:val="24"/>
  </w:num>
  <w:num w:numId="59" w16cid:durableId="1020551745">
    <w:abstractNumId w:val="36"/>
  </w:num>
  <w:num w:numId="60" w16cid:durableId="1532298038">
    <w:abstractNumId w:val="39"/>
  </w:num>
  <w:num w:numId="61" w16cid:durableId="945385212">
    <w:abstractNumId w:val="47"/>
  </w:num>
  <w:num w:numId="62" w16cid:durableId="922687929">
    <w:abstractNumId w:val="50"/>
  </w:num>
  <w:num w:numId="63" w16cid:durableId="787160519">
    <w:abstractNumId w:val="68"/>
  </w:num>
  <w:num w:numId="64" w16cid:durableId="461189211">
    <w:abstractNumId w:val="34"/>
  </w:num>
  <w:num w:numId="65" w16cid:durableId="1640068358">
    <w:abstractNumId w:val="51"/>
  </w:num>
  <w:num w:numId="66" w16cid:durableId="1126776455">
    <w:abstractNumId w:val="60"/>
  </w:num>
  <w:num w:numId="67" w16cid:durableId="874391422">
    <w:abstractNumId w:val="25"/>
  </w:num>
  <w:num w:numId="68" w16cid:durableId="829907311">
    <w:abstractNumId w:val="44"/>
  </w:num>
  <w:num w:numId="69" w16cid:durableId="222911075">
    <w:abstractNumId w:val="48"/>
  </w:num>
  <w:num w:numId="70" w16cid:durableId="1459839812">
    <w:abstractNumId w:val="70"/>
  </w:num>
  <w:num w:numId="71" w16cid:durableId="1657030637">
    <w:abstractNumId w:val="59"/>
  </w:num>
  <w:num w:numId="72" w16cid:durableId="1045985668">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2D87"/>
    <w:rsid w:val="00004C24"/>
    <w:rsid w:val="0000711F"/>
    <w:rsid w:val="00010D0B"/>
    <w:rsid w:val="00014031"/>
    <w:rsid w:val="00014786"/>
    <w:rsid w:val="00015E39"/>
    <w:rsid w:val="00016086"/>
    <w:rsid w:val="000204AB"/>
    <w:rsid w:val="00024397"/>
    <w:rsid w:val="000259E6"/>
    <w:rsid w:val="000265D3"/>
    <w:rsid w:val="00026D84"/>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13A8"/>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944"/>
    <w:rsid w:val="000B3D55"/>
    <w:rsid w:val="000C1C9E"/>
    <w:rsid w:val="000C3B82"/>
    <w:rsid w:val="000C4C78"/>
    <w:rsid w:val="000C677E"/>
    <w:rsid w:val="000C6B24"/>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5D3E"/>
    <w:rsid w:val="000F7992"/>
    <w:rsid w:val="00101B07"/>
    <w:rsid w:val="00101CD4"/>
    <w:rsid w:val="00101D2F"/>
    <w:rsid w:val="00102F07"/>
    <w:rsid w:val="00104DC2"/>
    <w:rsid w:val="001053AC"/>
    <w:rsid w:val="00105CC4"/>
    <w:rsid w:val="00105E7A"/>
    <w:rsid w:val="00106549"/>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831"/>
    <w:rsid w:val="001F4953"/>
    <w:rsid w:val="001F49A8"/>
    <w:rsid w:val="001F4EB9"/>
    <w:rsid w:val="002006F7"/>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A591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E7344"/>
    <w:rsid w:val="002F07C9"/>
    <w:rsid w:val="002F0C52"/>
    <w:rsid w:val="002F1535"/>
    <w:rsid w:val="002F36C1"/>
    <w:rsid w:val="002F557D"/>
    <w:rsid w:val="002F5735"/>
    <w:rsid w:val="002F642A"/>
    <w:rsid w:val="002F7C15"/>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02FC"/>
    <w:rsid w:val="00342503"/>
    <w:rsid w:val="00346F1E"/>
    <w:rsid w:val="00347332"/>
    <w:rsid w:val="00347E5D"/>
    <w:rsid w:val="0035068C"/>
    <w:rsid w:val="00353511"/>
    <w:rsid w:val="00353E19"/>
    <w:rsid w:val="00355790"/>
    <w:rsid w:val="00355A5E"/>
    <w:rsid w:val="00356EF9"/>
    <w:rsid w:val="00356F58"/>
    <w:rsid w:val="003625CE"/>
    <w:rsid w:val="00363B6D"/>
    <w:rsid w:val="00363F64"/>
    <w:rsid w:val="00364D09"/>
    <w:rsid w:val="00365765"/>
    <w:rsid w:val="00365FC1"/>
    <w:rsid w:val="0036640B"/>
    <w:rsid w:val="00370CF2"/>
    <w:rsid w:val="00370EBF"/>
    <w:rsid w:val="00372838"/>
    <w:rsid w:val="00374568"/>
    <w:rsid w:val="00374EAF"/>
    <w:rsid w:val="00376B34"/>
    <w:rsid w:val="00377F37"/>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5397"/>
    <w:rsid w:val="0045590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723"/>
    <w:rsid w:val="004C3B15"/>
    <w:rsid w:val="004C587F"/>
    <w:rsid w:val="004C682C"/>
    <w:rsid w:val="004D00D2"/>
    <w:rsid w:val="004D263B"/>
    <w:rsid w:val="004D4734"/>
    <w:rsid w:val="004D53AE"/>
    <w:rsid w:val="004D5D9B"/>
    <w:rsid w:val="004E4117"/>
    <w:rsid w:val="004E6475"/>
    <w:rsid w:val="004F1109"/>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82E"/>
    <w:rsid w:val="00547D23"/>
    <w:rsid w:val="00547D57"/>
    <w:rsid w:val="005502EA"/>
    <w:rsid w:val="0055274E"/>
    <w:rsid w:val="00553474"/>
    <w:rsid w:val="00553AE1"/>
    <w:rsid w:val="005551C8"/>
    <w:rsid w:val="00557A4D"/>
    <w:rsid w:val="00560DD9"/>
    <w:rsid w:val="00562DF2"/>
    <w:rsid w:val="00563EB4"/>
    <w:rsid w:val="005642A6"/>
    <w:rsid w:val="00566303"/>
    <w:rsid w:val="00567AAC"/>
    <w:rsid w:val="00570004"/>
    <w:rsid w:val="00570703"/>
    <w:rsid w:val="00572616"/>
    <w:rsid w:val="00572E4A"/>
    <w:rsid w:val="00580F4D"/>
    <w:rsid w:val="00582886"/>
    <w:rsid w:val="00584F7D"/>
    <w:rsid w:val="00585B3F"/>
    <w:rsid w:val="00591F65"/>
    <w:rsid w:val="00594623"/>
    <w:rsid w:val="00594FB8"/>
    <w:rsid w:val="005A0021"/>
    <w:rsid w:val="005A264B"/>
    <w:rsid w:val="005A2EDD"/>
    <w:rsid w:val="005A60E2"/>
    <w:rsid w:val="005A7EF0"/>
    <w:rsid w:val="005B0D4A"/>
    <w:rsid w:val="005B1D5D"/>
    <w:rsid w:val="005B3E44"/>
    <w:rsid w:val="005B4AB2"/>
    <w:rsid w:val="005B4B54"/>
    <w:rsid w:val="005B65A8"/>
    <w:rsid w:val="005B7205"/>
    <w:rsid w:val="005C01FB"/>
    <w:rsid w:val="005C550B"/>
    <w:rsid w:val="005D0EFB"/>
    <w:rsid w:val="005D2E9C"/>
    <w:rsid w:val="005D4F47"/>
    <w:rsid w:val="005D6353"/>
    <w:rsid w:val="005E0834"/>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0D7A"/>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5F65"/>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368A"/>
    <w:rsid w:val="00744C21"/>
    <w:rsid w:val="00745234"/>
    <w:rsid w:val="00745DDA"/>
    <w:rsid w:val="00751E98"/>
    <w:rsid w:val="007571EC"/>
    <w:rsid w:val="00761CA1"/>
    <w:rsid w:val="007621EF"/>
    <w:rsid w:val="00765F3E"/>
    <w:rsid w:val="00771755"/>
    <w:rsid w:val="00771766"/>
    <w:rsid w:val="00771F83"/>
    <w:rsid w:val="00772A34"/>
    <w:rsid w:val="0078081B"/>
    <w:rsid w:val="00781CA1"/>
    <w:rsid w:val="00784722"/>
    <w:rsid w:val="00785215"/>
    <w:rsid w:val="00786CEA"/>
    <w:rsid w:val="00791B43"/>
    <w:rsid w:val="00794018"/>
    <w:rsid w:val="007969BF"/>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4EBB"/>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973"/>
    <w:rsid w:val="00850F09"/>
    <w:rsid w:val="00851A85"/>
    <w:rsid w:val="00852B2A"/>
    <w:rsid w:val="00856D27"/>
    <w:rsid w:val="00857741"/>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940"/>
    <w:rsid w:val="008A7DAE"/>
    <w:rsid w:val="008B177F"/>
    <w:rsid w:val="008B184E"/>
    <w:rsid w:val="008B1D0B"/>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40FC4"/>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2DB"/>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A8D"/>
    <w:rsid w:val="00A61C94"/>
    <w:rsid w:val="00A6436A"/>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65F8"/>
    <w:rsid w:val="00AA7982"/>
    <w:rsid w:val="00AB2D81"/>
    <w:rsid w:val="00AB3526"/>
    <w:rsid w:val="00AB3A3E"/>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66F"/>
    <w:rsid w:val="00AF3CC3"/>
    <w:rsid w:val="00AF44F5"/>
    <w:rsid w:val="00AF467F"/>
    <w:rsid w:val="00AF748B"/>
    <w:rsid w:val="00AF776C"/>
    <w:rsid w:val="00B00207"/>
    <w:rsid w:val="00B00255"/>
    <w:rsid w:val="00B0466E"/>
    <w:rsid w:val="00B05F1F"/>
    <w:rsid w:val="00B13DA3"/>
    <w:rsid w:val="00B175F4"/>
    <w:rsid w:val="00B17A2C"/>
    <w:rsid w:val="00B2346D"/>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195C"/>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5EEB"/>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2102"/>
    <w:rsid w:val="00BF3DEB"/>
    <w:rsid w:val="00BF5146"/>
    <w:rsid w:val="00BF5E2B"/>
    <w:rsid w:val="00BF732C"/>
    <w:rsid w:val="00C04405"/>
    <w:rsid w:val="00C05E74"/>
    <w:rsid w:val="00C06000"/>
    <w:rsid w:val="00C0601A"/>
    <w:rsid w:val="00C12133"/>
    <w:rsid w:val="00C13FE0"/>
    <w:rsid w:val="00C14760"/>
    <w:rsid w:val="00C14A04"/>
    <w:rsid w:val="00C14B78"/>
    <w:rsid w:val="00C16B8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7059D"/>
    <w:rsid w:val="00C8004A"/>
    <w:rsid w:val="00C81DDF"/>
    <w:rsid w:val="00C848A2"/>
    <w:rsid w:val="00C855B7"/>
    <w:rsid w:val="00C9001B"/>
    <w:rsid w:val="00C9127D"/>
    <w:rsid w:val="00C91737"/>
    <w:rsid w:val="00C972A3"/>
    <w:rsid w:val="00CA07C4"/>
    <w:rsid w:val="00CA0CC3"/>
    <w:rsid w:val="00CA16A3"/>
    <w:rsid w:val="00CA1C2A"/>
    <w:rsid w:val="00CA6CFB"/>
    <w:rsid w:val="00CB18DE"/>
    <w:rsid w:val="00CB3888"/>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CF6B23"/>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025"/>
    <w:rsid w:val="00D2773D"/>
    <w:rsid w:val="00D2773F"/>
    <w:rsid w:val="00D30363"/>
    <w:rsid w:val="00D306D7"/>
    <w:rsid w:val="00D32A58"/>
    <w:rsid w:val="00D337D2"/>
    <w:rsid w:val="00D37A37"/>
    <w:rsid w:val="00D37BAE"/>
    <w:rsid w:val="00D4096B"/>
    <w:rsid w:val="00D42265"/>
    <w:rsid w:val="00D4243C"/>
    <w:rsid w:val="00D43D1E"/>
    <w:rsid w:val="00D441E5"/>
    <w:rsid w:val="00D44743"/>
    <w:rsid w:val="00D44AAD"/>
    <w:rsid w:val="00D44D25"/>
    <w:rsid w:val="00D50E86"/>
    <w:rsid w:val="00D5181E"/>
    <w:rsid w:val="00D53FC3"/>
    <w:rsid w:val="00D550EE"/>
    <w:rsid w:val="00D555EE"/>
    <w:rsid w:val="00D5585D"/>
    <w:rsid w:val="00D565AE"/>
    <w:rsid w:val="00D5678C"/>
    <w:rsid w:val="00D60014"/>
    <w:rsid w:val="00D61D58"/>
    <w:rsid w:val="00D655AD"/>
    <w:rsid w:val="00D656D2"/>
    <w:rsid w:val="00D7245B"/>
    <w:rsid w:val="00D72C06"/>
    <w:rsid w:val="00D735D9"/>
    <w:rsid w:val="00D74165"/>
    <w:rsid w:val="00D77858"/>
    <w:rsid w:val="00D77D4E"/>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B6365"/>
    <w:rsid w:val="00DC1557"/>
    <w:rsid w:val="00DC1948"/>
    <w:rsid w:val="00DD0ED6"/>
    <w:rsid w:val="00DD1F6B"/>
    <w:rsid w:val="00DD3F1F"/>
    <w:rsid w:val="00DD4713"/>
    <w:rsid w:val="00DD5D57"/>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37F20"/>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3270"/>
    <w:rsid w:val="00EF4094"/>
    <w:rsid w:val="00EF4802"/>
    <w:rsid w:val="00F02946"/>
    <w:rsid w:val="00F02DF8"/>
    <w:rsid w:val="00F03EE2"/>
    <w:rsid w:val="00F0796A"/>
    <w:rsid w:val="00F12722"/>
    <w:rsid w:val="00F13DD4"/>
    <w:rsid w:val="00F172B1"/>
    <w:rsid w:val="00F210AA"/>
    <w:rsid w:val="00F210D9"/>
    <w:rsid w:val="00F21675"/>
    <w:rsid w:val="00F21916"/>
    <w:rsid w:val="00F232A6"/>
    <w:rsid w:val="00F25C06"/>
    <w:rsid w:val="00F30805"/>
    <w:rsid w:val="00F366C1"/>
    <w:rsid w:val="00F4215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5F33"/>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C03"/>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9"/>
    <w:qFormat/>
    <w:rsid w:val="00D37BAE"/>
    <w:pPr>
      <w:keepNext/>
      <w:keepLines/>
      <w:spacing w:before="240" w:after="0"/>
      <w:jc w:val="center"/>
      <w:outlineLvl w:val="0"/>
    </w:pPr>
    <w:rPr>
      <w:rFonts w:eastAsiaTheme="majorEastAsia" w:cstheme="majorBidi"/>
      <w:b/>
      <w:color w:val="000000"/>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8B1D0B"/>
    <w:pPr>
      <w:keepNext/>
      <w:keepLines/>
      <w:spacing w:before="40" w:after="0"/>
      <w:outlineLvl w:val="1"/>
    </w:pPr>
    <w:rPr>
      <w:rFonts w:eastAsiaTheme="majorEastAsia" w:cstheme="majorBidi"/>
      <w:b/>
      <w:color w:val="000000"/>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5A2EDD"/>
    <w:pPr>
      <w:keepNext/>
      <w:keepLines/>
      <w:spacing w:before="40" w:after="0"/>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9"/>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paragraph" w:styleId="Heading5">
    <w:name w:val="heading 5"/>
    <w:basedOn w:val="Normal"/>
    <w:next w:val="Normal"/>
    <w:link w:val="Heading5Char"/>
    <w:uiPriority w:val="9"/>
    <w:semiHidden/>
    <w:unhideWhenUsed/>
    <w:qFormat/>
    <w:rsid w:val="00E37F20"/>
    <w:pPr>
      <w:keepNext/>
      <w:keepLines/>
      <w:spacing w:before="200" w:after="0"/>
      <w:outlineLvl w:val="4"/>
    </w:pPr>
    <w:rPr>
      <w:rFonts w:asciiTheme="majorHAnsi" w:eastAsiaTheme="majorEastAsia" w:hAnsiTheme="majorHAnsi" w:cstheme="majorBidi"/>
      <w:color w:val="1F3763" w:themeColor="accent1" w:themeShade="7F"/>
      <w:kern w:val="0"/>
      <w:lang w:val="en-US" w:eastAsia="en-US"/>
      <w14:ligatures w14:val="none"/>
    </w:rPr>
  </w:style>
  <w:style w:type="paragraph" w:styleId="Heading6">
    <w:name w:val="heading 6"/>
    <w:basedOn w:val="Normal"/>
    <w:next w:val="Normal"/>
    <w:link w:val="Heading6Char"/>
    <w:uiPriority w:val="9"/>
    <w:semiHidden/>
    <w:unhideWhenUsed/>
    <w:qFormat/>
    <w:rsid w:val="00E37F20"/>
    <w:pPr>
      <w:keepNext/>
      <w:keepLines/>
      <w:spacing w:before="200" w:after="0"/>
      <w:outlineLvl w:val="5"/>
    </w:pPr>
    <w:rPr>
      <w:rFonts w:asciiTheme="majorHAnsi" w:eastAsiaTheme="majorEastAsia" w:hAnsiTheme="majorHAnsi" w:cstheme="majorBidi"/>
      <w:i/>
      <w:iCs/>
      <w:color w:val="1F3763" w:themeColor="accent1" w:themeShade="7F"/>
      <w:kern w:val="0"/>
      <w:lang w:val="en-US" w:eastAsia="en-US"/>
      <w14:ligatures w14:val="none"/>
    </w:rPr>
  </w:style>
  <w:style w:type="paragraph" w:styleId="Heading7">
    <w:name w:val="heading 7"/>
    <w:basedOn w:val="Normal"/>
    <w:next w:val="Normal"/>
    <w:link w:val="Heading7Char"/>
    <w:uiPriority w:val="9"/>
    <w:semiHidden/>
    <w:unhideWhenUsed/>
    <w:qFormat/>
    <w:rsid w:val="00E37F20"/>
    <w:pPr>
      <w:keepNext/>
      <w:keepLines/>
      <w:spacing w:before="200" w:after="0"/>
      <w:outlineLvl w:val="6"/>
    </w:pPr>
    <w:rPr>
      <w:rFonts w:asciiTheme="majorHAnsi" w:eastAsiaTheme="majorEastAsia" w:hAnsiTheme="majorHAnsi" w:cstheme="majorBidi"/>
      <w:i/>
      <w:iCs/>
      <w:color w:val="404040" w:themeColor="text1" w:themeTint="BF"/>
      <w:kern w:val="0"/>
      <w:lang w:val="en-US" w:eastAsia="en-US"/>
      <w14:ligatures w14:val="none"/>
    </w:rPr>
  </w:style>
  <w:style w:type="paragraph" w:styleId="Heading8">
    <w:name w:val="heading 8"/>
    <w:basedOn w:val="Normal"/>
    <w:next w:val="Normal"/>
    <w:link w:val="Heading8Char"/>
    <w:uiPriority w:val="9"/>
    <w:semiHidden/>
    <w:unhideWhenUsed/>
    <w:qFormat/>
    <w:rsid w:val="00E37F20"/>
    <w:pPr>
      <w:keepNext/>
      <w:keepLines/>
      <w:spacing w:before="200" w:after="0"/>
      <w:outlineLvl w:val="7"/>
    </w:pPr>
    <w:rPr>
      <w:rFonts w:asciiTheme="majorHAnsi" w:eastAsiaTheme="majorEastAsia" w:hAnsiTheme="majorHAnsi" w:cstheme="majorBidi"/>
      <w:color w:val="4472C4" w:themeColor="accent1"/>
      <w:kern w:val="0"/>
      <w:sz w:val="20"/>
      <w:szCs w:val="20"/>
      <w:lang w:val="en-US" w:eastAsia="en-US"/>
      <w14:ligatures w14:val="none"/>
    </w:rPr>
  </w:style>
  <w:style w:type="paragraph" w:styleId="Heading9">
    <w:name w:val="heading 9"/>
    <w:basedOn w:val="Normal"/>
    <w:next w:val="Normal"/>
    <w:link w:val="Heading9Char"/>
    <w:uiPriority w:val="9"/>
    <w:semiHidden/>
    <w:unhideWhenUsed/>
    <w:qFormat/>
    <w:rsid w:val="00E37F20"/>
    <w:pPr>
      <w:keepNext/>
      <w:keepLines/>
      <w:spacing w:before="200" w:after="0"/>
      <w:outlineLvl w:val="8"/>
    </w:pPr>
    <w:rPr>
      <w:rFonts w:asciiTheme="majorHAnsi" w:eastAsiaTheme="majorEastAsia" w:hAnsiTheme="majorHAnsi" w:cstheme="majorBidi"/>
      <w:i/>
      <w:iCs/>
      <w:color w:val="404040" w:themeColor="text1" w:themeTint="BF"/>
      <w:kern w:val="0"/>
      <w:sz w:val="20"/>
      <w:szCs w:val="20"/>
      <w:lang w:val="en-US"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37BAE"/>
    <w:rPr>
      <w:rFonts w:ascii="Times New Roman" w:eastAsiaTheme="majorEastAsia" w:hAnsi="Times New Roman" w:cstheme="majorBidi"/>
      <w:b/>
      <w:color w:val="000000"/>
      <w:sz w:val="32"/>
      <w:szCs w:val="32"/>
    </w:rPr>
  </w:style>
  <w:style w:type="character" w:customStyle="1" w:styleId="Heading2Char">
    <w:name w:val="Heading 2 Char"/>
    <w:basedOn w:val="DefaultParagraphFont"/>
    <w:link w:val="Heading2"/>
    <w:uiPriority w:val="9"/>
    <w:rsid w:val="008B1D0B"/>
    <w:rPr>
      <w:rFonts w:ascii="Times New Roman" w:eastAsiaTheme="majorEastAsia" w:hAnsi="Times New Roman" w:cstheme="majorBidi"/>
      <w:b/>
      <w:color w:val="000000"/>
      <w:sz w:val="26"/>
      <w:szCs w:val="33"/>
    </w:rPr>
  </w:style>
  <w:style w:type="character" w:customStyle="1" w:styleId="Heading3Char">
    <w:name w:val="Heading 3 Char"/>
    <w:basedOn w:val="DefaultParagraphFont"/>
    <w:link w:val="Heading3"/>
    <w:uiPriority w:val="9"/>
    <w:rsid w:val="005A2EDD"/>
    <w:rPr>
      <w:rFonts w:ascii="Times New Roman" w:eastAsiaTheme="majorEastAsia" w:hAnsi="Times New Roman" w:cstheme="majorBidi"/>
      <w:b/>
      <w:sz w:val="24"/>
      <w:szCs w:val="30"/>
    </w:rPr>
  </w:style>
  <w:style w:type="character" w:customStyle="1" w:styleId="Heading4Char">
    <w:name w:val="Heading 4 Char"/>
    <w:basedOn w:val="DefaultParagraphFont"/>
    <w:link w:val="Heading4"/>
    <w:uiPriority w:val="99"/>
    <w:rsid w:val="004A73F9"/>
    <w:rPr>
      <w:rFonts w:asciiTheme="majorHAnsi" w:eastAsiaTheme="majorEastAsia" w:hAnsiTheme="majorHAnsi" w:cstheme="majorBidi"/>
      <w:i/>
      <w:iCs/>
      <w:color w:val="2F5496" w:themeColor="accent1" w:themeShade="BF"/>
      <w:sz w:val="24"/>
      <w:szCs w:val="22"/>
      <w:lang w:eastAsia="en-GB"/>
    </w:rPr>
  </w:style>
  <w:style w:type="character" w:customStyle="1" w:styleId="Heading5Char">
    <w:name w:val="Heading 5 Char"/>
    <w:basedOn w:val="DefaultParagraphFont"/>
    <w:link w:val="Heading5"/>
    <w:uiPriority w:val="9"/>
    <w:semiHidden/>
    <w:rsid w:val="00E37F20"/>
    <w:rPr>
      <w:rFonts w:asciiTheme="majorHAnsi" w:eastAsiaTheme="majorEastAsia" w:hAnsiTheme="majorHAnsi" w:cstheme="majorBidi"/>
      <w:color w:val="1F3763" w:themeColor="accent1" w:themeShade="7F"/>
      <w:sz w:val="24"/>
      <w:szCs w:val="22"/>
      <w:lang w:val="en-US" w:bidi="ar-SA"/>
    </w:rPr>
  </w:style>
  <w:style w:type="character" w:customStyle="1" w:styleId="Heading6Char">
    <w:name w:val="Heading 6 Char"/>
    <w:basedOn w:val="DefaultParagraphFont"/>
    <w:link w:val="Heading6"/>
    <w:uiPriority w:val="9"/>
    <w:semiHidden/>
    <w:rsid w:val="00E37F20"/>
    <w:rPr>
      <w:rFonts w:asciiTheme="majorHAnsi" w:eastAsiaTheme="majorEastAsia" w:hAnsiTheme="majorHAnsi" w:cstheme="majorBidi"/>
      <w:i/>
      <w:iCs/>
      <w:color w:val="1F3763" w:themeColor="accent1" w:themeShade="7F"/>
      <w:sz w:val="24"/>
      <w:szCs w:val="22"/>
      <w:lang w:val="en-US" w:bidi="ar-SA"/>
    </w:rPr>
  </w:style>
  <w:style w:type="character" w:customStyle="1" w:styleId="Heading7Char">
    <w:name w:val="Heading 7 Char"/>
    <w:basedOn w:val="DefaultParagraphFont"/>
    <w:link w:val="Heading7"/>
    <w:uiPriority w:val="9"/>
    <w:semiHidden/>
    <w:rsid w:val="00E37F20"/>
    <w:rPr>
      <w:rFonts w:asciiTheme="majorHAnsi" w:eastAsiaTheme="majorEastAsia" w:hAnsiTheme="majorHAnsi" w:cstheme="majorBidi"/>
      <w:i/>
      <w:iCs/>
      <w:color w:val="404040" w:themeColor="text1" w:themeTint="BF"/>
      <w:sz w:val="24"/>
      <w:szCs w:val="22"/>
      <w:lang w:val="en-US" w:bidi="ar-SA"/>
    </w:rPr>
  </w:style>
  <w:style w:type="character" w:customStyle="1" w:styleId="Heading8Char">
    <w:name w:val="Heading 8 Char"/>
    <w:basedOn w:val="DefaultParagraphFont"/>
    <w:link w:val="Heading8"/>
    <w:uiPriority w:val="9"/>
    <w:semiHidden/>
    <w:rsid w:val="00E37F20"/>
    <w:rPr>
      <w:rFonts w:asciiTheme="majorHAnsi" w:eastAsiaTheme="majorEastAsia" w:hAnsiTheme="majorHAnsi" w:cstheme="majorBidi"/>
      <w:color w:val="4472C4" w:themeColor="accent1"/>
      <w:sz w:val="20"/>
      <w:szCs w:val="20"/>
      <w:lang w:val="en-US" w:bidi="ar-SA"/>
    </w:rPr>
  </w:style>
  <w:style w:type="character" w:customStyle="1" w:styleId="Heading9Char">
    <w:name w:val="Heading 9 Char"/>
    <w:basedOn w:val="DefaultParagraphFont"/>
    <w:link w:val="Heading9"/>
    <w:uiPriority w:val="9"/>
    <w:semiHidden/>
    <w:rsid w:val="00E37F20"/>
    <w:rPr>
      <w:rFonts w:asciiTheme="majorHAnsi" w:eastAsiaTheme="majorEastAsia" w:hAnsiTheme="majorHAnsi" w:cstheme="majorBidi"/>
      <w:i/>
      <w:iCs/>
      <w:color w:val="404040" w:themeColor="text1" w:themeTint="BF"/>
      <w:sz w:val="20"/>
      <w:szCs w:val="20"/>
      <w:lang w:val="en-US" w:bidi="ar-SA"/>
    </w:rPr>
  </w:style>
  <w:style w:type="paragraph" w:styleId="Caption">
    <w:name w:val="caption"/>
    <w:basedOn w:val="Normal"/>
    <w:next w:val="Normal"/>
    <w:autoRedefine/>
    <w:uiPriority w:val="35"/>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99"/>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99"/>
    <w:rsid w:val="00E51EBE"/>
    <w:rPr>
      <w:rFonts w:ascii="Arial" w:eastAsia="Arial" w:hAnsi="Arial" w:cs="Arial"/>
      <w:sz w:val="16"/>
      <w:szCs w:val="16"/>
      <w:lang w:val="en-US" w:bidi="ar-SA"/>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5">
    <w:name w:val="Plain Table 5"/>
    <w:basedOn w:val="TableNormal"/>
    <w:uiPriority w:val="45"/>
    <w:rsid w:val="00D4226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5A2EDD"/>
    <w:pPr>
      <w:keepNext/>
      <w:spacing w:before="0" w:line="240" w:lineRule="auto"/>
      <w:contextualSpacing/>
    </w:pPr>
    <w:rPr>
      <w:rFonts w:asciiTheme="majorHAnsi" w:eastAsiaTheme="majorEastAsia" w:hAnsiTheme="majorHAnsi" w:cstheme="majorBidi"/>
      <w:b/>
      <w:color w:val="000000"/>
      <w:spacing w:val="5"/>
      <w:kern w:val="28"/>
      <w:sz w:val="32"/>
      <w:szCs w:val="52"/>
      <w:lang w:val="en-US" w:eastAsia="en-US"/>
      <w14:ligatures w14:val="none"/>
    </w:rPr>
  </w:style>
  <w:style w:type="character" w:customStyle="1" w:styleId="TitleChar">
    <w:name w:val="Title Char"/>
    <w:basedOn w:val="DefaultParagraphFont"/>
    <w:link w:val="Title"/>
    <w:uiPriority w:val="10"/>
    <w:rsid w:val="005A2EDD"/>
    <w:rPr>
      <w:rFonts w:asciiTheme="majorHAnsi" w:eastAsiaTheme="majorEastAsia" w:hAnsiTheme="majorHAnsi" w:cstheme="majorBidi"/>
      <w:b/>
      <w:color w:val="000000"/>
      <w:spacing w:val="5"/>
      <w:kern w:val="28"/>
      <w:sz w:val="32"/>
      <w:szCs w:val="52"/>
      <w:lang w:val="en-US" w:bidi="ar-SA"/>
    </w:rPr>
  </w:style>
  <w:style w:type="paragraph" w:styleId="Subtitle">
    <w:name w:val="Subtitle"/>
    <w:basedOn w:val="Normal"/>
    <w:next w:val="Normal"/>
    <w:link w:val="SubtitleChar"/>
    <w:uiPriority w:val="11"/>
    <w:qFormat/>
    <w:rsid w:val="00E37F20"/>
    <w:pPr>
      <w:numPr>
        <w:ilvl w:val="1"/>
      </w:numPr>
      <w:spacing w:before="0"/>
    </w:pPr>
    <w:rPr>
      <w:rFonts w:asciiTheme="majorHAnsi" w:eastAsiaTheme="majorEastAsia" w:hAnsiTheme="majorHAnsi" w:cstheme="majorBidi"/>
      <w:i/>
      <w:iCs/>
      <w:color w:val="4472C4" w:themeColor="accent1"/>
      <w:spacing w:val="15"/>
      <w:kern w:val="0"/>
      <w:szCs w:val="24"/>
      <w:lang w:val="en-US" w:eastAsia="en-US"/>
      <w14:ligatures w14:val="none"/>
    </w:rPr>
  </w:style>
  <w:style w:type="character" w:customStyle="1" w:styleId="SubtitleChar">
    <w:name w:val="Subtitle Char"/>
    <w:basedOn w:val="DefaultParagraphFont"/>
    <w:link w:val="Subtitle"/>
    <w:uiPriority w:val="11"/>
    <w:rsid w:val="00E37F20"/>
    <w:rPr>
      <w:rFonts w:asciiTheme="majorHAnsi" w:eastAsiaTheme="majorEastAsia" w:hAnsiTheme="majorHAnsi" w:cstheme="majorBidi"/>
      <w:i/>
      <w:iCs/>
      <w:color w:val="4472C4" w:themeColor="accent1"/>
      <w:spacing w:val="15"/>
      <w:sz w:val="24"/>
      <w:szCs w:val="24"/>
      <w:lang w:val="en-US" w:bidi="ar-SA"/>
    </w:rPr>
  </w:style>
  <w:style w:type="paragraph" w:styleId="BodyText2">
    <w:name w:val="Body Text 2"/>
    <w:basedOn w:val="Normal"/>
    <w:link w:val="BodyText2Char"/>
    <w:uiPriority w:val="99"/>
    <w:unhideWhenUsed/>
    <w:rsid w:val="00E37F20"/>
    <w:pPr>
      <w:spacing w:before="0" w:line="480" w:lineRule="auto"/>
    </w:pPr>
    <w:rPr>
      <w:rFonts w:cstheme="minorBidi"/>
      <w:kern w:val="0"/>
      <w:lang w:val="en-US" w:eastAsia="en-US"/>
      <w14:ligatures w14:val="none"/>
    </w:rPr>
  </w:style>
  <w:style w:type="character" w:customStyle="1" w:styleId="BodyText2Char">
    <w:name w:val="Body Text 2 Char"/>
    <w:basedOn w:val="DefaultParagraphFont"/>
    <w:link w:val="BodyText2"/>
    <w:uiPriority w:val="99"/>
    <w:rsid w:val="00E37F20"/>
    <w:rPr>
      <w:rFonts w:ascii="Times New Roman" w:eastAsia="Times New Roman" w:hAnsi="Times New Roman"/>
      <w:sz w:val="24"/>
      <w:szCs w:val="22"/>
      <w:lang w:val="en-US" w:bidi="ar-SA"/>
    </w:rPr>
  </w:style>
  <w:style w:type="paragraph" w:styleId="BodyText3">
    <w:name w:val="Body Text 3"/>
    <w:basedOn w:val="Normal"/>
    <w:link w:val="BodyText3Char"/>
    <w:uiPriority w:val="99"/>
    <w:unhideWhenUsed/>
    <w:rsid w:val="00E37F20"/>
    <w:pPr>
      <w:spacing w:before="0"/>
    </w:pPr>
    <w:rPr>
      <w:rFonts w:cstheme="minorBidi"/>
      <w:kern w:val="0"/>
      <w:sz w:val="16"/>
      <w:szCs w:val="16"/>
      <w:lang w:val="en-US" w:eastAsia="en-US"/>
      <w14:ligatures w14:val="none"/>
    </w:rPr>
  </w:style>
  <w:style w:type="character" w:customStyle="1" w:styleId="BodyText3Char">
    <w:name w:val="Body Text 3 Char"/>
    <w:basedOn w:val="DefaultParagraphFont"/>
    <w:link w:val="BodyText3"/>
    <w:uiPriority w:val="99"/>
    <w:rsid w:val="00E37F20"/>
    <w:rPr>
      <w:rFonts w:ascii="Times New Roman" w:eastAsia="Times New Roman" w:hAnsi="Times New Roman"/>
      <w:sz w:val="16"/>
      <w:szCs w:val="16"/>
      <w:lang w:val="en-US" w:bidi="ar-SA"/>
    </w:rPr>
  </w:style>
  <w:style w:type="paragraph" w:styleId="List">
    <w:name w:val="List"/>
    <w:basedOn w:val="Normal"/>
    <w:uiPriority w:val="99"/>
    <w:unhideWhenUsed/>
    <w:rsid w:val="00E37F20"/>
    <w:pPr>
      <w:spacing w:before="0"/>
      <w:ind w:left="360" w:hanging="360"/>
      <w:contextualSpacing/>
    </w:pPr>
    <w:rPr>
      <w:rFonts w:cstheme="minorBidi"/>
      <w:kern w:val="0"/>
      <w:lang w:val="en-US" w:eastAsia="en-US"/>
      <w14:ligatures w14:val="none"/>
    </w:rPr>
  </w:style>
  <w:style w:type="paragraph" w:styleId="List2">
    <w:name w:val="List 2"/>
    <w:basedOn w:val="Normal"/>
    <w:uiPriority w:val="99"/>
    <w:unhideWhenUsed/>
    <w:rsid w:val="00E37F20"/>
    <w:pPr>
      <w:spacing w:before="0"/>
      <w:ind w:left="720" w:hanging="360"/>
      <w:contextualSpacing/>
    </w:pPr>
    <w:rPr>
      <w:rFonts w:cstheme="minorBidi"/>
      <w:kern w:val="0"/>
      <w:lang w:val="en-US" w:eastAsia="en-US"/>
      <w14:ligatures w14:val="none"/>
    </w:rPr>
  </w:style>
  <w:style w:type="paragraph" w:styleId="List3">
    <w:name w:val="List 3"/>
    <w:basedOn w:val="Normal"/>
    <w:uiPriority w:val="99"/>
    <w:unhideWhenUsed/>
    <w:rsid w:val="00E37F20"/>
    <w:pPr>
      <w:spacing w:before="0"/>
      <w:ind w:left="1080" w:hanging="360"/>
      <w:contextualSpacing/>
    </w:pPr>
    <w:rPr>
      <w:rFonts w:cstheme="minorBidi"/>
      <w:kern w:val="0"/>
      <w:lang w:val="en-US" w:eastAsia="en-US"/>
      <w14:ligatures w14:val="none"/>
    </w:rPr>
  </w:style>
  <w:style w:type="paragraph" w:styleId="ListBullet">
    <w:name w:val="List Bullet"/>
    <w:basedOn w:val="Normal"/>
    <w:uiPriority w:val="99"/>
    <w:unhideWhenUsed/>
    <w:rsid w:val="00E37F20"/>
    <w:pPr>
      <w:numPr>
        <w:numId w:val="33"/>
      </w:numPr>
      <w:spacing w:before="0"/>
      <w:contextualSpacing/>
    </w:pPr>
    <w:rPr>
      <w:rFonts w:cstheme="minorBidi"/>
      <w:kern w:val="0"/>
      <w:lang w:val="en-US" w:eastAsia="en-US"/>
      <w14:ligatures w14:val="none"/>
    </w:rPr>
  </w:style>
  <w:style w:type="paragraph" w:styleId="ListBullet2">
    <w:name w:val="List Bullet 2"/>
    <w:basedOn w:val="Normal"/>
    <w:uiPriority w:val="99"/>
    <w:unhideWhenUsed/>
    <w:rsid w:val="00E37F20"/>
    <w:pPr>
      <w:numPr>
        <w:numId w:val="34"/>
      </w:numPr>
      <w:spacing w:before="0"/>
      <w:contextualSpacing/>
    </w:pPr>
    <w:rPr>
      <w:rFonts w:cstheme="minorBidi"/>
      <w:kern w:val="0"/>
      <w:lang w:val="en-US" w:eastAsia="en-US"/>
      <w14:ligatures w14:val="none"/>
    </w:rPr>
  </w:style>
  <w:style w:type="paragraph" w:styleId="ListBullet3">
    <w:name w:val="List Bullet 3"/>
    <w:basedOn w:val="Normal"/>
    <w:uiPriority w:val="99"/>
    <w:unhideWhenUsed/>
    <w:rsid w:val="00E37F20"/>
    <w:pPr>
      <w:numPr>
        <w:numId w:val="35"/>
      </w:numPr>
      <w:spacing w:before="0"/>
      <w:contextualSpacing/>
    </w:pPr>
    <w:rPr>
      <w:rFonts w:cstheme="minorBidi"/>
      <w:kern w:val="0"/>
      <w:lang w:val="en-US" w:eastAsia="en-US"/>
      <w14:ligatures w14:val="none"/>
    </w:rPr>
  </w:style>
  <w:style w:type="paragraph" w:styleId="ListNumber">
    <w:name w:val="List Number"/>
    <w:basedOn w:val="Normal"/>
    <w:uiPriority w:val="99"/>
    <w:unhideWhenUsed/>
    <w:rsid w:val="00E37F20"/>
    <w:pPr>
      <w:numPr>
        <w:numId w:val="37"/>
      </w:numPr>
      <w:spacing w:before="0"/>
      <w:contextualSpacing/>
    </w:pPr>
    <w:rPr>
      <w:rFonts w:cstheme="minorBidi"/>
      <w:kern w:val="0"/>
      <w:lang w:val="en-US" w:eastAsia="en-US"/>
      <w14:ligatures w14:val="none"/>
    </w:rPr>
  </w:style>
  <w:style w:type="paragraph" w:styleId="ListNumber2">
    <w:name w:val="List Number 2"/>
    <w:basedOn w:val="Normal"/>
    <w:uiPriority w:val="99"/>
    <w:unhideWhenUsed/>
    <w:rsid w:val="00E37F20"/>
    <w:pPr>
      <w:numPr>
        <w:numId w:val="38"/>
      </w:numPr>
      <w:spacing w:before="0"/>
      <w:contextualSpacing/>
    </w:pPr>
    <w:rPr>
      <w:rFonts w:cstheme="minorBidi"/>
      <w:kern w:val="0"/>
      <w:lang w:val="en-US" w:eastAsia="en-US"/>
      <w14:ligatures w14:val="none"/>
    </w:rPr>
  </w:style>
  <w:style w:type="paragraph" w:styleId="ListNumber3">
    <w:name w:val="List Number 3"/>
    <w:basedOn w:val="Normal"/>
    <w:uiPriority w:val="99"/>
    <w:unhideWhenUsed/>
    <w:rsid w:val="00E37F20"/>
    <w:pPr>
      <w:numPr>
        <w:numId w:val="39"/>
      </w:numPr>
      <w:spacing w:before="0"/>
      <w:contextualSpacing/>
    </w:pPr>
    <w:rPr>
      <w:rFonts w:cstheme="minorBidi"/>
      <w:kern w:val="0"/>
      <w:lang w:val="en-US" w:eastAsia="en-US"/>
      <w14:ligatures w14:val="none"/>
    </w:rPr>
  </w:style>
  <w:style w:type="paragraph" w:styleId="ListContinue">
    <w:name w:val="List Continue"/>
    <w:basedOn w:val="Normal"/>
    <w:uiPriority w:val="99"/>
    <w:unhideWhenUsed/>
    <w:rsid w:val="00E37F20"/>
    <w:pPr>
      <w:spacing w:before="0"/>
      <w:ind w:left="360"/>
      <w:contextualSpacing/>
    </w:pPr>
    <w:rPr>
      <w:rFonts w:cstheme="minorBidi"/>
      <w:kern w:val="0"/>
      <w:lang w:val="en-US" w:eastAsia="en-US"/>
      <w14:ligatures w14:val="none"/>
    </w:rPr>
  </w:style>
  <w:style w:type="paragraph" w:styleId="ListContinue2">
    <w:name w:val="List Continue 2"/>
    <w:basedOn w:val="Normal"/>
    <w:uiPriority w:val="99"/>
    <w:unhideWhenUsed/>
    <w:rsid w:val="00E37F20"/>
    <w:pPr>
      <w:spacing w:before="0"/>
      <w:ind w:left="720"/>
      <w:contextualSpacing/>
    </w:pPr>
    <w:rPr>
      <w:rFonts w:cstheme="minorBidi"/>
      <w:kern w:val="0"/>
      <w:lang w:val="en-US" w:eastAsia="en-US"/>
      <w14:ligatures w14:val="none"/>
    </w:rPr>
  </w:style>
  <w:style w:type="paragraph" w:styleId="ListContinue3">
    <w:name w:val="List Continue 3"/>
    <w:basedOn w:val="Normal"/>
    <w:uiPriority w:val="99"/>
    <w:unhideWhenUsed/>
    <w:rsid w:val="00E37F20"/>
    <w:pPr>
      <w:spacing w:before="0"/>
      <w:ind w:left="1080"/>
      <w:contextualSpacing/>
    </w:pPr>
    <w:rPr>
      <w:rFonts w:cstheme="minorBidi"/>
      <w:kern w:val="0"/>
      <w:lang w:val="en-US" w:eastAsia="en-US"/>
      <w14:ligatures w14:val="none"/>
    </w:rPr>
  </w:style>
  <w:style w:type="paragraph" w:styleId="MacroText">
    <w:name w:val="macro"/>
    <w:link w:val="MacroTextChar"/>
    <w:uiPriority w:val="99"/>
    <w:unhideWhenUsed/>
    <w:rsid w:val="00E37F20"/>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bidi="ar-SA"/>
    </w:rPr>
  </w:style>
  <w:style w:type="character" w:customStyle="1" w:styleId="MacroTextChar">
    <w:name w:val="Macro Text Char"/>
    <w:basedOn w:val="DefaultParagraphFont"/>
    <w:link w:val="MacroText"/>
    <w:uiPriority w:val="99"/>
    <w:rsid w:val="00E37F20"/>
    <w:rPr>
      <w:rFonts w:ascii="Courier" w:eastAsiaTheme="minorEastAsia" w:hAnsi="Courier"/>
      <w:sz w:val="20"/>
      <w:szCs w:val="20"/>
      <w:lang w:val="en-US" w:bidi="ar-SA"/>
    </w:rPr>
  </w:style>
  <w:style w:type="paragraph" w:styleId="Quote">
    <w:name w:val="Quote"/>
    <w:basedOn w:val="Normal"/>
    <w:next w:val="Normal"/>
    <w:link w:val="QuoteChar"/>
    <w:uiPriority w:val="29"/>
    <w:qFormat/>
    <w:rsid w:val="00E37F20"/>
    <w:pPr>
      <w:spacing w:before="0"/>
    </w:pPr>
    <w:rPr>
      <w:rFonts w:cstheme="minorBidi"/>
      <w:i/>
      <w:iCs/>
      <w:color w:val="000000" w:themeColor="text1"/>
      <w:kern w:val="0"/>
      <w:lang w:val="en-US" w:eastAsia="en-US"/>
      <w14:ligatures w14:val="none"/>
    </w:rPr>
  </w:style>
  <w:style w:type="character" w:customStyle="1" w:styleId="QuoteChar">
    <w:name w:val="Quote Char"/>
    <w:basedOn w:val="DefaultParagraphFont"/>
    <w:link w:val="Quote"/>
    <w:uiPriority w:val="29"/>
    <w:rsid w:val="00E37F20"/>
    <w:rPr>
      <w:rFonts w:ascii="Times New Roman" w:eastAsia="Times New Roman" w:hAnsi="Times New Roman"/>
      <w:i/>
      <w:iCs/>
      <w:color w:val="000000" w:themeColor="text1"/>
      <w:sz w:val="24"/>
      <w:szCs w:val="22"/>
      <w:lang w:val="en-US" w:bidi="ar-SA"/>
    </w:rPr>
  </w:style>
  <w:style w:type="paragraph" w:styleId="IntenseQuote">
    <w:name w:val="Intense Quote"/>
    <w:basedOn w:val="Normal"/>
    <w:next w:val="Normal"/>
    <w:link w:val="IntenseQuoteChar"/>
    <w:uiPriority w:val="30"/>
    <w:qFormat/>
    <w:rsid w:val="00E37F20"/>
    <w:pPr>
      <w:pBdr>
        <w:bottom w:val="single" w:sz="4" w:space="4" w:color="4472C4" w:themeColor="accent1"/>
      </w:pBdr>
      <w:spacing w:before="200" w:after="280"/>
      <w:ind w:left="936" w:right="936"/>
    </w:pPr>
    <w:rPr>
      <w:rFonts w:cstheme="minorBidi"/>
      <w:b/>
      <w:bCs/>
      <w:i/>
      <w:iCs/>
      <w:color w:val="4472C4" w:themeColor="accent1"/>
      <w:kern w:val="0"/>
      <w:lang w:val="en-US" w:eastAsia="en-US"/>
      <w14:ligatures w14:val="none"/>
    </w:rPr>
  </w:style>
  <w:style w:type="character" w:customStyle="1" w:styleId="IntenseQuoteChar">
    <w:name w:val="Intense Quote Char"/>
    <w:basedOn w:val="DefaultParagraphFont"/>
    <w:link w:val="IntenseQuote"/>
    <w:uiPriority w:val="30"/>
    <w:rsid w:val="00E37F20"/>
    <w:rPr>
      <w:rFonts w:ascii="Times New Roman" w:eastAsia="Times New Roman" w:hAnsi="Times New Roman"/>
      <w:b/>
      <w:bCs/>
      <w:i/>
      <w:iCs/>
      <w:color w:val="4472C4" w:themeColor="accent1"/>
      <w:sz w:val="24"/>
      <w:szCs w:val="22"/>
      <w:lang w:val="en-US" w:bidi="ar-SA"/>
    </w:rPr>
  </w:style>
  <w:style w:type="character" w:styleId="SubtleEmphasis">
    <w:name w:val="Subtle Emphasis"/>
    <w:basedOn w:val="DefaultParagraphFont"/>
    <w:uiPriority w:val="19"/>
    <w:qFormat/>
    <w:rsid w:val="00E37F20"/>
    <w:rPr>
      <w:i/>
      <w:iCs/>
      <w:color w:val="808080" w:themeColor="text1" w:themeTint="7F"/>
    </w:rPr>
  </w:style>
  <w:style w:type="character" w:styleId="IntenseEmphasis">
    <w:name w:val="Intense Emphasis"/>
    <w:basedOn w:val="DefaultParagraphFont"/>
    <w:uiPriority w:val="21"/>
    <w:qFormat/>
    <w:rsid w:val="00E37F20"/>
    <w:rPr>
      <w:b/>
      <w:bCs/>
      <w:i/>
      <w:iCs/>
      <w:color w:val="4472C4" w:themeColor="accent1"/>
    </w:rPr>
  </w:style>
  <w:style w:type="character" w:styleId="SubtleReference">
    <w:name w:val="Subtle Reference"/>
    <w:basedOn w:val="DefaultParagraphFont"/>
    <w:uiPriority w:val="31"/>
    <w:qFormat/>
    <w:rsid w:val="00E37F20"/>
    <w:rPr>
      <w:smallCaps/>
      <w:color w:val="ED7D31" w:themeColor="accent2"/>
      <w:u w:val="single"/>
    </w:rPr>
  </w:style>
  <w:style w:type="character" w:styleId="IntenseReference">
    <w:name w:val="Intense Reference"/>
    <w:basedOn w:val="DefaultParagraphFont"/>
    <w:uiPriority w:val="32"/>
    <w:qFormat/>
    <w:rsid w:val="00E37F20"/>
    <w:rPr>
      <w:b/>
      <w:bCs/>
      <w:smallCaps/>
      <w:color w:val="ED7D31" w:themeColor="accent2"/>
      <w:spacing w:val="5"/>
      <w:u w:val="single"/>
    </w:rPr>
  </w:style>
  <w:style w:type="character" w:styleId="BookTitle">
    <w:name w:val="Book Title"/>
    <w:basedOn w:val="DefaultParagraphFont"/>
    <w:uiPriority w:val="33"/>
    <w:qFormat/>
    <w:rsid w:val="00E37F20"/>
    <w:rPr>
      <w:b/>
      <w:bCs/>
      <w:smallCaps/>
      <w:spacing w:val="5"/>
    </w:rPr>
  </w:style>
  <w:style w:type="table" w:styleId="LightShading">
    <w:name w:val="Light Shading"/>
    <w:basedOn w:val="TableNormal"/>
    <w:uiPriority w:val="60"/>
    <w:rsid w:val="00E37F20"/>
    <w:pPr>
      <w:spacing w:after="0" w:line="240" w:lineRule="auto"/>
    </w:pPr>
    <w:rPr>
      <w:rFonts w:eastAsiaTheme="minorEastAsia"/>
      <w:color w:val="000000" w:themeColor="text1" w:themeShade="BF"/>
      <w:szCs w:val="22"/>
      <w:lang w:val="en-US"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37F20"/>
    <w:pPr>
      <w:spacing w:after="0" w:line="240" w:lineRule="auto"/>
    </w:pPr>
    <w:rPr>
      <w:rFonts w:eastAsiaTheme="minorEastAsia"/>
      <w:color w:val="2F5496" w:themeColor="accent1" w:themeShade="BF"/>
      <w:szCs w:val="22"/>
      <w:lang w:val="en-US" w:bidi="ar-SA"/>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E37F20"/>
    <w:pPr>
      <w:spacing w:after="0" w:line="240" w:lineRule="auto"/>
    </w:pPr>
    <w:rPr>
      <w:rFonts w:eastAsiaTheme="minorEastAsia"/>
      <w:color w:val="C45911" w:themeColor="accent2" w:themeShade="BF"/>
      <w:szCs w:val="22"/>
      <w:lang w:val="en-US" w:bidi="ar-SA"/>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37F20"/>
    <w:pPr>
      <w:spacing w:after="0" w:line="240" w:lineRule="auto"/>
    </w:pPr>
    <w:rPr>
      <w:rFonts w:eastAsiaTheme="minorEastAsia"/>
      <w:color w:val="7B7B7B" w:themeColor="accent3" w:themeShade="BF"/>
      <w:szCs w:val="22"/>
      <w:lang w:val="en-US" w:bidi="ar-SA"/>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37F20"/>
    <w:pPr>
      <w:spacing w:after="0" w:line="240" w:lineRule="auto"/>
    </w:pPr>
    <w:rPr>
      <w:rFonts w:eastAsiaTheme="minorEastAsia"/>
      <w:color w:val="BF8F00" w:themeColor="accent4" w:themeShade="BF"/>
      <w:szCs w:val="22"/>
      <w:lang w:val="en-US" w:bidi="ar-SA"/>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37F20"/>
    <w:pPr>
      <w:spacing w:after="0" w:line="240" w:lineRule="auto"/>
    </w:pPr>
    <w:rPr>
      <w:rFonts w:eastAsiaTheme="minorEastAsia"/>
      <w:color w:val="2E74B5" w:themeColor="accent5" w:themeShade="BF"/>
      <w:szCs w:val="22"/>
      <w:lang w:val="en-US" w:bidi="ar-SA"/>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E37F20"/>
    <w:pPr>
      <w:spacing w:after="0" w:line="240" w:lineRule="auto"/>
    </w:pPr>
    <w:rPr>
      <w:rFonts w:eastAsiaTheme="minorEastAsia"/>
      <w:color w:val="538135" w:themeColor="accent6" w:themeShade="BF"/>
      <w:szCs w:val="22"/>
      <w:lang w:val="en-US" w:bidi="ar-SA"/>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E37F20"/>
    <w:pPr>
      <w:spacing w:after="0" w:line="240" w:lineRule="auto"/>
    </w:pPr>
    <w:rPr>
      <w:rFonts w:eastAsiaTheme="minorEastAsia"/>
      <w:szCs w:val="22"/>
      <w:lang w:val="en-US" w:bidi="ar-S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E37F20"/>
    <w:pPr>
      <w:spacing w:after="0" w:line="240" w:lineRule="auto"/>
    </w:pPr>
    <w:rPr>
      <w:rFonts w:eastAsiaTheme="minorEastAsia"/>
      <w:szCs w:val="22"/>
      <w:lang w:val="en-US" w:bidi="ar-S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37F20"/>
    <w:pPr>
      <w:spacing w:after="0" w:line="240" w:lineRule="auto"/>
    </w:pPr>
    <w:rPr>
      <w:rFonts w:eastAsiaTheme="minorEastAsia"/>
      <w:szCs w:val="22"/>
      <w:lang w:val="en-US" w:bidi="ar-S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37F20"/>
    <w:pPr>
      <w:spacing w:after="0" w:line="240" w:lineRule="auto"/>
    </w:pPr>
    <w:rPr>
      <w:rFonts w:eastAsiaTheme="minorEastAsia"/>
      <w:szCs w:val="22"/>
      <w:lang w:val="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E37F20"/>
    <w:pPr>
      <w:spacing w:after="0" w:line="240" w:lineRule="auto"/>
    </w:pPr>
    <w:rPr>
      <w:rFonts w:eastAsiaTheme="minorEastAsia"/>
      <w:szCs w:val="22"/>
      <w:lang w:val="en-US" w:bidi="ar-S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37F20"/>
    <w:pPr>
      <w:spacing w:after="0" w:line="240" w:lineRule="auto"/>
    </w:pPr>
    <w:rPr>
      <w:rFonts w:asciiTheme="majorHAnsi" w:eastAsiaTheme="majorEastAsia" w:hAnsiTheme="majorHAnsi" w:cstheme="majorBidi"/>
      <w:color w:val="000000" w:themeColor="text1"/>
      <w:szCs w:val="22"/>
      <w:lang w:val="en-US" w:bidi="ar-S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E37F20"/>
    <w:pPr>
      <w:spacing w:after="0" w:line="240" w:lineRule="auto"/>
    </w:pPr>
    <w:rPr>
      <w:rFonts w:eastAsiaTheme="minorEastAsia"/>
      <w:szCs w:val="22"/>
      <w:lang w:val="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E37F20"/>
    <w:pPr>
      <w:spacing w:after="0" w:line="240" w:lineRule="auto"/>
    </w:pPr>
    <w:rPr>
      <w:rFonts w:eastAsiaTheme="minorEastAsia"/>
      <w:color w:val="FFFFFF" w:themeColor="background1"/>
      <w:szCs w:val="22"/>
      <w:lang w:val="en-US" w:bidi="ar-SA"/>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urfulShading">
    <w:name w:val="Colorful Shading"/>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urfulShadingAccent4">
    <w:name w:val="Colorful Shading Accent 4"/>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E37F20"/>
    <w:pPr>
      <w:spacing w:after="0" w:line="240" w:lineRule="auto"/>
    </w:pPr>
    <w:rPr>
      <w:rFonts w:eastAsiaTheme="minorEastAsia"/>
      <w:color w:val="000000" w:themeColor="text1"/>
      <w:szCs w:val="22"/>
      <w:lang w:val="en-US" w:bidi="ar-SA"/>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urfulListAccent2">
    <w:name w:val="Colorful List Accent 2"/>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urfulListAccent3">
    <w:name w:val="Colorful List Accent 3"/>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urfulListAccent4">
    <w:name w:val="Colorful List Accent 4"/>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urfulListAccent5">
    <w:name w:val="Colorful List Accent 5"/>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urfulListAccent6">
    <w:name w:val="Colorful List Accent 6"/>
    <w:basedOn w:val="TableNormal"/>
    <w:uiPriority w:val="72"/>
    <w:rsid w:val="00E37F20"/>
    <w:pPr>
      <w:spacing w:after="0" w:line="240" w:lineRule="auto"/>
    </w:pPr>
    <w:rPr>
      <w:rFonts w:eastAsiaTheme="minorEastAsia"/>
      <w:color w:val="000000" w:themeColor="text1"/>
      <w:szCs w:val="22"/>
      <w:lang w:val="en-US" w:bidi="ar-SA"/>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urfulGrid">
    <w:name w:val="Colorful Grid"/>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urfulGridAccent2">
    <w:name w:val="Colorful Grid Accent 2"/>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urfulGridAccent3">
    <w:name w:val="Colorful Grid Accent 3"/>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urfulGridAccent4">
    <w:name w:val="Colorful Grid Accent 4"/>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urfulGridAccent5">
    <w:name w:val="Colorful Grid Accent 5"/>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urfulGridAccent6">
    <w:name w:val="Colorful Grid Accent 6"/>
    <w:basedOn w:val="TableNormal"/>
    <w:uiPriority w:val="73"/>
    <w:rsid w:val="00E37F20"/>
    <w:pPr>
      <w:spacing w:after="0" w:line="240" w:lineRule="auto"/>
    </w:pPr>
    <w:rPr>
      <w:rFonts w:eastAsiaTheme="minorEastAsia"/>
      <w:color w:val="000000" w:themeColor="text1"/>
      <w:szCs w:val="22"/>
      <w:lang w:val="en-US" w:bidi="ar-SA"/>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s10">
    <w:name w:val="s10"/>
    <w:basedOn w:val="Normal"/>
    <w:rsid w:val="001053AC"/>
    <w:pPr>
      <w:spacing w:before="100" w:beforeAutospacing="1" w:after="100" w:afterAutospacing="1" w:line="240" w:lineRule="auto"/>
      <w:jc w:val="left"/>
    </w:pPr>
    <w:rPr>
      <w:kern w:val="0"/>
      <w:szCs w:val="24"/>
      <w:lang w:bidi="bn-IN"/>
      <w14:ligatures w14:val="none"/>
    </w:rPr>
  </w:style>
  <w:style w:type="character" w:customStyle="1" w:styleId="s9">
    <w:name w:val="s9"/>
    <w:basedOn w:val="DefaultParagraphFont"/>
    <w:rsid w:val="001053AC"/>
  </w:style>
  <w:style w:type="paragraph" w:customStyle="1" w:styleId="s11">
    <w:name w:val="s11"/>
    <w:basedOn w:val="Normal"/>
    <w:rsid w:val="001053AC"/>
    <w:pPr>
      <w:spacing w:before="100" w:beforeAutospacing="1" w:after="100" w:afterAutospacing="1" w:line="240" w:lineRule="auto"/>
      <w:jc w:val="left"/>
    </w:pPr>
    <w:rPr>
      <w:kern w:val="0"/>
      <w:szCs w:val="24"/>
      <w:lang w:bidi="bn-IN"/>
      <w14:ligatures w14:val="none"/>
    </w:rPr>
  </w:style>
  <w:style w:type="paragraph" w:customStyle="1" w:styleId="s8">
    <w:name w:val="s8"/>
    <w:basedOn w:val="Normal"/>
    <w:rsid w:val="001053AC"/>
    <w:pPr>
      <w:spacing w:before="100" w:beforeAutospacing="1" w:after="100" w:afterAutospacing="1" w:line="240" w:lineRule="auto"/>
      <w:jc w:val="left"/>
    </w:pPr>
    <w:rPr>
      <w:kern w:val="0"/>
      <w:szCs w:val="24"/>
      <w:lang w:bidi="bn-IN"/>
      <w14:ligatures w14:val="none"/>
    </w:rPr>
  </w:style>
  <w:style w:type="paragraph" w:customStyle="1" w:styleId="s13">
    <w:name w:val="s13"/>
    <w:basedOn w:val="Normal"/>
    <w:rsid w:val="001053AC"/>
    <w:pPr>
      <w:spacing w:before="100" w:beforeAutospacing="1" w:after="100" w:afterAutospacing="1" w:line="240" w:lineRule="auto"/>
      <w:jc w:val="left"/>
    </w:pPr>
    <w:rPr>
      <w:kern w:val="0"/>
      <w:szCs w:val="24"/>
      <w:lang w:bidi="bn-IN"/>
      <w14:ligatures w14:val="none"/>
    </w:rPr>
  </w:style>
  <w:style w:type="character" w:customStyle="1" w:styleId="s12">
    <w:name w:val="s12"/>
    <w:basedOn w:val="DefaultParagraphFont"/>
    <w:rsid w:val="001053AC"/>
  </w:style>
  <w:style w:type="paragraph" w:customStyle="1" w:styleId="s14">
    <w:name w:val="s14"/>
    <w:basedOn w:val="Normal"/>
    <w:rsid w:val="001053AC"/>
    <w:pPr>
      <w:spacing w:before="100" w:beforeAutospacing="1" w:after="100" w:afterAutospacing="1" w:line="240" w:lineRule="auto"/>
      <w:jc w:val="left"/>
    </w:pPr>
    <w:rPr>
      <w:kern w:val="0"/>
      <w:szCs w:val="24"/>
      <w:lang w:bidi="bn-IN"/>
      <w14:ligatures w14:val="none"/>
    </w:rPr>
  </w:style>
  <w:style w:type="paragraph" w:customStyle="1" w:styleId="s16">
    <w:name w:val="s16"/>
    <w:basedOn w:val="Normal"/>
    <w:rsid w:val="001053AC"/>
    <w:pPr>
      <w:spacing w:before="100" w:beforeAutospacing="1" w:after="100" w:afterAutospacing="1" w:line="240" w:lineRule="auto"/>
      <w:jc w:val="left"/>
    </w:pPr>
    <w:rPr>
      <w:kern w:val="0"/>
      <w:szCs w:val="24"/>
      <w:lang w:bidi="bn-IN"/>
      <w14:ligatures w14:val="none"/>
    </w:rPr>
  </w:style>
  <w:style w:type="character" w:customStyle="1" w:styleId="s15">
    <w:name w:val="s15"/>
    <w:basedOn w:val="DefaultParagraphFont"/>
    <w:rsid w:val="001053AC"/>
  </w:style>
  <w:style w:type="paragraph" w:customStyle="1" w:styleId="s17">
    <w:name w:val="s17"/>
    <w:basedOn w:val="Normal"/>
    <w:rsid w:val="001053AC"/>
    <w:pPr>
      <w:spacing w:before="100" w:beforeAutospacing="1" w:after="100" w:afterAutospacing="1" w:line="240" w:lineRule="auto"/>
      <w:jc w:val="left"/>
    </w:pPr>
    <w:rPr>
      <w:kern w:val="0"/>
      <w:szCs w:val="24"/>
      <w:lang w:bidi="bn-IN"/>
      <w14:ligatures w14:val="none"/>
    </w:rPr>
  </w:style>
  <w:style w:type="table" w:styleId="ListTable3-Accent1">
    <w:name w:val="List Table 3 Accent 1"/>
    <w:basedOn w:val="TableNormal"/>
    <w:uiPriority w:val="48"/>
    <w:rsid w:val="00D655AD"/>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ChapterHeading">
    <w:name w:val="Chapter Heading"/>
    <w:rsid w:val="00804EBB"/>
    <w:pPr>
      <w:keepNext/>
      <w:spacing w:after="240" w:line="276" w:lineRule="auto"/>
    </w:pPr>
    <w:rPr>
      <w:rFonts w:ascii="Times New Roman" w:eastAsia="Times New Roman" w:hAnsi="Times New Roman"/>
      <w:b/>
      <w:sz w:val="28"/>
      <w:szCs w:val="22"/>
      <w:lang w:val="en-US" w:bidi="ar-SA"/>
    </w:rPr>
  </w:style>
  <w:style w:type="paragraph" w:customStyle="1" w:styleId="SectionHeading">
    <w:name w:val="Section Heading"/>
    <w:rsid w:val="00804EBB"/>
    <w:pPr>
      <w:keepNext/>
      <w:spacing w:before="200" w:after="120" w:line="276" w:lineRule="auto"/>
    </w:pPr>
    <w:rPr>
      <w:rFonts w:ascii="Times New Roman" w:eastAsia="Times New Roman" w:hAnsi="Times New Roman"/>
      <w:b/>
      <w:sz w:val="24"/>
      <w:szCs w:val="22"/>
      <w:lang w:val="en-US" w:bidi="ar-SA"/>
    </w:rPr>
  </w:style>
  <w:style w:type="paragraph" w:customStyle="1" w:styleId="SubsectionHeading">
    <w:name w:val="Subsection Heading"/>
    <w:rsid w:val="00804EBB"/>
    <w:pPr>
      <w:keepNext/>
      <w:spacing w:before="160" w:after="80" w:line="276" w:lineRule="auto"/>
    </w:pPr>
    <w:rPr>
      <w:rFonts w:ascii="Times New Roman" w:eastAsia="Times New Roman" w:hAnsi="Times New Roman"/>
      <w:b/>
      <w:sz w:val="24"/>
      <w:szCs w:val="22"/>
      <w:lang w:val="en-US" w:bidi="ar-SA"/>
    </w:rPr>
  </w:style>
  <w:style w:type="paragraph" w:customStyle="1" w:styleId="deannah1">
    <w:name w:val="deannah1"/>
    <w:basedOn w:val="Normal"/>
    <w:uiPriority w:val="99"/>
    <w:rsid w:val="00680D7A"/>
    <w:pPr>
      <w:keepNext/>
      <w:spacing w:before="0" w:after="240" w:line="240" w:lineRule="auto"/>
      <w:jc w:val="left"/>
    </w:pPr>
    <w:rPr>
      <w:b/>
      <w:bCs/>
      <w:kern w:val="0"/>
      <w:szCs w:val="24"/>
      <w:lang w:eastAsia="en-US"/>
      <w14:ligatures w14:val="none"/>
    </w:rPr>
  </w:style>
  <w:style w:type="character" w:customStyle="1" w:styleId="Hyperlink1">
    <w:name w:val="Hyperlink1"/>
    <w:uiPriority w:val="99"/>
    <w:rsid w:val="00680D7A"/>
    <w:rPr>
      <w:color w:val="535353"/>
      <w:u w:val="single"/>
      <w:effect w:val="none"/>
    </w:rPr>
  </w:style>
  <w:style w:type="paragraph" w:customStyle="1" w:styleId="NormalWeb1">
    <w:name w:val="Normal (Web)1"/>
    <w:basedOn w:val="Normal"/>
    <w:uiPriority w:val="99"/>
    <w:rsid w:val="00680D7A"/>
    <w:pPr>
      <w:spacing w:before="100" w:beforeAutospacing="1" w:after="300" w:line="240" w:lineRule="auto"/>
      <w:jc w:val="left"/>
    </w:pPr>
    <w:rPr>
      <w:kern w:val="0"/>
      <w:szCs w:val="24"/>
      <w14:ligatures w14:val="none"/>
    </w:rPr>
  </w:style>
  <w:style w:type="character" w:styleId="PageNumber">
    <w:name w:val="page number"/>
    <w:basedOn w:val="DefaultParagraphFont"/>
    <w:uiPriority w:val="99"/>
    <w:rsid w:val="00680D7A"/>
  </w:style>
  <w:style w:type="paragraph" w:styleId="CommentSubject">
    <w:name w:val="annotation subject"/>
    <w:basedOn w:val="CommentText"/>
    <w:next w:val="CommentText"/>
    <w:link w:val="CommentSubjectChar"/>
    <w:uiPriority w:val="99"/>
    <w:semiHidden/>
    <w:unhideWhenUsed/>
    <w:rsid w:val="00680D7A"/>
    <w:pPr>
      <w:spacing w:after="0" w:line="240" w:lineRule="auto"/>
      <w:jc w:val="left"/>
    </w:pPr>
    <w:rPr>
      <w:rFonts w:eastAsia="Times New Roman" w:cs="Times New Roman"/>
      <w:b/>
      <w:bCs/>
    </w:rPr>
  </w:style>
  <w:style w:type="character" w:customStyle="1" w:styleId="CommentSubjectChar">
    <w:name w:val="Comment Subject Char"/>
    <w:basedOn w:val="CommentTextChar"/>
    <w:link w:val="CommentSubject"/>
    <w:uiPriority w:val="99"/>
    <w:semiHidden/>
    <w:rsid w:val="00680D7A"/>
    <w:rPr>
      <w:rFonts w:ascii="Times New Roman" w:eastAsia="Times New Roman" w:hAnsi="Times New Roman" w:cs="Times New Roman"/>
      <w:b/>
      <w:bCs/>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4446525">
      <w:bodyDiv w:val="1"/>
      <w:marLeft w:val="0"/>
      <w:marRight w:val="0"/>
      <w:marTop w:val="0"/>
      <w:marBottom w:val="0"/>
      <w:divBdr>
        <w:top w:val="none" w:sz="0" w:space="0" w:color="auto"/>
        <w:left w:val="none" w:sz="0" w:space="0" w:color="auto"/>
        <w:bottom w:val="none" w:sz="0" w:space="0" w:color="auto"/>
        <w:right w:val="none" w:sz="0" w:space="0" w:color="auto"/>
      </w:divBdr>
      <w:divsChild>
        <w:div w:id="1385564124">
          <w:marLeft w:val="0"/>
          <w:marRight w:val="0"/>
          <w:marTop w:val="0"/>
          <w:marBottom w:val="0"/>
          <w:divBdr>
            <w:top w:val="none" w:sz="0" w:space="0" w:color="auto"/>
            <w:left w:val="none" w:sz="0" w:space="0" w:color="auto"/>
            <w:bottom w:val="none" w:sz="0" w:space="0" w:color="auto"/>
            <w:right w:val="none" w:sz="0" w:space="0" w:color="auto"/>
          </w:divBdr>
        </w:div>
      </w:divsChild>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43978">
          <w:marLeft w:val="0"/>
          <w:marRight w:val="0"/>
          <w:marTop w:val="0"/>
          <w:marBottom w:val="0"/>
          <w:divBdr>
            <w:top w:val="none" w:sz="0" w:space="0" w:color="auto"/>
            <w:left w:val="none" w:sz="0" w:space="0" w:color="auto"/>
            <w:bottom w:val="none" w:sz="0" w:space="0" w:color="auto"/>
            <w:right w:val="none" w:sz="0" w:space="0" w:color="auto"/>
          </w:divBdr>
          <w:divsChild>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153465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333358">
      <w:bodyDiv w:val="1"/>
      <w:marLeft w:val="0"/>
      <w:marRight w:val="0"/>
      <w:marTop w:val="0"/>
      <w:marBottom w:val="0"/>
      <w:divBdr>
        <w:top w:val="none" w:sz="0" w:space="0" w:color="auto"/>
        <w:left w:val="none" w:sz="0" w:space="0" w:color="auto"/>
        <w:bottom w:val="none" w:sz="0" w:space="0" w:color="auto"/>
        <w:right w:val="none" w:sz="0" w:space="0" w:color="auto"/>
      </w:divBdr>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78768064">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3299027">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1912740">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3242814">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7684080">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593636">
      <w:bodyDiv w:val="1"/>
      <w:marLeft w:val="0"/>
      <w:marRight w:val="0"/>
      <w:marTop w:val="0"/>
      <w:marBottom w:val="0"/>
      <w:divBdr>
        <w:top w:val="none" w:sz="0" w:space="0" w:color="auto"/>
        <w:left w:val="none" w:sz="0" w:space="0" w:color="auto"/>
        <w:bottom w:val="none" w:sz="0" w:space="0" w:color="auto"/>
        <w:right w:val="none" w:sz="0" w:space="0" w:color="auto"/>
      </w:divBdr>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021660">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46092561">
      <w:bodyDiv w:val="1"/>
      <w:marLeft w:val="0"/>
      <w:marRight w:val="0"/>
      <w:marTop w:val="0"/>
      <w:marBottom w:val="0"/>
      <w:divBdr>
        <w:top w:val="none" w:sz="0" w:space="0" w:color="auto"/>
        <w:left w:val="none" w:sz="0" w:space="0" w:color="auto"/>
        <w:bottom w:val="none" w:sz="0" w:space="0" w:color="auto"/>
        <w:right w:val="none" w:sz="0" w:space="0" w:color="auto"/>
      </w:divBdr>
      <w:divsChild>
        <w:div w:id="1890459354">
          <w:marLeft w:val="0"/>
          <w:marRight w:val="0"/>
          <w:marTop w:val="0"/>
          <w:marBottom w:val="0"/>
          <w:divBdr>
            <w:top w:val="none" w:sz="0" w:space="0" w:color="auto"/>
            <w:left w:val="none" w:sz="0" w:space="0" w:color="auto"/>
            <w:bottom w:val="none" w:sz="0" w:space="0" w:color="auto"/>
            <w:right w:val="none" w:sz="0" w:space="0" w:color="auto"/>
          </w:divBdr>
        </w:div>
      </w:divsChild>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0837">
      <w:bodyDiv w:val="1"/>
      <w:marLeft w:val="0"/>
      <w:marRight w:val="0"/>
      <w:marTop w:val="0"/>
      <w:marBottom w:val="0"/>
      <w:divBdr>
        <w:top w:val="none" w:sz="0" w:space="0" w:color="auto"/>
        <w:left w:val="none" w:sz="0" w:space="0" w:color="auto"/>
        <w:bottom w:val="none" w:sz="0" w:space="0" w:color="auto"/>
        <w:right w:val="none" w:sz="0" w:space="0" w:color="auto"/>
      </w:divBdr>
      <w:divsChild>
        <w:div w:id="397286757">
          <w:marLeft w:val="0"/>
          <w:marRight w:val="0"/>
          <w:marTop w:val="0"/>
          <w:marBottom w:val="0"/>
          <w:divBdr>
            <w:top w:val="none" w:sz="0" w:space="0" w:color="auto"/>
            <w:left w:val="none" w:sz="0" w:space="0" w:color="auto"/>
            <w:bottom w:val="none" w:sz="0" w:space="0" w:color="auto"/>
            <w:right w:val="none" w:sz="0" w:space="0" w:color="auto"/>
          </w:divBdr>
        </w:div>
      </w:divsChild>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517093">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3724773">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404109">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4241359">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0390207">
      <w:bodyDiv w:val="1"/>
      <w:marLeft w:val="0"/>
      <w:marRight w:val="0"/>
      <w:marTop w:val="0"/>
      <w:marBottom w:val="0"/>
      <w:divBdr>
        <w:top w:val="none" w:sz="0" w:space="0" w:color="auto"/>
        <w:left w:val="none" w:sz="0" w:space="0" w:color="auto"/>
        <w:bottom w:val="none" w:sz="0" w:space="0" w:color="auto"/>
        <w:right w:val="none" w:sz="0" w:space="0" w:color="auto"/>
      </w:divBdr>
      <w:divsChild>
        <w:div w:id="1560821564">
          <w:marLeft w:val="0"/>
          <w:marRight w:val="0"/>
          <w:marTop w:val="0"/>
          <w:marBottom w:val="0"/>
          <w:divBdr>
            <w:top w:val="none" w:sz="0" w:space="0" w:color="auto"/>
            <w:left w:val="none" w:sz="0" w:space="0" w:color="auto"/>
            <w:bottom w:val="none" w:sz="0" w:space="0" w:color="auto"/>
            <w:right w:val="none" w:sz="0" w:space="0" w:color="auto"/>
          </w:divBdr>
        </w:div>
      </w:divsChild>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794330026">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306709151">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870802844">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5633307">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48928708">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79451500">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29914527">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59464">
          <w:marLeft w:val="0"/>
          <w:marRight w:val="0"/>
          <w:marTop w:val="0"/>
          <w:marBottom w:val="0"/>
          <w:divBdr>
            <w:top w:val="none" w:sz="0" w:space="0" w:color="auto"/>
            <w:left w:val="none" w:sz="0" w:space="0" w:color="auto"/>
            <w:bottom w:val="none" w:sz="0" w:space="0" w:color="auto"/>
            <w:right w:val="none" w:sz="0" w:space="0" w:color="auto"/>
          </w:divBdr>
          <w:divsChild>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2361011">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1823476">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bjir.70068" TargetMode="External"/><Relationship Id="rId21" Type="http://schemas.openxmlformats.org/officeDocument/2006/relationships/hyperlink" Target="https://doi.org/10.1080/15623599.2021.2006415" TargetMode="External"/><Relationship Id="rId42" Type="http://schemas.openxmlformats.org/officeDocument/2006/relationships/hyperlink" Target="https://doi.org/10.1057/s41267-020-00398-8" TargetMode="External"/><Relationship Id="rId47" Type="http://schemas.openxmlformats.org/officeDocument/2006/relationships/hyperlink" Target="https://doi.org/10.1016/j.jhtm.2022.03.011" TargetMode="External"/><Relationship Id="rId63" Type="http://schemas.openxmlformats.org/officeDocument/2006/relationships/hyperlink" Target="https://doi.org/10.52932/jfmr.v4i1en.1072" TargetMode="External"/><Relationship Id="rId68" Type="http://schemas.openxmlformats.org/officeDocument/2006/relationships/hyperlink" Target="https://doi.org/10.3390/ijerph18094738" TargetMode="External"/><Relationship Id="rId84" Type="http://schemas.openxmlformats.org/officeDocument/2006/relationships/hyperlink" Target="https://doi.org/10.52932/jfmr.v4i1en.1072" TargetMode="External"/><Relationship Id="rId89" Type="http://schemas.openxmlformats.org/officeDocument/2006/relationships/hyperlink" Target="https://doi.org/10.1177/0306624X20946926" TargetMode="External"/><Relationship Id="rId16" Type="http://schemas.openxmlformats.org/officeDocument/2006/relationships/hyperlink" Target="https://doi.org/10.1108/ER-07-2020-0308" TargetMode="External"/><Relationship Id="rId11" Type="http://schemas.openxmlformats.org/officeDocument/2006/relationships/image" Target="media/image4.png"/><Relationship Id="rId32" Type="http://schemas.openxmlformats.org/officeDocument/2006/relationships/hyperlink" Target="https://doi.org/10.1111/irj.12346" TargetMode="External"/><Relationship Id="rId37" Type="http://schemas.openxmlformats.org/officeDocument/2006/relationships/hyperlink" Target="https://doi.org/10.1111/1748-8583.12256" TargetMode="External"/><Relationship Id="rId53" Type="http://schemas.openxmlformats.org/officeDocument/2006/relationships/hyperlink" Target="https://doi.org/10.1108/IJOTB-07-2019-0082" TargetMode="External"/><Relationship Id="rId58" Type="http://schemas.openxmlformats.org/officeDocument/2006/relationships/hyperlink" Target="https://doi.org/10.1016/j.ijhm.2020.102822" TargetMode="External"/><Relationship Id="rId74" Type="http://schemas.openxmlformats.org/officeDocument/2006/relationships/hyperlink" Target="https://doi.org/10.5465/annals.2016.0049" TargetMode="External"/><Relationship Id="rId79" Type="http://schemas.openxmlformats.org/officeDocument/2006/relationships/hyperlink" Target="https://doi.org/10.1080/09585192.2021.1925323" TargetMode="External"/><Relationship Id="rId10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90" Type="http://schemas.openxmlformats.org/officeDocument/2006/relationships/hyperlink" Target="https://doi.org/10.1177/00938548211036177" TargetMode="External"/><Relationship Id="rId95" Type="http://schemas.openxmlformats.org/officeDocument/2006/relationships/hyperlink" Target="https://doi.org/10.1111/emre.12564" TargetMode="External"/><Relationship Id="rId22" Type="http://schemas.openxmlformats.org/officeDocument/2006/relationships/hyperlink" Target="https://doi.org/10.1108/EBHRM-06-2020-0093" TargetMode="External"/><Relationship Id="rId27" Type="http://schemas.openxmlformats.org/officeDocument/2006/relationships/hyperlink" Target="https://doi.org/10.17218/hititsbd.1630717" TargetMode="External"/><Relationship Id="rId43" Type="http://schemas.openxmlformats.org/officeDocument/2006/relationships/hyperlink" Target="https://doi.org/10.1002/csr.2422" TargetMode="External"/><Relationship Id="rId48" Type="http://schemas.openxmlformats.org/officeDocument/2006/relationships/hyperlink" Target="https://doi.org/10.1111/1467-8551.12469" TargetMode="External"/><Relationship Id="rId64" Type="http://schemas.openxmlformats.org/officeDocument/2006/relationships/hyperlink" Target="https://doi.org/10.1080/15332845.2023.2154035" TargetMode="External"/><Relationship Id="rId69" Type="http://schemas.openxmlformats.org/officeDocument/2006/relationships/footer" Target="footer1.xml"/><Relationship Id="rId80" Type="http://schemas.openxmlformats.org/officeDocument/2006/relationships/hyperlink" Target="https://doi.org/10.1111/1467-8551.12469" TargetMode="External"/><Relationship Id="rId85" Type="http://schemas.openxmlformats.org/officeDocument/2006/relationships/hyperlink" Target="https://doi.org/10.1108/MD-01-2019-0112" TargetMode="External"/><Relationship Id="rId12" Type="http://schemas.openxmlformats.org/officeDocument/2006/relationships/image" Target="media/image5.png"/><Relationship Id="rId17" Type="http://schemas.openxmlformats.org/officeDocument/2006/relationships/hyperlink" Target="https://doi.org/10.1111/emre.12564" TargetMode="External"/><Relationship Id="rId33" Type="http://schemas.openxmlformats.org/officeDocument/2006/relationships/hyperlink" Target="https://doi.org/10.1080/15256480.2021.1988882" TargetMode="External"/><Relationship Id="rId38" Type="http://schemas.openxmlformats.org/officeDocument/2006/relationships/hyperlink" Target="https://doi.org/10.1108/JOEPP-09-2020-0186" TargetMode="External"/><Relationship Id="rId59" Type="http://schemas.openxmlformats.org/officeDocument/2006/relationships/hyperlink" Target="https://doi.org/10.1108/apjba-09-2024-0547" TargetMode="External"/><Relationship Id="rId103" Type="http://schemas.openxmlformats.org/officeDocument/2006/relationships/hyperlink" Target="https://www.uwtsd.ac.uk/research/research-ethics/" TargetMode="External"/><Relationship Id="rId20" Type="http://schemas.openxmlformats.org/officeDocument/2006/relationships/hyperlink" Target="https://doi.org/10.1177/0972262920985949" TargetMode="External"/><Relationship Id="rId41" Type="http://schemas.openxmlformats.org/officeDocument/2006/relationships/hyperlink" Target="https://doi.org/10.1177/0306624X20946926" TargetMode="External"/><Relationship Id="rId54" Type="http://schemas.openxmlformats.org/officeDocument/2006/relationships/hyperlink" Target="https://doi.org/10.1080/09585192.2021.1925323" TargetMode="External"/><Relationship Id="rId62" Type="http://schemas.openxmlformats.org/officeDocument/2006/relationships/hyperlink" Target="https://doi.org/10.14687/jhs.v22i1.6540" TargetMode="External"/><Relationship Id="rId70" Type="http://schemas.openxmlformats.org/officeDocument/2006/relationships/hyperlink" Target="https://doi.org/10.1111/irj.12337" TargetMode="External"/><Relationship Id="rId75" Type="http://schemas.openxmlformats.org/officeDocument/2006/relationships/hyperlink" Target="https://doi.org/10.1016/j.jvb.2018.08.004" TargetMode="External"/><Relationship Id="rId83" Type="http://schemas.openxmlformats.org/officeDocument/2006/relationships/hyperlink" Target="https://doi.org/10.1111/bjir.70068" TargetMode="External"/><Relationship Id="rId88" Type="http://schemas.openxmlformats.org/officeDocument/2006/relationships/hyperlink" Target="https://doi.org/10.1108/EBHRM-06-2020-0093" TargetMode="External"/><Relationship Id="rId91" Type="http://schemas.openxmlformats.org/officeDocument/2006/relationships/hyperlink" Target="https://doi.org/10.1177/03063070221140726" TargetMode="External"/><Relationship Id="rId96" Type="http://schemas.openxmlformats.org/officeDocument/2006/relationships/hyperlink" Target="https://doi.org/10.14687/jhs.v22i1.654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https:/doi.org/10.1080/09692290.2019.1625426" TargetMode="External"/><Relationship Id="rId28" Type="http://schemas.openxmlformats.org/officeDocument/2006/relationships/hyperlink" Target="https://doi.org/10.1111/bjir.12866" TargetMode="External"/><Relationship Id="rId36" Type="http://schemas.openxmlformats.org/officeDocument/2006/relationships/hyperlink" Target="https://doi.org/10.1111/bjir.12637" TargetMode="External"/><Relationship Id="rId49" Type="http://schemas.openxmlformats.org/officeDocument/2006/relationships/hyperlink" Target="https://doi.org/https:/doi.org/10.3390/su13063163" TargetMode="External"/><Relationship Id="rId57" Type="http://schemas.openxmlformats.org/officeDocument/2006/relationships/hyperlink" Target="https://doi.org/10.1016/j.dss.2021.113582" TargetMode="External"/><Relationship Id="rId10" Type="http://schemas.openxmlformats.org/officeDocument/2006/relationships/image" Target="media/image3.png"/><Relationship Id="rId31" Type="http://schemas.openxmlformats.org/officeDocument/2006/relationships/hyperlink" Target="https://doi.org/10.1016/j.jpubeco.2021.104407" TargetMode="External"/><Relationship Id="rId44" Type="http://schemas.openxmlformats.org/officeDocument/2006/relationships/hyperlink" Target="https://doi.org/10.1108/MD-01-2019-0112" TargetMode="External"/><Relationship Id="rId52" Type="http://schemas.openxmlformats.org/officeDocument/2006/relationships/hyperlink" Target="https://doi.org/10.1111/irj.12337" TargetMode="External"/><Relationship Id="rId60" Type="http://schemas.openxmlformats.org/officeDocument/2006/relationships/hyperlink" Target="https://doi.org/10.1177/00938548211036177" TargetMode="External"/><Relationship Id="rId65" Type="http://schemas.openxmlformats.org/officeDocument/2006/relationships/hyperlink" Target="https://doi.org/10.3390/su15043015" TargetMode="External"/><Relationship Id="rId73" Type="http://schemas.openxmlformats.org/officeDocument/2006/relationships/hyperlink" Target="https://doi.org/10.1002/job.2216" TargetMode="External"/><Relationship Id="rId78" Type="http://schemas.openxmlformats.org/officeDocument/2006/relationships/hyperlink" Target="https://doi.org/10.1080/19452829.2023.2266691" TargetMode="External"/><Relationship Id="rId81" Type="http://schemas.openxmlformats.org/officeDocument/2006/relationships/hyperlink" Target="https://doi.org/10.1111/bjir.12866" TargetMode="External"/><Relationship Id="rId86" Type="http://schemas.openxmlformats.org/officeDocument/2006/relationships/hyperlink" Target="https://doi.org/10.1108/IJOTB-07-2019-0082" TargetMode="External"/><Relationship Id="rId94" Type="http://schemas.openxmlformats.org/officeDocument/2006/relationships/hyperlink" Target="https://doi.org/10.1108/IJQSS-08-2021-0112" TargetMode="External"/><Relationship Id="rId99" Type="http://schemas.openxmlformats.org/officeDocument/2006/relationships/hyperlink" Target="https://doi.org/10.1016/j.jhtm.2022.03.011" TargetMode="External"/><Relationship Id="rId101"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108/IJQSS-08-2021-0112" TargetMode="External"/><Relationship Id="rId39" Type="http://schemas.openxmlformats.org/officeDocument/2006/relationships/hyperlink" Target="https://doi.org/10.1080/02692171.2024.2406357" TargetMode="External"/><Relationship Id="rId34" Type="http://schemas.openxmlformats.org/officeDocument/2006/relationships/hyperlink" Target="https://doi.org/10.1177/03063070221140726" TargetMode="External"/><Relationship Id="rId50" Type="http://schemas.openxmlformats.org/officeDocument/2006/relationships/hyperlink" Target="https://doi.org/10.1177/0022185620908909" TargetMode="External"/><Relationship Id="rId55" Type="http://schemas.openxmlformats.org/officeDocument/2006/relationships/hyperlink" Target="https://doi.org/10.5430/mos.v5n1p1" TargetMode="External"/><Relationship Id="rId76" Type="http://schemas.openxmlformats.org/officeDocument/2006/relationships/hyperlink" Target="https://doi.org/10.1037/apl0000197" TargetMode="External"/><Relationship Id="rId97" Type="http://schemas.openxmlformats.org/officeDocument/2006/relationships/hyperlink" Target="https://doi.org/10.1108/JOEPP-09-2020-0186"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177/0022185620908909" TargetMode="External"/><Relationship Id="rId92" Type="http://schemas.openxmlformats.org/officeDocument/2006/relationships/hyperlink" Target="https://doi.org/10.1080/15332845.2023.2154035" TargetMode="External"/><Relationship Id="rId2" Type="http://schemas.openxmlformats.org/officeDocument/2006/relationships/numbering" Target="numbering.xml"/><Relationship Id="rId29" Type="http://schemas.openxmlformats.org/officeDocument/2006/relationships/hyperlink" Target="https://doi.org/10.1111/1748-8583.12436" TargetMode="External"/><Relationship Id="rId24" Type="http://schemas.openxmlformats.org/officeDocument/2006/relationships/hyperlink" Target="https://doi.org/10.1080/02642069.2022.2056163" TargetMode="External"/><Relationship Id="rId40" Type="http://schemas.openxmlformats.org/officeDocument/2006/relationships/hyperlink" Target="https://doi.org/10.1080/15332969.2020.1830638" TargetMode="External"/><Relationship Id="rId45" Type="http://schemas.openxmlformats.org/officeDocument/2006/relationships/hyperlink" Target="https://doi.org/10.1111/beer.12095" TargetMode="External"/><Relationship Id="rId66" Type="http://schemas.openxmlformats.org/officeDocument/2006/relationships/hyperlink" Target="https://doi.org/10.1080/02642069.2024.2379013" TargetMode="External"/><Relationship Id="rId87" Type="http://schemas.openxmlformats.org/officeDocument/2006/relationships/hyperlink" Target="https://doi.org/10.1080/01900692.2019.1672185" TargetMode="External"/><Relationship Id="rId61" Type="http://schemas.openxmlformats.org/officeDocument/2006/relationships/hyperlink" Target="https://doi.org/10.1108/ijoa-09-2020-2417" TargetMode="External"/><Relationship Id="rId82" Type="http://schemas.openxmlformats.org/officeDocument/2006/relationships/hyperlink" Target="https://doi.org/10.1111/bjir.12637" TargetMode="External"/><Relationship Id="rId19" Type="http://schemas.openxmlformats.org/officeDocument/2006/relationships/hyperlink" Target="https://doi.org/10.1057/s41267-022-00578-8" TargetMode="External"/><Relationship Id="rId14" Type="http://schemas.openxmlformats.org/officeDocument/2006/relationships/image" Target="media/image7.png"/><Relationship Id="rId30" Type="http://schemas.openxmlformats.org/officeDocument/2006/relationships/hyperlink" Target="https://doi.org/10.3390/admsci13040112" TargetMode="External"/><Relationship Id="rId35" Type="http://schemas.openxmlformats.org/officeDocument/2006/relationships/hyperlink" Target="https://doi.org/10.1080/01900692.2019.1672185" TargetMode="External"/><Relationship Id="rId56" Type="http://schemas.openxmlformats.org/officeDocument/2006/relationships/hyperlink" Target="https://doi.org/10.1080/19452829.2023.2266691" TargetMode="External"/><Relationship Id="rId77" Type="http://schemas.openxmlformats.org/officeDocument/2006/relationships/hyperlink" Target="https://doi.org/10.1108/IJRDM-08-2025-0659" TargetMode="External"/><Relationship Id="rId100" Type="http://schemas.openxmlformats.org/officeDocument/2006/relationships/hyperlink" Target="https://doi.org/10.3390/admsci13040112" TargetMode="Externa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02/job.2508" TargetMode="External"/><Relationship Id="rId72" Type="http://schemas.openxmlformats.org/officeDocument/2006/relationships/hyperlink" Target="https://doi.org/10.1111/irj.12346" TargetMode="External"/><Relationship Id="rId93" Type="http://schemas.openxmlformats.org/officeDocument/2006/relationships/hyperlink" Target="https://doi.org/10.1080/15256480.2021.1988882" TargetMode="External"/><Relationship Id="rId98" Type="http://schemas.openxmlformats.org/officeDocument/2006/relationships/hyperlink" Target="https://doi.org/10.1108/ER-07-2020-0308" TargetMode="External"/><Relationship Id="rId3" Type="http://schemas.openxmlformats.org/officeDocument/2006/relationships/styles" Target="styles.xml"/><Relationship Id="rId25" Type="http://schemas.openxmlformats.org/officeDocument/2006/relationships/hyperlink" Target="https://doi.org/10.1080/15555240.2026.2701417" TargetMode="External"/><Relationship Id="rId46" Type="http://schemas.openxmlformats.org/officeDocument/2006/relationships/hyperlink" Target="https://doi.org/10.1080/09585192.2020.1859582" TargetMode="External"/><Relationship Id="rId67" Type="http://schemas.openxmlformats.org/officeDocument/2006/relationships/hyperlink" Target="https://doi.org/https:/doi.org/10.3390/su13041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126</Pages>
  <Words>34295</Words>
  <Characters>195486</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2026-08-19T05:08:00Z</dcterms:created>
  <dcterms:modified xsi:type="dcterms:W3CDTF">2026-09-24T19:51:00Z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