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72A6659" w14:textId="77777777" w:rsidR="00230F35" w:rsidRDefault="008E1343" w:rsidP="3737E55B">
      <w:pPr>
        <w:pStyle w:val="NormalWeb"/>
        <w:spacing w:before="0" w:beforeAutospacing="0" w:after="0" w:afterAutospacing="0"/>
        <w:ind w:left="-180" w:right="-334"/>
      </w:pPr>
      <w:r>
        <w:rPr>
          <w:noProof/>
        </w:rPr>
        <w:drawing>
          <wp:inline distT="0" distB="0" distL="0" distR="0" wp14:anchorId="5CE3BC28" wp14:editId="07777777">
            <wp:extent cx="1804264" cy="601021"/>
            <wp:effectExtent l="19050" t="19050" r="5715"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04264" cy="601021"/>
                    </a:xfrm>
                    <a:prstGeom prst="rect">
                      <a:avLst/>
                    </a:prstGeom>
                    <a:noFill/>
                    <a:ln w="19050" cmpd="sng">
                      <a:solidFill>
                        <a:srgbClr val="000000"/>
                      </a:solidFill>
                      <a:miter lim="800000"/>
                      <a:headEnd/>
                      <a:tailEnd/>
                    </a:ln>
                    <a:effectLst/>
                  </pic:spPr>
                </pic:pic>
              </a:graphicData>
            </a:graphic>
          </wp:inline>
        </w:drawing>
      </w:r>
    </w:p>
    <w:p w14:paraId="0A37501D" w14:textId="77777777" w:rsidR="00230F35" w:rsidRDefault="00230F35" w:rsidP="00230F35">
      <w:pPr>
        <w:pStyle w:val="NormalWeb"/>
        <w:spacing w:before="0" w:beforeAutospacing="0" w:after="0" w:afterAutospacing="0"/>
        <w:ind w:left="-180" w:right="-334"/>
      </w:pPr>
    </w:p>
    <w:p w14:paraId="5DAB6C7B" w14:textId="77777777" w:rsidR="00A745B6" w:rsidRDefault="00A745B6" w:rsidP="00230F35">
      <w:pPr>
        <w:pStyle w:val="NormalWeb"/>
        <w:spacing w:before="0" w:beforeAutospacing="0" w:after="0" w:afterAutospacing="0"/>
        <w:ind w:left="-180" w:right="-334"/>
      </w:pPr>
    </w:p>
    <w:p w14:paraId="17F000BA" w14:textId="77777777" w:rsidR="00CB5E37" w:rsidRDefault="00901157" w:rsidP="00230F35">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sidR="00CB5E37">
        <w:rPr>
          <w:rFonts w:ascii="Arial" w:hAnsi="Arial" w:cs="Arial"/>
          <w:b/>
          <w:sz w:val="28"/>
          <w:szCs w:val="28"/>
          <w:lang w:val="cy-GB"/>
        </w:rPr>
        <w:t xml:space="preserve">/Distance Learning </w:t>
      </w:r>
    </w:p>
    <w:p w14:paraId="36332060" w14:textId="77777777" w:rsidR="002E67CE" w:rsidRPr="00230F35" w:rsidRDefault="00CB5E37" w:rsidP="00230F35">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002E67CE" w:rsidRPr="00230F35">
        <w:rPr>
          <w:rFonts w:ascii="Arial" w:hAnsi="Arial" w:cs="Arial"/>
          <w:b/>
          <w:sz w:val="28"/>
          <w:szCs w:val="28"/>
          <w:lang w:val="cy-GB"/>
        </w:rPr>
        <w:t>ssignment coversheet &amp; feedback form</w:t>
      </w:r>
    </w:p>
    <w:p w14:paraId="02EB378F" w14:textId="77777777" w:rsidR="002E67CE" w:rsidRPr="00230F35" w:rsidRDefault="002E67CE" w:rsidP="002E67CE">
      <w:pPr>
        <w:rPr>
          <w:rFonts w:ascii="Arial" w:hAnsi="Arial" w:cs="Arial"/>
          <w:sz w:val="28"/>
          <w:szCs w:val="28"/>
          <w:lang w:val="cy-GB"/>
        </w:rPr>
      </w:pPr>
    </w:p>
    <w:p w14:paraId="7AB5D90B" w14:textId="77777777" w:rsidR="002E67CE" w:rsidRDefault="002E67CE" w:rsidP="002E67CE">
      <w:pPr>
        <w:pStyle w:val="Heading3"/>
        <w:jc w:val="center"/>
        <w:rPr>
          <w:lang w:val="cy-GB"/>
        </w:rPr>
      </w:pPr>
      <w:r>
        <w:rPr>
          <w:lang w:val="cy-GB"/>
        </w:rPr>
        <w:t>THIS SHEET MUST BE THE FIRST PAGE OF THE ASSIGNMENT YOU ARE SUBMITTING  (DO NOT SEND AS A SEPARATE FILE)</w:t>
      </w:r>
    </w:p>
    <w:p w14:paraId="6A05A809" w14:textId="77777777" w:rsidR="00230F35" w:rsidRDefault="00230F35" w:rsidP="002E67CE">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637"/>
        <w:gridCol w:w="417"/>
        <w:gridCol w:w="1519"/>
        <w:gridCol w:w="279"/>
        <w:gridCol w:w="1784"/>
      </w:tblGrid>
      <w:tr w:rsidR="00E57529" w:rsidRPr="00230F35" w14:paraId="23DD42A7" w14:textId="77777777" w:rsidTr="00A745B6">
        <w:trPr>
          <w:trHeight w:val="614"/>
        </w:trPr>
        <w:tc>
          <w:tcPr>
            <w:tcW w:w="8856" w:type="dxa"/>
            <w:gridSpan w:val="5"/>
          </w:tcPr>
          <w:p w14:paraId="4613A18E" w14:textId="77777777" w:rsidR="0058726A" w:rsidRPr="00230F35" w:rsidRDefault="00E57529" w:rsidP="002F467C">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sidR="00001C3B">
              <w:rPr>
                <w:rFonts w:ascii="Arial" w:hAnsi="Arial" w:cs="Arial"/>
                <w:b/>
                <w:sz w:val="22"/>
                <w:szCs w:val="22"/>
              </w:rPr>
              <w:t xml:space="preserve">the </w:t>
            </w:r>
            <w:r w:rsidRPr="00230F35">
              <w:rPr>
                <w:rFonts w:ascii="Arial" w:hAnsi="Arial" w:cs="Arial"/>
                <w:b/>
                <w:sz w:val="22"/>
                <w:szCs w:val="22"/>
              </w:rPr>
              <w:t>student</w:t>
            </w:r>
            <w:r w:rsidR="00001C3B">
              <w:rPr>
                <w:rFonts w:ascii="Arial" w:hAnsi="Arial" w:cs="Arial"/>
                <w:sz w:val="22"/>
                <w:szCs w:val="22"/>
              </w:rPr>
              <w:t>:</w:t>
            </w:r>
          </w:p>
        </w:tc>
      </w:tr>
      <w:tr w:rsidR="0065654E" w:rsidRPr="00230F35" w14:paraId="1DA1512E" w14:textId="77777777" w:rsidTr="00A745B6">
        <w:trPr>
          <w:trHeight w:val="718"/>
        </w:trPr>
        <w:tc>
          <w:tcPr>
            <w:tcW w:w="8856" w:type="dxa"/>
            <w:gridSpan w:val="5"/>
          </w:tcPr>
          <w:p w14:paraId="770B6837" w14:textId="77777777" w:rsidR="0065654E" w:rsidRDefault="0065654E"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w:t>
            </w:r>
            <w:r w:rsidR="00CE3B79" w:rsidRPr="00230F35">
              <w:rPr>
                <w:rFonts w:ascii="Arial" w:hAnsi="Arial" w:cs="Arial"/>
                <w:sz w:val="22"/>
                <w:szCs w:val="22"/>
              </w:rPr>
              <w:t>me:</w:t>
            </w:r>
            <w:r w:rsidR="009E76BD">
              <w:rPr>
                <w:rFonts w:ascii="Arial" w:hAnsi="Arial" w:cs="Arial"/>
                <w:sz w:val="22"/>
                <w:szCs w:val="22"/>
              </w:rPr>
              <w:t xml:space="preserve"> Emma Bowey</w:t>
            </w:r>
          </w:p>
          <w:p w14:paraId="5A39BBE3" w14:textId="77777777" w:rsidR="00FA2A4C" w:rsidRPr="00230F35" w:rsidRDefault="00FA2A4C" w:rsidP="002F467C">
            <w:pPr>
              <w:pStyle w:val="NormalWeb"/>
              <w:spacing w:before="0" w:beforeAutospacing="0" w:after="0" w:afterAutospacing="0"/>
              <w:ind w:right="34"/>
              <w:rPr>
                <w:rFonts w:ascii="Arial" w:hAnsi="Arial" w:cs="Arial"/>
                <w:sz w:val="22"/>
                <w:szCs w:val="22"/>
              </w:rPr>
            </w:pPr>
          </w:p>
        </w:tc>
      </w:tr>
      <w:tr w:rsidR="00CE3B79" w:rsidRPr="00230F35" w14:paraId="7DE7E3B1" w14:textId="77777777" w:rsidTr="00A745B6">
        <w:trPr>
          <w:trHeight w:val="849"/>
        </w:trPr>
        <w:tc>
          <w:tcPr>
            <w:tcW w:w="4788" w:type="dxa"/>
          </w:tcPr>
          <w:p w14:paraId="74E18756" w14:textId="6407805B" w:rsidR="00D67BF8"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sidR="00C61348">
              <w:rPr>
                <w:rFonts w:ascii="Arial" w:hAnsi="Arial" w:cs="Arial"/>
                <w:sz w:val="22"/>
                <w:szCs w:val="22"/>
              </w:rPr>
              <w:t xml:space="preserve"> CSEN7028</w:t>
            </w:r>
          </w:p>
          <w:p w14:paraId="41C8F396" w14:textId="77777777" w:rsidR="00D67BF8" w:rsidRPr="00230F35" w:rsidRDefault="00D67BF8" w:rsidP="002F467C">
            <w:pPr>
              <w:pStyle w:val="NormalWeb"/>
              <w:spacing w:before="0" w:beforeAutospacing="0" w:after="0" w:afterAutospacing="0"/>
              <w:ind w:right="34"/>
              <w:rPr>
                <w:rFonts w:ascii="Arial" w:hAnsi="Arial" w:cs="Arial"/>
                <w:sz w:val="22"/>
                <w:szCs w:val="22"/>
              </w:rPr>
            </w:pPr>
          </w:p>
          <w:p w14:paraId="70A4436E" w14:textId="77777777" w:rsidR="00CE3B79"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sidR="009E76BD">
              <w:rPr>
                <w:rFonts w:ascii="Arial" w:hAnsi="Arial" w:cs="Arial"/>
                <w:sz w:val="22"/>
                <w:szCs w:val="22"/>
              </w:rPr>
              <w:t xml:space="preserve"> Beowulf and the Anglo-Saxon Heroics</w:t>
            </w:r>
          </w:p>
          <w:p w14:paraId="72A3D3EC" w14:textId="77777777" w:rsidR="00A745B6" w:rsidRDefault="00A745B6" w:rsidP="002F467C">
            <w:pPr>
              <w:pStyle w:val="NormalWeb"/>
              <w:spacing w:before="0" w:beforeAutospacing="0" w:after="0" w:afterAutospacing="0"/>
              <w:ind w:right="34"/>
              <w:rPr>
                <w:rFonts w:ascii="Arial" w:hAnsi="Arial" w:cs="Arial"/>
                <w:sz w:val="22"/>
                <w:szCs w:val="22"/>
              </w:rPr>
            </w:pPr>
          </w:p>
          <w:p w14:paraId="0D0B940D" w14:textId="77777777" w:rsidR="00A745B6" w:rsidRPr="00230F35" w:rsidRDefault="00A745B6" w:rsidP="002F467C">
            <w:pPr>
              <w:pStyle w:val="NormalWeb"/>
              <w:spacing w:before="0" w:beforeAutospacing="0" w:after="0" w:afterAutospacing="0"/>
              <w:ind w:right="34"/>
              <w:rPr>
                <w:rFonts w:ascii="Arial" w:hAnsi="Arial" w:cs="Arial"/>
                <w:sz w:val="22"/>
                <w:szCs w:val="22"/>
              </w:rPr>
            </w:pPr>
          </w:p>
        </w:tc>
        <w:tc>
          <w:tcPr>
            <w:tcW w:w="2266" w:type="dxa"/>
            <w:gridSpan w:val="3"/>
          </w:tcPr>
          <w:p w14:paraId="3C4FC877" w14:textId="77777777" w:rsidR="00CE3B79"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0E27B00A" w14:textId="77777777" w:rsidR="009E76BD" w:rsidRDefault="009E76BD" w:rsidP="002F467C">
            <w:pPr>
              <w:pStyle w:val="NormalWeb"/>
              <w:spacing w:before="0" w:beforeAutospacing="0" w:after="0" w:afterAutospacing="0"/>
              <w:ind w:right="34"/>
              <w:rPr>
                <w:rFonts w:ascii="Arial" w:hAnsi="Arial" w:cs="Arial"/>
                <w:sz w:val="22"/>
                <w:szCs w:val="22"/>
              </w:rPr>
            </w:pPr>
          </w:p>
          <w:p w14:paraId="22DF6397" w14:textId="77777777" w:rsidR="009E76BD" w:rsidRPr="00230F35" w:rsidRDefault="009E76BD" w:rsidP="002F467C">
            <w:pPr>
              <w:pStyle w:val="NormalWeb"/>
              <w:spacing w:before="0" w:beforeAutospacing="0" w:after="0" w:afterAutospacing="0"/>
              <w:ind w:right="34"/>
              <w:rPr>
                <w:rFonts w:ascii="Arial" w:hAnsi="Arial" w:cs="Arial"/>
                <w:sz w:val="22"/>
                <w:szCs w:val="22"/>
              </w:rPr>
            </w:pPr>
            <w:r>
              <w:rPr>
                <w:rFonts w:ascii="Arial" w:hAnsi="Arial" w:cs="Arial"/>
                <w:sz w:val="22"/>
                <w:szCs w:val="22"/>
              </w:rPr>
              <w:t>1704037</w:t>
            </w:r>
          </w:p>
        </w:tc>
        <w:tc>
          <w:tcPr>
            <w:tcW w:w="1802" w:type="dxa"/>
          </w:tcPr>
          <w:p w14:paraId="07F419E4" w14:textId="77777777" w:rsidR="00CE3B79"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65804BD3" w14:textId="77777777" w:rsidR="00CE3B79"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CE3B79" w:rsidRPr="00230F35" w14:paraId="7C85B2EB" w14:textId="77777777" w:rsidTr="00A745B6">
        <w:trPr>
          <w:trHeight w:val="1139"/>
        </w:trPr>
        <w:tc>
          <w:tcPr>
            <w:tcW w:w="8856" w:type="dxa"/>
            <w:gridSpan w:val="5"/>
          </w:tcPr>
          <w:p w14:paraId="707D8421" w14:textId="77777777" w:rsidR="00CE3B79" w:rsidRPr="00230F35" w:rsidRDefault="00F75EB5" w:rsidP="002F467C">
            <w:pPr>
              <w:pStyle w:val="NormalWeb"/>
              <w:spacing w:before="0" w:beforeAutospacing="0" w:after="0" w:afterAutospacing="0"/>
              <w:ind w:right="34"/>
              <w:rPr>
                <w:rFonts w:ascii="Arial" w:hAnsi="Arial" w:cs="Arial"/>
                <w:sz w:val="22"/>
                <w:szCs w:val="22"/>
              </w:rPr>
            </w:pPr>
            <w:r>
              <w:rPr>
                <w:rFonts w:ascii="Arial" w:hAnsi="Arial" w:cs="Arial"/>
                <w:sz w:val="22"/>
                <w:szCs w:val="22"/>
              </w:rPr>
              <w:t>Module tutor:</w:t>
            </w:r>
            <w:r w:rsidR="009E76BD">
              <w:rPr>
                <w:rFonts w:ascii="Arial" w:hAnsi="Arial" w:cs="Arial"/>
                <w:sz w:val="22"/>
                <w:szCs w:val="22"/>
              </w:rPr>
              <w:t xml:space="preserve"> Dr William Marx</w:t>
            </w:r>
          </w:p>
          <w:p w14:paraId="60061E4C" w14:textId="77777777" w:rsidR="00D67BF8" w:rsidRPr="00230F35" w:rsidRDefault="00D67BF8" w:rsidP="002F467C">
            <w:pPr>
              <w:pStyle w:val="NormalWeb"/>
              <w:spacing w:before="0" w:beforeAutospacing="0" w:after="0" w:afterAutospacing="0"/>
              <w:ind w:right="34"/>
              <w:rPr>
                <w:rFonts w:ascii="Arial" w:hAnsi="Arial" w:cs="Arial"/>
                <w:sz w:val="22"/>
                <w:szCs w:val="22"/>
              </w:rPr>
            </w:pPr>
          </w:p>
          <w:p w14:paraId="44EAFD9C" w14:textId="77777777" w:rsidR="00230F35" w:rsidRDefault="00230F35" w:rsidP="002F467C">
            <w:pPr>
              <w:pStyle w:val="NormalWeb"/>
              <w:spacing w:before="0" w:beforeAutospacing="0" w:after="0" w:afterAutospacing="0"/>
              <w:ind w:right="34"/>
              <w:rPr>
                <w:rFonts w:ascii="Arial" w:hAnsi="Arial" w:cs="Arial"/>
                <w:sz w:val="22"/>
                <w:szCs w:val="22"/>
              </w:rPr>
            </w:pPr>
          </w:p>
          <w:p w14:paraId="5BA03561" w14:textId="77777777" w:rsidR="00D67BF8" w:rsidRPr="00230F35" w:rsidRDefault="00B42501"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9E76BD">
              <w:rPr>
                <w:rFonts w:ascii="Arial" w:hAnsi="Arial" w:cs="Arial"/>
                <w:sz w:val="22"/>
                <w:szCs w:val="22"/>
              </w:rPr>
              <w:t xml:space="preserve"> 24.01.2020</w:t>
            </w:r>
          </w:p>
        </w:tc>
      </w:tr>
      <w:tr w:rsidR="00230F35" w:rsidRPr="00230F35" w14:paraId="11A3465E" w14:textId="77777777" w:rsidTr="00A745B6">
        <w:trPr>
          <w:trHeight w:val="978"/>
        </w:trPr>
        <w:tc>
          <w:tcPr>
            <w:tcW w:w="8856" w:type="dxa"/>
            <w:gridSpan w:val="5"/>
            <w:tcBorders>
              <w:bottom w:val="single" w:sz="4" w:space="0" w:color="000000"/>
            </w:tcBorders>
          </w:tcPr>
          <w:p w14:paraId="2F3FDD0B" w14:textId="77777777" w:rsidR="00F75EB5" w:rsidRDefault="00F75EB5" w:rsidP="00F75EB5">
            <w:pPr>
              <w:rPr>
                <w:rFonts w:ascii="Arial" w:hAnsi="Arial" w:cs="Arial"/>
                <w:sz w:val="22"/>
                <w:szCs w:val="22"/>
              </w:rPr>
            </w:pPr>
            <w:r>
              <w:rPr>
                <w:rFonts w:ascii="Arial" w:hAnsi="Arial" w:cs="Arial"/>
                <w:sz w:val="22"/>
                <w:szCs w:val="22"/>
              </w:rPr>
              <w:t>If your module has multiple submissions please indicate which piece of work this is.</w:t>
            </w:r>
          </w:p>
          <w:p w14:paraId="4B94D5A5" w14:textId="77777777" w:rsidR="00F75EB5" w:rsidRDefault="00F75EB5" w:rsidP="00F75EB5">
            <w:pPr>
              <w:rPr>
                <w:rFonts w:ascii="Arial" w:hAnsi="Arial" w:cs="Arial"/>
                <w:sz w:val="22"/>
                <w:szCs w:val="22"/>
              </w:rPr>
            </w:pPr>
          </w:p>
          <w:p w14:paraId="593185BB" w14:textId="77777777" w:rsidR="00230F35" w:rsidRPr="00230F35" w:rsidRDefault="00230F35" w:rsidP="00F75EB5">
            <w:pPr>
              <w:rPr>
                <w:rFonts w:ascii="Arial" w:hAnsi="Arial" w:cs="Arial"/>
                <w:sz w:val="22"/>
                <w:szCs w:val="22"/>
              </w:rPr>
            </w:pPr>
            <w:r w:rsidRPr="00230F35">
              <w:rPr>
                <w:rFonts w:ascii="Arial" w:hAnsi="Arial" w:cs="Arial"/>
                <w:sz w:val="22"/>
                <w:szCs w:val="22"/>
              </w:rPr>
              <w:t>1</w:t>
            </w:r>
            <w:r w:rsidRP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3"/>
                  <w:enabled/>
                  <w:calcOnExit w:val="0"/>
                  <w:checkBox>
                    <w:sizeAuto/>
                    <w:default w:val="0"/>
                  </w:checkBox>
                </w:ffData>
              </w:fldChar>
            </w:r>
            <w:bookmarkStart w:id="0" w:name="Check13"/>
            <w:r w:rsidRPr="00230F35">
              <w:rPr>
                <w:rFonts w:ascii="Arial" w:hAnsi="Arial" w:cs="Arial"/>
                <w:sz w:val="22"/>
                <w:szCs w:val="22"/>
              </w:rPr>
              <w:instrText xml:space="preserve"> FORMCHECKBOX </w:instrText>
            </w:r>
            <w:r w:rsidR="00C64D6E">
              <w:rPr>
                <w:rFonts w:ascii="Arial" w:hAnsi="Arial" w:cs="Arial"/>
                <w:sz w:val="22"/>
                <w:szCs w:val="22"/>
              </w:rPr>
            </w:r>
            <w:r w:rsidR="00C64D6E">
              <w:rPr>
                <w:rFonts w:ascii="Arial" w:hAnsi="Arial" w:cs="Arial"/>
                <w:sz w:val="22"/>
                <w:szCs w:val="22"/>
              </w:rPr>
              <w:fldChar w:fldCharType="separate"/>
            </w:r>
            <w:r w:rsidRPr="00230F35">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sidR="00C64D6E">
              <w:rPr>
                <w:rFonts w:ascii="Arial" w:hAnsi="Arial" w:cs="Arial"/>
                <w:sz w:val="22"/>
                <w:szCs w:val="22"/>
              </w:rPr>
            </w:r>
            <w:r w:rsidR="00C64D6E">
              <w:rPr>
                <w:rFonts w:ascii="Arial" w:hAnsi="Arial" w:cs="Arial"/>
                <w:sz w:val="22"/>
                <w:szCs w:val="22"/>
              </w:rPr>
              <w:fldChar w:fldCharType="separate"/>
            </w:r>
            <w:r w:rsidRPr="00230F3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00C64D6E">
              <w:rPr>
                <w:rFonts w:ascii="Arial" w:hAnsi="Arial" w:cs="Arial"/>
                <w:sz w:val="22"/>
                <w:szCs w:val="22"/>
              </w:rPr>
            </w:r>
            <w:r w:rsidR="00C64D6E">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00C64D6E">
              <w:rPr>
                <w:rFonts w:ascii="Arial" w:hAnsi="Arial" w:cs="Arial"/>
                <w:sz w:val="22"/>
                <w:szCs w:val="22"/>
              </w:rPr>
            </w:r>
            <w:r w:rsidR="00C64D6E">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00C64D6E">
              <w:rPr>
                <w:rFonts w:ascii="Arial" w:hAnsi="Arial" w:cs="Arial"/>
                <w:sz w:val="22"/>
                <w:szCs w:val="22"/>
              </w:rPr>
            </w:r>
            <w:r w:rsidR="00C64D6E">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00C64D6E">
              <w:rPr>
                <w:rFonts w:ascii="Arial" w:hAnsi="Arial" w:cs="Arial"/>
                <w:sz w:val="22"/>
                <w:szCs w:val="22"/>
              </w:rPr>
            </w:r>
            <w:r w:rsidR="00C64D6E">
              <w:rPr>
                <w:rFonts w:ascii="Arial" w:hAnsi="Arial" w:cs="Arial"/>
                <w:sz w:val="22"/>
                <w:szCs w:val="22"/>
              </w:rPr>
              <w:fldChar w:fldCharType="separate"/>
            </w:r>
            <w:r w:rsidRPr="00230F35">
              <w:rPr>
                <w:rFonts w:ascii="Arial" w:hAnsi="Arial" w:cs="Arial"/>
                <w:sz w:val="22"/>
                <w:szCs w:val="22"/>
              </w:rPr>
              <w:fldChar w:fldCharType="end"/>
            </w:r>
            <w:bookmarkEnd w:id="5"/>
          </w:p>
        </w:tc>
      </w:tr>
      <w:tr w:rsidR="00901157" w:rsidRPr="00230F35" w14:paraId="688DB6FD" w14:textId="77777777" w:rsidTr="00A745B6">
        <w:trPr>
          <w:trHeight w:val="978"/>
        </w:trPr>
        <w:tc>
          <w:tcPr>
            <w:tcW w:w="8856" w:type="dxa"/>
            <w:gridSpan w:val="5"/>
            <w:shd w:val="clear" w:color="auto" w:fill="D9D9D9"/>
          </w:tcPr>
          <w:p w14:paraId="0C02F8FB" w14:textId="77777777" w:rsidR="00901157" w:rsidRPr="00230F35" w:rsidRDefault="00901157"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38828072" w14:textId="77777777" w:rsidR="00901157" w:rsidRDefault="00901157"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Signed </w:t>
            </w:r>
            <w:r w:rsidR="009E76BD">
              <w:rPr>
                <w:rFonts w:ascii="Arial" w:hAnsi="Arial" w:cs="Arial"/>
                <w:sz w:val="22"/>
                <w:szCs w:val="22"/>
              </w:rPr>
              <w:t>E. Bowey</w:t>
            </w:r>
          </w:p>
          <w:p w14:paraId="01B1BD58" w14:textId="77777777" w:rsidR="00B462B1" w:rsidRDefault="00B462B1" w:rsidP="00B462B1">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sidR="002C55E9">
              <w:rPr>
                <w:rFonts w:ascii="Calibri" w:hAnsi="Calibri" w:cs="Tahoma"/>
                <w:b/>
                <w:sz w:val="24"/>
                <w:szCs w:val="24"/>
              </w:rPr>
              <w:t xml:space="preserve"> </w:t>
            </w:r>
            <w:r>
              <w:rPr>
                <w:rFonts w:ascii="Calibri" w:hAnsi="Calibri" w:cs="Tahoma"/>
                <w:b/>
                <w:sz w:val="24"/>
                <w:szCs w:val="24"/>
              </w:rPr>
              <w:t xml:space="preserve">if you are submitting this form via email, please tick this box </w:t>
            </w:r>
            <w:r w:rsidRPr="005979EE">
              <w:rPr>
                <w:rFonts w:ascii="Calibri" w:hAnsi="Calibri" w:cs="Calibri"/>
                <w:b/>
                <w:sz w:val="44"/>
                <w:szCs w:val="44"/>
              </w:rPr>
              <w:t>□</w:t>
            </w:r>
          </w:p>
          <w:p w14:paraId="7340D80B" w14:textId="77777777" w:rsidR="00B462B1" w:rsidRPr="00230F35" w:rsidRDefault="00B462B1" w:rsidP="00B462B1">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590E9A" w:rsidRPr="00230F35" w14:paraId="0EE852AB" w14:textId="77777777" w:rsidTr="00A745B6">
        <w:trPr>
          <w:trHeight w:val="3972"/>
        </w:trPr>
        <w:tc>
          <w:tcPr>
            <w:tcW w:w="8856" w:type="dxa"/>
            <w:gridSpan w:val="5"/>
          </w:tcPr>
          <w:p w14:paraId="3DEEC669" w14:textId="77777777" w:rsidR="00A745B6" w:rsidRDefault="00A745B6" w:rsidP="00A745B6">
            <w:pPr>
              <w:rPr>
                <w:rFonts w:ascii="Arial" w:hAnsi="Arial"/>
                <w:b/>
              </w:rPr>
            </w:pPr>
          </w:p>
          <w:p w14:paraId="4383B5F5" w14:textId="77777777" w:rsidR="00A745B6" w:rsidRPr="00116CE6" w:rsidRDefault="00A745B6" w:rsidP="00A745B6">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00"/>
              <w:gridCol w:w="1610"/>
            </w:tblGrid>
            <w:tr w:rsidR="00A745B6" w:rsidRPr="00116CE6" w14:paraId="3D34044F" w14:textId="77777777" w:rsidTr="00022345">
              <w:tc>
                <w:tcPr>
                  <w:tcW w:w="6970" w:type="dxa"/>
                </w:tcPr>
                <w:p w14:paraId="3656B9AB" w14:textId="77777777" w:rsidR="00A745B6" w:rsidRPr="00116CE6" w:rsidRDefault="00A745B6" w:rsidP="009C1A08">
                  <w:pPr>
                    <w:rPr>
                      <w:rFonts w:ascii="Arial" w:hAnsi="Arial"/>
                      <w:sz w:val="20"/>
                      <w:szCs w:val="20"/>
                    </w:rPr>
                  </w:pPr>
                </w:p>
                <w:p w14:paraId="32D9CC12" w14:textId="77777777" w:rsidR="00A745B6" w:rsidRPr="00116CE6" w:rsidRDefault="00A745B6" w:rsidP="009C1A08">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45FB0818" w14:textId="77777777" w:rsidR="00A745B6" w:rsidRPr="00116CE6" w:rsidRDefault="00A745B6" w:rsidP="009C1A08">
                  <w:pPr>
                    <w:rPr>
                      <w:rFonts w:ascii="Arial" w:hAnsi="Arial"/>
                      <w:sz w:val="20"/>
                      <w:szCs w:val="20"/>
                    </w:rPr>
                  </w:pPr>
                </w:p>
              </w:tc>
            </w:tr>
            <w:tr w:rsidR="00A745B6" w:rsidRPr="00116CE6" w14:paraId="37E43CED" w14:textId="77777777" w:rsidTr="00022345">
              <w:tc>
                <w:tcPr>
                  <w:tcW w:w="6970" w:type="dxa"/>
                </w:tcPr>
                <w:p w14:paraId="049F31CB" w14:textId="77777777" w:rsidR="00A745B6" w:rsidRPr="00116CE6" w:rsidRDefault="00A745B6" w:rsidP="009C1A08">
                  <w:pPr>
                    <w:rPr>
                      <w:rFonts w:ascii="Arial" w:hAnsi="Arial"/>
                      <w:sz w:val="20"/>
                      <w:szCs w:val="20"/>
                    </w:rPr>
                  </w:pPr>
                </w:p>
                <w:p w14:paraId="59E764BC" w14:textId="77777777" w:rsidR="00A745B6" w:rsidRPr="00116CE6" w:rsidRDefault="00A745B6" w:rsidP="009C1A08">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sidR="00022345">
                    <w:rPr>
                      <w:rFonts w:ascii="Arial" w:hAnsi="Arial"/>
                      <w:sz w:val="20"/>
                      <w:szCs w:val="20"/>
                    </w:rPr>
                    <w:t>’s/Moderator’s</w:t>
                  </w:r>
                  <w:r w:rsidRPr="00116CE6">
                    <w:rPr>
                      <w:rFonts w:ascii="Arial" w:hAnsi="Arial"/>
                      <w:sz w:val="20"/>
                      <w:szCs w:val="20"/>
                    </w:rPr>
                    <w:t xml:space="preserve"> provisional mark</w:t>
                  </w:r>
                </w:p>
              </w:tc>
              <w:tc>
                <w:tcPr>
                  <w:tcW w:w="1660" w:type="dxa"/>
                </w:tcPr>
                <w:p w14:paraId="53128261" w14:textId="77777777" w:rsidR="00A745B6" w:rsidRPr="00116CE6" w:rsidRDefault="00A745B6" w:rsidP="009C1A08">
                  <w:pPr>
                    <w:rPr>
                      <w:rFonts w:ascii="Arial" w:hAnsi="Arial"/>
                      <w:sz w:val="20"/>
                      <w:szCs w:val="20"/>
                    </w:rPr>
                  </w:pPr>
                </w:p>
              </w:tc>
            </w:tr>
            <w:tr w:rsidR="00A745B6" w:rsidRPr="00116CE6" w14:paraId="4AC3C5F8" w14:textId="77777777" w:rsidTr="00022345">
              <w:tc>
                <w:tcPr>
                  <w:tcW w:w="6970" w:type="dxa"/>
                </w:tcPr>
                <w:p w14:paraId="62486C05" w14:textId="77777777" w:rsidR="00A745B6" w:rsidRPr="00116CE6" w:rsidRDefault="00A745B6" w:rsidP="009C1A08">
                  <w:pPr>
                    <w:rPr>
                      <w:rFonts w:ascii="Arial" w:hAnsi="Arial"/>
                      <w:sz w:val="20"/>
                      <w:szCs w:val="20"/>
                    </w:rPr>
                  </w:pPr>
                </w:p>
                <w:p w14:paraId="535648C4" w14:textId="77777777" w:rsidR="00A745B6" w:rsidRPr="00116CE6" w:rsidRDefault="00A745B6" w:rsidP="009C1A08">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4101652C" w14:textId="77777777" w:rsidR="00A745B6" w:rsidRPr="00116CE6" w:rsidRDefault="00A745B6" w:rsidP="009C1A08">
                  <w:pPr>
                    <w:rPr>
                      <w:rFonts w:ascii="Arial" w:hAnsi="Arial"/>
                      <w:sz w:val="20"/>
                      <w:szCs w:val="20"/>
                    </w:rPr>
                  </w:pPr>
                </w:p>
              </w:tc>
            </w:tr>
            <w:tr w:rsidR="00A745B6" w:rsidRPr="00116CE6" w14:paraId="4A58FDC4" w14:textId="77777777" w:rsidTr="00022345">
              <w:tc>
                <w:tcPr>
                  <w:tcW w:w="6970" w:type="dxa"/>
                </w:tcPr>
                <w:p w14:paraId="4B99056E" w14:textId="77777777" w:rsidR="00A745B6" w:rsidRDefault="00A745B6" w:rsidP="009C1A08">
                  <w:pPr>
                    <w:rPr>
                      <w:rFonts w:ascii="Arial" w:hAnsi="Arial"/>
                      <w:sz w:val="20"/>
                      <w:szCs w:val="20"/>
                    </w:rPr>
                  </w:pPr>
                </w:p>
                <w:p w14:paraId="35697BD0" w14:textId="77777777" w:rsidR="00A745B6" w:rsidRPr="00022345" w:rsidRDefault="00A745B6" w:rsidP="009C1A08">
                  <w:pPr>
                    <w:rPr>
                      <w:rFonts w:ascii="Arial" w:hAnsi="Arial"/>
                      <w:b/>
                      <w:sz w:val="20"/>
                      <w:szCs w:val="20"/>
                    </w:rPr>
                  </w:pPr>
                  <w:r w:rsidRPr="00022345">
                    <w:rPr>
                      <w:rFonts w:ascii="Arial" w:hAnsi="Arial"/>
                      <w:b/>
                      <w:sz w:val="20"/>
                      <w:szCs w:val="20"/>
                    </w:rPr>
                    <w:t>Final Mark</w:t>
                  </w:r>
                </w:p>
                <w:p w14:paraId="1299C43A" w14:textId="77777777" w:rsidR="00A745B6" w:rsidRPr="00116CE6" w:rsidRDefault="00A745B6" w:rsidP="009C1A08">
                  <w:pPr>
                    <w:rPr>
                      <w:rFonts w:ascii="Arial" w:hAnsi="Arial"/>
                      <w:sz w:val="20"/>
                      <w:szCs w:val="20"/>
                    </w:rPr>
                  </w:pPr>
                </w:p>
              </w:tc>
              <w:tc>
                <w:tcPr>
                  <w:tcW w:w="1660" w:type="dxa"/>
                </w:tcPr>
                <w:p w14:paraId="4DDBEF00" w14:textId="77777777" w:rsidR="00A745B6" w:rsidRPr="00116CE6" w:rsidRDefault="00A745B6" w:rsidP="009C1A08">
                  <w:pPr>
                    <w:rPr>
                      <w:rFonts w:ascii="Arial" w:hAnsi="Arial"/>
                      <w:sz w:val="20"/>
                      <w:szCs w:val="20"/>
                    </w:rPr>
                  </w:pPr>
                </w:p>
              </w:tc>
            </w:tr>
          </w:tbl>
          <w:p w14:paraId="3461D779" w14:textId="77777777" w:rsidR="00022345" w:rsidRDefault="00022345" w:rsidP="00A745B6">
            <w:pPr>
              <w:pStyle w:val="NormalWeb"/>
              <w:spacing w:before="0" w:beforeAutospacing="0" w:after="0" w:afterAutospacing="0"/>
              <w:ind w:left="142" w:right="34"/>
              <w:rPr>
                <w:rFonts w:ascii="Arial" w:hAnsi="Arial" w:cs="Arial"/>
                <w:b/>
                <w:sz w:val="22"/>
                <w:szCs w:val="22"/>
              </w:rPr>
            </w:pPr>
          </w:p>
          <w:p w14:paraId="6A8CC324" w14:textId="77777777" w:rsidR="00A745B6" w:rsidRPr="00230F35" w:rsidRDefault="00A745B6" w:rsidP="00A745B6">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3CF2D8B6" w14:textId="77777777" w:rsidR="00A745B6" w:rsidRDefault="00A745B6" w:rsidP="002F467C">
            <w:pPr>
              <w:pStyle w:val="NormalWeb"/>
              <w:spacing w:before="0" w:beforeAutospacing="0" w:after="0" w:afterAutospacing="0"/>
              <w:rPr>
                <w:rFonts w:ascii="Arial" w:hAnsi="Arial" w:cs="Arial"/>
                <w:b/>
                <w:sz w:val="22"/>
                <w:szCs w:val="22"/>
              </w:rPr>
            </w:pPr>
          </w:p>
          <w:p w14:paraId="0FB78278" w14:textId="77777777" w:rsidR="00B462B1" w:rsidRDefault="00B462B1" w:rsidP="002F467C">
            <w:pPr>
              <w:pStyle w:val="NormalWeb"/>
              <w:spacing w:before="0" w:beforeAutospacing="0" w:after="0" w:afterAutospacing="0"/>
              <w:rPr>
                <w:rFonts w:ascii="Arial" w:hAnsi="Arial" w:cs="Arial"/>
                <w:b/>
                <w:sz w:val="22"/>
                <w:szCs w:val="22"/>
              </w:rPr>
            </w:pPr>
          </w:p>
          <w:p w14:paraId="1FC39945" w14:textId="77777777" w:rsidR="00F75EB5" w:rsidRDefault="00F75EB5" w:rsidP="002F467C">
            <w:pPr>
              <w:pStyle w:val="NormalWeb"/>
              <w:spacing w:before="0" w:beforeAutospacing="0" w:after="0" w:afterAutospacing="0"/>
              <w:rPr>
                <w:rFonts w:ascii="Arial" w:hAnsi="Arial" w:cs="Arial"/>
                <w:b/>
                <w:sz w:val="22"/>
                <w:szCs w:val="22"/>
              </w:rPr>
            </w:pPr>
          </w:p>
          <w:p w14:paraId="0562CB0E" w14:textId="77777777" w:rsidR="00F75EB5" w:rsidRDefault="00F75EB5" w:rsidP="002F467C">
            <w:pPr>
              <w:pStyle w:val="NormalWeb"/>
              <w:spacing w:before="0" w:beforeAutospacing="0" w:after="0" w:afterAutospacing="0"/>
              <w:rPr>
                <w:rFonts w:ascii="Arial" w:hAnsi="Arial" w:cs="Arial"/>
                <w:b/>
                <w:sz w:val="22"/>
                <w:szCs w:val="22"/>
              </w:rPr>
            </w:pPr>
          </w:p>
          <w:p w14:paraId="34CE0A41" w14:textId="77777777" w:rsidR="00B462B1" w:rsidRDefault="00B462B1" w:rsidP="002F467C">
            <w:pPr>
              <w:pStyle w:val="NormalWeb"/>
              <w:spacing w:before="0" w:beforeAutospacing="0" w:after="0" w:afterAutospacing="0"/>
              <w:rPr>
                <w:rFonts w:ascii="Arial" w:hAnsi="Arial" w:cs="Arial"/>
                <w:b/>
                <w:sz w:val="22"/>
                <w:szCs w:val="22"/>
              </w:rPr>
            </w:pPr>
          </w:p>
          <w:p w14:paraId="60CBF7E4" w14:textId="77777777" w:rsidR="00590E9A" w:rsidRPr="00230F35" w:rsidRDefault="00E67719" w:rsidP="002F467C">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00590E9A" w:rsidRPr="00230F35">
              <w:rPr>
                <w:rFonts w:ascii="Arial" w:hAnsi="Arial" w:cs="Arial"/>
                <w:b/>
                <w:sz w:val="22"/>
                <w:szCs w:val="22"/>
              </w:rPr>
              <w:t>arker</w:t>
            </w:r>
            <w:r w:rsidR="00D67BF8" w:rsidRPr="00230F35">
              <w:rPr>
                <w:rFonts w:ascii="Arial" w:hAnsi="Arial" w:cs="Arial"/>
                <w:b/>
                <w:sz w:val="22"/>
                <w:szCs w:val="22"/>
              </w:rPr>
              <w:t xml:space="preserve"> 1 </w:t>
            </w:r>
            <w:r w:rsidR="00590E9A" w:rsidRPr="00230F35">
              <w:rPr>
                <w:rFonts w:ascii="Arial" w:hAnsi="Arial" w:cs="Arial"/>
                <w:b/>
                <w:sz w:val="22"/>
                <w:szCs w:val="22"/>
              </w:rPr>
              <w:t>:</w:t>
            </w:r>
          </w:p>
          <w:p w14:paraId="2336B5CC" w14:textId="77777777" w:rsidR="00230F35" w:rsidRDefault="00590E9A" w:rsidP="00043549">
            <w:pPr>
              <w:pStyle w:val="NormalWeb"/>
              <w:rPr>
                <w:rFonts w:ascii="Arial" w:hAnsi="Arial" w:cs="Arial"/>
                <w:sz w:val="22"/>
                <w:szCs w:val="22"/>
              </w:rPr>
            </w:pPr>
            <w:r w:rsidRPr="00230F35">
              <w:rPr>
                <w:rFonts w:ascii="Arial" w:hAnsi="Arial" w:cs="Arial"/>
                <w:sz w:val="22"/>
                <w:szCs w:val="22"/>
              </w:rPr>
              <w:t>Comments</w:t>
            </w:r>
            <w:r w:rsidR="00001C3B">
              <w:rPr>
                <w:rFonts w:ascii="Arial" w:hAnsi="Arial" w:cs="Arial"/>
                <w:sz w:val="22"/>
                <w:szCs w:val="22"/>
              </w:rPr>
              <w:t>:</w:t>
            </w:r>
          </w:p>
          <w:p w14:paraId="62EBF3C5" w14:textId="77777777" w:rsidR="00B56E7B" w:rsidRPr="00001C3B" w:rsidRDefault="00B56E7B" w:rsidP="00043549">
            <w:pPr>
              <w:pStyle w:val="NormalWeb"/>
              <w:rPr>
                <w:rFonts w:ascii="Arial" w:hAnsi="Arial" w:cs="Arial"/>
                <w:sz w:val="22"/>
                <w:szCs w:val="22"/>
              </w:rPr>
            </w:pPr>
          </w:p>
        </w:tc>
      </w:tr>
      <w:tr w:rsidR="00EC7546" w:rsidRPr="00230F35" w14:paraId="4DD8B2D3" w14:textId="77777777" w:rsidTr="00A745B6">
        <w:trPr>
          <w:trHeight w:val="492"/>
        </w:trPr>
        <w:tc>
          <w:tcPr>
            <w:tcW w:w="6768" w:type="dxa"/>
            <w:gridSpan w:val="3"/>
          </w:tcPr>
          <w:p w14:paraId="56E30209" w14:textId="77777777" w:rsidR="00230F35" w:rsidRPr="00230F35" w:rsidRDefault="00E3766D" w:rsidP="00230F35">
            <w:pPr>
              <w:pStyle w:val="NormalWeb"/>
              <w:ind w:left="142" w:right="34"/>
              <w:rPr>
                <w:rFonts w:ascii="Arial" w:hAnsi="Arial" w:cs="Arial"/>
                <w:sz w:val="22"/>
                <w:szCs w:val="22"/>
              </w:rPr>
            </w:pPr>
            <w:r w:rsidRPr="00230F35">
              <w:rPr>
                <w:rFonts w:ascii="Arial" w:hAnsi="Arial" w:cs="Arial"/>
                <w:sz w:val="22"/>
                <w:szCs w:val="22"/>
              </w:rPr>
              <w:t>M</w:t>
            </w:r>
            <w:r w:rsidR="00EC7546" w:rsidRPr="00230F35">
              <w:rPr>
                <w:rFonts w:ascii="Arial" w:hAnsi="Arial" w:cs="Arial"/>
                <w:sz w:val="22"/>
                <w:szCs w:val="22"/>
              </w:rPr>
              <w:t>arker</w:t>
            </w:r>
            <w:r w:rsidR="00CE3B79" w:rsidRPr="00230F35">
              <w:rPr>
                <w:rFonts w:ascii="Arial" w:hAnsi="Arial" w:cs="Arial"/>
                <w:sz w:val="22"/>
                <w:szCs w:val="22"/>
              </w:rPr>
              <w:t xml:space="preserve">’s </w:t>
            </w:r>
            <w:r w:rsidR="00EC7546" w:rsidRPr="00230F35">
              <w:rPr>
                <w:rFonts w:ascii="Arial" w:hAnsi="Arial" w:cs="Arial"/>
                <w:sz w:val="22"/>
                <w:szCs w:val="22"/>
              </w:rPr>
              <w:t>signatur</w:t>
            </w:r>
            <w:r w:rsidR="00230F35">
              <w:rPr>
                <w:rFonts w:ascii="Arial" w:hAnsi="Arial" w:cs="Arial"/>
                <w:sz w:val="22"/>
                <w:szCs w:val="22"/>
              </w:rPr>
              <w:t>e:</w:t>
            </w:r>
          </w:p>
        </w:tc>
        <w:tc>
          <w:tcPr>
            <w:tcW w:w="2088" w:type="dxa"/>
            <w:gridSpan w:val="2"/>
          </w:tcPr>
          <w:p w14:paraId="3101716D" w14:textId="77777777" w:rsidR="00EC7546" w:rsidRPr="00230F35" w:rsidRDefault="0065654E" w:rsidP="002F467C">
            <w:pPr>
              <w:pStyle w:val="NormalWeb"/>
              <w:spacing w:after="0"/>
              <w:ind w:left="142" w:right="34"/>
              <w:rPr>
                <w:rFonts w:ascii="Arial" w:hAnsi="Arial" w:cs="Arial"/>
                <w:sz w:val="22"/>
                <w:szCs w:val="22"/>
              </w:rPr>
            </w:pPr>
            <w:r w:rsidRPr="00230F35">
              <w:rPr>
                <w:rFonts w:ascii="Arial" w:hAnsi="Arial" w:cs="Arial"/>
                <w:sz w:val="22"/>
                <w:szCs w:val="22"/>
              </w:rPr>
              <w:t>D</w:t>
            </w:r>
            <w:r w:rsidR="00EC7546" w:rsidRPr="00230F35">
              <w:rPr>
                <w:rFonts w:ascii="Arial" w:hAnsi="Arial" w:cs="Arial"/>
                <w:sz w:val="22"/>
                <w:szCs w:val="22"/>
              </w:rPr>
              <w:t>ate</w:t>
            </w:r>
            <w:r w:rsidRPr="00230F35">
              <w:rPr>
                <w:rFonts w:ascii="Arial" w:hAnsi="Arial" w:cs="Arial"/>
                <w:sz w:val="22"/>
                <w:szCs w:val="22"/>
              </w:rPr>
              <w:t>:</w:t>
            </w:r>
          </w:p>
        </w:tc>
      </w:tr>
      <w:tr w:rsidR="00D67BF8" w:rsidRPr="002F467C" w14:paraId="53A957F2" w14:textId="77777777" w:rsidTr="002F467C">
        <w:tc>
          <w:tcPr>
            <w:tcW w:w="8856" w:type="dxa"/>
            <w:gridSpan w:val="5"/>
          </w:tcPr>
          <w:p w14:paraId="6D98A12B" w14:textId="77777777" w:rsidR="00D67BF8" w:rsidRPr="00230F35" w:rsidRDefault="00D67BF8" w:rsidP="002F467C">
            <w:pPr>
              <w:pStyle w:val="NormalWeb"/>
              <w:spacing w:before="0" w:beforeAutospacing="0" w:after="0" w:afterAutospacing="0"/>
              <w:ind w:right="-334"/>
              <w:rPr>
                <w:rFonts w:ascii="Arial" w:hAnsi="Arial" w:cs="Arial"/>
                <w:bCs/>
                <w:i/>
                <w:sz w:val="22"/>
                <w:szCs w:val="22"/>
              </w:rPr>
            </w:pPr>
          </w:p>
          <w:p w14:paraId="11B613CA" w14:textId="77777777" w:rsidR="00D67BF8" w:rsidRPr="00230F35" w:rsidRDefault="00E67719" w:rsidP="002F467C">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00D67BF8" w:rsidRPr="00230F35">
              <w:rPr>
                <w:rFonts w:ascii="Arial" w:hAnsi="Arial" w:cs="Arial"/>
                <w:b/>
                <w:bCs/>
                <w:sz w:val="22"/>
                <w:szCs w:val="22"/>
              </w:rPr>
              <w:t>arker 2</w:t>
            </w:r>
            <w:r>
              <w:rPr>
                <w:rFonts w:ascii="Arial" w:hAnsi="Arial" w:cs="Arial"/>
                <w:b/>
                <w:bCs/>
                <w:sz w:val="22"/>
                <w:szCs w:val="22"/>
              </w:rPr>
              <w:t>/M</w:t>
            </w:r>
            <w:r w:rsidR="00230F35" w:rsidRPr="00230F35">
              <w:rPr>
                <w:rFonts w:ascii="Arial" w:hAnsi="Arial" w:cs="Arial"/>
                <w:b/>
                <w:bCs/>
                <w:sz w:val="22"/>
                <w:szCs w:val="22"/>
              </w:rPr>
              <w:t>oderator</w:t>
            </w:r>
            <w:r w:rsidR="00D67BF8" w:rsidRPr="00230F35">
              <w:rPr>
                <w:rFonts w:ascii="Arial" w:hAnsi="Arial" w:cs="Arial"/>
                <w:b/>
                <w:bCs/>
                <w:sz w:val="22"/>
                <w:szCs w:val="22"/>
              </w:rPr>
              <w:t>:</w:t>
            </w:r>
          </w:p>
          <w:p w14:paraId="2946DB82" w14:textId="77777777" w:rsidR="00D67BF8" w:rsidRPr="00230F35" w:rsidRDefault="00D67BF8" w:rsidP="002F467C">
            <w:pPr>
              <w:pStyle w:val="NormalWeb"/>
              <w:spacing w:before="0" w:beforeAutospacing="0" w:after="0" w:afterAutospacing="0"/>
              <w:ind w:right="-334"/>
              <w:rPr>
                <w:rFonts w:ascii="Arial" w:hAnsi="Arial" w:cs="Arial"/>
                <w:b/>
                <w:bCs/>
                <w:sz w:val="22"/>
                <w:szCs w:val="22"/>
              </w:rPr>
            </w:pPr>
          </w:p>
          <w:p w14:paraId="06E5450A"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5997CC1D"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110FFD37"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6B699379"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tc>
      </w:tr>
      <w:tr w:rsidR="00D67BF8" w:rsidRPr="002F467C" w14:paraId="016C99EF" w14:textId="77777777" w:rsidTr="008D674F">
        <w:trPr>
          <w:trHeight w:val="720"/>
        </w:trPr>
        <w:tc>
          <w:tcPr>
            <w:tcW w:w="5211" w:type="dxa"/>
            <w:gridSpan w:val="2"/>
          </w:tcPr>
          <w:p w14:paraId="399196C2" w14:textId="77777777" w:rsidR="00B56E7B"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sidR="00B56E7B">
              <w:rPr>
                <w:rFonts w:ascii="Arial" w:hAnsi="Arial" w:cs="Arial"/>
                <w:bCs/>
                <w:sz w:val="22"/>
                <w:szCs w:val="22"/>
              </w:rPr>
              <w:t>:</w:t>
            </w:r>
          </w:p>
        </w:tc>
        <w:tc>
          <w:tcPr>
            <w:tcW w:w="3645" w:type="dxa"/>
            <w:gridSpan w:val="3"/>
          </w:tcPr>
          <w:p w14:paraId="5D4EC514"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230F35" w:rsidRPr="002F467C" w14:paraId="338B3770" w14:textId="77777777" w:rsidTr="009C1A08">
        <w:trPr>
          <w:trHeight w:val="720"/>
        </w:trPr>
        <w:tc>
          <w:tcPr>
            <w:tcW w:w="8856" w:type="dxa"/>
            <w:gridSpan w:val="5"/>
          </w:tcPr>
          <w:p w14:paraId="370EFFCB" w14:textId="77777777" w:rsidR="00230F35" w:rsidRPr="00B34964" w:rsidRDefault="00230F35" w:rsidP="00230F35">
            <w:pPr>
              <w:rPr>
                <w:rFonts w:ascii="Arial" w:hAnsi="Arial" w:cs="Arial"/>
                <w:b/>
                <w:sz w:val="22"/>
                <w:szCs w:val="22"/>
              </w:rPr>
            </w:pPr>
            <w:r w:rsidRPr="00B34964">
              <w:rPr>
                <w:rFonts w:ascii="Arial" w:hAnsi="Arial" w:cs="Arial"/>
                <w:b/>
                <w:sz w:val="22"/>
                <w:szCs w:val="22"/>
              </w:rPr>
              <w:t>External Examiner’s comments (if relevant)</w:t>
            </w:r>
          </w:p>
          <w:p w14:paraId="3FE9F23F"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1F72F646" w14:textId="77777777" w:rsidR="00B56E7B" w:rsidRPr="00230F35" w:rsidRDefault="00B56E7B" w:rsidP="002F467C">
            <w:pPr>
              <w:pStyle w:val="NormalWeb"/>
              <w:spacing w:before="0" w:beforeAutospacing="0" w:after="0" w:afterAutospacing="0"/>
              <w:ind w:right="-334"/>
              <w:rPr>
                <w:rFonts w:ascii="Arial" w:hAnsi="Arial" w:cs="Arial"/>
                <w:bCs/>
                <w:sz w:val="22"/>
                <w:szCs w:val="22"/>
              </w:rPr>
            </w:pPr>
          </w:p>
          <w:p w14:paraId="08CE6F91"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tc>
      </w:tr>
      <w:tr w:rsidR="00230F35" w:rsidRPr="002F467C" w14:paraId="7674F2A5" w14:textId="77777777" w:rsidTr="00230F35">
        <w:trPr>
          <w:trHeight w:val="720"/>
        </w:trPr>
        <w:tc>
          <w:tcPr>
            <w:tcW w:w="5211" w:type="dxa"/>
            <w:gridSpan w:val="2"/>
          </w:tcPr>
          <w:p w14:paraId="5DCC8FA7" w14:textId="77777777" w:rsidR="00230F35" w:rsidRPr="00230F35" w:rsidRDefault="00230F35" w:rsidP="00230F35">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006817C5" w14:textId="77777777" w:rsidR="00230F35" w:rsidRPr="00230F35" w:rsidRDefault="00230F35" w:rsidP="00230F35">
            <w:pPr>
              <w:rPr>
                <w:rFonts w:ascii="Arial" w:hAnsi="Arial" w:cs="Arial"/>
                <w:sz w:val="22"/>
                <w:szCs w:val="22"/>
              </w:rPr>
            </w:pPr>
            <w:r w:rsidRPr="00230F35">
              <w:rPr>
                <w:rFonts w:ascii="Arial" w:hAnsi="Arial" w:cs="Arial"/>
                <w:sz w:val="22"/>
                <w:szCs w:val="22"/>
              </w:rPr>
              <w:t>Date:</w:t>
            </w:r>
          </w:p>
        </w:tc>
      </w:tr>
    </w:tbl>
    <w:p w14:paraId="61CDCEAD" w14:textId="77777777" w:rsidR="00EC7546" w:rsidRPr="00D67BF8" w:rsidRDefault="00EC7546" w:rsidP="3737E55B">
      <w:pPr>
        <w:pStyle w:val="NormalWeb"/>
        <w:spacing w:before="0" w:beforeAutospacing="0" w:after="0" w:afterAutospacing="0"/>
        <w:ind w:right="-334"/>
        <w:rPr>
          <w:rFonts w:ascii="Trebuchet MS" w:hAnsi="Trebuchet MS" w:cs="Tahoma"/>
          <w:sz w:val="24"/>
          <w:szCs w:val="24"/>
        </w:rPr>
      </w:pPr>
    </w:p>
    <w:p w14:paraId="2B1C729D" w14:textId="4C0D1732" w:rsidR="3737E55B" w:rsidRDefault="3737E55B" w:rsidP="3737E55B">
      <w:pPr>
        <w:pStyle w:val="NormalWeb"/>
        <w:spacing w:before="0" w:beforeAutospacing="0" w:after="0" w:afterAutospacing="0"/>
        <w:ind w:right="-334"/>
        <w:rPr>
          <w:rFonts w:ascii="Trebuchet MS" w:hAnsi="Trebuchet MS" w:cs="Tahoma"/>
          <w:sz w:val="24"/>
          <w:szCs w:val="24"/>
        </w:rPr>
      </w:pPr>
    </w:p>
    <w:p w14:paraId="7F66573E" w14:textId="592C92B2" w:rsidR="3737E55B" w:rsidRDefault="3737E55B" w:rsidP="3737E55B">
      <w:pPr>
        <w:pStyle w:val="NormalWeb"/>
        <w:spacing w:before="0" w:beforeAutospacing="0" w:after="0" w:afterAutospacing="0"/>
        <w:ind w:right="-334"/>
        <w:rPr>
          <w:rFonts w:ascii="Trebuchet MS" w:hAnsi="Trebuchet MS" w:cs="Tahoma"/>
          <w:sz w:val="24"/>
          <w:szCs w:val="24"/>
        </w:rPr>
      </w:pPr>
    </w:p>
    <w:p w14:paraId="40D90A05" w14:textId="75139623" w:rsidR="3737E55B" w:rsidRDefault="3737E55B" w:rsidP="3737E55B">
      <w:pPr>
        <w:pStyle w:val="NormalWeb"/>
        <w:spacing w:before="0" w:beforeAutospacing="0" w:after="0" w:afterAutospacing="0"/>
        <w:ind w:right="-334"/>
        <w:rPr>
          <w:rFonts w:ascii="Trebuchet MS" w:hAnsi="Trebuchet MS" w:cs="Tahoma"/>
          <w:sz w:val="24"/>
          <w:szCs w:val="24"/>
        </w:rPr>
      </w:pPr>
    </w:p>
    <w:p w14:paraId="4C589866" w14:textId="46195BD3" w:rsidR="3737E55B" w:rsidRDefault="3737E55B" w:rsidP="3737E55B">
      <w:pPr>
        <w:pStyle w:val="NormalWeb"/>
        <w:spacing w:before="0" w:beforeAutospacing="0" w:after="0" w:afterAutospacing="0"/>
        <w:ind w:right="-334"/>
        <w:rPr>
          <w:rFonts w:ascii="Trebuchet MS" w:hAnsi="Trebuchet MS" w:cs="Tahoma"/>
          <w:sz w:val="24"/>
          <w:szCs w:val="24"/>
        </w:rPr>
      </w:pPr>
    </w:p>
    <w:p w14:paraId="77CF65E4" w14:textId="01E86FF2" w:rsidR="3737E55B" w:rsidRDefault="3737E55B" w:rsidP="3737E55B">
      <w:pPr>
        <w:pStyle w:val="NormalWeb"/>
        <w:spacing w:before="0" w:beforeAutospacing="0" w:after="0" w:afterAutospacing="0"/>
        <w:ind w:right="-334"/>
        <w:rPr>
          <w:rFonts w:ascii="Trebuchet MS" w:hAnsi="Trebuchet MS" w:cs="Tahoma"/>
          <w:sz w:val="24"/>
          <w:szCs w:val="24"/>
        </w:rPr>
      </w:pPr>
    </w:p>
    <w:p w14:paraId="0276E9CB" w14:textId="11C14F0F" w:rsidR="3737E55B" w:rsidRDefault="3737E55B" w:rsidP="3737E55B">
      <w:pPr>
        <w:pStyle w:val="NormalWeb"/>
        <w:spacing w:before="0" w:beforeAutospacing="0" w:after="0" w:afterAutospacing="0"/>
        <w:ind w:right="-334"/>
        <w:rPr>
          <w:rFonts w:ascii="Trebuchet MS" w:hAnsi="Trebuchet MS" w:cs="Tahoma"/>
          <w:sz w:val="24"/>
          <w:szCs w:val="24"/>
        </w:rPr>
      </w:pPr>
    </w:p>
    <w:p w14:paraId="7C752518" w14:textId="54015CB1" w:rsidR="3737E55B" w:rsidRDefault="3737E55B" w:rsidP="3737E55B">
      <w:pPr>
        <w:pStyle w:val="NormalWeb"/>
        <w:spacing w:before="0" w:beforeAutospacing="0" w:after="0" w:afterAutospacing="0"/>
        <w:ind w:right="-334"/>
        <w:rPr>
          <w:rFonts w:ascii="Trebuchet MS" w:hAnsi="Trebuchet MS" w:cs="Tahoma"/>
          <w:sz w:val="24"/>
          <w:szCs w:val="24"/>
        </w:rPr>
      </w:pPr>
    </w:p>
    <w:p w14:paraId="788631EA" w14:textId="204E86A6" w:rsidR="3737E55B" w:rsidRDefault="3737E55B" w:rsidP="3737E55B">
      <w:pPr>
        <w:pStyle w:val="NormalWeb"/>
        <w:spacing w:before="0" w:beforeAutospacing="0" w:after="0" w:afterAutospacing="0"/>
        <w:ind w:right="-334"/>
        <w:rPr>
          <w:rFonts w:ascii="Trebuchet MS" w:hAnsi="Trebuchet MS" w:cs="Tahoma"/>
          <w:sz w:val="24"/>
          <w:szCs w:val="24"/>
        </w:rPr>
      </w:pPr>
    </w:p>
    <w:p w14:paraId="17E58621" w14:textId="15BFA42C" w:rsidR="3737E55B" w:rsidRDefault="3737E55B" w:rsidP="3737E55B">
      <w:pPr>
        <w:pStyle w:val="NormalWeb"/>
        <w:spacing w:before="0" w:beforeAutospacing="0" w:after="0" w:afterAutospacing="0"/>
        <w:ind w:right="-334"/>
        <w:rPr>
          <w:rFonts w:ascii="Trebuchet MS" w:hAnsi="Trebuchet MS" w:cs="Tahoma"/>
          <w:sz w:val="24"/>
          <w:szCs w:val="24"/>
        </w:rPr>
      </w:pPr>
    </w:p>
    <w:p w14:paraId="5C3ADC76" w14:textId="22E9A160" w:rsidR="3737E55B" w:rsidRDefault="3737E55B" w:rsidP="3737E55B">
      <w:pPr>
        <w:pStyle w:val="NormalWeb"/>
        <w:spacing w:before="0" w:beforeAutospacing="0" w:after="0" w:afterAutospacing="0"/>
        <w:ind w:right="-334"/>
        <w:rPr>
          <w:rFonts w:ascii="Trebuchet MS" w:hAnsi="Trebuchet MS" w:cs="Tahoma"/>
          <w:sz w:val="24"/>
          <w:szCs w:val="24"/>
        </w:rPr>
      </w:pPr>
    </w:p>
    <w:p w14:paraId="24A8981F" w14:textId="0B26D512" w:rsidR="3737E55B" w:rsidRDefault="3737E55B" w:rsidP="3737E55B">
      <w:pPr>
        <w:pStyle w:val="NormalWeb"/>
        <w:spacing w:before="0" w:beforeAutospacing="0" w:after="0" w:afterAutospacing="0"/>
        <w:ind w:right="-334"/>
        <w:rPr>
          <w:rFonts w:ascii="Trebuchet MS" w:hAnsi="Trebuchet MS" w:cs="Tahoma"/>
          <w:sz w:val="24"/>
          <w:szCs w:val="24"/>
        </w:rPr>
      </w:pPr>
    </w:p>
    <w:p w14:paraId="6E4F5B8B" w14:textId="1501A9C7" w:rsidR="3737E55B" w:rsidRDefault="3737E55B" w:rsidP="3737E55B">
      <w:pPr>
        <w:pStyle w:val="NormalWeb"/>
        <w:spacing w:before="0" w:beforeAutospacing="0" w:after="0" w:afterAutospacing="0"/>
        <w:ind w:right="-334"/>
        <w:rPr>
          <w:rFonts w:ascii="Calibri" w:eastAsia="Calibri" w:hAnsi="Calibri" w:cs="Calibri"/>
          <w:sz w:val="22"/>
          <w:szCs w:val="22"/>
        </w:rPr>
      </w:pPr>
      <w:r w:rsidRPr="3737E55B">
        <w:rPr>
          <w:rFonts w:ascii="Calibri" w:eastAsia="Calibri" w:hAnsi="Calibri" w:cs="Calibri"/>
          <w:b/>
          <w:bCs/>
          <w:sz w:val="22"/>
          <w:szCs w:val="22"/>
          <w:u w:val="single"/>
        </w:rPr>
        <w:t>In light of the texts you have read for this module, what for the Anglo Saxons constitutes a heroic figure?</w:t>
      </w:r>
    </w:p>
    <w:p w14:paraId="5864A184" w14:textId="68C31992" w:rsidR="3737E55B" w:rsidRDefault="3737E55B" w:rsidP="3737E55B">
      <w:pPr>
        <w:spacing w:after="160" w:line="259" w:lineRule="auto"/>
        <w:rPr>
          <w:rFonts w:ascii="Calibri" w:eastAsia="Calibri" w:hAnsi="Calibri" w:cs="Calibri"/>
          <w:sz w:val="22"/>
          <w:szCs w:val="22"/>
        </w:rPr>
      </w:pPr>
    </w:p>
    <w:p w14:paraId="346A864C" w14:textId="2B7992F1" w:rsidR="3737E55B" w:rsidRDefault="3737E55B" w:rsidP="00331B2D">
      <w:pPr>
        <w:spacing w:after="160" w:line="480" w:lineRule="auto"/>
        <w:rPr>
          <w:rFonts w:ascii="Calibri" w:eastAsia="Calibri" w:hAnsi="Calibri" w:cs="Calibri"/>
          <w:sz w:val="22"/>
          <w:szCs w:val="22"/>
        </w:rPr>
      </w:pPr>
      <w:r w:rsidRPr="3737E55B">
        <w:rPr>
          <w:rFonts w:ascii="Calibri" w:eastAsia="Calibri" w:hAnsi="Calibri" w:cs="Calibri"/>
          <w:sz w:val="22"/>
          <w:szCs w:val="22"/>
        </w:rPr>
        <w:t>The heroic figure is defined as a “created hero” who embodie</w:t>
      </w:r>
      <w:r w:rsidR="00331B2D">
        <w:rPr>
          <w:rFonts w:ascii="Calibri" w:eastAsia="Calibri" w:hAnsi="Calibri" w:cs="Calibri"/>
          <w:sz w:val="22"/>
          <w:szCs w:val="22"/>
        </w:rPr>
        <w:t>s</w:t>
      </w:r>
      <w:r w:rsidRPr="3737E55B">
        <w:rPr>
          <w:rFonts w:ascii="Calibri" w:eastAsia="Calibri" w:hAnsi="Calibri" w:cs="Calibri"/>
          <w:sz w:val="22"/>
          <w:szCs w:val="22"/>
        </w:rPr>
        <w:t xml:space="preserve"> the values of Anglo-Saxon warrior culture. Scholars have argued to what degree these figures are fictional or historical, or whether they are completely within the imagination of the authors. The “good” heroic figure is designed </w:t>
      </w:r>
      <w:r w:rsidR="00331B2D">
        <w:rPr>
          <w:rFonts w:ascii="Calibri" w:eastAsia="Calibri" w:hAnsi="Calibri" w:cs="Calibri"/>
          <w:sz w:val="22"/>
          <w:szCs w:val="22"/>
        </w:rPr>
        <w:t>to illustrate</w:t>
      </w:r>
      <w:r w:rsidRPr="3737E55B">
        <w:rPr>
          <w:rFonts w:ascii="Calibri" w:eastAsia="Calibri" w:hAnsi="Calibri" w:cs="Calibri"/>
          <w:sz w:val="22"/>
          <w:szCs w:val="22"/>
        </w:rPr>
        <w:t xml:space="preserve"> a great leader and manifests the attributes which the Anglo-Saxon readers would admire and wish to emulate. They </w:t>
      </w:r>
      <w:r w:rsidR="00331B2D">
        <w:rPr>
          <w:rFonts w:ascii="Calibri" w:eastAsia="Calibri" w:hAnsi="Calibri" w:cs="Calibri"/>
          <w:sz w:val="22"/>
          <w:szCs w:val="22"/>
        </w:rPr>
        <w:t>symbolise</w:t>
      </w:r>
      <w:r w:rsidR="00331B2D" w:rsidRPr="3737E55B">
        <w:rPr>
          <w:rFonts w:ascii="Calibri" w:eastAsia="Calibri" w:hAnsi="Calibri" w:cs="Calibri"/>
          <w:sz w:val="22"/>
          <w:szCs w:val="22"/>
        </w:rPr>
        <w:t xml:space="preserve"> </w:t>
      </w:r>
      <w:r w:rsidRPr="3737E55B">
        <w:rPr>
          <w:rFonts w:ascii="Calibri" w:eastAsia="Calibri" w:hAnsi="Calibri" w:cs="Calibri"/>
          <w:sz w:val="22"/>
          <w:szCs w:val="22"/>
        </w:rPr>
        <w:t xml:space="preserve">an important part of what is the heroic culture, although remain firmly in the Germanic tradition of hero-making.  The heroic figures are centred around the Germanic construct of the </w:t>
      </w:r>
      <w:r w:rsidRPr="3737E55B">
        <w:rPr>
          <w:rFonts w:ascii="Calibri" w:eastAsia="Calibri" w:hAnsi="Calibri" w:cs="Calibri"/>
          <w:i/>
          <w:iCs/>
          <w:sz w:val="22"/>
          <w:szCs w:val="22"/>
        </w:rPr>
        <w:t>comitatus,</w:t>
      </w:r>
      <w:r w:rsidRPr="3737E55B">
        <w:rPr>
          <w:rFonts w:ascii="Calibri" w:eastAsia="Calibri" w:hAnsi="Calibri" w:cs="Calibri"/>
          <w:sz w:val="22"/>
          <w:szCs w:val="22"/>
        </w:rPr>
        <w:t xml:space="preserve"> a tradition involving the exchange between a lord and his vassals. Constructed as a feudal system where kings ruled under the consultation of a warrior, creating a powerful </w:t>
      </w:r>
      <w:r w:rsidR="00EF453D">
        <w:rPr>
          <w:rFonts w:ascii="Calibri" w:eastAsia="Calibri" w:hAnsi="Calibri" w:cs="Calibri"/>
          <w:sz w:val="22"/>
          <w:szCs w:val="22"/>
        </w:rPr>
        <w:t>W</w:t>
      </w:r>
      <w:r w:rsidRPr="3737E55B">
        <w:rPr>
          <w:rFonts w:ascii="Calibri" w:eastAsia="Calibri" w:hAnsi="Calibri" w:cs="Calibri"/>
          <w:sz w:val="22"/>
          <w:szCs w:val="22"/>
        </w:rPr>
        <w:t xml:space="preserve">arband. The concept of the </w:t>
      </w:r>
      <w:r w:rsidRPr="3737E55B">
        <w:rPr>
          <w:rFonts w:ascii="Calibri" w:eastAsia="Calibri" w:hAnsi="Calibri" w:cs="Calibri"/>
          <w:i/>
          <w:iCs/>
          <w:sz w:val="22"/>
          <w:szCs w:val="22"/>
        </w:rPr>
        <w:t>comitatus</w:t>
      </w:r>
      <w:r w:rsidRPr="3737E55B">
        <w:rPr>
          <w:rFonts w:ascii="Calibri" w:eastAsia="Calibri" w:hAnsi="Calibri" w:cs="Calibri"/>
          <w:sz w:val="22"/>
          <w:szCs w:val="22"/>
        </w:rPr>
        <w:t xml:space="preserve"> was remarked on by Tacitus in </w:t>
      </w:r>
      <w:r w:rsidRPr="3737E55B">
        <w:rPr>
          <w:rFonts w:ascii="Calibri" w:eastAsia="Calibri" w:hAnsi="Calibri" w:cs="Calibri"/>
          <w:i/>
          <w:iCs/>
          <w:sz w:val="22"/>
          <w:szCs w:val="22"/>
        </w:rPr>
        <w:t xml:space="preserve">Germania: </w:t>
      </w:r>
      <w:r w:rsidRPr="3737E55B">
        <w:rPr>
          <w:rFonts w:ascii="Calibri" w:eastAsia="Calibri" w:hAnsi="Calibri" w:cs="Calibri"/>
          <w:sz w:val="22"/>
          <w:szCs w:val="22"/>
        </w:rPr>
        <w:t xml:space="preserve"> </w:t>
      </w:r>
    </w:p>
    <w:p w14:paraId="3EFE004E" w14:textId="7B6F0F1E" w:rsidR="3737E55B" w:rsidRDefault="00331B2D" w:rsidP="00331B2D">
      <w:pPr>
        <w:spacing w:after="160" w:line="480" w:lineRule="auto"/>
        <w:ind w:left="1134" w:right="1134"/>
        <w:rPr>
          <w:rFonts w:ascii="Calibri" w:eastAsia="Calibri" w:hAnsi="Calibri" w:cs="Calibri"/>
          <w:sz w:val="22"/>
          <w:szCs w:val="22"/>
        </w:rPr>
      </w:pPr>
      <w:r>
        <w:rPr>
          <w:rFonts w:ascii="Calibri" w:eastAsia="Calibri" w:hAnsi="Calibri" w:cs="Calibri"/>
          <w:sz w:val="22"/>
          <w:szCs w:val="22"/>
        </w:rPr>
        <w:t>T</w:t>
      </w:r>
      <w:r w:rsidR="3737E55B" w:rsidRPr="3737E55B">
        <w:rPr>
          <w:rFonts w:ascii="Calibri" w:eastAsia="Calibri" w:hAnsi="Calibri" w:cs="Calibri"/>
          <w:sz w:val="22"/>
          <w:szCs w:val="22"/>
        </w:rPr>
        <w:t>o defend and protect him and to give him the credit for one’s own deed of valour are the most solemn obligations of their oath of allegiance. The chiefs fight for victory, their followers for their chief</w:t>
      </w:r>
      <w:r w:rsidR="0081298A">
        <w:rPr>
          <w:rStyle w:val="FootnoteReference"/>
          <w:rFonts w:ascii="Calibri" w:eastAsia="Calibri" w:hAnsi="Calibri" w:cs="Calibri"/>
          <w:sz w:val="22"/>
          <w:szCs w:val="22"/>
        </w:rPr>
        <w:footnoteReference w:id="1"/>
      </w:r>
      <w:r w:rsidR="3737E55B" w:rsidRPr="3737E55B">
        <w:rPr>
          <w:rFonts w:ascii="Calibri" w:eastAsia="Calibri" w:hAnsi="Calibri" w:cs="Calibri"/>
          <w:sz w:val="22"/>
          <w:szCs w:val="22"/>
        </w:rPr>
        <w:t xml:space="preserve"> </w:t>
      </w:r>
    </w:p>
    <w:p w14:paraId="59F5BB9B" w14:textId="7206FEB1" w:rsidR="3737E55B" w:rsidRDefault="3737E55B" w:rsidP="00331B2D">
      <w:pPr>
        <w:spacing w:after="160" w:line="480" w:lineRule="auto"/>
        <w:rPr>
          <w:rFonts w:ascii="Calibri" w:eastAsia="Calibri" w:hAnsi="Calibri" w:cs="Calibri"/>
          <w:sz w:val="22"/>
          <w:szCs w:val="22"/>
        </w:rPr>
      </w:pPr>
      <w:r w:rsidRPr="3737E55B">
        <w:rPr>
          <w:rFonts w:ascii="Calibri" w:eastAsia="Calibri" w:hAnsi="Calibri" w:cs="Calibri"/>
          <w:i/>
          <w:iCs/>
          <w:sz w:val="22"/>
          <w:szCs w:val="22"/>
        </w:rPr>
        <w:t>Beowulf</w:t>
      </w:r>
      <w:r w:rsidRPr="3737E55B">
        <w:rPr>
          <w:rFonts w:ascii="Calibri" w:eastAsia="Calibri" w:hAnsi="Calibri" w:cs="Calibri"/>
          <w:sz w:val="22"/>
          <w:szCs w:val="22"/>
        </w:rPr>
        <w:t xml:space="preserve"> the most famous of the Anglo-Saxon Heroics is largely considered to represent a fictional character with a fictional </w:t>
      </w:r>
      <w:r w:rsidRPr="3737E55B">
        <w:rPr>
          <w:rFonts w:ascii="Calibri" w:eastAsia="Calibri" w:hAnsi="Calibri" w:cs="Calibri"/>
          <w:i/>
          <w:iCs/>
          <w:sz w:val="22"/>
          <w:szCs w:val="22"/>
        </w:rPr>
        <w:t>comitatus</w:t>
      </w:r>
      <w:r w:rsidR="00331B2D">
        <w:rPr>
          <w:rFonts w:ascii="Calibri" w:eastAsia="Calibri" w:hAnsi="Calibri" w:cs="Calibri"/>
          <w:sz w:val="22"/>
          <w:szCs w:val="22"/>
        </w:rPr>
        <w:t>. Importantly</w:t>
      </w:r>
      <w:r w:rsidR="005A3195">
        <w:rPr>
          <w:rFonts w:ascii="Calibri" w:eastAsia="Calibri" w:hAnsi="Calibri" w:cs="Calibri"/>
          <w:sz w:val="22"/>
          <w:szCs w:val="22"/>
        </w:rPr>
        <w:t>,</w:t>
      </w:r>
      <w:r w:rsidR="00331B2D">
        <w:rPr>
          <w:rFonts w:ascii="Calibri" w:eastAsia="Calibri" w:hAnsi="Calibri" w:cs="Calibri"/>
          <w:sz w:val="22"/>
          <w:szCs w:val="22"/>
        </w:rPr>
        <w:t xml:space="preserve"> t</w:t>
      </w:r>
      <w:r w:rsidRPr="3737E55B">
        <w:rPr>
          <w:rFonts w:ascii="Calibri" w:eastAsia="Calibri" w:hAnsi="Calibri" w:cs="Calibri"/>
          <w:sz w:val="22"/>
          <w:szCs w:val="22"/>
        </w:rPr>
        <w:t xml:space="preserve">he idea of the </w:t>
      </w:r>
      <w:r w:rsidRPr="3737E55B">
        <w:rPr>
          <w:rFonts w:ascii="Calibri" w:eastAsia="Calibri" w:hAnsi="Calibri" w:cs="Calibri"/>
          <w:i/>
          <w:iCs/>
          <w:sz w:val="22"/>
          <w:szCs w:val="22"/>
        </w:rPr>
        <w:t>comitatus</w:t>
      </w:r>
      <w:r w:rsidRPr="3737E55B">
        <w:rPr>
          <w:rFonts w:ascii="Calibri" w:eastAsia="Calibri" w:hAnsi="Calibri" w:cs="Calibri"/>
          <w:sz w:val="22"/>
          <w:szCs w:val="22"/>
        </w:rPr>
        <w:t xml:space="preserve"> in a </w:t>
      </w:r>
      <w:r w:rsidR="00331B2D">
        <w:rPr>
          <w:rFonts w:ascii="Calibri" w:eastAsia="Calibri" w:hAnsi="Calibri" w:cs="Calibri"/>
          <w:sz w:val="22"/>
          <w:szCs w:val="22"/>
        </w:rPr>
        <w:t>significant</w:t>
      </w:r>
      <w:r w:rsidRPr="3737E55B">
        <w:rPr>
          <w:rFonts w:ascii="Calibri" w:eastAsia="Calibri" w:hAnsi="Calibri" w:cs="Calibri"/>
          <w:sz w:val="22"/>
          <w:szCs w:val="22"/>
        </w:rPr>
        <w:t xml:space="preserve"> way. The vassals would pledge military service to the lord in exchange for rewards in the form of land, compensation</w:t>
      </w:r>
      <w:r w:rsidR="00EF453D">
        <w:rPr>
          <w:rFonts w:ascii="Calibri" w:eastAsia="Calibri" w:hAnsi="Calibri" w:cs="Calibri"/>
          <w:sz w:val="22"/>
          <w:szCs w:val="22"/>
        </w:rPr>
        <w:t>,</w:t>
      </w:r>
      <w:r w:rsidRPr="3737E55B">
        <w:rPr>
          <w:rFonts w:ascii="Calibri" w:eastAsia="Calibri" w:hAnsi="Calibri" w:cs="Calibri"/>
          <w:sz w:val="22"/>
          <w:szCs w:val="22"/>
        </w:rPr>
        <w:t xml:space="preserve"> and privileges. The arrival of Beowulf is presented as opportune, where he comes to the help of the Danes to rid them of the monster Grendel. The king of the Danes, providing goods on the guarantee that his new champion will survive. Thus, </w:t>
      </w:r>
      <w:r w:rsidRPr="3737E55B">
        <w:rPr>
          <w:rFonts w:ascii="Calibri" w:eastAsia="Calibri" w:hAnsi="Calibri" w:cs="Calibri"/>
          <w:sz w:val="22"/>
          <w:szCs w:val="22"/>
        </w:rPr>
        <w:lastRenderedPageBreak/>
        <w:t xml:space="preserve">providing a </w:t>
      </w:r>
      <w:r w:rsidR="005A3195">
        <w:rPr>
          <w:rFonts w:ascii="Calibri" w:eastAsia="Calibri" w:hAnsi="Calibri" w:cs="Calibri"/>
          <w:sz w:val="22"/>
          <w:szCs w:val="22"/>
        </w:rPr>
        <w:t xml:space="preserve">notable </w:t>
      </w:r>
      <w:r w:rsidRPr="3737E55B">
        <w:rPr>
          <w:rFonts w:ascii="Calibri" w:eastAsia="Calibri" w:hAnsi="Calibri" w:cs="Calibri"/>
          <w:sz w:val="22"/>
          <w:szCs w:val="22"/>
        </w:rPr>
        <w:t xml:space="preserve">view of the </w:t>
      </w:r>
      <w:r w:rsidRPr="3737E55B">
        <w:rPr>
          <w:rFonts w:ascii="Calibri" w:eastAsia="Calibri" w:hAnsi="Calibri" w:cs="Calibri"/>
          <w:i/>
          <w:iCs/>
          <w:sz w:val="22"/>
          <w:szCs w:val="22"/>
        </w:rPr>
        <w:t>comitatus</w:t>
      </w:r>
      <w:r w:rsidRPr="3737E55B">
        <w:rPr>
          <w:rFonts w:ascii="Calibri" w:eastAsia="Calibri" w:hAnsi="Calibri" w:cs="Calibri"/>
          <w:sz w:val="22"/>
          <w:szCs w:val="22"/>
        </w:rPr>
        <w:t xml:space="preserve"> structure, importantly when the hall is destroyed</w:t>
      </w:r>
      <w:r w:rsidR="006601B4">
        <w:rPr>
          <w:rFonts w:ascii="Calibri" w:eastAsia="Calibri" w:hAnsi="Calibri" w:cs="Calibri"/>
          <w:sz w:val="22"/>
          <w:szCs w:val="22"/>
        </w:rPr>
        <w:t>,</w:t>
      </w:r>
      <w:r w:rsidRPr="3737E55B">
        <w:rPr>
          <w:rFonts w:ascii="Calibri" w:eastAsia="Calibri" w:hAnsi="Calibri" w:cs="Calibri"/>
          <w:sz w:val="22"/>
          <w:szCs w:val="22"/>
        </w:rPr>
        <w:t xml:space="preserve"> taking with it the values of Saxon society, but also the presentation of cowardice and heroism.</w:t>
      </w:r>
    </w:p>
    <w:p w14:paraId="7431F512" w14:textId="5EB9DEBB" w:rsidR="3737E55B" w:rsidRDefault="3737E55B" w:rsidP="00675835">
      <w:pPr>
        <w:spacing w:after="160" w:line="480" w:lineRule="auto"/>
        <w:rPr>
          <w:rFonts w:ascii="Calibri" w:eastAsia="Calibri" w:hAnsi="Calibri" w:cs="Calibri"/>
          <w:sz w:val="22"/>
          <w:szCs w:val="22"/>
        </w:rPr>
      </w:pPr>
      <w:r w:rsidRPr="3737E55B">
        <w:rPr>
          <w:rFonts w:ascii="Calibri" w:eastAsia="Calibri" w:hAnsi="Calibri" w:cs="Calibri"/>
          <w:sz w:val="22"/>
          <w:szCs w:val="22"/>
        </w:rPr>
        <w:t xml:space="preserve">In Anglo-Saxon literature, loyalty was designed to demonstrate the role model for the elite warrior, inserting a history of a pre-Christian past, rooted in </w:t>
      </w:r>
      <w:r w:rsidR="00EF453D">
        <w:rPr>
          <w:rFonts w:ascii="Calibri" w:eastAsia="Calibri" w:hAnsi="Calibri" w:cs="Calibri"/>
          <w:sz w:val="22"/>
          <w:szCs w:val="22"/>
        </w:rPr>
        <w:t xml:space="preserve">the </w:t>
      </w:r>
      <w:r w:rsidRPr="3737E55B">
        <w:rPr>
          <w:rFonts w:ascii="Calibri" w:eastAsia="Calibri" w:hAnsi="Calibri" w:cs="Calibri"/>
          <w:sz w:val="22"/>
          <w:szCs w:val="22"/>
        </w:rPr>
        <w:t>Germanic tradition</w:t>
      </w:r>
      <w:r w:rsidR="0009611B">
        <w:rPr>
          <w:rFonts w:ascii="Calibri" w:eastAsia="Calibri" w:hAnsi="Calibri" w:cs="Calibri"/>
          <w:sz w:val="22"/>
          <w:szCs w:val="22"/>
        </w:rPr>
        <w:t>.</w:t>
      </w:r>
      <w:r w:rsidR="00C46B7A">
        <w:rPr>
          <w:rStyle w:val="FootnoteReference"/>
          <w:rFonts w:ascii="Calibri" w:eastAsia="Calibri" w:hAnsi="Calibri" w:cs="Calibri"/>
          <w:sz w:val="22"/>
          <w:szCs w:val="22"/>
        </w:rPr>
        <w:footnoteReference w:id="2"/>
      </w:r>
      <w:r w:rsidRPr="3737E55B">
        <w:rPr>
          <w:rFonts w:ascii="Calibri" w:eastAsia="Calibri" w:hAnsi="Calibri" w:cs="Calibri"/>
          <w:sz w:val="22"/>
          <w:szCs w:val="22"/>
        </w:rPr>
        <w:t xml:space="preserve"> </w:t>
      </w:r>
      <w:r w:rsidRPr="0009611B">
        <w:rPr>
          <w:rFonts w:ascii="Calibri" w:eastAsia="Calibri" w:hAnsi="Calibri" w:cs="Calibri"/>
          <w:i/>
          <w:iCs/>
          <w:sz w:val="22"/>
          <w:szCs w:val="22"/>
        </w:rPr>
        <w:t>The Battle of Maldon</w:t>
      </w:r>
      <w:r w:rsidRPr="3737E55B">
        <w:rPr>
          <w:rFonts w:ascii="Calibri" w:eastAsia="Calibri" w:hAnsi="Calibri" w:cs="Calibri"/>
          <w:sz w:val="22"/>
          <w:szCs w:val="22"/>
        </w:rPr>
        <w:t xml:space="preserve"> </w:t>
      </w:r>
      <w:r w:rsidR="0009611B">
        <w:rPr>
          <w:rFonts w:ascii="Calibri" w:eastAsia="Calibri" w:hAnsi="Calibri" w:cs="Calibri"/>
          <w:sz w:val="22"/>
          <w:szCs w:val="22"/>
        </w:rPr>
        <w:t xml:space="preserve">written </w:t>
      </w:r>
      <w:r w:rsidR="00EF453D">
        <w:rPr>
          <w:rFonts w:ascii="Calibri" w:eastAsia="Calibri" w:hAnsi="Calibri" w:cs="Calibri"/>
          <w:sz w:val="22"/>
          <w:szCs w:val="22"/>
        </w:rPr>
        <w:t>like</w:t>
      </w:r>
      <w:r w:rsidRPr="3737E55B">
        <w:rPr>
          <w:rFonts w:ascii="Calibri" w:eastAsia="Calibri" w:hAnsi="Calibri" w:cs="Calibri"/>
          <w:sz w:val="22"/>
          <w:szCs w:val="22"/>
        </w:rPr>
        <w:t xml:space="preserve"> a historical poem, </w:t>
      </w:r>
      <w:r w:rsidR="00675835">
        <w:rPr>
          <w:rFonts w:ascii="Calibri" w:eastAsia="Calibri" w:hAnsi="Calibri" w:cs="Calibri"/>
          <w:sz w:val="22"/>
          <w:szCs w:val="22"/>
        </w:rPr>
        <w:t xml:space="preserve">exploring the conflict between the Anglo-Saxons and the Vikings, </w:t>
      </w:r>
      <w:r w:rsidRPr="3737E55B">
        <w:rPr>
          <w:rFonts w:ascii="Calibri" w:eastAsia="Calibri" w:hAnsi="Calibri" w:cs="Calibri"/>
          <w:sz w:val="22"/>
          <w:szCs w:val="22"/>
        </w:rPr>
        <w:t>is also a piece of “imaginative literature”</w:t>
      </w:r>
      <w:r w:rsidR="0009611B">
        <w:rPr>
          <w:rFonts w:ascii="Calibri" w:eastAsia="Calibri" w:hAnsi="Calibri" w:cs="Calibri"/>
          <w:sz w:val="22"/>
          <w:szCs w:val="22"/>
        </w:rPr>
        <w:t>.</w:t>
      </w:r>
      <w:r w:rsidR="00C46B7A">
        <w:rPr>
          <w:rStyle w:val="FootnoteReference"/>
          <w:rFonts w:ascii="Calibri" w:eastAsia="Calibri" w:hAnsi="Calibri" w:cs="Calibri"/>
          <w:sz w:val="22"/>
          <w:szCs w:val="22"/>
        </w:rPr>
        <w:footnoteReference w:id="3"/>
      </w:r>
      <w:r w:rsidRPr="3737E55B">
        <w:rPr>
          <w:rFonts w:ascii="Calibri" w:eastAsia="Calibri" w:hAnsi="Calibri" w:cs="Calibri"/>
          <w:sz w:val="22"/>
          <w:szCs w:val="22"/>
        </w:rPr>
        <w:t xml:space="preserve"> </w:t>
      </w:r>
      <w:r w:rsidR="00675835">
        <w:rPr>
          <w:rFonts w:ascii="Calibri" w:eastAsia="Calibri" w:hAnsi="Calibri" w:cs="Calibri"/>
          <w:sz w:val="22"/>
          <w:szCs w:val="22"/>
        </w:rPr>
        <w:t xml:space="preserve">The poem representing a historic figure, although </w:t>
      </w:r>
      <w:r w:rsidR="00C049F2">
        <w:rPr>
          <w:rFonts w:ascii="Calibri" w:eastAsia="Calibri" w:hAnsi="Calibri" w:cs="Calibri"/>
          <w:sz w:val="22"/>
          <w:szCs w:val="22"/>
        </w:rPr>
        <w:t xml:space="preserve">scholars suggest it is fictitious, the authenticity </w:t>
      </w:r>
      <w:r w:rsidR="00675835">
        <w:rPr>
          <w:rFonts w:ascii="Calibri" w:eastAsia="Calibri" w:hAnsi="Calibri" w:cs="Calibri"/>
          <w:sz w:val="22"/>
          <w:szCs w:val="22"/>
        </w:rPr>
        <w:t xml:space="preserve">can be easily </w:t>
      </w:r>
      <w:r w:rsidRPr="3737E55B">
        <w:rPr>
          <w:rFonts w:ascii="Calibri" w:eastAsia="Calibri" w:hAnsi="Calibri" w:cs="Calibri"/>
          <w:sz w:val="22"/>
          <w:szCs w:val="22"/>
        </w:rPr>
        <w:t xml:space="preserve">sourced in archaeological evidence across Britain, including the 1939 Sutton Hoo Ship burial and in 2003 the Prittlewell Anglo Saxon Royal Burial. Therefore, how did the Anglo-Saxons understand the heroic figure? What do the literary sources tell us about the warrior culture and the idea of loyalty and the </w:t>
      </w:r>
      <w:r w:rsidRPr="3737E55B">
        <w:rPr>
          <w:rFonts w:ascii="Calibri" w:eastAsia="Calibri" w:hAnsi="Calibri" w:cs="Calibri"/>
          <w:i/>
          <w:iCs/>
          <w:sz w:val="22"/>
          <w:szCs w:val="22"/>
        </w:rPr>
        <w:t>comitatus</w:t>
      </w:r>
      <w:r w:rsidRPr="3737E55B">
        <w:rPr>
          <w:rFonts w:ascii="Calibri" w:eastAsia="Calibri" w:hAnsi="Calibri" w:cs="Calibri"/>
          <w:sz w:val="22"/>
          <w:szCs w:val="22"/>
        </w:rPr>
        <w:t>? Th</w:t>
      </w:r>
      <w:r w:rsidR="00C049F2">
        <w:rPr>
          <w:rFonts w:ascii="Calibri" w:eastAsia="Calibri" w:hAnsi="Calibri" w:cs="Calibri"/>
          <w:sz w:val="22"/>
          <w:szCs w:val="22"/>
        </w:rPr>
        <w:t>is</w:t>
      </w:r>
      <w:r w:rsidRPr="3737E55B">
        <w:rPr>
          <w:rFonts w:ascii="Calibri" w:eastAsia="Calibri" w:hAnsi="Calibri" w:cs="Calibri"/>
          <w:sz w:val="22"/>
          <w:szCs w:val="22"/>
        </w:rPr>
        <w:t xml:space="preserve"> essay aims to answer the question, what constituted as a heroic figure. To achieve this, it will form a close reading of the Anglo-Saxon Heroics. Firstly, it will explore “honour and the reciprocal obligation” through the study of treasure-giving, enhancing a warrior’s reputation, but also the tenuous relationship which could lead to betrayal. Secondly, examining the “attributes of the role-model”, acting as a paradigm of behaviour through the concept of strength. Thirdly, assessing “victory” as a religious symbol of leadership in the form of a Christian knight. Furthermore, acknowledging the binding of the </w:t>
      </w:r>
      <w:r w:rsidRPr="3737E55B">
        <w:rPr>
          <w:rFonts w:ascii="Calibri" w:eastAsia="Calibri" w:hAnsi="Calibri" w:cs="Calibri"/>
          <w:i/>
          <w:iCs/>
          <w:sz w:val="22"/>
          <w:szCs w:val="22"/>
        </w:rPr>
        <w:t>comitatus</w:t>
      </w:r>
      <w:r w:rsidRPr="3737E55B">
        <w:rPr>
          <w:rFonts w:ascii="Calibri" w:eastAsia="Calibri" w:hAnsi="Calibri" w:cs="Calibri"/>
          <w:sz w:val="22"/>
          <w:szCs w:val="22"/>
        </w:rPr>
        <w:t xml:space="preserve"> with the image of the heroic figure as understood in its Anglo-Saxon context. </w:t>
      </w:r>
    </w:p>
    <w:p w14:paraId="24D5EC07" w14:textId="6F645B29" w:rsidR="3737E55B" w:rsidRDefault="3737E55B" w:rsidP="0009611B">
      <w:pPr>
        <w:spacing w:after="160" w:line="259" w:lineRule="auto"/>
        <w:rPr>
          <w:rFonts w:ascii="Calibri" w:eastAsia="Calibri" w:hAnsi="Calibri" w:cs="Calibri"/>
          <w:b/>
          <w:bCs/>
          <w:sz w:val="22"/>
          <w:szCs w:val="22"/>
        </w:rPr>
      </w:pPr>
      <w:r w:rsidRPr="3737E55B">
        <w:rPr>
          <w:rFonts w:ascii="Calibri" w:eastAsia="Calibri" w:hAnsi="Calibri" w:cs="Calibri"/>
          <w:sz w:val="22"/>
          <w:szCs w:val="22"/>
        </w:rPr>
        <w:t xml:space="preserve"> </w:t>
      </w:r>
    </w:p>
    <w:p w14:paraId="5D9C01B7" w14:textId="10DABE16" w:rsidR="3737E55B" w:rsidRDefault="3737E55B" w:rsidP="3737E55B">
      <w:pPr>
        <w:spacing w:after="160" w:line="259" w:lineRule="auto"/>
        <w:jc w:val="center"/>
        <w:rPr>
          <w:rFonts w:ascii="Calibri" w:eastAsia="Calibri" w:hAnsi="Calibri" w:cs="Calibri"/>
          <w:sz w:val="22"/>
          <w:szCs w:val="22"/>
        </w:rPr>
      </w:pPr>
      <w:r w:rsidRPr="3737E55B">
        <w:rPr>
          <w:rFonts w:ascii="Calibri" w:eastAsia="Calibri" w:hAnsi="Calibri" w:cs="Calibri"/>
          <w:b/>
          <w:bCs/>
          <w:sz w:val="22"/>
          <w:szCs w:val="22"/>
        </w:rPr>
        <w:t>Honour and Reciprocal Obligation:</w:t>
      </w:r>
    </w:p>
    <w:p w14:paraId="46DD640E" w14:textId="2BDABFD3" w:rsidR="3737E55B" w:rsidRDefault="3737E55B" w:rsidP="00DD54A7">
      <w:pPr>
        <w:spacing w:after="160" w:line="480" w:lineRule="auto"/>
        <w:rPr>
          <w:rFonts w:ascii="Calibri" w:eastAsia="Calibri" w:hAnsi="Calibri" w:cs="Calibri"/>
          <w:sz w:val="22"/>
          <w:szCs w:val="22"/>
        </w:rPr>
      </w:pPr>
      <w:r w:rsidRPr="3737E55B">
        <w:rPr>
          <w:rFonts w:ascii="Calibri" w:eastAsia="Calibri" w:hAnsi="Calibri" w:cs="Calibri"/>
          <w:sz w:val="22"/>
          <w:szCs w:val="22"/>
        </w:rPr>
        <w:t xml:space="preserve">A feature of the heroic figure is obligation in the form of loyalty and honour. In the Anglo-Saxon warrior society, honour was presented in the form of bestowing gifts. Loyalty between a lord and his vassals was essential to any alliance to strengthen bonds. The relationship was as much a </w:t>
      </w:r>
      <w:r w:rsidRPr="3737E55B">
        <w:rPr>
          <w:rFonts w:ascii="Calibri" w:eastAsia="Calibri" w:hAnsi="Calibri" w:cs="Calibri"/>
          <w:sz w:val="22"/>
          <w:szCs w:val="22"/>
        </w:rPr>
        <w:lastRenderedPageBreak/>
        <w:t>weakness as a strength and was easily broken if gifts were not provided for good service. Loyalty and the idea of honour was also an “unstable commodity, which could easily lose its value”</w:t>
      </w:r>
      <w:r w:rsidR="004B0820">
        <w:rPr>
          <w:rFonts w:ascii="Calibri" w:eastAsia="Calibri" w:hAnsi="Calibri" w:cs="Calibri"/>
          <w:sz w:val="22"/>
          <w:szCs w:val="22"/>
        </w:rPr>
        <w:t>.</w:t>
      </w:r>
      <w:r w:rsidR="00C46B7A">
        <w:rPr>
          <w:rStyle w:val="FootnoteReference"/>
          <w:rFonts w:ascii="Calibri" w:eastAsia="Calibri" w:hAnsi="Calibri" w:cs="Calibri"/>
          <w:sz w:val="22"/>
          <w:szCs w:val="22"/>
        </w:rPr>
        <w:footnoteReference w:id="4"/>
      </w:r>
      <w:r w:rsidRPr="3737E55B">
        <w:rPr>
          <w:rFonts w:ascii="Calibri" w:eastAsia="Calibri" w:hAnsi="Calibri" w:cs="Calibri"/>
          <w:sz w:val="22"/>
          <w:szCs w:val="22"/>
        </w:rPr>
        <w:t xml:space="preserve"> The treasure was not only a reminder of a verbal bond between a lord and his vassal; it was also a reminder to the vassal of his obligation. By the lord providing treasure, he enhanced not just his reputation, but also that of his </w:t>
      </w:r>
      <w:r w:rsidRPr="001B3963">
        <w:rPr>
          <w:rFonts w:ascii="Calibri" w:eastAsia="Calibri" w:hAnsi="Calibri" w:cs="Calibri"/>
          <w:sz w:val="22"/>
          <w:szCs w:val="22"/>
        </w:rPr>
        <w:t>retainer</w:t>
      </w:r>
      <w:r w:rsidR="006601B4">
        <w:rPr>
          <w:rFonts w:ascii="Calibri" w:eastAsia="Calibri" w:hAnsi="Calibri" w:cs="Calibri"/>
          <w:sz w:val="22"/>
          <w:szCs w:val="22"/>
        </w:rPr>
        <w:t>.</w:t>
      </w:r>
      <w:r w:rsidR="00C46B7A" w:rsidRPr="001B3963">
        <w:rPr>
          <w:rStyle w:val="FootnoteReference"/>
          <w:rFonts w:ascii="Calibri" w:eastAsia="Calibri" w:hAnsi="Calibri" w:cs="Calibri"/>
          <w:sz w:val="22"/>
          <w:szCs w:val="22"/>
        </w:rPr>
        <w:footnoteReference w:id="5"/>
      </w:r>
      <w:r w:rsidRPr="001B3963">
        <w:rPr>
          <w:rFonts w:ascii="Calibri" w:eastAsia="Calibri" w:hAnsi="Calibri" w:cs="Calibri"/>
          <w:sz w:val="22"/>
          <w:szCs w:val="22"/>
        </w:rPr>
        <w:t xml:space="preserve"> </w:t>
      </w:r>
      <w:r w:rsidRPr="3737E55B">
        <w:rPr>
          <w:rFonts w:ascii="Calibri" w:eastAsia="Calibri" w:hAnsi="Calibri" w:cs="Calibri"/>
          <w:sz w:val="22"/>
          <w:szCs w:val="22"/>
        </w:rPr>
        <w:t>The binding of a lord and his vassal was the offering of gifts, symbolic of heroic acts. These treasures could be in the form of an alliance with a strong ally or material possession</w:t>
      </w:r>
      <w:r w:rsidR="006601B4">
        <w:rPr>
          <w:rFonts w:ascii="Calibri" w:eastAsia="Calibri" w:hAnsi="Calibri" w:cs="Calibri"/>
          <w:sz w:val="22"/>
          <w:szCs w:val="22"/>
        </w:rPr>
        <w:t>s</w:t>
      </w:r>
      <w:r w:rsidRPr="3737E55B">
        <w:rPr>
          <w:rFonts w:ascii="Calibri" w:eastAsia="Calibri" w:hAnsi="Calibri" w:cs="Calibri"/>
          <w:sz w:val="22"/>
          <w:szCs w:val="22"/>
        </w:rPr>
        <w:t xml:space="preserve"> such as weapons or gold. The lord would be expected to provide treasure as an agreement for his vassal to fight in battle. In </w:t>
      </w:r>
      <w:r w:rsidRPr="3737E55B">
        <w:rPr>
          <w:rFonts w:ascii="Calibri" w:eastAsia="Calibri" w:hAnsi="Calibri" w:cs="Calibri"/>
          <w:i/>
          <w:iCs/>
          <w:sz w:val="22"/>
          <w:szCs w:val="22"/>
        </w:rPr>
        <w:t>Beowulf</w:t>
      </w:r>
      <w:r w:rsidRPr="3737E55B">
        <w:rPr>
          <w:rFonts w:ascii="Calibri" w:eastAsia="Calibri" w:hAnsi="Calibri" w:cs="Calibri"/>
          <w:sz w:val="22"/>
          <w:szCs w:val="22"/>
        </w:rPr>
        <w:t>, Hrothgar the Danish king honours his champion, with generous awards, but only in exchange if he survives: ‘I shall offer the great man treasures for his impetuous courage’</w:t>
      </w:r>
      <w:r w:rsidR="004B0820">
        <w:rPr>
          <w:rFonts w:ascii="Calibri" w:eastAsia="Calibri" w:hAnsi="Calibri" w:cs="Calibri"/>
          <w:sz w:val="22"/>
          <w:szCs w:val="22"/>
        </w:rPr>
        <w:t>.</w:t>
      </w:r>
      <w:r w:rsidR="004B0820">
        <w:rPr>
          <w:rStyle w:val="FootnoteReference"/>
          <w:rFonts w:ascii="Calibri" w:eastAsia="Calibri" w:hAnsi="Calibri" w:cs="Calibri"/>
          <w:sz w:val="22"/>
          <w:szCs w:val="22"/>
        </w:rPr>
        <w:footnoteReference w:id="6"/>
      </w:r>
      <w:r w:rsidRPr="3737E55B">
        <w:rPr>
          <w:rFonts w:ascii="Calibri" w:eastAsia="Calibri" w:hAnsi="Calibri" w:cs="Calibri"/>
          <w:sz w:val="22"/>
          <w:szCs w:val="22"/>
        </w:rPr>
        <w:t xml:space="preserve"> A custom which if not given could lead to disloyalty and even rebellion. For the Anglo-Saxons, the gifts were not just a symbol of loyalty but ensured a warrior </w:t>
      </w:r>
      <w:r w:rsidR="00F13E28">
        <w:rPr>
          <w:rFonts w:ascii="Calibri" w:eastAsia="Calibri" w:hAnsi="Calibri" w:cs="Calibri"/>
          <w:sz w:val="22"/>
          <w:szCs w:val="22"/>
        </w:rPr>
        <w:t xml:space="preserve">could </w:t>
      </w:r>
      <w:r w:rsidRPr="3737E55B">
        <w:rPr>
          <w:rFonts w:ascii="Calibri" w:eastAsia="Calibri" w:hAnsi="Calibri" w:cs="Calibri"/>
          <w:sz w:val="22"/>
          <w:szCs w:val="22"/>
        </w:rPr>
        <w:t>achiev</w:t>
      </w:r>
      <w:r w:rsidR="00F13E28">
        <w:rPr>
          <w:rFonts w:ascii="Calibri" w:eastAsia="Calibri" w:hAnsi="Calibri" w:cs="Calibri"/>
          <w:sz w:val="22"/>
          <w:szCs w:val="22"/>
        </w:rPr>
        <w:t>e</w:t>
      </w:r>
      <w:r w:rsidRPr="3737E55B">
        <w:rPr>
          <w:rFonts w:ascii="Calibri" w:eastAsia="Calibri" w:hAnsi="Calibri" w:cs="Calibri"/>
          <w:sz w:val="22"/>
          <w:szCs w:val="22"/>
        </w:rPr>
        <w:t xml:space="preserve"> a lasting reputation. As a result, further gifts would be expected for the warrior to continue his loyal service. </w:t>
      </w:r>
    </w:p>
    <w:p w14:paraId="01E83895" w14:textId="6F9447B0" w:rsidR="3737E55B" w:rsidRDefault="3737E55B" w:rsidP="00116E97">
      <w:pPr>
        <w:spacing w:after="160" w:line="480" w:lineRule="auto"/>
        <w:rPr>
          <w:rFonts w:ascii="Calibri" w:eastAsia="Calibri" w:hAnsi="Calibri" w:cs="Calibri"/>
          <w:sz w:val="22"/>
          <w:szCs w:val="22"/>
        </w:rPr>
      </w:pPr>
      <w:r w:rsidRPr="3737E55B">
        <w:rPr>
          <w:rFonts w:ascii="Calibri" w:eastAsia="Calibri" w:hAnsi="Calibri" w:cs="Calibri"/>
          <w:sz w:val="22"/>
          <w:szCs w:val="22"/>
        </w:rPr>
        <w:t>The act of loyalty in the form of treasures would secure a warrior into a verbal agreement, and a reminder of the reciprocal obligation when war and vengeance were required by the lord</w:t>
      </w:r>
      <w:r w:rsidR="004B0820">
        <w:rPr>
          <w:rFonts w:ascii="Calibri" w:eastAsia="Calibri" w:hAnsi="Calibri" w:cs="Calibri"/>
          <w:sz w:val="22"/>
          <w:szCs w:val="22"/>
        </w:rPr>
        <w:t>.</w:t>
      </w:r>
      <w:r w:rsidR="00C46B7A">
        <w:rPr>
          <w:rStyle w:val="FootnoteReference"/>
          <w:rFonts w:ascii="Calibri" w:eastAsia="Calibri" w:hAnsi="Calibri" w:cs="Calibri"/>
          <w:sz w:val="22"/>
          <w:szCs w:val="22"/>
        </w:rPr>
        <w:footnoteReference w:id="7"/>
      </w:r>
      <w:r w:rsidRPr="3737E55B">
        <w:rPr>
          <w:rFonts w:ascii="Calibri" w:eastAsia="Calibri" w:hAnsi="Calibri" w:cs="Calibri"/>
          <w:sz w:val="22"/>
          <w:szCs w:val="22"/>
        </w:rPr>
        <w:t xml:space="preserve"> The subject of reciprocal obligation could also determine the fate of a warrior.  In Anglo Saxon society the revenge code of honour would mean that a lord would be held responsible for his vassal’s act of slaying, whether criminal or in battle</w:t>
      </w:r>
      <w:r w:rsidR="00C46B7A">
        <w:rPr>
          <w:rStyle w:val="FootnoteReference"/>
          <w:rFonts w:ascii="Calibri" w:eastAsia="Calibri" w:hAnsi="Calibri" w:cs="Calibri"/>
          <w:sz w:val="22"/>
          <w:szCs w:val="22"/>
        </w:rPr>
        <w:footnoteReference w:id="8"/>
      </w:r>
      <w:r w:rsidRPr="3737E55B">
        <w:rPr>
          <w:rFonts w:ascii="Calibri" w:eastAsia="Calibri" w:hAnsi="Calibri" w:cs="Calibri"/>
          <w:sz w:val="22"/>
          <w:szCs w:val="22"/>
        </w:rPr>
        <w:t xml:space="preserve">. In </w:t>
      </w:r>
      <w:r w:rsidRPr="3737E55B">
        <w:rPr>
          <w:rFonts w:ascii="Calibri" w:eastAsia="Calibri" w:hAnsi="Calibri" w:cs="Calibri"/>
          <w:i/>
          <w:iCs/>
          <w:sz w:val="22"/>
          <w:szCs w:val="22"/>
        </w:rPr>
        <w:t>Beowulf</w:t>
      </w:r>
      <w:r w:rsidRPr="3737E55B">
        <w:rPr>
          <w:rFonts w:ascii="Calibri" w:eastAsia="Calibri" w:hAnsi="Calibri" w:cs="Calibri"/>
          <w:sz w:val="22"/>
          <w:szCs w:val="22"/>
        </w:rPr>
        <w:t xml:space="preserve">, the </w:t>
      </w:r>
      <w:r w:rsidRPr="3737E55B">
        <w:rPr>
          <w:rFonts w:ascii="Calibri" w:eastAsia="Calibri" w:hAnsi="Calibri" w:cs="Calibri"/>
          <w:i/>
          <w:iCs/>
          <w:sz w:val="22"/>
          <w:szCs w:val="22"/>
        </w:rPr>
        <w:t>Finnsburh</w:t>
      </w:r>
      <w:r w:rsidRPr="3737E55B">
        <w:rPr>
          <w:rFonts w:ascii="Calibri" w:eastAsia="Calibri" w:hAnsi="Calibri" w:cs="Calibri"/>
          <w:sz w:val="22"/>
          <w:szCs w:val="22"/>
        </w:rPr>
        <w:t xml:space="preserve"> episode highlights this code, where a lord is conflicted by loyalties and moral obligations</w:t>
      </w:r>
      <w:r w:rsidR="004B0820">
        <w:rPr>
          <w:rFonts w:ascii="Calibri" w:eastAsia="Calibri" w:hAnsi="Calibri" w:cs="Calibri"/>
          <w:sz w:val="22"/>
          <w:szCs w:val="22"/>
        </w:rPr>
        <w:t>.</w:t>
      </w:r>
      <w:r w:rsidR="004B0820">
        <w:rPr>
          <w:rStyle w:val="FootnoteReference"/>
          <w:rFonts w:ascii="Calibri" w:eastAsia="Calibri" w:hAnsi="Calibri" w:cs="Calibri"/>
          <w:sz w:val="22"/>
          <w:szCs w:val="22"/>
        </w:rPr>
        <w:footnoteReference w:id="9"/>
      </w:r>
      <w:r w:rsidRPr="3737E55B">
        <w:rPr>
          <w:rFonts w:ascii="Calibri" w:eastAsia="Calibri" w:hAnsi="Calibri" w:cs="Calibri"/>
          <w:sz w:val="22"/>
          <w:szCs w:val="22"/>
        </w:rPr>
        <w:t xml:space="preserve"> Hengest the </w:t>
      </w:r>
      <w:r w:rsidRPr="3737E55B">
        <w:rPr>
          <w:rFonts w:ascii="Calibri" w:eastAsia="Calibri" w:hAnsi="Calibri" w:cs="Calibri"/>
          <w:sz w:val="22"/>
          <w:szCs w:val="22"/>
        </w:rPr>
        <w:lastRenderedPageBreak/>
        <w:t>leader of the half-Danes must choose to avenge the death of his lord, and the agreement to honour the vows made previously to Finn</w:t>
      </w:r>
      <w:r w:rsidR="004B0820">
        <w:rPr>
          <w:rStyle w:val="FootnoteReference"/>
          <w:rFonts w:ascii="Calibri" w:eastAsia="Calibri" w:hAnsi="Calibri" w:cs="Calibri"/>
          <w:sz w:val="22"/>
          <w:szCs w:val="22"/>
        </w:rPr>
        <w:footnoteReference w:id="10"/>
      </w:r>
      <w:r w:rsidRPr="3737E55B">
        <w:rPr>
          <w:rFonts w:ascii="Calibri" w:eastAsia="Calibri" w:hAnsi="Calibri" w:cs="Calibri"/>
          <w:sz w:val="22"/>
          <w:szCs w:val="22"/>
        </w:rPr>
        <w:t xml:space="preserve">. The obligation requires Finn to welcome the half-Danes into his home, but with the agreement of peace: </w:t>
      </w:r>
    </w:p>
    <w:p w14:paraId="07F4340F" w14:textId="64FBA617" w:rsidR="3737E55B" w:rsidRDefault="3737E55B" w:rsidP="000246E0">
      <w:pPr>
        <w:spacing w:after="160" w:line="480" w:lineRule="auto"/>
        <w:ind w:left="1134" w:right="1134"/>
        <w:rPr>
          <w:rFonts w:ascii="Calibri" w:eastAsia="Calibri" w:hAnsi="Calibri" w:cs="Calibri"/>
          <w:sz w:val="22"/>
          <w:szCs w:val="22"/>
        </w:rPr>
      </w:pPr>
      <w:r w:rsidRPr="3737E55B">
        <w:rPr>
          <w:rFonts w:ascii="Calibri" w:eastAsia="Calibri" w:hAnsi="Calibri" w:cs="Calibri"/>
          <w:sz w:val="22"/>
          <w:szCs w:val="22"/>
        </w:rPr>
        <w:t>No man should break the treaty by word or deed . . . if however, any Frisians by rash speech should continually call the deadly hatred in mind, then it would have to be settled with the edge of a sword</w:t>
      </w:r>
      <w:r w:rsidR="0081298A">
        <w:rPr>
          <w:rStyle w:val="FootnoteReference"/>
          <w:rFonts w:ascii="Calibri" w:eastAsia="Calibri" w:hAnsi="Calibri" w:cs="Calibri"/>
          <w:sz w:val="22"/>
          <w:szCs w:val="22"/>
        </w:rPr>
        <w:footnoteReference w:id="11"/>
      </w:r>
      <w:r w:rsidRPr="3737E55B">
        <w:rPr>
          <w:rFonts w:ascii="Calibri" w:eastAsia="Calibri" w:hAnsi="Calibri" w:cs="Calibri"/>
          <w:sz w:val="22"/>
          <w:szCs w:val="22"/>
        </w:rPr>
        <w:t xml:space="preserve"> </w:t>
      </w:r>
    </w:p>
    <w:p w14:paraId="10D66189" w14:textId="45468AF5" w:rsidR="3737E55B" w:rsidRDefault="3737E55B" w:rsidP="000246E0">
      <w:pPr>
        <w:spacing w:after="160" w:line="480" w:lineRule="auto"/>
        <w:rPr>
          <w:rFonts w:ascii="Calibri" w:eastAsia="Calibri" w:hAnsi="Calibri" w:cs="Calibri"/>
          <w:sz w:val="22"/>
          <w:szCs w:val="22"/>
        </w:rPr>
      </w:pPr>
      <w:r w:rsidRPr="3737E55B">
        <w:rPr>
          <w:rFonts w:ascii="Calibri" w:eastAsia="Calibri" w:hAnsi="Calibri" w:cs="Calibri"/>
          <w:sz w:val="22"/>
          <w:szCs w:val="22"/>
        </w:rPr>
        <w:t xml:space="preserve">The breaking of codes and obligations could lead to further conflict and even death. In </w:t>
      </w:r>
      <w:r w:rsidRPr="3737E55B">
        <w:rPr>
          <w:rFonts w:ascii="Calibri" w:eastAsia="Calibri" w:hAnsi="Calibri" w:cs="Calibri"/>
          <w:i/>
          <w:iCs/>
          <w:sz w:val="22"/>
          <w:szCs w:val="22"/>
        </w:rPr>
        <w:t>Beowulf,</w:t>
      </w:r>
      <w:r w:rsidRPr="3737E55B">
        <w:rPr>
          <w:rFonts w:ascii="Calibri" w:eastAsia="Calibri" w:hAnsi="Calibri" w:cs="Calibri"/>
          <w:sz w:val="22"/>
          <w:szCs w:val="22"/>
        </w:rPr>
        <w:t xml:space="preserve"> the final battle with the dragon saw Beowulf’s vassals leave him to the mercy of the dragon: ‘In no way did his close companions, sons of princes, take up a stand in a band around him with honour in battle, but they turned to the wood, saved their lives’</w:t>
      </w:r>
      <w:r w:rsidR="000246E0">
        <w:rPr>
          <w:rFonts w:ascii="Calibri" w:eastAsia="Calibri" w:hAnsi="Calibri" w:cs="Calibri"/>
          <w:sz w:val="22"/>
          <w:szCs w:val="22"/>
        </w:rPr>
        <w:t>.</w:t>
      </w:r>
      <w:r w:rsidR="000246E0">
        <w:rPr>
          <w:rStyle w:val="FootnoteReference"/>
          <w:rFonts w:ascii="Calibri" w:eastAsia="Calibri" w:hAnsi="Calibri" w:cs="Calibri"/>
          <w:sz w:val="22"/>
          <w:szCs w:val="22"/>
        </w:rPr>
        <w:footnoteReference w:id="12"/>
      </w:r>
      <w:r w:rsidR="000246E0">
        <w:rPr>
          <w:rFonts w:ascii="Calibri" w:eastAsia="Calibri" w:hAnsi="Calibri" w:cs="Calibri"/>
          <w:sz w:val="22"/>
          <w:szCs w:val="22"/>
        </w:rPr>
        <w:t xml:space="preserve"> </w:t>
      </w:r>
      <w:r w:rsidRPr="3737E55B">
        <w:rPr>
          <w:rFonts w:ascii="Calibri" w:eastAsia="Calibri" w:hAnsi="Calibri" w:cs="Calibri"/>
          <w:sz w:val="22"/>
          <w:szCs w:val="22"/>
        </w:rPr>
        <w:t xml:space="preserve">The breaking of their oath subsequently led to the death of their leader and the end of the Geatish people. </w:t>
      </w:r>
    </w:p>
    <w:p w14:paraId="7CABE1F9" w14:textId="4FDC3D0C" w:rsidR="3737E55B" w:rsidRDefault="3737E55B" w:rsidP="00AD0075">
      <w:pPr>
        <w:spacing w:after="160" w:line="480" w:lineRule="auto"/>
        <w:rPr>
          <w:rFonts w:ascii="Calibri" w:eastAsia="Calibri" w:hAnsi="Calibri" w:cs="Calibri"/>
          <w:sz w:val="22"/>
          <w:szCs w:val="22"/>
        </w:rPr>
      </w:pPr>
      <w:r w:rsidRPr="3737E55B">
        <w:rPr>
          <w:rFonts w:ascii="Calibri" w:eastAsia="Calibri" w:hAnsi="Calibri" w:cs="Calibri"/>
          <w:sz w:val="22"/>
          <w:szCs w:val="22"/>
        </w:rPr>
        <w:t>Receiving treasures or “glories” had two objectives, it provided wealth but also reputation, both symbols of success in battle. These treasures were motifs that defined a warriors’ prowess in battle. In early medieval society, a man's value was determined by his prowess as a warrior and everything worth having – status and possessions which were gained, however depended on his lord’s recognition of his prowess</w:t>
      </w:r>
      <w:r w:rsidR="00AD0075">
        <w:rPr>
          <w:rFonts w:ascii="Calibri" w:eastAsia="Calibri" w:hAnsi="Calibri" w:cs="Calibri"/>
          <w:sz w:val="22"/>
          <w:szCs w:val="22"/>
        </w:rPr>
        <w:t>.</w:t>
      </w:r>
      <w:r w:rsidR="002D2D38">
        <w:rPr>
          <w:rStyle w:val="FootnoteReference"/>
          <w:rFonts w:ascii="Calibri" w:eastAsia="Calibri" w:hAnsi="Calibri" w:cs="Calibri"/>
          <w:sz w:val="22"/>
          <w:szCs w:val="22"/>
        </w:rPr>
        <w:footnoteReference w:id="13"/>
      </w:r>
      <w:r w:rsidRPr="3737E55B">
        <w:rPr>
          <w:rFonts w:ascii="Calibri" w:eastAsia="Calibri" w:hAnsi="Calibri" w:cs="Calibri"/>
          <w:sz w:val="22"/>
          <w:szCs w:val="22"/>
        </w:rPr>
        <w:t xml:space="preserve"> Treasure was a prerequisite of heroic deeds, which would bring honour to a warrior. Reputation was central to the heroic code; it was an attribute </w:t>
      </w:r>
      <w:r w:rsidR="00EF453D">
        <w:rPr>
          <w:rFonts w:ascii="Calibri" w:eastAsia="Calibri" w:hAnsi="Calibri" w:cs="Calibri"/>
          <w:sz w:val="22"/>
          <w:szCs w:val="22"/>
        </w:rPr>
        <w:t>that</w:t>
      </w:r>
      <w:r w:rsidRPr="3737E55B">
        <w:rPr>
          <w:rFonts w:ascii="Calibri" w:eastAsia="Calibri" w:hAnsi="Calibri" w:cs="Calibri"/>
          <w:sz w:val="22"/>
          <w:szCs w:val="22"/>
        </w:rPr>
        <w:t xml:space="preserve"> would elevate societies. A strong warlord could keep enemies from attacking communities, but it would also be an important asset on the battlefield. Material possessions are a symbol of a good reputation, the more the treasures, the greater the warrior. In </w:t>
      </w:r>
      <w:r w:rsidRPr="3737E55B">
        <w:rPr>
          <w:rFonts w:ascii="Calibri" w:eastAsia="Calibri" w:hAnsi="Calibri" w:cs="Calibri"/>
          <w:i/>
          <w:iCs/>
          <w:sz w:val="22"/>
          <w:szCs w:val="22"/>
        </w:rPr>
        <w:t>the Wanderer</w:t>
      </w:r>
      <w:r w:rsidRPr="3737E55B">
        <w:rPr>
          <w:rFonts w:ascii="Calibri" w:eastAsia="Calibri" w:hAnsi="Calibri" w:cs="Calibri"/>
          <w:sz w:val="22"/>
          <w:szCs w:val="22"/>
        </w:rPr>
        <w:t xml:space="preserve"> tangible possession is a mark of his identity as a warrior. Possessions could be in the form of a horse, kinsmen, weapons, treasures and a home. All of which have been acquired by reputation. </w:t>
      </w:r>
      <w:r w:rsidRPr="3737E55B">
        <w:rPr>
          <w:rFonts w:ascii="Calibri" w:eastAsia="Calibri" w:hAnsi="Calibri" w:cs="Calibri"/>
          <w:i/>
          <w:iCs/>
          <w:sz w:val="22"/>
          <w:szCs w:val="22"/>
        </w:rPr>
        <w:t xml:space="preserve">The </w:t>
      </w:r>
      <w:r w:rsidRPr="3737E55B">
        <w:rPr>
          <w:rFonts w:ascii="Calibri" w:eastAsia="Calibri" w:hAnsi="Calibri" w:cs="Calibri"/>
          <w:i/>
          <w:iCs/>
          <w:sz w:val="22"/>
          <w:szCs w:val="22"/>
        </w:rPr>
        <w:lastRenderedPageBreak/>
        <w:t>Wanderer</w:t>
      </w:r>
      <w:r w:rsidRPr="3737E55B">
        <w:rPr>
          <w:rFonts w:ascii="Calibri" w:eastAsia="Calibri" w:hAnsi="Calibri" w:cs="Calibri"/>
          <w:sz w:val="22"/>
          <w:szCs w:val="22"/>
        </w:rPr>
        <w:t xml:space="preserve"> presents the idea of possessions as </w:t>
      </w:r>
      <w:r w:rsidR="00EF453D">
        <w:rPr>
          <w:rFonts w:ascii="Calibri" w:eastAsia="Calibri" w:hAnsi="Calibri" w:cs="Calibri"/>
          <w:sz w:val="22"/>
          <w:szCs w:val="22"/>
        </w:rPr>
        <w:t xml:space="preserve">an </w:t>
      </w:r>
      <w:r w:rsidRPr="3737E55B">
        <w:rPr>
          <w:rFonts w:ascii="Calibri" w:eastAsia="Calibri" w:hAnsi="Calibri" w:cs="Calibri"/>
          <w:sz w:val="22"/>
          <w:szCs w:val="22"/>
        </w:rPr>
        <w:t>embodiment of a warrior, a tangible object which is severed from the warrior when he dies:</w:t>
      </w:r>
      <w:r w:rsidR="008564B9">
        <w:rPr>
          <w:rFonts w:ascii="Calibri" w:eastAsia="Calibri" w:hAnsi="Calibri" w:cs="Calibri"/>
          <w:sz w:val="22"/>
          <w:szCs w:val="22"/>
        </w:rPr>
        <w:t xml:space="preserve"> </w:t>
      </w:r>
      <w:r w:rsidRPr="3737E55B">
        <w:rPr>
          <w:rFonts w:ascii="Calibri" w:eastAsia="Calibri" w:hAnsi="Calibri" w:cs="Calibri"/>
          <w:sz w:val="22"/>
          <w:szCs w:val="22"/>
        </w:rPr>
        <w:t xml:space="preserve">‘Those </w:t>
      </w:r>
      <w:r w:rsidR="0081298A">
        <w:rPr>
          <w:rFonts w:ascii="Calibri" w:eastAsia="Calibri" w:hAnsi="Calibri" w:cs="Calibri"/>
          <w:sz w:val="22"/>
          <w:szCs w:val="22"/>
        </w:rPr>
        <w:t>caring for reputation often bind fast in their breast some sorrowful thing. So I, often wretchedly anxious, separated from my home, far from noble kinsman</w:t>
      </w:r>
      <w:r w:rsidRPr="3737E55B">
        <w:rPr>
          <w:rFonts w:ascii="Calibri" w:eastAsia="Calibri" w:hAnsi="Calibri" w:cs="Calibri"/>
          <w:sz w:val="22"/>
          <w:szCs w:val="22"/>
        </w:rPr>
        <w:t>'</w:t>
      </w:r>
      <w:r w:rsidR="00543326">
        <w:rPr>
          <w:rFonts w:ascii="Calibri" w:eastAsia="Calibri" w:hAnsi="Calibri" w:cs="Calibri"/>
          <w:sz w:val="22"/>
          <w:szCs w:val="22"/>
        </w:rPr>
        <w:t>.</w:t>
      </w:r>
      <w:r w:rsidR="00543326">
        <w:rPr>
          <w:rStyle w:val="FootnoteReference"/>
          <w:rFonts w:ascii="Calibri" w:eastAsia="Calibri" w:hAnsi="Calibri" w:cs="Calibri"/>
          <w:sz w:val="22"/>
          <w:szCs w:val="22"/>
        </w:rPr>
        <w:footnoteReference w:id="14"/>
      </w:r>
    </w:p>
    <w:p w14:paraId="30827713" w14:textId="09AE0209" w:rsidR="3737E55B" w:rsidRDefault="3737E55B" w:rsidP="00AD0075">
      <w:pPr>
        <w:spacing w:after="160" w:line="480" w:lineRule="auto"/>
        <w:rPr>
          <w:rFonts w:ascii="Calibri" w:eastAsia="Calibri" w:hAnsi="Calibri" w:cs="Calibri"/>
          <w:sz w:val="22"/>
          <w:szCs w:val="22"/>
        </w:rPr>
      </w:pPr>
      <w:r w:rsidRPr="3737E55B">
        <w:rPr>
          <w:rFonts w:ascii="Calibri" w:eastAsia="Calibri" w:hAnsi="Calibri" w:cs="Calibri"/>
          <w:sz w:val="22"/>
          <w:szCs w:val="22"/>
        </w:rPr>
        <w:t xml:space="preserve">The value of the treasure was important to the nature of the </w:t>
      </w:r>
      <w:r w:rsidRPr="3737E55B">
        <w:rPr>
          <w:rFonts w:ascii="Calibri" w:eastAsia="Calibri" w:hAnsi="Calibri" w:cs="Calibri"/>
          <w:i/>
          <w:iCs/>
          <w:sz w:val="22"/>
          <w:szCs w:val="22"/>
        </w:rPr>
        <w:t>comitatus</w:t>
      </w:r>
      <w:r w:rsidRPr="3737E55B">
        <w:rPr>
          <w:rFonts w:ascii="Calibri" w:eastAsia="Calibri" w:hAnsi="Calibri" w:cs="Calibri"/>
          <w:sz w:val="22"/>
          <w:szCs w:val="22"/>
        </w:rPr>
        <w:t xml:space="preserve"> and ensured the vassals would fulfil their role of servitude to his lord; achieved by a willingness to die in conflict and gift-giving from successes. Treasure as a symbol of reputation was not easily attained. To receive a good reputation required the warrior to fight for his lord. The idea of turning away from a battle was a criminal act, which would leave the lord and his vassals without protection. In </w:t>
      </w:r>
      <w:r w:rsidRPr="3737E55B">
        <w:rPr>
          <w:rFonts w:ascii="Calibri" w:eastAsia="Calibri" w:hAnsi="Calibri" w:cs="Calibri"/>
          <w:i/>
          <w:iCs/>
          <w:sz w:val="22"/>
          <w:szCs w:val="22"/>
        </w:rPr>
        <w:t>Beowulf</w:t>
      </w:r>
      <w:r w:rsidRPr="3737E55B">
        <w:rPr>
          <w:rFonts w:ascii="Calibri" w:eastAsia="Calibri" w:hAnsi="Calibri" w:cs="Calibri"/>
          <w:sz w:val="22"/>
          <w:szCs w:val="22"/>
        </w:rPr>
        <w:t>, the poet is explicit in his views on turning away from battle: ‘To a warrior death is better, than a life of disgrace’</w:t>
      </w:r>
      <w:r w:rsidR="008564B9">
        <w:rPr>
          <w:rFonts w:ascii="Calibri" w:eastAsia="Calibri" w:hAnsi="Calibri" w:cs="Calibri"/>
          <w:sz w:val="22"/>
          <w:szCs w:val="22"/>
        </w:rPr>
        <w:t>.</w:t>
      </w:r>
      <w:r w:rsidR="008564B9">
        <w:rPr>
          <w:rStyle w:val="FootnoteReference"/>
          <w:rFonts w:ascii="Calibri" w:eastAsia="Calibri" w:hAnsi="Calibri" w:cs="Calibri"/>
          <w:sz w:val="22"/>
          <w:szCs w:val="22"/>
        </w:rPr>
        <w:footnoteReference w:id="15"/>
      </w:r>
      <w:r w:rsidRPr="3737E55B">
        <w:rPr>
          <w:rFonts w:ascii="Calibri" w:eastAsia="Calibri" w:hAnsi="Calibri" w:cs="Calibri"/>
          <w:sz w:val="22"/>
          <w:szCs w:val="22"/>
        </w:rPr>
        <w:t xml:space="preserve"> Even in a failed battle as seen in </w:t>
      </w:r>
      <w:r w:rsidRPr="3737E55B">
        <w:rPr>
          <w:rFonts w:ascii="Calibri" w:eastAsia="Calibri" w:hAnsi="Calibri" w:cs="Calibri"/>
          <w:i/>
          <w:iCs/>
          <w:sz w:val="22"/>
          <w:szCs w:val="22"/>
        </w:rPr>
        <w:t>The Battle of Maldon</w:t>
      </w:r>
      <w:r w:rsidRPr="3737E55B">
        <w:rPr>
          <w:rFonts w:ascii="Calibri" w:eastAsia="Calibri" w:hAnsi="Calibri" w:cs="Calibri"/>
          <w:sz w:val="22"/>
          <w:szCs w:val="22"/>
        </w:rPr>
        <w:t xml:space="preserve">, it was part of the heroic code to stand with the lord, even with the likelihood of failure. To choose to flee rather than fight until the last man stands was distinctively an inexcusable path. A warrior’s reputation would be at stake, and his place in the </w:t>
      </w:r>
      <w:r w:rsidRPr="3737E55B">
        <w:rPr>
          <w:rFonts w:ascii="Calibri" w:eastAsia="Calibri" w:hAnsi="Calibri" w:cs="Calibri"/>
          <w:i/>
          <w:iCs/>
          <w:sz w:val="22"/>
          <w:szCs w:val="22"/>
        </w:rPr>
        <w:t>comitatus</w:t>
      </w:r>
      <w:r w:rsidRPr="3737E55B">
        <w:rPr>
          <w:rFonts w:ascii="Calibri" w:eastAsia="Calibri" w:hAnsi="Calibri" w:cs="Calibri"/>
          <w:sz w:val="22"/>
          <w:szCs w:val="22"/>
        </w:rPr>
        <w:t xml:space="preserve"> would be forfeited</w:t>
      </w:r>
      <w:r w:rsidR="00F13E28">
        <w:rPr>
          <w:rFonts w:ascii="Calibri" w:eastAsia="Calibri" w:hAnsi="Calibri" w:cs="Calibri"/>
          <w:sz w:val="22"/>
          <w:szCs w:val="22"/>
        </w:rPr>
        <w:t>:</w:t>
      </w:r>
      <w:r w:rsidRPr="3737E55B">
        <w:rPr>
          <w:rFonts w:ascii="Calibri" w:eastAsia="Calibri" w:hAnsi="Calibri" w:cs="Calibri"/>
          <w:sz w:val="22"/>
          <w:szCs w:val="22"/>
        </w:rPr>
        <w:t xml:space="preserve"> ‘</w:t>
      </w:r>
      <w:r w:rsidR="008564B9">
        <w:rPr>
          <w:rFonts w:ascii="Calibri" w:eastAsia="Calibri" w:hAnsi="Calibri" w:cs="Calibri"/>
          <w:sz w:val="22"/>
          <w:szCs w:val="22"/>
        </w:rPr>
        <w:t>He may grieve for ever who from this war work would think of withdrawing</w:t>
      </w:r>
      <w:r w:rsidRPr="3737E55B">
        <w:rPr>
          <w:rFonts w:ascii="Calibri" w:eastAsia="Calibri" w:hAnsi="Calibri" w:cs="Calibri"/>
          <w:sz w:val="22"/>
          <w:szCs w:val="22"/>
        </w:rPr>
        <w:t>’</w:t>
      </w:r>
      <w:r w:rsidR="008564B9">
        <w:rPr>
          <w:rStyle w:val="FootnoteReference"/>
          <w:rFonts w:ascii="Calibri" w:eastAsia="Calibri" w:hAnsi="Calibri" w:cs="Calibri"/>
          <w:sz w:val="22"/>
          <w:szCs w:val="22"/>
        </w:rPr>
        <w:footnoteReference w:id="16"/>
      </w:r>
      <w:r w:rsidR="008564B9">
        <w:rPr>
          <w:rFonts w:ascii="Calibri" w:eastAsia="Calibri" w:hAnsi="Calibri" w:cs="Calibri"/>
          <w:sz w:val="22"/>
          <w:szCs w:val="22"/>
        </w:rPr>
        <w:t>.</w:t>
      </w:r>
      <w:r w:rsidRPr="3737E55B">
        <w:rPr>
          <w:rFonts w:ascii="Calibri" w:eastAsia="Calibri" w:hAnsi="Calibri" w:cs="Calibri"/>
          <w:sz w:val="22"/>
          <w:szCs w:val="22"/>
        </w:rPr>
        <w:t xml:space="preserve"> Therefore, treasures were a feature of his reputation, emphasising his ability as a skilled swordsman. Furthermore, the prospect of a loyal servant, who will remain honourable in the face of defeat. </w:t>
      </w:r>
      <w:r w:rsidR="00EF453D">
        <w:rPr>
          <w:rFonts w:ascii="Calibri" w:eastAsia="Calibri" w:hAnsi="Calibri" w:cs="Calibri"/>
          <w:sz w:val="22"/>
          <w:szCs w:val="22"/>
        </w:rPr>
        <w:t>The r</w:t>
      </w:r>
      <w:r w:rsidRPr="3737E55B">
        <w:rPr>
          <w:rFonts w:ascii="Calibri" w:eastAsia="Calibri" w:hAnsi="Calibri" w:cs="Calibri"/>
          <w:sz w:val="22"/>
          <w:szCs w:val="22"/>
        </w:rPr>
        <w:t>eputation of a warrior’s prowess was a feature of his obligation on the battlefield but would present him as a strong, dedicated warlord.</w:t>
      </w:r>
    </w:p>
    <w:p w14:paraId="1E41DC3C" w14:textId="7390D222" w:rsidR="3737E55B" w:rsidRDefault="3737E55B" w:rsidP="00AD0075">
      <w:pPr>
        <w:spacing w:after="160" w:line="480" w:lineRule="auto"/>
        <w:rPr>
          <w:rFonts w:ascii="Calibri" w:eastAsia="Calibri" w:hAnsi="Calibri" w:cs="Calibri"/>
          <w:sz w:val="22"/>
          <w:szCs w:val="22"/>
        </w:rPr>
      </w:pPr>
      <w:r w:rsidRPr="3737E55B">
        <w:rPr>
          <w:rFonts w:ascii="Calibri" w:eastAsia="Calibri" w:hAnsi="Calibri" w:cs="Calibri"/>
          <w:sz w:val="22"/>
          <w:szCs w:val="22"/>
        </w:rPr>
        <w:t xml:space="preserve">As a warrior culture, battles were frequent, rivals were common, and riches were a must. However, with the object of treasures, came greed. The threat of betrayal was always a </w:t>
      </w:r>
      <w:r w:rsidRPr="3737E55B">
        <w:rPr>
          <w:rFonts w:ascii="Calibri" w:eastAsia="Calibri" w:hAnsi="Calibri" w:cs="Calibri"/>
          <w:sz w:val="22"/>
          <w:szCs w:val="22"/>
        </w:rPr>
        <w:lastRenderedPageBreak/>
        <w:t>possibility. In an Anglo-Saxon context</w:t>
      </w:r>
      <w:r w:rsidR="00EF453D">
        <w:rPr>
          <w:rFonts w:ascii="Calibri" w:eastAsia="Calibri" w:hAnsi="Calibri" w:cs="Calibri"/>
          <w:sz w:val="22"/>
          <w:szCs w:val="22"/>
        </w:rPr>
        <w:t>,</w:t>
      </w:r>
      <w:r w:rsidRPr="3737E55B">
        <w:rPr>
          <w:rFonts w:ascii="Calibri" w:eastAsia="Calibri" w:hAnsi="Calibri" w:cs="Calibri"/>
          <w:sz w:val="22"/>
          <w:szCs w:val="22"/>
        </w:rPr>
        <w:t xml:space="preserve"> Beowulf’s battle with the dragon is no doubt a paradox. If he defeated the dragon then he would take the treasure and distribute it accordingly. But the outcome of his defeat resulted in his death, had left his people without a leader</w:t>
      </w:r>
      <w:r w:rsidR="00C026EA">
        <w:rPr>
          <w:rFonts w:ascii="Calibri" w:eastAsia="Calibri" w:hAnsi="Calibri" w:cs="Calibri"/>
          <w:sz w:val="22"/>
          <w:szCs w:val="22"/>
        </w:rPr>
        <w:t>.</w:t>
      </w:r>
      <w:r w:rsidRPr="3737E55B">
        <w:rPr>
          <w:rFonts w:ascii="Calibri" w:eastAsia="Calibri" w:hAnsi="Calibri" w:cs="Calibri"/>
          <w:sz w:val="22"/>
          <w:szCs w:val="22"/>
        </w:rPr>
        <w:t xml:space="preserve"> Eventually leading to the destruction of the Geatish people. Importantly, the narrative breaks the boundary of the Germanic tradition of the warrior, who lives and dies by rewards. His death reinvents him as a selfless hero, or as scholars have deemed, a “Christian warrior”. Illustrative of the transition between the Pagan and Christian tradition, evident in the recent archaeological excavation of Prittlewell in Essex.  Revealing an Anglo-Saxon royal burial, during what is believed to be an early Christian site, bridging a gap between the Pagan and Christian Britons. </w:t>
      </w:r>
    </w:p>
    <w:p w14:paraId="00F00998" w14:textId="2E188853" w:rsidR="3737E55B" w:rsidRDefault="3737E55B" w:rsidP="00AD0075">
      <w:pPr>
        <w:spacing w:after="160" w:line="480" w:lineRule="auto"/>
        <w:rPr>
          <w:rFonts w:ascii="Calibri" w:eastAsia="Calibri" w:hAnsi="Calibri" w:cs="Calibri"/>
          <w:sz w:val="22"/>
          <w:szCs w:val="22"/>
        </w:rPr>
      </w:pPr>
      <w:r w:rsidRPr="3737E55B">
        <w:rPr>
          <w:rFonts w:ascii="Calibri" w:eastAsia="Calibri" w:hAnsi="Calibri" w:cs="Calibri"/>
          <w:sz w:val="22"/>
          <w:szCs w:val="22"/>
        </w:rPr>
        <w:t>The relationship between the lord and retainer was uncertain and betrayal was a concern. Betrayal to the lord could be an act of breaking a vow, cowardice and even murder. In the dragon episode, the cowardice of Beowulf's men not only doomed the leader but also destroyed the Geatish people. The poet suggests that had they acted with loyalty and honour, Beowulf may not have been wounded so grievously, and he would have survived</w:t>
      </w:r>
      <w:r w:rsidR="00C026EA">
        <w:rPr>
          <w:rFonts w:ascii="Calibri" w:eastAsia="Calibri" w:hAnsi="Calibri" w:cs="Calibri"/>
          <w:sz w:val="22"/>
          <w:szCs w:val="22"/>
        </w:rPr>
        <w:t xml:space="preserve">. </w:t>
      </w:r>
      <w:r w:rsidRPr="3737E55B">
        <w:rPr>
          <w:rFonts w:ascii="Calibri" w:eastAsia="Calibri" w:hAnsi="Calibri" w:cs="Calibri"/>
          <w:sz w:val="22"/>
          <w:szCs w:val="22"/>
        </w:rPr>
        <w:t xml:space="preserve">The moral duty of the retainers is to stand firm in battle, even at the cost of their own lives.  The act of cowardice had broken faith with the lord and broke the contract of loyalty and service.  In </w:t>
      </w:r>
      <w:r w:rsidRPr="3737E55B">
        <w:rPr>
          <w:rFonts w:ascii="Calibri" w:eastAsia="Calibri" w:hAnsi="Calibri" w:cs="Calibri"/>
          <w:i/>
          <w:iCs/>
          <w:sz w:val="22"/>
          <w:szCs w:val="22"/>
        </w:rPr>
        <w:t>the Battle of Maldon</w:t>
      </w:r>
      <w:r w:rsidRPr="3737E55B">
        <w:rPr>
          <w:rFonts w:ascii="Calibri" w:eastAsia="Calibri" w:hAnsi="Calibri" w:cs="Calibri"/>
          <w:sz w:val="22"/>
          <w:szCs w:val="22"/>
        </w:rPr>
        <w:t xml:space="preserve">, loyalty to the lord, even at the cost of failure, is central to the heroic code of honour: </w:t>
      </w:r>
      <w:r w:rsidR="00F13E28">
        <w:rPr>
          <w:rFonts w:ascii="Calibri" w:eastAsia="Calibri" w:hAnsi="Calibri" w:cs="Calibri"/>
          <w:sz w:val="22"/>
          <w:szCs w:val="22"/>
        </w:rPr>
        <w:t>‘</w:t>
      </w:r>
      <w:r w:rsidR="00A55D26">
        <w:rPr>
          <w:rFonts w:ascii="Calibri" w:eastAsia="Calibri" w:hAnsi="Calibri" w:cs="Calibri"/>
          <w:sz w:val="22"/>
          <w:szCs w:val="22"/>
        </w:rPr>
        <w:t>We needn’t be reduced to war if you’re rich enough: we for gold will give you our guarantee</w:t>
      </w:r>
      <w:r w:rsidR="00F13E28">
        <w:rPr>
          <w:rFonts w:ascii="Calibri" w:eastAsia="Calibri" w:hAnsi="Calibri" w:cs="Calibri"/>
          <w:sz w:val="22"/>
          <w:szCs w:val="22"/>
        </w:rPr>
        <w:t>’</w:t>
      </w:r>
      <w:r w:rsidR="00A55D26">
        <w:rPr>
          <w:rFonts w:ascii="Calibri" w:eastAsia="Calibri" w:hAnsi="Calibri" w:cs="Calibri"/>
          <w:sz w:val="22"/>
          <w:szCs w:val="22"/>
        </w:rPr>
        <w:t>.</w:t>
      </w:r>
      <w:r w:rsidR="00A55D26">
        <w:rPr>
          <w:rStyle w:val="FootnoteReference"/>
          <w:rFonts w:ascii="Calibri" w:eastAsia="Calibri" w:hAnsi="Calibri" w:cs="Calibri"/>
          <w:sz w:val="22"/>
          <w:szCs w:val="22"/>
        </w:rPr>
        <w:footnoteReference w:id="17"/>
      </w:r>
      <w:r w:rsidRPr="3737E55B">
        <w:rPr>
          <w:rFonts w:ascii="Calibri" w:eastAsia="Calibri" w:hAnsi="Calibri" w:cs="Calibri"/>
          <w:sz w:val="22"/>
          <w:szCs w:val="22"/>
        </w:rPr>
        <w:t xml:space="preserve"> In the poem, Godric one of Byrhtnoth’s men fled the battle with his brothers by stealing Byrhnoth’s horse. The reader instinctively knows that Godric represents a Judas type of character, even though he has been honoured with gift</w:t>
      </w:r>
      <w:r w:rsidR="00EF453D">
        <w:rPr>
          <w:rFonts w:ascii="Calibri" w:eastAsia="Calibri" w:hAnsi="Calibri" w:cs="Calibri"/>
          <w:sz w:val="22"/>
          <w:szCs w:val="22"/>
        </w:rPr>
        <w:t>s</w:t>
      </w:r>
      <w:r w:rsidRPr="3737E55B">
        <w:rPr>
          <w:rFonts w:ascii="Calibri" w:eastAsia="Calibri" w:hAnsi="Calibri" w:cs="Calibri"/>
          <w:sz w:val="22"/>
          <w:szCs w:val="22"/>
        </w:rPr>
        <w:t xml:space="preserve"> and a valued reputation. The idea of a coward’s behaviour for the Anglo Saxons is depicted not as panic but as personal disloyalty to anarchic order</w:t>
      </w:r>
      <w:r w:rsidR="0052590E">
        <w:rPr>
          <w:rStyle w:val="FootnoteReference"/>
          <w:rFonts w:ascii="Calibri" w:eastAsia="Calibri" w:hAnsi="Calibri" w:cs="Calibri"/>
          <w:sz w:val="22"/>
          <w:szCs w:val="22"/>
        </w:rPr>
        <w:footnoteReference w:id="18"/>
      </w:r>
      <w:r w:rsidRPr="3737E55B">
        <w:rPr>
          <w:rFonts w:ascii="Calibri" w:eastAsia="Calibri" w:hAnsi="Calibri" w:cs="Calibri"/>
          <w:sz w:val="22"/>
          <w:szCs w:val="22"/>
        </w:rPr>
        <w:t xml:space="preserve">.  The taking of gifts and smearing the obligation of the vassal is a dire act. It </w:t>
      </w:r>
      <w:r w:rsidRPr="3737E55B">
        <w:rPr>
          <w:rFonts w:ascii="Calibri" w:eastAsia="Calibri" w:hAnsi="Calibri" w:cs="Calibri"/>
          <w:sz w:val="22"/>
          <w:szCs w:val="22"/>
        </w:rPr>
        <w:lastRenderedPageBreak/>
        <w:t xml:space="preserve">would be viewed as better to fight in honour of the leader and die than to run from battle. In the eyes of an Anglo-Saxon audience a warrior would be better off dead than to lose the privileges he obtained from his life in the </w:t>
      </w:r>
      <w:r w:rsidRPr="3737E55B">
        <w:rPr>
          <w:rFonts w:ascii="Calibri" w:eastAsia="Calibri" w:hAnsi="Calibri" w:cs="Calibri"/>
          <w:i/>
          <w:iCs/>
          <w:sz w:val="22"/>
          <w:szCs w:val="22"/>
        </w:rPr>
        <w:t>comitatus</w:t>
      </w:r>
      <w:r w:rsidRPr="3737E55B">
        <w:rPr>
          <w:rFonts w:ascii="Calibri" w:eastAsia="Calibri" w:hAnsi="Calibri" w:cs="Calibri"/>
          <w:sz w:val="22"/>
          <w:szCs w:val="22"/>
        </w:rPr>
        <w:t xml:space="preserve">. </w:t>
      </w:r>
      <w:r w:rsidRPr="3737E55B">
        <w:rPr>
          <w:rFonts w:ascii="Calibri" w:eastAsia="Calibri" w:hAnsi="Calibri" w:cs="Calibri"/>
          <w:i/>
          <w:iCs/>
          <w:sz w:val="22"/>
          <w:szCs w:val="22"/>
        </w:rPr>
        <w:t>The Battle of Maldon</w:t>
      </w:r>
      <w:r w:rsidRPr="3737E55B">
        <w:rPr>
          <w:rFonts w:ascii="Calibri" w:eastAsia="Calibri" w:hAnsi="Calibri" w:cs="Calibri"/>
          <w:sz w:val="22"/>
          <w:szCs w:val="22"/>
        </w:rPr>
        <w:t xml:space="preserve"> as Clark highlights is to choose between a life of disgrace or death and honour</w:t>
      </w:r>
      <w:r w:rsidR="008564B9">
        <w:rPr>
          <w:rFonts w:ascii="Calibri" w:eastAsia="Calibri" w:hAnsi="Calibri" w:cs="Calibri"/>
          <w:sz w:val="22"/>
          <w:szCs w:val="22"/>
        </w:rPr>
        <w:t>.</w:t>
      </w:r>
      <w:r w:rsidR="0052590E">
        <w:rPr>
          <w:rStyle w:val="FootnoteReference"/>
          <w:rFonts w:ascii="Calibri" w:eastAsia="Calibri" w:hAnsi="Calibri" w:cs="Calibri"/>
          <w:sz w:val="22"/>
          <w:szCs w:val="22"/>
        </w:rPr>
        <w:footnoteReference w:id="19"/>
      </w:r>
      <w:r w:rsidRPr="3737E55B">
        <w:rPr>
          <w:rFonts w:ascii="Calibri" w:eastAsia="Calibri" w:hAnsi="Calibri" w:cs="Calibri"/>
          <w:sz w:val="22"/>
          <w:szCs w:val="22"/>
        </w:rPr>
        <w:t xml:space="preserve">  The poet’s decision to present two Godric’s is significant. Firstly, the son of Odda, who runs from battle; secondly, the son of Æpelgar, who “</w:t>
      </w:r>
      <w:r w:rsidR="00A55D26">
        <w:rPr>
          <w:rFonts w:ascii="Calibri" w:eastAsia="Calibri" w:hAnsi="Calibri" w:cs="Calibri"/>
          <w:sz w:val="22"/>
          <w:szCs w:val="22"/>
        </w:rPr>
        <w:t>That was not the Godric who fled the engagement</w:t>
      </w:r>
      <w:r w:rsidRPr="3737E55B">
        <w:rPr>
          <w:rFonts w:ascii="Calibri" w:eastAsia="Calibri" w:hAnsi="Calibri" w:cs="Calibri"/>
          <w:sz w:val="22"/>
          <w:szCs w:val="22"/>
        </w:rPr>
        <w:t>”</w:t>
      </w:r>
      <w:r w:rsidR="00A55D26">
        <w:rPr>
          <w:rFonts w:ascii="Calibri" w:eastAsia="Calibri" w:hAnsi="Calibri" w:cs="Calibri"/>
          <w:sz w:val="22"/>
          <w:szCs w:val="22"/>
        </w:rPr>
        <w:t>.</w:t>
      </w:r>
      <w:r w:rsidR="00A55D26">
        <w:rPr>
          <w:rStyle w:val="FootnoteReference"/>
          <w:rFonts w:ascii="Calibri" w:eastAsia="Calibri" w:hAnsi="Calibri" w:cs="Calibri"/>
          <w:sz w:val="22"/>
          <w:szCs w:val="22"/>
        </w:rPr>
        <w:footnoteReference w:id="20"/>
      </w:r>
      <w:r w:rsidRPr="3737E55B">
        <w:rPr>
          <w:rFonts w:ascii="Calibri" w:eastAsia="Calibri" w:hAnsi="Calibri" w:cs="Calibri"/>
          <w:sz w:val="22"/>
          <w:szCs w:val="22"/>
        </w:rPr>
        <w:t xml:space="preserve"> Illustrating a warrior who chooses loyalty over betrayal, fulfilling his obligation to his lord. </w:t>
      </w:r>
    </w:p>
    <w:p w14:paraId="27B086EB" w14:textId="56C17F76" w:rsidR="3737E55B" w:rsidRDefault="3737E55B" w:rsidP="3737E55B">
      <w:pPr>
        <w:spacing w:after="160" w:line="259" w:lineRule="auto"/>
        <w:jc w:val="center"/>
        <w:rPr>
          <w:rFonts w:ascii="Calibri" w:eastAsia="Calibri" w:hAnsi="Calibri" w:cs="Calibri"/>
          <w:sz w:val="22"/>
          <w:szCs w:val="22"/>
        </w:rPr>
      </w:pPr>
      <w:r w:rsidRPr="3737E55B">
        <w:rPr>
          <w:rFonts w:ascii="Calibri" w:eastAsia="Calibri" w:hAnsi="Calibri" w:cs="Calibri"/>
          <w:b/>
          <w:bCs/>
          <w:sz w:val="22"/>
          <w:szCs w:val="22"/>
        </w:rPr>
        <w:t>The Attributes of the Role-Model</w:t>
      </w:r>
    </w:p>
    <w:p w14:paraId="57F8AAFD" w14:textId="0A45AD5D" w:rsidR="3737E55B" w:rsidRDefault="3737E55B" w:rsidP="00AD0075">
      <w:pPr>
        <w:spacing w:after="160" w:line="480" w:lineRule="auto"/>
        <w:rPr>
          <w:rFonts w:ascii="Calibri" w:eastAsia="Calibri" w:hAnsi="Calibri" w:cs="Calibri"/>
          <w:sz w:val="22"/>
          <w:szCs w:val="22"/>
        </w:rPr>
      </w:pPr>
      <w:r w:rsidRPr="3737E55B">
        <w:rPr>
          <w:rFonts w:ascii="Calibri" w:eastAsia="Calibri" w:hAnsi="Calibri" w:cs="Calibri"/>
          <w:sz w:val="22"/>
          <w:szCs w:val="22"/>
        </w:rPr>
        <w:t xml:space="preserve">A further feature of the heroic figure was the idea of the role-model. Loyalty undeniably was at the core of the </w:t>
      </w:r>
      <w:r w:rsidRPr="3737E55B">
        <w:rPr>
          <w:rFonts w:ascii="Calibri" w:eastAsia="Calibri" w:hAnsi="Calibri" w:cs="Calibri"/>
          <w:i/>
          <w:iCs/>
          <w:sz w:val="22"/>
          <w:szCs w:val="22"/>
        </w:rPr>
        <w:t>comitatus</w:t>
      </w:r>
      <w:r w:rsidRPr="3737E55B">
        <w:rPr>
          <w:rFonts w:ascii="Calibri" w:eastAsia="Calibri" w:hAnsi="Calibri" w:cs="Calibri"/>
          <w:sz w:val="22"/>
          <w:szCs w:val="22"/>
        </w:rPr>
        <w:t>. It was the intangible agreement</w:t>
      </w:r>
      <w:r w:rsidR="00ED0311">
        <w:rPr>
          <w:rFonts w:ascii="Calibri" w:eastAsia="Calibri" w:hAnsi="Calibri" w:cs="Calibri"/>
          <w:sz w:val="22"/>
          <w:szCs w:val="22"/>
        </w:rPr>
        <w:t xml:space="preserve"> by</w:t>
      </w:r>
      <w:r w:rsidRPr="3737E55B">
        <w:rPr>
          <w:rFonts w:ascii="Calibri" w:eastAsia="Calibri" w:hAnsi="Calibri" w:cs="Calibri"/>
          <w:sz w:val="22"/>
          <w:szCs w:val="22"/>
        </w:rPr>
        <w:t xml:space="preserve"> binding a vassal to his lord, with insurance that his warriors would succeed in conflict. In the Heroics we see frequently the idea of the perfected </w:t>
      </w:r>
      <w:r w:rsidR="00ED0311">
        <w:rPr>
          <w:rFonts w:ascii="Calibri" w:eastAsia="Calibri" w:hAnsi="Calibri" w:cs="Calibri"/>
          <w:sz w:val="22"/>
          <w:szCs w:val="22"/>
        </w:rPr>
        <w:t>hero</w:t>
      </w:r>
      <w:r w:rsidRPr="3737E55B">
        <w:rPr>
          <w:rFonts w:ascii="Calibri" w:eastAsia="Calibri" w:hAnsi="Calibri" w:cs="Calibri"/>
          <w:sz w:val="22"/>
          <w:szCs w:val="22"/>
        </w:rPr>
        <w:t xml:space="preserve">, illustrating a warrior who remains strong in battle, combined with his physical and mental capabilities. The ability of a vassal to be composed in times of conflict was the mark of a skilled warrior. In the </w:t>
      </w:r>
      <w:r w:rsidRPr="3737E55B">
        <w:rPr>
          <w:rFonts w:ascii="Calibri" w:eastAsia="Calibri" w:hAnsi="Calibri" w:cs="Calibri"/>
          <w:i/>
          <w:iCs/>
          <w:sz w:val="22"/>
          <w:szCs w:val="22"/>
        </w:rPr>
        <w:t>Battle of Maldon</w:t>
      </w:r>
      <w:r w:rsidRPr="3737E55B">
        <w:rPr>
          <w:rFonts w:ascii="Calibri" w:eastAsia="Calibri" w:hAnsi="Calibri" w:cs="Calibri"/>
          <w:sz w:val="22"/>
          <w:szCs w:val="22"/>
        </w:rPr>
        <w:t>, Byrhtnoth is represented as the “dying military hero”</w:t>
      </w:r>
      <w:r w:rsidR="00A55D26">
        <w:rPr>
          <w:rFonts w:ascii="Calibri" w:eastAsia="Calibri" w:hAnsi="Calibri" w:cs="Calibri"/>
          <w:sz w:val="22"/>
          <w:szCs w:val="22"/>
        </w:rPr>
        <w:t>,</w:t>
      </w:r>
      <w:r w:rsidR="0052590E">
        <w:rPr>
          <w:rStyle w:val="FootnoteReference"/>
          <w:rFonts w:ascii="Calibri" w:eastAsia="Calibri" w:hAnsi="Calibri" w:cs="Calibri"/>
          <w:sz w:val="22"/>
          <w:szCs w:val="22"/>
        </w:rPr>
        <w:footnoteReference w:id="21"/>
      </w:r>
      <w:r w:rsidRPr="3737E55B">
        <w:rPr>
          <w:rFonts w:ascii="Calibri" w:eastAsia="Calibri" w:hAnsi="Calibri" w:cs="Calibri"/>
          <w:sz w:val="22"/>
          <w:szCs w:val="22"/>
        </w:rPr>
        <w:t xml:space="preserve">battling against the "heathen" Vikings. It </w:t>
      </w:r>
      <w:r w:rsidR="002F0424" w:rsidRPr="3737E55B">
        <w:rPr>
          <w:rFonts w:ascii="Calibri" w:eastAsia="Calibri" w:hAnsi="Calibri" w:cs="Calibri"/>
          <w:sz w:val="22"/>
          <w:szCs w:val="22"/>
        </w:rPr>
        <w:t>wa</w:t>
      </w:r>
      <w:r w:rsidR="002F0424">
        <w:rPr>
          <w:rFonts w:ascii="Calibri" w:eastAsia="Calibri" w:hAnsi="Calibri" w:cs="Calibri"/>
          <w:sz w:val="22"/>
          <w:szCs w:val="22"/>
        </w:rPr>
        <w:t>s,</w:t>
      </w:r>
      <w:r w:rsidRPr="3737E55B">
        <w:rPr>
          <w:rFonts w:ascii="Calibri" w:eastAsia="Calibri" w:hAnsi="Calibri" w:cs="Calibri"/>
          <w:sz w:val="22"/>
          <w:szCs w:val="22"/>
        </w:rPr>
        <w:t xml:space="preserve"> therefore, vital for a lord to have a strong </w:t>
      </w:r>
      <w:r w:rsidR="00905EE4">
        <w:rPr>
          <w:rFonts w:ascii="Calibri" w:eastAsia="Calibri" w:hAnsi="Calibri" w:cs="Calibri"/>
          <w:sz w:val="22"/>
          <w:szCs w:val="22"/>
        </w:rPr>
        <w:t>W</w:t>
      </w:r>
      <w:r w:rsidRPr="3737E55B">
        <w:rPr>
          <w:rFonts w:ascii="Calibri" w:eastAsia="Calibri" w:hAnsi="Calibri" w:cs="Calibri"/>
          <w:sz w:val="22"/>
          <w:szCs w:val="22"/>
        </w:rPr>
        <w:t xml:space="preserve">arband around him, acting as a deterrent for any possible invasion. Furthermore, a historical figure within a fictional </w:t>
      </w:r>
      <w:r w:rsidRPr="3737E55B">
        <w:rPr>
          <w:rFonts w:ascii="Calibri" w:eastAsia="Calibri" w:hAnsi="Calibri" w:cs="Calibri"/>
          <w:i/>
          <w:iCs/>
          <w:sz w:val="22"/>
          <w:szCs w:val="22"/>
        </w:rPr>
        <w:t>comitatus</w:t>
      </w:r>
      <w:r w:rsidRPr="3737E55B">
        <w:rPr>
          <w:rFonts w:ascii="Calibri" w:eastAsia="Calibri" w:hAnsi="Calibri" w:cs="Calibri"/>
          <w:sz w:val="22"/>
          <w:szCs w:val="22"/>
        </w:rPr>
        <w:t xml:space="preserve"> </w:t>
      </w:r>
      <w:r w:rsidR="00ED0311">
        <w:rPr>
          <w:rFonts w:ascii="Calibri" w:eastAsia="Calibri" w:hAnsi="Calibri" w:cs="Calibri"/>
          <w:sz w:val="22"/>
          <w:szCs w:val="22"/>
        </w:rPr>
        <w:t>would have appealed to its audience</w:t>
      </w:r>
      <w:r w:rsidRPr="3737E55B">
        <w:rPr>
          <w:rFonts w:ascii="Calibri" w:eastAsia="Calibri" w:hAnsi="Calibri" w:cs="Calibri"/>
          <w:sz w:val="22"/>
          <w:szCs w:val="22"/>
        </w:rPr>
        <w:t xml:space="preserve">.  The battle at Maldon is historical, however, the narrative fictionalises the historical event. Creating morals and values which may not be present in historical accounts. In </w:t>
      </w:r>
      <w:r w:rsidRPr="3737E55B">
        <w:rPr>
          <w:rFonts w:ascii="Calibri" w:eastAsia="Calibri" w:hAnsi="Calibri" w:cs="Calibri"/>
          <w:i/>
          <w:iCs/>
          <w:sz w:val="22"/>
          <w:szCs w:val="22"/>
        </w:rPr>
        <w:t>Beowulf</w:t>
      </w:r>
      <w:r w:rsidRPr="3737E55B">
        <w:rPr>
          <w:rFonts w:ascii="Calibri" w:eastAsia="Calibri" w:hAnsi="Calibri" w:cs="Calibri"/>
          <w:sz w:val="22"/>
          <w:szCs w:val="22"/>
        </w:rPr>
        <w:t xml:space="preserve">, the reader instinctively understands Beowulf </w:t>
      </w:r>
      <w:r w:rsidR="00ED0311">
        <w:rPr>
          <w:rFonts w:ascii="Calibri" w:eastAsia="Calibri" w:hAnsi="Calibri" w:cs="Calibri"/>
          <w:sz w:val="22"/>
          <w:szCs w:val="22"/>
        </w:rPr>
        <w:t>to be</w:t>
      </w:r>
      <w:r w:rsidRPr="3737E55B">
        <w:rPr>
          <w:rFonts w:ascii="Calibri" w:eastAsia="Calibri" w:hAnsi="Calibri" w:cs="Calibri"/>
          <w:sz w:val="22"/>
          <w:szCs w:val="22"/>
        </w:rPr>
        <w:t xml:space="preserve"> a great warrior</w:t>
      </w:r>
      <w:r w:rsidR="00ED0311">
        <w:rPr>
          <w:rFonts w:ascii="Calibri" w:eastAsia="Calibri" w:hAnsi="Calibri" w:cs="Calibri"/>
          <w:sz w:val="22"/>
          <w:szCs w:val="22"/>
        </w:rPr>
        <w:t>,</w:t>
      </w:r>
      <w:r w:rsidRPr="3737E55B">
        <w:rPr>
          <w:rFonts w:ascii="Calibri" w:eastAsia="Calibri" w:hAnsi="Calibri" w:cs="Calibri"/>
          <w:sz w:val="22"/>
          <w:szCs w:val="22"/>
        </w:rPr>
        <w:t xml:space="preserve"> his ability </w:t>
      </w:r>
      <w:r w:rsidR="00ED0311">
        <w:rPr>
          <w:rFonts w:ascii="Calibri" w:eastAsia="Calibri" w:hAnsi="Calibri" w:cs="Calibri"/>
          <w:sz w:val="22"/>
          <w:szCs w:val="22"/>
        </w:rPr>
        <w:t>being</w:t>
      </w:r>
      <w:r w:rsidRPr="3737E55B">
        <w:rPr>
          <w:rFonts w:ascii="Calibri" w:eastAsia="Calibri" w:hAnsi="Calibri" w:cs="Calibri"/>
          <w:sz w:val="22"/>
          <w:szCs w:val="22"/>
        </w:rPr>
        <w:t xml:space="preserve"> characteri</w:t>
      </w:r>
      <w:r w:rsidR="002F0424">
        <w:rPr>
          <w:rFonts w:ascii="Calibri" w:eastAsia="Calibri" w:hAnsi="Calibri" w:cs="Calibri"/>
          <w:sz w:val="22"/>
          <w:szCs w:val="22"/>
        </w:rPr>
        <w:t>s</w:t>
      </w:r>
      <w:r w:rsidRPr="3737E55B">
        <w:rPr>
          <w:rFonts w:ascii="Calibri" w:eastAsia="Calibri" w:hAnsi="Calibri" w:cs="Calibri"/>
          <w:sz w:val="22"/>
          <w:szCs w:val="22"/>
        </w:rPr>
        <w:t xml:space="preserve">ed by his physical strength: </w:t>
      </w:r>
      <w:r w:rsidR="002F0424">
        <w:rPr>
          <w:rFonts w:ascii="Calibri" w:eastAsia="Calibri" w:hAnsi="Calibri" w:cs="Calibri"/>
          <w:sz w:val="22"/>
          <w:szCs w:val="22"/>
        </w:rPr>
        <w:t>‘</w:t>
      </w:r>
      <w:r w:rsidRPr="3737E55B">
        <w:rPr>
          <w:rFonts w:ascii="Calibri" w:eastAsia="Calibri" w:hAnsi="Calibri" w:cs="Calibri"/>
          <w:sz w:val="22"/>
          <w:szCs w:val="22"/>
        </w:rPr>
        <w:t>I have never seen a mightier warrior on earth than is a certain one amongst you, a hero in armour</w:t>
      </w:r>
      <w:r w:rsidR="002F0424">
        <w:rPr>
          <w:rFonts w:ascii="Calibri" w:eastAsia="Calibri" w:hAnsi="Calibri" w:cs="Calibri"/>
          <w:sz w:val="22"/>
          <w:szCs w:val="22"/>
        </w:rPr>
        <w:t>’</w:t>
      </w:r>
      <w:r w:rsidR="00A55D26">
        <w:rPr>
          <w:rFonts w:ascii="Calibri" w:eastAsia="Calibri" w:hAnsi="Calibri" w:cs="Calibri"/>
          <w:sz w:val="22"/>
          <w:szCs w:val="22"/>
        </w:rPr>
        <w:t>.</w:t>
      </w:r>
      <w:r w:rsidR="00A55D26">
        <w:rPr>
          <w:rStyle w:val="FootnoteReference"/>
          <w:rFonts w:ascii="Calibri" w:eastAsia="Calibri" w:hAnsi="Calibri" w:cs="Calibri"/>
          <w:sz w:val="22"/>
          <w:szCs w:val="22"/>
        </w:rPr>
        <w:footnoteReference w:id="22"/>
      </w:r>
      <w:r w:rsidRPr="3737E55B">
        <w:rPr>
          <w:rFonts w:ascii="Calibri" w:eastAsia="Calibri" w:hAnsi="Calibri" w:cs="Calibri"/>
          <w:sz w:val="22"/>
          <w:szCs w:val="22"/>
        </w:rPr>
        <w:t xml:space="preserve"> As a result, the audience would understand heroic figures being created to </w:t>
      </w:r>
      <w:r w:rsidRPr="3737E55B">
        <w:rPr>
          <w:rFonts w:ascii="Calibri" w:eastAsia="Calibri" w:hAnsi="Calibri" w:cs="Calibri"/>
          <w:sz w:val="22"/>
          <w:szCs w:val="22"/>
        </w:rPr>
        <w:lastRenderedPageBreak/>
        <w:t>provide a model of behaviour.  Fictionalising events was a medium to explore role-models in more depth. Scholars argue the motivation of Beowulf’s actions are scrutinised as self-serving, even if they are not for political advantage</w:t>
      </w:r>
      <w:r w:rsidR="00A55D26">
        <w:rPr>
          <w:rFonts w:ascii="Calibri" w:eastAsia="Calibri" w:hAnsi="Calibri" w:cs="Calibri"/>
          <w:sz w:val="22"/>
          <w:szCs w:val="22"/>
        </w:rPr>
        <w:t>.</w:t>
      </w:r>
      <w:r w:rsidR="0052590E">
        <w:rPr>
          <w:rStyle w:val="FootnoteReference"/>
          <w:rFonts w:ascii="Calibri" w:eastAsia="Calibri" w:hAnsi="Calibri" w:cs="Calibri"/>
          <w:sz w:val="22"/>
          <w:szCs w:val="22"/>
        </w:rPr>
        <w:footnoteReference w:id="23"/>
      </w:r>
      <w:r w:rsidRPr="3737E55B">
        <w:rPr>
          <w:rFonts w:ascii="Calibri" w:eastAsia="Calibri" w:hAnsi="Calibri" w:cs="Calibri"/>
          <w:sz w:val="22"/>
          <w:szCs w:val="22"/>
        </w:rPr>
        <w:t xml:space="preserve"> Beowulf’s strength is key to his vanity, but it can also be argued that heroic strength is considered a gift from God, whether it is used rightly or abused</w:t>
      </w:r>
      <w:r w:rsidR="00A55D26">
        <w:rPr>
          <w:rFonts w:ascii="Calibri" w:eastAsia="Calibri" w:hAnsi="Calibri" w:cs="Calibri"/>
          <w:sz w:val="22"/>
          <w:szCs w:val="22"/>
        </w:rPr>
        <w:t>.</w:t>
      </w:r>
      <w:r w:rsidR="0052590E">
        <w:rPr>
          <w:rStyle w:val="FootnoteReference"/>
          <w:rFonts w:ascii="Calibri" w:eastAsia="Calibri" w:hAnsi="Calibri" w:cs="Calibri"/>
          <w:sz w:val="22"/>
          <w:szCs w:val="22"/>
        </w:rPr>
        <w:footnoteReference w:id="24"/>
      </w:r>
      <w:r w:rsidRPr="3737E55B">
        <w:rPr>
          <w:rFonts w:ascii="Calibri" w:eastAsia="Calibri" w:hAnsi="Calibri" w:cs="Calibri"/>
          <w:sz w:val="22"/>
          <w:szCs w:val="22"/>
        </w:rPr>
        <w:t xml:space="preserve"> Whatever Beowulf’s reasons are, he completes what he sets out to do, even at the risk of his allies.</w:t>
      </w:r>
    </w:p>
    <w:p w14:paraId="24219B10" w14:textId="0956B9A4" w:rsidR="3737E55B" w:rsidRDefault="3737E55B" w:rsidP="00E45032">
      <w:pPr>
        <w:spacing w:line="480" w:lineRule="auto"/>
        <w:rPr>
          <w:rFonts w:ascii="Calibri" w:eastAsia="Calibri" w:hAnsi="Calibri" w:cs="Calibri"/>
          <w:sz w:val="22"/>
          <w:szCs w:val="22"/>
        </w:rPr>
      </w:pPr>
      <w:r w:rsidRPr="3737E55B">
        <w:rPr>
          <w:rFonts w:ascii="Calibri" w:eastAsia="Calibri" w:hAnsi="Calibri" w:cs="Calibri"/>
          <w:sz w:val="22"/>
          <w:szCs w:val="22"/>
        </w:rPr>
        <w:t xml:space="preserve">In Anglo-Saxon </w:t>
      </w:r>
      <w:r w:rsidR="008D3FCF">
        <w:rPr>
          <w:rFonts w:ascii="Calibri" w:eastAsia="Calibri" w:hAnsi="Calibri" w:cs="Calibri"/>
          <w:sz w:val="22"/>
          <w:szCs w:val="22"/>
        </w:rPr>
        <w:t>society</w:t>
      </w:r>
      <w:r w:rsidRPr="3737E55B">
        <w:rPr>
          <w:rFonts w:ascii="Calibri" w:eastAsia="Calibri" w:hAnsi="Calibri" w:cs="Calibri"/>
          <w:sz w:val="22"/>
          <w:szCs w:val="22"/>
        </w:rPr>
        <w:t xml:space="preserve">, fighting for personal honour </w:t>
      </w:r>
      <w:r w:rsidR="008D3FCF">
        <w:rPr>
          <w:rFonts w:ascii="Calibri" w:eastAsia="Calibri" w:hAnsi="Calibri" w:cs="Calibri"/>
          <w:sz w:val="22"/>
          <w:szCs w:val="22"/>
        </w:rPr>
        <w:t>such as</w:t>
      </w:r>
      <w:r w:rsidRPr="3737E55B">
        <w:rPr>
          <w:rFonts w:ascii="Calibri" w:eastAsia="Calibri" w:hAnsi="Calibri" w:cs="Calibri"/>
          <w:sz w:val="22"/>
          <w:szCs w:val="22"/>
        </w:rPr>
        <w:t xml:space="preserve"> blood debts was standard. Vengeance for the death of kin is explored in detail when Grendel's mother avenges the death of her son. Beowulf tak</w:t>
      </w:r>
      <w:r w:rsidR="008D3FCF">
        <w:rPr>
          <w:rFonts w:ascii="Calibri" w:eastAsia="Calibri" w:hAnsi="Calibri" w:cs="Calibri"/>
          <w:sz w:val="22"/>
          <w:szCs w:val="22"/>
        </w:rPr>
        <w:t>es</w:t>
      </w:r>
      <w:r w:rsidRPr="3737E55B">
        <w:rPr>
          <w:rFonts w:ascii="Calibri" w:eastAsia="Calibri" w:hAnsi="Calibri" w:cs="Calibri"/>
          <w:sz w:val="22"/>
          <w:szCs w:val="22"/>
        </w:rPr>
        <w:t xml:space="preserve"> on the role of </w:t>
      </w:r>
      <w:r w:rsidR="008D3FCF">
        <w:rPr>
          <w:rFonts w:ascii="Calibri" w:eastAsia="Calibri" w:hAnsi="Calibri" w:cs="Calibri"/>
          <w:sz w:val="22"/>
          <w:szCs w:val="22"/>
        </w:rPr>
        <w:t xml:space="preserve">the </w:t>
      </w:r>
      <w:r w:rsidRPr="3737E55B">
        <w:rPr>
          <w:rFonts w:ascii="Calibri" w:eastAsia="Calibri" w:hAnsi="Calibri" w:cs="Calibri"/>
          <w:sz w:val="22"/>
          <w:szCs w:val="22"/>
        </w:rPr>
        <w:t>leader</w:t>
      </w:r>
      <w:r w:rsidR="008D3FCF">
        <w:rPr>
          <w:rFonts w:ascii="Calibri" w:eastAsia="Calibri" w:hAnsi="Calibri" w:cs="Calibri"/>
          <w:sz w:val="22"/>
          <w:szCs w:val="22"/>
        </w:rPr>
        <w:t>,</w:t>
      </w:r>
      <w:r w:rsidRPr="3737E55B">
        <w:rPr>
          <w:rFonts w:ascii="Calibri" w:eastAsia="Calibri" w:hAnsi="Calibri" w:cs="Calibri"/>
          <w:sz w:val="22"/>
          <w:szCs w:val="22"/>
        </w:rPr>
        <w:t xml:space="preserve"> </w:t>
      </w:r>
      <w:r w:rsidR="008D3FCF">
        <w:rPr>
          <w:rFonts w:ascii="Calibri" w:eastAsia="Calibri" w:hAnsi="Calibri" w:cs="Calibri"/>
          <w:sz w:val="22"/>
          <w:szCs w:val="22"/>
        </w:rPr>
        <w:t>administering action,</w:t>
      </w:r>
      <w:r w:rsidRPr="3737E55B">
        <w:rPr>
          <w:rFonts w:ascii="Calibri" w:eastAsia="Calibri" w:hAnsi="Calibri" w:cs="Calibri"/>
          <w:sz w:val="22"/>
          <w:szCs w:val="22"/>
        </w:rPr>
        <w:t xml:space="preserve"> which elevates him to the position of role-model.</w:t>
      </w:r>
    </w:p>
    <w:p w14:paraId="4423B81F" w14:textId="277C322C" w:rsidR="3737E55B" w:rsidRDefault="3737E55B" w:rsidP="00E45032">
      <w:pPr>
        <w:spacing w:after="160" w:line="480" w:lineRule="auto"/>
        <w:ind w:left="1134" w:right="1134"/>
        <w:rPr>
          <w:rFonts w:ascii="Calibri" w:eastAsia="Calibri" w:hAnsi="Calibri" w:cs="Calibri"/>
          <w:sz w:val="22"/>
          <w:szCs w:val="22"/>
        </w:rPr>
      </w:pPr>
      <w:r w:rsidRPr="3737E55B">
        <w:rPr>
          <w:rFonts w:ascii="Calibri" w:eastAsia="Calibri" w:hAnsi="Calibri" w:cs="Calibri"/>
          <w:sz w:val="22"/>
          <w:szCs w:val="22"/>
        </w:rPr>
        <w:t>Rise up, guardian of the kingdom; let us go swiftly to examine the trail and Grendel’s relative. I promise you this: she will not escape under cover, neither in the bosom of the earth, nor in the mountain forest, nor at the bottom of the ocean, go where she will. For today have patience in every affliction, as I expect you to</w:t>
      </w:r>
      <w:r w:rsidR="00A55D26">
        <w:rPr>
          <w:rFonts w:ascii="Calibri" w:eastAsia="Calibri" w:hAnsi="Calibri" w:cs="Calibri"/>
          <w:sz w:val="22"/>
          <w:szCs w:val="22"/>
        </w:rPr>
        <w:t>.</w:t>
      </w:r>
      <w:r w:rsidR="00A55D26">
        <w:rPr>
          <w:rStyle w:val="FootnoteReference"/>
          <w:rFonts w:ascii="Calibri" w:eastAsia="Calibri" w:hAnsi="Calibri" w:cs="Calibri"/>
          <w:sz w:val="22"/>
          <w:szCs w:val="22"/>
        </w:rPr>
        <w:footnoteReference w:id="25"/>
      </w:r>
      <w:r w:rsidRPr="3737E55B">
        <w:rPr>
          <w:rFonts w:ascii="Calibri" w:eastAsia="Calibri" w:hAnsi="Calibri" w:cs="Calibri"/>
          <w:sz w:val="22"/>
          <w:szCs w:val="22"/>
        </w:rPr>
        <w:t xml:space="preserve"> </w:t>
      </w:r>
    </w:p>
    <w:p w14:paraId="42407FB4" w14:textId="40993A49" w:rsidR="3737E55B" w:rsidRDefault="3737E55B" w:rsidP="00E45032">
      <w:pPr>
        <w:spacing w:after="160" w:line="480" w:lineRule="auto"/>
        <w:rPr>
          <w:rFonts w:ascii="Calibri" w:eastAsia="Calibri" w:hAnsi="Calibri" w:cs="Calibri"/>
          <w:sz w:val="22"/>
          <w:szCs w:val="22"/>
        </w:rPr>
      </w:pPr>
      <w:r w:rsidRPr="008D3FCF">
        <w:rPr>
          <w:rFonts w:ascii="Calibri" w:eastAsia="Calibri" w:hAnsi="Calibri" w:cs="Calibri"/>
          <w:i/>
          <w:iCs/>
          <w:sz w:val="22"/>
          <w:szCs w:val="22"/>
        </w:rPr>
        <w:t>Beowulf</w:t>
      </w:r>
      <w:r w:rsidRPr="3737E55B">
        <w:rPr>
          <w:rFonts w:ascii="Calibri" w:eastAsia="Calibri" w:hAnsi="Calibri" w:cs="Calibri"/>
          <w:sz w:val="22"/>
          <w:szCs w:val="22"/>
        </w:rPr>
        <w:t xml:space="preserve"> highlights the concept of violence, which is undoubtedly a social transaction within the </w:t>
      </w:r>
      <w:r w:rsidRPr="3737E55B">
        <w:rPr>
          <w:rFonts w:ascii="Calibri" w:eastAsia="Calibri" w:hAnsi="Calibri" w:cs="Calibri"/>
          <w:i/>
          <w:iCs/>
          <w:sz w:val="22"/>
          <w:szCs w:val="22"/>
        </w:rPr>
        <w:t>comitatus</w:t>
      </w:r>
      <w:r w:rsidR="00A55D26">
        <w:rPr>
          <w:rFonts w:ascii="Calibri" w:eastAsia="Calibri" w:hAnsi="Calibri" w:cs="Calibri"/>
          <w:i/>
          <w:iCs/>
          <w:sz w:val="22"/>
          <w:szCs w:val="22"/>
        </w:rPr>
        <w:t>.</w:t>
      </w:r>
      <w:r w:rsidR="0052590E">
        <w:rPr>
          <w:rStyle w:val="FootnoteReference"/>
          <w:rFonts w:ascii="Calibri" w:eastAsia="Calibri" w:hAnsi="Calibri" w:cs="Calibri"/>
          <w:i/>
          <w:iCs/>
          <w:sz w:val="22"/>
          <w:szCs w:val="22"/>
        </w:rPr>
        <w:footnoteReference w:id="26"/>
      </w:r>
      <w:r w:rsidRPr="3737E55B">
        <w:rPr>
          <w:rFonts w:ascii="Calibri" w:eastAsia="Calibri" w:hAnsi="Calibri" w:cs="Calibri"/>
          <w:sz w:val="22"/>
          <w:szCs w:val="22"/>
        </w:rPr>
        <w:t xml:space="preserve"> The readers would view any imagery of violence as the norm, but it </w:t>
      </w:r>
      <w:r w:rsidR="008D3FCF">
        <w:rPr>
          <w:rFonts w:ascii="Calibri" w:eastAsia="Calibri" w:hAnsi="Calibri" w:cs="Calibri"/>
          <w:sz w:val="22"/>
          <w:szCs w:val="22"/>
        </w:rPr>
        <w:t xml:space="preserve">is </w:t>
      </w:r>
      <w:r w:rsidRPr="3737E55B">
        <w:rPr>
          <w:rFonts w:ascii="Calibri" w:eastAsia="Calibri" w:hAnsi="Calibri" w:cs="Calibri"/>
          <w:sz w:val="22"/>
          <w:szCs w:val="22"/>
        </w:rPr>
        <w:t xml:space="preserve">the act of brutality </w:t>
      </w:r>
      <w:r w:rsidR="008D3FCF">
        <w:rPr>
          <w:rFonts w:ascii="Calibri" w:eastAsia="Calibri" w:hAnsi="Calibri" w:cs="Calibri"/>
          <w:sz w:val="22"/>
          <w:szCs w:val="22"/>
        </w:rPr>
        <w:t>against</w:t>
      </w:r>
      <w:r w:rsidRPr="3737E55B">
        <w:rPr>
          <w:rFonts w:ascii="Calibri" w:eastAsia="Calibri" w:hAnsi="Calibri" w:cs="Calibri"/>
          <w:sz w:val="22"/>
          <w:szCs w:val="22"/>
        </w:rPr>
        <w:t xml:space="preserve"> the </w:t>
      </w:r>
      <w:r w:rsidRPr="3737E55B">
        <w:rPr>
          <w:rFonts w:ascii="Calibri" w:eastAsia="Calibri" w:hAnsi="Calibri" w:cs="Calibri"/>
          <w:i/>
          <w:iCs/>
          <w:sz w:val="22"/>
          <w:szCs w:val="22"/>
        </w:rPr>
        <w:t>comitatus</w:t>
      </w:r>
      <w:r w:rsidRPr="3737E55B">
        <w:rPr>
          <w:rFonts w:ascii="Calibri" w:eastAsia="Calibri" w:hAnsi="Calibri" w:cs="Calibri"/>
          <w:sz w:val="22"/>
          <w:szCs w:val="22"/>
        </w:rPr>
        <w:t xml:space="preserve"> which would be a greater offence. The destruction of the </w:t>
      </w:r>
      <w:r w:rsidRPr="3737E55B">
        <w:rPr>
          <w:rFonts w:ascii="Calibri" w:eastAsia="Calibri" w:hAnsi="Calibri" w:cs="Calibri"/>
          <w:i/>
          <w:iCs/>
          <w:sz w:val="22"/>
          <w:szCs w:val="22"/>
        </w:rPr>
        <w:t>Heorot</w:t>
      </w:r>
      <w:r w:rsidRPr="3737E55B">
        <w:rPr>
          <w:rFonts w:ascii="Calibri" w:eastAsia="Calibri" w:hAnsi="Calibri" w:cs="Calibri"/>
          <w:sz w:val="22"/>
          <w:szCs w:val="22"/>
        </w:rPr>
        <w:t xml:space="preserve"> by Grendel was not just an act of violence, but a symbol of destruction against the social order of the </w:t>
      </w:r>
      <w:r w:rsidR="002F0424">
        <w:rPr>
          <w:rFonts w:ascii="Calibri" w:eastAsia="Calibri" w:hAnsi="Calibri" w:cs="Calibri"/>
          <w:sz w:val="22"/>
          <w:szCs w:val="22"/>
        </w:rPr>
        <w:t>Danes</w:t>
      </w:r>
      <w:r w:rsidRPr="3737E55B">
        <w:rPr>
          <w:rFonts w:ascii="Calibri" w:eastAsia="Calibri" w:hAnsi="Calibri" w:cs="Calibri"/>
          <w:sz w:val="22"/>
          <w:szCs w:val="22"/>
        </w:rPr>
        <w:t xml:space="preserve">. </w:t>
      </w:r>
      <w:r w:rsidR="008D3FCF">
        <w:rPr>
          <w:rFonts w:ascii="Calibri" w:eastAsia="Calibri" w:hAnsi="Calibri" w:cs="Calibri"/>
          <w:sz w:val="22"/>
          <w:szCs w:val="22"/>
        </w:rPr>
        <w:t>Clearly, the</w:t>
      </w:r>
      <w:r w:rsidRPr="3737E55B">
        <w:rPr>
          <w:rFonts w:ascii="Calibri" w:eastAsia="Calibri" w:hAnsi="Calibri" w:cs="Calibri"/>
          <w:sz w:val="22"/>
          <w:szCs w:val="22"/>
        </w:rPr>
        <w:t xml:space="preserve"> act of violence was core to a warrior's identity, becoming a symbol of </w:t>
      </w:r>
      <w:r w:rsidRPr="3737E55B">
        <w:rPr>
          <w:rFonts w:ascii="Calibri" w:eastAsia="Calibri" w:hAnsi="Calibri" w:cs="Calibri"/>
          <w:sz w:val="22"/>
          <w:szCs w:val="22"/>
        </w:rPr>
        <w:lastRenderedPageBreak/>
        <w:t>property that affected his reputation and the rewards he would inherit. Marking him as a good fighter</w:t>
      </w:r>
      <w:r w:rsidR="008D3FCF">
        <w:rPr>
          <w:rFonts w:ascii="Calibri" w:eastAsia="Calibri" w:hAnsi="Calibri" w:cs="Calibri"/>
          <w:sz w:val="22"/>
          <w:szCs w:val="22"/>
        </w:rPr>
        <w:t xml:space="preserve"> and</w:t>
      </w:r>
      <w:r w:rsidRPr="3737E55B">
        <w:rPr>
          <w:rFonts w:ascii="Calibri" w:eastAsia="Calibri" w:hAnsi="Calibri" w:cs="Calibri"/>
          <w:sz w:val="22"/>
          <w:szCs w:val="22"/>
        </w:rPr>
        <w:t xml:space="preserve"> a man of honour. </w:t>
      </w:r>
    </w:p>
    <w:p w14:paraId="6FE3DFAA" w14:textId="7A112CDF" w:rsidR="3737E55B" w:rsidRDefault="3737E55B" w:rsidP="00E45032">
      <w:pPr>
        <w:spacing w:after="160" w:line="480" w:lineRule="auto"/>
        <w:rPr>
          <w:rFonts w:ascii="Calibri" w:eastAsia="Calibri" w:hAnsi="Calibri" w:cs="Calibri"/>
          <w:sz w:val="22"/>
          <w:szCs w:val="22"/>
        </w:rPr>
      </w:pPr>
      <w:r w:rsidRPr="3737E55B">
        <w:rPr>
          <w:rFonts w:ascii="Calibri" w:eastAsia="Calibri" w:hAnsi="Calibri" w:cs="Calibri"/>
          <w:sz w:val="22"/>
          <w:szCs w:val="22"/>
        </w:rPr>
        <w:t>The physical attributes of a warrior were certainly a characteristic of the role-model, symbolically a weapon was another motif that defined him as a good warrior. Weapons were</w:t>
      </w:r>
      <w:r w:rsidR="00905EE4">
        <w:rPr>
          <w:rFonts w:ascii="Calibri" w:eastAsia="Calibri" w:hAnsi="Calibri" w:cs="Calibri"/>
          <w:sz w:val="22"/>
          <w:szCs w:val="22"/>
        </w:rPr>
        <w:t>,</w:t>
      </w:r>
      <w:r w:rsidRPr="3737E55B">
        <w:rPr>
          <w:rFonts w:ascii="Calibri" w:eastAsia="Calibri" w:hAnsi="Calibri" w:cs="Calibri"/>
          <w:sz w:val="22"/>
          <w:szCs w:val="22"/>
        </w:rPr>
        <w:t xml:space="preserve"> </w:t>
      </w:r>
      <w:r w:rsidR="002F0424">
        <w:rPr>
          <w:rFonts w:ascii="Calibri" w:eastAsia="Calibri" w:hAnsi="Calibri" w:cs="Calibri"/>
          <w:sz w:val="22"/>
          <w:szCs w:val="22"/>
        </w:rPr>
        <w:t>therefore</w:t>
      </w:r>
      <w:r w:rsidR="00905EE4">
        <w:rPr>
          <w:rFonts w:ascii="Calibri" w:eastAsia="Calibri" w:hAnsi="Calibri" w:cs="Calibri"/>
          <w:sz w:val="22"/>
          <w:szCs w:val="22"/>
        </w:rPr>
        <w:t>,</w:t>
      </w:r>
      <w:r w:rsidR="002F0424">
        <w:rPr>
          <w:rFonts w:ascii="Calibri" w:eastAsia="Calibri" w:hAnsi="Calibri" w:cs="Calibri"/>
          <w:sz w:val="22"/>
          <w:szCs w:val="22"/>
        </w:rPr>
        <w:t xml:space="preserve"> </w:t>
      </w:r>
      <w:r w:rsidRPr="3737E55B">
        <w:rPr>
          <w:rFonts w:ascii="Calibri" w:eastAsia="Calibri" w:hAnsi="Calibri" w:cs="Calibri"/>
          <w:sz w:val="22"/>
          <w:szCs w:val="22"/>
        </w:rPr>
        <w:t>a means of survival</w:t>
      </w:r>
      <w:r w:rsidR="008D3FCF">
        <w:rPr>
          <w:rFonts w:ascii="Calibri" w:eastAsia="Calibri" w:hAnsi="Calibri" w:cs="Calibri"/>
          <w:sz w:val="22"/>
          <w:szCs w:val="22"/>
        </w:rPr>
        <w:t>. I</w:t>
      </w:r>
      <w:r w:rsidRPr="3737E55B">
        <w:rPr>
          <w:rFonts w:ascii="Calibri" w:eastAsia="Calibri" w:hAnsi="Calibri" w:cs="Calibri"/>
          <w:sz w:val="22"/>
          <w:szCs w:val="22"/>
        </w:rPr>
        <w:t>t is of no surprise that a warrior would hold his weapons in such high regard</w:t>
      </w:r>
      <w:r w:rsidR="008D3FCF">
        <w:rPr>
          <w:rFonts w:ascii="Calibri" w:eastAsia="Calibri" w:hAnsi="Calibri" w:cs="Calibri"/>
          <w:sz w:val="22"/>
          <w:szCs w:val="22"/>
        </w:rPr>
        <w:t>. A</w:t>
      </w:r>
      <w:r w:rsidRPr="3737E55B">
        <w:rPr>
          <w:rFonts w:ascii="Calibri" w:eastAsia="Calibri" w:hAnsi="Calibri" w:cs="Calibri"/>
          <w:sz w:val="22"/>
          <w:szCs w:val="22"/>
        </w:rPr>
        <w:t xml:space="preserve"> close relationship with his war-gear was essential. Military identity was undoubtedly expressed through material culture, rewards and the ability to handle weapons well in conflict</w:t>
      </w:r>
      <w:r w:rsidR="00A55D26">
        <w:rPr>
          <w:rFonts w:ascii="Calibri" w:eastAsia="Calibri" w:hAnsi="Calibri" w:cs="Calibri"/>
          <w:sz w:val="22"/>
          <w:szCs w:val="22"/>
        </w:rPr>
        <w:t>.</w:t>
      </w:r>
      <w:r w:rsidR="00F973DC">
        <w:rPr>
          <w:rStyle w:val="FootnoteReference"/>
          <w:rFonts w:ascii="Calibri" w:eastAsia="Calibri" w:hAnsi="Calibri" w:cs="Calibri"/>
          <w:sz w:val="22"/>
          <w:szCs w:val="22"/>
        </w:rPr>
        <w:footnoteReference w:id="27"/>
      </w:r>
      <w:r w:rsidRPr="3737E55B">
        <w:rPr>
          <w:rFonts w:ascii="Calibri" w:eastAsia="Calibri" w:hAnsi="Calibri" w:cs="Calibri"/>
          <w:sz w:val="22"/>
          <w:szCs w:val="22"/>
        </w:rPr>
        <w:t xml:space="preserve"> The sword</w:t>
      </w:r>
      <w:r w:rsidR="008D3FCF">
        <w:rPr>
          <w:rFonts w:ascii="Calibri" w:eastAsia="Calibri" w:hAnsi="Calibri" w:cs="Calibri"/>
          <w:sz w:val="22"/>
          <w:szCs w:val="22"/>
        </w:rPr>
        <w:t xml:space="preserve"> </w:t>
      </w:r>
      <w:r w:rsidRPr="3737E55B">
        <w:rPr>
          <w:rFonts w:ascii="Calibri" w:eastAsia="Calibri" w:hAnsi="Calibri" w:cs="Calibri"/>
          <w:sz w:val="22"/>
          <w:szCs w:val="22"/>
        </w:rPr>
        <w:t>was the very symbol of the warrior, it was also a motif for his loyalty in battle. In some cases</w:t>
      </w:r>
      <w:r w:rsidR="008D3FCF">
        <w:rPr>
          <w:rFonts w:ascii="Calibri" w:eastAsia="Calibri" w:hAnsi="Calibri" w:cs="Calibri"/>
          <w:sz w:val="22"/>
          <w:szCs w:val="22"/>
        </w:rPr>
        <w:t>,</w:t>
      </w:r>
      <w:r w:rsidRPr="3737E55B">
        <w:rPr>
          <w:rFonts w:ascii="Calibri" w:eastAsia="Calibri" w:hAnsi="Calibri" w:cs="Calibri"/>
          <w:sz w:val="22"/>
          <w:szCs w:val="22"/>
        </w:rPr>
        <w:t xml:space="preserve"> the sword would be one of the many spoils from war</w:t>
      </w:r>
      <w:r w:rsidR="008D3FCF">
        <w:rPr>
          <w:rFonts w:ascii="Calibri" w:eastAsia="Calibri" w:hAnsi="Calibri" w:cs="Calibri"/>
          <w:sz w:val="22"/>
          <w:szCs w:val="22"/>
        </w:rPr>
        <w:t xml:space="preserve">. Anglo-Saxon burials where a well-crafted sword is present </w:t>
      </w:r>
      <w:r w:rsidRPr="3737E55B">
        <w:rPr>
          <w:rFonts w:ascii="Calibri" w:eastAsia="Calibri" w:hAnsi="Calibri" w:cs="Calibri"/>
          <w:sz w:val="22"/>
          <w:szCs w:val="22"/>
        </w:rPr>
        <w:t>suggest</w:t>
      </w:r>
      <w:r w:rsidR="008D3FCF">
        <w:rPr>
          <w:rFonts w:ascii="Calibri" w:eastAsia="Calibri" w:hAnsi="Calibri" w:cs="Calibri"/>
          <w:sz w:val="22"/>
          <w:szCs w:val="22"/>
        </w:rPr>
        <w:t>s</w:t>
      </w:r>
      <w:r w:rsidRPr="3737E55B">
        <w:rPr>
          <w:rFonts w:ascii="Calibri" w:eastAsia="Calibri" w:hAnsi="Calibri" w:cs="Calibri"/>
          <w:sz w:val="22"/>
          <w:szCs w:val="22"/>
        </w:rPr>
        <w:t xml:space="preserve"> the degree of high regard his lord held for him. Not all weapons were given as gifts from battles, some may have been awarded to a warrior achiev</w:t>
      </w:r>
      <w:r w:rsidR="00B462EF">
        <w:rPr>
          <w:rFonts w:ascii="Calibri" w:eastAsia="Calibri" w:hAnsi="Calibri" w:cs="Calibri"/>
          <w:sz w:val="22"/>
          <w:szCs w:val="22"/>
        </w:rPr>
        <w:t>ing</w:t>
      </w:r>
      <w:r w:rsidRPr="3737E55B">
        <w:rPr>
          <w:rFonts w:ascii="Calibri" w:eastAsia="Calibri" w:hAnsi="Calibri" w:cs="Calibri"/>
          <w:sz w:val="22"/>
          <w:szCs w:val="22"/>
        </w:rPr>
        <w:t xml:space="preserve"> a certain rank or status. In the </w:t>
      </w:r>
      <w:r w:rsidRPr="3737E55B">
        <w:rPr>
          <w:rFonts w:ascii="Calibri" w:eastAsia="Calibri" w:hAnsi="Calibri" w:cs="Calibri"/>
          <w:i/>
          <w:iCs/>
          <w:sz w:val="22"/>
          <w:szCs w:val="22"/>
        </w:rPr>
        <w:t>Wanderer</w:t>
      </w:r>
      <w:r w:rsidRPr="3737E55B">
        <w:rPr>
          <w:rFonts w:ascii="Calibri" w:eastAsia="Calibri" w:hAnsi="Calibri" w:cs="Calibri"/>
          <w:sz w:val="22"/>
          <w:szCs w:val="22"/>
        </w:rPr>
        <w:t xml:space="preserve">, the weapon is one </w:t>
      </w:r>
      <w:r w:rsidRPr="000E432A">
        <w:rPr>
          <w:rFonts w:ascii="Calibri" w:eastAsia="Calibri" w:hAnsi="Calibri" w:cs="Calibri"/>
          <w:sz w:val="22"/>
          <w:szCs w:val="22"/>
        </w:rPr>
        <w:t xml:space="preserve">of the </w:t>
      </w:r>
      <w:r w:rsidR="002F0424">
        <w:rPr>
          <w:rFonts w:ascii="Calibri" w:eastAsia="Calibri" w:hAnsi="Calibri" w:cs="Calibri"/>
          <w:sz w:val="22"/>
          <w:szCs w:val="22"/>
        </w:rPr>
        <w:t>‘</w:t>
      </w:r>
      <w:r w:rsidRPr="000E432A">
        <w:rPr>
          <w:rFonts w:ascii="Calibri" w:eastAsia="Calibri" w:hAnsi="Calibri" w:cs="Calibri"/>
          <w:sz w:val="22"/>
          <w:szCs w:val="22"/>
        </w:rPr>
        <w:t>joys which a warrior owns</w:t>
      </w:r>
      <w:r w:rsidR="002F0424">
        <w:rPr>
          <w:rFonts w:ascii="Calibri" w:eastAsia="Calibri" w:hAnsi="Calibri" w:cs="Calibri"/>
          <w:sz w:val="22"/>
          <w:szCs w:val="22"/>
        </w:rPr>
        <w:t>’</w:t>
      </w:r>
      <w:r w:rsidR="00A6505E">
        <w:rPr>
          <w:rStyle w:val="FootnoteReference"/>
          <w:rFonts w:ascii="Calibri" w:eastAsia="Calibri" w:hAnsi="Calibri" w:cs="Calibri"/>
          <w:sz w:val="22"/>
          <w:szCs w:val="22"/>
        </w:rPr>
        <w:footnoteReference w:id="28"/>
      </w:r>
      <w:r w:rsidRPr="000E432A">
        <w:rPr>
          <w:rFonts w:ascii="Calibri" w:eastAsia="Calibri" w:hAnsi="Calibri" w:cs="Calibri"/>
          <w:sz w:val="22"/>
          <w:szCs w:val="22"/>
        </w:rPr>
        <w:t>,</w:t>
      </w:r>
      <w:r w:rsidRPr="3737E55B">
        <w:rPr>
          <w:rFonts w:ascii="Calibri" w:eastAsia="Calibri" w:hAnsi="Calibri" w:cs="Calibri"/>
          <w:sz w:val="22"/>
          <w:szCs w:val="22"/>
        </w:rPr>
        <w:t xml:space="preserve"> </w:t>
      </w:r>
      <w:r w:rsidR="00F973DC">
        <w:rPr>
          <w:rFonts w:ascii="Calibri" w:eastAsia="Calibri" w:hAnsi="Calibri" w:cs="Calibri"/>
          <w:sz w:val="22"/>
          <w:szCs w:val="22"/>
        </w:rPr>
        <w:t>I</w:t>
      </w:r>
      <w:r w:rsidRPr="3737E55B">
        <w:rPr>
          <w:rFonts w:ascii="Calibri" w:eastAsia="Calibri" w:hAnsi="Calibri" w:cs="Calibri"/>
          <w:sz w:val="22"/>
          <w:szCs w:val="22"/>
        </w:rPr>
        <w:t>t is one of the many gifts which a warrior acquires such as money, kinsmen, warrior status and honour</w:t>
      </w:r>
      <w:r w:rsidR="000E432A">
        <w:rPr>
          <w:rStyle w:val="FootnoteReference"/>
          <w:rFonts w:ascii="Calibri" w:eastAsia="Calibri" w:hAnsi="Calibri" w:cs="Calibri"/>
          <w:sz w:val="22"/>
          <w:szCs w:val="22"/>
        </w:rPr>
        <w:footnoteReference w:id="29"/>
      </w:r>
      <w:r w:rsidRPr="3737E55B">
        <w:rPr>
          <w:rFonts w:ascii="Calibri" w:eastAsia="Calibri" w:hAnsi="Calibri" w:cs="Calibri"/>
          <w:sz w:val="22"/>
          <w:szCs w:val="22"/>
        </w:rPr>
        <w:t xml:space="preserve">. In </w:t>
      </w:r>
      <w:r w:rsidRPr="3737E55B">
        <w:rPr>
          <w:rFonts w:ascii="Calibri" w:eastAsia="Calibri" w:hAnsi="Calibri" w:cs="Calibri"/>
          <w:i/>
          <w:iCs/>
          <w:sz w:val="22"/>
          <w:szCs w:val="22"/>
        </w:rPr>
        <w:t>Beowulf</w:t>
      </w:r>
      <w:r w:rsidRPr="3737E55B">
        <w:rPr>
          <w:rFonts w:ascii="Calibri" w:eastAsia="Calibri" w:hAnsi="Calibri" w:cs="Calibri"/>
          <w:sz w:val="22"/>
          <w:szCs w:val="22"/>
        </w:rPr>
        <w:t>, the weapons have lives of their own, and not merely a tangible object, but a personification of the warrior - having distinctive attributes and habits</w:t>
      </w:r>
      <w:r w:rsidR="00A55D26">
        <w:rPr>
          <w:rFonts w:ascii="Calibri" w:eastAsia="Calibri" w:hAnsi="Calibri" w:cs="Calibri"/>
          <w:sz w:val="22"/>
          <w:szCs w:val="22"/>
        </w:rPr>
        <w:t>.</w:t>
      </w:r>
      <w:r w:rsidR="00F973DC">
        <w:rPr>
          <w:rStyle w:val="FootnoteReference"/>
          <w:rFonts w:ascii="Calibri" w:eastAsia="Calibri" w:hAnsi="Calibri" w:cs="Calibri"/>
          <w:sz w:val="22"/>
          <w:szCs w:val="22"/>
        </w:rPr>
        <w:footnoteReference w:id="30"/>
      </w:r>
      <w:r w:rsidRPr="3737E55B">
        <w:rPr>
          <w:rFonts w:ascii="Calibri" w:eastAsia="Calibri" w:hAnsi="Calibri" w:cs="Calibri"/>
          <w:sz w:val="22"/>
          <w:szCs w:val="22"/>
        </w:rPr>
        <w:t xml:space="preserve"> The weapons becoming vassals to their lord and expressing the close bond as understood between characters such as Beowulf and Hrothgar. </w:t>
      </w:r>
    </w:p>
    <w:p w14:paraId="50569D57" w14:textId="5E0B8A37" w:rsidR="3737E55B" w:rsidRDefault="3737E55B" w:rsidP="00E45032">
      <w:pPr>
        <w:spacing w:after="160" w:line="480" w:lineRule="auto"/>
        <w:ind w:left="1134" w:right="1134"/>
        <w:rPr>
          <w:rFonts w:ascii="Calibri" w:eastAsia="Calibri" w:hAnsi="Calibri" w:cs="Calibri"/>
          <w:sz w:val="22"/>
          <w:szCs w:val="22"/>
        </w:rPr>
      </w:pPr>
      <w:r w:rsidRPr="3737E55B">
        <w:rPr>
          <w:rFonts w:ascii="Calibri" w:eastAsia="Calibri" w:hAnsi="Calibri" w:cs="Calibri"/>
          <w:sz w:val="22"/>
          <w:szCs w:val="22"/>
        </w:rPr>
        <w:t>It had endured many hand-to-hand encounters before, often sheared through the helmet, war coat of a doomed man; it was the first occasion for this precious treasure that its glory failed</w:t>
      </w:r>
      <w:r w:rsidR="00A55D26">
        <w:rPr>
          <w:rFonts w:ascii="Calibri" w:eastAsia="Calibri" w:hAnsi="Calibri" w:cs="Calibri"/>
          <w:sz w:val="22"/>
          <w:szCs w:val="22"/>
        </w:rPr>
        <w:t>.</w:t>
      </w:r>
      <w:r w:rsidR="00A55D26">
        <w:rPr>
          <w:rStyle w:val="FootnoteReference"/>
          <w:rFonts w:ascii="Calibri" w:eastAsia="Calibri" w:hAnsi="Calibri" w:cs="Calibri"/>
          <w:sz w:val="22"/>
          <w:szCs w:val="22"/>
        </w:rPr>
        <w:footnoteReference w:id="31"/>
      </w:r>
      <w:r w:rsidRPr="3737E55B">
        <w:rPr>
          <w:rFonts w:ascii="Calibri" w:eastAsia="Calibri" w:hAnsi="Calibri" w:cs="Calibri"/>
          <w:sz w:val="22"/>
          <w:szCs w:val="22"/>
        </w:rPr>
        <w:t xml:space="preserve"> </w:t>
      </w:r>
    </w:p>
    <w:p w14:paraId="576E85ED" w14:textId="6A7B2AF0" w:rsidR="3737E55B" w:rsidRDefault="3737E55B" w:rsidP="00E45032">
      <w:pPr>
        <w:spacing w:after="160" w:line="480" w:lineRule="auto"/>
        <w:rPr>
          <w:rFonts w:ascii="Calibri" w:eastAsia="Calibri" w:hAnsi="Calibri" w:cs="Calibri"/>
          <w:sz w:val="22"/>
          <w:szCs w:val="22"/>
        </w:rPr>
      </w:pPr>
      <w:r w:rsidRPr="3737E55B">
        <w:rPr>
          <w:rFonts w:ascii="Calibri" w:eastAsia="Calibri" w:hAnsi="Calibri" w:cs="Calibri"/>
          <w:sz w:val="22"/>
          <w:szCs w:val="22"/>
        </w:rPr>
        <w:lastRenderedPageBreak/>
        <w:t>The recent excavation of Prittlewell in Essex provides a significant insight into royal burials.  The sword is described as “</w:t>
      </w:r>
      <w:r w:rsidR="00234B37" w:rsidRPr="3737E55B">
        <w:rPr>
          <w:rFonts w:ascii="Calibri" w:eastAsia="Calibri" w:hAnsi="Calibri" w:cs="Calibri"/>
          <w:sz w:val="22"/>
          <w:szCs w:val="22"/>
        </w:rPr>
        <w:t>skilfully</w:t>
      </w:r>
      <w:r w:rsidRPr="3737E55B">
        <w:rPr>
          <w:rFonts w:ascii="Calibri" w:eastAsia="Calibri" w:hAnsi="Calibri" w:cs="Calibri"/>
          <w:sz w:val="22"/>
          <w:szCs w:val="22"/>
        </w:rPr>
        <w:t xml:space="preserve"> crafted”, identifying the warrior’s rank, though possibly of royal or high aristocratic status. Weaponry found in Saxon warrior burials, reveals that weaponry could symbolise age, ethnicity or rank</w:t>
      </w:r>
      <w:r w:rsidR="00A55D26">
        <w:rPr>
          <w:rFonts w:ascii="Calibri" w:eastAsia="Calibri" w:hAnsi="Calibri" w:cs="Calibri"/>
          <w:sz w:val="22"/>
          <w:szCs w:val="22"/>
        </w:rPr>
        <w:t>.</w:t>
      </w:r>
      <w:r w:rsidR="00F973DC">
        <w:rPr>
          <w:rStyle w:val="FootnoteReference"/>
          <w:rFonts w:ascii="Calibri" w:eastAsia="Calibri" w:hAnsi="Calibri" w:cs="Calibri"/>
          <w:sz w:val="22"/>
          <w:szCs w:val="22"/>
        </w:rPr>
        <w:footnoteReference w:id="32"/>
      </w:r>
      <w:r w:rsidRPr="3737E55B">
        <w:rPr>
          <w:rFonts w:ascii="Calibri" w:eastAsia="Calibri" w:hAnsi="Calibri" w:cs="Calibri"/>
          <w:sz w:val="22"/>
          <w:szCs w:val="22"/>
        </w:rPr>
        <w:t xml:space="preserve"> The burial dates from </w:t>
      </w:r>
      <w:r w:rsidR="002F0424" w:rsidRPr="002F0424">
        <w:rPr>
          <w:rFonts w:ascii="Calibri" w:eastAsia="Calibri" w:hAnsi="Calibri" w:cs="Calibri"/>
          <w:i/>
          <w:iCs/>
          <w:sz w:val="22"/>
          <w:szCs w:val="22"/>
        </w:rPr>
        <w:t>c.</w:t>
      </w:r>
      <w:r w:rsidR="002F0424">
        <w:rPr>
          <w:rFonts w:ascii="Calibri" w:eastAsia="Calibri" w:hAnsi="Calibri" w:cs="Calibri"/>
          <w:sz w:val="22"/>
          <w:szCs w:val="22"/>
        </w:rPr>
        <w:t xml:space="preserve"> </w:t>
      </w:r>
      <w:r w:rsidRPr="3737E55B">
        <w:rPr>
          <w:rFonts w:ascii="Calibri" w:eastAsia="Calibri" w:hAnsi="Calibri" w:cs="Calibri"/>
          <w:sz w:val="22"/>
          <w:szCs w:val="22"/>
        </w:rPr>
        <w:t xml:space="preserve">580 </w:t>
      </w:r>
      <w:r w:rsidRPr="002F0424">
        <w:rPr>
          <w:rFonts w:ascii="Calibri" w:eastAsia="Calibri" w:hAnsi="Calibri" w:cs="Calibri"/>
          <w:sz w:val="22"/>
          <w:szCs w:val="22"/>
        </w:rPr>
        <w:t xml:space="preserve">CE </w:t>
      </w:r>
      <w:r w:rsidRPr="3737E55B">
        <w:rPr>
          <w:rFonts w:ascii="Calibri" w:eastAsia="Calibri" w:hAnsi="Calibri" w:cs="Calibri"/>
          <w:sz w:val="22"/>
          <w:szCs w:val="22"/>
        </w:rPr>
        <w:t>during the early Christian period, identifying the location of the sword on the floor of the tomb, rather than buried with the dead. Traditional</w:t>
      </w:r>
      <w:r w:rsidR="00B462EF">
        <w:rPr>
          <w:rFonts w:ascii="Calibri" w:eastAsia="Calibri" w:hAnsi="Calibri" w:cs="Calibri"/>
          <w:sz w:val="22"/>
          <w:szCs w:val="22"/>
        </w:rPr>
        <w:t>ly</w:t>
      </w:r>
      <w:r w:rsidRPr="3737E55B">
        <w:rPr>
          <w:rFonts w:ascii="Calibri" w:eastAsia="Calibri" w:hAnsi="Calibri" w:cs="Calibri"/>
          <w:sz w:val="22"/>
          <w:szCs w:val="22"/>
        </w:rPr>
        <w:t xml:space="preserve"> the warrior would be buried with the sword</w:t>
      </w:r>
      <w:r w:rsidR="00B462EF">
        <w:rPr>
          <w:rFonts w:ascii="Calibri" w:eastAsia="Calibri" w:hAnsi="Calibri" w:cs="Calibri"/>
          <w:sz w:val="22"/>
          <w:szCs w:val="22"/>
        </w:rPr>
        <w:t>,</w:t>
      </w:r>
      <w:r w:rsidRPr="3737E55B">
        <w:rPr>
          <w:rFonts w:ascii="Calibri" w:eastAsia="Calibri" w:hAnsi="Calibri" w:cs="Calibri"/>
          <w:sz w:val="22"/>
          <w:szCs w:val="22"/>
        </w:rPr>
        <w:t xml:space="preserve"> suggesting an intentional separation between the Christian burial and the sword. Archaeologists believe the dating of the burial is during the Pagan and Christian transition. Interestingly</w:t>
      </w:r>
      <w:r w:rsidR="00B462EF">
        <w:rPr>
          <w:rFonts w:ascii="Calibri" w:eastAsia="Calibri" w:hAnsi="Calibri" w:cs="Calibri"/>
          <w:sz w:val="22"/>
          <w:szCs w:val="22"/>
        </w:rPr>
        <w:t>,</w:t>
      </w:r>
      <w:r w:rsidRPr="3737E55B">
        <w:rPr>
          <w:rFonts w:ascii="Calibri" w:eastAsia="Calibri" w:hAnsi="Calibri" w:cs="Calibri"/>
          <w:sz w:val="22"/>
          <w:szCs w:val="22"/>
        </w:rPr>
        <w:t xml:space="preserve"> fitting into the period identified in </w:t>
      </w:r>
      <w:r w:rsidRPr="3737E55B">
        <w:rPr>
          <w:rFonts w:ascii="Calibri" w:eastAsia="Calibri" w:hAnsi="Calibri" w:cs="Calibri"/>
          <w:i/>
          <w:iCs/>
          <w:sz w:val="22"/>
          <w:szCs w:val="22"/>
        </w:rPr>
        <w:t>Beowulf</w:t>
      </w:r>
      <w:r w:rsidRPr="3737E55B">
        <w:rPr>
          <w:rFonts w:ascii="Calibri" w:eastAsia="Calibri" w:hAnsi="Calibri" w:cs="Calibri"/>
          <w:sz w:val="22"/>
          <w:szCs w:val="22"/>
        </w:rPr>
        <w:t>, within its Danish roots. The evidence associated with the burial confirms the deceased as a Christian convert</w:t>
      </w:r>
      <w:r w:rsidR="002D5D31">
        <w:rPr>
          <w:rFonts w:ascii="Calibri" w:eastAsia="Calibri" w:hAnsi="Calibri" w:cs="Calibri"/>
          <w:sz w:val="22"/>
          <w:szCs w:val="22"/>
        </w:rPr>
        <w:t>.</w:t>
      </w:r>
      <w:r w:rsidR="005D7E7C">
        <w:rPr>
          <w:rStyle w:val="FootnoteReference"/>
          <w:rFonts w:ascii="Calibri" w:eastAsia="Calibri" w:hAnsi="Calibri" w:cs="Calibri"/>
          <w:sz w:val="22"/>
          <w:szCs w:val="22"/>
        </w:rPr>
        <w:footnoteReference w:id="33"/>
      </w:r>
      <w:r w:rsidR="00B462EF">
        <w:rPr>
          <w:rFonts w:ascii="Calibri" w:eastAsia="Calibri" w:hAnsi="Calibri" w:cs="Calibri"/>
          <w:sz w:val="22"/>
          <w:szCs w:val="22"/>
        </w:rPr>
        <w:t xml:space="preserve"> </w:t>
      </w:r>
      <w:r w:rsidRPr="3737E55B">
        <w:rPr>
          <w:rFonts w:ascii="Calibri" w:eastAsia="Calibri" w:hAnsi="Calibri" w:cs="Calibri"/>
          <w:sz w:val="22"/>
          <w:szCs w:val="22"/>
        </w:rPr>
        <w:t xml:space="preserve">Comparatively, the Sutton Hoo </w:t>
      </w:r>
      <w:r w:rsidR="002F0424">
        <w:rPr>
          <w:rFonts w:ascii="Calibri" w:eastAsia="Calibri" w:hAnsi="Calibri" w:cs="Calibri"/>
          <w:sz w:val="22"/>
          <w:szCs w:val="22"/>
        </w:rPr>
        <w:t>s</w:t>
      </w:r>
      <w:r w:rsidRPr="3737E55B">
        <w:rPr>
          <w:rFonts w:ascii="Calibri" w:eastAsia="Calibri" w:hAnsi="Calibri" w:cs="Calibri"/>
          <w:sz w:val="22"/>
          <w:szCs w:val="22"/>
        </w:rPr>
        <w:t xml:space="preserve">hip </w:t>
      </w:r>
      <w:r w:rsidR="002F0424">
        <w:rPr>
          <w:rFonts w:ascii="Calibri" w:eastAsia="Calibri" w:hAnsi="Calibri" w:cs="Calibri"/>
          <w:sz w:val="22"/>
          <w:szCs w:val="22"/>
        </w:rPr>
        <w:t>b</w:t>
      </w:r>
      <w:r w:rsidRPr="3737E55B">
        <w:rPr>
          <w:rFonts w:ascii="Calibri" w:eastAsia="Calibri" w:hAnsi="Calibri" w:cs="Calibri"/>
          <w:sz w:val="22"/>
          <w:szCs w:val="22"/>
        </w:rPr>
        <w:t>urial provided an extensive collection of grave goods, although shields, daggers, and helmets were common in burial</w:t>
      </w:r>
      <w:r w:rsidR="00B462EF">
        <w:rPr>
          <w:rFonts w:ascii="Calibri" w:eastAsia="Calibri" w:hAnsi="Calibri" w:cs="Calibri"/>
          <w:sz w:val="22"/>
          <w:szCs w:val="22"/>
        </w:rPr>
        <w:t>s</w:t>
      </w:r>
      <w:r w:rsidRPr="3737E55B">
        <w:rPr>
          <w:rFonts w:ascii="Calibri" w:eastAsia="Calibri" w:hAnsi="Calibri" w:cs="Calibri"/>
          <w:sz w:val="22"/>
          <w:szCs w:val="22"/>
        </w:rPr>
        <w:t>, swords are rarer. Many men would have been liable to fight in battle, the more prized weapons were those of Royalty or high nobility</w:t>
      </w:r>
      <w:r w:rsidR="00994FAA">
        <w:rPr>
          <w:rFonts w:ascii="Calibri" w:eastAsia="Calibri" w:hAnsi="Calibri" w:cs="Calibri"/>
          <w:sz w:val="22"/>
          <w:szCs w:val="22"/>
        </w:rPr>
        <w:t>.</w:t>
      </w:r>
      <w:r w:rsidR="005D7E7C">
        <w:rPr>
          <w:rStyle w:val="FootnoteReference"/>
          <w:rFonts w:ascii="Calibri" w:eastAsia="Calibri" w:hAnsi="Calibri" w:cs="Calibri"/>
          <w:sz w:val="22"/>
          <w:szCs w:val="22"/>
        </w:rPr>
        <w:footnoteReference w:id="34"/>
      </w:r>
      <w:r w:rsidRPr="3737E55B">
        <w:rPr>
          <w:rFonts w:ascii="Calibri" w:eastAsia="Calibri" w:hAnsi="Calibri" w:cs="Calibri"/>
          <w:sz w:val="22"/>
          <w:szCs w:val="22"/>
        </w:rPr>
        <w:t xml:space="preserve"> Scholars can analyse evidence from these hoards to the literary evidence associated in Beowulf: ‘Furnished with weapons of war and battle garments, with swords and coats of mail’</w:t>
      </w:r>
      <w:r w:rsidR="00994FAA">
        <w:rPr>
          <w:rFonts w:ascii="Calibri" w:eastAsia="Calibri" w:hAnsi="Calibri" w:cs="Calibri"/>
          <w:sz w:val="22"/>
          <w:szCs w:val="22"/>
        </w:rPr>
        <w:t>.</w:t>
      </w:r>
      <w:r w:rsidR="00994FAA">
        <w:rPr>
          <w:rStyle w:val="FootnoteReference"/>
          <w:rFonts w:ascii="Calibri" w:eastAsia="Calibri" w:hAnsi="Calibri" w:cs="Calibri"/>
          <w:sz w:val="22"/>
          <w:szCs w:val="22"/>
        </w:rPr>
        <w:footnoteReference w:id="35"/>
      </w:r>
      <w:r w:rsidRPr="3737E55B">
        <w:rPr>
          <w:rFonts w:ascii="Calibri" w:eastAsia="Calibri" w:hAnsi="Calibri" w:cs="Calibri"/>
          <w:sz w:val="22"/>
          <w:szCs w:val="22"/>
        </w:rPr>
        <w:t>Therefore, both burials reveal the importance of weapons in the life and identity of the warrior. The Prittlewell burial identifies the idea of a sword as separat</w:t>
      </w:r>
      <w:r w:rsidR="00A6505E">
        <w:rPr>
          <w:rFonts w:ascii="Calibri" w:eastAsia="Calibri" w:hAnsi="Calibri" w:cs="Calibri"/>
          <w:sz w:val="22"/>
          <w:szCs w:val="22"/>
        </w:rPr>
        <w:t>e</w:t>
      </w:r>
      <w:r w:rsidRPr="3737E55B">
        <w:rPr>
          <w:rFonts w:ascii="Calibri" w:eastAsia="Calibri" w:hAnsi="Calibri" w:cs="Calibri"/>
          <w:sz w:val="22"/>
          <w:szCs w:val="22"/>
        </w:rPr>
        <w:t xml:space="preserve"> from his life as a Christian. But, in the Sutton Hoo</w:t>
      </w:r>
      <w:r w:rsidRPr="3737E55B">
        <w:rPr>
          <w:rFonts w:ascii="Calibri" w:eastAsia="Calibri" w:hAnsi="Calibri" w:cs="Calibri"/>
          <w:i/>
          <w:iCs/>
          <w:sz w:val="22"/>
          <w:szCs w:val="22"/>
        </w:rPr>
        <w:t xml:space="preserve"> </w:t>
      </w:r>
      <w:r w:rsidRPr="3737E55B">
        <w:rPr>
          <w:rFonts w:ascii="Calibri" w:eastAsia="Calibri" w:hAnsi="Calibri" w:cs="Calibri"/>
          <w:sz w:val="22"/>
          <w:szCs w:val="22"/>
        </w:rPr>
        <w:t>burial, the evidence reveals the Anglo-Saxon association of weapons as a personification, which is rightly buried with the owner in the coffin.</w:t>
      </w:r>
    </w:p>
    <w:p w14:paraId="0DA7BDD9" w14:textId="3B28615C" w:rsidR="3737E55B" w:rsidRDefault="3737E55B" w:rsidP="3737E55B">
      <w:pPr>
        <w:spacing w:after="160" w:line="259" w:lineRule="auto"/>
        <w:jc w:val="center"/>
        <w:rPr>
          <w:rFonts w:ascii="Calibri" w:eastAsia="Calibri" w:hAnsi="Calibri" w:cs="Calibri"/>
          <w:sz w:val="22"/>
          <w:szCs w:val="22"/>
        </w:rPr>
      </w:pPr>
    </w:p>
    <w:p w14:paraId="67829FA4" w14:textId="5DCC8117" w:rsidR="3737E55B" w:rsidRDefault="3737E55B" w:rsidP="3737E55B">
      <w:pPr>
        <w:spacing w:after="160" w:line="259" w:lineRule="auto"/>
        <w:jc w:val="center"/>
        <w:rPr>
          <w:rFonts w:ascii="Calibri" w:eastAsia="Calibri" w:hAnsi="Calibri" w:cs="Calibri"/>
          <w:sz w:val="22"/>
          <w:szCs w:val="22"/>
        </w:rPr>
      </w:pPr>
      <w:r w:rsidRPr="3737E55B">
        <w:rPr>
          <w:rFonts w:ascii="Calibri" w:eastAsia="Calibri" w:hAnsi="Calibri" w:cs="Calibri"/>
          <w:b/>
          <w:bCs/>
          <w:sz w:val="22"/>
          <w:szCs w:val="22"/>
        </w:rPr>
        <w:t>The Christian Knight and Victory</w:t>
      </w:r>
    </w:p>
    <w:p w14:paraId="470544B3" w14:textId="060ECE1B" w:rsidR="3737E55B" w:rsidRDefault="3737E55B" w:rsidP="000401E3">
      <w:pPr>
        <w:spacing w:after="160" w:line="480" w:lineRule="auto"/>
        <w:rPr>
          <w:rFonts w:ascii="Calibri" w:eastAsia="Calibri" w:hAnsi="Calibri" w:cs="Calibri"/>
          <w:sz w:val="22"/>
          <w:szCs w:val="22"/>
        </w:rPr>
      </w:pPr>
      <w:r w:rsidRPr="3737E55B">
        <w:rPr>
          <w:rFonts w:ascii="Calibri" w:eastAsia="Calibri" w:hAnsi="Calibri" w:cs="Calibri"/>
          <w:sz w:val="22"/>
          <w:szCs w:val="22"/>
        </w:rPr>
        <w:lastRenderedPageBreak/>
        <w:t xml:space="preserve">A final feature of the heroic figure is the </w:t>
      </w:r>
      <w:r w:rsidR="000401E3">
        <w:rPr>
          <w:rFonts w:ascii="Calibri" w:eastAsia="Calibri" w:hAnsi="Calibri" w:cs="Calibri"/>
          <w:sz w:val="22"/>
          <w:szCs w:val="22"/>
        </w:rPr>
        <w:t>depiction</w:t>
      </w:r>
      <w:r w:rsidRPr="3737E55B">
        <w:rPr>
          <w:rFonts w:ascii="Calibri" w:eastAsia="Calibri" w:hAnsi="Calibri" w:cs="Calibri"/>
          <w:sz w:val="22"/>
          <w:szCs w:val="22"/>
        </w:rPr>
        <w:t xml:space="preserve"> of Heroics, created as a religious motif enhanced by the notion of the “Christian knight”. It was common for texts such as the </w:t>
      </w:r>
      <w:r w:rsidRPr="3737E55B">
        <w:rPr>
          <w:rFonts w:ascii="Calibri" w:eastAsia="Calibri" w:hAnsi="Calibri" w:cs="Calibri"/>
          <w:i/>
          <w:iCs/>
          <w:sz w:val="22"/>
          <w:szCs w:val="22"/>
        </w:rPr>
        <w:t>Battle of Maldon</w:t>
      </w:r>
      <w:r w:rsidRPr="3737E55B">
        <w:rPr>
          <w:rFonts w:ascii="Calibri" w:eastAsia="Calibri" w:hAnsi="Calibri" w:cs="Calibri"/>
          <w:sz w:val="22"/>
          <w:szCs w:val="22"/>
        </w:rPr>
        <w:t xml:space="preserve"> and </w:t>
      </w:r>
      <w:r w:rsidRPr="3737E55B">
        <w:rPr>
          <w:rFonts w:ascii="Calibri" w:eastAsia="Calibri" w:hAnsi="Calibri" w:cs="Calibri"/>
          <w:i/>
          <w:iCs/>
          <w:sz w:val="22"/>
          <w:szCs w:val="22"/>
        </w:rPr>
        <w:t>Beowulf</w:t>
      </w:r>
      <w:r w:rsidRPr="3737E55B">
        <w:rPr>
          <w:rFonts w:ascii="Calibri" w:eastAsia="Calibri" w:hAnsi="Calibri" w:cs="Calibri"/>
          <w:sz w:val="22"/>
          <w:szCs w:val="22"/>
        </w:rPr>
        <w:t xml:space="preserve"> to be commissioned or sponsored by the clergy, as a symbol of a great religious warrior. The Anglo-Saxon notion of a heroic figure was to be an influential leader. The ideal lord is to be wise in matters of politics and provide good counsel in times of war. Furthermore, he needed those intangible qualities in the form of leadership</w:t>
      </w:r>
      <w:r w:rsidR="00994FAA">
        <w:rPr>
          <w:rFonts w:ascii="Calibri" w:eastAsia="Calibri" w:hAnsi="Calibri" w:cs="Calibri"/>
          <w:sz w:val="22"/>
          <w:szCs w:val="22"/>
        </w:rPr>
        <w:t>.</w:t>
      </w:r>
      <w:r w:rsidR="00994FAA">
        <w:rPr>
          <w:rStyle w:val="FootnoteReference"/>
          <w:rFonts w:ascii="Calibri" w:eastAsia="Calibri" w:hAnsi="Calibri" w:cs="Calibri"/>
          <w:sz w:val="22"/>
          <w:szCs w:val="22"/>
        </w:rPr>
        <w:footnoteReference w:id="36"/>
      </w:r>
      <w:r w:rsidRPr="3737E55B">
        <w:rPr>
          <w:rFonts w:ascii="Calibri" w:eastAsia="Calibri" w:hAnsi="Calibri" w:cs="Calibri"/>
          <w:sz w:val="22"/>
          <w:szCs w:val="22"/>
        </w:rPr>
        <w:t xml:space="preserve">Hagiographical poets were able to establish behaviours expected of a good Christian, such as Byrhtnoth in the </w:t>
      </w:r>
      <w:r w:rsidRPr="3737E55B">
        <w:rPr>
          <w:rFonts w:ascii="Calibri" w:eastAsia="Calibri" w:hAnsi="Calibri" w:cs="Calibri"/>
          <w:i/>
          <w:iCs/>
          <w:sz w:val="22"/>
          <w:szCs w:val="22"/>
        </w:rPr>
        <w:t xml:space="preserve">Battle of Maldon. </w:t>
      </w:r>
      <w:r w:rsidRPr="3737E55B">
        <w:rPr>
          <w:rFonts w:ascii="Calibri" w:eastAsia="Calibri" w:hAnsi="Calibri" w:cs="Calibri"/>
          <w:sz w:val="22"/>
          <w:szCs w:val="22"/>
        </w:rPr>
        <w:t xml:space="preserve"> The poem highlights victory as a celebration of heroism with the promise of a welcomed life after death, it was not a case of the act of death, which encouraged the warriors to achieve heroic status, but the sacrifice which the reader would understand as significant and worthy</w:t>
      </w:r>
      <w:r w:rsidR="00994FAA">
        <w:rPr>
          <w:rFonts w:ascii="Calibri" w:eastAsia="Calibri" w:hAnsi="Calibri" w:cs="Calibri"/>
          <w:sz w:val="22"/>
          <w:szCs w:val="22"/>
        </w:rPr>
        <w:t>:</w:t>
      </w:r>
      <w:r w:rsidR="005D7E7C">
        <w:rPr>
          <w:rStyle w:val="FootnoteReference"/>
          <w:rFonts w:ascii="Calibri" w:eastAsia="Calibri" w:hAnsi="Calibri" w:cs="Calibri"/>
          <w:sz w:val="22"/>
          <w:szCs w:val="22"/>
        </w:rPr>
        <w:footnoteReference w:id="37"/>
      </w:r>
      <w:r w:rsidRPr="3737E55B">
        <w:rPr>
          <w:rFonts w:ascii="Calibri" w:eastAsia="Calibri" w:hAnsi="Calibri" w:cs="Calibri"/>
          <w:sz w:val="22"/>
          <w:szCs w:val="22"/>
        </w:rPr>
        <w:t xml:space="preserve"> </w:t>
      </w:r>
    </w:p>
    <w:p w14:paraId="7269A738" w14:textId="417C283D" w:rsidR="3737E55B" w:rsidRDefault="3737E55B" w:rsidP="000401E3">
      <w:pPr>
        <w:spacing w:after="160" w:line="480" w:lineRule="auto"/>
        <w:ind w:left="1134" w:right="1134"/>
        <w:rPr>
          <w:rFonts w:ascii="Calibri" w:eastAsia="Calibri" w:hAnsi="Calibri" w:cs="Calibri"/>
          <w:sz w:val="22"/>
          <w:szCs w:val="22"/>
        </w:rPr>
      </w:pPr>
      <w:r w:rsidRPr="3737E55B">
        <w:rPr>
          <w:rFonts w:ascii="Calibri" w:eastAsia="Calibri" w:hAnsi="Calibri" w:cs="Calibri"/>
          <w:sz w:val="22"/>
          <w:szCs w:val="22"/>
        </w:rPr>
        <w:t>‘</w:t>
      </w:r>
      <w:r w:rsidR="00994FAA">
        <w:rPr>
          <w:rFonts w:ascii="Calibri" w:eastAsia="Calibri" w:hAnsi="Calibri" w:cs="Calibri"/>
          <w:sz w:val="22"/>
          <w:szCs w:val="22"/>
        </w:rPr>
        <w:t>Receive my gratitude, God of all, for every lockful honour, I’ve enjoyed in life. Yet now, merciful Maker, I have the most need that You should give assistance to my soul that my spirit may speed to Thee, come to Thy kingdom, King of Angels, pass through in peace’.</w:t>
      </w:r>
      <w:r w:rsidR="00994FAA">
        <w:rPr>
          <w:rStyle w:val="FootnoteReference"/>
          <w:rFonts w:ascii="Calibri" w:eastAsia="Calibri" w:hAnsi="Calibri" w:cs="Calibri"/>
          <w:sz w:val="22"/>
          <w:szCs w:val="22"/>
        </w:rPr>
        <w:footnoteReference w:id="38"/>
      </w:r>
    </w:p>
    <w:p w14:paraId="148C6956" w14:textId="0C05ECD3" w:rsidR="3737E55B" w:rsidRDefault="3737E55B" w:rsidP="000401E3">
      <w:pPr>
        <w:spacing w:after="160" w:line="480" w:lineRule="auto"/>
        <w:rPr>
          <w:rFonts w:ascii="Calibri" w:eastAsia="Calibri" w:hAnsi="Calibri" w:cs="Calibri"/>
          <w:sz w:val="22"/>
          <w:szCs w:val="22"/>
        </w:rPr>
      </w:pPr>
      <w:r w:rsidRPr="3737E55B">
        <w:rPr>
          <w:rFonts w:ascii="Calibri" w:eastAsia="Calibri" w:hAnsi="Calibri" w:cs="Calibri"/>
          <w:sz w:val="22"/>
          <w:szCs w:val="22"/>
        </w:rPr>
        <w:t>Thus, representing a death which the Anglo-Saxons saw as a triumph over evil, in the form of self-sacrifice. In Anglo-Saxon society, the actions in life and reputation w</w:t>
      </w:r>
      <w:r w:rsidR="00905EE4">
        <w:rPr>
          <w:rFonts w:ascii="Calibri" w:eastAsia="Calibri" w:hAnsi="Calibri" w:cs="Calibri"/>
          <w:sz w:val="22"/>
          <w:szCs w:val="22"/>
        </w:rPr>
        <w:t>ere</w:t>
      </w:r>
      <w:r w:rsidRPr="3737E55B">
        <w:rPr>
          <w:rFonts w:ascii="Calibri" w:eastAsia="Calibri" w:hAnsi="Calibri" w:cs="Calibri"/>
          <w:sz w:val="22"/>
          <w:szCs w:val="22"/>
        </w:rPr>
        <w:t xml:space="preserve"> the only hope for immortality. This is evident in the </w:t>
      </w:r>
      <w:r w:rsidR="000401E3">
        <w:rPr>
          <w:rFonts w:ascii="Calibri" w:eastAsia="Calibri" w:hAnsi="Calibri" w:cs="Calibri"/>
          <w:sz w:val="22"/>
          <w:szCs w:val="22"/>
        </w:rPr>
        <w:t>transformation</w:t>
      </w:r>
      <w:r w:rsidR="000401E3" w:rsidRPr="3737E55B">
        <w:rPr>
          <w:rFonts w:ascii="Calibri" w:eastAsia="Calibri" w:hAnsi="Calibri" w:cs="Calibri"/>
          <w:sz w:val="22"/>
          <w:szCs w:val="22"/>
        </w:rPr>
        <w:t xml:space="preserve"> </w:t>
      </w:r>
      <w:r w:rsidRPr="3737E55B">
        <w:rPr>
          <w:rFonts w:ascii="Calibri" w:eastAsia="Calibri" w:hAnsi="Calibri" w:cs="Calibri"/>
          <w:sz w:val="22"/>
          <w:szCs w:val="22"/>
        </w:rPr>
        <w:t>of Beowulf when he is killed in battle</w:t>
      </w:r>
      <w:r w:rsidR="000401E3">
        <w:rPr>
          <w:rFonts w:ascii="Calibri" w:eastAsia="Calibri" w:hAnsi="Calibri" w:cs="Calibri"/>
          <w:sz w:val="22"/>
          <w:szCs w:val="22"/>
        </w:rPr>
        <w:t xml:space="preserve"> and r</w:t>
      </w:r>
      <w:r w:rsidRPr="3737E55B">
        <w:rPr>
          <w:rFonts w:ascii="Calibri" w:eastAsia="Calibri" w:hAnsi="Calibri" w:cs="Calibri"/>
          <w:sz w:val="22"/>
          <w:szCs w:val="22"/>
        </w:rPr>
        <w:t xml:space="preserve">ecognised as his only selfless act. Immortality, however, can suggest fame and arrogance which are the traits readers recognise in Beowulf. In the dragon episode, Beowulf honouring his people in the form of treasures and protection; yet it is the challenge of weakening his ability as a warrior which promotes him as a heroic figure. The poet’s intention to advocate Beowulf as a </w:t>
      </w:r>
      <w:r w:rsidRPr="3737E55B">
        <w:rPr>
          <w:rFonts w:ascii="Calibri" w:eastAsia="Calibri" w:hAnsi="Calibri" w:cs="Calibri"/>
          <w:sz w:val="22"/>
          <w:szCs w:val="22"/>
        </w:rPr>
        <w:lastRenderedPageBreak/>
        <w:t>heroic figure is emphasised by the outcome of the battle. For a Christian reader</w:t>
      </w:r>
      <w:r w:rsidR="00905EE4">
        <w:rPr>
          <w:rFonts w:ascii="Calibri" w:eastAsia="Calibri" w:hAnsi="Calibri" w:cs="Calibri"/>
          <w:sz w:val="22"/>
          <w:szCs w:val="22"/>
        </w:rPr>
        <w:t>,</w:t>
      </w:r>
      <w:r w:rsidRPr="3737E55B">
        <w:rPr>
          <w:rFonts w:ascii="Calibri" w:eastAsia="Calibri" w:hAnsi="Calibri" w:cs="Calibri"/>
          <w:sz w:val="22"/>
          <w:szCs w:val="22"/>
        </w:rPr>
        <w:t xml:space="preserve"> it is fundamental that Beowulf loses the battle; a Christian reader would expect him to take the treasure from the dragon and distribute the bounty for his men as a symbol of loyalty</w:t>
      </w:r>
      <w:r w:rsidR="00A24274">
        <w:rPr>
          <w:rFonts w:ascii="Calibri" w:eastAsia="Calibri" w:hAnsi="Calibri" w:cs="Calibri"/>
          <w:sz w:val="22"/>
          <w:szCs w:val="22"/>
        </w:rPr>
        <w:t>.</w:t>
      </w:r>
      <w:r w:rsidRPr="3737E55B">
        <w:rPr>
          <w:rFonts w:ascii="Calibri" w:eastAsia="Calibri" w:hAnsi="Calibri" w:cs="Calibri"/>
          <w:sz w:val="22"/>
          <w:szCs w:val="22"/>
        </w:rPr>
        <w:t xml:space="preserve"> </w:t>
      </w:r>
      <w:r w:rsidR="005D7E7C">
        <w:rPr>
          <w:rStyle w:val="FootnoteReference"/>
          <w:rFonts w:ascii="Calibri" w:eastAsia="Calibri" w:hAnsi="Calibri" w:cs="Calibri"/>
          <w:sz w:val="22"/>
          <w:szCs w:val="22"/>
        </w:rPr>
        <w:footnoteReference w:id="39"/>
      </w:r>
      <w:r w:rsidR="00A24274">
        <w:rPr>
          <w:rFonts w:ascii="Calibri" w:eastAsia="Calibri" w:hAnsi="Calibri" w:cs="Calibri"/>
          <w:sz w:val="22"/>
          <w:szCs w:val="22"/>
        </w:rPr>
        <w:t xml:space="preserve"> </w:t>
      </w:r>
      <w:r w:rsidRPr="3737E55B">
        <w:rPr>
          <w:rFonts w:ascii="Calibri" w:eastAsia="Calibri" w:hAnsi="Calibri" w:cs="Calibri"/>
          <w:sz w:val="22"/>
          <w:szCs w:val="22"/>
        </w:rPr>
        <w:t xml:space="preserve">Beowulf as a non-Christian presents a challenge for the Anglo-Saxon audience, he is a </w:t>
      </w:r>
      <w:r w:rsidR="000401E3">
        <w:rPr>
          <w:rFonts w:ascii="Calibri" w:eastAsia="Calibri" w:hAnsi="Calibri" w:cs="Calibri"/>
          <w:sz w:val="22"/>
          <w:szCs w:val="22"/>
        </w:rPr>
        <w:t>p</w:t>
      </w:r>
      <w:r w:rsidRPr="3737E55B">
        <w:rPr>
          <w:rFonts w:ascii="Calibri" w:eastAsia="Calibri" w:hAnsi="Calibri" w:cs="Calibri"/>
          <w:sz w:val="22"/>
          <w:szCs w:val="22"/>
        </w:rPr>
        <w:t xml:space="preserve">agan prince epitomising a hero, who battles for battle sake. He </w:t>
      </w:r>
      <w:r w:rsidR="000401E3">
        <w:rPr>
          <w:rFonts w:ascii="Calibri" w:eastAsia="Calibri" w:hAnsi="Calibri" w:cs="Calibri"/>
          <w:sz w:val="22"/>
          <w:szCs w:val="22"/>
        </w:rPr>
        <w:t>alters</w:t>
      </w:r>
      <w:r w:rsidR="000401E3" w:rsidRPr="3737E55B">
        <w:rPr>
          <w:rFonts w:ascii="Calibri" w:eastAsia="Calibri" w:hAnsi="Calibri" w:cs="Calibri"/>
          <w:sz w:val="22"/>
          <w:szCs w:val="22"/>
        </w:rPr>
        <w:t xml:space="preserve"> </w:t>
      </w:r>
      <w:r w:rsidRPr="3737E55B">
        <w:rPr>
          <w:rFonts w:ascii="Calibri" w:eastAsia="Calibri" w:hAnsi="Calibri" w:cs="Calibri"/>
          <w:sz w:val="22"/>
          <w:szCs w:val="22"/>
        </w:rPr>
        <w:t xml:space="preserve">into a Christian icon of heroics when he kills the dragon for the welfare of his people, thus </w:t>
      </w:r>
      <w:r w:rsidR="000401E3">
        <w:rPr>
          <w:rFonts w:ascii="Calibri" w:eastAsia="Calibri" w:hAnsi="Calibri" w:cs="Calibri"/>
          <w:sz w:val="22"/>
          <w:szCs w:val="22"/>
        </w:rPr>
        <w:t>changes</w:t>
      </w:r>
      <w:r w:rsidRPr="3737E55B">
        <w:rPr>
          <w:rFonts w:ascii="Calibri" w:eastAsia="Calibri" w:hAnsi="Calibri" w:cs="Calibri"/>
          <w:sz w:val="22"/>
          <w:szCs w:val="22"/>
        </w:rPr>
        <w:t xml:space="preserve"> into a character to what was acceptable to a Christian audience. His battles against the mythical creatures revealing his superhuman strength </w:t>
      </w:r>
      <w:r w:rsidR="00905EE4">
        <w:rPr>
          <w:rFonts w:ascii="Calibri" w:eastAsia="Calibri" w:hAnsi="Calibri" w:cs="Calibri"/>
          <w:sz w:val="22"/>
          <w:szCs w:val="22"/>
        </w:rPr>
        <w:t>were</w:t>
      </w:r>
      <w:r w:rsidRPr="3737E55B">
        <w:rPr>
          <w:rFonts w:ascii="Calibri" w:eastAsia="Calibri" w:hAnsi="Calibri" w:cs="Calibri"/>
          <w:sz w:val="22"/>
          <w:szCs w:val="22"/>
        </w:rPr>
        <w:t xml:space="preserve"> essential for an epic hero, becoming fragmented from his role as a religious hero. In the </w:t>
      </w:r>
      <w:r w:rsidRPr="3737E55B">
        <w:rPr>
          <w:rFonts w:ascii="Calibri" w:eastAsia="Calibri" w:hAnsi="Calibri" w:cs="Calibri"/>
          <w:i/>
          <w:iCs/>
          <w:sz w:val="22"/>
          <w:szCs w:val="22"/>
        </w:rPr>
        <w:t>Wanderer</w:t>
      </w:r>
      <w:r w:rsidRPr="3737E55B">
        <w:rPr>
          <w:rFonts w:ascii="Calibri" w:eastAsia="Calibri" w:hAnsi="Calibri" w:cs="Calibri"/>
          <w:sz w:val="22"/>
          <w:szCs w:val="22"/>
        </w:rPr>
        <w:t xml:space="preserve"> there is a clear definition between </w:t>
      </w:r>
      <w:r w:rsidR="00905EE4">
        <w:rPr>
          <w:rFonts w:ascii="Calibri" w:eastAsia="Calibri" w:hAnsi="Calibri" w:cs="Calibri"/>
          <w:sz w:val="22"/>
          <w:szCs w:val="22"/>
        </w:rPr>
        <w:t xml:space="preserve">the </w:t>
      </w:r>
      <w:r w:rsidRPr="3737E55B">
        <w:rPr>
          <w:rFonts w:ascii="Calibri" w:eastAsia="Calibri" w:hAnsi="Calibri" w:cs="Calibri"/>
          <w:sz w:val="22"/>
          <w:szCs w:val="22"/>
        </w:rPr>
        <w:t>life of a warrior and the Christian knight:</w:t>
      </w:r>
    </w:p>
    <w:p w14:paraId="5430B2E1" w14:textId="046F6524" w:rsidR="3737E55B" w:rsidRDefault="000E432A" w:rsidP="003B41F3">
      <w:pPr>
        <w:spacing w:after="160" w:line="480" w:lineRule="auto"/>
        <w:ind w:left="1134" w:right="1134"/>
        <w:rPr>
          <w:rFonts w:ascii="Calibri" w:eastAsia="Calibri" w:hAnsi="Calibri" w:cs="Calibri"/>
          <w:sz w:val="22"/>
          <w:szCs w:val="22"/>
        </w:rPr>
      </w:pPr>
      <w:r>
        <w:rPr>
          <w:rFonts w:ascii="Calibri" w:eastAsia="Calibri" w:hAnsi="Calibri" w:cs="Calibri"/>
          <w:sz w:val="22"/>
          <w:szCs w:val="22"/>
        </w:rPr>
        <w:t>The whole kingdom of earth is full of hardship</w:t>
      </w:r>
      <w:r w:rsidR="00743C09">
        <w:rPr>
          <w:rFonts w:ascii="Calibri" w:eastAsia="Calibri" w:hAnsi="Calibri" w:cs="Calibri"/>
          <w:sz w:val="22"/>
          <w:szCs w:val="22"/>
        </w:rPr>
        <w:t>; the dispensation of fate makes mutable the world below the heavens. Here wealth is ephemeral; here friend is ephemeral; here man is ephemeral; here kinsman is ephemeral; all this foundation of earth will become desolate.</w:t>
      </w:r>
      <w:r>
        <w:rPr>
          <w:rStyle w:val="FootnoteReference"/>
          <w:rFonts w:ascii="Calibri" w:eastAsia="Calibri" w:hAnsi="Calibri" w:cs="Calibri"/>
          <w:sz w:val="22"/>
          <w:szCs w:val="22"/>
        </w:rPr>
        <w:footnoteReference w:id="40"/>
      </w:r>
      <w:r w:rsidR="3737E55B" w:rsidRPr="3737E55B">
        <w:rPr>
          <w:rFonts w:ascii="Calibri" w:eastAsia="Calibri" w:hAnsi="Calibri" w:cs="Calibri"/>
          <w:sz w:val="22"/>
          <w:szCs w:val="22"/>
        </w:rPr>
        <w:t xml:space="preserve"> </w:t>
      </w:r>
    </w:p>
    <w:p w14:paraId="03A46B50" w14:textId="6AE332D6" w:rsidR="3737E55B" w:rsidRDefault="3737E55B" w:rsidP="003B41F3">
      <w:pPr>
        <w:spacing w:after="160" w:line="480" w:lineRule="auto"/>
        <w:rPr>
          <w:rFonts w:ascii="Calibri" w:eastAsia="Calibri" w:hAnsi="Calibri" w:cs="Calibri"/>
          <w:sz w:val="22"/>
          <w:szCs w:val="22"/>
        </w:rPr>
      </w:pPr>
      <w:r w:rsidRPr="3737E55B">
        <w:rPr>
          <w:rFonts w:ascii="Calibri" w:eastAsia="Calibri" w:hAnsi="Calibri" w:cs="Calibri"/>
          <w:sz w:val="22"/>
          <w:szCs w:val="22"/>
        </w:rPr>
        <w:t>Beowulf as a non-Christian represents a challenge for the Anglo-Saxon audience, he is a heroic prince in search of honour, who transforms into a King of the Geats</w:t>
      </w:r>
      <w:r w:rsidR="00A6505E">
        <w:rPr>
          <w:rFonts w:ascii="Calibri" w:eastAsia="Calibri" w:hAnsi="Calibri" w:cs="Calibri"/>
          <w:sz w:val="22"/>
          <w:szCs w:val="22"/>
        </w:rPr>
        <w:t>,</w:t>
      </w:r>
      <w:r w:rsidRPr="3737E55B">
        <w:rPr>
          <w:rFonts w:ascii="Calibri" w:eastAsia="Calibri" w:hAnsi="Calibri" w:cs="Calibri"/>
          <w:sz w:val="22"/>
          <w:szCs w:val="22"/>
        </w:rPr>
        <w:t xml:space="preserve"> fighting a mythical beast. It </w:t>
      </w:r>
      <w:r w:rsidR="00A6505E">
        <w:rPr>
          <w:rFonts w:ascii="Calibri" w:eastAsia="Calibri" w:hAnsi="Calibri" w:cs="Calibri"/>
          <w:sz w:val="22"/>
          <w:szCs w:val="22"/>
        </w:rPr>
        <w:t xml:space="preserve">is </w:t>
      </w:r>
      <w:r w:rsidRPr="3737E55B">
        <w:rPr>
          <w:rFonts w:ascii="Calibri" w:eastAsia="Calibri" w:hAnsi="Calibri" w:cs="Calibri"/>
          <w:sz w:val="22"/>
          <w:szCs w:val="22"/>
        </w:rPr>
        <w:t xml:space="preserve">his life as King and his actions to kill the dragon for the welfare of his people, which would transform into a character acceptable to the readers. King Oswald of Northumbria in Aelfric’s </w:t>
      </w:r>
      <w:r w:rsidRPr="3737E55B">
        <w:rPr>
          <w:rFonts w:ascii="Calibri" w:eastAsia="Calibri" w:hAnsi="Calibri" w:cs="Calibri"/>
          <w:i/>
          <w:iCs/>
          <w:sz w:val="22"/>
          <w:szCs w:val="22"/>
        </w:rPr>
        <w:t xml:space="preserve">Life of King Oswald </w:t>
      </w:r>
      <w:r w:rsidRPr="3737E55B">
        <w:rPr>
          <w:rFonts w:ascii="Calibri" w:eastAsia="Calibri" w:hAnsi="Calibri" w:cs="Calibri"/>
          <w:sz w:val="22"/>
          <w:szCs w:val="22"/>
        </w:rPr>
        <w:t xml:space="preserve">illustrates the perfect Christian knight: ‘There was a noble king </w:t>
      </w:r>
      <w:r w:rsidR="00204997">
        <w:rPr>
          <w:rFonts w:ascii="Calibri" w:eastAsia="Calibri" w:hAnsi="Calibri" w:cs="Calibri"/>
          <w:sz w:val="22"/>
          <w:szCs w:val="22"/>
        </w:rPr>
        <w:t xml:space="preserve">called </w:t>
      </w:r>
      <w:r w:rsidRPr="3737E55B">
        <w:rPr>
          <w:rFonts w:ascii="Calibri" w:eastAsia="Calibri" w:hAnsi="Calibri" w:cs="Calibri"/>
          <w:sz w:val="22"/>
          <w:szCs w:val="22"/>
        </w:rPr>
        <w:t xml:space="preserve"> Oswald in the land of the Northumbrians, who believed very </w:t>
      </w:r>
      <w:r w:rsidR="00204997">
        <w:rPr>
          <w:rFonts w:ascii="Calibri" w:eastAsia="Calibri" w:hAnsi="Calibri" w:cs="Calibri"/>
          <w:sz w:val="22"/>
          <w:szCs w:val="22"/>
        </w:rPr>
        <w:t>greatly</w:t>
      </w:r>
      <w:r w:rsidRPr="3737E55B">
        <w:rPr>
          <w:rFonts w:ascii="Calibri" w:eastAsia="Calibri" w:hAnsi="Calibri" w:cs="Calibri"/>
          <w:sz w:val="22"/>
          <w:szCs w:val="22"/>
        </w:rPr>
        <w:t xml:space="preserve"> in God’</w:t>
      </w:r>
      <w:r w:rsidR="00204997">
        <w:rPr>
          <w:rFonts w:ascii="Calibri" w:eastAsia="Calibri" w:hAnsi="Calibri" w:cs="Calibri"/>
          <w:sz w:val="22"/>
          <w:szCs w:val="22"/>
        </w:rPr>
        <w:t>.</w:t>
      </w:r>
      <w:r w:rsidR="00743C09">
        <w:rPr>
          <w:rStyle w:val="FootnoteReference"/>
          <w:rFonts w:ascii="Calibri" w:eastAsia="Calibri" w:hAnsi="Calibri" w:cs="Calibri"/>
          <w:sz w:val="22"/>
          <w:szCs w:val="22"/>
        </w:rPr>
        <w:footnoteReference w:id="41"/>
      </w:r>
      <w:r w:rsidRPr="3737E55B">
        <w:rPr>
          <w:rFonts w:ascii="Calibri" w:eastAsia="Calibri" w:hAnsi="Calibri" w:cs="Calibri"/>
          <w:sz w:val="22"/>
          <w:szCs w:val="22"/>
        </w:rPr>
        <w:t xml:space="preserve"> The image of the </w:t>
      </w:r>
      <w:r w:rsidRPr="3737E55B">
        <w:rPr>
          <w:rFonts w:ascii="Calibri" w:eastAsia="Calibri" w:hAnsi="Calibri" w:cs="Calibri"/>
          <w:sz w:val="22"/>
          <w:szCs w:val="22"/>
        </w:rPr>
        <w:lastRenderedPageBreak/>
        <w:t xml:space="preserve">Christian knight was not subject to a lord or king, it could also be transferred into a religious figure. </w:t>
      </w:r>
      <w:r w:rsidR="007666DA" w:rsidRPr="3737E55B">
        <w:rPr>
          <w:rFonts w:ascii="Calibri" w:eastAsia="Calibri" w:hAnsi="Calibri" w:cs="Calibri"/>
          <w:sz w:val="22"/>
          <w:szCs w:val="22"/>
        </w:rPr>
        <w:t xml:space="preserve">The </w:t>
      </w:r>
      <w:r w:rsidR="007666DA" w:rsidRPr="3737E55B">
        <w:rPr>
          <w:rFonts w:ascii="Calibri" w:eastAsia="Calibri" w:hAnsi="Calibri" w:cs="Calibri"/>
          <w:i/>
          <w:iCs/>
          <w:sz w:val="22"/>
          <w:szCs w:val="22"/>
        </w:rPr>
        <w:t>Life of St Cuthbert</w:t>
      </w:r>
      <w:r w:rsidR="007666DA" w:rsidRPr="3737E55B">
        <w:rPr>
          <w:rFonts w:ascii="Calibri" w:eastAsia="Calibri" w:hAnsi="Calibri" w:cs="Calibri"/>
          <w:sz w:val="22"/>
          <w:szCs w:val="22"/>
        </w:rPr>
        <w:t xml:space="preserve"> by Bede</w:t>
      </w:r>
      <w:r w:rsidRPr="3737E55B">
        <w:rPr>
          <w:rFonts w:ascii="Calibri" w:eastAsia="Calibri" w:hAnsi="Calibri" w:cs="Calibri"/>
          <w:sz w:val="22"/>
          <w:szCs w:val="22"/>
        </w:rPr>
        <w:t xml:space="preserve"> </w:t>
      </w:r>
      <w:r w:rsidR="00B92A70">
        <w:rPr>
          <w:rFonts w:ascii="Calibri" w:eastAsia="Calibri" w:hAnsi="Calibri" w:cs="Calibri"/>
          <w:sz w:val="22"/>
          <w:szCs w:val="22"/>
        </w:rPr>
        <w:t>depicts</w:t>
      </w:r>
      <w:r w:rsidRPr="3737E55B">
        <w:rPr>
          <w:rFonts w:ascii="Calibri" w:eastAsia="Calibri" w:hAnsi="Calibri" w:cs="Calibri"/>
          <w:sz w:val="22"/>
          <w:szCs w:val="22"/>
        </w:rPr>
        <w:t xml:space="preserve"> a different kind of heroic figure. Cuthbert represented values </w:t>
      </w:r>
      <w:r w:rsidR="00905EE4">
        <w:rPr>
          <w:rFonts w:ascii="Calibri" w:eastAsia="Calibri" w:hAnsi="Calibri" w:cs="Calibri"/>
          <w:sz w:val="22"/>
          <w:szCs w:val="22"/>
        </w:rPr>
        <w:t>that</w:t>
      </w:r>
      <w:r w:rsidRPr="3737E55B">
        <w:rPr>
          <w:rFonts w:ascii="Calibri" w:eastAsia="Calibri" w:hAnsi="Calibri" w:cs="Calibri"/>
          <w:sz w:val="22"/>
          <w:szCs w:val="22"/>
        </w:rPr>
        <w:t xml:space="preserve"> Bede had seen as a symbol of good leadership. Scholars suggest the text was composed as a model of a church leader which ‘embodied the reforming ideas advocated by Bede’</w:t>
      </w:r>
      <w:r w:rsidR="00567D13">
        <w:rPr>
          <w:rFonts w:ascii="Calibri" w:eastAsia="Calibri" w:hAnsi="Calibri" w:cs="Calibri"/>
          <w:sz w:val="22"/>
          <w:szCs w:val="22"/>
        </w:rPr>
        <w:t>.</w:t>
      </w:r>
      <w:r w:rsidR="005D7E7C">
        <w:rPr>
          <w:rStyle w:val="FootnoteReference"/>
          <w:rFonts w:ascii="Calibri" w:eastAsia="Calibri" w:hAnsi="Calibri" w:cs="Calibri"/>
          <w:sz w:val="22"/>
          <w:szCs w:val="22"/>
        </w:rPr>
        <w:footnoteReference w:id="42"/>
      </w:r>
      <w:r w:rsidRPr="3737E55B">
        <w:rPr>
          <w:rFonts w:ascii="Calibri" w:eastAsia="Calibri" w:hAnsi="Calibri" w:cs="Calibri"/>
          <w:sz w:val="22"/>
          <w:szCs w:val="22"/>
        </w:rPr>
        <w:t xml:space="preserve"> Evidently</w:t>
      </w:r>
      <w:r w:rsidR="00905EE4">
        <w:rPr>
          <w:rFonts w:ascii="Calibri" w:eastAsia="Calibri" w:hAnsi="Calibri" w:cs="Calibri"/>
          <w:sz w:val="22"/>
          <w:szCs w:val="22"/>
        </w:rPr>
        <w:t>,</w:t>
      </w:r>
      <w:r w:rsidRPr="3737E55B">
        <w:rPr>
          <w:rFonts w:ascii="Calibri" w:eastAsia="Calibri" w:hAnsi="Calibri" w:cs="Calibri"/>
          <w:sz w:val="22"/>
          <w:szCs w:val="22"/>
        </w:rPr>
        <w:t xml:space="preserve"> Bede has created a model of leadership through the values as a </w:t>
      </w:r>
      <w:r w:rsidR="00B92A70">
        <w:rPr>
          <w:rFonts w:ascii="Calibri" w:eastAsia="Calibri" w:hAnsi="Calibri" w:cs="Calibri"/>
          <w:sz w:val="22"/>
          <w:szCs w:val="22"/>
        </w:rPr>
        <w:t>‘</w:t>
      </w:r>
      <w:r w:rsidRPr="3737E55B">
        <w:rPr>
          <w:rFonts w:ascii="Calibri" w:eastAsia="Calibri" w:hAnsi="Calibri" w:cs="Calibri"/>
          <w:sz w:val="22"/>
          <w:szCs w:val="22"/>
        </w:rPr>
        <w:t>state of perfection</w:t>
      </w:r>
      <w:r w:rsidR="00B92A70">
        <w:rPr>
          <w:rFonts w:ascii="Calibri" w:eastAsia="Calibri" w:hAnsi="Calibri" w:cs="Calibri"/>
          <w:sz w:val="22"/>
          <w:szCs w:val="22"/>
        </w:rPr>
        <w:t>’</w:t>
      </w:r>
      <w:r w:rsidR="00B420AA">
        <w:rPr>
          <w:rStyle w:val="FootnoteReference"/>
          <w:rFonts w:ascii="Calibri" w:eastAsia="Calibri" w:hAnsi="Calibri" w:cs="Calibri"/>
          <w:sz w:val="22"/>
          <w:szCs w:val="22"/>
        </w:rPr>
        <w:footnoteReference w:id="43"/>
      </w:r>
      <w:r w:rsidRPr="3737E55B">
        <w:rPr>
          <w:rFonts w:ascii="Calibri" w:eastAsia="Calibri" w:hAnsi="Calibri" w:cs="Calibri"/>
          <w:sz w:val="22"/>
          <w:szCs w:val="22"/>
        </w:rPr>
        <w:t xml:space="preserve"> found in the clergy. Leadership </w:t>
      </w:r>
      <w:r w:rsidR="00905EE4">
        <w:rPr>
          <w:rFonts w:ascii="Calibri" w:eastAsia="Calibri" w:hAnsi="Calibri" w:cs="Calibri"/>
          <w:sz w:val="22"/>
          <w:szCs w:val="22"/>
        </w:rPr>
        <w:t>i</w:t>
      </w:r>
      <w:r w:rsidRPr="3737E55B">
        <w:rPr>
          <w:rFonts w:ascii="Calibri" w:eastAsia="Calibri" w:hAnsi="Calibri" w:cs="Calibri"/>
          <w:sz w:val="22"/>
          <w:szCs w:val="22"/>
        </w:rPr>
        <w:t xml:space="preserve">s an intangible quality by good faith in God, rather than in physical actions readers would understand in the Battle literature. However, it is clear through Bede and other religious texts, that the heroic battle is not always a mark of physical strength. Cuthbert is both leader to the Northumbrians, but he is also an obedient servant to God. </w:t>
      </w:r>
    </w:p>
    <w:p w14:paraId="62A13768" w14:textId="2E1F0ED4" w:rsidR="3737E55B" w:rsidRDefault="3737E55B" w:rsidP="003B41F3">
      <w:pPr>
        <w:spacing w:after="160" w:line="480" w:lineRule="auto"/>
        <w:ind w:left="1134" w:right="1134"/>
        <w:rPr>
          <w:rFonts w:ascii="Calibri" w:eastAsia="Calibri" w:hAnsi="Calibri" w:cs="Calibri"/>
          <w:sz w:val="22"/>
          <w:szCs w:val="22"/>
        </w:rPr>
      </w:pPr>
      <w:r w:rsidRPr="3737E55B">
        <w:rPr>
          <w:rFonts w:ascii="Calibri" w:eastAsia="Calibri" w:hAnsi="Calibri" w:cs="Calibri"/>
          <w:sz w:val="22"/>
          <w:szCs w:val="22"/>
        </w:rPr>
        <w:t>‘The venerable man by these and other spiritual exercises of the same kind, aroused in good men the desire to imitate him and recall the wicked and those who rebelled against the rule from the obstinacy of their error’</w:t>
      </w:r>
      <w:r w:rsidR="00567D13">
        <w:rPr>
          <w:rFonts w:ascii="Calibri" w:eastAsia="Calibri" w:hAnsi="Calibri" w:cs="Calibri"/>
          <w:sz w:val="22"/>
          <w:szCs w:val="22"/>
        </w:rPr>
        <w:t>.</w:t>
      </w:r>
      <w:r w:rsidR="00567D13">
        <w:rPr>
          <w:rStyle w:val="FootnoteReference"/>
          <w:rFonts w:ascii="Calibri" w:eastAsia="Calibri" w:hAnsi="Calibri" w:cs="Calibri"/>
          <w:sz w:val="22"/>
          <w:szCs w:val="22"/>
        </w:rPr>
        <w:footnoteReference w:id="44"/>
      </w:r>
      <w:r w:rsidRPr="3737E55B">
        <w:rPr>
          <w:rFonts w:ascii="Calibri" w:eastAsia="Calibri" w:hAnsi="Calibri" w:cs="Calibri"/>
          <w:sz w:val="22"/>
          <w:szCs w:val="22"/>
        </w:rPr>
        <w:t xml:space="preserve">  </w:t>
      </w:r>
    </w:p>
    <w:p w14:paraId="74D63ED5" w14:textId="2B602F31" w:rsidR="3737E55B" w:rsidRDefault="3737E55B" w:rsidP="003B41F3">
      <w:pPr>
        <w:spacing w:after="160" w:line="480" w:lineRule="auto"/>
        <w:rPr>
          <w:rFonts w:ascii="Calibri" w:eastAsia="Calibri" w:hAnsi="Calibri" w:cs="Calibri"/>
          <w:sz w:val="22"/>
          <w:szCs w:val="22"/>
        </w:rPr>
      </w:pPr>
      <w:r w:rsidRPr="3737E55B">
        <w:rPr>
          <w:rFonts w:ascii="Calibri" w:eastAsia="Calibri" w:hAnsi="Calibri" w:cs="Calibri"/>
          <w:sz w:val="22"/>
          <w:szCs w:val="22"/>
        </w:rPr>
        <w:t xml:space="preserve">Clergymen in the </w:t>
      </w:r>
      <w:r w:rsidRPr="3737E55B">
        <w:rPr>
          <w:rFonts w:ascii="Calibri" w:eastAsia="Calibri" w:hAnsi="Calibri" w:cs="Calibri"/>
          <w:i/>
          <w:iCs/>
          <w:sz w:val="22"/>
          <w:szCs w:val="22"/>
        </w:rPr>
        <w:t>Life of St Cuthbert</w:t>
      </w:r>
      <w:r w:rsidRPr="3737E55B">
        <w:rPr>
          <w:rFonts w:ascii="Calibri" w:eastAsia="Calibri" w:hAnsi="Calibri" w:cs="Calibri"/>
          <w:sz w:val="22"/>
          <w:szCs w:val="22"/>
        </w:rPr>
        <w:t xml:space="preserve"> are viewed as </w:t>
      </w:r>
      <w:r w:rsidR="00B420AA">
        <w:rPr>
          <w:rFonts w:ascii="Calibri" w:eastAsia="Calibri" w:hAnsi="Calibri" w:cs="Calibri"/>
          <w:sz w:val="22"/>
          <w:szCs w:val="22"/>
        </w:rPr>
        <w:t>‘</w:t>
      </w:r>
      <w:r w:rsidRPr="3737E55B">
        <w:rPr>
          <w:rFonts w:ascii="Calibri" w:eastAsia="Calibri" w:hAnsi="Calibri" w:cs="Calibri"/>
          <w:sz w:val="22"/>
          <w:szCs w:val="22"/>
        </w:rPr>
        <w:t>Blessed Warriors of Christ</w:t>
      </w:r>
      <w:r w:rsidR="00B420AA">
        <w:rPr>
          <w:rFonts w:ascii="Calibri" w:eastAsia="Calibri" w:hAnsi="Calibri" w:cs="Calibri"/>
          <w:sz w:val="22"/>
          <w:szCs w:val="22"/>
        </w:rPr>
        <w:t>’</w:t>
      </w:r>
      <w:r w:rsidR="0035162F">
        <w:rPr>
          <w:rStyle w:val="FootnoteReference"/>
          <w:rFonts w:ascii="Calibri" w:eastAsia="Calibri" w:hAnsi="Calibri" w:cs="Calibri"/>
          <w:sz w:val="22"/>
          <w:szCs w:val="22"/>
        </w:rPr>
        <w:footnoteReference w:id="45"/>
      </w:r>
      <w:r w:rsidRPr="3737E55B">
        <w:rPr>
          <w:rFonts w:ascii="Calibri" w:eastAsia="Calibri" w:hAnsi="Calibri" w:cs="Calibri"/>
          <w:sz w:val="22"/>
          <w:szCs w:val="22"/>
        </w:rPr>
        <w:t xml:space="preserve">, a notion which is suggested throughout the hagiography where Cuthbert battles demons, disease, storms, and his own sickness. The text provides almost a parallel between Cuthbert’s life as a priest in the Anglo-Saxon world to the life of Jesus in the New Testament. Therefore, no longer presenting a clergyman as only a hermit, but a warrior battling supernatural ‘monsters’ as seen in many of the heroics. His election to the bishopric of Lindisfarne, where he battles against his will to live a life of solitude to take up the appointment: ‘for a little time was fighting the good fight in secret </w:t>
      </w:r>
      <w:r w:rsidRPr="3737E55B">
        <w:rPr>
          <w:rFonts w:ascii="Calibri" w:eastAsia="Calibri" w:hAnsi="Calibri" w:cs="Calibri"/>
          <w:sz w:val="22"/>
          <w:szCs w:val="22"/>
        </w:rPr>
        <w:lastRenderedPageBreak/>
        <w:t>with his wonted devotion to the lord’</w:t>
      </w:r>
      <w:r w:rsidR="00567D13">
        <w:rPr>
          <w:rFonts w:ascii="Calibri" w:eastAsia="Calibri" w:hAnsi="Calibri" w:cs="Calibri"/>
          <w:sz w:val="22"/>
          <w:szCs w:val="22"/>
        </w:rPr>
        <w:t>.</w:t>
      </w:r>
      <w:r w:rsidR="00567D13">
        <w:rPr>
          <w:rStyle w:val="FootnoteReference"/>
          <w:rFonts w:ascii="Calibri" w:eastAsia="Calibri" w:hAnsi="Calibri" w:cs="Calibri"/>
          <w:sz w:val="22"/>
          <w:szCs w:val="22"/>
        </w:rPr>
        <w:footnoteReference w:id="46"/>
      </w:r>
      <w:r w:rsidRPr="3737E55B">
        <w:rPr>
          <w:rFonts w:ascii="Calibri" w:eastAsia="Calibri" w:hAnsi="Calibri" w:cs="Calibri"/>
          <w:sz w:val="22"/>
          <w:szCs w:val="22"/>
        </w:rPr>
        <w:t xml:space="preserve"> A battle </w:t>
      </w:r>
      <w:r w:rsidR="00905EE4">
        <w:rPr>
          <w:rFonts w:ascii="Calibri" w:eastAsia="Calibri" w:hAnsi="Calibri" w:cs="Calibri"/>
          <w:sz w:val="22"/>
          <w:szCs w:val="22"/>
        </w:rPr>
        <w:t>that</w:t>
      </w:r>
      <w:r w:rsidRPr="3737E55B">
        <w:rPr>
          <w:rFonts w:ascii="Calibri" w:eastAsia="Calibri" w:hAnsi="Calibri" w:cs="Calibri"/>
          <w:sz w:val="22"/>
          <w:szCs w:val="22"/>
        </w:rPr>
        <w:t xml:space="preserve"> is not much different </w:t>
      </w:r>
      <w:r w:rsidR="007B204E">
        <w:rPr>
          <w:rFonts w:ascii="Calibri" w:eastAsia="Calibri" w:hAnsi="Calibri" w:cs="Calibri"/>
          <w:sz w:val="22"/>
          <w:szCs w:val="22"/>
        </w:rPr>
        <w:t>from</w:t>
      </w:r>
      <w:r w:rsidRPr="3737E55B">
        <w:rPr>
          <w:rFonts w:ascii="Calibri" w:eastAsia="Calibri" w:hAnsi="Calibri" w:cs="Calibri"/>
          <w:sz w:val="22"/>
          <w:szCs w:val="22"/>
        </w:rPr>
        <w:t xml:space="preserve"> what is represented in the </w:t>
      </w:r>
      <w:r w:rsidRPr="3737E55B">
        <w:rPr>
          <w:rFonts w:ascii="Calibri" w:eastAsia="Calibri" w:hAnsi="Calibri" w:cs="Calibri"/>
          <w:i/>
          <w:iCs/>
          <w:sz w:val="22"/>
          <w:szCs w:val="22"/>
        </w:rPr>
        <w:t>Dream of the Rood</w:t>
      </w:r>
      <w:r w:rsidRPr="3737E55B">
        <w:rPr>
          <w:rFonts w:ascii="Calibri" w:eastAsia="Calibri" w:hAnsi="Calibri" w:cs="Calibri"/>
          <w:sz w:val="22"/>
          <w:szCs w:val="22"/>
        </w:rPr>
        <w:t xml:space="preserve">. The poem describes the events of the crucifixion as observed by the dreamer, the cross experiences the suffering - speaking directly to the dreamer. Religious values were an essential part of creating heroic religious figures. The poem demonstrating martyrdom as a victory. The crucifixion is traditionally viewed as a representation of a heroic battle. Jesus becoming a heroic figure and the disciples </w:t>
      </w:r>
      <w:r w:rsidR="00905EE4">
        <w:rPr>
          <w:rFonts w:ascii="Calibri" w:eastAsia="Calibri" w:hAnsi="Calibri" w:cs="Calibri"/>
          <w:sz w:val="22"/>
          <w:szCs w:val="22"/>
        </w:rPr>
        <w:t xml:space="preserve">of </w:t>
      </w:r>
      <w:r w:rsidRPr="3737E55B">
        <w:rPr>
          <w:rFonts w:ascii="Calibri" w:eastAsia="Calibri" w:hAnsi="Calibri" w:cs="Calibri"/>
          <w:sz w:val="22"/>
          <w:szCs w:val="22"/>
        </w:rPr>
        <w:t xml:space="preserve">his loyal vassals. The Cross is traditionally viewed as a retainer standing firm and protecting his </w:t>
      </w:r>
      <w:r w:rsidR="007666DA" w:rsidRPr="3737E55B">
        <w:rPr>
          <w:rFonts w:ascii="Calibri" w:eastAsia="Calibri" w:hAnsi="Calibri" w:cs="Calibri"/>
          <w:sz w:val="22"/>
          <w:szCs w:val="22"/>
        </w:rPr>
        <w:t>lord;</w:t>
      </w:r>
      <w:r w:rsidRPr="3737E55B">
        <w:rPr>
          <w:rFonts w:ascii="Calibri" w:eastAsia="Calibri" w:hAnsi="Calibri" w:cs="Calibri"/>
          <w:sz w:val="22"/>
          <w:szCs w:val="22"/>
        </w:rPr>
        <w:t xml:space="preserve"> however, it undoubtedly </w:t>
      </w:r>
      <w:r w:rsidR="0035162F">
        <w:rPr>
          <w:rFonts w:ascii="Calibri" w:eastAsia="Calibri" w:hAnsi="Calibri" w:cs="Calibri"/>
          <w:sz w:val="22"/>
          <w:szCs w:val="22"/>
        </w:rPr>
        <w:t>illustrates</w:t>
      </w:r>
      <w:r w:rsidRPr="3737E55B">
        <w:rPr>
          <w:rFonts w:ascii="Calibri" w:eastAsia="Calibri" w:hAnsi="Calibri" w:cs="Calibri"/>
          <w:sz w:val="22"/>
          <w:szCs w:val="22"/>
        </w:rPr>
        <w:t xml:space="preserve"> a weapon, protecting the lord as a symbol of his rank and status. </w:t>
      </w:r>
    </w:p>
    <w:p w14:paraId="5B2257D1" w14:textId="408CFDDB" w:rsidR="3737E55B" w:rsidRDefault="3737E55B" w:rsidP="003B41F3">
      <w:pPr>
        <w:spacing w:after="160" w:line="480" w:lineRule="auto"/>
        <w:rPr>
          <w:rFonts w:ascii="Calibri" w:eastAsia="Calibri" w:hAnsi="Calibri" w:cs="Calibri"/>
          <w:sz w:val="22"/>
          <w:szCs w:val="22"/>
        </w:rPr>
      </w:pPr>
      <w:r w:rsidRPr="3737E55B">
        <w:rPr>
          <w:rFonts w:ascii="Calibri" w:eastAsia="Calibri" w:hAnsi="Calibri" w:cs="Calibri"/>
          <w:sz w:val="22"/>
          <w:szCs w:val="22"/>
        </w:rPr>
        <w:t xml:space="preserve">In the </w:t>
      </w:r>
      <w:r w:rsidRPr="3737E55B">
        <w:rPr>
          <w:rFonts w:ascii="Calibri" w:eastAsia="Calibri" w:hAnsi="Calibri" w:cs="Calibri"/>
          <w:i/>
          <w:iCs/>
          <w:sz w:val="22"/>
          <w:szCs w:val="22"/>
        </w:rPr>
        <w:t>Dream of the Rood</w:t>
      </w:r>
      <w:r w:rsidR="007B204E">
        <w:rPr>
          <w:rFonts w:ascii="Calibri" w:eastAsia="Calibri" w:hAnsi="Calibri" w:cs="Calibri"/>
          <w:sz w:val="22"/>
          <w:szCs w:val="22"/>
        </w:rPr>
        <w:t xml:space="preserve">, </w:t>
      </w:r>
      <w:r w:rsidRPr="3737E55B">
        <w:rPr>
          <w:rFonts w:ascii="Calibri" w:eastAsia="Calibri" w:hAnsi="Calibri" w:cs="Calibri"/>
          <w:sz w:val="22"/>
          <w:szCs w:val="22"/>
        </w:rPr>
        <w:t xml:space="preserve">the cross is presented as a different type of weapon as seen in the other heroics, becoming a symbol of protection and defence. In ecclesiastical terms the cross is different to the disciples, bearing the mark of Christ which is emphasised in the poem: ‘I </w:t>
      </w:r>
      <w:r w:rsidR="00EB2E26">
        <w:rPr>
          <w:rFonts w:ascii="Calibri" w:eastAsia="Calibri" w:hAnsi="Calibri" w:cs="Calibri"/>
          <w:sz w:val="22"/>
          <w:szCs w:val="22"/>
        </w:rPr>
        <w:t>quivered when the hero clasped me, yet I dared not bowed to the ground, fall to the eart</w:t>
      </w:r>
      <w:r w:rsidR="003B41F3">
        <w:rPr>
          <w:rFonts w:ascii="Calibri" w:eastAsia="Calibri" w:hAnsi="Calibri" w:cs="Calibri"/>
          <w:sz w:val="22"/>
          <w:szCs w:val="22"/>
        </w:rPr>
        <w:t>h</w:t>
      </w:r>
      <w:r w:rsidR="00EB2E26">
        <w:rPr>
          <w:rFonts w:ascii="Calibri" w:eastAsia="Calibri" w:hAnsi="Calibri" w:cs="Calibri"/>
          <w:sz w:val="22"/>
          <w:szCs w:val="22"/>
        </w:rPr>
        <w:t>. I had to stand firm’.</w:t>
      </w:r>
      <w:r w:rsidR="00EB2E26">
        <w:rPr>
          <w:rStyle w:val="FootnoteReference"/>
          <w:rFonts w:ascii="Calibri" w:eastAsia="Calibri" w:hAnsi="Calibri" w:cs="Calibri"/>
          <w:sz w:val="22"/>
          <w:szCs w:val="22"/>
        </w:rPr>
        <w:footnoteReference w:id="47"/>
      </w:r>
      <w:r w:rsidRPr="3737E55B">
        <w:rPr>
          <w:rFonts w:ascii="Calibri" w:eastAsia="Calibri" w:hAnsi="Calibri" w:cs="Calibri"/>
          <w:sz w:val="22"/>
          <w:szCs w:val="22"/>
        </w:rPr>
        <w:t xml:space="preserve"> The weapon as a personification of the lord, previously discussed is significant, as the object which suffers with Christ. In the Anglo-Saxon world</w:t>
      </w:r>
      <w:r w:rsidR="007B204E">
        <w:rPr>
          <w:rFonts w:ascii="Calibri" w:eastAsia="Calibri" w:hAnsi="Calibri" w:cs="Calibri"/>
          <w:sz w:val="22"/>
          <w:szCs w:val="22"/>
        </w:rPr>
        <w:t>,</w:t>
      </w:r>
      <w:r w:rsidRPr="3737E55B">
        <w:rPr>
          <w:rFonts w:ascii="Calibri" w:eastAsia="Calibri" w:hAnsi="Calibri" w:cs="Calibri"/>
          <w:sz w:val="22"/>
          <w:szCs w:val="22"/>
        </w:rPr>
        <w:t xml:space="preserve"> warriors were buried with their weapons as a mark of their status, but the weapon was also a symbol as the object which kept them alive.  Symbolically becoming a mark of protection through life, but also in the afterlife. The cross was an important symbol as emphasised by King Oswald who promoted the cult of the cross, ‘Oswald </w:t>
      </w:r>
      <w:r w:rsidR="00204997">
        <w:rPr>
          <w:rFonts w:ascii="Calibri" w:eastAsia="Calibri" w:hAnsi="Calibri" w:cs="Calibri"/>
          <w:sz w:val="22"/>
          <w:szCs w:val="22"/>
        </w:rPr>
        <w:t xml:space="preserve">raised the cross quickly to the </w:t>
      </w:r>
      <w:r w:rsidRPr="3737E55B">
        <w:rPr>
          <w:rFonts w:ascii="Calibri" w:eastAsia="Calibri" w:hAnsi="Calibri" w:cs="Calibri"/>
          <w:sz w:val="22"/>
          <w:szCs w:val="22"/>
        </w:rPr>
        <w:t xml:space="preserve">honour of God before he </w:t>
      </w:r>
      <w:r w:rsidR="00204997">
        <w:rPr>
          <w:rFonts w:ascii="Calibri" w:eastAsia="Calibri" w:hAnsi="Calibri" w:cs="Calibri"/>
          <w:sz w:val="22"/>
          <w:szCs w:val="22"/>
        </w:rPr>
        <w:t>came</w:t>
      </w:r>
      <w:r w:rsidRPr="3737E55B">
        <w:rPr>
          <w:rFonts w:ascii="Calibri" w:eastAsia="Calibri" w:hAnsi="Calibri" w:cs="Calibri"/>
          <w:sz w:val="22"/>
          <w:szCs w:val="22"/>
        </w:rPr>
        <w:t xml:space="preserve"> to the battle’</w:t>
      </w:r>
      <w:r w:rsidR="00F21745">
        <w:rPr>
          <w:rFonts w:ascii="Calibri" w:eastAsia="Calibri" w:hAnsi="Calibri" w:cs="Calibri"/>
          <w:sz w:val="22"/>
          <w:szCs w:val="22"/>
        </w:rPr>
        <w:t>.</w:t>
      </w:r>
      <w:r w:rsidR="00F21745">
        <w:rPr>
          <w:rStyle w:val="FootnoteReference"/>
          <w:rFonts w:ascii="Calibri" w:eastAsia="Calibri" w:hAnsi="Calibri" w:cs="Calibri"/>
          <w:sz w:val="22"/>
          <w:szCs w:val="22"/>
        </w:rPr>
        <w:footnoteReference w:id="48"/>
      </w:r>
      <w:r w:rsidRPr="3737E55B">
        <w:rPr>
          <w:rFonts w:ascii="Calibri" w:eastAsia="Calibri" w:hAnsi="Calibri" w:cs="Calibri"/>
          <w:sz w:val="22"/>
          <w:szCs w:val="22"/>
        </w:rPr>
        <w:t xml:space="preserve"> Undoubtedly the cross becomes more than a symbol of Christ, but as a weapon which the Anglo-Saxons saw as infinite protection against non-Christians. Referring to the </w:t>
      </w:r>
      <w:r w:rsidRPr="3737E55B">
        <w:rPr>
          <w:rFonts w:ascii="Calibri" w:eastAsia="Calibri" w:hAnsi="Calibri" w:cs="Calibri"/>
          <w:i/>
          <w:iCs/>
          <w:sz w:val="22"/>
          <w:szCs w:val="22"/>
        </w:rPr>
        <w:t>Life of St Cuthbert</w:t>
      </w:r>
      <w:r w:rsidRPr="3737E55B">
        <w:rPr>
          <w:rFonts w:ascii="Calibri" w:eastAsia="Calibri" w:hAnsi="Calibri" w:cs="Calibri"/>
          <w:sz w:val="22"/>
          <w:szCs w:val="22"/>
        </w:rPr>
        <w:t xml:space="preserve"> and the archaeological evidence found in his tomb during the exhumation in 182</w:t>
      </w:r>
      <w:r w:rsidR="003B41F3">
        <w:rPr>
          <w:rFonts w:ascii="Calibri" w:eastAsia="Calibri" w:hAnsi="Calibri" w:cs="Calibri"/>
          <w:sz w:val="22"/>
          <w:szCs w:val="22"/>
        </w:rPr>
        <w:t>7</w:t>
      </w:r>
      <w:r w:rsidRPr="3737E55B">
        <w:rPr>
          <w:rFonts w:ascii="Calibri" w:eastAsia="Calibri" w:hAnsi="Calibri" w:cs="Calibri"/>
          <w:sz w:val="22"/>
          <w:szCs w:val="22"/>
        </w:rPr>
        <w:t xml:space="preserve">, the pectoral cross is an important symbol of his status as bishop. The cross, his portable altar and </w:t>
      </w:r>
      <w:r w:rsidRPr="3737E55B">
        <w:rPr>
          <w:rFonts w:ascii="Calibri" w:eastAsia="Calibri" w:hAnsi="Calibri" w:cs="Calibri"/>
          <w:sz w:val="22"/>
          <w:szCs w:val="22"/>
        </w:rPr>
        <w:lastRenderedPageBreak/>
        <w:t xml:space="preserve">the later Anglo-Saxon vestments, suggests the Anglo Saxon’s saw him as a knight or protector of the North, and these objects were his weapons. Cuthbert appears to have been used as a symbol of military conflict in the medieval period. The St Cuthbert banner was carried to battle against the Scots at the Battle of Neville’s Cross in 1346, revealing his place as a blessed warrior of Christ. </w:t>
      </w:r>
    </w:p>
    <w:p w14:paraId="4E9575CA" w14:textId="4CCA051F" w:rsidR="3737E55B" w:rsidRDefault="3737E55B" w:rsidP="003B41F3">
      <w:pPr>
        <w:spacing w:after="160" w:line="480" w:lineRule="auto"/>
        <w:rPr>
          <w:rFonts w:ascii="Calibri" w:eastAsia="Calibri" w:hAnsi="Calibri" w:cs="Calibri"/>
          <w:sz w:val="22"/>
          <w:szCs w:val="22"/>
        </w:rPr>
      </w:pPr>
      <w:r w:rsidRPr="3737E55B">
        <w:rPr>
          <w:rFonts w:ascii="Calibri" w:eastAsia="Calibri" w:hAnsi="Calibri" w:cs="Calibri"/>
          <w:sz w:val="22"/>
          <w:szCs w:val="22"/>
        </w:rPr>
        <w:t>The essay has demonstrated loyalty as a central motif of how the Anglo-Saxons constituted a heroic figure. It has achieved this through a close study of the Anglo-Saxon Heroics, to depict a</w:t>
      </w:r>
      <w:r w:rsidR="003B41F3">
        <w:rPr>
          <w:rFonts w:ascii="Calibri" w:eastAsia="Calibri" w:hAnsi="Calibri" w:cs="Calibri"/>
          <w:sz w:val="22"/>
          <w:szCs w:val="22"/>
        </w:rPr>
        <w:t>n</w:t>
      </w:r>
      <w:r w:rsidRPr="3737E55B">
        <w:rPr>
          <w:rFonts w:ascii="Calibri" w:eastAsia="Calibri" w:hAnsi="Calibri" w:cs="Calibri"/>
          <w:sz w:val="22"/>
          <w:szCs w:val="22"/>
        </w:rPr>
        <w:t xml:space="preserve"> </w:t>
      </w:r>
      <w:r w:rsidR="003B41F3">
        <w:rPr>
          <w:rFonts w:ascii="Calibri" w:eastAsia="Calibri" w:hAnsi="Calibri" w:cs="Calibri"/>
          <w:sz w:val="22"/>
          <w:szCs w:val="22"/>
        </w:rPr>
        <w:t>accurate</w:t>
      </w:r>
      <w:r w:rsidRPr="3737E55B">
        <w:rPr>
          <w:rFonts w:ascii="Calibri" w:eastAsia="Calibri" w:hAnsi="Calibri" w:cs="Calibri"/>
          <w:sz w:val="22"/>
          <w:szCs w:val="22"/>
        </w:rPr>
        <w:t xml:space="preserve"> assessment of the texts, but also the historical sources to draw together a conclusion. It has achieved this through the study of the </w:t>
      </w:r>
      <w:r w:rsidRPr="3737E55B">
        <w:rPr>
          <w:rFonts w:ascii="Calibri" w:eastAsia="Calibri" w:hAnsi="Calibri" w:cs="Calibri"/>
          <w:i/>
          <w:iCs/>
          <w:sz w:val="22"/>
          <w:szCs w:val="22"/>
        </w:rPr>
        <w:t>comitatus</w:t>
      </w:r>
      <w:r w:rsidRPr="3737E55B">
        <w:rPr>
          <w:rFonts w:ascii="Calibri" w:eastAsia="Calibri" w:hAnsi="Calibri" w:cs="Calibri"/>
          <w:sz w:val="22"/>
          <w:szCs w:val="22"/>
        </w:rPr>
        <w:t xml:space="preserve"> and the significance of the lord and vassal relationship – core to the Saxon social structure developed from the Germanic tradition. The essay firstly explored “honour and obligation”, studying the concept of treasure-giving as significant to a warrior’s loyalty in battle</w:t>
      </w:r>
      <w:r w:rsidR="003B41F3">
        <w:rPr>
          <w:rFonts w:ascii="Calibri" w:eastAsia="Calibri" w:hAnsi="Calibri" w:cs="Calibri"/>
          <w:sz w:val="22"/>
          <w:szCs w:val="22"/>
        </w:rPr>
        <w:t>, e</w:t>
      </w:r>
      <w:r w:rsidRPr="3737E55B">
        <w:rPr>
          <w:rFonts w:ascii="Calibri" w:eastAsia="Calibri" w:hAnsi="Calibri" w:cs="Calibri"/>
          <w:sz w:val="22"/>
          <w:szCs w:val="22"/>
        </w:rPr>
        <w:t xml:space="preserve">nhancing their reputation and ensuring obligations to their lord. Secondly, the idea of the “role-model” as a model of behaviour, highlighting the physical and mental attributes of the vassal; </w:t>
      </w:r>
      <w:r w:rsidR="003B41F3">
        <w:rPr>
          <w:rFonts w:ascii="Calibri" w:eastAsia="Calibri" w:hAnsi="Calibri" w:cs="Calibri"/>
          <w:sz w:val="22"/>
          <w:szCs w:val="22"/>
        </w:rPr>
        <w:t>ensuring</w:t>
      </w:r>
      <w:r w:rsidRPr="3737E55B">
        <w:rPr>
          <w:rFonts w:ascii="Calibri" w:eastAsia="Calibri" w:hAnsi="Calibri" w:cs="Calibri"/>
          <w:sz w:val="22"/>
          <w:szCs w:val="22"/>
        </w:rPr>
        <w:t xml:space="preserve"> a warrior remained strong in battle. However, the battles become an act of violence which was understood as a social transaction and a motif of strength. Thirdly, the theme of “victory” and “triumph” and the representation of the Christian knight, emphasising the importance of a pious leader as found in hagiographical texts. Overall, the Anglo-Saxons viewed the heroic figure as symbolising a “good” leader, which centred around the construct of the </w:t>
      </w:r>
      <w:r w:rsidRPr="3737E55B">
        <w:rPr>
          <w:rFonts w:ascii="Calibri" w:eastAsia="Calibri" w:hAnsi="Calibri" w:cs="Calibri"/>
          <w:i/>
          <w:iCs/>
          <w:sz w:val="22"/>
          <w:szCs w:val="22"/>
        </w:rPr>
        <w:t>comitatus</w:t>
      </w:r>
      <w:r w:rsidRPr="3737E55B">
        <w:rPr>
          <w:rFonts w:ascii="Calibri" w:eastAsia="Calibri" w:hAnsi="Calibri" w:cs="Calibri"/>
          <w:sz w:val="22"/>
          <w:szCs w:val="22"/>
        </w:rPr>
        <w:t xml:space="preserve">. Despite the heroic figures like Beowulf who </w:t>
      </w:r>
      <w:r w:rsidR="00C37A63">
        <w:rPr>
          <w:rFonts w:ascii="Calibri" w:eastAsia="Calibri" w:hAnsi="Calibri" w:cs="Calibri"/>
          <w:sz w:val="22"/>
          <w:szCs w:val="22"/>
        </w:rPr>
        <w:t xml:space="preserve">was </w:t>
      </w:r>
      <w:r w:rsidRPr="3737E55B">
        <w:rPr>
          <w:rFonts w:ascii="Calibri" w:eastAsia="Calibri" w:hAnsi="Calibri" w:cs="Calibri"/>
          <w:sz w:val="22"/>
          <w:szCs w:val="22"/>
        </w:rPr>
        <w:t>presented as “self-serving”, he represented</w:t>
      </w:r>
      <w:r w:rsidR="003B41F3">
        <w:rPr>
          <w:rFonts w:ascii="Calibri" w:eastAsia="Calibri" w:hAnsi="Calibri" w:cs="Calibri"/>
          <w:sz w:val="22"/>
          <w:szCs w:val="22"/>
        </w:rPr>
        <w:t xml:space="preserve"> </w:t>
      </w:r>
      <w:r w:rsidRPr="3737E55B">
        <w:rPr>
          <w:rFonts w:ascii="Calibri" w:eastAsia="Calibri" w:hAnsi="Calibri" w:cs="Calibri"/>
          <w:sz w:val="22"/>
          <w:szCs w:val="22"/>
        </w:rPr>
        <w:t xml:space="preserve">to the audience a role-model who against his better judgement in conflict, revealed the values which the heroic figure </w:t>
      </w:r>
      <w:r w:rsidR="00C37A63">
        <w:rPr>
          <w:rFonts w:ascii="Calibri" w:eastAsia="Calibri" w:hAnsi="Calibri" w:cs="Calibri"/>
          <w:sz w:val="22"/>
          <w:szCs w:val="22"/>
        </w:rPr>
        <w:t>represented</w:t>
      </w:r>
      <w:r w:rsidRPr="3737E55B">
        <w:rPr>
          <w:rFonts w:ascii="Calibri" w:eastAsia="Calibri" w:hAnsi="Calibri" w:cs="Calibri"/>
          <w:sz w:val="22"/>
          <w:szCs w:val="22"/>
        </w:rPr>
        <w:t xml:space="preserve"> in the Anglo-Saxon literary canon</w:t>
      </w:r>
      <w:r w:rsidR="00277A36">
        <w:rPr>
          <w:rFonts w:ascii="Calibri" w:eastAsia="Calibri" w:hAnsi="Calibri" w:cs="Calibri"/>
          <w:sz w:val="22"/>
          <w:szCs w:val="22"/>
        </w:rPr>
        <w:t>,</w:t>
      </w:r>
      <w:r w:rsidRPr="3737E55B">
        <w:rPr>
          <w:rFonts w:ascii="Calibri" w:eastAsia="Calibri" w:hAnsi="Calibri" w:cs="Calibri"/>
          <w:sz w:val="22"/>
          <w:szCs w:val="22"/>
        </w:rPr>
        <w:t xml:space="preserve"> </w:t>
      </w:r>
      <w:r w:rsidR="00277A36">
        <w:rPr>
          <w:rFonts w:ascii="Calibri" w:eastAsia="Calibri" w:hAnsi="Calibri" w:cs="Calibri"/>
          <w:sz w:val="22"/>
          <w:szCs w:val="22"/>
        </w:rPr>
        <w:t>illustrated</w:t>
      </w:r>
      <w:r w:rsidRPr="3737E55B">
        <w:rPr>
          <w:rFonts w:ascii="Calibri" w:eastAsia="Calibri" w:hAnsi="Calibri" w:cs="Calibri"/>
          <w:sz w:val="22"/>
          <w:szCs w:val="22"/>
        </w:rPr>
        <w:t xml:space="preserve"> by other sources such as the </w:t>
      </w:r>
      <w:r w:rsidRPr="3737E55B">
        <w:rPr>
          <w:rFonts w:ascii="Calibri" w:eastAsia="Calibri" w:hAnsi="Calibri" w:cs="Calibri"/>
          <w:i/>
          <w:iCs/>
          <w:sz w:val="22"/>
          <w:szCs w:val="22"/>
        </w:rPr>
        <w:t>Battle of Maldon</w:t>
      </w:r>
      <w:r w:rsidRPr="3737E55B">
        <w:rPr>
          <w:rFonts w:ascii="Calibri" w:eastAsia="Calibri" w:hAnsi="Calibri" w:cs="Calibri"/>
          <w:sz w:val="22"/>
          <w:szCs w:val="22"/>
        </w:rPr>
        <w:t xml:space="preserve"> and the </w:t>
      </w:r>
      <w:r w:rsidRPr="3737E55B">
        <w:rPr>
          <w:rFonts w:ascii="Calibri" w:eastAsia="Calibri" w:hAnsi="Calibri" w:cs="Calibri"/>
          <w:i/>
          <w:iCs/>
          <w:sz w:val="22"/>
          <w:szCs w:val="22"/>
        </w:rPr>
        <w:t>Wanderer</w:t>
      </w:r>
      <w:r w:rsidRPr="3737E55B">
        <w:rPr>
          <w:rFonts w:ascii="Calibri" w:eastAsia="Calibri" w:hAnsi="Calibri" w:cs="Calibri"/>
          <w:sz w:val="22"/>
          <w:szCs w:val="22"/>
        </w:rPr>
        <w:t xml:space="preserve">. Tying together these themes, it is clear that loyalty was the centre of these heroic figures, despite whether they were fictional or historical, they give a modern audience a glimpse </w:t>
      </w:r>
      <w:r w:rsidRPr="3737E55B">
        <w:rPr>
          <w:rFonts w:ascii="Calibri" w:eastAsia="Calibri" w:hAnsi="Calibri" w:cs="Calibri"/>
          <w:sz w:val="22"/>
          <w:szCs w:val="22"/>
        </w:rPr>
        <w:lastRenderedPageBreak/>
        <w:t xml:space="preserve">of how the Anglo-Saxons viewed </w:t>
      </w:r>
      <w:bookmarkStart w:id="7" w:name="_GoBack"/>
      <w:bookmarkEnd w:id="7"/>
      <w:r w:rsidRPr="3737E55B">
        <w:rPr>
          <w:rFonts w:ascii="Calibri" w:eastAsia="Calibri" w:hAnsi="Calibri" w:cs="Calibri"/>
          <w:sz w:val="22"/>
          <w:szCs w:val="22"/>
        </w:rPr>
        <w:t xml:space="preserve">the heroic figure as illustrative of their own values in the Anglo-Saxon society. </w:t>
      </w:r>
    </w:p>
    <w:p w14:paraId="280D9D0C" w14:textId="29A080C7" w:rsidR="3737E55B" w:rsidRDefault="3737E55B" w:rsidP="3737E55B">
      <w:pPr>
        <w:spacing w:after="160" w:line="259" w:lineRule="auto"/>
        <w:rPr>
          <w:rFonts w:ascii="Calibri" w:eastAsia="Calibri" w:hAnsi="Calibri" w:cs="Calibri"/>
          <w:sz w:val="22"/>
          <w:szCs w:val="22"/>
        </w:rPr>
      </w:pPr>
    </w:p>
    <w:p w14:paraId="0D790998" w14:textId="7771C1A4" w:rsidR="004B0820" w:rsidRDefault="004B0820" w:rsidP="3737E55B">
      <w:pPr>
        <w:spacing w:after="160" w:line="259" w:lineRule="auto"/>
        <w:rPr>
          <w:rFonts w:ascii="Calibri" w:eastAsia="Calibri" w:hAnsi="Calibri" w:cs="Calibri"/>
          <w:sz w:val="22"/>
          <w:szCs w:val="22"/>
        </w:rPr>
      </w:pPr>
    </w:p>
    <w:p w14:paraId="621E9DF9" w14:textId="4B9F3ACA" w:rsidR="004B0820" w:rsidRDefault="004B0820" w:rsidP="3737E55B">
      <w:pPr>
        <w:spacing w:after="160" w:line="259" w:lineRule="auto"/>
        <w:rPr>
          <w:rFonts w:ascii="Calibri" w:eastAsia="Calibri" w:hAnsi="Calibri" w:cs="Calibri"/>
          <w:sz w:val="22"/>
          <w:szCs w:val="22"/>
        </w:rPr>
      </w:pPr>
    </w:p>
    <w:p w14:paraId="369F2F59" w14:textId="13E84C9D" w:rsidR="004B0820" w:rsidRDefault="004B0820" w:rsidP="3737E55B">
      <w:pPr>
        <w:spacing w:after="160" w:line="259" w:lineRule="auto"/>
        <w:rPr>
          <w:rFonts w:ascii="Calibri" w:eastAsia="Calibri" w:hAnsi="Calibri" w:cs="Calibri"/>
          <w:sz w:val="22"/>
          <w:szCs w:val="22"/>
        </w:rPr>
      </w:pPr>
    </w:p>
    <w:p w14:paraId="51CFF05C" w14:textId="3144E4A5" w:rsidR="004B0820" w:rsidRDefault="004B0820" w:rsidP="3737E55B">
      <w:pPr>
        <w:spacing w:after="160" w:line="259" w:lineRule="auto"/>
        <w:rPr>
          <w:rFonts w:ascii="Calibri" w:eastAsia="Calibri" w:hAnsi="Calibri" w:cs="Calibri"/>
          <w:sz w:val="22"/>
          <w:szCs w:val="22"/>
        </w:rPr>
      </w:pPr>
    </w:p>
    <w:p w14:paraId="3B046502" w14:textId="32A3DA1D" w:rsidR="004B0820" w:rsidRDefault="004B0820" w:rsidP="3737E55B">
      <w:pPr>
        <w:spacing w:after="160" w:line="259" w:lineRule="auto"/>
        <w:rPr>
          <w:rFonts w:ascii="Calibri" w:eastAsia="Calibri" w:hAnsi="Calibri" w:cs="Calibri"/>
          <w:sz w:val="22"/>
          <w:szCs w:val="22"/>
        </w:rPr>
      </w:pPr>
    </w:p>
    <w:p w14:paraId="52F362F3" w14:textId="5E27EB01" w:rsidR="004B0820" w:rsidRDefault="004B0820" w:rsidP="3737E55B">
      <w:pPr>
        <w:spacing w:after="160" w:line="259" w:lineRule="auto"/>
        <w:rPr>
          <w:rFonts w:ascii="Calibri" w:eastAsia="Calibri" w:hAnsi="Calibri" w:cs="Calibri"/>
          <w:sz w:val="22"/>
          <w:szCs w:val="22"/>
        </w:rPr>
      </w:pPr>
    </w:p>
    <w:p w14:paraId="3C6F6054" w14:textId="17CF3DA0" w:rsidR="004B0820" w:rsidRDefault="004B0820" w:rsidP="3737E55B">
      <w:pPr>
        <w:spacing w:after="160" w:line="259" w:lineRule="auto"/>
        <w:rPr>
          <w:rFonts w:ascii="Calibri" w:eastAsia="Calibri" w:hAnsi="Calibri" w:cs="Calibri"/>
          <w:sz w:val="22"/>
          <w:szCs w:val="22"/>
        </w:rPr>
      </w:pPr>
    </w:p>
    <w:p w14:paraId="047BE511" w14:textId="200F6AA9" w:rsidR="004B0820" w:rsidRDefault="004B0820" w:rsidP="3737E55B">
      <w:pPr>
        <w:spacing w:after="160" w:line="259" w:lineRule="auto"/>
        <w:rPr>
          <w:rFonts w:ascii="Calibri" w:eastAsia="Calibri" w:hAnsi="Calibri" w:cs="Calibri"/>
          <w:sz w:val="22"/>
          <w:szCs w:val="22"/>
        </w:rPr>
      </w:pPr>
    </w:p>
    <w:p w14:paraId="0A7B92B1" w14:textId="41B733BE" w:rsidR="004B0820" w:rsidRDefault="004B0820" w:rsidP="3737E55B">
      <w:pPr>
        <w:spacing w:after="160" w:line="259" w:lineRule="auto"/>
        <w:rPr>
          <w:rFonts w:ascii="Calibri" w:eastAsia="Calibri" w:hAnsi="Calibri" w:cs="Calibri"/>
          <w:sz w:val="22"/>
          <w:szCs w:val="22"/>
        </w:rPr>
      </w:pPr>
    </w:p>
    <w:p w14:paraId="2C48D6A4" w14:textId="015F2A86" w:rsidR="004B0820" w:rsidRDefault="004B0820" w:rsidP="3737E55B">
      <w:pPr>
        <w:spacing w:after="160" w:line="259" w:lineRule="auto"/>
        <w:rPr>
          <w:rFonts w:ascii="Calibri" w:eastAsia="Calibri" w:hAnsi="Calibri" w:cs="Calibri"/>
          <w:sz w:val="22"/>
          <w:szCs w:val="22"/>
        </w:rPr>
      </w:pPr>
    </w:p>
    <w:p w14:paraId="3AEEFB18" w14:textId="7D23AC32" w:rsidR="004B0820" w:rsidRDefault="004B0820" w:rsidP="3737E55B">
      <w:pPr>
        <w:spacing w:after="160" w:line="259" w:lineRule="auto"/>
        <w:rPr>
          <w:rFonts w:ascii="Calibri" w:eastAsia="Calibri" w:hAnsi="Calibri" w:cs="Calibri"/>
          <w:sz w:val="22"/>
          <w:szCs w:val="22"/>
        </w:rPr>
      </w:pPr>
    </w:p>
    <w:p w14:paraId="5C91F5B8" w14:textId="668C81E9" w:rsidR="004B0820" w:rsidRDefault="004B0820" w:rsidP="3737E55B">
      <w:pPr>
        <w:spacing w:after="160" w:line="259" w:lineRule="auto"/>
        <w:rPr>
          <w:rFonts w:ascii="Calibri" w:eastAsia="Calibri" w:hAnsi="Calibri" w:cs="Calibri"/>
          <w:sz w:val="22"/>
          <w:szCs w:val="22"/>
        </w:rPr>
      </w:pPr>
    </w:p>
    <w:p w14:paraId="3760C154" w14:textId="15E58CC2" w:rsidR="004B0820" w:rsidRDefault="004B0820" w:rsidP="3737E55B">
      <w:pPr>
        <w:spacing w:after="160" w:line="259" w:lineRule="auto"/>
        <w:rPr>
          <w:rFonts w:ascii="Calibri" w:eastAsia="Calibri" w:hAnsi="Calibri" w:cs="Calibri"/>
          <w:sz w:val="22"/>
          <w:szCs w:val="22"/>
        </w:rPr>
      </w:pPr>
    </w:p>
    <w:p w14:paraId="2255AEC4" w14:textId="4C1E6933" w:rsidR="004B0820" w:rsidRDefault="004B0820" w:rsidP="3737E55B">
      <w:pPr>
        <w:spacing w:after="160" w:line="259" w:lineRule="auto"/>
        <w:rPr>
          <w:rFonts w:ascii="Calibri" w:eastAsia="Calibri" w:hAnsi="Calibri" w:cs="Calibri"/>
          <w:sz w:val="22"/>
          <w:szCs w:val="22"/>
        </w:rPr>
      </w:pPr>
    </w:p>
    <w:p w14:paraId="45B694C1" w14:textId="0875980B" w:rsidR="004B0820" w:rsidRDefault="004B0820" w:rsidP="3737E55B">
      <w:pPr>
        <w:spacing w:after="160" w:line="259" w:lineRule="auto"/>
        <w:rPr>
          <w:rFonts w:ascii="Calibri" w:eastAsia="Calibri" w:hAnsi="Calibri" w:cs="Calibri"/>
          <w:sz w:val="22"/>
          <w:szCs w:val="22"/>
        </w:rPr>
      </w:pPr>
    </w:p>
    <w:p w14:paraId="22568F00" w14:textId="6DB8C4E5" w:rsidR="004B0820" w:rsidRDefault="004B0820" w:rsidP="3737E55B">
      <w:pPr>
        <w:spacing w:after="160" w:line="259" w:lineRule="auto"/>
        <w:rPr>
          <w:rFonts w:ascii="Calibri" w:eastAsia="Calibri" w:hAnsi="Calibri" w:cs="Calibri"/>
          <w:sz w:val="22"/>
          <w:szCs w:val="22"/>
        </w:rPr>
      </w:pPr>
    </w:p>
    <w:p w14:paraId="6466737C" w14:textId="49694446" w:rsidR="004B0820" w:rsidRDefault="004B0820" w:rsidP="3737E55B">
      <w:pPr>
        <w:spacing w:after="160" w:line="259" w:lineRule="auto"/>
        <w:rPr>
          <w:rFonts w:ascii="Calibri" w:eastAsia="Calibri" w:hAnsi="Calibri" w:cs="Calibri"/>
          <w:sz w:val="22"/>
          <w:szCs w:val="22"/>
        </w:rPr>
      </w:pPr>
    </w:p>
    <w:p w14:paraId="666CFE4E" w14:textId="7E64DE1C" w:rsidR="004B0820" w:rsidRDefault="004B0820" w:rsidP="3737E55B">
      <w:pPr>
        <w:spacing w:after="160" w:line="259" w:lineRule="auto"/>
        <w:rPr>
          <w:rFonts w:ascii="Calibri" w:eastAsia="Calibri" w:hAnsi="Calibri" w:cs="Calibri"/>
          <w:sz w:val="22"/>
          <w:szCs w:val="22"/>
        </w:rPr>
      </w:pPr>
    </w:p>
    <w:p w14:paraId="7EA9C7F6" w14:textId="526928DE" w:rsidR="004B0820" w:rsidRDefault="004B0820" w:rsidP="3737E55B">
      <w:pPr>
        <w:spacing w:after="160" w:line="259" w:lineRule="auto"/>
        <w:rPr>
          <w:rFonts w:ascii="Calibri" w:eastAsia="Calibri" w:hAnsi="Calibri" w:cs="Calibri"/>
          <w:sz w:val="22"/>
          <w:szCs w:val="22"/>
        </w:rPr>
      </w:pPr>
    </w:p>
    <w:p w14:paraId="2751BA45" w14:textId="0563B8F2" w:rsidR="004B0820" w:rsidRDefault="004B0820" w:rsidP="3737E55B">
      <w:pPr>
        <w:spacing w:after="160" w:line="259" w:lineRule="auto"/>
        <w:rPr>
          <w:rFonts w:ascii="Calibri" w:eastAsia="Calibri" w:hAnsi="Calibri" w:cs="Calibri"/>
          <w:sz w:val="22"/>
          <w:szCs w:val="22"/>
        </w:rPr>
      </w:pPr>
    </w:p>
    <w:p w14:paraId="5DBAC127" w14:textId="6090D992" w:rsidR="004B0820" w:rsidRDefault="004B0820" w:rsidP="3737E55B">
      <w:pPr>
        <w:spacing w:after="160" w:line="259" w:lineRule="auto"/>
        <w:rPr>
          <w:rFonts w:ascii="Calibri" w:eastAsia="Calibri" w:hAnsi="Calibri" w:cs="Calibri"/>
          <w:sz w:val="22"/>
          <w:szCs w:val="22"/>
        </w:rPr>
      </w:pPr>
    </w:p>
    <w:p w14:paraId="2FF79F2A" w14:textId="7D1589C3" w:rsidR="004B0820" w:rsidRDefault="004B0820" w:rsidP="3737E55B">
      <w:pPr>
        <w:spacing w:after="160" w:line="259" w:lineRule="auto"/>
        <w:rPr>
          <w:rFonts w:ascii="Calibri" w:eastAsia="Calibri" w:hAnsi="Calibri" w:cs="Calibri"/>
          <w:sz w:val="22"/>
          <w:szCs w:val="22"/>
        </w:rPr>
      </w:pPr>
    </w:p>
    <w:p w14:paraId="3E52EDDC" w14:textId="0E7BD9AE" w:rsidR="00E472CA" w:rsidRDefault="00E472CA" w:rsidP="3737E55B">
      <w:pPr>
        <w:spacing w:after="160" w:line="259" w:lineRule="auto"/>
        <w:rPr>
          <w:rFonts w:ascii="Calibri" w:eastAsia="Calibri" w:hAnsi="Calibri" w:cs="Calibri"/>
          <w:sz w:val="22"/>
          <w:szCs w:val="22"/>
        </w:rPr>
      </w:pPr>
    </w:p>
    <w:p w14:paraId="405AAA00" w14:textId="713887E8" w:rsidR="00E472CA" w:rsidRDefault="00E472CA" w:rsidP="3737E55B">
      <w:pPr>
        <w:spacing w:after="160" w:line="259" w:lineRule="auto"/>
        <w:rPr>
          <w:rFonts w:ascii="Calibri" w:eastAsia="Calibri" w:hAnsi="Calibri" w:cs="Calibri"/>
          <w:sz w:val="22"/>
          <w:szCs w:val="22"/>
        </w:rPr>
      </w:pPr>
    </w:p>
    <w:p w14:paraId="20C2BB2E" w14:textId="69939CC4" w:rsidR="00E472CA" w:rsidRDefault="00E472CA" w:rsidP="3737E55B">
      <w:pPr>
        <w:spacing w:after="160" w:line="259" w:lineRule="auto"/>
        <w:rPr>
          <w:rFonts w:ascii="Calibri" w:eastAsia="Calibri" w:hAnsi="Calibri" w:cs="Calibri"/>
          <w:sz w:val="22"/>
          <w:szCs w:val="22"/>
        </w:rPr>
      </w:pPr>
    </w:p>
    <w:p w14:paraId="5EF1E8DD" w14:textId="017F4214" w:rsidR="00E472CA" w:rsidRDefault="00E472CA" w:rsidP="3737E55B">
      <w:pPr>
        <w:spacing w:after="160" w:line="259" w:lineRule="auto"/>
        <w:rPr>
          <w:rFonts w:ascii="Calibri" w:eastAsia="Calibri" w:hAnsi="Calibri" w:cs="Calibri"/>
          <w:sz w:val="22"/>
          <w:szCs w:val="22"/>
        </w:rPr>
      </w:pPr>
    </w:p>
    <w:p w14:paraId="0A1699F0" w14:textId="201C4729" w:rsidR="00E472CA" w:rsidRDefault="00E472CA" w:rsidP="3737E55B">
      <w:pPr>
        <w:spacing w:after="160" w:line="259" w:lineRule="auto"/>
        <w:rPr>
          <w:rFonts w:ascii="Calibri" w:eastAsia="Calibri" w:hAnsi="Calibri" w:cs="Calibri"/>
          <w:sz w:val="22"/>
          <w:szCs w:val="22"/>
        </w:rPr>
      </w:pPr>
    </w:p>
    <w:p w14:paraId="77E2ACFF" w14:textId="77777777" w:rsidR="00E472CA" w:rsidRDefault="00E472CA" w:rsidP="3737E55B">
      <w:pPr>
        <w:spacing w:after="160" w:line="259" w:lineRule="auto"/>
        <w:rPr>
          <w:rFonts w:ascii="Calibri" w:eastAsia="Calibri" w:hAnsi="Calibri" w:cs="Calibri"/>
          <w:sz w:val="22"/>
          <w:szCs w:val="22"/>
        </w:rPr>
      </w:pPr>
    </w:p>
    <w:p w14:paraId="674C4E3A" w14:textId="082DF733" w:rsidR="3737E55B" w:rsidRDefault="3737E55B" w:rsidP="00E472CA">
      <w:pPr>
        <w:spacing w:after="160" w:line="259" w:lineRule="auto"/>
        <w:jc w:val="center"/>
        <w:rPr>
          <w:rFonts w:ascii="Calibri" w:eastAsia="Calibri" w:hAnsi="Calibri" w:cs="Calibri"/>
          <w:sz w:val="22"/>
          <w:szCs w:val="22"/>
        </w:rPr>
      </w:pPr>
      <w:r w:rsidRPr="3737E55B">
        <w:rPr>
          <w:rFonts w:ascii="Calibri" w:eastAsia="Calibri" w:hAnsi="Calibri" w:cs="Calibri"/>
          <w:sz w:val="22"/>
          <w:szCs w:val="22"/>
        </w:rPr>
        <w:t>Bibliography</w:t>
      </w:r>
    </w:p>
    <w:p w14:paraId="736B5995" w14:textId="6EAD0561" w:rsidR="00BD558C" w:rsidRPr="00BD558C" w:rsidRDefault="00BD558C" w:rsidP="3737E55B">
      <w:pPr>
        <w:spacing w:after="160" w:line="259" w:lineRule="auto"/>
        <w:rPr>
          <w:rFonts w:ascii="Calibri" w:eastAsia="Calibri" w:hAnsi="Calibri" w:cs="Calibri"/>
          <w:b/>
          <w:bCs/>
          <w:sz w:val="22"/>
          <w:szCs w:val="22"/>
        </w:rPr>
      </w:pPr>
      <w:r w:rsidRPr="00BD558C">
        <w:rPr>
          <w:rFonts w:ascii="Calibri" w:eastAsia="Calibri" w:hAnsi="Calibri" w:cs="Calibri"/>
          <w:b/>
          <w:bCs/>
          <w:sz w:val="22"/>
          <w:szCs w:val="22"/>
        </w:rPr>
        <w:t>Primary Sources:</w:t>
      </w:r>
    </w:p>
    <w:p w14:paraId="769EE0F9" w14:textId="6F0CAF8A" w:rsidR="00EB2E26" w:rsidRDefault="00EB2E26" w:rsidP="00EB2E26">
      <w:pPr>
        <w:spacing w:after="160" w:line="259" w:lineRule="auto"/>
        <w:rPr>
          <w:rFonts w:ascii="Calibri" w:eastAsia="Calibri" w:hAnsi="Calibri" w:cs="Calibri"/>
          <w:sz w:val="22"/>
          <w:szCs w:val="22"/>
        </w:rPr>
      </w:pPr>
      <w:r>
        <w:rPr>
          <w:rFonts w:ascii="Calibri" w:eastAsia="Calibri" w:hAnsi="Calibri" w:cs="Calibri"/>
          <w:sz w:val="22"/>
          <w:szCs w:val="22"/>
        </w:rPr>
        <w:t xml:space="preserve">Birley, A.R, ed., </w:t>
      </w:r>
      <w:r w:rsidRPr="00BD558C">
        <w:rPr>
          <w:rFonts w:ascii="Calibri" w:eastAsia="Calibri" w:hAnsi="Calibri" w:cs="Calibri"/>
          <w:i/>
          <w:iCs/>
          <w:sz w:val="22"/>
          <w:szCs w:val="22"/>
        </w:rPr>
        <w:t>Tacitus: Agricola and Germany</w:t>
      </w:r>
      <w:r>
        <w:rPr>
          <w:rFonts w:ascii="Calibri" w:eastAsia="Calibri" w:hAnsi="Calibri" w:cs="Calibri"/>
          <w:sz w:val="22"/>
          <w:szCs w:val="22"/>
        </w:rPr>
        <w:t xml:space="preserve"> (Oxford University Press, 1999)</w:t>
      </w:r>
    </w:p>
    <w:p w14:paraId="559CF9A9" w14:textId="0F3B351F" w:rsidR="004B0820" w:rsidRDefault="004B0820" w:rsidP="3737E55B">
      <w:pPr>
        <w:spacing w:after="160" w:line="259" w:lineRule="auto"/>
        <w:rPr>
          <w:rFonts w:ascii="Calibri" w:eastAsia="Calibri" w:hAnsi="Calibri" w:cs="Calibri"/>
          <w:sz w:val="22"/>
          <w:szCs w:val="22"/>
        </w:rPr>
      </w:pPr>
      <w:r>
        <w:rPr>
          <w:rFonts w:ascii="Calibri" w:eastAsia="Calibri" w:hAnsi="Calibri" w:cs="Calibri"/>
          <w:sz w:val="22"/>
          <w:szCs w:val="22"/>
        </w:rPr>
        <w:t xml:space="preserve">Bradley, S.A.J, ed., </w:t>
      </w:r>
      <w:r w:rsidRPr="004B0820">
        <w:rPr>
          <w:rFonts w:ascii="Calibri" w:eastAsia="Calibri" w:hAnsi="Calibri" w:cs="Calibri"/>
          <w:i/>
          <w:iCs/>
          <w:sz w:val="22"/>
          <w:szCs w:val="22"/>
        </w:rPr>
        <w:t>Anglo-Saxon Poetry</w:t>
      </w:r>
      <w:r>
        <w:rPr>
          <w:rFonts w:ascii="Calibri" w:eastAsia="Calibri" w:hAnsi="Calibri" w:cs="Calibri"/>
          <w:sz w:val="22"/>
          <w:szCs w:val="22"/>
        </w:rPr>
        <w:t xml:space="preserve">, </w:t>
      </w:r>
      <w:r w:rsidR="00F21745">
        <w:rPr>
          <w:rFonts w:ascii="Calibri" w:eastAsia="Calibri" w:hAnsi="Calibri" w:cs="Calibri"/>
          <w:sz w:val="22"/>
          <w:szCs w:val="22"/>
        </w:rPr>
        <w:t>(London: Every Man,1997)</w:t>
      </w:r>
    </w:p>
    <w:p w14:paraId="6DDDDD9B" w14:textId="6E307F9F" w:rsidR="005D7E7C" w:rsidRDefault="005D7E7C" w:rsidP="3737E55B">
      <w:pPr>
        <w:spacing w:after="160" w:line="259" w:lineRule="auto"/>
        <w:rPr>
          <w:rFonts w:ascii="Calibri" w:eastAsia="Calibri" w:hAnsi="Calibri" w:cs="Calibri"/>
          <w:sz w:val="22"/>
          <w:szCs w:val="22"/>
        </w:rPr>
      </w:pPr>
      <w:r>
        <w:rPr>
          <w:rFonts w:ascii="Calibri" w:eastAsia="Calibri" w:hAnsi="Calibri" w:cs="Calibri"/>
          <w:sz w:val="22"/>
          <w:szCs w:val="22"/>
        </w:rPr>
        <w:t xml:space="preserve">Crossley-Holland, ed., </w:t>
      </w:r>
      <w:r w:rsidRPr="00BD558C">
        <w:rPr>
          <w:rFonts w:ascii="Calibri" w:eastAsia="Calibri" w:hAnsi="Calibri" w:cs="Calibri"/>
          <w:i/>
          <w:iCs/>
          <w:sz w:val="22"/>
          <w:szCs w:val="22"/>
        </w:rPr>
        <w:t>The Anglo-Saxon World: An Anthology</w:t>
      </w:r>
      <w:r>
        <w:rPr>
          <w:rFonts w:ascii="Calibri" w:eastAsia="Calibri" w:hAnsi="Calibri" w:cs="Calibri"/>
          <w:sz w:val="22"/>
          <w:szCs w:val="22"/>
        </w:rPr>
        <w:t>, (Oxford, 2009)</w:t>
      </w:r>
    </w:p>
    <w:p w14:paraId="611A4B46" w14:textId="3711C701" w:rsidR="005D7E7C" w:rsidRDefault="007666DA" w:rsidP="3737E55B">
      <w:pPr>
        <w:spacing w:after="160" w:line="259" w:lineRule="auto"/>
        <w:rPr>
          <w:rFonts w:ascii="Calibri" w:eastAsia="Calibri" w:hAnsi="Calibri" w:cs="Calibri"/>
          <w:sz w:val="22"/>
          <w:szCs w:val="22"/>
        </w:rPr>
      </w:pPr>
      <w:r>
        <w:rPr>
          <w:rFonts w:ascii="Calibri" w:eastAsia="Calibri" w:hAnsi="Calibri" w:cs="Calibri"/>
          <w:sz w:val="22"/>
          <w:szCs w:val="22"/>
        </w:rPr>
        <w:t xml:space="preserve">Colgrave, B., </w:t>
      </w:r>
      <w:r w:rsidRPr="00BD558C">
        <w:rPr>
          <w:rFonts w:ascii="Calibri" w:eastAsia="Calibri" w:hAnsi="Calibri" w:cs="Calibri"/>
          <w:i/>
          <w:iCs/>
          <w:sz w:val="22"/>
          <w:szCs w:val="22"/>
        </w:rPr>
        <w:t>The Two Lives of St. Cuthbert: A Life by an Anonymous Monk of Lindisfarne and Bede’s Prose Life, Text, Translations and Notes</w:t>
      </w:r>
      <w:r>
        <w:rPr>
          <w:rFonts w:ascii="Calibri" w:eastAsia="Calibri" w:hAnsi="Calibri" w:cs="Calibri"/>
          <w:sz w:val="22"/>
          <w:szCs w:val="22"/>
        </w:rPr>
        <w:t xml:space="preserve">, </w:t>
      </w:r>
      <w:r w:rsidR="00677B74">
        <w:rPr>
          <w:rFonts w:ascii="Calibri" w:eastAsia="Calibri" w:hAnsi="Calibri" w:cs="Calibri"/>
          <w:sz w:val="22"/>
          <w:szCs w:val="22"/>
        </w:rPr>
        <w:t>(Cambridge University Press, 1985)</w:t>
      </w:r>
    </w:p>
    <w:p w14:paraId="6D360D42" w14:textId="5D1CC8F2" w:rsidR="00EB2E26" w:rsidRDefault="00EB2E26" w:rsidP="00EB2E26">
      <w:pPr>
        <w:spacing w:after="160" w:line="259" w:lineRule="auto"/>
        <w:rPr>
          <w:rFonts w:ascii="Calibri" w:eastAsia="Calibri" w:hAnsi="Calibri" w:cs="Calibri"/>
          <w:sz w:val="22"/>
          <w:szCs w:val="22"/>
        </w:rPr>
      </w:pPr>
      <w:r>
        <w:rPr>
          <w:rFonts w:ascii="Calibri" w:eastAsia="Calibri" w:hAnsi="Calibri" w:cs="Calibri"/>
          <w:sz w:val="22"/>
          <w:szCs w:val="22"/>
        </w:rPr>
        <w:t xml:space="preserve">Griffith, B., </w:t>
      </w:r>
      <w:r w:rsidRPr="00F21745">
        <w:rPr>
          <w:rFonts w:ascii="Calibri" w:eastAsia="Calibri" w:hAnsi="Calibri" w:cs="Calibri"/>
          <w:i/>
          <w:iCs/>
          <w:sz w:val="22"/>
          <w:szCs w:val="22"/>
        </w:rPr>
        <w:t>The Battle of Maldon: Text and Translation</w:t>
      </w:r>
      <w:r>
        <w:rPr>
          <w:rFonts w:ascii="Calibri" w:eastAsia="Calibri" w:hAnsi="Calibri" w:cs="Calibri"/>
          <w:sz w:val="22"/>
          <w:szCs w:val="22"/>
        </w:rPr>
        <w:t>, (Anglo-Saxon Books, 1991)</w:t>
      </w:r>
    </w:p>
    <w:p w14:paraId="6545E009" w14:textId="77777777" w:rsidR="00E472CA" w:rsidRDefault="00E472CA" w:rsidP="00E472CA">
      <w:pPr>
        <w:spacing w:after="160" w:line="259" w:lineRule="auto"/>
        <w:rPr>
          <w:rFonts w:ascii="Calibri" w:eastAsia="Calibri" w:hAnsi="Calibri" w:cs="Calibri"/>
          <w:sz w:val="22"/>
          <w:szCs w:val="22"/>
        </w:rPr>
      </w:pPr>
      <w:r w:rsidRPr="00677B74">
        <w:rPr>
          <w:rFonts w:ascii="Calibri" w:eastAsia="Calibri" w:hAnsi="Calibri" w:cs="Calibri"/>
          <w:sz w:val="22"/>
          <w:szCs w:val="22"/>
        </w:rPr>
        <w:t>Skeat</w:t>
      </w:r>
      <w:r>
        <w:rPr>
          <w:rFonts w:ascii="Calibri" w:eastAsia="Calibri" w:hAnsi="Calibri" w:cs="Calibri"/>
          <w:sz w:val="22"/>
          <w:szCs w:val="22"/>
        </w:rPr>
        <w:t xml:space="preserve">, W.W. ed., </w:t>
      </w:r>
      <w:r w:rsidRPr="00677B74">
        <w:rPr>
          <w:rFonts w:ascii="Calibri" w:eastAsia="Calibri" w:hAnsi="Calibri" w:cs="Calibri"/>
          <w:i/>
          <w:iCs/>
          <w:sz w:val="22"/>
          <w:szCs w:val="22"/>
        </w:rPr>
        <w:t>Aelfric: Lives of Saints,</w:t>
      </w:r>
      <w:r w:rsidRPr="00677B74">
        <w:rPr>
          <w:rFonts w:ascii="Calibri" w:eastAsia="Calibri" w:hAnsi="Calibri" w:cs="Calibri"/>
          <w:sz w:val="22"/>
          <w:szCs w:val="22"/>
        </w:rPr>
        <w:t xml:space="preserve"> (Turner &amp; Co, 1894)</w:t>
      </w:r>
    </w:p>
    <w:p w14:paraId="250D7F5F" w14:textId="0224EA10" w:rsidR="004B0820" w:rsidRDefault="004B0820" w:rsidP="004B0820">
      <w:pPr>
        <w:spacing w:after="160" w:line="259" w:lineRule="auto"/>
        <w:rPr>
          <w:rFonts w:ascii="Calibri" w:eastAsia="Calibri" w:hAnsi="Calibri" w:cs="Calibri"/>
          <w:sz w:val="22"/>
          <w:szCs w:val="22"/>
        </w:rPr>
      </w:pPr>
      <w:r>
        <w:rPr>
          <w:rFonts w:ascii="Calibri" w:eastAsia="Calibri" w:hAnsi="Calibri" w:cs="Calibri"/>
          <w:sz w:val="22"/>
          <w:szCs w:val="22"/>
        </w:rPr>
        <w:t>Swanton, M</w:t>
      </w:r>
      <w:r w:rsidR="00FA0F3D">
        <w:rPr>
          <w:rFonts w:ascii="Calibri" w:eastAsia="Calibri" w:hAnsi="Calibri" w:cs="Calibri"/>
          <w:sz w:val="22"/>
          <w:szCs w:val="22"/>
        </w:rPr>
        <w:t>.</w:t>
      </w:r>
      <w:r>
        <w:rPr>
          <w:rFonts w:ascii="Calibri" w:eastAsia="Calibri" w:hAnsi="Calibri" w:cs="Calibri"/>
          <w:sz w:val="22"/>
          <w:szCs w:val="22"/>
        </w:rPr>
        <w:t xml:space="preserve"> ed., </w:t>
      </w:r>
      <w:r w:rsidRPr="00BD558C">
        <w:rPr>
          <w:rFonts w:ascii="Calibri" w:eastAsia="Calibri" w:hAnsi="Calibri" w:cs="Calibri"/>
          <w:i/>
          <w:iCs/>
          <w:sz w:val="22"/>
          <w:szCs w:val="22"/>
        </w:rPr>
        <w:t>Beowulf</w:t>
      </w:r>
      <w:r>
        <w:rPr>
          <w:rFonts w:ascii="Calibri" w:eastAsia="Calibri" w:hAnsi="Calibri" w:cs="Calibri"/>
          <w:sz w:val="22"/>
          <w:szCs w:val="22"/>
        </w:rPr>
        <w:t xml:space="preserve"> (Manchester, 1997)</w:t>
      </w:r>
    </w:p>
    <w:p w14:paraId="2C175C5E" w14:textId="5DEB7847" w:rsidR="00BD558C" w:rsidRPr="00BD558C" w:rsidRDefault="00BD558C" w:rsidP="3737E55B">
      <w:pPr>
        <w:spacing w:after="160" w:line="259" w:lineRule="auto"/>
        <w:rPr>
          <w:rFonts w:ascii="Calibri" w:eastAsia="Calibri" w:hAnsi="Calibri" w:cs="Calibri"/>
          <w:b/>
          <w:bCs/>
          <w:sz w:val="22"/>
          <w:szCs w:val="22"/>
        </w:rPr>
      </w:pPr>
      <w:r w:rsidRPr="00BD558C">
        <w:rPr>
          <w:rFonts w:ascii="Calibri" w:eastAsia="Calibri" w:hAnsi="Calibri" w:cs="Calibri"/>
          <w:b/>
          <w:bCs/>
          <w:sz w:val="22"/>
          <w:szCs w:val="22"/>
        </w:rPr>
        <w:t>Secondary Sources:</w:t>
      </w:r>
    </w:p>
    <w:p w14:paraId="3960173B" w14:textId="44B0A624" w:rsidR="3737E55B" w:rsidRDefault="3737E55B" w:rsidP="3737E55B">
      <w:pPr>
        <w:spacing w:after="160" w:line="259" w:lineRule="auto"/>
        <w:rPr>
          <w:rFonts w:ascii="Calibri" w:eastAsia="Calibri" w:hAnsi="Calibri" w:cs="Calibri"/>
          <w:sz w:val="22"/>
          <w:szCs w:val="22"/>
        </w:rPr>
      </w:pPr>
      <w:r w:rsidRPr="3737E55B">
        <w:rPr>
          <w:rFonts w:ascii="Calibri" w:eastAsia="Calibri" w:hAnsi="Calibri" w:cs="Calibri"/>
          <w:sz w:val="22"/>
          <w:szCs w:val="22"/>
        </w:rPr>
        <w:t xml:space="preserve">Baker, P.S., </w:t>
      </w:r>
      <w:r w:rsidRPr="00FA0F3D">
        <w:rPr>
          <w:rFonts w:ascii="Calibri" w:eastAsia="Calibri" w:hAnsi="Calibri" w:cs="Calibri"/>
          <w:i/>
          <w:iCs/>
          <w:sz w:val="22"/>
          <w:szCs w:val="22"/>
        </w:rPr>
        <w:t>Honour, Exchange and Violence in Beowulf</w:t>
      </w:r>
      <w:r w:rsidRPr="3737E55B">
        <w:rPr>
          <w:rFonts w:ascii="Calibri" w:eastAsia="Calibri" w:hAnsi="Calibri" w:cs="Calibri"/>
          <w:sz w:val="22"/>
          <w:szCs w:val="22"/>
        </w:rPr>
        <w:t>, (</w:t>
      </w:r>
      <w:r w:rsidR="00FA0F3D">
        <w:rPr>
          <w:rFonts w:ascii="Calibri" w:eastAsia="Calibri" w:hAnsi="Calibri" w:cs="Calibri"/>
          <w:sz w:val="22"/>
          <w:szCs w:val="22"/>
        </w:rPr>
        <w:t>Boydell and Brewer</w:t>
      </w:r>
      <w:r w:rsidRPr="3737E55B">
        <w:rPr>
          <w:rFonts w:ascii="Calibri" w:eastAsia="Calibri" w:hAnsi="Calibri" w:cs="Calibri"/>
          <w:sz w:val="22"/>
          <w:szCs w:val="22"/>
        </w:rPr>
        <w:t xml:space="preserve">, 2013) </w:t>
      </w:r>
    </w:p>
    <w:p w14:paraId="604D564C" w14:textId="17147E06" w:rsidR="3737E55B" w:rsidRDefault="3737E55B" w:rsidP="3737E55B">
      <w:pPr>
        <w:spacing w:after="160" w:line="259" w:lineRule="auto"/>
        <w:rPr>
          <w:rFonts w:ascii="Calibri" w:eastAsia="Calibri" w:hAnsi="Calibri" w:cs="Calibri"/>
          <w:sz w:val="22"/>
          <w:szCs w:val="22"/>
        </w:rPr>
      </w:pPr>
      <w:r w:rsidRPr="3737E55B">
        <w:rPr>
          <w:rFonts w:ascii="Calibri" w:eastAsia="Calibri" w:hAnsi="Calibri" w:cs="Calibri"/>
          <w:sz w:val="22"/>
          <w:szCs w:val="22"/>
        </w:rPr>
        <w:t xml:space="preserve">Cherniss, M.D., The Cross as Christ’s Weapon: The Influence of Heroic Literary Tradition on “The Dream of the Rood”, </w:t>
      </w:r>
      <w:r w:rsidRPr="3737E55B">
        <w:rPr>
          <w:rFonts w:ascii="Calibri" w:eastAsia="Calibri" w:hAnsi="Calibri" w:cs="Calibri"/>
          <w:i/>
          <w:iCs/>
          <w:sz w:val="22"/>
          <w:szCs w:val="22"/>
        </w:rPr>
        <w:t>Anglo-Saxon England</w:t>
      </w:r>
      <w:r w:rsidRPr="3737E55B">
        <w:rPr>
          <w:rFonts w:ascii="Calibri" w:eastAsia="Calibri" w:hAnsi="Calibri" w:cs="Calibri"/>
          <w:sz w:val="22"/>
          <w:szCs w:val="22"/>
        </w:rPr>
        <w:t xml:space="preserve"> Vol. 2 (Cambridge University Press</w:t>
      </w:r>
      <w:r w:rsidR="00FA0F3D">
        <w:rPr>
          <w:rFonts w:ascii="Calibri" w:eastAsia="Calibri" w:hAnsi="Calibri" w:cs="Calibri"/>
          <w:sz w:val="22"/>
          <w:szCs w:val="22"/>
        </w:rPr>
        <w:t>, 1973</w:t>
      </w:r>
      <w:r w:rsidRPr="3737E55B">
        <w:rPr>
          <w:rFonts w:ascii="Calibri" w:eastAsia="Calibri" w:hAnsi="Calibri" w:cs="Calibri"/>
          <w:sz w:val="22"/>
          <w:szCs w:val="22"/>
        </w:rPr>
        <w:t>)</w:t>
      </w:r>
    </w:p>
    <w:p w14:paraId="0BCCF697" w14:textId="70F369C6" w:rsidR="00FA0F3D" w:rsidRDefault="00FA0F3D" w:rsidP="00FA0F3D">
      <w:pPr>
        <w:spacing w:after="160" w:line="259" w:lineRule="auto"/>
        <w:rPr>
          <w:rFonts w:ascii="Calibri" w:eastAsia="Calibri" w:hAnsi="Calibri" w:cs="Calibri"/>
          <w:sz w:val="22"/>
          <w:szCs w:val="22"/>
        </w:rPr>
      </w:pPr>
      <w:r w:rsidRPr="00FA0F3D">
        <w:rPr>
          <w:rFonts w:ascii="Calibri" w:eastAsia="Calibri" w:hAnsi="Calibri" w:cs="Calibri"/>
          <w:sz w:val="22"/>
          <w:szCs w:val="22"/>
        </w:rPr>
        <w:t xml:space="preserve">Clark. G., ‘The Battle of Maldon: A Heroic Poem’ in </w:t>
      </w:r>
      <w:r w:rsidRPr="00FA0F3D">
        <w:rPr>
          <w:rFonts w:ascii="Calibri" w:eastAsia="Calibri" w:hAnsi="Calibri" w:cs="Calibri"/>
          <w:i/>
          <w:iCs/>
          <w:sz w:val="22"/>
          <w:szCs w:val="22"/>
        </w:rPr>
        <w:t>Speculum</w:t>
      </w:r>
      <w:r w:rsidRPr="00FA0F3D">
        <w:rPr>
          <w:rFonts w:ascii="Calibri" w:eastAsia="Calibri" w:hAnsi="Calibri" w:cs="Calibri"/>
          <w:sz w:val="22"/>
          <w:szCs w:val="22"/>
        </w:rPr>
        <w:t>, Vol. 43, No. 1 (Jan 1968)</w:t>
      </w:r>
    </w:p>
    <w:p w14:paraId="2CE28F23" w14:textId="7D3ACF13" w:rsidR="3737E55B" w:rsidRDefault="3737E55B" w:rsidP="3737E55B">
      <w:pPr>
        <w:spacing w:after="160" w:line="259" w:lineRule="auto"/>
        <w:rPr>
          <w:rFonts w:ascii="Calibri" w:eastAsia="Calibri" w:hAnsi="Calibri" w:cs="Calibri"/>
          <w:sz w:val="22"/>
          <w:szCs w:val="22"/>
        </w:rPr>
      </w:pPr>
      <w:r w:rsidRPr="3737E55B">
        <w:rPr>
          <w:rFonts w:ascii="Calibri" w:eastAsia="Calibri" w:hAnsi="Calibri" w:cs="Calibri"/>
          <w:sz w:val="22"/>
          <w:szCs w:val="22"/>
        </w:rPr>
        <w:t xml:space="preserve">Fry, D.K., ‘Finnsburh: A New Interpretation’ in </w:t>
      </w:r>
      <w:r w:rsidRPr="3737E55B">
        <w:rPr>
          <w:rFonts w:ascii="Calibri" w:eastAsia="Calibri" w:hAnsi="Calibri" w:cs="Calibri"/>
          <w:i/>
          <w:iCs/>
          <w:sz w:val="22"/>
          <w:szCs w:val="22"/>
        </w:rPr>
        <w:t>The Chaucer Review</w:t>
      </w:r>
      <w:r w:rsidRPr="3737E55B">
        <w:rPr>
          <w:rFonts w:ascii="Calibri" w:eastAsia="Calibri" w:hAnsi="Calibri" w:cs="Calibri"/>
          <w:sz w:val="22"/>
          <w:szCs w:val="22"/>
        </w:rPr>
        <w:t>, Vol. 9, No. 1 (Summer, 1974)</w:t>
      </w:r>
    </w:p>
    <w:p w14:paraId="59AFED5C" w14:textId="502DC63F" w:rsidR="00EB2E26" w:rsidRDefault="00EB2E26" w:rsidP="3737E55B">
      <w:pPr>
        <w:spacing w:after="160" w:line="259" w:lineRule="auto"/>
        <w:rPr>
          <w:rFonts w:ascii="Calibri" w:eastAsia="Calibri" w:hAnsi="Calibri" w:cs="Calibri"/>
          <w:sz w:val="22"/>
          <w:szCs w:val="22"/>
        </w:rPr>
      </w:pPr>
      <w:r>
        <w:rPr>
          <w:rFonts w:ascii="Calibri" w:eastAsia="Calibri" w:hAnsi="Calibri" w:cs="Calibri"/>
          <w:sz w:val="22"/>
          <w:szCs w:val="22"/>
        </w:rPr>
        <w:t xml:space="preserve">Godden. M and Lapidge, M., </w:t>
      </w:r>
      <w:r w:rsidRPr="00EB2E26">
        <w:rPr>
          <w:rFonts w:ascii="Calibri" w:eastAsia="Calibri" w:hAnsi="Calibri" w:cs="Calibri"/>
          <w:i/>
          <w:iCs/>
          <w:sz w:val="22"/>
          <w:szCs w:val="22"/>
        </w:rPr>
        <w:t>The Cambridge Companion</w:t>
      </w:r>
      <w:r>
        <w:rPr>
          <w:rFonts w:ascii="Calibri" w:eastAsia="Calibri" w:hAnsi="Calibri" w:cs="Calibri"/>
          <w:sz w:val="22"/>
          <w:szCs w:val="22"/>
        </w:rPr>
        <w:t xml:space="preserve"> </w:t>
      </w:r>
      <w:r w:rsidRPr="00EB2E26">
        <w:rPr>
          <w:rFonts w:ascii="Calibri" w:eastAsia="Calibri" w:hAnsi="Calibri" w:cs="Calibri"/>
          <w:i/>
          <w:iCs/>
          <w:sz w:val="22"/>
          <w:szCs w:val="22"/>
        </w:rPr>
        <w:t>Old English Literature</w:t>
      </w:r>
      <w:r>
        <w:rPr>
          <w:rFonts w:ascii="Calibri" w:eastAsia="Calibri" w:hAnsi="Calibri" w:cs="Calibri"/>
          <w:sz w:val="22"/>
          <w:szCs w:val="22"/>
        </w:rPr>
        <w:t>, (Cambridge University Press, 1996)</w:t>
      </w:r>
    </w:p>
    <w:p w14:paraId="6C53FBA6" w14:textId="2AF16EB9" w:rsidR="009449E1" w:rsidRDefault="009449E1" w:rsidP="3737E55B">
      <w:pPr>
        <w:spacing w:after="160" w:line="259" w:lineRule="auto"/>
        <w:rPr>
          <w:rFonts w:ascii="Calibri" w:eastAsia="Calibri" w:hAnsi="Calibri" w:cs="Calibri"/>
          <w:sz w:val="22"/>
          <w:szCs w:val="22"/>
        </w:rPr>
      </w:pPr>
      <w:r w:rsidRPr="009449E1">
        <w:rPr>
          <w:rFonts w:ascii="Calibri" w:eastAsia="Calibri" w:hAnsi="Calibri" w:cs="Calibri"/>
          <w:sz w:val="22"/>
          <w:szCs w:val="22"/>
        </w:rPr>
        <w:t xml:space="preserve">Halsall, G., </w:t>
      </w:r>
      <w:r w:rsidRPr="00677B74">
        <w:rPr>
          <w:rFonts w:ascii="Calibri" w:eastAsia="Calibri" w:hAnsi="Calibri" w:cs="Calibri"/>
          <w:i/>
          <w:iCs/>
          <w:sz w:val="22"/>
          <w:szCs w:val="22"/>
        </w:rPr>
        <w:t>Warfare and Society in the Barbarian West</w:t>
      </w:r>
      <w:r w:rsidR="00677B74">
        <w:rPr>
          <w:rFonts w:ascii="Calibri" w:eastAsia="Calibri" w:hAnsi="Calibri" w:cs="Calibri"/>
          <w:i/>
          <w:iCs/>
          <w:sz w:val="22"/>
          <w:szCs w:val="22"/>
        </w:rPr>
        <w:t>:</w:t>
      </w:r>
      <w:r w:rsidRPr="00677B74">
        <w:rPr>
          <w:rFonts w:ascii="Calibri" w:eastAsia="Calibri" w:hAnsi="Calibri" w:cs="Calibri"/>
          <w:i/>
          <w:iCs/>
          <w:sz w:val="22"/>
          <w:szCs w:val="22"/>
        </w:rPr>
        <w:t xml:space="preserve"> 450–900</w:t>
      </w:r>
      <w:r w:rsidR="00677B74">
        <w:rPr>
          <w:rFonts w:ascii="Calibri" w:eastAsia="Calibri" w:hAnsi="Calibri" w:cs="Calibri"/>
          <w:i/>
          <w:iCs/>
          <w:sz w:val="22"/>
          <w:szCs w:val="22"/>
        </w:rPr>
        <w:t xml:space="preserve">, </w:t>
      </w:r>
      <w:r w:rsidRPr="009449E1">
        <w:rPr>
          <w:rFonts w:ascii="Calibri" w:eastAsia="Calibri" w:hAnsi="Calibri" w:cs="Calibri"/>
          <w:sz w:val="22"/>
          <w:szCs w:val="22"/>
        </w:rPr>
        <w:t>(Routledge, 2003)</w:t>
      </w:r>
    </w:p>
    <w:p w14:paraId="260931C4" w14:textId="2548939F" w:rsidR="3737E55B" w:rsidRDefault="3737E55B" w:rsidP="3737E55B">
      <w:pPr>
        <w:spacing w:after="160" w:line="259" w:lineRule="auto"/>
        <w:rPr>
          <w:rFonts w:ascii="Calibri" w:eastAsia="Calibri" w:hAnsi="Calibri" w:cs="Calibri"/>
          <w:sz w:val="22"/>
          <w:szCs w:val="22"/>
        </w:rPr>
      </w:pPr>
      <w:r w:rsidRPr="3737E55B">
        <w:rPr>
          <w:rFonts w:ascii="Calibri" w:eastAsia="Calibri" w:hAnsi="Calibri" w:cs="Calibri"/>
          <w:sz w:val="22"/>
          <w:szCs w:val="22"/>
        </w:rPr>
        <w:t xml:space="preserve">Higham, N.J &amp; Ryan, M.J., </w:t>
      </w:r>
      <w:r w:rsidRPr="3737E55B">
        <w:rPr>
          <w:rFonts w:ascii="Calibri" w:eastAsia="Calibri" w:hAnsi="Calibri" w:cs="Calibri"/>
          <w:i/>
          <w:iCs/>
          <w:sz w:val="22"/>
          <w:szCs w:val="22"/>
        </w:rPr>
        <w:t>The Anglo-Saxon World,</w:t>
      </w:r>
      <w:r w:rsidRPr="3737E55B">
        <w:rPr>
          <w:rFonts w:ascii="Calibri" w:eastAsia="Calibri" w:hAnsi="Calibri" w:cs="Calibri"/>
          <w:sz w:val="22"/>
          <w:szCs w:val="22"/>
        </w:rPr>
        <w:t xml:space="preserve"> (Yale University Press, 2013)</w:t>
      </w:r>
    </w:p>
    <w:p w14:paraId="0177C7D6" w14:textId="0BE9442F" w:rsidR="00F21745" w:rsidRDefault="00F21745" w:rsidP="3737E55B">
      <w:pPr>
        <w:spacing w:after="160" w:line="259" w:lineRule="auto"/>
        <w:rPr>
          <w:rFonts w:ascii="Calibri" w:eastAsia="Calibri" w:hAnsi="Calibri" w:cs="Calibri"/>
          <w:sz w:val="22"/>
          <w:szCs w:val="22"/>
        </w:rPr>
      </w:pPr>
      <w:r w:rsidRPr="00F21745">
        <w:rPr>
          <w:rFonts w:ascii="Calibri" w:eastAsia="Calibri" w:hAnsi="Calibri" w:cs="Calibri"/>
          <w:sz w:val="22"/>
          <w:szCs w:val="22"/>
        </w:rPr>
        <w:t xml:space="preserve">Hirst., S and Blair, I., “New Secrets from Prittlewell: Reconstructing a Burial Chamber Fit for a Prince”, </w:t>
      </w:r>
      <w:r w:rsidRPr="00F21745">
        <w:rPr>
          <w:rFonts w:ascii="Calibri" w:eastAsia="Calibri" w:hAnsi="Calibri" w:cs="Calibri"/>
          <w:i/>
          <w:iCs/>
          <w:sz w:val="22"/>
          <w:szCs w:val="22"/>
        </w:rPr>
        <w:t>Current Archaeology</w:t>
      </w:r>
      <w:r w:rsidRPr="00F21745">
        <w:rPr>
          <w:rFonts w:ascii="Calibri" w:eastAsia="Calibri" w:hAnsi="Calibri" w:cs="Calibri"/>
          <w:sz w:val="22"/>
          <w:szCs w:val="22"/>
        </w:rPr>
        <w:t xml:space="preserve">, Issue 352, </w:t>
      </w:r>
      <w:r>
        <w:rPr>
          <w:rFonts w:ascii="Calibri" w:eastAsia="Calibri" w:hAnsi="Calibri" w:cs="Calibri"/>
          <w:sz w:val="22"/>
          <w:szCs w:val="22"/>
        </w:rPr>
        <w:t>(</w:t>
      </w:r>
      <w:r w:rsidRPr="00F21745">
        <w:rPr>
          <w:rFonts w:ascii="Calibri" w:eastAsia="Calibri" w:hAnsi="Calibri" w:cs="Calibri"/>
          <w:sz w:val="22"/>
          <w:szCs w:val="22"/>
        </w:rPr>
        <w:t>July 2019</w:t>
      </w:r>
      <w:r>
        <w:rPr>
          <w:rFonts w:ascii="Calibri" w:eastAsia="Calibri" w:hAnsi="Calibri" w:cs="Calibri"/>
          <w:sz w:val="22"/>
          <w:szCs w:val="22"/>
        </w:rPr>
        <w:t>)</w:t>
      </w:r>
    </w:p>
    <w:p w14:paraId="34374778" w14:textId="28AF47C0" w:rsidR="00D86749" w:rsidRDefault="00D86749" w:rsidP="3737E55B">
      <w:pPr>
        <w:spacing w:after="160" w:line="259" w:lineRule="auto"/>
        <w:rPr>
          <w:rFonts w:ascii="Calibri" w:eastAsia="Calibri" w:hAnsi="Calibri" w:cs="Calibri"/>
          <w:sz w:val="22"/>
          <w:szCs w:val="22"/>
        </w:rPr>
      </w:pPr>
      <w:r>
        <w:rPr>
          <w:rFonts w:ascii="Calibri" w:eastAsia="Calibri" w:hAnsi="Calibri" w:cs="Calibri"/>
          <w:sz w:val="22"/>
          <w:szCs w:val="22"/>
        </w:rPr>
        <w:t xml:space="preserve">Irving, E.B., </w:t>
      </w:r>
      <w:r w:rsidRPr="00EB2E26">
        <w:rPr>
          <w:rFonts w:ascii="Calibri" w:eastAsia="Calibri" w:hAnsi="Calibri" w:cs="Calibri"/>
          <w:i/>
          <w:iCs/>
          <w:sz w:val="22"/>
          <w:szCs w:val="22"/>
        </w:rPr>
        <w:t>Heroic Poetry of the Anglo</w:t>
      </w:r>
      <w:r w:rsidR="00EB2E26" w:rsidRPr="00EB2E26">
        <w:rPr>
          <w:rFonts w:ascii="Calibri" w:eastAsia="Calibri" w:hAnsi="Calibri" w:cs="Calibri"/>
          <w:i/>
          <w:iCs/>
          <w:sz w:val="22"/>
          <w:szCs w:val="22"/>
        </w:rPr>
        <w:t>-</w:t>
      </w:r>
      <w:r w:rsidRPr="00EB2E26">
        <w:rPr>
          <w:rFonts w:ascii="Calibri" w:eastAsia="Calibri" w:hAnsi="Calibri" w:cs="Calibri"/>
          <w:i/>
          <w:iCs/>
          <w:sz w:val="22"/>
          <w:szCs w:val="22"/>
        </w:rPr>
        <w:t>Saxon Period</w:t>
      </w:r>
      <w:r>
        <w:rPr>
          <w:rFonts w:ascii="Calibri" w:eastAsia="Calibri" w:hAnsi="Calibri" w:cs="Calibri"/>
          <w:sz w:val="22"/>
          <w:szCs w:val="22"/>
        </w:rPr>
        <w:t xml:space="preserve">, (Western </w:t>
      </w:r>
      <w:r w:rsidR="00EB2E26">
        <w:rPr>
          <w:rFonts w:ascii="Calibri" w:eastAsia="Calibri" w:hAnsi="Calibri" w:cs="Calibri"/>
          <w:sz w:val="22"/>
          <w:szCs w:val="22"/>
        </w:rPr>
        <w:t>Michigan</w:t>
      </w:r>
      <w:r>
        <w:rPr>
          <w:rFonts w:ascii="Calibri" w:eastAsia="Calibri" w:hAnsi="Calibri" w:cs="Calibri"/>
          <w:sz w:val="22"/>
          <w:szCs w:val="22"/>
        </w:rPr>
        <w:t xml:space="preserve"> University</w:t>
      </w:r>
      <w:r w:rsidR="00677B74">
        <w:rPr>
          <w:rFonts w:ascii="Calibri" w:eastAsia="Calibri" w:hAnsi="Calibri" w:cs="Calibri"/>
          <w:sz w:val="22"/>
          <w:szCs w:val="22"/>
        </w:rPr>
        <w:t>, 1993</w:t>
      </w:r>
      <w:r>
        <w:rPr>
          <w:rFonts w:ascii="Calibri" w:eastAsia="Calibri" w:hAnsi="Calibri" w:cs="Calibri"/>
          <w:sz w:val="22"/>
          <w:szCs w:val="22"/>
        </w:rPr>
        <w:t xml:space="preserve">), </w:t>
      </w:r>
    </w:p>
    <w:p w14:paraId="72715D06" w14:textId="6479F88F" w:rsidR="005144F8" w:rsidRDefault="005144F8" w:rsidP="3737E55B">
      <w:pPr>
        <w:spacing w:after="160" w:line="259" w:lineRule="auto"/>
        <w:rPr>
          <w:rFonts w:ascii="Calibri" w:eastAsia="Calibri" w:hAnsi="Calibri" w:cs="Calibri"/>
          <w:sz w:val="22"/>
          <w:szCs w:val="22"/>
        </w:rPr>
      </w:pPr>
      <w:r w:rsidRPr="005144F8">
        <w:rPr>
          <w:rFonts w:ascii="Calibri" w:eastAsia="Calibri" w:hAnsi="Calibri" w:cs="Calibri"/>
          <w:sz w:val="22"/>
          <w:szCs w:val="22"/>
        </w:rPr>
        <w:t xml:space="preserve">Mattingley, D., </w:t>
      </w:r>
      <w:r w:rsidRPr="00EB2E26">
        <w:rPr>
          <w:rFonts w:ascii="Calibri" w:eastAsia="Calibri" w:hAnsi="Calibri" w:cs="Calibri"/>
          <w:i/>
          <w:iCs/>
          <w:sz w:val="22"/>
          <w:szCs w:val="22"/>
        </w:rPr>
        <w:t>An Imperial Possession: Britain in the Roman Empire, 54 BC-AD 409</w:t>
      </w:r>
      <w:r w:rsidRPr="005144F8">
        <w:rPr>
          <w:rFonts w:ascii="Calibri" w:eastAsia="Calibri" w:hAnsi="Calibri" w:cs="Calibri"/>
          <w:sz w:val="22"/>
          <w:szCs w:val="22"/>
        </w:rPr>
        <w:t>, (Penguin, 2007)</w:t>
      </w:r>
    </w:p>
    <w:p w14:paraId="17C5D288" w14:textId="777BC4D2" w:rsidR="3737E55B" w:rsidRDefault="3737E55B" w:rsidP="3737E55B">
      <w:pPr>
        <w:spacing w:after="160" w:line="259" w:lineRule="auto"/>
        <w:rPr>
          <w:rFonts w:ascii="Calibri" w:eastAsia="Calibri" w:hAnsi="Calibri" w:cs="Calibri"/>
          <w:sz w:val="22"/>
          <w:szCs w:val="22"/>
        </w:rPr>
      </w:pPr>
      <w:r w:rsidRPr="3737E55B">
        <w:rPr>
          <w:rFonts w:ascii="Calibri" w:eastAsia="Calibri" w:hAnsi="Calibri" w:cs="Calibri"/>
          <w:sz w:val="22"/>
          <w:szCs w:val="22"/>
        </w:rPr>
        <w:t xml:space="preserve">Moore, B., ‘The Relevance of the Finnsburh Episode’ in </w:t>
      </w:r>
      <w:r w:rsidRPr="3737E55B">
        <w:rPr>
          <w:rFonts w:ascii="Calibri" w:eastAsia="Calibri" w:hAnsi="Calibri" w:cs="Calibri"/>
          <w:i/>
          <w:iCs/>
          <w:sz w:val="22"/>
          <w:szCs w:val="22"/>
        </w:rPr>
        <w:t>The Journal of English and Germanic Philology</w:t>
      </w:r>
      <w:r w:rsidRPr="3737E55B">
        <w:rPr>
          <w:rFonts w:ascii="Calibri" w:eastAsia="Calibri" w:hAnsi="Calibri" w:cs="Calibri"/>
          <w:sz w:val="22"/>
          <w:szCs w:val="22"/>
        </w:rPr>
        <w:t>, Vol. 75, No. 3 (Jul., 1976)</w:t>
      </w:r>
    </w:p>
    <w:p w14:paraId="47BFF1DA" w14:textId="26BF1110" w:rsidR="3737E55B" w:rsidRDefault="3737E55B" w:rsidP="3737E55B">
      <w:pPr>
        <w:spacing w:after="160" w:line="259" w:lineRule="auto"/>
        <w:rPr>
          <w:rFonts w:ascii="Calibri" w:eastAsia="Calibri" w:hAnsi="Calibri" w:cs="Calibri"/>
          <w:sz w:val="22"/>
          <w:szCs w:val="22"/>
        </w:rPr>
      </w:pPr>
      <w:r w:rsidRPr="3737E55B">
        <w:rPr>
          <w:rFonts w:ascii="Calibri" w:eastAsia="Calibri" w:hAnsi="Calibri" w:cs="Calibri"/>
          <w:sz w:val="22"/>
          <w:szCs w:val="22"/>
        </w:rPr>
        <w:t xml:space="preserve">O’Brien-O’Keeffe, K., </w:t>
      </w:r>
      <w:r w:rsidRPr="3737E55B">
        <w:rPr>
          <w:rFonts w:ascii="Calibri" w:eastAsia="Calibri" w:hAnsi="Calibri" w:cs="Calibri"/>
          <w:i/>
          <w:iCs/>
          <w:sz w:val="22"/>
          <w:szCs w:val="22"/>
        </w:rPr>
        <w:t>The Cambridge Companion to Old English Literature,</w:t>
      </w:r>
      <w:r w:rsidRPr="3737E55B">
        <w:rPr>
          <w:rFonts w:ascii="Calibri" w:eastAsia="Calibri" w:hAnsi="Calibri" w:cs="Calibri"/>
          <w:sz w:val="22"/>
          <w:szCs w:val="22"/>
        </w:rPr>
        <w:t xml:space="preserve"> edited by M. Godden and M. Lapidge, (Cambridge University Press, 2013).</w:t>
      </w:r>
    </w:p>
    <w:p w14:paraId="79D2CEFA" w14:textId="32F61B98" w:rsidR="3737E55B" w:rsidRDefault="3737E55B" w:rsidP="3737E55B">
      <w:pPr>
        <w:spacing w:after="160" w:line="259" w:lineRule="auto"/>
        <w:rPr>
          <w:rFonts w:ascii="Calibri" w:eastAsia="Calibri" w:hAnsi="Calibri" w:cs="Calibri"/>
          <w:sz w:val="22"/>
          <w:szCs w:val="22"/>
        </w:rPr>
      </w:pPr>
      <w:r w:rsidRPr="3737E55B">
        <w:rPr>
          <w:rFonts w:ascii="Calibri" w:eastAsia="Calibri" w:hAnsi="Calibri" w:cs="Calibri"/>
          <w:sz w:val="22"/>
          <w:szCs w:val="22"/>
        </w:rPr>
        <w:t xml:space="preserve">Robinson, F.C., “God, Death and Loyalty in the Battle of Maldon”, in </w:t>
      </w:r>
      <w:r w:rsidRPr="3737E55B">
        <w:rPr>
          <w:rFonts w:ascii="Calibri" w:eastAsia="Calibri" w:hAnsi="Calibri" w:cs="Calibri"/>
          <w:i/>
          <w:iCs/>
          <w:sz w:val="22"/>
          <w:szCs w:val="22"/>
        </w:rPr>
        <w:t xml:space="preserve">Old English Literature, </w:t>
      </w:r>
      <w:r w:rsidRPr="3737E55B">
        <w:rPr>
          <w:rFonts w:ascii="Calibri" w:eastAsia="Calibri" w:hAnsi="Calibri" w:cs="Calibri"/>
          <w:sz w:val="22"/>
          <w:szCs w:val="22"/>
        </w:rPr>
        <w:t>edited by R.M. Liuzza, (Yale Press, 2002</w:t>
      </w:r>
      <w:r w:rsidR="00FA0F3D">
        <w:rPr>
          <w:rFonts w:ascii="Calibri" w:eastAsia="Calibri" w:hAnsi="Calibri" w:cs="Calibri"/>
          <w:sz w:val="22"/>
          <w:szCs w:val="22"/>
        </w:rPr>
        <w:t>)</w:t>
      </w:r>
    </w:p>
    <w:p w14:paraId="37F18AC5" w14:textId="1C72A498" w:rsidR="3737E55B" w:rsidRDefault="3737E55B" w:rsidP="3737E55B">
      <w:pPr>
        <w:spacing w:after="160" w:line="259" w:lineRule="auto"/>
        <w:rPr>
          <w:rFonts w:ascii="Calibri" w:eastAsia="Calibri" w:hAnsi="Calibri" w:cs="Calibri"/>
          <w:sz w:val="22"/>
          <w:szCs w:val="22"/>
        </w:rPr>
      </w:pPr>
      <w:r w:rsidRPr="3737E55B">
        <w:rPr>
          <w:rFonts w:ascii="Calibri" w:eastAsia="Calibri" w:hAnsi="Calibri" w:cs="Calibri"/>
          <w:sz w:val="22"/>
          <w:szCs w:val="22"/>
        </w:rPr>
        <w:lastRenderedPageBreak/>
        <w:t xml:space="preserve">Stratyner, L.A., </w:t>
      </w:r>
      <w:r w:rsidRPr="3737E55B">
        <w:rPr>
          <w:rFonts w:ascii="Calibri" w:eastAsia="Calibri" w:hAnsi="Calibri" w:cs="Calibri"/>
          <w:i/>
          <w:iCs/>
          <w:sz w:val="22"/>
          <w:szCs w:val="22"/>
        </w:rPr>
        <w:t>Forged Ties: the 'Comitatus' and Anglo -Saxon</w:t>
      </w:r>
      <w:r w:rsidRPr="3737E55B">
        <w:rPr>
          <w:rFonts w:ascii="Calibri" w:eastAsia="Calibri" w:hAnsi="Calibri" w:cs="Calibri"/>
          <w:sz w:val="22"/>
          <w:szCs w:val="22"/>
        </w:rPr>
        <w:t>, PHD Thesis, (Louisiana State University and Agricultural &amp; Mechanical College, 1991)</w:t>
      </w:r>
    </w:p>
    <w:p w14:paraId="49800872" w14:textId="36DB18E9" w:rsidR="3737E55B" w:rsidRDefault="3737E55B" w:rsidP="3737E55B">
      <w:pPr>
        <w:spacing w:after="160" w:line="259" w:lineRule="auto"/>
        <w:rPr>
          <w:rStyle w:val="Hyperlink"/>
          <w:rFonts w:ascii="Calibri" w:eastAsia="Calibri" w:hAnsi="Calibri" w:cs="Calibri"/>
          <w:color w:val="0563C1"/>
          <w:sz w:val="22"/>
          <w:szCs w:val="22"/>
        </w:rPr>
      </w:pPr>
      <w:r w:rsidRPr="3737E55B">
        <w:rPr>
          <w:rFonts w:ascii="Calibri" w:eastAsia="Calibri" w:hAnsi="Calibri" w:cs="Calibri"/>
          <w:sz w:val="22"/>
          <w:szCs w:val="22"/>
        </w:rPr>
        <w:t xml:space="preserve">Tolkein, J.R.R., </w:t>
      </w:r>
      <w:r w:rsidR="00E472CA">
        <w:rPr>
          <w:rFonts w:ascii="Calibri" w:eastAsia="Calibri" w:hAnsi="Calibri" w:cs="Calibri"/>
          <w:sz w:val="22"/>
          <w:szCs w:val="22"/>
        </w:rPr>
        <w:t>‘</w:t>
      </w:r>
      <w:r w:rsidRPr="3737E55B">
        <w:rPr>
          <w:rFonts w:ascii="Calibri" w:eastAsia="Calibri" w:hAnsi="Calibri" w:cs="Calibri"/>
          <w:sz w:val="22"/>
          <w:szCs w:val="22"/>
        </w:rPr>
        <w:t>Beowulf, the Monsters and the Critic</w:t>
      </w:r>
      <w:r w:rsidR="00E472CA">
        <w:rPr>
          <w:rFonts w:ascii="Calibri" w:eastAsia="Calibri" w:hAnsi="Calibri" w:cs="Calibri"/>
          <w:sz w:val="22"/>
          <w:szCs w:val="22"/>
        </w:rPr>
        <w:t>’</w:t>
      </w:r>
      <w:r w:rsidRPr="3737E55B">
        <w:rPr>
          <w:rFonts w:ascii="Calibri" w:eastAsia="Calibri" w:hAnsi="Calibri" w:cs="Calibri"/>
          <w:sz w:val="22"/>
          <w:szCs w:val="22"/>
        </w:rPr>
        <w:t xml:space="preserve">, </w:t>
      </w:r>
      <w:r w:rsidRPr="00E472CA">
        <w:rPr>
          <w:rFonts w:ascii="Calibri" w:eastAsia="Calibri" w:hAnsi="Calibri" w:cs="Calibri"/>
          <w:i/>
          <w:iCs/>
          <w:sz w:val="22"/>
          <w:szCs w:val="22"/>
        </w:rPr>
        <w:t>S</w:t>
      </w:r>
      <w:r w:rsidR="00E472CA" w:rsidRPr="00E472CA">
        <w:rPr>
          <w:rFonts w:ascii="Calibri" w:eastAsia="Calibri" w:hAnsi="Calibri" w:cs="Calibri"/>
          <w:i/>
          <w:iCs/>
          <w:sz w:val="22"/>
          <w:szCs w:val="22"/>
        </w:rPr>
        <w:t>ir Gollancz Lecture 1936</w:t>
      </w:r>
      <w:r w:rsidR="00E472CA">
        <w:rPr>
          <w:rFonts w:ascii="Calibri" w:eastAsia="Calibri" w:hAnsi="Calibri" w:cs="Calibri"/>
          <w:sz w:val="22"/>
          <w:szCs w:val="22"/>
        </w:rPr>
        <w:t>,</w:t>
      </w:r>
      <w:r w:rsidRPr="3737E55B">
        <w:rPr>
          <w:rFonts w:ascii="Calibri" w:eastAsia="Calibri" w:hAnsi="Calibri" w:cs="Calibri"/>
          <w:sz w:val="22"/>
          <w:szCs w:val="22"/>
        </w:rPr>
        <w:t xml:space="preserve"> Available at: </w:t>
      </w:r>
      <w:r w:rsidRPr="00E472CA">
        <w:rPr>
          <w:rFonts w:ascii="Calibri" w:eastAsia="Calibri" w:hAnsi="Calibri" w:cs="Calibri"/>
          <w:sz w:val="22"/>
          <w:szCs w:val="22"/>
        </w:rPr>
        <w:t>https://jenniferjsnow.files.wordpress.com/2011/01/11790039-jrr-tolkien-beowulf-the-monsters-and-the-critics.pd</w:t>
      </w:r>
      <w:r w:rsidR="00E472CA">
        <w:rPr>
          <w:rFonts w:ascii="Calibri" w:eastAsia="Calibri" w:hAnsi="Calibri" w:cs="Calibri"/>
          <w:sz w:val="22"/>
          <w:szCs w:val="22"/>
        </w:rPr>
        <w:t>f [Accessed on 29th December 2019]</w:t>
      </w:r>
    </w:p>
    <w:p w14:paraId="1C53FB61" w14:textId="6C0E7659" w:rsidR="00FA0F3D" w:rsidRDefault="00FA0F3D" w:rsidP="3737E55B">
      <w:pPr>
        <w:spacing w:after="160" w:line="259" w:lineRule="auto"/>
        <w:rPr>
          <w:rFonts w:ascii="Calibri" w:eastAsia="Calibri" w:hAnsi="Calibri" w:cs="Calibri"/>
          <w:sz w:val="22"/>
          <w:szCs w:val="22"/>
        </w:rPr>
      </w:pPr>
      <w:r w:rsidRPr="00FA0F3D">
        <w:rPr>
          <w:rFonts w:ascii="Calibri" w:eastAsia="Calibri" w:hAnsi="Calibri" w:cs="Calibri"/>
          <w:sz w:val="22"/>
          <w:szCs w:val="22"/>
        </w:rPr>
        <w:t>Wilson Tietjen,</w:t>
      </w:r>
      <w:r w:rsidR="00677B74">
        <w:rPr>
          <w:rFonts w:ascii="Calibri" w:eastAsia="Calibri" w:hAnsi="Calibri" w:cs="Calibri"/>
          <w:sz w:val="22"/>
          <w:szCs w:val="22"/>
        </w:rPr>
        <w:t xml:space="preserve"> M.C.</w:t>
      </w:r>
      <w:r w:rsidRPr="00FA0F3D">
        <w:rPr>
          <w:rFonts w:ascii="Calibri" w:eastAsia="Calibri" w:hAnsi="Calibri" w:cs="Calibri"/>
          <w:sz w:val="22"/>
          <w:szCs w:val="22"/>
        </w:rPr>
        <w:t xml:space="preserve"> ‘God, Fate, and the Hero of "Beowulf’, </w:t>
      </w:r>
      <w:r w:rsidRPr="00677B74">
        <w:rPr>
          <w:rFonts w:ascii="Calibri" w:eastAsia="Calibri" w:hAnsi="Calibri" w:cs="Calibri"/>
          <w:i/>
          <w:iCs/>
          <w:sz w:val="22"/>
          <w:szCs w:val="22"/>
        </w:rPr>
        <w:t>The Journal of English and Germanic Philology</w:t>
      </w:r>
      <w:r w:rsidRPr="00FA0F3D">
        <w:rPr>
          <w:rFonts w:ascii="Calibri" w:eastAsia="Calibri" w:hAnsi="Calibri" w:cs="Calibri"/>
          <w:sz w:val="22"/>
          <w:szCs w:val="22"/>
        </w:rPr>
        <w:t>, Vol. 74, No. 2 (Apr 1975)</w:t>
      </w:r>
    </w:p>
    <w:p w14:paraId="6FB62A94" w14:textId="34F7D1E1" w:rsidR="3737E55B" w:rsidRDefault="3737E55B" w:rsidP="3737E55B">
      <w:pPr>
        <w:spacing w:after="160" w:line="259" w:lineRule="auto"/>
        <w:rPr>
          <w:rFonts w:ascii="Calibri" w:eastAsia="Calibri" w:hAnsi="Calibri" w:cs="Calibri"/>
          <w:sz w:val="22"/>
          <w:szCs w:val="22"/>
        </w:rPr>
      </w:pPr>
    </w:p>
    <w:p w14:paraId="7790465A" w14:textId="7C47BAD4" w:rsidR="3737E55B" w:rsidRDefault="3737E55B" w:rsidP="3737E55B">
      <w:pPr>
        <w:spacing w:after="160" w:line="259" w:lineRule="auto"/>
        <w:rPr>
          <w:rFonts w:ascii="Calibri" w:eastAsia="Calibri" w:hAnsi="Calibri" w:cs="Calibri"/>
          <w:sz w:val="22"/>
          <w:szCs w:val="22"/>
        </w:rPr>
      </w:pPr>
    </w:p>
    <w:p w14:paraId="7BB687CE" w14:textId="6E7CA695" w:rsidR="3737E55B" w:rsidRDefault="3737E55B" w:rsidP="00FA0F3D">
      <w:pPr>
        <w:pStyle w:val="NormalWeb"/>
        <w:spacing w:before="0" w:beforeAutospacing="0" w:after="0" w:afterAutospacing="0"/>
        <w:ind w:right="-334"/>
        <w:rPr>
          <w:rFonts w:ascii="Trebuchet MS" w:hAnsi="Trebuchet MS" w:cs="Tahoma"/>
          <w:sz w:val="24"/>
          <w:szCs w:val="24"/>
        </w:rPr>
      </w:pPr>
    </w:p>
    <w:sectPr w:rsidR="3737E55B" w:rsidSect="00B462B1">
      <w:headerReference w:type="default" r:id="rId9"/>
      <w:footerReference w:type="default" r:id="rId10"/>
      <w:pgSz w:w="12240" w:h="15840"/>
      <w:pgMar w:top="567" w:right="1797" w:bottom="567" w:left="1797" w:header="567"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6A3FC02" w14:textId="77777777" w:rsidR="000E432A" w:rsidRDefault="000E432A" w:rsidP="00AD5D5A">
      <w:r>
        <w:separator/>
      </w:r>
    </w:p>
  </w:endnote>
  <w:endnote w:type="continuationSeparator" w:id="0">
    <w:p w14:paraId="711A76A9" w14:textId="77777777" w:rsidR="000E432A" w:rsidRDefault="000E432A" w:rsidP="00AD5D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lbertus">
    <w:panose1 w:val="00000000000000000000"/>
    <w:charset w:val="00"/>
    <w:family w:val="roman"/>
    <w:notTrueType/>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altName w:val="游明朝"/>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77240610"/>
      <w:docPartObj>
        <w:docPartGallery w:val="Page Numbers (Bottom of Page)"/>
        <w:docPartUnique/>
      </w:docPartObj>
    </w:sdtPr>
    <w:sdtEndPr>
      <w:rPr>
        <w:noProof/>
      </w:rPr>
    </w:sdtEndPr>
    <w:sdtContent>
      <w:p w14:paraId="2AFB0ACB" w14:textId="6FA20DAA" w:rsidR="006601B4" w:rsidRDefault="006601B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9D6B04F" w14:textId="70DB5FE7" w:rsidR="000E432A" w:rsidRPr="00337A70" w:rsidRDefault="000E432A">
    <w:pPr>
      <w:pStyle w:val="Footer"/>
      <w:rPr>
        <w:rFonts w:ascii="Trebuchet MS" w:hAnsi="Trebuchet MS"/>
        <w:sz w:val="18"/>
        <w:szCs w:val="18"/>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EB3035F" w14:textId="77777777" w:rsidR="000E432A" w:rsidRDefault="000E432A" w:rsidP="00AD5D5A">
      <w:r>
        <w:separator/>
      </w:r>
    </w:p>
  </w:footnote>
  <w:footnote w:type="continuationSeparator" w:id="0">
    <w:p w14:paraId="5F7FE7D0" w14:textId="77777777" w:rsidR="000E432A" w:rsidRDefault="000E432A" w:rsidP="00AD5D5A">
      <w:r>
        <w:continuationSeparator/>
      </w:r>
    </w:p>
  </w:footnote>
  <w:footnote w:id="1">
    <w:p w14:paraId="486A3B64" w14:textId="3FD8254A" w:rsidR="000E432A" w:rsidRDefault="000E432A">
      <w:pPr>
        <w:pStyle w:val="FootnoteText"/>
      </w:pPr>
      <w:r>
        <w:rPr>
          <w:rStyle w:val="FootnoteReference"/>
        </w:rPr>
        <w:footnoteRef/>
      </w:r>
      <w:r>
        <w:t xml:space="preserve"> Tacitus, </w:t>
      </w:r>
      <w:r w:rsidR="00331B2D">
        <w:t>‘</w:t>
      </w:r>
      <w:r>
        <w:t>Agricola and Germany</w:t>
      </w:r>
      <w:r w:rsidR="00331B2D">
        <w:t>’</w:t>
      </w:r>
      <w:r>
        <w:t>, translated by A.R Birley, (Oxford: Penguin, 1999), XIV, lines 5-7</w:t>
      </w:r>
    </w:p>
  </w:footnote>
  <w:footnote w:id="2">
    <w:p w14:paraId="38B0884A" w14:textId="639C388E" w:rsidR="000E432A" w:rsidRDefault="000E432A">
      <w:pPr>
        <w:pStyle w:val="FootnoteText"/>
      </w:pPr>
      <w:r>
        <w:rPr>
          <w:rStyle w:val="FootnoteReference"/>
        </w:rPr>
        <w:footnoteRef/>
      </w:r>
      <w:r>
        <w:t xml:space="preserve"> Tolkien, J.R.R., </w:t>
      </w:r>
      <w:r w:rsidRPr="00C46B7A">
        <w:t xml:space="preserve">“Beowulf, the Monsters and the Critic”, </w:t>
      </w:r>
      <w:r w:rsidRPr="0009611B">
        <w:rPr>
          <w:i/>
          <w:iCs/>
        </w:rPr>
        <w:t>Sir Israel Gollancz Lecture</w:t>
      </w:r>
      <w:r>
        <w:t>, 1936, p.11</w:t>
      </w:r>
      <w:r w:rsidR="00DD54A7">
        <w:t>.</w:t>
      </w:r>
    </w:p>
  </w:footnote>
  <w:footnote w:id="3">
    <w:p w14:paraId="4785E904" w14:textId="070FC42B" w:rsidR="000E432A" w:rsidRDefault="000E432A">
      <w:pPr>
        <w:pStyle w:val="FootnoteText"/>
      </w:pPr>
      <w:r>
        <w:rPr>
          <w:rStyle w:val="FootnoteReference"/>
        </w:rPr>
        <w:footnoteRef/>
      </w:r>
      <w:r>
        <w:t xml:space="preserve"> Clark. G., ‘</w:t>
      </w:r>
      <w:r w:rsidRPr="00C46B7A">
        <w:t>The Battle of Maldon: A Heroic Poem</w:t>
      </w:r>
      <w:r>
        <w:t>’</w:t>
      </w:r>
      <w:r w:rsidRPr="00C46B7A">
        <w:t xml:space="preserve"> in </w:t>
      </w:r>
      <w:r w:rsidRPr="00C46B7A">
        <w:rPr>
          <w:i/>
          <w:iCs/>
        </w:rPr>
        <w:t>Speculum</w:t>
      </w:r>
      <w:r w:rsidRPr="00C46B7A">
        <w:t>, Vol. 43, No. 1 (</w:t>
      </w:r>
      <w:r w:rsidR="00DD54A7" w:rsidRPr="00C46B7A">
        <w:t>Jan</w:t>
      </w:r>
      <w:r w:rsidRPr="00C46B7A">
        <w:t xml:space="preserve"> 1968),</w:t>
      </w:r>
      <w:r>
        <w:t xml:space="preserve"> p</w:t>
      </w:r>
      <w:r w:rsidR="00DD54A7">
        <w:t>p. 52-71, p.</w:t>
      </w:r>
      <w:r>
        <w:t>56</w:t>
      </w:r>
      <w:r w:rsidR="00DD54A7">
        <w:t>.</w:t>
      </w:r>
    </w:p>
  </w:footnote>
  <w:footnote w:id="4">
    <w:p w14:paraId="3CBC31D9" w14:textId="5EFECBF9" w:rsidR="000E432A" w:rsidRDefault="000E432A">
      <w:pPr>
        <w:pStyle w:val="FootnoteText"/>
      </w:pPr>
      <w:r>
        <w:rPr>
          <w:rStyle w:val="FootnoteReference"/>
        </w:rPr>
        <w:footnoteRef/>
      </w:r>
      <w:r>
        <w:t xml:space="preserve"> </w:t>
      </w:r>
      <w:bookmarkStart w:id="6" w:name="_Hlk30165330"/>
      <w:r w:rsidRPr="00C46B7A">
        <w:t xml:space="preserve">Baker, P.S., “Introduction” in </w:t>
      </w:r>
      <w:r w:rsidRPr="00C46B7A">
        <w:rPr>
          <w:i/>
          <w:iCs/>
        </w:rPr>
        <w:t>Honour, Exchange and Violence in Beowulf</w:t>
      </w:r>
      <w:r w:rsidRPr="00C46B7A">
        <w:t xml:space="preserve">, </w:t>
      </w:r>
      <w:r w:rsidR="00DD54A7">
        <w:t>(</w:t>
      </w:r>
      <w:r w:rsidRPr="00C46B7A">
        <w:t>D.S Brewer, Cambridge, 2013)</w:t>
      </w:r>
      <w:r>
        <w:t xml:space="preserve">, </w:t>
      </w:r>
      <w:r w:rsidR="00116E97">
        <w:t xml:space="preserve">pp.1-134, </w:t>
      </w:r>
      <w:r>
        <w:t>p</w:t>
      </w:r>
      <w:bookmarkEnd w:id="6"/>
      <w:r w:rsidR="00116E97">
        <w:t>.</w:t>
      </w:r>
      <w:r>
        <w:t>17</w:t>
      </w:r>
      <w:r w:rsidR="00116E97">
        <w:t>.</w:t>
      </w:r>
    </w:p>
  </w:footnote>
  <w:footnote w:id="5">
    <w:p w14:paraId="560F39BE" w14:textId="6FE4064A" w:rsidR="000E432A" w:rsidRDefault="000E432A">
      <w:pPr>
        <w:pStyle w:val="FootnoteText"/>
      </w:pPr>
      <w:r>
        <w:rPr>
          <w:rStyle w:val="FootnoteReference"/>
        </w:rPr>
        <w:footnoteRef/>
      </w:r>
      <w:r>
        <w:t xml:space="preserve"> </w:t>
      </w:r>
      <w:r w:rsidRPr="00C46B7A">
        <w:t xml:space="preserve">O’Brien-O’Keeffe, K., </w:t>
      </w:r>
      <w:r w:rsidR="00116E97">
        <w:t>‘Heroic Values and Christian Ethics’</w:t>
      </w:r>
      <w:r w:rsidRPr="00C46B7A">
        <w:t xml:space="preserve"> in </w:t>
      </w:r>
      <w:r w:rsidRPr="00116E97">
        <w:rPr>
          <w:i/>
          <w:iCs/>
        </w:rPr>
        <w:t>The Cambridge Companion to Old English Literature</w:t>
      </w:r>
      <w:r w:rsidRPr="00C46B7A">
        <w:t>, edited by M. Godden and M. Lapidge, (Cambridge University Press, 20</w:t>
      </w:r>
      <w:r w:rsidR="00116E97">
        <w:t>07</w:t>
      </w:r>
      <w:r w:rsidRPr="00C46B7A">
        <w:t>)</w:t>
      </w:r>
      <w:r>
        <w:t xml:space="preserve">, </w:t>
      </w:r>
      <w:r w:rsidR="00116E97">
        <w:t xml:space="preserve">pp 107-125, </w:t>
      </w:r>
      <w:r>
        <w:t>p.107</w:t>
      </w:r>
      <w:r w:rsidR="00116E97">
        <w:t>-108.</w:t>
      </w:r>
    </w:p>
  </w:footnote>
  <w:footnote w:id="6">
    <w:p w14:paraId="51AD835A" w14:textId="3329E94F" w:rsidR="004B0820" w:rsidRDefault="004B0820">
      <w:pPr>
        <w:pStyle w:val="FootnoteText"/>
      </w:pPr>
      <w:r>
        <w:rPr>
          <w:rStyle w:val="FootnoteReference"/>
        </w:rPr>
        <w:footnoteRef/>
      </w:r>
      <w:r>
        <w:t xml:space="preserve"> Anonymous, </w:t>
      </w:r>
      <w:r w:rsidRPr="00116E97">
        <w:rPr>
          <w:i/>
          <w:iCs/>
        </w:rPr>
        <w:t>Beowulf</w:t>
      </w:r>
      <w:r>
        <w:t>, translated by M. Swanton, (Manchester, 1997), p.58, lines 384-385</w:t>
      </w:r>
    </w:p>
  </w:footnote>
  <w:footnote w:id="7">
    <w:p w14:paraId="7ABAAE37" w14:textId="636893CD" w:rsidR="000E432A" w:rsidRDefault="000E432A">
      <w:pPr>
        <w:pStyle w:val="FootnoteText"/>
      </w:pPr>
      <w:r>
        <w:rPr>
          <w:rStyle w:val="FootnoteReference"/>
        </w:rPr>
        <w:footnoteRef/>
      </w:r>
      <w:r>
        <w:t xml:space="preserve"> </w:t>
      </w:r>
      <w:r w:rsidRPr="00C46B7A">
        <w:t xml:space="preserve">O’Brien-O’Keeffe, </w:t>
      </w:r>
      <w:r w:rsidR="00116E97" w:rsidRPr="00116E97">
        <w:rPr>
          <w:i/>
          <w:iCs/>
        </w:rPr>
        <w:t>Heroic Values and Christian Ethics</w:t>
      </w:r>
      <w:r w:rsidR="00116E97">
        <w:t xml:space="preserve"> </w:t>
      </w:r>
      <w:r w:rsidRPr="00C46B7A">
        <w:t>(Cambridge University Press, 2013), p.107</w:t>
      </w:r>
    </w:p>
  </w:footnote>
  <w:footnote w:id="8">
    <w:p w14:paraId="6552A0C0" w14:textId="1A4E9AF4" w:rsidR="000E432A" w:rsidRDefault="000E432A">
      <w:pPr>
        <w:pStyle w:val="FootnoteText"/>
      </w:pPr>
      <w:r>
        <w:rPr>
          <w:rStyle w:val="FootnoteReference"/>
        </w:rPr>
        <w:footnoteRef/>
      </w:r>
      <w:r>
        <w:t xml:space="preserve"> </w:t>
      </w:r>
      <w:r w:rsidRPr="002D2D38">
        <w:t xml:space="preserve">Fry, D.K., Finnsburh: A New Interpretation in </w:t>
      </w:r>
      <w:r w:rsidRPr="00116E97">
        <w:rPr>
          <w:i/>
          <w:iCs/>
        </w:rPr>
        <w:t>The Chaucer Review</w:t>
      </w:r>
      <w:r w:rsidRPr="002D2D38">
        <w:t>, Vol. 9, No. 1 (Summer, 1974),</w:t>
      </w:r>
      <w:r w:rsidR="000246E0">
        <w:t xml:space="preserve"> pp.1-14</w:t>
      </w:r>
      <w:r>
        <w:t xml:space="preserve"> p.6</w:t>
      </w:r>
    </w:p>
  </w:footnote>
  <w:footnote w:id="9">
    <w:p w14:paraId="0785F713" w14:textId="24E9A25A" w:rsidR="004B0820" w:rsidRDefault="004B0820">
      <w:pPr>
        <w:pStyle w:val="FootnoteText"/>
      </w:pPr>
      <w:r>
        <w:rPr>
          <w:rStyle w:val="FootnoteReference"/>
        </w:rPr>
        <w:footnoteRef/>
      </w:r>
      <w:r>
        <w:t xml:space="preserve"> </w:t>
      </w:r>
      <w:r w:rsidRPr="004B0820">
        <w:t xml:space="preserve">Moore, B., ‘The Relevance of the Finnsburh Episode’ in </w:t>
      </w:r>
      <w:r w:rsidRPr="000246E0">
        <w:rPr>
          <w:i/>
          <w:iCs/>
        </w:rPr>
        <w:t>The Journal of English and Germanic Philology</w:t>
      </w:r>
      <w:r w:rsidRPr="004B0820">
        <w:t>, Vol. 75, No. 3 (Jul 1976), pp. 317-329</w:t>
      </w:r>
      <w:r>
        <w:t>, p.317</w:t>
      </w:r>
    </w:p>
  </w:footnote>
  <w:footnote w:id="10">
    <w:p w14:paraId="357DCEBF" w14:textId="6C53C551" w:rsidR="004B0820" w:rsidRDefault="004B0820">
      <w:pPr>
        <w:pStyle w:val="FootnoteText"/>
      </w:pPr>
      <w:r>
        <w:rPr>
          <w:rStyle w:val="FootnoteReference"/>
        </w:rPr>
        <w:footnoteRef/>
      </w:r>
      <w:r>
        <w:t xml:space="preserve"> Moore, B., ‘The Relevance o</w:t>
      </w:r>
      <w:r w:rsidR="00AD0075">
        <w:t>f</w:t>
      </w:r>
      <w:r>
        <w:t xml:space="preserve"> the Finnsburh Episode’, p317</w:t>
      </w:r>
    </w:p>
  </w:footnote>
  <w:footnote w:id="11">
    <w:p w14:paraId="28FBF81F" w14:textId="0B260A7C" w:rsidR="000E432A" w:rsidRDefault="000E432A">
      <w:pPr>
        <w:pStyle w:val="FootnoteText"/>
      </w:pPr>
      <w:r>
        <w:rPr>
          <w:rStyle w:val="FootnoteReference"/>
        </w:rPr>
        <w:footnoteRef/>
      </w:r>
      <w:r>
        <w:t xml:space="preserve"> Anonymous, </w:t>
      </w:r>
      <w:r w:rsidRPr="00AD0075">
        <w:rPr>
          <w:i/>
          <w:iCs/>
        </w:rPr>
        <w:t>Beowulf</w:t>
      </w:r>
      <w:r>
        <w:t xml:space="preserve">, </w:t>
      </w:r>
      <w:r w:rsidR="004B0820">
        <w:t>p.87, lines 1099-1106</w:t>
      </w:r>
    </w:p>
  </w:footnote>
  <w:footnote w:id="12">
    <w:p w14:paraId="74C917D7" w14:textId="4C1992D8" w:rsidR="000246E0" w:rsidRDefault="000246E0">
      <w:pPr>
        <w:pStyle w:val="FootnoteText"/>
      </w:pPr>
      <w:r>
        <w:rPr>
          <w:rStyle w:val="FootnoteReference"/>
        </w:rPr>
        <w:footnoteRef/>
      </w:r>
      <w:r>
        <w:t xml:space="preserve"> </w:t>
      </w:r>
      <w:r w:rsidR="0044212B">
        <w:t>Anonymous</w:t>
      </w:r>
      <w:r>
        <w:t>,</w:t>
      </w:r>
      <w:r w:rsidR="0044212B">
        <w:t xml:space="preserve"> </w:t>
      </w:r>
      <w:r w:rsidR="0044212B" w:rsidRPr="0044212B">
        <w:rPr>
          <w:i/>
          <w:iCs/>
        </w:rPr>
        <w:t>Beowulf</w:t>
      </w:r>
      <w:r w:rsidR="0044212B">
        <w:t>,</w:t>
      </w:r>
      <w:r>
        <w:t xml:space="preserve"> p.159, lines 2596-2599</w:t>
      </w:r>
    </w:p>
  </w:footnote>
  <w:footnote w:id="13">
    <w:p w14:paraId="1A0E1A05" w14:textId="44B7AB39" w:rsidR="000E432A" w:rsidRDefault="000E432A">
      <w:pPr>
        <w:pStyle w:val="FootnoteText"/>
      </w:pPr>
      <w:r>
        <w:rPr>
          <w:rStyle w:val="FootnoteReference"/>
        </w:rPr>
        <w:footnoteRef/>
      </w:r>
      <w:r>
        <w:t xml:space="preserve"> </w:t>
      </w:r>
      <w:r w:rsidRPr="002D2D38">
        <w:t xml:space="preserve">Baker, P.S., </w:t>
      </w:r>
      <w:r w:rsidRPr="00AD0075">
        <w:rPr>
          <w:i/>
          <w:iCs/>
        </w:rPr>
        <w:t>Introduction</w:t>
      </w:r>
      <w:r w:rsidRPr="002D2D38">
        <w:t>, p</w:t>
      </w:r>
      <w:r>
        <w:t>.10</w:t>
      </w:r>
    </w:p>
  </w:footnote>
  <w:footnote w:id="14">
    <w:p w14:paraId="08B379C7" w14:textId="03F77EDD" w:rsidR="000E432A" w:rsidRDefault="000E432A">
      <w:pPr>
        <w:pStyle w:val="FootnoteText"/>
      </w:pPr>
      <w:r>
        <w:rPr>
          <w:rStyle w:val="FootnoteReference"/>
        </w:rPr>
        <w:footnoteRef/>
      </w:r>
      <w:r>
        <w:t xml:space="preserve"> </w:t>
      </w:r>
      <w:r w:rsidR="00DD54A7">
        <w:t>Anonymous</w:t>
      </w:r>
      <w:r>
        <w:t xml:space="preserve">, </w:t>
      </w:r>
      <w:r w:rsidR="00AD0075">
        <w:t>‘</w:t>
      </w:r>
      <w:r>
        <w:t>The Wanderer</w:t>
      </w:r>
      <w:r w:rsidR="00AD0075">
        <w:t>’</w:t>
      </w:r>
      <w:r>
        <w:t xml:space="preserve">, </w:t>
      </w:r>
      <w:r w:rsidR="00AD0075">
        <w:t xml:space="preserve">in </w:t>
      </w:r>
      <w:r w:rsidR="00AD0075" w:rsidRPr="00AD0075">
        <w:rPr>
          <w:i/>
          <w:iCs/>
        </w:rPr>
        <w:t>Anglo-Saxon Poetry</w:t>
      </w:r>
      <w:r w:rsidR="00AD0075">
        <w:t xml:space="preserve">, </w:t>
      </w:r>
      <w:r>
        <w:t>translated by S.A.J Bradley (Everyman, 1997), p322, lines 14-20</w:t>
      </w:r>
    </w:p>
  </w:footnote>
  <w:footnote w:id="15">
    <w:p w14:paraId="51030101" w14:textId="5FBDBD85" w:rsidR="000E432A" w:rsidRDefault="000E432A">
      <w:pPr>
        <w:pStyle w:val="FootnoteText"/>
      </w:pPr>
      <w:r>
        <w:rPr>
          <w:rStyle w:val="FootnoteReference"/>
        </w:rPr>
        <w:footnoteRef/>
      </w:r>
      <w:r>
        <w:t xml:space="preserve"> </w:t>
      </w:r>
      <w:r w:rsidR="0044212B">
        <w:t>Anonymous</w:t>
      </w:r>
      <w:r w:rsidR="004B0820">
        <w:t>,</w:t>
      </w:r>
      <w:r w:rsidR="0044212B">
        <w:t xml:space="preserve"> </w:t>
      </w:r>
      <w:r w:rsidR="0044212B" w:rsidRPr="0044212B">
        <w:rPr>
          <w:i/>
          <w:iCs/>
        </w:rPr>
        <w:t>Beowulf</w:t>
      </w:r>
      <w:r w:rsidR="0044212B">
        <w:t>,</w:t>
      </w:r>
      <w:r>
        <w:t xml:space="preserve"> p173, lines 2890-2891</w:t>
      </w:r>
    </w:p>
  </w:footnote>
  <w:footnote w:id="16">
    <w:p w14:paraId="2EC05BC7" w14:textId="5E172D2B" w:rsidR="000E432A" w:rsidRDefault="000E432A">
      <w:pPr>
        <w:pStyle w:val="FootnoteText"/>
      </w:pPr>
      <w:r>
        <w:rPr>
          <w:rStyle w:val="FootnoteReference"/>
        </w:rPr>
        <w:footnoteRef/>
      </w:r>
      <w:r>
        <w:t xml:space="preserve"> </w:t>
      </w:r>
      <w:r w:rsidR="00DD54A7">
        <w:t>Anonymous</w:t>
      </w:r>
      <w:r>
        <w:t xml:space="preserve">, </w:t>
      </w:r>
      <w:r w:rsidRPr="00AD0075">
        <w:rPr>
          <w:i/>
          <w:iCs/>
        </w:rPr>
        <w:t>Battle of Maldon</w:t>
      </w:r>
      <w:r w:rsidR="00AD0075">
        <w:rPr>
          <w:i/>
          <w:iCs/>
        </w:rPr>
        <w:t>:</w:t>
      </w:r>
      <w:r w:rsidR="00AD0075" w:rsidRPr="00AD0075">
        <w:t xml:space="preserve"> </w:t>
      </w:r>
      <w:r w:rsidR="00AD0075" w:rsidRPr="00AD0075">
        <w:rPr>
          <w:i/>
          <w:iCs/>
        </w:rPr>
        <w:t>Text and Translation</w:t>
      </w:r>
      <w:r>
        <w:t>, translated by B. Griffiths, (Anglo- Saxon Books, 1991), p62, lines 315-316</w:t>
      </w:r>
    </w:p>
  </w:footnote>
  <w:footnote w:id="17">
    <w:p w14:paraId="17384876" w14:textId="728B7B5E" w:rsidR="000E432A" w:rsidRDefault="000E432A">
      <w:pPr>
        <w:pStyle w:val="FootnoteText"/>
      </w:pPr>
      <w:r>
        <w:rPr>
          <w:rStyle w:val="FootnoteReference"/>
        </w:rPr>
        <w:footnoteRef/>
      </w:r>
      <w:r>
        <w:t xml:space="preserve"> Ano</w:t>
      </w:r>
      <w:r w:rsidR="00EF453D">
        <w:t>n</w:t>
      </w:r>
      <w:r>
        <w:t xml:space="preserve">ymous, </w:t>
      </w:r>
      <w:r w:rsidRPr="00AD0075">
        <w:rPr>
          <w:i/>
          <w:iCs/>
        </w:rPr>
        <w:t>The Battle of Maldon</w:t>
      </w:r>
      <w:r>
        <w:t>, p53, lines 34-35</w:t>
      </w:r>
      <w:r w:rsidR="00AD0075">
        <w:t>.</w:t>
      </w:r>
    </w:p>
  </w:footnote>
  <w:footnote w:id="18">
    <w:p w14:paraId="2A87F7B4" w14:textId="58688A1A" w:rsidR="000E432A" w:rsidRDefault="000E432A">
      <w:pPr>
        <w:pStyle w:val="FootnoteText"/>
      </w:pPr>
      <w:r>
        <w:rPr>
          <w:rStyle w:val="FootnoteReference"/>
        </w:rPr>
        <w:footnoteRef/>
      </w:r>
      <w:r>
        <w:t xml:space="preserve"> </w:t>
      </w:r>
      <w:r w:rsidRPr="0052590E">
        <w:t xml:space="preserve">Robinson, F.C., </w:t>
      </w:r>
      <w:r w:rsidR="00AD0075">
        <w:t>‘</w:t>
      </w:r>
      <w:r w:rsidRPr="0052590E">
        <w:t>God, Death and Loyalty in the Battle of Maldon</w:t>
      </w:r>
      <w:r w:rsidR="00AD0075">
        <w:t>’</w:t>
      </w:r>
      <w:r w:rsidRPr="0052590E">
        <w:t xml:space="preserve">, in </w:t>
      </w:r>
      <w:r w:rsidRPr="00AD0075">
        <w:rPr>
          <w:i/>
          <w:iCs/>
        </w:rPr>
        <w:t>Old English Literature</w:t>
      </w:r>
      <w:r w:rsidRPr="0052590E">
        <w:t xml:space="preserve"> edited by R.M. Liuzza, (Yale Press, 2002),</w:t>
      </w:r>
      <w:r>
        <w:t xml:space="preserve"> p.437</w:t>
      </w:r>
      <w:r w:rsidR="00AD0075">
        <w:t>.</w:t>
      </w:r>
    </w:p>
  </w:footnote>
  <w:footnote w:id="19">
    <w:p w14:paraId="31A24BCE" w14:textId="3D86DAD7" w:rsidR="000E432A" w:rsidRDefault="000E432A">
      <w:pPr>
        <w:pStyle w:val="FootnoteText"/>
      </w:pPr>
      <w:r>
        <w:rPr>
          <w:rStyle w:val="FootnoteReference"/>
        </w:rPr>
        <w:footnoteRef/>
      </w:r>
      <w:r>
        <w:t xml:space="preserve"> </w:t>
      </w:r>
      <w:r w:rsidRPr="0052590E">
        <w:t xml:space="preserve">Clark., </w:t>
      </w:r>
      <w:r w:rsidRPr="00AD0075">
        <w:rPr>
          <w:i/>
          <w:iCs/>
        </w:rPr>
        <w:t>The Battle of Maldon</w:t>
      </w:r>
      <w:r w:rsidR="00AD0075">
        <w:t xml:space="preserve">, </w:t>
      </w:r>
      <w:r>
        <w:t>p.57</w:t>
      </w:r>
      <w:r w:rsidR="00AD0075">
        <w:t>.</w:t>
      </w:r>
    </w:p>
  </w:footnote>
  <w:footnote w:id="20">
    <w:p w14:paraId="3C96832C" w14:textId="2288626A" w:rsidR="000E432A" w:rsidRDefault="000E432A">
      <w:pPr>
        <w:pStyle w:val="FootnoteText"/>
      </w:pPr>
      <w:r>
        <w:rPr>
          <w:rStyle w:val="FootnoteReference"/>
        </w:rPr>
        <w:footnoteRef/>
      </w:r>
      <w:r w:rsidR="0044212B">
        <w:t xml:space="preserve">Anonymous, </w:t>
      </w:r>
      <w:r w:rsidR="0044212B" w:rsidRPr="0044212B">
        <w:rPr>
          <w:i/>
          <w:iCs/>
        </w:rPr>
        <w:t>Battle of Maldon</w:t>
      </w:r>
      <w:r w:rsidR="0044212B">
        <w:t>,</w:t>
      </w:r>
      <w:r>
        <w:t xml:space="preserve"> p63, lines 325</w:t>
      </w:r>
    </w:p>
  </w:footnote>
  <w:footnote w:id="21">
    <w:p w14:paraId="1D8A354B" w14:textId="3C2F8A07" w:rsidR="000E432A" w:rsidRDefault="000E432A">
      <w:pPr>
        <w:pStyle w:val="FootnoteText"/>
      </w:pPr>
      <w:r>
        <w:rPr>
          <w:rStyle w:val="FootnoteReference"/>
        </w:rPr>
        <w:footnoteRef/>
      </w:r>
      <w:r>
        <w:t xml:space="preserve"> </w:t>
      </w:r>
      <w:r w:rsidRPr="0052590E">
        <w:t xml:space="preserve">Irving, E.B., </w:t>
      </w:r>
      <w:r w:rsidR="00AD0075">
        <w:t>‘</w:t>
      </w:r>
      <w:r w:rsidRPr="0052590E">
        <w:t xml:space="preserve">Heroic Role Models: Beowulf and Others’ in </w:t>
      </w:r>
      <w:r w:rsidRPr="00AD0075">
        <w:rPr>
          <w:i/>
          <w:iCs/>
        </w:rPr>
        <w:t>Heroic Poetry of the Anglo</w:t>
      </w:r>
      <w:r w:rsidR="00AD0075">
        <w:rPr>
          <w:i/>
          <w:iCs/>
        </w:rPr>
        <w:t>-</w:t>
      </w:r>
      <w:r w:rsidRPr="00AD0075">
        <w:rPr>
          <w:i/>
          <w:iCs/>
        </w:rPr>
        <w:t>Saxon period</w:t>
      </w:r>
      <w:r w:rsidR="00826297">
        <w:t xml:space="preserve">, edited by H. Damico and J. Leyerle, </w:t>
      </w:r>
      <w:r w:rsidRPr="0052590E">
        <w:t xml:space="preserve">(1993, US: West </w:t>
      </w:r>
      <w:r w:rsidR="00AD0075" w:rsidRPr="0052590E">
        <w:t>Michigan</w:t>
      </w:r>
      <w:r w:rsidRPr="0052590E">
        <w:t xml:space="preserve"> University)</w:t>
      </w:r>
      <w:r>
        <w:t xml:space="preserve">, </w:t>
      </w:r>
      <w:r w:rsidR="00826297">
        <w:t>pp. 347-363,</w:t>
      </w:r>
      <w:r>
        <w:t>p.351</w:t>
      </w:r>
    </w:p>
  </w:footnote>
  <w:footnote w:id="22">
    <w:p w14:paraId="56114D61" w14:textId="5A133A5E" w:rsidR="000E432A" w:rsidRDefault="000E432A">
      <w:pPr>
        <w:pStyle w:val="FootnoteText"/>
      </w:pPr>
      <w:r>
        <w:rPr>
          <w:rStyle w:val="FootnoteReference"/>
        </w:rPr>
        <w:footnoteRef/>
      </w:r>
      <w:r>
        <w:t xml:space="preserve"> </w:t>
      </w:r>
      <w:r w:rsidR="0044212B">
        <w:t>Anonymous</w:t>
      </w:r>
      <w:r>
        <w:t>,</w:t>
      </w:r>
      <w:r w:rsidR="0044212B">
        <w:t xml:space="preserve"> </w:t>
      </w:r>
      <w:r w:rsidR="0044212B" w:rsidRPr="0044212B">
        <w:rPr>
          <w:i/>
          <w:iCs/>
        </w:rPr>
        <w:t>Beowulf</w:t>
      </w:r>
      <w:r w:rsidR="0044212B">
        <w:t>,</w:t>
      </w:r>
      <w:r>
        <w:t xml:space="preserve"> p47, lines 247-259</w:t>
      </w:r>
    </w:p>
  </w:footnote>
  <w:footnote w:id="23">
    <w:p w14:paraId="62B61452" w14:textId="7D5E8D2E" w:rsidR="000E432A" w:rsidRDefault="000E432A">
      <w:pPr>
        <w:pStyle w:val="FootnoteText"/>
      </w:pPr>
      <w:r>
        <w:rPr>
          <w:rStyle w:val="FootnoteReference"/>
        </w:rPr>
        <w:footnoteRef/>
      </w:r>
      <w:r>
        <w:t xml:space="preserve"> </w:t>
      </w:r>
      <w:r w:rsidRPr="0052590E">
        <w:t xml:space="preserve">Irving, E.B., </w:t>
      </w:r>
      <w:r w:rsidR="00E45032" w:rsidRPr="00E45032">
        <w:rPr>
          <w:i/>
          <w:iCs/>
        </w:rPr>
        <w:t xml:space="preserve">Heroic </w:t>
      </w:r>
      <w:r w:rsidRPr="00E45032">
        <w:rPr>
          <w:i/>
          <w:iCs/>
        </w:rPr>
        <w:t>Poetry of the Anglo</w:t>
      </w:r>
      <w:r w:rsidR="00E45032">
        <w:rPr>
          <w:i/>
          <w:iCs/>
        </w:rPr>
        <w:t>-</w:t>
      </w:r>
      <w:r w:rsidRPr="00E45032">
        <w:rPr>
          <w:i/>
          <w:iCs/>
        </w:rPr>
        <w:t xml:space="preserve">Saxon </w:t>
      </w:r>
      <w:r w:rsidR="00E45032" w:rsidRPr="00E45032">
        <w:rPr>
          <w:i/>
          <w:iCs/>
        </w:rPr>
        <w:t>P</w:t>
      </w:r>
      <w:r w:rsidRPr="00E45032">
        <w:rPr>
          <w:i/>
          <w:iCs/>
        </w:rPr>
        <w:t>eriod</w:t>
      </w:r>
      <w:r>
        <w:t>, p.361</w:t>
      </w:r>
    </w:p>
  </w:footnote>
  <w:footnote w:id="24">
    <w:p w14:paraId="1B8CF8CF" w14:textId="6A2D9450" w:rsidR="000E432A" w:rsidRDefault="000E432A">
      <w:pPr>
        <w:pStyle w:val="FootnoteText"/>
      </w:pPr>
      <w:r>
        <w:rPr>
          <w:rStyle w:val="FootnoteReference"/>
        </w:rPr>
        <w:footnoteRef/>
      </w:r>
      <w:r>
        <w:t xml:space="preserve"> </w:t>
      </w:r>
      <w:r w:rsidRPr="0052590E">
        <w:t>Wilson Tietjen</w:t>
      </w:r>
      <w:r>
        <w:t xml:space="preserve">, </w:t>
      </w:r>
      <w:r w:rsidR="00677B74">
        <w:t xml:space="preserve">M.C., </w:t>
      </w:r>
      <w:r>
        <w:t>‘</w:t>
      </w:r>
      <w:r w:rsidRPr="00234B37">
        <w:t>God, Fate, and the Hero of "Beowulf</w:t>
      </w:r>
      <w:r>
        <w:t>’,</w:t>
      </w:r>
      <w:r w:rsidRPr="00234B37">
        <w:t xml:space="preserve"> </w:t>
      </w:r>
      <w:r w:rsidRPr="00234B37">
        <w:rPr>
          <w:i/>
          <w:iCs/>
        </w:rPr>
        <w:t>The Journal of English and Germanic Philology</w:t>
      </w:r>
      <w:r w:rsidRPr="00234B37">
        <w:t>, Vol. 74, No. 2 (Apr 1975), pp.159-171</w:t>
      </w:r>
      <w:r>
        <w:t>, p.168</w:t>
      </w:r>
    </w:p>
  </w:footnote>
  <w:footnote w:id="25">
    <w:p w14:paraId="68C40655" w14:textId="432EAEBF" w:rsidR="000E432A" w:rsidRDefault="000E432A">
      <w:pPr>
        <w:pStyle w:val="FootnoteText"/>
      </w:pPr>
      <w:r>
        <w:rPr>
          <w:rStyle w:val="FootnoteReference"/>
        </w:rPr>
        <w:footnoteRef/>
      </w:r>
      <w:r>
        <w:t xml:space="preserve"> </w:t>
      </w:r>
      <w:r w:rsidR="0044212B">
        <w:t xml:space="preserve">Anonymous, </w:t>
      </w:r>
      <w:r w:rsidR="0044212B" w:rsidRPr="0044212B">
        <w:rPr>
          <w:i/>
          <w:iCs/>
        </w:rPr>
        <w:t>Beowulf</w:t>
      </w:r>
      <w:r w:rsidR="0044212B">
        <w:t xml:space="preserve">, </w:t>
      </w:r>
      <w:r>
        <w:t>p</w:t>
      </w:r>
      <w:r w:rsidR="0044212B">
        <w:t xml:space="preserve">101, lines </w:t>
      </w:r>
      <w:r>
        <w:t>1390-1396</w:t>
      </w:r>
    </w:p>
  </w:footnote>
  <w:footnote w:id="26">
    <w:p w14:paraId="3FE9FA0E" w14:textId="657C8CC0" w:rsidR="000E432A" w:rsidRDefault="000E432A">
      <w:pPr>
        <w:pStyle w:val="FootnoteText"/>
      </w:pPr>
      <w:r>
        <w:rPr>
          <w:rStyle w:val="FootnoteReference"/>
        </w:rPr>
        <w:footnoteRef/>
      </w:r>
      <w:r>
        <w:t xml:space="preserve"> </w:t>
      </w:r>
      <w:r w:rsidRPr="0052590E">
        <w:t xml:space="preserve">Baker, P.S., </w:t>
      </w:r>
      <w:r w:rsidRPr="00E45032">
        <w:rPr>
          <w:i/>
          <w:iCs/>
        </w:rPr>
        <w:t>Introduction</w:t>
      </w:r>
      <w:r w:rsidRPr="0052590E">
        <w:t>, p.</w:t>
      </w:r>
      <w:r>
        <w:t>7</w:t>
      </w:r>
    </w:p>
  </w:footnote>
  <w:footnote w:id="27">
    <w:p w14:paraId="03945E85" w14:textId="18B52CB2" w:rsidR="000E432A" w:rsidRDefault="000E432A">
      <w:pPr>
        <w:pStyle w:val="FootnoteText"/>
      </w:pPr>
      <w:r>
        <w:rPr>
          <w:rStyle w:val="FootnoteReference"/>
        </w:rPr>
        <w:footnoteRef/>
      </w:r>
      <w:r>
        <w:t xml:space="preserve"> Mattingley, D., </w:t>
      </w:r>
      <w:r w:rsidRPr="00E45032">
        <w:rPr>
          <w:i/>
          <w:iCs/>
        </w:rPr>
        <w:t>An Imperial Possession: Britain in the Roman Empire, 54 BC-AD 409</w:t>
      </w:r>
      <w:r>
        <w:t>, (Penguin, 2007), p.205</w:t>
      </w:r>
      <w:r w:rsidR="000401E3">
        <w:t>.</w:t>
      </w:r>
    </w:p>
  </w:footnote>
  <w:footnote w:id="28">
    <w:p w14:paraId="1C0F67FD" w14:textId="725D60E8" w:rsidR="00A6505E" w:rsidRDefault="00A6505E">
      <w:pPr>
        <w:pStyle w:val="FootnoteText"/>
      </w:pPr>
      <w:r>
        <w:rPr>
          <w:rStyle w:val="FootnoteReference"/>
        </w:rPr>
        <w:footnoteRef/>
      </w:r>
      <w:r>
        <w:t xml:space="preserve"> Anonymous, The Wanderer, p. 323, lines 42-43</w:t>
      </w:r>
    </w:p>
  </w:footnote>
  <w:footnote w:id="29">
    <w:p w14:paraId="226E6F83" w14:textId="79806FC5" w:rsidR="000E432A" w:rsidRDefault="000E432A">
      <w:pPr>
        <w:pStyle w:val="FootnoteText"/>
      </w:pPr>
      <w:r w:rsidRPr="001B3963">
        <w:rPr>
          <w:rStyle w:val="FootnoteReference"/>
        </w:rPr>
        <w:footnoteRef/>
      </w:r>
      <w:r w:rsidRPr="001B3963">
        <w:t xml:space="preserve"> O’Brien-O’Keefe, K., </w:t>
      </w:r>
      <w:r w:rsidRPr="00E45032">
        <w:rPr>
          <w:i/>
          <w:iCs/>
        </w:rPr>
        <w:t>Heroic Values and Christian Ethics</w:t>
      </w:r>
      <w:r w:rsidR="00E45032">
        <w:t xml:space="preserve">, </w:t>
      </w:r>
      <w:r w:rsidRPr="001B3963">
        <w:t>p.107</w:t>
      </w:r>
      <w:r w:rsidR="000401E3">
        <w:t>.</w:t>
      </w:r>
    </w:p>
  </w:footnote>
  <w:footnote w:id="30">
    <w:p w14:paraId="3707C73B" w14:textId="4F4CC0DE" w:rsidR="000E432A" w:rsidRDefault="000E432A">
      <w:pPr>
        <w:pStyle w:val="FootnoteText"/>
      </w:pPr>
      <w:r>
        <w:rPr>
          <w:rStyle w:val="FootnoteReference"/>
        </w:rPr>
        <w:footnoteRef/>
      </w:r>
      <w:r>
        <w:t xml:space="preserve"> Cherniss, M.D., </w:t>
      </w:r>
      <w:r w:rsidR="00E45032">
        <w:t>‘</w:t>
      </w:r>
      <w:r w:rsidRPr="005D7E7C">
        <w:t>The Cross as Christ’s Weapon: The Influence of Heroic Literary Tradition on “The Dream of the Rood”</w:t>
      </w:r>
      <w:r w:rsidR="00E45032">
        <w:t>’</w:t>
      </w:r>
      <w:r w:rsidRPr="005D7E7C">
        <w:t xml:space="preserve">, </w:t>
      </w:r>
      <w:r w:rsidRPr="00E45032">
        <w:rPr>
          <w:i/>
          <w:iCs/>
        </w:rPr>
        <w:t>Anglo-Saxon England Vol. 2</w:t>
      </w:r>
      <w:r w:rsidRPr="005D7E7C">
        <w:t xml:space="preserve"> (1973),</w:t>
      </w:r>
      <w:r>
        <w:t xml:space="preserve"> </w:t>
      </w:r>
      <w:r w:rsidR="00E45032">
        <w:t xml:space="preserve">pp. </w:t>
      </w:r>
      <w:r w:rsidR="000401E3">
        <w:t xml:space="preserve">241-252, </w:t>
      </w:r>
      <w:r>
        <w:t>p.244</w:t>
      </w:r>
      <w:r w:rsidR="000401E3">
        <w:t>.</w:t>
      </w:r>
    </w:p>
  </w:footnote>
  <w:footnote w:id="31">
    <w:p w14:paraId="1AEC52DD" w14:textId="5763801C" w:rsidR="000E432A" w:rsidRDefault="000E432A">
      <w:pPr>
        <w:pStyle w:val="FootnoteText"/>
      </w:pPr>
      <w:r>
        <w:rPr>
          <w:rStyle w:val="FootnoteReference"/>
        </w:rPr>
        <w:footnoteRef/>
      </w:r>
      <w:r>
        <w:t xml:space="preserve"> </w:t>
      </w:r>
      <w:r w:rsidR="000401E3">
        <w:t xml:space="preserve">Anonymous, </w:t>
      </w:r>
      <w:r w:rsidR="000401E3" w:rsidRPr="000401E3">
        <w:rPr>
          <w:i/>
          <w:iCs/>
        </w:rPr>
        <w:t>Beowulf</w:t>
      </w:r>
      <w:r w:rsidRPr="000401E3">
        <w:rPr>
          <w:i/>
          <w:iCs/>
        </w:rPr>
        <w:t>,</w:t>
      </w:r>
      <w:r>
        <w:t xml:space="preserve"> </w:t>
      </w:r>
      <w:r w:rsidR="000401E3">
        <w:t xml:space="preserve">p. 107, </w:t>
      </w:r>
      <w:r>
        <w:t>lines 1525-1528</w:t>
      </w:r>
    </w:p>
  </w:footnote>
  <w:footnote w:id="32">
    <w:p w14:paraId="3AD8140F" w14:textId="1C42C03E" w:rsidR="000E432A" w:rsidRDefault="000E432A">
      <w:pPr>
        <w:pStyle w:val="FootnoteText"/>
      </w:pPr>
      <w:r>
        <w:rPr>
          <w:rStyle w:val="FootnoteReference"/>
        </w:rPr>
        <w:footnoteRef/>
      </w:r>
      <w:r>
        <w:t xml:space="preserve"> Halsall, G.,</w:t>
      </w:r>
      <w:r w:rsidRPr="00575E0B">
        <w:t xml:space="preserve"> </w:t>
      </w:r>
      <w:r w:rsidRPr="000401E3">
        <w:rPr>
          <w:i/>
          <w:iCs/>
        </w:rPr>
        <w:t>Warfare and Society in the Barbarian West, 450–900</w:t>
      </w:r>
      <w:r w:rsidRPr="00575E0B">
        <w:t xml:space="preserve">. </w:t>
      </w:r>
      <w:r>
        <w:t>(</w:t>
      </w:r>
      <w:r w:rsidRPr="00575E0B">
        <w:t>Routledge</w:t>
      </w:r>
      <w:r>
        <w:t>, 2003) p.163</w:t>
      </w:r>
    </w:p>
  </w:footnote>
  <w:footnote w:id="33">
    <w:p w14:paraId="14D5169A" w14:textId="734797B4" w:rsidR="000E432A" w:rsidRDefault="000E432A">
      <w:pPr>
        <w:pStyle w:val="FootnoteText"/>
      </w:pPr>
      <w:r>
        <w:rPr>
          <w:rStyle w:val="FootnoteReference"/>
        </w:rPr>
        <w:footnoteRef/>
      </w:r>
      <w:r>
        <w:t xml:space="preserve"> Hirst., S and Blair, I., “New Secrets from Prittlewell: Reconstructing a Burial Chamber Fit for a Prince”, </w:t>
      </w:r>
      <w:r w:rsidRPr="000401E3">
        <w:rPr>
          <w:i/>
          <w:iCs/>
        </w:rPr>
        <w:t>Current Archaeology</w:t>
      </w:r>
      <w:r>
        <w:t>, Issue 352, July 2019, p26-32, p30</w:t>
      </w:r>
    </w:p>
  </w:footnote>
  <w:footnote w:id="34">
    <w:p w14:paraId="623DE82F" w14:textId="50303DC6" w:rsidR="000E432A" w:rsidRDefault="000E432A">
      <w:pPr>
        <w:pStyle w:val="FootnoteText"/>
      </w:pPr>
      <w:r>
        <w:rPr>
          <w:rStyle w:val="FootnoteReference"/>
        </w:rPr>
        <w:footnoteRef/>
      </w:r>
      <w:r>
        <w:t xml:space="preserve"> Campbell, J and et al, “the First Christian Kings” in </w:t>
      </w:r>
      <w:r w:rsidRPr="000401E3">
        <w:rPr>
          <w:i/>
          <w:iCs/>
        </w:rPr>
        <w:t>The Anglo- Saxons</w:t>
      </w:r>
      <w:r>
        <w:t>, edited by J. Campbell, (Penguin, 1991), p55</w:t>
      </w:r>
    </w:p>
  </w:footnote>
  <w:footnote w:id="35">
    <w:p w14:paraId="4902945C" w14:textId="319C210B" w:rsidR="000E432A" w:rsidRDefault="000E432A">
      <w:pPr>
        <w:pStyle w:val="FootnoteText"/>
      </w:pPr>
      <w:r>
        <w:rPr>
          <w:rStyle w:val="FootnoteReference"/>
        </w:rPr>
        <w:footnoteRef/>
      </w:r>
      <w:r>
        <w:t xml:space="preserve"> </w:t>
      </w:r>
      <w:r w:rsidR="000401E3">
        <w:t xml:space="preserve">Anonymous, </w:t>
      </w:r>
      <w:r w:rsidRPr="000401E3">
        <w:rPr>
          <w:i/>
          <w:iCs/>
        </w:rPr>
        <w:t>Beowulf</w:t>
      </w:r>
      <w:r>
        <w:t>, p37, lines 39-40</w:t>
      </w:r>
    </w:p>
  </w:footnote>
  <w:footnote w:id="36">
    <w:p w14:paraId="36978B1C" w14:textId="05BC1CC2" w:rsidR="000E432A" w:rsidRDefault="000E432A">
      <w:pPr>
        <w:pStyle w:val="FootnoteText"/>
      </w:pPr>
      <w:r>
        <w:rPr>
          <w:rStyle w:val="FootnoteReference"/>
        </w:rPr>
        <w:footnoteRef/>
      </w:r>
      <w:r>
        <w:t xml:space="preserve"> Stratyner, </w:t>
      </w:r>
      <w:r w:rsidRPr="00994FAA">
        <w:t xml:space="preserve">L.A., </w:t>
      </w:r>
      <w:r w:rsidRPr="000401E3">
        <w:rPr>
          <w:i/>
          <w:iCs/>
        </w:rPr>
        <w:t>Forged Ties: the 'Comitatus' and Anglo -Saxon</w:t>
      </w:r>
      <w:r w:rsidRPr="00994FAA">
        <w:t>, PHD Thesis, (Louisiana State University and Agricultural &amp; Mechanical College, 1991)</w:t>
      </w:r>
      <w:r>
        <w:t xml:space="preserve"> p47</w:t>
      </w:r>
    </w:p>
  </w:footnote>
  <w:footnote w:id="37">
    <w:p w14:paraId="120AA744" w14:textId="12EBFBBB" w:rsidR="000E432A" w:rsidRDefault="000E432A">
      <w:pPr>
        <w:pStyle w:val="FootnoteText"/>
      </w:pPr>
      <w:r>
        <w:rPr>
          <w:rStyle w:val="FootnoteReference"/>
        </w:rPr>
        <w:footnoteRef/>
      </w:r>
      <w:r>
        <w:t xml:space="preserve"> </w:t>
      </w:r>
      <w:r w:rsidRPr="005D7E7C">
        <w:t xml:space="preserve">Robinson, F.C., </w:t>
      </w:r>
      <w:r w:rsidRPr="00FA0F3D">
        <w:rPr>
          <w:i/>
          <w:iCs/>
        </w:rPr>
        <w:t>God, Death and Loyalty in the Battle of Maldon</w:t>
      </w:r>
      <w:r w:rsidRPr="005D7E7C">
        <w:t xml:space="preserve">, </w:t>
      </w:r>
      <w:r>
        <w:t>p.432</w:t>
      </w:r>
    </w:p>
  </w:footnote>
  <w:footnote w:id="38">
    <w:p w14:paraId="468A6CD4" w14:textId="059A874B" w:rsidR="000E432A" w:rsidRDefault="000E432A">
      <w:pPr>
        <w:pStyle w:val="FootnoteText"/>
      </w:pPr>
      <w:r>
        <w:rPr>
          <w:rStyle w:val="FootnoteReference"/>
        </w:rPr>
        <w:footnoteRef/>
      </w:r>
      <w:r>
        <w:t xml:space="preserve"> </w:t>
      </w:r>
      <w:r w:rsidR="0044212B">
        <w:t>Aelfric</w:t>
      </w:r>
      <w:r>
        <w:t>,</w:t>
      </w:r>
      <w:r w:rsidR="0044212B">
        <w:t xml:space="preserve"> </w:t>
      </w:r>
      <w:r w:rsidR="0044212B" w:rsidRPr="0044212B">
        <w:rPr>
          <w:i/>
          <w:iCs/>
        </w:rPr>
        <w:t>Saint Oswald</w:t>
      </w:r>
      <w:r w:rsidR="0044212B">
        <w:t>,</w:t>
      </w:r>
      <w:r>
        <w:t xml:space="preserve"> p57-58, lines 173-180</w:t>
      </w:r>
    </w:p>
  </w:footnote>
  <w:footnote w:id="39">
    <w:p w14:paraId="16F1F63B" w14:textId="7832EB8B" w:rsidR="000E432A" w:rsidRDefault="000E432A">
      <w:pPr>
        <w:pStyle w:val="FootnoteText"/>
      </w:pPr>
      <w:r>
        <w:rPr>
          <w:rStyle w:val="FootnoteReference"/>
        </w:rPr>
        <w:footnoteRef/>
      </w:r>
      <w:r>
        <w:t xml:space="preserve"> </w:t>
      </w:r>
      <w:r w:rsidR="000401E3">
        <w:t>Baker</w:t>
      </w:r>
      <w:r>
        <w:t xml:space="preserve">, </w:t>
      </w:r>
      <w:r w:rsidR="000401E3">
        <w:t xml:space="preserve">‘Beowulf’s Last Triumph’, in </w:t>
      </w:r>
      <w:r w:rsidR="000401E3" w:rsidRPr="003B41F3">
        <w:rPr>
          <w:i/>
          <w:iCs/>
        </w:rPr>
        <w:t>Honour, Exchange and Violence</w:t>
      </w:r>
      <w:r w:rsidR="003B41F3">
        <w:rPr>
          <w:i/>
          <w:iCs/>
        </w:rPr>
        <w:t xml:space="preserve"> in Beowulf</w:t>
      </w:r>
      <w:r w:rsidR="000401E3">
        <w:t xml:space="preserve">, </w:t>
      </w:r>
      <w:r w:rsidR="003B41F3" w:rsidRPr="003B41F3">
        <w:t>(</w:t>
      </w:r>
      <w:r w:rsidR="00FA0F3D">
        <w:t>Boydell and Brewer</w:t>
      </w:r>
      <w:r w:rsidR="003B41F3" w:rsidRPr="003B41F3">
        <w:t>, 2013)</w:t>
      </w:r>
      <w:r w:rsidR="003B41F3">
        <w:t xml:space="preserve">, </w:t>
      </w:r>
      <w:r w:rsidR="000401E3">
        <w:t>pp, 200-239,</w:t>
      </w:r>
      <w:r w:rsidR="0044212B">
        <w:t xml:space="preserve"> </w:t>
      </w:r>
      <w:r>
        <w:t>p223</w:t>
      </w:r>
    </w:p>
  </w:footnote>
  <w:footnote w:id="40">
    <w:p w14:paraId="652533E8" w14:textId="4279A392" w:rsidR="000E432A" w:rsidRDefault="000E432A">
      <w:pPr>
        <w:pStyle w:val="FootnoteText"/>
      </w:pPr>
      <w:r>
        <w:rPr>
          <w:rStyle w:val="FootnoteReference"/>
        </w:rPr>
        <w:footnoteRef/>
      </w:r>
      <w:r>
        <w:t xml:space="preserve"> Anonymous, </w:t>
      </w:r>
      <w:r w:rsidRPr="003B41F3">
        <w:rPr>
          <w:i/>
          <w:iCs/>
        </w:rPr>
        <w:t>The Wanderer</w:t>
      </w:r>
      <w:r>
        <w:t>, p325,</w:t>
      </w:r>
      <w:r w:rsidR="003B41F3">
        <w:t xml:space="preserve"> lines</w:t>
      </w:r>
      <w:r>
        <w:t xml:space="preserve"> 106-110</w:t>
      </w:r>
    </w:p>
  </w:footnote>
  <w:footnote w:id="41">
    <w:p w14:paraId="320D3820" w14:textId="48F7E378" w:rsidR="00743C09" w:rsidRDefault="00743C09">
      <w:pPr>
        <w:pStyle w:val="FootnoteText"/>
      </w:pPr>
      <w:r>
        <w:rPr>
          <w:rStyle w:val="FootnoteReference"/>
        </w:rPr>
        <w:footnoteRef/>
      </w:r>
      <w:r>
        <w:t xml:space="preserve"> Aelfric, </w:t>
      </w:r>
      <w:r w:rsidR="003B41F3">
        <w:t>‘</w:t>
      </w:r>
      <w:r w:rsidR="00204997">
        <w:t xml:space="preserve">St. Oswald: King and Martyr’, in </w:t>
      </w:r>
      <w:r w:rsidRPr="003B41F3">
        <w:rPr>
          <w:i/>
          <w:iCs/>
        </w:rPr>
        <w:t>Lives of Saints</w:t>
      </w:r>
      <w:r>
        <w:t>, edited by W. W. Skeat, (Turner &amp; Co,</w:t>
      </w:r>
      <w:r w:rsidR="003B41F3">
        <w:t xml:space="preserve"> 1894</w:t>
      </w:r>
      <w:r>
        <w:t>), XX</w:t>
      </w:r>
      <w:r w:rsidR="00567D13">
        <w:t xml:space="preserve">VI, </w:t>
      </w:r>
      <w:r w:rsidR="00204997">
        <w:t>p</w:t>
      </w:r>
      <w:r w:rsidR="003B41F3">
        <w:t>.</w:t>
      </w:r>
      <w:r w:rsidR="00204997">
        <w:t>125, lines 1-2</w:t>
      </w:r>
    </w:p>
  </w:footnote>
  <w:footnote w:id="42">
    <w:p w14:paraId="3AA1F278" w14:textId="677D5A98" w:rsidR="000E432A" w:rsidRDefault="000E432A">
      <w:pPr>
        <w:pStyle w:val="FootnoteText"/>
      </w:pPr>
      <w:r>
        <w:rPr>
          <w:rStyle w:val="FootnoteReference"/>
        </w:rPr>
        <w:footnoteRef/>
      </w:r>
      <w:r>
        <w:t xml:space="preserve"> </w:t>
      </w:r>
      <w:r w:rsidRPr="007666DA">
        <w:t xml:space="preserve">Higham, N.J &amp; Ryan, M.J., </w:t>
      </w:r>
      <w:r w:rsidRPr="003B41F3">
        <w:rPr>
          <w:i/>
          <w:iCs/>
        </w:rPr>
        <w:t>The Anglo-Saxon World</w:t>
      </w:r>
      <w:r w:rsidRPr="007666DA">
        <w:t>, (Yale University Press, 2013)</w:t>
      </w:r>
      <w:r>
        <w:t>, p.171</w:t>
      </w:r>
    </w:p>
  </w:footnote>
  <w:footnote w:id="43">
    <w:p w14:paraId="1D9ADFC0" w14:textId="74784723" w:rsidR="00B420AA" w:rsidRDefault="00B420AA">
      <w:pPr>
        <w:pStyle w:val="FootnoteText"/>
      </w:pPr>
      <w:r>
        <w:rPr>
          <w:rStyle w:val="FootnoteReference"/>
        </w:rPr>
        <w:footnoteRef/>
      </w:r>
      <w:r>
        <w:t xml:space="preserve"> Bede, </w:t>
      </w:r>
      <w:r w:rsidRPr="00B92A70">
        <w:t xml:space="preserve">‘Life of St. Cuthbert’ in the </w:t>
      </w:r>
      <w:r w:rsidRPr="00B92A70">
        <w:rPr>
          <w:i/>
          <w:iCs/>
        </w:rPr>
        <w:t>Two Lives of St. Cuthbert</w:t>
      </w:r>
      <w:r w:rsidRPr="00B92A70">
        <w:t>, edited by B. Colgrave, (Cambridge University Press, 1985),</w:t>
      </w:r>
      <w:r>
        <w:t xml:space="preserve"> I, lines 3</w:t>
      </w:r>
    </w:p>
  </w:footnote>
  <w:footnote w:id="44">
    <w:p w14:paraId="0E1A9A01" w14:textId="460ED180" w:rsidR="00567D13" w:rsidRDefault="00567D13">
      <w:pPr>
        <w:pStyle w:val="FootnoteText"/>
      </w:pPr>
      <w:r>
        <w:rPr>
          <w:rStyle w:val="FootnoteReference"/>
        </w:rPr>
        <w:footnoteRef/>
      </w:r>
      <w:r>
        <w:t xml:space="preserve"> Bede, </w:t>
      </w:r>
      <w:r w:rsidR="00B92A70" w:rsidRPr="00B92A70">
        <w:rPr>
          <w:i/>
          <w:iCs/>
        </w:rPr>
        <w:t>L</w:t>
      </w:r>
      <w:r w:rsidRPr="00B92A70">
        <w:rPr>
          <w:i/>
          <w:iCs/>
        </w:rPr>
        <w:t>ife of St. Cuthbert</w:t>
      </w:r>
      <w:r w:rsidR="00B92A70">
        <w:t xml:space="preserve">, </w:t>
      </w:r>
      <w:r>
        <w:t>XVI, lines p.213</w:t>
      </w:r>
    </w:p>
  </w:footnote>
  <w:footnote w:id="45">
    <w:p w14:paraId="2C7BC884" w14:textId="3DF5E8AF" w:rsidR="0035162F" w:rsidRDefault="0035162F">
      <w:pPr>
        <w:pStyle w:val="FootnoteText"/>
      </w:pPr>
      <w:r>
        <w:rPr>
          <w:rStyle w:val="FootnoteReference"/>
        </w:rPr>
        <w:footnoteRef/>
      </w:r>
      <w:r>
        <w:t xml:space="preserve"> Bede, </w:t>
      </w:r>
      <w:r w:rsidRPr="0035162F">
        <w:rPr>
          <w:i/>
          <w:iCs/>
        </w:rPr>
        <w:t>Life of St Cuthbert</w:t>
      </w:r>
      <w:r>
        <w:t>, XLVI, p.305, lines 4</w:t>
      </w:r>
    </w:p>
  </w:footnote>
  <w:footnote w:id="46">
    <w:p w14:paraId="56227883" w14:textId="789A3934" w:rsidR="00567D13" w:rsidRDefault="00567D13">
      <w:pPr>
        <w:pStyle w:val="FootnoteText"/>
      </w:pPr>
      <w:r>
        <w:rPr>
          <w:rStyle w:val="FootnoteReference"/>
        </w:rPr>
        <w:footnoteRef/>
      </w:r>
      <w:r>
        <w:t xml:space="preserve"> Bede, </w:t>
      </w:r>
      <w:r w:rsidRPr="003B41F3">
        <w:rPr>
          <w:i/>
          <w:iCs/>
        </w:rPr>
        <w:t>Life of St. Cuthbert</w:t>
      </w:r>
      <w:r>
        <w:t>, XXV, p</w:t>
      </w:r>
      <w:r w:rsidR="00EB2E26">
        <w:t>239-40</w:t>
      </w:r>
    </w:p>
  </w:footnote>
  <w:footnote w:id="47">
    <w:p w14:paraId="062DFD68" w14:textId="51499FFA" w:rsidR="00EB2E26" w:rsidRDefault="00EB2E26">
      <w:pPr>
        <w:pStyle w:val="FootnoteText"/>
      </w:pPr>
      <w:r>
        <w:rPr>
          <w:rStyle w:val="FootnoteReference"/>
        </w:rPr>
        <w:footnoteRef/>
      </w:r>
      <w:r>
        <w:t xml:space="preserve"> Anonymous, </w:t>
      </w:r>
      <w:r w:rsidR="003B41F3">
        <w:t>‘</w:t>
      </w:r>
      <w:r>
        <w:t>Dream of the Rood</w:t>
      </w:r>
      <w:r w:rsidR="003B41F3">
        <w:t>’</w:t>
      </w:r>
      <w:r>
        <w:t xml:space="preserve">, </w:t>
      </w:r>
      <w:r w:rsidR="003B41F3">
        <w:t xml:space="preserve">in </w:t>
      </w:r>
      <w:r w:rsidR="003B41F3" w:rsidRPr="003B41F3">
        <w:rPr>
          <w:i/>
          <w:iCs/>
        </w:rPr>
        <w:t>The</w:t>
      </w:r>
      <w:r w:rsidR="003B41F3">
        <w:t xml:space="preserve"> </w:t>
      </w:r>
      <w:r w:rsidR="003B41F3" w:rsidRPr="003B41F3">
        <w:rPr>
          <w:i/>
          <w:iCs/>
        </w:rPr>
        <w:t>Anglo-Saxon World</w:t>
      </w:r>
      <w:r w:rsidR="003B41F3">
        <w:t xml:space="preserve">, </w:t>
      </w:r>
      <w:r>
        <w:t>translated by K. Crossley-Holland, (Oxford, 2009), p.201, lines 42-4</w:t>
      </w:r>
      <w:r w:rsidR="00F21745">
        <w:t>3</w:t>
      </w:r>
    </w:p>
  </w:footnote>
  <w:footnote w:id="48">
    <w:p w14:paraId="54D65ADC" w14:textId="1D7D1032" w:rsidR="00F21745" w:rsidRDefault="00F21745">
      <w:pPr>
        <w:pStyle w:val="FootnoteText"/>
      </w:pPr>
      <w:r>
        <w:rPr>
          <w:rStyle w:val="FootnoteReference"/>
        </w:rPr>
        <w:footnoteRef/>
      </w:r>
      <w:r>
        <w:t xml:space="preserve"> Aelfric, </w:t>
      </w:r>
      <w:r w:rsidR="003B41F3" w:rsidRPr="003B41F3">
        <w:rPr>
          <w:i/>
          <w:iCs/>
        </w:rPr>
        <w:t>St Oswald</w:t>
      </w:r>
      <w:r w:rsidR="003B41F3">
        <w:rPr>
          <w:i/>
          <w:iCs/>
        </w:rPr>
        <w:t>:</w:t>
      </w:r>
      <w:r w:rsidR="003B41F3" w:rsidRPr="003B41F3">
        <w:rPr>
          <w:i/>
          <w:iCs/>
        </w:rPr>
        <w:t xml:space="preserve"> King and Martyr</w:t>
      </w:r>
      <w:r>
        <w:t xml:space="preserve">, </w:t>
      </w:r>
      <w:r w:rsidR="00204997">
        <w:t xml:space="preserve">p.127, </w:t>
      </w:r>
      <w:r>
        <w:t>lines 1</w:t>
      </w:r>
      <w:r w:rsidR="00204997">
        <w:t>7-18</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2D50757" w14:textId="4272C759" w:rsidR="006601B4" w:rsidRPr="00E472CA" w:rsidRDefault="006601B4">
    <w:pPr>
      <w:pStyle w:val="Header"/>
      <w:rPr>
        <w:rFonts w:asciiTheme="minorHAnsi" w:hAnsiTheme="minorHAnsi" w:cstheme="minorHAnsi"/>
      </w:rPr>
    </w:pPr>
    <w:r w:rsidRPr="00E472CA">
      <w:rPr>
        <w:rFonts w:asciiTheme="minorHAnsi" w:hAnsiTheme="minorHAnsi" w:cstheme="minorHAnsi"/>
      </w:rPr>
      <w:t>Student Code: 1704037</w:t>
    </w:r>
  </w:p>
  <w:p w14:paraId="48567627" w14:textId="6D5AC98C" w:rsidR="006601B4" w:rsidRPr="00E472CA" w:rsidRDefault="006601B4">
    <w:pPr>
      <w:pStyle w:val="Header"/>
      <w:rPr>
        <w:rFonts w:asciiTheme="minorHAnsi" w:hAnsiTheme="minorHAnsi" w:cstheme="minorHAnsi"/>
      </w:rPr>
    </w:pPr>
    <w:r w:rsidRPr="00E472CA">
      <w:rPr>
        <w:rFonts w:asciiTheme="minorHAnsi" w:hAnsiTheme="minorHAnsi" w:cstheme="minorHAnsi"/>
      </w:rPr>
      <w:t>Module Code: CSEN7028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20D6C1B"/>
    <w:multiLevelType w:val="hybridMultilevel"/>
    <w:tmpl w:val="2AF8D06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2495603"/>
    <w:multiLevelType w:val="hybridMultilevel"/>
    <w:tmpl w:val="E842C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8D2346"/>
    <w:multiLevelType w:val="hybridMultilevel"/>
    <w:tmpl w:val="31B41100"/>
    <w:lvl w:ilvl="0" w:tplc="04090001">
      <w:start w:val="1"/>
      <w:numFmt w:val="bullet"/>
      <w:lvlText w:val=""/>
      <w:lvlJc w:val="left"/>
      <w:pPr>
        <w:tabs>
          <w:tab w:val="num" w:pos="1080"/>
        </w:tabs>
        <w:ind w:left="1080" w:hanging="360"/>
      </w:pPr>
      <w:rPr>
        <w:rFonts w:ascii="Symbol" w:hAnsi="Symbol" w:hint="default"/>
      </w:rPr>
    </w:lvl>
    <w:lvl w:ilvl="1" w:tplc="04090001">
      <w:start w:val="1"/>
      <w:numFmt w:val="bullet"/>
      <w:lvlText w:val=""/>
      <w:lvlJc w:val="left"/>
      <w:pPr>
        <w:tabs>
          <w:tab w:val="num" w:pos="1800"/>
        </w:tabs>
        <w:ind w:left="1800" w:hanging="360"/>
      </w:pPr>
      <w:rPr>
        <w:rFonts w:ascii="Symbol" w:hAnsi="Symbol" w:hint="default"/>
      </w:r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4" w15:restartNumberingAfterBreak="0">
    <w:nsid w:val="1A893302"/>
    <w:multiLevelType w:val="hybridMultilevel"/>
    <w:tmpl w:val="1464C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E8119E"/>
    <w:multiLevelType w:val="hybridMultilevel"/>
    <w:tmpl w:val="2F4A88A0"/>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6" w15:restartNumberingAfterBreak="0">
    <w:nsid w:val="2C4D4F0F"/>
    <w:multiLevelType w:val="hybridMultilevel"/>
    <w:tmpl w:val="799262E0"/>
    <w:lvl w:ilvl="0" w:tplc="08090013">
      <w:start w:val="1"/>
      <w:numFmt w:val="upperRoman"/>
      <w:lvlText w:val="%1."/>
      <w:lvlJc w:val="right"/>
      <w:pPr>
        <w:ind w:left="540" w:hanging="360"/>
      </w:p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7" w15:restartNumberingAfterBreak="0">
    <w:nsid w:val="31900F40"/>
    <w:multiLevelType w:val="hybridMultilevel"/>
    <w:tmpl w:val="902A269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76313C9"/>
    <w:multiLevelType w:val="hybridMultilevel"/>
    <w:tmpl w:val="6CBA7B9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9" w15:restartNumberingAfterBreak="0">
    <w:nsid w:val="3B5149EF"/>
    <w:multiLevelType w:val="hybridMultilevel"/>
    <w:tmpl w:val="173E0136"/>
    <w:lvl w:ilvl="0" w:tplc="1A32473C">
      <w:start w:val="1"/>
      <w:numFmt w:val="lowerRoman"/>
      <w:lvlText w:val="(%1)"/>
      <w:lvlJc w:val="left"/>
      <w:pPr>
        <w:ind w:left="540" w:hanging="720"/>
      </w:pPr>
      <w:rPr>
        <w:rFonts w:hint="default"/>
        <w:sz w:val="20"/>
      </w:rPr>
    </w:lvl>
    <w:lvl w:ilvl="1" w:tplc="08090019">
      <w:start w:val="1"/>
      <w:numFmt w:val="lowerLetter"/>
      <w:lvlText w:val="%2."/>
      <w:lvlJc w:val="left"/>
      <w:pPr>
        <w:ind w:left="900" w:hanging="360"/>
      </w:pPr>
    </w:lvl>
    <w:lvl w:ilvl="2" w:tplc="0809001B" w:tentative="1">
      <w:start w:val="1"/>
      <w:numFmt w:val="lowerRoman"/>
      <w:lvlText w:val="%3."/>
      <w:lvlJc w:val="right"/>
      <w:pPr>
        <w:ind w:left="1620" w:hanging="180"/>
      </w:pPr>
    </w:lvl>
    <w:lvl w:ilvl="3" w:tplc="0809000F" w:tentative="1">
      <w:start w:val="1"/>
      <w:numFmt w:val="decimal"/>
      <w:lvlText w:val="%4."/>
      <w:lvlJc w:val="left"/>
      <w:pPr>
        <w:ind w:left="2340" w:hanging="360"/>
      </w:pPr>
    </w:lvl>
    <w:lvl w:ilvl="4" w:tplc="08090019" w:tentative="1">
      <w:start w:val="1"/>
      <w:numFmt w:val="lowerLetter"/>
      <w:lvlText w:val="%5."/>
      <w:lvlJc w:val="left"/>
      <w:pPr>
        <w:ind w:left="3060" w:hanging="360"/>
      </w:pPr>
    </w:lvl>
    <w:lvl w:ilvl="5" w:tplc="0809001B" w:tentative="1">
      <w:start w:val="1"/>
      <w:numFmt w:val="lowerRoman"/>
      <w:lvlText w:val="%6."/>
      <w:lvlJc w:val="right"/>
      <w:pPr>
        <w:ind w:left="3780" w:hanging="180"/>
      </w:pPr>
    </w:lvl>
    <w:lvl w:ilvl="6" w:tplc="0809000F" w:tentative="1">
      <w:start w:val="1"/>
      <w:numFmt w:val="decimal"/>
      <w:lvlText w:val="%7."/>
      <w:lvlJc w:val="left"/>
      <w:pPr>
        <w:ind w:left="4500" w:hanging="360"/>
      </w:pPr>
    </w:lvl>
    <w:lvl w:ilvl="7" w:tplc="08090019" w:tentative="1">
      <w:start w:val="1"/>
      <w:numFmt w:val="lowerLetter"/>
      <w:lvlText w:val="%8."/>
      <w:lvlJc w:val="left"/>
      <w:pPr>
        <w:ind w:left="5220" w:hanging="360"/>
      </w:pPr>
    </w:lvl>
    <w:lvl w:ilvl="8" w:tplc="0809001B" w:tentative="1">
      <w:start w:val="1"/>
      <w:numFmt w:val="lowerRoman"/>
      <w:lvlText w:val="%9."/>
      <w:lvlJc w:val="right"/>
      <w:pPr>
        <w:ind w:left="5940" w:hanging="180"/>
      </w:pPr>
    </w:lvl>
  </w:abstractNum>
  <w:abstractNum w:abstractNumId="10" w15:restartNumberingAfterBreak="0">
    <w:nsid w:val="3D411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1" w15:restartNumberingAfterBreak="0">
    <w:nsid w:val="45894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2" w15:restartNumberingAfterBreak="0">
    <w:nsid w:val="46F02AE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3" w15:restartNumberingAfterBreak="0">
    <w:nsid w:val="4AC93B2A"/>
    <w:multiLevelType w:val="hybridMultilevel"/>
    <w:tmpl w:val="726E5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6A4107C"/>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5" w15:restartNumberingAfterBreak="0">
    <w:nsid w:val="580D3A84"/>
    <w:multiLevelType w:val="hybridMultilevel"/>
    <w:tmpl w:val="1BA6272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59A979B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7" w15:restartNumberingAfterBreak="0">
    <w:nsid w:val="5CCB20C1"/>
    <w:multiLevelType w:val="hybridMultilevel"/>
    <w:tmpl w:val="99225DD2"/>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18" w15:restartNumberingAfterBreak="0">
    <w:nsid w:val="65B7720D"/>
    <w:multiLevelType w:val="hybridMultilevel"/>
    <w:tmpl w:val="5C664BAC"/>
    <w:lvl w:ilvl="0" w:tplc="1DA80576">
      <w:start w:val="1"/>
      <w:numFmt w:val="bullet"/>
      <w:lvlText w:val="*"/>
      <w:lvlJc w:val="left"/>
      <w:pPr>
        <w:tabs>
          <w:tab w:val="num" w:pos="540"/>
        </w:tabs>
        <w:ind w:left="540" w:hanging="360"/>
      </w:pPr>
      <w:rPr>
        <w:rFonts w:ascii="Albertus" w:hAnsi="Albertu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66DD7A72"/>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20" w15:restartNumberingAfterBreak="0">
    <w:nsid w:val="6A54753F"/>
    <w:multiLevelType w:val="hybridMultilevel"/>
    <w:tmpl w:val="8A1266FA"/>
    <w:lvl w:ilvl="0" w:tplc="04090001">
      <w:start w:val="1"/>
      <w:numFmt w:val="bullet"/>
      <w:lvlText w:val=""/>
      <w:lvlJc w:val="left"/>
      <w:pPr>
        <w:tabs>
          <w:tab w:val="num" w:pos="540"/>
        </w:tabs>
        <w:ind w:left="540" w:hanging="360"/>
      </w:pPr>
      <w:rPr>
        <w:rFonts w:ascii="Symbol" w:hAnsi="Symbol" w:hint="default"/>
      </w:rPr>
    </w:lvl>
    <w:lvl w:ilvl="1" w:tplc="04090003">
      <w:start w:val="1"/>
      <w:numFmt w:val="bullet"/>
      <w:lvlText w:val="o"/>
      <w:lvlJc w:val="left"/>
      <w:pPr>
        <w:tabs>
          <w:tab w:val="num" w:pos="1260"/>
        </w:tabs>
        <w:ind w:left="1260" w:hanging="360"/>
      </w:pPr>
      <w:rPr>
        <w:rFonts w:ascii="Courier New" w:hAnsi="Courier New" w:cs="Courier New" w:hint="default"/>
      </w:rPr>
    </w:lvl>
    <w:lvl w:ilvl="2" w:tplc="04090005" w:tentative="1">
      <w:start w:val="1"/>
      <w:numFmt w:val="bullet"/>
      <w:lvlText w:val=""/>
      <w:lvlJc w:val="left"/>
      <w:pPr>
        <w:tabs>
          <w:tab w:val="num" w:pos="1980"/>
        </w:tabs>
        <w:ind w:left="1980" w:hanging="360"/>
      </w:pPr>
      <w:rPr>
        <w:rFonts w:ascii="Wingdings" w:hAnsi="Wingdings" w:hint="default"/>
      </w:rPr>
    </w:lvl>
    <w:lvl w:ilvl="3" w:tplc="04090001" w:tentative="1">
      <w:start w:val="1"/>
      <w:numFmt w:val="bullet"/>
      <w:lvlText w:val=""/>
      <w:lvlJc w:val="left"/>
      <w:pPr>
        <w:tabs>
          <w:tab w:val="num" w:pos="2700"/>
        </w:tabs>
        <w:ind w:left="2700" w:hanging="360"/>
      </w:pPr>
      <w:rPr>
        <w:rFonts w:ascii="Symbol" w:hAnsi="Symbol" w:hint="default"/>
      </w:rPr>
    </w:lvl>
    <w:lvl w:ilvl="4" w:tplc="04090003" w:tentative="1">
      <w:start w:val="1"/>
      <w:numFmt w:val="bullet"/>
      <w:lvlText w:val="o"/>
      <w:lvlJc w:val="left"/>
      <w:pPr>
        <w:tabs>
          <w:tab w:val="num" w:pos="3420"/>
        </w:tabs>
        <w:ind w:left="3420" w:hanging="360"/>
      </w:pPr>
      <w:rPr>
        <w:rFonts w:ascii="Courier New" w:hAnsi="Courier New" w:cs="Courier New" w:hint="default"/>
      </w:rPr>
    </w:lvl>
    <w:lvl w:ilvl="5" w:tplc="04090005" w:tentative="1">
      <w:start w:val="1"/>
      <w:numFmt w:val="bullet"/>
      <w:lvlText w:val=""/>
      <w:lvlJc w:val="left"/>
      <w:pPr>
        <w:tabs>
          <w:tab w:val="num" w:pos="4140"/>
        </w:tabs>
        <w:ind w:left="4140" w:hanging="360"/>
      </w:pPr>
      <w:rPr>
        <w:rFonts w:ascii="Wingdings" w:hAnsi="Wingdings" w:hint="default"/>
      </w:rPr>
    </w:lvl>
    <w:lvl w:ilvl="6" w:tplc="04090001" w:tentative="1">
      <w:start w:val="1"/>
      <w:numFmt w:val="bullet"/>
      <w:lvlText w:val=""/>
      <w:lvlJc w:val="left"/>
      <w:pPr>
        <w:tabs>
          <w:tab w:val="num" w:pos="4860"/>
        </w:tabs>
        <w:ind w:left="4860" w:hanging="360"/>
      </w:pPr>
      <w:rPr>
        <w:rFonts w:ascii="Symbol" w:hAnsi="Symbol" w:hint="default"/>
      </w:rPr>
    </w:lvl>
    <w:lvl w:ilvl="7" w:tplc="04090003" w:tentative="1">
      <w:start w:val="1"/>
      <w:numFmt w:val="bullet"/>
      <w:lvlText w:val="o"/>
      <w:lvlJc w:val="left"/>
      <w:pPr>
        <w:tabs>
          <w:tab w:val="num" w:pos="5580"/>
        </w:tabs>
        <w:ind w:left="5580" w:hanging="360"/>
      </w:pPr>
      <w:rPr>
        <w:rFonts w:ascii="Courier New" w:hAnsi="Courier New" w:cs="Courier New" w:hint="default"/>
      </w:rPr>
    </w:lvl>
    <w:lvl w:ilvl="8" w:tplc="04090005" w:tentative="1">
      <w:start w:val="1"/>
      <w:numFmt w:val="bullet"/>
      <w:lvlText w:val=""/>
      <w:lvlJc w:val="left"/>
      <w:pPr>
        <w:tabs>
          <w:tab w:val="num" w:pos="6300"/>
        </w:tabs>
        <w:ind w:left="6300" w:hanging="360"/>
      </w:pPr>
      <w:rPr>
        <w:rFonts w:ascii="Wingdings" w:hAnsi="Wingdings" w:hint="default"/>
      </w:rPr>
    </w:lvl>
  </w:abstractNum>
  <w:abstractNum w:abstractNumId="21" w15:restartNumberingAfterBreak="0">
    <w:nsid w:val="74791E22"/>
    <w:multiLevelType w:val="hybridMultilevel"/>
    <w:tmpl w:val="7BC0D8AE"/>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22" w15:restartNumberingAfterBreak="0">
    <w:nsid w:val="75690EF0"/>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3" w15:restartNumberingAfterBreak="0">
    <w:nsid w:val="7E665C95"/>
    <w:multiLevelType w:val="hybridMultilevel"/>
    <w:tmpl w:val="2276781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8"/>
  </w:num>
  <w:num w:numId="2">
    <w:abstractNumId w:val="20"/>
  </w:num>
  <w:num w:numId="3">
    <w:abstractNumId w:val="9"/>
  </w:num>
  <w:num w:numId="4">
    <w:abstractNumId w:val="6"/>
  </w:num>
  <w:num w:numId="5">
    <w:abstractNumId w:val="2"/>
  </w:num>
  <w:num w:numId="6">
    <w:abstractNumId w:val="4"/>
  </w:num>
  <w:num w:numId="7">
    <w:abstractNumId w:val="13"/>
  </w:num>
  <w:num w:numId="8">
    <w:abstractNumId w:val="21"/>
  </w:num>
  <w:num w:numId="9">
    <w:abstractNumId w:val="23"/>
  </w:num>
  <w:num w:numId="10">
    <w:abstractNumId w:val="5"/>
  </w:num>
  <w:num w:numId="11">
    <w:abstractNumId w:val="19"/>
  </w:num>
  <w:num w:numId="12">
    <w:abstractNumId w:val="22"/>
  </w:num>
  <w:num w:numId="13">
    <w:abstractNumId w:val="11"/>
  </w:num>
  <w:num w:numId="14">
    <w:abstractNumId w:val="14"/>
  </w:num>
  <w:num w:numId="15">
    <w:abstractNumId w:val="16"/>
  </w:num>
  <w:num w:numId="16">
    <w:abstractNumId w:val="0"/>
    <w:lvlOverride w:ilvl="0">
      <w:lvl w:ilvl="0">
        <w:numFmt w:val="bullet"/>
        <w:lvlText w:val=""/>
        <w:legacy w:legacy="1" w:legacySpace="0" w:legacyIndent="360"/>
        <w:lvlJc w:val="left"/>
        <w:pPr>
          <w:ind w:left="720" w:hanging="360"/>
        </w:pPr>
        <w:rPr>
          <w:rFonts w:ascii="Symbol" w:hAnsi="Symbol" w:hint="default"/>
        </w:rPr>
      </w:lvl>
    </w:lvlOverride>
  </w:num>
  <w:num w:numId="17">
    <w:abstractNumId w:val="10"/>
  </w:num>
  <w:num w:numId="18">
    <w:abstractNumId w:val="0"/>
    <w:lvlOverride w:ilvl="0">
      <w:lvl w:ilvl="0">
        <w:numFmt w:val="bullet"/>
        <w:lvlText w:val=""/>
        <w:legacy w:legacy="1" w:legacySpace="0" w:legacyIndent="360"/>
        <w:lvlJc w:val="left"/>
        <w:pPr>
          <w:ind w:left="720" w:hanging="360"/>
        </w:pPr>
        <w:rPr>
          <w:rFonts w:ascii="Symbol" w:hAnsi="Symbol" w:hint="default"/>
        </w:rPr>
      </w:lvl>
    </w:lvlOverride>
  </w:num>
  <w:num w:numId="19">
    <w:abstractNumId w:val="12"/>
  </w:num>
  <w:num w:numId="20">
    <w:abstractNumId w:val="17"/>
  </w:num>
  <w:num w:numId="21">
    <w:abstractNumId w:val="3"/>
  </w:num>
  <w:num w:numId="22">
    <w:abstractNumId w:val="7"/>
  </w:num>
  <w:num w:numId="23">
    <w:abstractNumId w:val="15"/>
  </w:num>
  <w:num w:numId="24">
    <w:abstractNumId w:val="8"/>
  </w:num>
  <w:num w:numId="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18433"/>
  </w:hdrShapeDefault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185F"/>
    <w:rsid w:val="00001C3B"/>
    <w:rsid w:val="00013545"/>
    <w:rsid w:val="00022345"/>
    <w:rsid w:val="000246E0"/>
    <w:rsid w:val="00026363"/>
    <w:rsid w:val="000275E2"/>
    <w:rsid w:val="000401E3"/>
    <w:rsid w:val="00043549"/>
    <w:rsid w:val="00046A16"/>
    <w:rsid w:val="00047074"/>
    <w:rsid w:val="00071DA4"/>
    <w:rsid w:val="00076A0B"/>
    <w:rsid w:val="000854DF"/>
    <w:rsid w:val="0009611B"/>
    <w:rsid w:val="000A6D49"/>
    <w:rsid w:val="000E3682"/>
    <w:rsid w:val="000E3751"/>
    <w:rsid w:val="000E432A"/>
    <w:rsid w:val="000E6A3A"/>
    <w:rsid w:val="0010199D"/>
    <w:rsid w:val="001070F2"/>
    <w:rsid w:val="00111283"/>
    <w:rsid w:val="0011161A"/>
    <w:rsid w:val="00116E97"/>
    <w:rsid w:val="00165047"/>
    <w:rsid w:val="00172497"/>
    <w:rsid w:val="001B3963"/>
    <w:rsid w:val="001B501C"/>
    <w:rsid w:val="001C0B52"/>
    <w:rsid w:val="001C4B2D"/>
    <w:rsid w:val="001E0E06"/>
    <w:rsid w:val="001F4CE1"/>
    <w:rsid w:val="00204997"/>
    <w:rsid w:val="002132DC"/>
    <w:rsid w:val="00216211"/>
    <w:rsid w:val="00222984"/>
    <w:rsid w:val="0022446F"/>
    <w:rsid w:val="00224B95"/>
    <w:rsid w:val="00230F35"/>
    <w:rsid w:val="00234B37"/>
    <w:rsid w:val="0025530E"/>
    <w:rsid w:val="002715FA"/>
    <w:rsid w:val="00276002"/>
    <w:rsid w:val="00277421"/>
    <w:rsid w:val="00277A36"/>
    <w:rsid w:val="00290783"/>
    <w:rsid w:val="002A4954"/>
    <w:rsid w:val="002C1630"/>
    <w:rsid w:val="002C55E9"/>
    <w:rsid w:val="002D2A04"/>
    <w:rsid w:val="002D2D38"/>
    <w:rsid w:val="002D5D31"/>
    <w:rsid w:val="002E2BA0"/>
    <w:rsid w:val="002E67CE"/>
    <w:rsid w:val="002F0424"/>
    <w:rsid w:val="002F1475"/>
    <w:rsid w:val="002F467C"/>
    <w:rsid w:val="00305185"/>
    <w:rsid w:val="00307B22"/>
    <w:rsid w:val="00326631"/>
    <w:rsid w:val="00331B2D"/>
    <w:rsid w:val="00337A70"/>
    <w:rsid w:val="00341D2F"/>
    <w:rsid w:val="0035162F"/>
    <w:rsid w:val="00351F4B"/>
    <w:rsid w:val="0038342D"/>
    <w:rsid w:val="003B41F3"/>
    <w:rsid w:val="003B78E7"/>
    <w:rsid w:val="003C3F4F"/>
    <w:rsid w:val="003C7F6F"/>
    <w:rsid w:val="003D6255"/>
    <w:rsid w:val="003E08F3"/>
    <w:rsid w:val="003F0AD2"/>
    <w:rsid w:val="003F737B"/>
    <w:rsid w:val="0040732D"/>
    <w:rsid w:val="004250DD"/>
    <w:rsid w:val="0043758C"/>
    <w:rsid w:val="0044129B"/>
    <w:rsid w:val="0044212B"/>
    <w:rsid w:val="00447497"/>
    <w:rsid w:val="00460A5C"/>
    <w:rsid w:val="004627BA"/>
    <w:rsid w:val="004724D6"/>
    <w:rsid w:val="00475C78"/>
    <w:rsid w:val="00497F67"/>
    <w:rsid w:val="004A024B"/>
    <w:rsid w:val="004B0820"/>
    <w:rsid w:val="004B73BA"/>
    <w:rsid w:val="004C79CE"/>
    <w:rsid w:val="005144F8"/>
    <w:rsid w:val="00521E0F"/>
    <w:rsid w:val="0052590E"/>
    <w:rsid w:val="00531109"/>
    <w:rsid w:val="00537B4C"/>
    <w:rsid w:val="005429EF"/>
    <w:rsid w:val="00543326"/>
    <w:rsid w:val="005627D4"/>
    <w:rsid w:val="00567D13"/>
    <w:rsid w:val="00575E0B"/>
    <w:rsid w:val="0058726A"/>
    <w:rsid w:val="00590E9A"/>
    <w:rsid w:val="005942E9"/>
    <w:rsid w:val="005A3195"/>
    <w:rsid w:val="005C6560"/>
    <w:rsid w:val="005D7E7C"/>
    <w:rsid w:val="00610318"/>
    <w:rsid w:val="00632937"/>
    <w:rsid w:val="0064350C"/>
    <w:rsid w:val="0065654E"/>
    <w:rsid w:val="006601B4"/>
    <w:rsid w:val="00662A40"/>
    <w:rsid w:val="00675835"/>
    <w:rsid w:val="00677B74"/>
    <w:rsid w:val="006805EC"/>
    <w:rsid w:val="00691819"/>
    <w:rsid w:val="00693C4D"/>
    <w:rsid w:val="006A205D"/>
    <w:rsid w:val="006A65E9"/>
    <w:rsid w:val="006C0A3A"/>
    <w:rsid w:val="006C5E96"/>
    <w:rsid w:val="006E4F24"/>
    <w:rsid w:val="00743C09"/>
    <w:rsid w:val="00751BE2"/>
    <w:rsid w:val="00762134"/>
    <w:rsid w:val="00765417"/>
    <w:rsid w:val="007666DA"/>
    <w:rsid w:val="00770733"/>
    <w:rsid w:val="00773D0E"/>
    <w:rsid w:val="00790E2F"/>
    <w:rsid w:val="007B204E"/>
    <w:rsid w:val="007B721A"/>
    <w:rsid w:val="007C098A"/>
    <w:rsid w:val="007C6F33"/>
    <w:rsid w:val="007D7715"/>
    <w:rsid w:val="0081298A"/>
    <w:rsid w:val="00823895"/>
    <w:rsid w:val="00826297"/>
    <w:rsid w:val="0083442E"/>
    <w:rsid w:val="00840B95"/>
    <w:rsid w:val="0084272E"/>
    <w:rsid w:val="00843DE9"/>
    <w:rsid w:val="008564B9"/>
    <w:rsid w:val="00860711"/>
    <w:rsid w:val="0089447F"/>
    <w:rsid w:val="008A4DCC"/>
    <w:rsid w:val="008B3A97"/>
    <w:rsid w:val="008D03F0"/>
    <w:rsid w:val="008D3FCF"/>
    <w:rsid w:val="008D674F"/>
    <w:rsid w:val="008E1343"/>
    <w:rsid w:val="008E525C"/>
    <w:rsid w:val="00901157"/>
    <w:rsid w:val="00905EE4"/>
    <w:rsid w:val="00914769"/>
    <w:rsid w:val="009449E1"/>
    <w:rsid w:val="00973B44"/>
    <w:rsid w:val="009801D3"/>
    <w:rsid w:val="00994FAA"/>
    <w:rsid w:val="009A3D0A"/>
    <w:rsid w:val="009B2D10"/>
    <w:rsid w:val="009C01A3"/>
    <w:rsid w:val="009C1A08"/>
    <w:rsid w:val="009C396A"/>
    <w:rsid w:val="009E76BD"/>
    <w:rsid w:val="009F2623"/>
    <w:rsid w:val="00A02C62"/>
    <w:rsid w:val="00A06B94"/>
    <w:rsid w:val="00A2073F"/>
    <w:rsid w:val="00A24274"/>
    <w:rsid w:val="00A303FE"/>
    <w:rsid w:val="00A41032"/>
    <w:rsid w:val="00A41AF9"/>
    <w:rsid w:val="00A507E4"/>
    <w:rsid w:val="00A55D26"/>
    <w:rsid w:val="00A62E68"/>
    <w:rsid w:val="00A6505E"/>
    <w:rsid w:val="00A745B6"/>
    <w:rsid w:val="00A972E4"/>
    <w:rsid w:val="00A9744A"/>
    <w:rsid w:val="00AC36E3"/>
    <w:rsid w:val="00AC6213"/>
    <w:rsid w:val="00AD0075"/>
    <w:rsid w:val="00AD5D5A"/>
    <w:rsid w:val="00AE3217"/>
    <w:rsid w:val="00B11E29"/>
    <w:rsid w:val="00B34964"/>
    <w:rsid w:val="00B36F4A"/>
    <w:rsid w:val="00B420AA"/>
    <w:rsid w:val="00B42501"/>
    <w:rsid w:val="00B45FEF"/>
    <w:rsid w:val="00B462B1"/>
    <w:rsid w:val="00B462EF"/>
    <w:rsid w:val="00B56E7B"/>
    <w:rsid w:val="00B72F46"/>
    <w:rsid w:val="00B81E5D"/>
    <w:rsid w:val="00B92A70"/>
    <w:rsid w:val="00B96983"/>
    <w:rsid w:val="00B9724B"/>
    <w:rsid w:val="00BC17F1"/>
    <w:rsid w:val="00BD558C"/>
    <w:rsid w:val="00BE7B7A"/>
    <w:rsid w:val="00BF22DC"/>
    <w:rsid w:val="00BF3D29"/>
    <w:rsid w:val="00BF6291"/>
    <w:rsid w:val="00C026EA"/>
    <w:rsid w:val="00C049F2"/>
    <w:rsid w:val="00C129C7"/>
    <w:rsid w:val="00C22A88"/>
    <w:rsid w:val="00C37A63"/>
    <w:rsid w:val="00C46B7A"/>
    <w:rsid w:val="00C61348"/>
    <w:rsid w:val="00C65E7F"/>
    <w:rsid w:val="00C93CD4"/>
    <w:rsid w:val="00CB5E37"/>
    <w:rsid w:val="00CC52A3"/>
    <w:rsid w:val="00CE3B79"/>
    <w:rsid w:val="00D0754F"/>
    <w:rsid w:val="00D328AB"/>
    <w:rsid w:val="00D429CC"/>
    <w:rsid w:val="00D459DC"/>
    <w:rsid w:val="00D5466C"/>
    <w:rsid w:val="00D56EFA"/>
    <w:rsid w:val="00D67BF8"/>
    <w:rsid w:val="00D86749"/>
    <w:rsid w:val="00DA3217"/>
    <w:rsid w:val="00DA3E0F"/>
    <w:rsid w:val="00DB185F"/>
    <w:rsid w:val="00DB43BB"/>
    <w:rsid w:val="00DD363B"/>
    <w:rsid w:val="00DD54A7"/>
    <w:rsid w:val="00DE41B8"/>
    <w:rsid w:val="00DE54B1"/>
    <w:rsid w:val="00E375DD"/>
    <w:rsid w:val="00E3766D"/>
    <w:rsid w:val="00E4445A"/>
    <w:rsid w:val="00E45032"/>
    <w:rsid w:val="00E472CA"/>
    <w:rsid w:val="00E502BA"/>
    <w:rsid w:val="00E57529"/>
    <w:rsid w:val="00E67719"/>
    <w:rsid w:val="00E84F5D"/>
    <w:rsid w:val="00EB2E26"/>
    <w:rsid w:val="00EC7546"/>
    <w:rsid w:val="00ED0311"/>
    <w:rsid w:val="00EF453D"/>
    <w:rsid w:val="00F13E28"/>
    <w:rsid w:val="00F1661E"/>
    <w:rsid w:val="00F21745"/>
    <w:rsid w:val="00F2453C"/>
    <w:rsid w:val="00F346BE"/>
    <w:rsid w:val="00F73533"/>
    <w:rsid w:val="00F75EB5"/>
    <w:rsid w:val="00F973DC"/>
    <w:rsid w:val="00FA07E9"/>
    <w:rsid w:val="00FA0F3D"/>
    <w:rsid w:val="00FA2A4C"/>
    <w:rsid w:val="00FF1125"/>
    <w:rsid w:val="00FF5097"/>
    <w:rsid w:val="3737E55B"/>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8433"/>
    <o:shapelayout v:ext="edit">
      <o:idmap v:ext="edit" data="1"/>
    </o:shapelayout>
  </w:shapeDefaults>
  <w:decimalSymbol w:val="."/>
  <w:listSeparator w:val=","/>
  <w14:docId w14:val="75DF8C6D"/>
  <w15:chartTrackingRefBased/>
  <w15:docId w15:val="{3CFF2FC0-DD09-45B5-B326-EF1490AA57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SimSun" w:hAnsi="Times New Roman" w:cs="Times New Roman"/>
        <w:lang w:val="en-US" w:eastAsia="ja-JP"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header" w:uiPriority="99"/>
    <w:lsdException w:name="footer" w:uiPriority="99"/>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DB185F"/>
    <w:rPr>
      <w:sz w:val="24"/>
      <w:szCs w:val="24"/>
      <w:lang w:val="en-GB" w:eastAsia="zh-CN"/>
    </w:rPr>
  </w:style>
  <w:style w:type="paragraph" w:styleId="Heading1">
    <w:name w:val="heading 1"/>
    <w:basedOn w:val="Normal"/>
    <w:next w:val="Normal"/>
    <w:link w:val="Heading1Char"/>
    <w:uiPriority w:val="9"/>
    <w:qFormat/>
    <w:rsid w:val="002E67CE"/>
    <w:pPr>
      <w:keepNext/>
      <w:spacing w:before="240" w:after="60"/>
      <w:outlineLvl w:val="0"/>
    </w:pPr>
    <w:rPr>
      <w:rFonts w:ascii="Arial" w:hAnsi="Arial" w:cs="Arial"/>
      <w:b/>
      <w:bCs/>
      <w:kern w:val="32"/>
      <w:sz w:val="32"/>
      <w:szCs w:val="32"/>
    </w:rPr>
  </w:style>
  <w:style w:type="paragraph" w:styleId="Heading2">
    <w:name w:val="heading 2"/>
    <w:basedOn w:val="Normal"/>
    <w:next w:val="Normal"/>
    <w:qFormat/>
    <w:rsid w:val="002E67CE"/>
    <w:pPr>
      <w:keepNext/>
      <w:spacing w:before="240" w:after="60"/>
      <w:outlineLvl w:val="1"/>
    </w:pPr>
    <w:rPr>
      <w:rFonts w:ascii="Arial" w:hAnsi="Arial" w:cs="Arial"/>
      <w:b/>
      <w:bCs/>
      <w:i/>
      <w:iCs/>
      <w:sz w:val="28"/>
      <w:szCs w:val="28"/>
    </w:rPr>
  </w:style>
  <w:style w:type="paragraph" w:styleId="Heading3">
    <w:name w:val="heading 3"/>
    <w:basedOn w:val="Normal"/>
    <w:qFormat/>
    <w:rsid w:val="00DB185F"/>
    <w:pPr>
      <w:keepNext/>
      <w:ind w:left="720"/>
      <w:jc w:val="both"/>
      <w:outlineLvl w:val="2"/>
    </w:pPr>
    <w:rPr>
      <w:rFonts w:ascii="Tahoma"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rsid w:val="00DB185F"/>
    <w:pPr>
      <w:spacing w:before="100" w:beforeAutospacing="1" w:after="100" w:afterAutospacing="1"/>
    </w:pPr>
    <w:rPr>
      <w:rFonts w:ascii="Georgia" w:hAnsi="Georgia"/>
      <w:color w:val="000000"/>
      <w:sz w:val="21"/>
      <w:szCs w:val="21"/>
    </w:rPr>
  </w:style>
  <w:style w:type="character" w:styleId="CommentReference">
    <w:name w:val="annotation reference"/>
    <w:rsid w:val="00840B95"/>
    <w:rPr>
      <w:sz w:val="16"/>
      <w:szCs w:val="16"/>
    </w:rPr>
  </w:style>
  <w:style w:type="paragraph" w:styleId="CommentText">
    <w:name w:val="annotation text"/>
    <w:basedOn w:val="Normal"/>
    <w:link w:val="CommentTextChar"/>
    <w:rsid w:val="00840B95"/>
    <w:rPr>
      <w:sz w:val="20"/>
      <w:szCs w:val="20"/>
    </w:rPr>
  </w:style>
  <w:style w:type="character" w:customStyle="1" w:styleId="CommentTextChar">
    <w:name w:val="Comment Text Char"/>
    <w:link w:val="CommentText"/>
    <w:rsid w:val="00840B95"/>
    <w:rPr>
      <w:lang w:eastAsia="zh-CN"/>
    </w:rPr>
  </w:style>
  <w:style w:type="paragraph" w:styleId="CommentSubject">
    <w:name w:val="annotation subject"/>
    <w:basedOn w:val="CommentText"/>
    <w:next w:val="CommentText"/>
    <w:link w:val="CommentSubjectChar"/>
    <w:rsid w:val="00840B95"/>
    <w:rPr>
      <w:b/>
      <w:bCs/>
    </w:rPr>
  </w:style>
  <w:style w:type="character" w:customStyle="1" w:styleId="CommentSubjectChar">
    <w:name w:val="Comment Subject Char"/>
    <w:link w:val="CommentSubject"/>
    <w:rsid w:val="00840B95"/>
    <w:rPr>
      <w:b/>
      <w:bCs/>
      <w:lang w:eastAsia="zh-CN"/>
    </w:rPr>
  </w:style>
  <w:style w:type="paragraph" w:styleId="BalloonText">
    <w:name w:val="Balloon Text"/>
    <w:basedOn w:val="Normal"/>
    <w:link w:val="BalloonTextChar"/>
    <w:rsid w:val="00840B95"/>
    <w:rPr>
      <w:rFonts w:ascii="Tahoma" w:hAnsi="Tahoma" w:cs="Tahoma"/>
      <w:sz w:val="16"/>
      <w:szCs w:val="16"/>
    </w:rPr>
  </w:style>
  <w:style w:type="character" w:customStyle="1" w:styleId="BalloonTextChar">
    <w:name w:val="Balloon Text Char"/>
    <w:link w:val="BalloonText"/>
    <w:rsid w:val="00840B95"/>
    <w:rPr>
      <w:rFonts w:ascii="Tahoma" w:hAnsi="Tahoma" w:cs="Tahoma"/>
      <w:sz w:val="16"/>
      <w:szCs w:val="16"/>
      <w:lang w:eastAsia="zh-CN"/>
    </w:rPr>
  </w:style>
  <w:style w:type="paragraph" w:styleId="Header">
    <w:name w:val="header"/>
    <w:basedOn w:val="Normal"/>
    <w:link w:val="HeaderChar"/>
    <w:uiPriority w:val="99"/>
    <w:unhideWhenUsed/>
    <w:rsid w:val="008A4DCC"/>
    <w:pPr>
      <w:tabs>
        <w:tab w:val="center" w:pos="4513"/>
        <w:tab w:val="right" w:pos="9026"/>
      </w:tabs>
    </w:pPr>
    <w:rPr>
      <w:rFonts w:ascii="Trebuchet MS" w:eastAsia="Calibri" w:hAnsi="Trebuchet MS" w:cs="Tahoma"/>
      <w:sz w:val="22"/>
      <w:szCs w:val="20"/>
      <w:lang w:eastAsia="en-US"/>
    </w:rPr>
  </w:style>
  <w:style w:type="character" w:customStyle="1" w:styleId="HeaderChar">
    <w:name w:val="Header Char"/>
    <w:link w:val="Header"/>
    <w:uiPriority w:val="99"/>
    <w:rsid w:val="008A4DCC"/>
    <w:rPr>
      <w:rFonts w:ascii="Trebuchet MS" w:eastAsia="Calibri" w:hAnsi="Trebuchet MS" w:cs="Tahoma"/>
      <w:sz w:val="22"/>
      <w:lang w:eastAsia="en-US"/>
    </w:rPr>
  </w:style>
  <w:style w:type="paragraph" w:styleId="Footer">
    <w:name w:val="footer"/>
    <w:basedOn w:val="Normal"/>
    <w:link w:val="FooterChar"/>
    <w:uiPriority w:val="99"/>
    <w:rsid w:val="00AD5D5A"/>
    <w:pPr>
      <w:tabs>
        <w:tab w:val="center" w:pos="4513"/>
        <w:tab w:val="right" w:pos="9026"/>
      </w:tabs>
    </w:pPr>
  </w:style>
  <w:style w:type="character" w:customStyle="1" w:styleId="FooterChar">
    <w:name w:val="Footer Char"/>
    <w:link w:val="Footer"/>
    <w:uiPriority w:val="99"/>
    <w:rsid w:val="00AD5D5A"/>
    <w:rPr>
      <w:sz w:val="24"/>
      <w:szCs w:val="24"/>
      <w:lang w:eastAsia="zh-CN"/>
    </w:rPr>
  </w:style>
  <w:style w:type="table" w:styleId="TableGrid">
    <w:name w:val="Table Grid"/>
    <w:basedOn w:val="TableNormal"/>
    <w:rsid w:val="00D67BF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styleId="Hyperlink">
    <w:name w:val="Hyperlink"/>
    <w:basedOn w:val="DefaultParagraphFont"/>
    <w:uiPriority w:val="99"/>
    <w:unhideWhenUsed/>
    <w:rPr>
      <w:color w:val="0563C1" w:themeColor="hyperlink"/>
      <w:u w:val="single"/>
    </w:rPr>
  </w:style>
  <w:style w:type="character" w:customStyle="1" w:styleId="Heading1Char">
    <w:name w:val="Heading 1 Char"/>
    <w:basedOn w:val="DefaultParagraphFont"/>
    <w:link w:val="Heading1"/>
    <w:uiPriority w:val="9"/>
    <w:rsid w:val="003B78E7"/>
    <w:rPr>
      <w:rFonts w:ascii="Arial" w:hAnsi="Arial" w:cs="Arial"/>
      <w:b/>
      <w:bCs/>
      <w:kern w:val="32"/>
      <w:sz w:val="32"/>
      <w:szCs w:val="32"/>
      <w:lang w:val="en-GB" w:eastAsia="zh-CN"/>
    </w:rPr>
  </w:style>
  <w:style w:type="paragraph" w:styleId="FootnoteText">
    <w:name w:val="footnote text"/>
    <w:basedOn w:val="Normal"/>
    <w:link w:val="FootnoteTextChar"/>
    <w:rsid w:val="00C46B7A"/>
    <w:rPr>
      <w:sz w:val="20"/>
      <w:szCs w:val="20"/>
    </w:rPr>
  </w:style>
  <w:style w:type="character" w:customStyle="1" w:styleId="FootnoteTextChar">
    <w:name w:val="Footnote Text Char"/>
    <w:basedOn w:val="DefaultParagraphFont"/>
    <w:link w:val="FootnoteText"/>
    <w:rsid w:val="00C46B7A"/>
    <w:rPr>
      <w:lang w:val="en-GB" w:eastAsia="zh-CN"/>
    </w:rPr>
  </w:style>
  <w:style w:type="character" w:styleId="FootnoteReference">
    <w:name w:val="footnote reference"/>
    <w:basedOn w:val="DefaultParagraphFont"/>
    <w:rsid w:val="00C46B7A"/>
    <w:rPr>
      <w:vertAlign w:val="superscript"/>
    </w:rPr>
  </w:style>
  <w:style w:type="character" w:styleId="UnresolvedMention">
    <w:name w:val="Unresolved Mention"/>
    <w:basedOn w:val="DefaultParagraphFont"/>
    <w:uiPriority w:val="99"/>
    <w:semiHidden/>
    <w:unhideWhenUsed/>
    <w:rsid w:val="00E472C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13768504">
      <w:bodyDiv w:val="1"/>
      <w:marLeft w:val="0"/>
      <w:marRight w:val="0"/>
      <w:marTop w:val="0"/>
      <w:marBottom w:val="0"/>
      <w:divBdr>
        <w:top w:val="none" w:sz="0" w:space="0" w:color="auto"/>
        <w:left w:val="none" w:sz="0" w:space="0" w:color="auto"/>
        <w:bottom w:val="none" w:sz="0" w:space="0" w:color="auto"/>
        <w:right w:val="none" w:sz="0" w:space="0" w:color="auto"/>
      </w:divBdr>
    </w:div>
    <w:div w:id="1724988438">
      <w:bodyDiv w:val="1"/>
      <w:marLeft w:val="0"/>
      <w:marRight w:val="0"/>
      <w:marTop w:val="0"/>
      <w:marBottom w:val="0"/>
      <w:divBdr>
        <w:top w:val="none" w:sz="0" w:space="0" w:color="auto"/>
        <w:left w:val="none" w:sz="0" w:space="0" w:color="auto"/>
        <w:bottom w:val="none" w:sz="0" w:space="0" w:color="auto"/>
        <w:right w:val="none" w:sz="0" w:space="0" w:color="auto"/>
      </w:divBdr>
    </w:div>
    <w:div w:id="21007581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5C623F77-E374-4F82-885D-9190B93C6C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592</TotalTime>
  <Pages>20</Pages>
  <Words>5323</Words>
  <Characters>27070</Characters>
  <Application>Microsoft Office Word</Application>
  <DocSecurity>0</DocSecurity>
  <Lines>225</Lines>
  <Paragraphs>64</Paragraphs>
  <ScaleCrop>false</ScaleCrop>
  <HeadingPairs>
    <vt:vector size="2" baseType="variant">
      <vt:variant>
        <vt:lpstr>Title</vt:lpstr>
      </vt:variant>
      <vt:variant>
        <vt:i4>1</vt:i4>
      </vt:variant>
    </vt:vector>
  </HeadingPairs>
  <TitlesOfParts>
    <vt:vector size="1" baseType="lpstr">
      <vt:lpstr>UNIVERSITY OF WALES</vt:lpstr>
    </vt:vector>
  </TitlesOfParts>
  <Company>University of Wales Lampeter</Company>
  <LinksUpToDate>false</LinksUpToDate>
  <CharactersWithSpaces>32329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dc:title>
  <dc:subject/>
  <dc:creator>sa044</dc:creator>
  <cp:keywords/>
  <cp:lastModifiedBy>Emma Bowey</cp:lastModifiedBy>
  <cp:revision>27</cp:revision>
  <cp:lastPrinted>2011-03-31T21:57:00Z</cp:lastPrinted>
  <dcterms:created xsi:type="dcterms:W3CDTF">2020-01-17T15:01:00Z</dcterms:created>
  <dcterms:modified xsi:type="dcterms:W3CDTF">2020-01-20T17:14:00Z</dcterms:modified>
</cp:coreProperties>
</file>