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30B7F" w14:textId="77777777" w:rsidR="00EE6A38" w:rsidRDefault="00EE6A38" w:rsidP="00EE6A38">
      <w:pPr>
        <w:pStyle w:val="NormalWeb"/>
        <w:spacing w:before="0" w:beforeAutospacing="0" w:after="0" w:afterAutospacing="0"/>
        <w:ind w:left="-180" w:right="-334"/>
      </w:pPr>
      <w:r>
        <w:rPr>
          <w:noProof/>
          <w:lang w:eastAsia="en-GB"/>
        </w:rPr>
        <w:drawing>
          <wp:inline distT="0" distB="0" distL="0" distR="0" wp14:anchorId="10D5E86B" wp14:editId="794219B3">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39CF941" w14:textId="77777777" w:rsidR="00EE6A38" w:rsidRDefault="00EE6A38" w:rsidP="00EE6A38">
      <w:pPr>
        <w:pStyle w:val="NormalWeb"/>
        <w:spacing w:before="0" w:beforeAutospacing="0" w:after="0" w:afterAutospacing="0"/>
        <w:ind w:left="-180" w:right="-334"/>
      </w:pPr>
    </w:p>
    <w:p w14:paraId="2812FEAB" w14:textId="77777777" w:rsidR="00EE6A38" w:rsidRDefault="00EE6A38" w:rsidP="00EE6A38">
      <w:pPr>
        <w:pStyle w:val="NormalWeb"/>
        <w:spacing w:before="0" w:beforeAutospacing="0" w:after="0" w:afterAutospacing="0"/>
        <w:ind w:left="-180" w:right="-334"/>
      </w:pPr>
    </w:p>
    <w:p w14:paraId="7BC0A79B" w14:textId="77777777" w:rsidR="00EE6A38" w:rsidRDefault="00EE6A38" w:rsidP="00EE6A3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8EADC12" w14:textId="77777777" w:rsidR="00EE6A38" w:rsidRPr="00230F35" w:rsidRDefault="00EE6A38" w:rsidP="00EE6A3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50974A1" w14:textId="77777777" w:rsidR="00EE6A38" w:rsidRPr="00230F35" w:rsidRDefault="00EE6A38" w:rsidP="00EE6A38">
      <w:pPr>
        <w:rPr>
          <w:rFonts w:ascii="Arial" w:hAnsi="Arial" w:cs="Arial"/>
          <w:sz w:val="28"/>
          <w:szCs w:val="28"/>
          <w:lang w:val="cy-GB"/>
        </w:rPr>
      </w:pPr>
    </w:p>
    <w:p w14:paraId="66CC3960" w14:textId="77777777" w:rsidR="00EE6A38" w:rsidRDefault="00EE6A38" w:rsidP="00EE6A38">
      <w:pPr>
        <w:pStyle w:val="Heading3"/>
        <w:rPr>
          <w:lang w:val="cy-GB"/>
        </w:rPr>
      </w:pPr>
      <w:r>
        <w:rPr>
          <w:lang w:val="cy-GB"/>
        </w:rPr>
        <w:t>THIS SHEET MUST BE THE FIRST PAGE OF THE ASSIGNMENT YOU ARE SUBMITTING  (DO NOT SEND AS A SEPARATE FILE)</w:t>
      </w:r>
    </w:p>
    <w:p w14:paraId="43C1FF80" w14:textId="77777777" w:rsidR="00EE6A38" w:rsidRDefault="00EE6A38" w:rsidP="00EE6A38">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E6A38" w:rsidRPr="00230F35" w14:paraId="65B48C70" w14:textId="77777777" w:rsidTr="001E4EB9">
        <w:trPr>
          <w:trHeight w:val="614"/>
        </w:trPr>
        <w:tc>
          <w:tcPr>
            <w:tcW w:w="8856" w:type="dxa"/>
            <w:gridSpan w:val="5"/>
          </w:tcPr>
          <w:p w14:paraId="0473B35C" w14:textId="77777777" w:rsidR="00EE6A38" w:rsidRPr="00230F35"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E6A38" w:rsidRPr="00230F35" w14:paraId="3D256FB0" w14:textId="77777777" w:rsidTr="001E4EB9">
        <w:trPr>
          <w:trHeight w:val="718"/>
        </w:trPr>
        <w:tc>
          <w:tcPr>
            <w:tcW w:w="8856" w:type="dxa"/>
            <w:gridSpan w:val="5"/>
          </w:tcPr>
          <w:p w14:paraId="5A7C917B" w14:textId="77777777" w:rsidR="00EE6A38"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Shelby Bundy</w:t>
            </w:r>
          </w:p>
          <w:p w14:paraId="77E611FE" w14:textId="77777777" w:rsidR="00EE6A38" w:rsidRPr="00230F35" w:rsidRDefault="00EE6A38" w:rsidP="001E4EB9">
            <w:pPr>
              <w:pStyle w:val="NormalWeb"/>
              <w:spacing w:before="0" w:beforeAutospacing="0" w:after="0" w:afterAutospacing="0"/>
              <w:ind w:right="34"/>
              <w:rPr>
                <w:rFonts w:ascii="Arial" w:hAnsi="Arial" w:cs="Arial"/>
                <w:sz w:val="22"/>
                <w:szCs w:val="22"/>
              </w:rPr>
            </w:pPr>
          </w:p>
          <w:p w14:paraId="504D3635" w14:textId="77777777" w:rsidR="00EE6A38" w:rsidRPr="00230F35"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3D5F72">
              <w:rPr>
                <w:rFonts w:ascii="Arial" w:hAnsi="Arial" w:cs="Arial"/>
                <w:sz w:val="22"/>
                <w:szCs w:val="22"/>
              </w:rPr>
              <w:t>2405345@student.uwtsd.ac.uk</w:t>
            </w:r>
          </w:p>
        </w:tc>
      </w:tr>
      <w:tr w:rsidR="00EE6A38" w:rsidRPr="00230F35" w14:paraId="44851ABA" w14:textId="77777777" w:rsidTr="001E4EB9">
        <w:trPr>
          <w:trHeight w:val="849"/>
        </w:trPr>
        <w:tc>
          <w:tcPr>
            <w:tcW w:w="4788" w:type="dxa"/>
          </w:tcPr>
          <w:p w14:paraId="603A8402" w14:textId="77777777" w:rsidR="00EE6A38"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3FE72F19" w14:textId="77777777" w:rsidR="00EE6A38" w:rsidRPr="00230F35" w:rsidRDefault="00EE6A38" w:rsidP="001E4EB9">
            <w:pPr>
              <w:pStyle w:val="NormalWeb"/>
              <w:spacing w:before="0" w:beforeAutospacing="0" w:after="0" w:afterAutospacing="0"/>
              <w:ind w:right="34"/>
              <w:rPr>
                <w:rFonts w:ascii="Arial" w:hAnsi="Arial" w:cs="Arial"/>
                <w:sz w:val="22"/>
                <w:szCs w:val="22"/>
              </w:rPr>
            </w:pPr>
          </w:p>
          <w:p w14:paraId="23069AEA" w14:textId="77777777" w:rsidR="00EE6A38"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4F71CBC3" w14:textId="77777777" w:rsidR="00EE6A38" w:rsidRPr="00230F35" w:rsidRDefault="00EE6A38" w:rsidP="001E4EB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Cosmology, Magic and Divination </w:t>
            </w:r>
          </w:p>
        </w:tc>
        <w:tc>
          <w:tcPr>
            <w:tcW w:w="2266" w:type="dxa"/>
            <w:gridSpan w:val="3"/>
          </w:tcPr>
          <w:p w14:paraId="5A0DA797" w14:textId="77777777" w:rsidR="00EE6A38"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5BA2DFFD" w14:textId="58E321A6" w:rsidR="00EE6A38" w:rsidRPr="00230F35" w:rsidRDefault="00EE6A38" w:rsidP="001E4EB9">
            <w:pPr>
              <w:pStyle w:val="NormalWeb"/>
              <w:spacing w:before="0" w:beforeAutospacing="0" w:after="0" w:afterAutospacing="0"/>
              <w:ind w:right="34"/>
              <w:rPr>
                <w:rFonts w:ascii="Arial" w:hAnsi="Arial" w:cs="Arial"/>
                <w:sz w:val="22"/>
                <w:szCs w:val="22"/>
              </w:rPr>
            </w:pPr>
            <w:r>
              <w:rPr>
                <w:rFonts w:ascii="Arial" w:hAnsi="Arial" w:cs="Arial"/>
                <w:sz w:val="22"/>
                <w:szCs w:val="22"/>
              </w:rPr>
              <w:t>2405345</w:t>
            </w:r>
          </w:p>
        </w:tc>
        <w:tc>
          <w:tcPr>
            <w:tcW w:w="1802" w:type="dxa"/>
          </w:tcPr>
          <w:p w14:paraId="1277D92F" w14:textId="77777777" w:rsidR="00EE6A38" w:rsidRPr="00230F35"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D3A59C" w14:textId="77777777" w:rsidR="00EE6A38" w:rsidRPr="00230F35" w:rsidRDefault="00EE6A38" w:rsidP="001E4EB9">
            <w:pPr>
              <w:pStyle w:val="NormalWeb"/>
              <w:spacing w:before="0" w:beforeAutospacing="0" w:after="0" w:afterAutospacing="0"/>
              <w:ind w:right="34"/>
              <w:rPr>
                <w:rFonts w:ascii="Arial" w:hAnsi="Arial" w:cs="Arial"/>
                <w:sz w:val="22"/>
                <w:szCs w:val="22"/>
              </w:rPr>
            </w:pPr>
          </w:p>
        </w:tc>
      </w:tr>
      <w:tr w:rsidR="00EE6A38" w:rsidRPr="00230F35" w14:paraId="52B216FE" w14:textId="77777777" w:rsidTr="001E4EB9">
        <w:trPr>
          <w:trHeight w:val="1139"/>
        </w:trPr>
        <w:tc>
          <w:tcPr>
            <w:tcW w:w="8856" w:type="dxa"/>
            <w:gridSpan w:val="5"/>
          </w:tcPr>
          <w:p w14:paraId="415F2F3B" w14:textId="77777777" w:rsidR="00EE6A38" w:rsidRPr="00230F35"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29F5398A" w14:textId="77777777" w:rsidR="00EE6A38" w:rsidRDefault="00EE6A38" w:rsidP="001E4EB9">
            <w:pPr>
              <w:rPr>
                <w:rFonts w:eastAsia="Times New Roman" w:cs="Times New Roman"/>
                <w:b/>
                <w:szCs w:val="24"/>
              </w:rPr>
            </w:pPr>
            <w:r>
              <w:rPr>
                <w:rFonts w:eastAsia="Times New Roman" w:cs="Times New Roman"/>
                <w:b/>
                <w:szCs w:val="24"/>
              </w:rPr>
              <w:t xml:space="preserve">A Critical Review of Cicero’s Arguments Against </w:t>
            </w:r>
          </w:p>
          <w:p w14:paraId="7BA3C638" w14:textId="1C8EB652" w:rsidR="00EE6A38" w:rsidRDefault="00EE6A38" w:rsidP="001E4EB9">
            <w:pPr>
              <w:rPr>
                <w:rFonts w:eastAsia="Times New Roman" w:cs="Times New Roman"/>
                <w:b/>
                <w:szCs w:val="24"/>
              </w:rPr>
            </w:pPr>
            <w:r>
              <w:rPr>
                <w:rFonts w:eastAsia="Times New Roman" w:cs="Times New Roman"/>
                <w:b/>
                <w:szCs w:val="24"/>
              </w:rPr>
              <w:t xml:space="preserve">Divination in </w:t>
            </w:r>
            <w:r>
              <w:rPr>
                <w:rFonts w:eastAsia="Times New Roman" w:cs="Times New Roman"/>
                <w:b/>
                <w:i/>
                <w:szCs w:val="24"/>
              </w:rPr>
              <w:t xml:space="preserve">De </w:t>
            </w:r>
            <w:proofErr w:type="spellStart"/>
            <w:r>
              <w:rPr>
                <w:rFonts w:eastAsia="Times New Roman" w:cs="Times New Roman"/>
                <w:b/>
                <w:i/>
                <w:szCs w:val="24"/>
              </w:rPr>
              <w:t>Divinatione</w:t>
            </w:r>
            <w:proofErr w:type="spellEnd"/>
            <w:r>
              <w:rPr>
                <w:rFonts w:eastAsia="Times New Roman" w:cs="Times New Roman"/>
                <w:b/>
                <w:szCs w:val="24"/>
              </w:rPr>
              <w:t xml:space="preserve"> </w:t>
            </w:r>
          </w:p>
          <w:p w14:paraId="54F83FBD" w14:textId="77777777" w:rsidR="00EE6A38" w:rsidRPr="00230F35" w:rsidRDefault="00EE6A38"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24/07/2025</w:t>
            </w:r>
          </w:p>
        </w:tc>
      </w:tr>
      <w:tr w:rsidR="00EE6A38" w:rsidRPr="00230F35" w14:paraId="5D159570" w14:textId="77777777" w:rsidTr="001E4EB9">
        <w:trPr>
          <w:trHeight w:val="978"/>
        </w:trPr>
        <w:tc>
          <w:tcPr>
            <w:tcW w:w="8856" w:type="dxa"/>
            <w:gridSpan w:val="5"/>
            <w:tcBorders>
              <w:bottom w:val="single" w:sz="4" w:space="0" w:color="000000"/>
            </w:tcBorders>
          </w:tcPr>
          <w:p w14:paraId="1528E63E" w14:textId="77777777" w:rsidR="00EE6A38" w:rsidRPr="00230F35" w:rsidRDefault="00EE6A38" w:rsidP="001E4EB9">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E6A38" w:rsidRPr="00230F35" w14:paraId="7BE45533" w14:textId="77777777" w:rsidTr="001E4EB9">
        <w:trPr>
          <w:trHeight w:val="978"/>
        </w:trPr>
        <w:tc>
          <w:tcPr>
            <w:tcW w:w="8856" w:type="dxa"/>
            <w:gridSpan w:val="5"/>
            <w:shd w:val="clear" w:color="auto" w:fill="D9D9D9"/>
          </w:tcPr>
          <w:p w14:paraId="2012DD61" w14:textId="77777777" w:rsidR="00EE6A38" w:rsidRPr="00B728EA" w:rsidRDefault="00EE6A38"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0EC3971A" w14:textId="77777777" w:rsidR="00EE6A38" w:rsidRPr="00B728EA" w:rsidRDefault="00EE6A38"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00887127" w14:textId="77777777" w:rsidR="00EE6A38" w:rsidRPr="00B728EA" w:rsidRDefault="00EE6A38" w:rsidP="001E4EB9">
            <w:pPr>
              <w:pStyle w:val="NormalWeb"/>
              <w:spacing w:before="0" w:beforeAutospacing="0" w:after="0" w:afterAutospacing="0"/>
              <w:ind w:right="34"/>
              <w:rPr>
                <w:rFonts w:ascii="Arial" w:hAnsi="Arial" w:cs="Arial"/>
                <w:sz w:val="22"/>
                <w:szCs w:val="22"/>
              </w:rPr>
            </w:pPr>
          </w:p>
          <w:p w14:paraId="0D699B32" w14:textId="77777777" w:rsidR="00EE6A38" w:rsidRPr="00B728EA" w:rsidRDefault="00EE6A38"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27737F38" w14:textId="77777777" w:rsidR="00EE6A38" w:rsidRPr="00B728EA" w:rsidRDefault="00EE6A38" w:rsidP="001E4EB9">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14E45336" w14:textId="77777777" w:rsidR="00EE6A38" w:rsidRPr="00B728EA" w:rsidRDefault="00EE6A38" w:rsidP="001E4EB9">
            <w:pPr>
              <w:pStyle w:val="NormalWeb"/>
              <w:spacing w:before="0" w:beforeAutospacing="0" w:after="0" w:afterAutospacing="0"/>
              <w:ind w:right="34"/>
              <w:rPr>
                <w:rFonts w:ascii="Arial" w:hAnsi="Arial" w:cs="Arial"/>
                <w:color w:val="000000" w:themeColor="text1"/>
                <w:sz w:val="22"/>
                <w:szCs w:val="22"/>
              </w:rPr>
            </w:pPr>
          </w:p>
          <w:p w14:paraId="165901DE" w14:textId="77777777" w:rsidR="00EE6A38" w:rsidRPr="00B728EA" w:rsidRDefault="00EE6A38" w:rsidP="001E4EB9">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6FA9692A" w14:textId="77777777" w:rsidR="00EE6A38" w:rsidRPr="00B728EA" w:rsidRDefault="00EE6A38" w:rsidP="001E4EB9">
            <w:pPr>
              <w:pStyle w:val="NormalWeb"/>
              <w:spacing w:before="0" w:beforeAutospacing="0" w:after="0" w:afterAutospacing="0"/>
              <w:ind w:right="34"/>
              <w:rPr>
                <w:rFonts w:ascii="Arial" w:hAnsi="Arial" w:cs="Arial"/>
                <w:sz w:val="22"/>
                <w:szCs w:val="22"/>
              </w:rPr>
            </w:pPr>
          </w:p>
          <w:p w14:paraId="51346BB4" w14:textId="77777777" w:rsidR="00EE6A38" w:rsidRPr="00B728EA" w:rsidRDefault="00EE6A38"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lastRenderedPageBreak/>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6314A8C9" w14:textId="77777777" w:rsidR="00EE6A38" w:rsidRPr="00B728EA" w:rsidRDefault="00EE6A38" w:rsidP="001E4EB9">
            <w:pPr>
              <w:pStyle w:val="NormalWeb"/>
              <w:spacing w:before="0" w:beforeAutospacing="0" w:after="0" w:afterAutospacing="0"/>
              <w:ind w:right="34"/>
              <w:rPr>
                <w:rFonts w:ascii="Arial" w:hAnsi="Arial" w:cs="Arial"/>
                <w:sz w:val="22"/>
                <w:szCs w:val="22"/>
              </w:rPr>
            </w:pPr>
          </w:p>
          <w:p w14:paraId="2A9C2367" w14:textId="77777777" w:rsidR="00EE6A38" w:rsidRDefault="00EE6A38"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sidRPr="003D5F72">
              <w:rPr>
                <w:rFonts w:ascii="Arial" w:hAnsi="Arial" w:cs="Arial"/>
                <w:sz w:val="40"/>
                <w:szCs w:val="40"/>
              </w:rPr>
              <w:t xml:space="preserve">: </w:t>
            </w:r>
            <w:r w:rsidRPr="003D5F72">
              <w:rPr>
                <w:rFonts w:ascii="Abramo Script" w:hAnsi="Abramo Script" w:cs="Abramo Script"/>
                <w:b/>
                <w:bCs/>
                <w:color w:val="auto"/>
                <w:sz w:val="40"/>
                <w:szCs w:val="40"/>
              </w:rPr>
              <w:t>Shelby Bundy</w:t>
            </w:r>
          </w:p>
          <w:p w14:paraId="4306EDFA" w14:textId="77777777" w:rsidR="00EE6A38" w:rsidRPr="00230F35" w:rsidRDefault="00EE6A38" w:rsidP="001E4EB9">
            <w:pPr>
              <w:pStyle w:val="NormalWeb"/>
              <w:spacing w:before="0" w:beforeAutospacing="0" w:after="0" w:afterAutospacing="0"/>
              <w:ind w:right="34"/>
              <w:rPr>
                <w:rFonts w:ascii="Arial" w:hAnsi="Arial" w:cs="Arial"/>
                <w:sz w:val="22"/>
                <w:szCs w:val="22"/>
              </w:rPr>
            </w:pPr>
          </w:p>
        </w:tc>
      </w:tr>
      <w:tr w:rsidR="00EE6A38" w:rsidRPr="00230F35" w14:paraId="3A83CE9D" w14:textId="77777777" w:rsidTr="001E4EB9">
        <w:trPr>
          <w:trHeight w:val="3972"/>
        </w:trPr>
        <w:tc>
          <w:tcPr>
            <w:tcW w:w="8856" w:type="dxa"/>
            <w:gridSpan w:val="5"/>
          </w:tcPr>
          <w:p w14:paraId="01A58D60" w14:textId="77777777" w:rsidR="00EE6A38" w:rsidRDefault="00EE6A38" w:rsidP="001E4EB9">
            <w:pPr>
              <w:rPr>
                <w:rFonts w:ascii="Arial" w:hAnsi="Arial"/>
                <w:b/>
              </w:rPr>
            </w:pPr>
          </w:p>
          <w:p w14:paraId="472D5B7D" w14:textId="77777777" w:rsidR="00EE6A38" w:rsidRPr="00116CE6" w:rsidRDefault="00EE6A38" w:rsidP="001E4EB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E6A38" w:rsidRPr="00116CE6" w14:paraId="195CE03A" w14:textId="77777777" w:rsidTr="001E4EB9">
              <w:tc>
                <w:tcPr>
                  <w:tcW w:w="6970" w:type="dxa"/>
                </w:tcPr>
                <w:p w14:paraId="321BAC6B" w14:textId="77777777" w:rsidR="00EE6A38" w:rsidRPr="00116CE6" w:rsidRDefault="00EE6A38" w:rsidP="001E4EB9">
                  <w:pPr>
                    <w:rPr>
                      <w:rFonts w:ascii="Arial" w:hAnsi="Arial"/>
                      <w:sz w:val="20"/>
                      <w:szCs w:val="20"/>
                    </w:rPr>
                  </w:pPr>
                </w:p>
                <w:p w14:paraId="6AB25A49" w14:textId="77777777" w:rsidR="00EE6A38" w:rsidRPr="00116CE6" w:rsidRDefault="00EE6A38" w:rsidP="001E4EB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73EA56B" w14:textId="77777777" w:rsidR="00EE6A38" w:rsidRPr="00116CE6" w:rsidRDefault="00EE6A38" w:rsidP="001E4EB9">
                  <w:pPr>
                    <w:rPr>
                      <w:rFonts w:ascii="Arial" w:hAnsi="Arial"/>
                      <w:sz w:val="20"/>
                      <w:szCs w:val="20"/>
                    </w:rPr>
                  </w:pPr>
                </w:p>
              </w:tc>
            </w:tr>
            <w:tr w:rsidR="00EE6A38" w:rsidRPr="00116CE6" w14:paraId="62F7DEE7" w14:textId="77777777" w:rsidTr="001E4EB9">
              <w:tc>
                <w:tcPr>
                  <w:tcW w:w="6970" w:type="dxa"/>
                </w:tcPr>
                <w:p w14:paraId="1B12C932" w14:textId="77777777" w:rsidR="00EE6A38" w:rsidRPr="00116CE6" w:rsidRDefault="00EE6A38" w:rsidP="001E4EB9">
                  <w:pPr>
                    <w:rPr>
                      <w:rFonts w:ascii="Arial" w:hAnsi="Arial"/>
                      <w:sz w:val="20"/>
                      <w:szCs w:val="20"/>
                    </w:rPr>
                  </w:pPr>
                </w:p>
                <w:p w14:paraId="3ABD3883" w14:textId="77777777" w:rsidR="00EE6A38" w:rsidRPr="00116CE6" w:rsidRDefault="00EE6A38" w:rsidP="001E4EB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82DE005" w14:textId="77777777" w:rsidR="00EE6A38" w:rsidRPr="00116CE6" w:rsidRDefault="00EE6A38" w:rsidP="001E4EB9">
                  <w:pPr>
                    <w:rPr>
                      <w:rFonts w:ascii="Arial" w:hAnsi="Arial"/>
                      <w:sz w:val="20"/>
                      <w:szCs w:val="20"/>
                    </w:rPr>
                  </w:pPr>
                </w:p>
              </w:tc>
            </w:tr>
            <w:tr w:rsidR="00EE6A38" w:rsidRPr="00116CE6" w14:paraId="3CED6220" w14:textId="77777777" w:rsidTr="001E4EB9">
              <w:tc>
                <w:tcPr>
                  <w:tcW w:w="6970" w:type="dxa"/>
                </w:tcPr>
                <w:p w14:paraId="5A2F41DF" w14:textId="77777777" w:rsidR="00EE6A38" w:rsidRPr="00116CE6" w:rsidRDefault="00EE6A38" w:rsidP="001E4EB9">
                  <w:pPr>
                    <w:rPr>
                      <w:rFonts w:ascii="Arial" w:hAnsi="Arial"/>
                      <w:sz w:val="20"/>
                      <w:szCs w:val="20"/>
                    </w:rPr>
                  </w:pPr>
                </w:p>
                <w:p w14:paraId="61FEEED0" w14:textId="77777777" w:rsidR="00EE6A38" w:rsidRPr="00116CE6" w:rsidRDefault="00EE6A38" w:rsidP="001E4EB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C1C837F" w14:textId="77777777" w:rsidR="00EE6A38" w:rsidRPr="00116CE6" w:rsidRDefault="00EE6A38" w:rsidP="001E4EB9">
                  <w:pPr>
                    <w:rPr>
                      <w:rFonts w:ascii="Arial" w:hAnsi="Arial"/>
                      <w:sz w:val="20"/>
                      <w:szCs w:val="20"/>
                    </w:rPr>
                  </w:pPr>
                </w:p>
              </w:tc>
            </w:tr>
            <w:tr w:rsidR="00EE6A38" w:rsidRPr="00116CE6" w14:paraId="1C22D5FD" w14:textId="77777777" w:rsidTr="001E4EB9">
              <w:tc>
                <w:tcPr>
                  <w:tcW w:w="6970" w:type="dxa"/>
                </w:tcPr>
                <w:p w14:paraId="79DA27EF" w14:textId="77777777" w:rsidR="00EE6A38" w:rsidRDefault="00EE6A38" w:rsidP="001E4EB9">
                  <w:pPr>
                    <w:rPr>
                      <w:rFonts w:ascii="Arial" w:hAnsi="Arial"/>
                      <w:sz w:val="20"/>
                      <w:szCs w:val="20"/>
                    </w:rPr>
                  </w:pPr>
                </w:p>
                <w:p w14:paraId="413AF283" w14:textId="77777777" w:rsidR="00EE6A38" w:rsidRPr="00022345" w:rsidRDefault="00EE6A38" w:rsidP="001E4EB9">
                  <w:pPr>
                    <w:rPr>
                      <w:rFonts w:ascii="Arial" w:hAnsi="Arial"/>
                      <w:b/>
                      <w:sz w:val="20"/>
                      <w:szCs w:val="20"/>
                    </w:rPr>
                  </w:pPr>
                  <w:r w:rsidRPr="00022345">
                    <w:rPr>
                      <w:rFonts w:ascii="Arial" w:hAnsi="Arial"/>
                      <w:b/>
                      <w:sz w:val="20"/>
                      <w:szCs w:val="20"/>
                    </w:rPr>
                    <w:t>Final Mark</w:t>
                  </w:r>
                </w:p>
                <w:p w14:paraId="0D765AA5" w14:textId="77777777" w:rsidR="00EE6A38" w:rsidRPr="00116CE6" w:rsidRDefault="00EE6A38" w:rsidP="001E4EB9">
                  <w:pPr>
                    <w:rPr>
                      <w:rFonts w:ascii="Arial" w:hAnsi="Arial"/>
                      <w:sz w:val="20"/>
                      <w:szCs w:val="20"/>
                    </w:rPr>
                  </w:pPr>
                </w:p>
              </w:tc>
              <w:tc>
                <w:tcPr>
                  <w:tcW w:w="1660" w:type="dxa"/>
                </w:tcPr>
                <w:p w14:paraId="10801142" w14:textId="77777777" w:rsidR="00EE6A38" w:rsidRPr="00116CE6" w:rsidRDefault="00EE6A38" w:rsidP="001E4EB9">
                  <w:pPr>
                    <w:rPr>
                      <w:rFonts w:ascii="Arial" w:hAnsi="Arial"/>
                      <w:sz w:val="20"/>
                      <w:szCs w:val="20"/>
                    </w:rPr>
                  </w:pPr>
                </w:p>
              </w:tc>
            </w:tr>
          </w:tbl>
          <w:p w14:paraId="7F78098C" w14:textId="77777777" w:rsidR="00EE6A38" w:rsidRDefault="00EE6A38" w:rsidP="001E4EB9">
            <w:pPr>
              <w:pStyle w:val="NormalWeb"/>
              <w:spacing w:before="0" w:beforeAutospacing="0" w:after="0" w:afterAutospacing="0"/>
              <w:ind w:left="142" w:right="34"/>
              <w:rPr>
                <w:rFonts w:ascii="Arial" w:hAnsi="Arial" w:cs="Arial"/>
                <w:b/>
                <w:sz w:val="22"/>
                <w:szCs w:val="22"/>
              </w:rPr>
            </w:pPr>
          </w:p>
          <w:p w14:paraId="3B133A5E" w14:textId="77777777" w:rsidR="00EE6A38" w:rsidRPr="00230F35" w:rsidRDefault="00EE6A38" w:rsidP="001E4EB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BB30163" w14:textId="77777777" w:rsidR="00EE6A38" w:rsidRDefault="00EE6A38" w:rsidP="001E4EB9">
            <w:pPr>
              <w:pStyle w:val="NormalWeb"/>
              <w:spacing w:before="0" w:beforeAutospacing="0" w:after="0" w:afterAutospacing="0"/>
              <w:rPr>
                <w:rFonts w:ascii="Arial" w:hAnsi="Arial" w:cs="Arial"/>
                <w:b/>
                <w:sz w:val="22"/>
                <w:szCs w:val="22"/>
              </w:rPr>
            </w:pPr>
          </w:p>
          <w:p w14:paraId="4D49199E" w14:textId="77777777" w:rsidR="00EE6A38" w:rsidRDefault="00EE6A38" w:rsidP="001E4EB9">
            <w:pPr>
              <w:pStyle w:val="NormalWeb"/>
              <w:spacing w:before="0" w:beforeAutospacing="0" w:after="0" w:afterAutospacing="0"/>
              <w:rPr>
                <w:rFonts w:ascii="Arial" w:hAnsi="Arial" w:cs="Arial"/>
                <w:b/>
                <w:sz w:val="22"/>
                <w:szCs w:val="22"/>
              </w:rPr>
            </w:pPr>
          </w:p>
          <w:p w14:paraId="0868968C" w14:textId="77777777" w:rsidR="00EE6A38" w:rsidRDefault="00EE6A38" w:rsidP="001E4EB9">
            <w:pPr>
              <w:pStyle w:val="NormalWeb"/>
              <w:spacing w:before="0" w:beforeAutospacing="0" w:after="0" w:afterAutospacing="0"/>
              <w:rPr>
                <w:rFonts w:ascii="Arial" w:hAnsi="Arial" w:cs="Arial"/>
                <w:b/>
                <w:sz w:val="22"/>
                <w:szCs w:val="22"/>
              </w:rPr>
            </w:pPr>
          </w:p>
          <w:p w14:paraId="2F642BA9" w14:textId="77777777" w:rsidR="00EE6A38" w:rsidRDefault="00EE6A38" w:rsidP="001E4EB9">
            <w:pPr>
              <w:pStyle w:val="NormalWeb"/>
              <w:spacing w:before="0" w:beforeAutospacing="0" w:after="0" w:afterAutospacing="0"/>
              <w:rPr>
                <w:rFonts w:ascii="Arial" w:hAnsi="Arial" w:cs="Arial"/>
                <w:b/>
                <w:sz w:val="22"/>
                <w:szCs w:val="22"/>
              </w:rPr>
            </w:pPr>
          </w:p>
          <w:p w14:paraId="30EBD214" w14:textId="77777777" w:rsidR="00EE6A38" w:rsidRDefault="00EE6A38" w:rsidP="001E4EB9">
            <w:pPr>
              <w:pStyle w:val="NormalWeb"/>
              <w:spacing w:before="0" w:beforeAutospacing="0" w:after="0" w:afterAutospacing="0"/>
              <w:rPr>
                <w:rFonts w:ascii="Arial" w:hAnsi="Arial" w:cs="Arial"/>
                <w:b/>
                <w:sz w:val="22"/>
                <w:szCs w:val="22"/>
              </w:rPr>
            </w:pPr>
          </w:p>
          <w:p w14:paraId="61E72161" w14:textId="77777777" w:rsidR="00EE6A38" w:rsidRPr="00230F35" w:rsidRDefault="00EE6A38" w:rsidP="001E4EB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AF87774" w14:textId="77777777" w:rsidR="00EE6A38" w:rsidRDefault="00EE6A38" w:rsidP="001E4EB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90B8897" w14:textId="77777777" w:rsidR="00EE6A38" w:rsidRPr="00001C3B" w:rsidRDefault="00EE6A38" w:rsidP="001E4EB9">
            <w:pPr>
              <w:pStyle w:val="NormalWeb"/>
              <w:rPr>
                <w:rFonts w:ascii="Arial" w:hAnsi="Arial" w:cs="Arial"/>
                <w:sz w:val="22"/>
                <w:szCs w:val="22"/>
              </w:rPr>
            </w:pPr>
          </w:p>
        </w:tc>
      </w:tr>
      <w:tr w:rsidR="00EE6A38" w:rsidRPr="00230F35" w14:paraId="40ADC2CF" w14:textId="77777777" w:rsidTr="001E4EB9">
        <w:trPr>
          <w:trHeight w:val="492"/>
        </w:trPr>
        <w:tc>
          <w:tcPr>
            <w:tcW w:w="6768" w:type="dxa"/>
            <w:gridSpan w:val="3"/>
          </w:tcPr>
          <w:p w14:paraId="6D9A3AFE" w14:textId="77777777" w:rsidR="00EE6A38" w:rsidRPr="00230F35" w:rsidRDefault="00EE6A38" w:rsidP="001E4EB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0D619EF" w14:textId="77777777" w:rsidR="00EE6A38" w:rsidRPr="00230F35" w:rsidRDefault="00EE6A38" w:rsidP="001E4EB9">
            <w:pPr>
              <w:pStyle w:val="NormalWeb"/>
              <w:spacing w:after="0"/>
              <w:ind w:left="142" w:right="34"/>
              <w:rPr>
                <w:rFonts w:ascii="Arial" w:hAnsi="Arial" w:cs="Arial"/>
                <w:sz w:val="22"/>
                <w:szCs w:val="22"/>
              </w:rPr>
            </w:pPr>
            <w:r w:rsidRPr="00230F35">
              <w:rPr>
                <w:rFonts w:ascii="Arial" w:hAnsi="Arial" w:cs="Arial"/>
                <w:sz w:val="22"/>
                <w:szCs w:val="22"/>
              </w:rPr>
              <w:t>Date:</w:t>
            </w:r>
          </w:p>
        </w:tc>
      </w:tr>
      <w:tr w:rsidR="00EE6A38" w:rsidRPr="002F467C" w14:paraId="5BA27724" w14:textId="77777777" w:rsidTr="001E4EB9">
        <w:tc>
          <w:tcPr>
            <w:tcW w:w="8856" w:type="dxa"/>
            <w:gridSpan w:val="5"/>
          </w:tcPr>
          <w:p w14:paraId="651768FF" w14:textId="77777777" w:rsidR="00EE6A38" w:rsidRPr="00230F35" w:rsidRDefault="00EE6A38" w:rsidP="001E4EB9">
            <w:pPr>
              <w:pStyle w:val="NormalWeb"/>
              <w:spacing w:before="0" w:beforeAutospacing="0" w:after="0" w:afterAutospacing="0"/>
              <w:ind w:right="-334"/>
              <w:rPr>
                <w:rFonts w:ascii="Arial" w:hAnsi="Arial" w:cs="Arial"/>
                <w:bCs/>
                <w:i/>
                <w:sz w:val="22"/>
                <w:szCs w:val="22"/>
              </w:rPr>
            </w:pPr>
          </w:p>
          <w:p w14:paraId="4E23EAC2" w14:textId="77777777" w:rsidR="00EE6A38" w:rsidRPr="00230F35" w:rsidRDefault="00EE6A38" w:rsidP="001E4EB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2F1F270" w14:textId="77777777" w:rsidR="00EE6A38" w:rsidRPr="00230F35" w:rsidRDefault="00EE6A38" w:rsidP="001E4EB9">
            <w:pPr>
              <w:pStyle w:val="NormalWeb"/>
              <w:spacing w:before="0" w:beforeAutospacing="0" w:after="0" w:afterAutospacing="0"/>
              <w:ind w:right="-334"/>
              <w:rPr>
                <w:rFonts w:ascii="Arial" w:hAnsi="Arial" w:cs="Arial"/>
                <w:b/>
                <w:bCs/>
                <w:sz w:val="22"/>
                <w:szCs w:val="22"/>
              </w:rPr>
            </w:pPr>
          </w:p>
          <w:p w14:paraId="26EE83FD"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74A3776"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653E6655"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5E8BB20"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6C5F71D8"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49F66A7"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1231DFD3"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1E645C40"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0B33B861"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5A350C65" w14:textId="77777777" w:rsidR="00EE6A38" w:rsidRDefault="00EE6A38" w:rsidP="001E4EB9">
            <w:pPr>
              <w:pStyle w:val="NormalWeb"/>
              <w:spacing w:before="0" w:beforeAutospacing="0" w:after="0" w:afterAutospacing="0"/>
              <w:ind w:right="-334"/>
              <w:rPr>
                <w:rFonts w:ascii="Arial" w:hAnsi="Arial" w:cs="Arial"/>
                <w:bCs/>
                <w:sz w:val="22"/>
                <w:szCs w:val="22"/>
              </w:rPr>
            </w:pPr>
          </w:p>
          <w:p w14:paraId="40297082"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10CE01B2"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4A23D4AB"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tc>
      </w:tr>
      <w:tr w:rsidR="00EE6A38" w:rsidRPr="002F467C" w14:paraId="40635EF5" w14:textId="77777777" w:rsidTr="001E4EB9">
        <w:trPr>
          <w:trHeight w:val="720"/>
        </w:trPr>
        <w:tc>
          <w:tcPr>
            <w:tcW w:w="5211" w:type="dxa"/>
            <w:gridSpan w:val="2"/>
          </w:tcPr>
          <w:p w14:paraId="02C183D0"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54EA6CF9"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E6A38" w:rsidRPr="002F467C" w14:paraId="43FEBCF0" w14:textId="77777777" w:rsidTr="001E4EB9">
        <w:trPr>
          <w:trHeight w:val="720"/>
        </w:trPr>
        <w:tc>
          <w:tcPr>
            <w:tcW w:w="8856" w:type="dxa"/>
            <w:gridSpan w:val="5"/>
          </w:tcPr>
          <w:p w14:paraId="3F3EA6F5" w14:textId="77777777" w:rsidR="00EE6A38" w:rsidRPr="00B34964" w:rsidRDefault="00EE6A38" w:rsidP="001E4EB9">
            <w:pPr>
              <w:rPr>
                <w:rFonts w:ascii="Arial" w:hAnsi="Arial" w:cs="Arial"/>
                <w:b/>
              </w:rPr>
            </w:pPr>
            <w:r w:rsidRPr="00B34964">
              <w:rPr>
                <w:rFonts w:ascii="Arial" w:hAnsi="Arial" w:cs="Arial"/>
                <w:b/>
              </w:rPr>
              <w:t>External Examiner’s comments (if relevant)</w:t>
            </w:r>
          </w:p>
          <w:p w14:paraId="6197E98E"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1BE7E3A6"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A1522D6"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07E622D1"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2D272CF"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7E8B4297"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3F86A16D"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AEBB521"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F90875C" w14:textId="77777777" w:rsidR="00EE6A38" w:rsidRDefault="00EE6A38" w:rsidP="001E4EB9">
            <w:pPr>
              <w:pStyle w:val="NormalWeb"/>
              <w:spacing w:before="0" w:beforeAutospacing="0" w:after="0" w:afterAutospacing="0"/>
              <w:ind w:right="-334"/>
              <w:rPr>
                <w:rFonts w:ascii="Arial" w:hAnsi="Arial" w:cs="Arial"/>
                <w:bCs/>
                <w:sz w:val="22"/>
                <w:szCs w:val="22"/>
              </w:rPr>
            </w:pPr>
          </w:p>
          <w:p w14:paraId="56A59C21"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p w14:paraId="2A63714F" w14:textId="77777777" w:rsidR="00EE6A38" w:rsidRPr="00230F35" w:rsidRDefault="00EE6A38" w:rsidP="001E4EB9">
            <w:pPr>
              <w:pStyle w:val="NormalWeb"/>
              <w:spacing w:before="0" w:beforeAutospacing="0" w:after="0" w:afterAutospacing="0"/>
              <w:ind w:right="-334"/>
              <w:rPr>
                <w:rFonts w:ascii="Arial" w:hAnsi="Arial" w:cs="Arial"/>
                <w:bCs/>
                <w:sz w:val="22"/>
                <w:szCs w:val="22"/>
              </w:rPr>
            </w:pPr>
          </w:p>
        </w:tc>
      </w:tr>
      <w:tr w:rsidR="00EE6A38" w:rsidRPr="002F467C" w14:paraId="44963DAC" w14:textId="77777777" w:rsidTr="001E4EB9">
        <w:trPr>
          <w:trHeight w:val="720"/>
        </w:trPr>
        <w:tc>
          <w:tcPr>
            <w:tcW w:w="5211" w:type="dxa"/>
            <w:gridSpan w:val="2"/>
          </w:tcPr>
          <w:p w14:paraId="1EA329D7" w14:textId="77777777" w:rsidR="00EE6A38" w:rsidRPr="00230F35" w:rsidRDefault="00EE6A38" w:rsidP="001E4EB9">
            <w:pPr>
              <w:rPr>
                <w:rFonts w:ascii="Arial" w:hAnsi="Arial" w:cs="Arial"/>
              </w:rPr>
            </w:pPr>
            <w:r w:rsidRPr="00230F35">
              <w:rPr>
                <w:rFonts w:ascii="Arial" w:hAnsi="Arial" w:cs="Arial"/>
              </w:rPr>
              <w:t>External Examiner’s Signature:</w:t>
            </w:r>
          </w:p>
        </w:tc>
        <w:tc>
          <w:tcPr>
            <w:tcW w:w="3645" w:type="dxa"/>
            <w:gridSpan w:val="3"/>
          </w:tcPr>
          <w:p w14:paraId="7488F119" w14:textId="77777777" w:rsidR="00EE6A38" w:rsidRPr="00230F35" w:rsidRDefault="00EE6A38" w:rsidP="001E4EB9">
            <w:pPr>
              <w:rPr>
                <w:rFonts w:ascii="Arial" w:hAnsi="Arial" w:cs="Arial"/>
              </w:rPr>
            </w:pPr>
            <w:r w:rsidRPr="00230F35">
              <w:rPr>
                <w:rFonts w:ascii="Arial" w:hAnsi="Arial" w:cs="Arial"/>
              </w:rPr>
              <w:t>Date:</w:t>
            </w:r>
          </w:p>
        </w:tc>
      </w:tr>
    </w:tbl>
    <w:p w14:paraId="52C8D769" w14:textId="77777777" w:rsidR="00EE6A38" w:rsidRDefault="00EE6A38" w:rsidP="00EE6A38"/>
    <w:p w14:paraId="7DFCAE82" w14:textId="77777777" w:rsidR="00EE6A38" w:rsidRDefault="00EE6A38" w:rsidP="00EE6A38"/>
    <w:p w14:paraId="61BFA97C" w14:textId="77777777" w:rsidR="00EE6A38" w:rsidRDefault="00EE6A38" w:rsidP="00EE6A38"/>
    <w:p w14:paraId="00000001" w14:textId="77777777" w:rsidR="007011E1" w:rsidRDefault="007011E1">
      <w:pPr>
        <w:ind w:firstLine="0"/>
        <w:rPr>
          <w:rFonts w:eastAsia="Times New Roman" w:cs="Times New Roman"/>
          <w:b/>
          <w:szCs w:val="24"/>
        </w:rPr>
      </w:pPr>
    </w:p>
    <w:p w14:paraId="6511D887" w14:textId="77777777" w:rsidR="00EE6A38" w:rsidRDefault="00EE6A38">
      <w:pPr>
        <w:ind w:firstLine="0"/>
        <w:rPr>
          <w:rFonts w:eastAsia="Times New Roman" w:cs="Times New Roman"/>
          <w:b/>
          <w:szCs w:val="24"/>
        </w:rPr>
      </w:pPr>
    </w:p>
    <w:p w14:paraId="11126FD8" w14:textId="77777777" w:rsidR="00EE6A38" w:rsidRDefault="00EE6A38">
      <w:pPr>
        <w:ind w:firstLine="0"/>
        <w:rPr>
          <w:rFonts w:eastAsia="Times New Roman" w:cs="Times New Roman"/>
          <w:b/>
          <w:szCs w:val="24"/>
        </w:rPr>
      </w:pPr>
    </w:p>
    <w:p w14:paraId="7E4BF78D" w14:textId="77777777" w:rsidR="00EE6A38" w:rsidRDefault="00EE6A38">
      <w:pPr>
        <w:ind w:firstLine="0"/>
        <w:rPr>
          <w:rFonts w:eastAsia="Times New Roman" w:cs="Times New Roman"/>
          <w:b/>
          <w:szCs w:val="24"/>
        </w:rPr>
      </w:pPr>
    </w:p>
    <w:p w14:paraId="0D0D6E82" w14:textId="77777777" w:rsidR="00EE6A38" w:rsidRDefault="00EE6A38">
      <w:pPr>
        <w:ind w:firstLine="0"/>
        <w:rPr>
          <w:rFonts w:eastAsia="Times New Roman" w:cs="Times New Roman"/>
          <w:b/>
          <w:szCs w:val="24"/>
        </w:rPr>
      </w:pPr>
    </w:p>
    <w:p w14:paraId="76DE5109" w14:textId="77777777" w:rsidR="00EE6A38" w:rsidRDefault="00EE6A38">
      <w:pPr>
        <w:ind w:firstLine="0"/>
        <w:rPr>
          <w:rFonts w:eastAsia="Times New Roman" w:cs="Times New Roman"/>
          <w:b/>
          <w:szCs w:val="24"/>
        </w:rPr>
      </w:pPr>
    </w:p>
    <w:p w14:paraId="75700714" w14:textId="77777777" w:rsidR="00EE6A38" w:rsidRDefault="00EE6A38">
      <w:pPr>
        <w:ind w:firstLine="0"/>
        <w:rPr>
          <w:rFonts w:eastAsia="Times New Roman" w:cs="Times New Roman"/>
          <w:b/>
          <w:szCs w:val="24"/>
        </w:rPr>
      </w:pPr>
    </w:p>
    <w:p w14:paraId="71819F94" w14:textId="77777777" w:rsidR="00EE6A38" w:rsidRDefault="00EE6A38">
      <w:pPr>
        <w:ind w:firstLine="0"/>
        <w:rPr>
          <w:rFonts w:eastAsia="Times New Roman" w:cs="Times New Roman"/>
          <w:b/>
          <w:szCs w:val="24"/>
        </w:rPr>
      </w:pPr>
    </w:p>
    <w:p w14:paraId="208B5A88" w14:textId="77777777" w:rsidR="00EE6A38" w:rsidRDefault="00EE6A38">
      <w:pPr>
        <w:ind w:firstLine="0"/>
        <w:rPr>
          <w:rFonts w:eastAsia="Times New Roman" w:cs="Times New Roman"/>
          <w:b/>
          <w:szCs w:val="24"/>
        </w:rPr>
      </w:pPr>
    </w:p>
    <w:p w14:paraId="76D81D4F" w14:textId="77777777" w:rsidR="00EE6A38" w:rsidRDefault="00EE6A38">
      <w:pPr>
        <w:ind w:firstLine="0"/>
        <w:rPr>
          <w:rFonts w:eastAsia="Times New Roman" w:cs="Times New Roman"/>
          <w:b/>
          <w:szCs w:val="24"/>
        </w:rPr>
      </w:pPr>
    </w:p>
    <w:p w14:paraId="233650E9" w14:textId="77777777" w:rsidR="00EE6A38" w:rsidRDefault="00EE6A38">
      <w:pPr>
        <w:ind w:firstLine="0"/>
        <w:rPr>
          <w:rFonts w:eastAsia="Times New Roman" w:cs="Times New Roman"/>
          <w:b/>
          <w:szCs w:val="24"/>
        </w:rPr>
      </w:pPr>
    </w:p>
    <w:p w14:paraId="00000002" w14:textId="77777777" w:rsidR="007011E1" w:rsidRDefault="007011E1">
      <w:pPr>
        <w:ind w:firstLine="0"/>
        <w:rPr>
          <w:rFonts w:eastAsia="Times New Roman" w:cs="Times New Roman"/>
          <w:b/>
          <w:szCs w:val="24"/>
        </w:rPr>
      </w:pPr>
    </w:p>
    <w:p w14:paraId="00000003" w14:textId="77777777" w:rsidR="007011E1" w:rsidRDefault="007011E1">
      <w:pPr>
        <w:ind w:firstLine="0"/>
        <w:rPr>
          <w:rFonts w:eastAsia="Times New Roman" w:cs="Times New Roman"/>
          <w:b/>
          <w:szCs w:val="24"/>
        </w:rPr>
      </w:pPr>
    </w:p>
    <w:p w14:paraId="00000004" w14:textId="77777777" w:rsidR="007011E1" w:rsidRDefault="007011E1">
      <w:pPr>
        <w:ind w:firstLine="0"/>
        <w:rPr>
          <w:rFonts w:eastAsia="Times New Roman" w:cs="Times New Roman"/>
          <w:b/>
          <w:szCs w:val="24"/>
        </w:rPr>
      </w:pPr>
    </w:p>
    <w:p w14:paraId="00000005" w14:textId="77777777" w:rsidR="007011E1" w:rsidRDefault="00000000">
      <w:pPr>
        <w:ind w:firstLine="0"/>
        <w:rPr>
          <w:rFonts w:eastAsia="Times New Roman" w:cs="Times New Roman"/>
          <w:b/>
          <w:szCs w:val="24"/>
        </w:rPr>
      </w:pPr>
      <w:r>
        <w:rPr>
          <w:rFonts w:eastAsia="Times New Roman" w:cs="Times New Roman"/>
          <w:b/>
          <w:szCs w:val="24"/>
        </w:rPr>
        <w:t xml:space="preserve">A Critical Review of Cicero’s Arguments Against Divination in </w:t>
      </w:r>
      <w:r>
        <w:rPr>
          <w:rFonts w:eastAsia="Times New Roman" w:cs="Times New Roman"/>
          <w:b/>
          <w:i/>
          <w:szCs w:val="24"/>
        </w:rPr>
        <w:t xml:space="preserve">De </w:t>
      </w:r>
      <w:proofErr w:type="spellStart"/>
      <w:r>
        <w:rPr>
          <w:rFonts w:eastAsia="Times New Roman" w:cs="Times New Roman"/>
          <w:b/>
          <w:i/>
          <w:szCs w:val="24"/>
        </w:rPr>
        <w:t>Divinatione</w:t>
      </w:r>
      <w:proofErr w:type="spellEnd"/>
      <w:r>
        <w:rPr>
          <w:rFonts w:eastAsia="Times New Roman" w:cs="Times New Roman"/>
          <w:b/>
          <w:szCs w:val="24"/>
        </w:rPr>
        <w:t xml:space="preserve"> </w:t>
      </w:r>
    </w:p>
    <w:p w14:paraId="00000006" w14:textId="77777777" w:rsidR="007011E1" w:rsidRDefault="007011E1">
      <w:pPr>
        <w:ind w:firstLine="0"/>
        <w:rPr>
          <w:rFonts w:eastAsia="Times New Roman" w:cs="Times New Roman"/>
          <w:b/>
          <w:szCs w:val="24"/>
        </w:rPr>
      </w:pPr>
    </w:p>
    <w:p w14:paraId="00000007" w14:textId="77777777" w:rsidR="007011E1" w:rsidRDefault="00000000">
      <w:pPr>
        <w:ind w:firstLine="0"/>
        <w:rPr>
          <w:rFonts w:eastAsia="Times New Roman" w:cs="Times New Roman"/>
          <w:szCs w:val="24"/>
        </w:rPr>
      </w:pPr>
      <w:r>
        <w:rPr>
          <w:rFonts w:eastAsia="Times New Roman" w:cs="Times New Roman"/>
          <w:szCs w:val="24"/>
        </w:rPr>
        <w:t>Shelby Bundy</w:t>
      </w:r>
    </w:p>
    <w:p w14:paraId="00000008" w14:textId="77777777" w:rsidR="007011E1" w:rsidRDefault="00000000">
      <w:pPr>
        <w:ind w:firstLine="0"/>
        <w:rPr>
          <w:rFonts w:eastAsia="Times New Roman" w:cs="Times New Roman"/>
          <w:szCs w:val="24"/>
        </w:rPr>
      </w:pPr>
      <w:r>
        <w:rPr>
          <w:rFonts w:eastAsia="Times New Roman" w:cs="Times New Roman"/>
          <w:szCs w:val="24"/>
        </w:rPr>
        <w:t>University of Wales</w:t>
      </w:r>
    </w:p>
    <w:p w14:paraId="00000009" w14:textId="65BB75C9" w:rsidR="007011E1" w:rsidRDefault="00000000">
      <w:pPr>
        <w:ind w:firstLine="0"/>
        <w:rPr>
          <w:rFonts w:eastAsia="Times New Roman" w:cs="Times New Roman"/>
          <w:szCs w:val="24"/>
        </w:rPr>
      </w:pPr>
      <w:r>
        <w:rPr>
          <w:rFonts w:eastAsia="Times New Roman" w:cs="Times New Roman"/>
          <w:szCs w:val="24"/>
        </w:rPr>
        <w:t>Cosmology</w:t>
      </w:r>
      <w:r w:rsidR="00EE6A38">
        <w:rPr>
          <w:rFonts w:eastAsia="Times New Roman" w:cs="Times New Roman"/>
          <w:szCs w:val="24"/>
        </w:rPr>
        <w:t>, Magic</w:t>
      </w:r>
      <w:r>
        <w:rPr>
          <w:rFonts w:eastAsia="Times New Roman" w:cs="Times New Roman"/>
          <w:szCs w:val="24"/>
        </w:rPr>
        <w:t xml:space="preserve"> and Divination</w:t>
      </w:r>
    </w:p>
    <w:p w14:paraId="59B05B76" w14:textId="31E52960" w:rsidR="005F3215" w:rsidRDefault="005F3215">
      <w:pPr>
        <w:ind w:firstLine="0"/>
        <w:rPr>
          <w:rFonts w:eastAsia="Times New Roman" w:cs="Times New Roman"/>
          <w:szCs w:val="24"/>
        </w:rPr>
      </w:pPr>
      <w:r w:rsidRPr="005F3215">
        <w:rPr>
          <w:rFonts w:eastAsia="Times New Roman" w:cs="Times New Roman"/>
          <w:szCs w:val="24"/>
        </w:rPr>
        <w:t>HPCA7027</w:t>
      </w:r>
    </w:p>
    <w:p w14:paraId="0000000A" w14:textId="6F434517" w:rsidR="007011E1" w:rsidRDefault="00000000">
      <w:pPr>
        <w:ind w:firstLine="0"/>
        <w:rPr>
          <w:rFonts w:eastAsia="Times New Roman" w:cs="Times New Roman"/>
          <w:szCs w:val="24"/>
        </w:rPr>
      </w:pPr>
      <w:r>
        <w:rPr>
          <w:rFonts w:eastAsia="Times New Roman" w:cs="Times New Roman"/>
          <w:szCs w:val="24"/>
        </w:rPr>
        <w:t>July 2</w:t>
      </w:r>
      <w:r w:rsidR="00EE6A38">
        <w:rPr>
          <w:rFonts w:eastAsia="Times New Roman" w:cs="Times New Roman"/>
          <w:szCs w:val="24"/>
        </w:rPr>
        <w:t>4</w:t>
      </w:r>
      <w:r>
        <w:rPr>
          <w:rFonts w:eastAsia="Times New Roman" w:cs="Times New Roman"/>
          <w:szCs w:val="24"/>
        </w:rPr>
        <w:t>, 2025</w:t>
      </w:r>
    </w:p>
    <w:p w14:paraId="0000000B" w14:textId="77777777" w:rsidR="007011E1" w:rsidRDefault="007011E1">
      <w:pPr>
        <w:ind w:firstLine="0"/>
        <w:rPr>
          <w:rFonts w:eastAsia="Times New Roman" w:cs="Times New Roman"/>
          <w:szCs w:val="24"/>
        </w:rPr>
      </w:pPr>
    </w:p>
    <w:p w14:paraId="0000000C" w14:textId="77777777" w:rsidR="007011E1" w:rsidRDefault="007011E1">
      <w:pPr>
        <w:ind w:firstLine="0"/>
        <w:rPr>
          <w:rFonts w:eastAsia="Times New Roman" w:cs="Times New Roman"/>
          <w:szCs w:val="24"/>
        </w:rPr>
      </w:pPr>
    </w:p>
    <w:p w14:paraId="0000000D" w14:textId="77777777" w:rsidR="007011E1" w:rsidRDefault="007011E1">
      <w:pPr>
        <w:ind w:firstLine="0"/>
        <w:rPr>
          <w:rFonts w:eastAsia="Times New Roman" w:cs="Times New Roman"/>
          <w:szCs w:val="24"/>
        </w:rPr>
      </w:pPr>
    </w:p>
    <w:p w14:paraId="0000000E" w14:textId="77777777" w:rsidR="007011E1" w:rsidRDefault="007011E1">
      <w:pPr>
        <w:ind w:firstLine="0"/>
        <w:rPr>
          <w:rFonts w:eastAsia="Times New Roman" w:cs="Times New Roman"/>
          <w:szCs w:val="24"/>
        </w:rPr>
      </w:pPr>
    </w:p>
    <w:p w14:paraId="0000000F" w14:textId="77777777" w:rsidR="007011E1" w:rsidRDefault="007011E1">
      <w:pPr>
        <w:ind w:firstLine="0"/>
        <w:rPr>
          <w:rFonts w:eastAsia="Times New Roman" w:cs="Times New Roman"/>
          <w:szCs w:val="24"/>
        </w:rPr>
      </w:pPr>
    </w:p>
    <w:p w14:paraId="00000010" w14:textId="77777777" w:rsidR="007011E1" w:rsidRDefault="007011E1">
      <w:pPr>
        <w:ind w:firstLine="0"/>
        <w:rPr>
          <w:rFonts w:eastAsia="Times New Roman" w:cs="Times New Roman"/>
          <w:szCs w:val="24"/>
        </w:rPr>
      </w:pPr>
    </w:p>
    <w:p w14:paraId="00000011" w14:textId="77777777" w:rsidR="007011E1" w:rsidRDefault="007011E1">
      <w:pPr>
        <w:ind w:firstLine="0"/>
        <w:rPr>
          <w:rFonts w:eastAsia="Times New Roman" w:cs="Times New Roman"/>
          <w:b/>
          <w:szCs w:val="24"/>
        </w:rPr>
      </w:pPr>
    </w:p>
    <w:p w14:paraId="00000012" w14:textId="77777777" w:rsidR="007011E1" w:rsidRDefault="007011E1">
      <w:pPr>
        <w:ind w:firstLine="0"/>
        <w:rPr>
          <w:rFonts w:eastAsia="Times New Roman" w:cs="Times New Roman"/>
          <w:b/>
          <w:szCs w:val="24"/>
        </w:rPr>
      </w:pPr>
    </w:p>
    <w:p w14:paraId="00000013" w14:textId="77777777" w:rsidR="007011E1" w:rsidRDefault="007011E1">
      <w:pPr>
        <w:ind w:firstLine="0"/>
        <w:rPr>
          <w:rFonts w:eastAsia="Times New Roman" w:cs="Times New Roman"/>
          <w:b/>
          <w:szCs w:val="24"/>
        </w:rPr>
      </w:pPr>
    </w:p>
    <w:p w14:paraId="00000014" w14:textId="77777777" w:rsidR="007011E1" w:rsidRDefault="007011E1">
      <w:pPr>
        <w:ind w:firstLine="0"/>
        <w:rPr>
          <w:rFonts w:eastAsia="Times New Roman" w:cs="Times New Roman"/>
          <w:b/>
          <w:szCs w:val="24"/>
        </w:rPr>
      </w:pPr>
    </w:p>
    <w:p w14:paraId="5160AE7C" w14:textId="77777777" w:rsidR="005F3215" w:rsidRDefault="00000000" w:rsidP="005F3215">
      <w:pPr>
        <w:spacing w:line="240" w:lineRule="auto"/>
        <w:ind w:firstLine="0"/>
        <w:rPr>
          <w:rFonts w:eastAsia="Times New Roman" w:cs="Times New Roman"/>
          <w:b/>
          <w:i/>
          <w:szCs w:val="24"/>
        </w:rPr>
      </w:pPr>
      <w:r>
        <w:rPr>
          <w:rFonts w:eastAsia="Times New Roman" w:cs="Times New Roman"/>
          <w:b/>
          <w:szCs w:val="24"/>
        </w:rPr>
        <w:lastRenderedPageBreak/>
        <w:t xml:space="preserve">A Critical Review of Cicero’s Arguments Against Divination in </w:t>
      </w:r>
      <w:r>
        <w:rPr>
          <w:rFonts w:eastAsia="Times New Roman" w:cs="Times New Roman"/>
          <w:b/>
          <w:i/>
          <w:szCs w:val="24"/>
        </w:rPr>
        <w:t xml:space="preserve">De </w:t>
      </w:r>
      <w:proofErr w:type="spellStart"/>
      <w:r>
        <w:rPr>
          <w:rFonts w:eastAsia="Times New Roman" w:cs="Times New Roman"/>
          <w:b/>
          <w:i/>
          <w:szCs w:val="24"/>
        </w:rPr>
        <w:t>Divinatione</w:t>
      </w:r>
      <w:proofErr w:type="spellEnd"/>
    </w:p>
    <w:p w14:paraId="00000018" w14:textId="20755C3F" w:rsidR="007011E1" w:rsidRDefault="00000000" w:rsidP="005F3215">
      <w:pPr>
        <w:spacing w:line="240" w:lineRule="auto"/>
        <w:ind w:firstLine="0"/>
        <w:rPr>
          <w:rFonts w:eastAsia="Times New Roman" w:cs="Times New Roman"/>
          <w:b/>
          <w:szCs w:val="24"/>
        </w:rPr>
      </w:pPr>
      <w:r>
        <w:rPr>
          <w:rFonts w:eastAsia="Times New Roman" w:cs="Times New Roman"/>
          <w:b/>
          <w:szCs w:val="24"/>
        </w:rPr>
        <w:t xml:space="preserve"> </w:t>
      </w:r>
    </w:p>
    <w:p w14:paraId="00000019" w14:textId="76AD4897"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This essay critically reviews Marcus Tullius Cicero’s </w:t>
      </w:r>
      <w:r>
        <w:rPr>
          <w:rFonts w:eastAsia="Times New Roman" w:cs="Times New Roman"/>
          <w:i/>
          <w:szCs w:val="24"/>
        </w:rPr>
        <w:t xml:space="preserve">De </w:t>
      </w:r>
      <w:proofErr w:type="spellStart"/>
      <w:r>
        <w:rPr>
          <w:rFonts w:eastAsia="Times New Roman" w:cs="Times New Roman"/>
          <w:i/>
          <w:szCs w:val="24"/>
        </w:rPr>
        <w:t>Divinatione</w:t>
      </w:r>
      <w:proofErr w:type="spellEnd"/>
      <w:r>
        <w:rPr>
          <w:rFonts w:eastAsia="Times New Roman" w:cs="Times New Roman"/>
          <w:szCs w:val="24"/>
        </w:rPr>
        <w:t>, a philosophical dialogue composed in the final year of his life, 44 BCE.</w:t>
      </w:r>
      <w:r>
        <w:rPr>
          <w:rFonts w:eastAsia="Times New Roman" w:cs="Times New Roman"/>
          <w:szCs w:val="24"/>
          <w:vertAlign w:val="superscript"/>
        </w:rPr>
        <w:footnoteReference w:id="1"/>
      </w:r>
      <w:r>
        <w:rPr>
          <w:rFonts w:eastAsia="Times New Roman" w:cs="Times New Roman"/>
          <w:szCs w:val="24"/>
        </w:rPr>
        <w:t xml:space="preserve"> The treatise is structured as a two-part conversation between Cicero and his brother Quintus. </w:t>
      </w:r>
      <w:r w:rsidR="007E2480">
        <w:rPr>
          <w:rFonts w:eastAsia="Times New Roman" w:cs="Times New Roman"/>
          <w:szCs w:val="24"/>
        </w:rPr>
        <w:t xml:space="preserve">In Book I, </w:t>
      </w:r>
      <w:r>
        <w:rPr>
          <w:rFonts w:eastAsia="Times New Roman" w:cs="Times New Roman"/>
          <w:szCs w:val="24"/>
        </w:rPr>
        <w:t>Quintus defends the practice of divination, asserting that signs from the gods—such as omens, dreams, and celestial phenomena—can provide insight into future events.</w:t>
      </w:r>
      <w:r>
        <w:rPr>
          <w:rFonts w:eastAsia="Times New Roman" w:cs="Times New Roman"/>
          <w:szCs w:val="24"/>
          <w:vertAlign w:val="superscript"/>
        </w:rPr>
        <w:footnoteReference w:id="2"/>
      </w:r>
      <w:r>
        <w:rPr>
          <w:rFonts w:eastAsia="Times New Roman" w:cs="Times New Roman"/>
          <w:szCs w:val="24"/>
        </w:rPr>
        <w:t xml:space="preserve"> In Book II, Cicero offers a systematic rebuttal, questioning the rationality, coherence, and evidentiary basis of these claims.</w:t>
      </w:r>
      <w:r>
        <w:rPr>
          <w:rFonts w:eastAsia="Times New Roman" w:cs="Times New Roman"/>
          <w:szCs w:val="24"/>
          <w:vertAlign w:val="superscript"/>
        </w:rPr>
        <w:footnoteReference w:id="3"/>
      </w:r>
      <w:r>
        <w:rPr>
          <w:rFonts w:eastAsia="Times New Roman" w:cs="Times New Roman"/>
          <w:szCs w:val="24"/>
        </w:rPr>
        <w:t xml:space="preserve"> </w:t>
      </w:r>
    </w:p>
    <w:p w14:paraId="362FD6F1" w14:textId="77777777" w:rsidR="005F3215" w:rsidRDefault="005F3215" w:rsidP="005F3215">
      <w:pPr>
        <w:spacing w:line="240" w:lineRule="auto"/>
        <w:jc w:val="left"/>
        <w:rPr>
          <w:rFonts w:eastAsia="Times New Roman" w:cs="Times New Roman"/>
          <w:szCs w:val="24"/>
        </w:rPr>
      </w:pPr>
    </w:p>
    <w:p w14:paraId="0000001A" w14:textId="2B0CDFD5" w:rsidR="007011E1" w:rsidRDefault="00000000" w:rsidP="005F3215">
      <w:pPr>
        <w:spacing w:line="240" w:lineRule="auto"/>
        <w:jc w:val="left"/>
        <w:rPr>
          <w:rFonts w:eastAsia="Times New Roman" w:cs="Times New Roman"/>
          <w:szCs w:val="24"/>
        </w:rPr>
      </w:pPr>
      <w:r>
        <w:rPr>
          <w:rFonts w:eastAsia="Times New Roman" w:cs="Times New Roman"/>
          <w:szCs w:val="24"/>
        </w:rPr>
        <w:t>Divination was a central feature of Roman society and religion, and Cicero, a well-known philosopher and statesman, took a critical stance against it in these works, arguing skeptically against the belief that divination was a useful or valid means of acquiring knowledge.</w:t>
      </w:r>
      <w:r>
        <w:rPr>
          <w:rFonts w:eastAsia="Times New Roman" w:cs="Times New Roman"/>
          <w:szCs w:val="24"/>
          <w:vertAlign w:val="superscript"/>
        </w:rPr>
        <w:footnoteReference w:id="4"/>
      </w:r>
      <w:r>
        <w:rPr>
          <w:rFonts w:eastAsia="Times New Roman" w:cs="Times New Roman"/>
          <w:szCs w:val="24"/>
        </w:rPr>
        <w:t xml:space="preserve"> His arguments reflect the principles of Academic Skepticism, a philosophical approach that denies the possibility of certain knowledge while emphasizing reason, probability, and critical inquiry as guides to practical judgment.</w:t>
      </w:r>
      <w:r>
        <w:rPr>
          <w:rFonts w:eastAsia="Times New Roman" w:cs="Times New Roman"/>
          <w:szCs w:val="24"/>
          <w:vertAlign w:val="superscript"/>
        </w:rPr>
        <w:footnoteReference w:id="5"/>
      </w:r>
      <w:r>
        <w:rPr>
          <w:rFonts w:eastAsia="Times New Roman" w:cs="Times New Roman"/>
          <w:szCs w:val="24"/>
          <w:vertAlign w:val="superscript"/>
        </w:rPr>
        <w:t xml:space="preserve"> </w:t>
      </w:r>
      <w:r>
        <w:rPr>
          <w:rFonts w:eastAsia="Times New Roman" w:cs="Times New Roman"/>
          <w:szCs w:val="24"/>
        </w:rPr>
        <w:t>In his works, Cicero aims to demonstrate that divination does not have a basis in either nature, logic, or evidence but serves as a product of superstition and cultural tradition.</w:t>
      </w:r>
      <w:r>
        <w:rPr>
          <w:rFonts w:eastAsia="Times New Roman" w:cs="Times New Roman"/>
          <w:szCs w:val="24"/>
          <w:vertAlign w:val="superscript"/>
        </w:rPr>
        <w:footnoteReference w:id="6"/>
      </w:r>
      <w:r>
        <w:rPr>
          <w:rFonts w:eastAsia="Times New Roman" w:cs="Times New Roman"/>
          <w:szCs w:val="24"/>
        </w:rPr>
        <w:t xml:space="preserve"> </w:t>
      </w:r>
    </w:p>
    <w:p w14:paraId="44F1C7F6" w14:textId="77777777" w:rsidR="005F3215" w:rsidRDefault="005F3215" w:rsidP="005F3215">
      <w:pPr>
        <w:spacing w:line="240" w:lineRule="auto"/>
        <w:jc w:val="left"/>
        <w:rPr>
          <w:rFonts w:eastAsia="Times New Roman" w:cs="Times New Roman"/>
          <w:szCs w:val="24"/>
        </w:rPr>
      </w:pPr>
    </w:p>
    <w:p w14:paraId="0000001B" w14:textId="05D47988"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This paper examines Cicero’s principal arguments against divination as articulated in </w:t>
      </w:r>
      <w:r>
        <w:rPr>
          <w:rFonts w:eastAsia="Times New Roman" w:cs="Times New Roman"/>
          <w:i/>
          <w:szCs w:val="24"/>
        </w:rPr>
        <w:t xml:space="preserve">De </w:t>
      </w:r>
      <w:proofErr w:type="spellStart"/>
      <w:r>
        <w:rPr>
          <w:rFonts w:eastAsia="Times New Roman" w:cs="Times New Roman"/>
          <w:i/>
          <w:szCs w:val="24"/>
        </w:rPr>
        <w:t>Divinatione</w:t>
      </w:r>
      <w:proofErr w:type="spellEnd"/>
      <w:r>
        <w:rPr>
          <w:rFonts w:eastAsia="Times New Roman" w:cs="Times New Roman"/>
          <w:szCs w:val="24"/>
        </w:rPr>
        <w:t xml:space="preserve">, with </w:t>
      </w:r>
      <w:r w:rsidR="0075198B">
        <w:rPr>
          <w:rFonts w:eastAsia="Times New Roman" w:cs="Times New Roman"/>
          <w:szCs w:val="24"/>
        </w:rPr>
        <w:t xml:space="preserve">focused </w:t>
      </w:r>
      <w:r>
        <w:rPr>
          <w:rFonts w:eastAsia="Times New Roman" w:cs="Times New Roman"/>
          <w:szCs w:val="24"/>
        </w:rPr>
        <w:t>attention to their philosophical underpinnings and their implications for Roman religious thought.</w:t>
      </w:r>
    </w:p>
    <w:p w14:paraId="76736F6B" w14:textId="77777777" w:rsidR="005F3215" w:rsidRDefault="005F3215" w:rsidP="005F3215">
      <w:pPr>
        <w:spacing w:line="240" w:lineRule="auto"/>
        <w:jc w:val="left"/>
        <w:rPr>
          <w:rFonts w:eastAsia="Times New Roman" w:cs="Times New Roman"/>
          <w:szCs w:val="24"/>
        </w:rPr>
      </w:pPr>
    </w:p>
    <w:p w14:paraId="0000001C" w14:textId="77777777" w:rsidR="007011E1" w:rsidRDefault="00000000" w:rsidP="005F3215">
      <w:pPr>
        <w:spacing w:line="240" w:lineRule="auto"/>
        <w:ind w:firstLine="0"/>
        <w:rPr>
          <w:rFonts w:eastAsia="Times New Roman" w:cs="Times New Roman"/>
          <w:b/>
          <w:szCs w:val="24"/>
        </w:rPr>
      </w:pPr>
      <w:r>
        <w:rPr>
          <w:rFonts w:eastAsia="Times New Roman" w:cs="Times New Roman"/>
          <w:b/>
          <w:szCs w:val="24"/>
        </w:rPr>
        <w:t>The Implausibility of Divine Communication through Signs</w:t>
      </w:r>
    </w:p>
    <w:p w14:paraId="4AC9E1CA" w14:textId="77777777" w:rsidR="005F3215" w:rsidRDefault="005F3215" w:rsidP="005F3215">
      <w:pPr>
        <w:spacing w:line="240" w:lineRule="auto"/>
        <w:ind w:firstLine="0"/>
        <w:rPr>
          <w:rFonts w:eastAsia="Times New Roman" w:cs="Times New Roman"/>
          <w:b/>
          <w:szCs w:val="24"/>
        </w:rPr>
      </w:pPr>
    </w:p>
    <w:p w14:paraId="0000001D" w14:textId="27F3A5D4" w:rsidR="007011E1" w:rsidRDefault="00000000" w:rsidP="005F3215">
      <w:pPr>
        <w:spacing w:line="240" w:lineRule="auto"/>
        <w:jc w:val="left"/>
        <w:rPr>
          <w:rFonts w:eastAsia="Times New Roman" w:cs="Times New Roman"/>
          <w:szCs w:val="24"/>
        </w:rPr>
      </w:pPr>
      <w:r>
        <w:rPr>
          <w:rFonts w:eastAsia="Times New Roman" w:cs="Times New Roman"/>
          <w:szCs w:val="24"/>
        </w:rPr>
        <w:t>Cicero begins his argument against divination by challenging its foundational assumption: that the gods might use unusual and obscure signs to communicate with people. He questions the plausibility that divine beings would rely on such uncertain media as the configuration of animal entrails, the flight patterns of birds, or the content of dreams to reveal essential truths. To Cicero, these signs are too ambiguous, variable, and open to interpretation to serve any rational or consistent communicative purpose. He asserts that if the gods truly intended to communicate with humanity, they would not conceal their will in the entrails of a slaughtered sheep, bolts of lightning, or the cries of birds.</w:t>
      </w:r>
      <w:r>
        <w:rPr>
          <w:rFonts w:eastAsia="Times New Roman" w:cs="Times New Roman"/>
          <w:szCs w:val="24"/>
          <w:vertAlign w:val="superscript"/>
        </w:rPr>
        <w:footnoteReference w:id="7"/>
      </w:r>
      <w:r>
        <w:rPr>
          <w:rFonts w:eastAsia="Times New Roman" w:cs="Times New Roman"/>
          <w:szCs w:val="24"/>
        </w:rPr>
        <w:t xml:space="preserve"> The apparent randomness of these signs, in his view, renders them indistinguishable from coincidental natural occurrences, thereby undermining </w:t>
      </w:r>
      <w:r>
        <w:rPr>
          <w:rFonts w:eastAsia="Times New Roman" w:cs="Times New Roman"/>
          <w:szCs w:val="24"/>
        </w:rPr>
        <w:lastRenderedPageBreak/>
        <w:t>their credibility.</w:t>
      </w:r>
      <w:r>
        <w:rPr>
          <w:rFonts w:eastAsia="Times New Roman" w:cs="Times New Roman"/>
          <w:szCs w:val="24"/>
          <w:vertAlign w:val="superscript"/>
        </w:rPr>
        <w:footnoteReference w:id="8"/>
      </w:r>
      <w:r>
        <w:rPr>
          <w:rFonts w:eastAsia="Times New Roman" w:cs="Times New Roman"/>
          <w:szCs w:val="24"/>
        </w:rPr>
        <w:t xml:space="preserve"> Cicero ultimately concludes that intelligent and rational deities would not choose such vague or inconsistent means to disclose knowledge of the future.</w:t>
      </w:r>
      <w:r>
        <w:rPr>
          <w:rFonts w:eastAsia="Times New Roman" w:cs="Times New Roman"/>
          <w:szCs w:val="24"/>
          <w:vertAlign w:val="superscript"/>
        </w:rPr>
        <w:footnoteReference w:id="9"/>
      </w:r>
      <w:r>
        <w:rPr>
          <w:rFonts w:eastAsia="Times New Roman" w:cs="Times New Roman"/>
          <w:szCs w:val="24"/>
        </w:rPr>
        <w:t xml:space="preserve"> </w:t>
      </w:r>
    </w:p>
    <w:p w14:paraId="03AD603C" w14:textId="77777777" w:rsidR="005F3215" w:rsidRDefault="005F3215" w:rsidP="005F3215">
      <w:pPr>
        <w:spacing w:line="240" w:lineRule="auto"/>
        <w:jc w:val="left"/>
        <w:rPr>
          <w:rFonts w:eastAsia="Times New Roman" w:cs="Times New Roman"/>
          <w:szCs w:val="24"/>
        </w:rPr>
      </w:pPr>
    </w:p>
    <w:p w14:paraId="0000001E" w14:textId="2ECB79E9" w:rsidR="007011E1" w:rsidRDefault="00000000" w:rsidP="005F3215">
      <w:pPr>
        <w:spacing w:line="240" w:lineRule="auto"/>
        <w:jc w:val="left"/>
        <w:rPr>
          <w:rFonts w:eastAsia="Times New Roman" w:cs="Times New Roman"/>
          <w:szCs w:val="24"/>
        </w:rPr>
      </w:pPr>
      <w:r>
        <w:rPr>
          <w:rFonts w:eastAsia="Times New Roman" w:cs="Times New Roman"/>
          <w:szCs w:val="24"/>
        </w:rPr>
        <w:t>Cicero’s position is persuasive not only because it appeals to common sense but because it reflects a consistent philosophical methodology. He systematically dismantles the foundations of divinatory practice by exposing its internal contradictions and by highlighting its reliance on unverifiable and often contradictory signs. Moreover, he anticipates potential objections by citing examples in which prophetic signs were either meaningless or mutually inconsistent.</w:t>
      </w:r>
      <w:r>
        <w:rPr>
          <w:rFonts w:eastAsia="Times New Roman" w:cs="Times New Roman"/>
          <w:szCs w:val="24"/>
          <w:vertAlign w:val="superscript"/>
        </w:rPr>
        <w:footnoteReference w:id="10"/>
      </w:r>
      <w:r>
        <w:rPr>
          <w:rFonts w:eastAsia="Times New Roman" w:cs="Times New Roman"/>
          <w:szCs w:val="24"/>
        </w:rPr>
        <w:t xml:space="preserve"> His insistence on clarity, evidence, and rational coherence as the basis for understanding truth</w:t>
      </w:r>
      <w:r w:rsidR="005F43D9">
        <w:rPr>
          <w:rFonts w:eastAsia="Times New Roman" w:cs="Times New Roman"/>
          <w:szCs w:val="24"/>
        </w:rPr>
        <w:t xml:space="preserve"> again</w:t>
      </w:r>
      <w:r>
        <w:rPr>
          <w:rFonts w:eastAsia="Times New Roman" w:cs="Times New Roman"/>
          <w:szCs w:val="24"/>
        </w:rPr>
        <w:t xml:space="preserve"> reflect his broader commitment to Academic Skepticism.</w:t>
      </w:r>
      <w:r>
        <w:rPr>
          <w:rFonts w:eastAsia="Times New Roman" w:cs="Times New Roman"/>
          <w:szCs w:val="24"/>
          <w:vertAlign w:val="superscript"/>
        </w:rPr>
        <w:footnoteReference w:id="11"/>
      </w:r>
      <w:r>
        <w:rPr>
          <w:rFonts w:eastAsia="Times New Roman" w:cs="Times New Roman"/>
          <w:szCs w:val="24"/>
        </w:rPr>
        <w:t xml:space="preserve"> In addressing a reader trained in philosophical discourse, Cicero builds a case that not only critiques superstition but also affirms the value of reasoned inquiry as a guide to knowledge.</w:t>
      </w:r>
    </w:p>
    <w:p w14:paraId="2E83CD7D" w14:textId="77777777" w:rsidR="005F3215" w:rsidRDefault="005F3215" w:rsidP="005F3215">
      <w:pPr>
        <w:spacing w:line="240" w:lineRule="auto"/>
        <w:jc w:val="left"/>
        <w:rPr>
          <w:rFonts w:eastAsia="Times New Roman" w:cs="Times New Roman"/>
          <w:szCs w:val="24"/>
        </w:rPr>
      </w:pPr>
    </w:p>
    <w:p w14:paraId="0000001F" w14:textId="481065EA" w:rsidR="007011E1" w:rsidRDefault="00000000" w:rsidP="005F3215">
      <w:pPr>
        <w:spacing w:line="240" w:lineRule="auto"/>
        <w:jc w:val="left"/>
        <w:rPr>
          <w:rFonts w:eastAsia="Times New Roman" w:cs="Times New Roman"/>
          <w:szCs w:val="24"/>
        </w:rPr>
      </w:pPr>
      <w:r>
        <w:rPr>
          <w:rFonts w:eastAsia="Times New Roman" w:cs="Times New Roman"/>
          <w:szCs w:val="24"/>
        </w:rPr>
        <w:t>However, Cicero’s critique is not without its weaknesses. His argument presumes that divine communication must conform to the norms of human logic and dismisses the use of symbolism, ritual, and mystery as valid forms of religious expression.</w:t>
      </w:r>
      <w:r w:rsidR="005F43D9">
        <w:rPr>
          <w:rFonts w:eastAsia="Times New Roman" w:cs="Times New Roman"/>
          <w:szCs w:val="24"/>
        </w:rPr>
        <w:t xml:space="preserve"> </w:t>
      </w:r>
      <w:r>
        <w:rPr>
          <w:rFonts w:eastAsia="Times New Roman" w:cs="Times New Roman"/>
          <w:szCs w:val="24"/>
        </w:rPr>
        <w:t>Yet in many ancient cultures, including Rome, the function of divination was not to provide scientific certainty but to foster a sense of connection with the divine and to guide communal decision-making. The signs he criticizes as ambiguous were, in fact, embedded in a shared symbolic system rooted in tradition and belief.</w:t>
      </w:r>
      <w:r>
        <w:rPr>
          <w:rFonts w:eastAsia="Times New Roman" w:cs="Times New Roman"/>
          <w:szCs w:val="24"/>
          <w:vertAlign w:val="superscript"/>
        </w:rPr>
        <w:footnoteReference w:id="12"/>
      </w:r>
      <w:r>
        <w:rPr>
          <w:rFonts w:eastAsia="Times New Roman" w:cs="Times New Roman"/>
          <w:szCs w:val="24"/>
        </w:rPr>
        <w:t xml:space="preserve"> Cicero overlooks this cultural dimension, approaching divination as though it were a scientific hypothesis rather than a religious practice. Moreover, by focusing on exaggerated or simplistic examples, he risks misrepresenting the lived experience of divination in Roman society. In doing so, Cicero runs the risk of constructing a straw man argument—insisting on literal interpretations of practices that were often understood metaphorically or ritually.</w:t>
      </w:r>
    </w:p>
    <w:p w14:paraId="6BA528E1" w14:textId="77777777" w:rsidR="005F3215" w:rsidRDefault="005F3215" w:rsidP="005F3215">
      <w:pPr>
        <w:spacing w:line="240" w:lineRule="auto"/>
        <w:jc w:val="left"/>
        <w:rPr>
          <w:rFonts w:eastAsia="Times New Roman" w:cs="Times New Roman"/>
          <w:szCs w:val="24"/>
        </w:rPr>
      </w:pPr>
    </w:p>
    <w:p w14:paraId="00000020" w14:textId="70963D07" w:rsidR="007011E1" w:rsidRDefault="00000000" w:rsidP="005F3215">
      <w:pPr>
        <w:spacing w:line="240" w:lineRule="auto"/>
        <w:jc w:val="left"/>
        <w:rPr>
          <w:rFonts w:eastAsia="Times New Roman" w:cs="Times New Roman"/>
          <w:szCs w:val="24"/>
        </w:rPr>
      </w:pPr>
      <w:r>
        <w:rPr>
          <w:rFonts w:eastAsia="Times New Roman" w:cs="Times New Roman"/>
          <w:szCs w:val="24"/>
        </w:rPr>
        <w:t>Although Cicero</w:t>
      </w:r>
      <w:r w:rsidR="0084516A">
        <w:rPr>
          <w:rFonts w:eastAsia="Times New Roman" w:cs="Times New Roman"/>
          <w:szCs w:val="24"/>
        </w:rPr>
        <w:t>’</w:t>
      </w:r>
      <w:r>
        <w:rPr>
          <w:rFonts w:eastAsia="Times New Roman" w:cs="Times New Roman"/>
          <w:szCs w:val="24"/>
        </w:rPr>
        <w:t>s argument is rhetorically compelling in its appeal to logical reasoning, it fails to account for the broader social and psychological functions of divination in Roman society. Divinatory practices served to mitigate uncertainty, provide justification for decision-making, and reinforce a cosmological sense of order and stability within the community.</w:t>
      </w:r>
      <w:r>
        <w:rPr>
          <w:rFonts w:eastAsia="Times New Roman" w:cs="Times New Roman"/>
          <w:szCs w:val="24"/>
          <w:vertAlign w:val="superscript"/>
        </w:rPr>
        <w:footnoteReference w:id="13"/>
      </w:r>
      <w:r>
        <w:rPr>
          <w:rFonts w:eastAsia="Times New Roman" w:cs="Times New Roman"/>
          <w:szCs w:val="24"/>
        </w:rPr>
        <w:t xml:space="preserve"> While </w:t>
      </w:r>
      <w:r w:rsidR="00DE05D7">
        <w:rPr>
          <w:rFonts w:eastAsia="Times New Roman" w:cs="Times New Roman"/>
          <w:szCs w:val="24"/>
        </w:rPr>
        <w:t xml:space="preserve">Cicero’s </w:t>
      </w:r>
      <w:r>
        <w:rPr>
          <w:rFonts w:eastAsia="Times New Roman" w:cs="Times New Roman"/>
          <w:szCs w:val="24"/>
        </w:rPr>
        <w:t>critiques may be persuasive when aimed at those who viewed divination as a method for obtaining objective knowledge about future events, they are less effective against interpretations that regard divination as a meaningful and symbolic religious practice. Thus, Cicero reveals the limitations of divination as a form of epistemology but overlooks its cultural significance and the ritual functions it served within Roman religious life.</w:t>
      </w:r>
      <w:r>
        <w:rPr>
          <w:rFonts w:eastAsia="Times New Roman" w:cs="Times New Roman"/>
          <w:szCs w:val="24"/>
          <w:vertAlign w:val="superscript"/>
        </w:rPr>
        <w:footnoteReference w:id="14"/>
      </w:r>
      <w:r>
        <w:rPr>
          <w:rFonts w:eastAsia="Times New Roman" w:cs="Times New Roman"/>
          <w:szCs w:val="24"/>
        </w:rPr>
        <w:t xml:space="preserve"> </w:t>
      </w:r>
    </w:p>
    <w:p w14:paraId="49F557D9" w14:textId="77777777" w:rsidR="00CA5343" w:rsidRDefault="00CA5343" w:rsidP="005F3215">
      <w:pPr>
        <w:spacing w:line="240" w:lineRule="auto"/>
        <w:ind w:firstLine="0"/>
        <w:rPr>
          <w:rFonts w:eastAsia="Times New Roman" w:cs="Times New Roman"/>
          <w:b/>
          <w:szCs w:val="24"/>
        </w:rPr>
      </w:pPr>
    </w:p>
    <w:p w14:paraId="30202C78" w14:textId="77777777" w:rsidR="000C779F" w:rsidRDefault="000C779F" w:rsidP="005F3215">
      <w:pPr>
        <w:spacing w:line="240" w:lineRule="auto"/>
        <w:ind w:firstLine="0"/>
        <w:rPr>
          <w:rFonts w:eastAsia="Times New Roman" w:cs="Times New Roman"/>
          <w:b/>
          <w:szCs w:val="24"/>
        </w:rPr>
      </w:pPr>
    </w:p>
    <w:p w14:paraId="00000022" w14:textId="3502310A" w:rsidR="007011E1" w:rsidRDefault="00000000" w:rsidP="005F3215">
      <w:pPr>
        <w:spacing w:line="240" w:lineRule="auto"/>
        <w:ind w:firstLine="0"/>
        <w:rPr>
          <w:rFonts w:eastAsia="Times New Roman" w:cs="Times New Roman"/>
          <w:b/>
          <w:szCs w:val="24"/>
        </w:rPr>
      </w:pPr>
      <w:r>
        <w:rPr>
          <w:rFonts w:eastAsia="Times New Roman" w:cs="Times New Roman"/>
          <w:b/>
          <w:szCs w:val="24"/>
        </w:rPr>
        <w:lastRenderedPageBreak/>
        <w:t>Inconsistency and Contradiction Among Diviners</w:t>
      </w:r>
    </w:p>
    <w:p w14:paraId="3146633D" w14:textId="77777777" w:rsidR="005F3215" w:rsidRDefault="005F3215" w:rsidP="005F3215">
      <w:pPr>
        <w:spacing w:line="240" w:lineRule="auto"/>
        <w:ind w:firstLine="0"/>
        <w:rPr>
          <w:rFonts w:eastAsia="Times New Roman" w:cs="Times New Roman"/>
          <w:b/>
          <w:szCs w:val="24"/>
        </w:rPr>
      </w:pPr>
    </w:p>
    <w:p w14:paraId="00000023" w14:textId="7C787A8B"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Cicero argues that the inconsistencies among diviners undermine the credibility of their art. </w:t>
      </w:r>
      <w:r w:rsidR="000C779F">
        <w:rPr>
          <w:rFonts w:eastAsia="Times New Roman" w:cs="Times New Roman"/>
          <w:szCs w:val="24"/>
        </w:rPr>
        <w:t>Positing that if</w:t>
      </w:r>
      <w:r>
        <w:rPr>
          <w:rFonts w:eastAsia="Times New Roman" w:cs="Times New Roman"/>
          <w:szCs w:val="24"/>
        </w:rPr>
        <w:t xml:space="preserve"> divination were a reliable method of accessing objective knowledge from the gods, then different practitioners should arrive at similar interpretations when confronted with the same signs. Instead, as Cicero observes, diviners often contradict one another, even when interpreting identical omens. One augur might declare a sign favorable, while another interprets it as inauspicious.</w:t>
      </w:r>
      <w:r>
        <w:rPr>
          <w:rFonts w:eastAsia="Times New Roman" w:cs="Times New Roman"/>
          <w:szCs w:val="24"/>
          <w:vertAlign w:val="superscript"/>
        </w:rPr>
        <w:footnoteReference w:id="15"/>
      </w:r>
      <w:r>
        <w:rPr>
          <w:rFonts w:eastAsia="Times New Roman" w:cs="Times New Roman"/>
          <w:szCs w:val="24"/>
        </w:rPr>
        <w:t xml:space="preserve"> </w:t>
      </w:r>
      <w:r w:rsidR="008E3541" w:rsidRPr="008E3541">
        <w:rPr>
          <w:rFonts w:eastAsia="Times New Roman" w:cs="Times New Roman"/>
          <w:szCs w:val="24"/>
        </w:rPr>
        <w:t>Such disagreement, Cicero suggests, reveals that divination lacks the internal coherence found in other fields of knowledge, such as astronomy or medicine, which, though not free from debate, operate within shared methodological frameworks that prioritize consistency, cumulative knowledge, and replicable outcomes over subjective interpretation or ambiguous symbolism</w:t>
      </w:r>
      <w:r>
        <w:rPr>
          <w:rFonts w:eastAsia="Times New Roman" w:cs="Times New Roman"/>
          <w:szCs w:val="24"/>
        </w:rPr>
        <w:t>.</w:t>
      </w:r>
      <w:r>
        <w:rPr>
          <w:rFonts w:eastAsia="Times New Roman" w:cs="Times New Roman"/>
          <w:szCs w:val="24"/>
          <w:vertAlign w:val="superscript"/>
        </w:rPr>
        <w:footnoteReference w:id="16"/>
      </w:r>
      <w:r>
        <w:rPr>
          <w:rFonts w:eastAsia="Times New Roman" w:cs="Times New Roman"/>
          <w:szCs w:val="24"/>
        </w:rPr>
        <w:t xml:space="preserve"> </w:t>
      </w:r>
    </w:p>
    <w:p w14:paraId="38610676" w14:textId="77777777" w:rsidR="005F3215" w:rsidRDefault="005F3215" w:rsidP="005F3215">
      <w:pPr>
        <w:spacing w:line="240" w:lineRule="auto"/>
        <w:jc w:val="left"/>
        <w:rPr>
          <w:rFonts w:eastAsia="Times New Roman" w:cs="Times New Roman"/>
          <w:szCs w:val="24"/>
        </w:rPr>
      </w:pPr>
    </w:p>
    <w:p w14:paraId="00000024" w14:textId="4EB017A0" w:rsidR="007011E1" w:rsidRDefault="00000000" w:rsidP="005F3215">
      <w:pPr>
        <w:spacing w:line="240" w:lineRule="auto"/>
        <w:jc w:val="left"/>
        <w:rPr>
          <w:rFonts w:eastAsia="Times New Roman" w:cs="Times New Roman"/>
          <w:szCs w:val="24"/>
        </w:rPr>
      </w:pPr>
      <w:r>
        <w:rPr>
          <w:rFonts w:eastAsia="Times New Roman" w:cs="Times New Roman"/>
          <w:szCs w:val="24"/>
        </w:rPr>
        <w:t>This critique is persuasive because it frames consistency as a hallmark of credible knowledge. Disagreement among supposed experts suggests that divinatory interpretations arise not from divine communication but from human speculation or bias. If divination genuinely conveyed the will of the gods, contradictory readings would imply either human error or, implausibly, divine confusion—an idea Cicero explicitly rejects. By holding diviners to the standards of rational inquiry, he exposes the absence of a verifiable epistemological foundation. This not only calls into question the intellectual legitimacy of divination but also raises doubts about its role in public decision-making, where interpretive errors can have wide-reaching consequences.</w:t>
      </w:r>
    </w:p>
    <w:p w14:paraId="59BDF572" w14:textId="77777777" w:rsidR="005F3215" w:rsidRDefault="005F3215" w:rsidP="005F3215">
      <w:pPr>
        <w:spacing w:line="240" w:lineRule="auto"/>
        <w:jc w:val="left"/>
        <w:rPr>
          <w:rFonts w:eastAsia="Times New Roman" w:cs="Times New Roman"/>
          <w:szCs w:val="24"/>
        </w:rPr>
      </w:pPr>
    </w:p>
    <w:p w14:paraId="6FEEAA10" w14:textId="238540A0" w:rsidR="008E3541" w:rsidRDefault="008E3541" w:rsidP="005F3215">
      <w:pPr>
        <w:spacing w:line="240" w:lineRule="auto"/>
        <w:jc w:val="left"/>
        <w:rPr>
          <w:rFonts w:eastAsia="Times New Roman" w:cs="Times New Roman"/>
          <w:szCs w:val="24"/>
          <w:lang w:val="en-US"/>
        </w:rPr>
      </w:pPr>
      <w:r w:rsidRPr="008E3541">
        <w:rPr>
          <w:rFonts w:eastAsia="Times New Roman" w:cs="Times New Roman"/>
          <w:szCs w:val="24"/>
          <w:lang w:val="en-US"/>
        </w:rPr>
        <w:t>However, Cicero evaluates divination through the lens of science or technical disciplines, which may not align with how the practice was understood or contextualized in ancient Rome. As with sacred texts, a single sign could generate multiple interpretations, and the purpose of divination may have been less about acquiring definitive answers and more about facilitating deliberation. Roman diviners were likely expected to consider the broader context</w:t>
      </w:r>
      <w:r>
        <w:rPr>
          <w:rFonts w:eastAsia="Times New Roman" w:cs="Times New Roman"/>
          <w:szCs w:val="24"/>
          <w:lang w:val="en-US"/>
        </w:rPr>
        <w:t xml:space="preserve">, </w:t>
      </w:r>
      <w:r w:rsidRPr="008E3541">
        <w:rPr>
          <w:rFonts w:eastAsia="Times New Roman" w:cs="Times New Roman"/>
          <w:szCs w:val="24"/>
          <w:lang w:val="en-US"/>
        </w:rPr>
        <w:t>such as individual circumstances, societal conditions, and political tensions</w:t>
      </w:r>
      <w:r>
        <w:rPr>
          <w:rFonts w:eastAsia="Times New Roman" w:cs="Times New Roman"/>
          <w:szCs w:val="24"/>
          <w:lang w:val="en-US"/>
        </w:rPr>
        <w:t xml:space="preserve">, </w:t>
      </w:r>
      <w:r w:rsidRPr="008E3541">
        <w:rPr>
          <w:rFonts w:eastAsia="Times New Roman" w:cs="Times New Roman"/>
          <w:szCs w:val="24"/>
          <w:lang w:val="en-US"/>
        </w:rPr>
        <w:t>when offering their judgments. In this sense, divination functioned more as a social and religious process than a predictive mechanism.</w:t>
      </w:r>
    </w:p>
    <w:p w14:paraId="68BE1985" w14:textId="77777777" w:rsidR="005F3215" w:rsidRPr="008E3541" w:rsidRDefault="005F3215" w:rsidP="005F3215">
      <w:pPr>
        <w:spacing w:line="240" w:lineRule="auto"/>
        <w:jc w:val="left"/>
        <w:rPr>
          <w:rFonts w:eastAsia="Times New Roman" w:cs="Times New Roman"/>
          <w:szCs w:val="24"/>
          <w:lang w:val="en-US"/>
        </w:rPr>
      </w:pPr>
    </w:p>
    <w:p w14:paraId="00000025" w14:textId="7DEE08BB" w:rsidR="007011E1" w:rsidRPr="008E3541" w:rsidRDefault="008E3541" w:rsidP="005F3215">
      <w:pPr>
        <w:spacing w:line="240" w:lineRule="auto"/>
        <w:jc w:val="left"/>
        <w:rPr>
          <w:rFonts w:eastAsia="Times New Roman" w:cs="Times New Roman"/>
          <w:szCs w:val="24"/>
          <w:lang w:val="en-US"/>
        </w:rPr>
      </w:pPr>
      <w:r w:rsidRPr="008E3541">
        <w:rPr>
          <w:rFonts w:eastAsia="Times New Roman" w:cs="Times New Roman"/>
          <w:szCs w:val="24"/>
          <w:lang w:val="en-US"/>
        </w:rPr>
        <w:t>Therefore, variation in interpretation did not necessarily signal a failure of divinatory methods but instead reflected the flexible and adaptive nature of a religious art form. The presence of multiple possible meanings may have allowed diviners to respond to complex or ambiguous situations in ways that preserved social order, upheld ritual propriety, or affirmed the authority of civic institutions. By treating inconsistency as a weakness, Cicero overlooks the possibility that ambiguity, disagreement, and dialogue were accepted—and even valued—as integral features of Roman religious life. His comparison to the precision of scientific disciplines imposes an artificial expectation of accuracy on a practice that was interpretive by design</w:t>
      </w:r>
      <w:r>
        <w:rPr>
          <w:rFonts w:eastAsia="Times New Roman" w:cs="Times New Roman"/>
          <w:szCs w:val="24"/>
        </w:rPr>
        <w:t>.</w:t>
      </w:r>
      <w:r>
        <w:rPr>
          <w:rFonts w:eastAsia="Times New Roman" w:cs="Times New Roman"/>
          <w:szCs w:val="24"/>
          <w:vertAlign w:val="superscript"/>
        </w:rPr>
        <w:footnoteReference w:id="17"/>
      </w:r>
    </w:p>
    <w:p w14:paraId="55A5484C" w14:textId="77777777" w:rsidR="00CA5343" w:rsidRDefault="00CA5343" w:rsidP="005F3215">
      <w:pPr>
        <w:spacing w:line="240" w:lineRule="auto"/>
        <w:ind w:firstLine="0"/>
        <w:rPr>
          <w:rFonts w:eastAsia="Times New Roman" w:cs="Times New Roman"/>
          <w:b/>
          <w:szCs w:val="24"/>
        </w:rPr>
      </w:pPr>
    </w:p>
    <w:p w14:paraId="5291D323" w14:textId="77777777" w:rsidR="00730EEC" w:rsidRDefault="00730EEC" w:rsidP="005F3215">
      <w:pPr>
        <w:spacing w:line="240" w:lineRule="auto"/>
        <w:ind w:firstLine="0"/>
        <w:rPr>
          <w:rFonts w:eastAsia="Times New Roman" w:cs="Times New Roman"/>
          <w:b/>
          <w:szCs w:val="24"/>
        </w:rPr>
      </w:pPr>
    </w:p>
    <w:p w14:paraId="0D8FB979" w14:textId="77777777" w:rsidR="00730EEC" w:rsidRDefault="00730EEC" w:rsidP="005F3215">
      <w:pPr>
        <w:spacing w:line="240" w:lineRule="auto"/>
        <w:ind w:firstLine="0"/>
        <w:rPr>
          <w:rFonts w:eastAsia="Times New Roman" w:cs="Times New Roman"/>
          <w:b/>
          <w:szCs w:val="24"/>
        </w:rPr>
      </w:pPr>
    </w:p>
    <w:p w14:paraId="00000027" w14:textId="3F5DD3B6" w:rsidR="007011E1" w:rsidRDefault="00000000" w:rsidP="005F3215">
      <w:pPr>
        <w:spacing w:line="240" w:lineRule="auto"/>
        <w:ind w:firstLine="0"/>
        <w:rPr>
          <w:rFonts w:eastAsia="Times New Roman" w:cs="Times New Roman"/>
          <w:b/>
          <w:szCs w:val="24"/>
        </w:rPr>
      </w:pPr>
      <w:r>
        <w:rPr>
          <w:rFonts w:eastAsia="Times New Roman" w:cs="Times New Roman"/>
          <w:b/>
          <w:szCs w:val="24"/>
        </w:rPr>
        <w:t>Failure of Prophecies and Omens</w:t>
      </w:r>
    </w:p>
    <w:p w14:paraId="13F43015" w14:textId="77777777" w:rsidR="005F3215" w:rsidRDefault="005F3215" w:rsidP="005F3215">
      <w:pPr>
        <w:spacing w:line="240" w:lineRule="auto"/>
        <w:ind w:firstLine="0"/>
        <w:rPr>
          <w:rFonts w:eastAsia="Times New Roman" w:cs="Times New Roman"/>
          <w:b/>
          <w:szCs w:val="24"/>
        </w:rPr>
      </w:pPr>
    </w:p>
    <w:p w14:paraId="00000028" w14:textId="06029B15" w:rsidR="007011E1" w:rsidRDefault="000B0EEB" w:rsidP="005F3215">
      <w:pPr>
        <w:spacing w:line="240" w:lineRule="auto"/>
        <w:jc w:val="left"/>
        <w:rPr>
          <w:rFonts w:eastAsia="Times New Roman" w:cs="Times New Roman"/>
          <w:szCs w:val="24"/>
        </w:rPr>
      </w:pPr>
      <w:r w:rsidRPr="000B0EEB">
        <w:rPr>
          <w:rFonts w:eastAsia="Times New Roman" w:cs="Times New Roman"/>
          <w:szCs w:val="24"/>
        </w:rPr>
        <w:t xml:space="preserve">One of Cicero’s most persistent objections to divination lies in the high incidence of failed predictions or predictions not given. He notes that people tend to remember only </w:t>
      </w:r>
      <w:proofErr w:type="gramStart"/>
      <w:r w:rsidRPr="000B0EEB">
        <w:rPr>
          <w:rFonts w:eastAsia="Times New Roman" w:cs="Times New Roman"/>
          <w:szCs w:val="24"/>
        </w:rPr>
        <w:t>the successful</w:t>
      </w:r>
      <w:proofErr w:type="gramEnd"/>
      <w:r w:rsidRPr="000B0EEB">
        <w:rPr>
          <w:rFonts w:eastAsia="Times New Roman" w:cs="Times New Roman"/>
          <w:szCs w:val="24"/>
        </w:rPr>
        <w:t xml:space="preserve"> prophecies while disregarding the numerous instances in which divinatory forecasts prove false.</w:t>
      </w:r>
      <w:r w:rsidR="00033043">
        <w:rPr>
          <w:rFonts w:eastAsia="Times New Roman" w:cs="Times New Roman"/>
          <w:szCs w:val="24"/>
        </w:rPr>
        <w:t xml:space="preserve"> </w:t>
      </w:r>
      <w:r w:rsidR="00033043" w:rsidRPr="000B0EEB">
        <w:rPr>
          <w:rFonts w:eastAsia="Times New Roman" w:cs="Times New Roman"/>
          <w:szCs w:val="24"/>
        </w:rPr>
        <w:t xml:space="preserve">This selective memory, he implies, creates a distorted perception of divination’s reliability. </w:t>
      </w:r>
      <w:r w:rsidR="00033043">
        <w:rPr>
          <w:rStyle w:val="FootnoteReference"/>
          <w:rFonts w:eastAsia="Times New Roman" w:cs="Times New Roman"/>
          <w:szCs w:val="24"/>
        </w:rPr>
        <w:footnoteReference w:id="18"/>
      </w:r>
      <w:r w:rsidRPr="000B0EEB">
        <w:rPr>
          <w:rFonts w:eastAsia="Times New Roman" w:cs="Times New Roman"/>
          <w:szCs w:val="24"/>
        </w:rPr>
        <w:t xml:space="preserve"> Cicero criticizes defenders of the practice for relying on anecdotal successes and overlooking its broader inconsistency. If divination were genuinely reliable, Cicero reasons, its results would show consistent accuracy across time and place—a standard it repeatedly fails to meet.</w:t>
      </w:r>
      <w:r w:rsidR="00033043">
        <w:rPr>
          <w:rFonts w:eastAsia="Times New Roman" w:cs="Times New Roman"/>
          <w:szCs w:val="24"/>
          <w:vertAlign w:val="superscript"/>
        </w:rPr>
        <w:footnoteReference w:id="19"/>
      </w:r>
      <w:r w:rsidRPr="000B0EEB">
        <w:rPr>
          <w:rFonts w:eastAsia="Times New Roman" w:cs="Times New Roman"/>
          <w:szCs w:val="24"/>
        </w:rPr>
        <w:t xml:space="preserve"> He also points to the absence of systematic testing or universally agreed-upon criteria for verifying outcomes. In contrast to the empirical standards emerging in philosophical and proto-scientific discourse, divinatory signs appear arbitrary, open to conflicting interpretations, and vulnerable to manipulation.</w:t>
      </w:r>
      <w:r w:rsidR="00033043">
        <w:rPr>
          <w:rStyle w:val="FootnoteReference"/>
          <w:rFonts w:eastAsia="Times New Roman" w:cs="Times New Roman"/>
          <w:szCs w:val="24"/>
        </w:rPr>
        <w:footnoteReference w:id="20"/>
      </w:r>
      <w:r w:rsidRPr="000B0EEB">
        <w:rPr>
          <w:rFonts w:eastAsia="Times New Roman" w:cs="Times New Roman"/>
          <w:szCs w:val="24"/>
        </w:rPr>
        <w:t xml:space="preserve"> For Cicero, this undermines any claim to objective authority. Moreover, he draws attention to the psychological tendencies—such as confirmation bias and the human desire for reassurance—that may explain why people continue to trust in divination despite its lack of demonstrable efficacy. In this way, Cicero anticipates arguments later echoed in critiques of pseudoscience, emphasizing the need for consistent evidence over belief rooted in tradition or emotional need.</w:t>
      </w:r>
      <w:r>
        <w:rPr>
          <w:rFonts w:eastAsia="Times New Roman" w:cs="Times New Roman"/>
          <w:szCs w:val="24"/>
        </w:rPr>
        <w:t xml:space="preserve"> Accordingly, he offers that divination is not accepted because it works but because of the deeply rooted belief people have in superstition.</w:t>
      </w:r>
      <w:r>
        <w:rPr>
          <w:rFonts w:eastAsia="Times New Roman" w:cs="Times New Roman"/>
          <w:szCs w:val="24"/>
          <w:vertAlign w:val="superscript"/>
        </w:rPr>
        <w:footnoteReference w:id="21"/>
      </w:r>
    </w:p>
    <w:p w14:paraId="0B356DDD" w14:textId="77777777" w:rsidR="005F3215" w:rsidRDefault="005F3215" w:rsidP="005F3215">
      <w:pPr>
        <w:spacing w:line="240" w:lineRule="auto"/>
        <w:jc w:val="left"/>
        <w:rPr>
          <w:rFonts w:eastAsia="Times New Roman" w:cs="Times New Roman"/>
          <w:szCs w:val="24"/>
        </w:rPr>
      </w:pPr>
    </w:p>
    <w:p w14:paraId="03DFD19D" w14:textId="77777777" w:rsidR="008E3541" w:rsidRDefault="008E3541" w:rsidP="005F3215">
      <w:pPr>
        <w:spacing w:line="240" w:lineRule="auto"/>
        <w:jc w:val="left"/>
        <w:rPr>
          <w:rFonts w:eastAsia="Times New Roman" w:cs="Times New Roman"/>
          <w:szCs w:val="24"/>
          <w:lang w:val="en-US"/>
        </w:rPr>
      </w:pPr>
      <w:r w:rsidRPr="008E3541">
        <w:rPr>
          <w:rFonts w:eastAsia="Times New Roman" w:cs="Times New Roman"/>
          <w:szCs w:val="24"/>
          <w:lang w:val="en-US"/>
        </w:rPr>
        <w:t xml:space="preserve">This argument is particularly powerful because it anticipates what modern psychology would term confirmation bias—the tendency to recall and emphasize evidence that supports one’s beliefs while disregarding contradictory information. Cicero urges his readers to assess the full scope of divinatory history, not merely the isolated successes that inspire awe or affirm existing assumptions. He demands uniformity and repeatability in outcomes, invoking a kind of </w:t>
      </w:r>
      <w:proofErr w:type="gramStart"/>
      <w:r w:rsidRPr="008E3541">
        <w:rPr>
          <w:rFonts w:eastAsia="Times New Roman" w:cs="Times New Roman"/>
          <w:szCs w:val="24"/>
          <w:lang w:val="en-US"/>
        </w:rPr>
        <w:t>proto-empiricism</w:t>
      </w:r>
      <w:proofErr w:type="gramEnd"/>
      <w:r w:rsidRPr="008E3541">
        <w:rPr>
          <w:rFonts w:eastAsia="Times New Roman" w:cs="Times New Roman"/>
          <w:szCs w:val="24"/>
          <w:lang w:val="en-US"/>
        </w:rPr>
        <w:t xml:space="preserve"> rarely applied to religious matters in Roman society. In doing so, Cicero’s critique transcends simple disbelief; rather, he articulates a systematic framework for testing truth claims. His appeal to method and coherence positions him alongside philosophical traditions that prioritized rational inquiry and empirical standards over inherited superstition.</w:t>
      </w:r>
    </w:p>
    <w:p w14:paraId="5BCA2F48" w14:textId="77777777" w:rsidR="005F3215" w:rsidRPr="008E3541" w:rsidRDefault="005F3215" w:rsidP="005F3215">
      <w:pPr>
        <w:spacing w:line="240" w:lineRule="auto"/>
        <w:jc w:val="left"/>
        <w:rPr>
          <w:rFonts w:eastAsia="Times New Roman" w:cs="Times New Roman"/>
          <w:szCs w:val="24"/>
          <w:lang w:val="en-US"/>
        </w:rPr>
      </w:pPr>
    </w:p>
    <w:p w14:paraId="00000029" w14:textId="40471BBB" w:rsidR="007011E1" w:rsidRDefault="008E3541" w:rsidP="005F3215">
      <w:pPr>
        <w:spacing w:line="240" w:lineRule="auto"/>
        <w:jc w:val="left"/>
        <w:rPr>
          <w:rFonts w:eastAsia="Times New Roman" w:cs="Times New Roman"/>
          <w:szCs w:val="24"/>
        </w:rPr>
      </w:pPr>
      <w:r w:rsidRPr="008E3541">
        <w:rPr>
          <w:rFonts w:eastAsia="Times New Roman" w:cs="Times New Roman"/>
          <w:szCs w:val="24"/>
          <w:lang w:val="en-US"/>
        </w:rPr>
        <w:t xml:space="preserve">Moreover, by challenging the legitimacy of practices that were widely accepted and deeply embedded in civic and religious life, Cicero places himself in opposition to prevailing cultural norms. </w:t>
      </w:r>
      <w:r>
        <w:rPr>
          <w:rFonts w:eastAsia="Times New Roman" w:cs="Times New Roman"/>
          <w:szCs w:val="24"/>
          <w:lang w:val="en-US"/>
        </w:rPr>
        <w:t>Taking</w:t>
      </w:r>
      <w:r w:rsidRPr="008E3541">
        <w:rPr>
          <w:rFonts w:eastAsia="Times New Roman" w:cs="Times New Roman"/>
          <w:szCs w:val="24"/>
          <w:lang w:val="en-US"/>
        </w:rPr>
        <w:t xml:space="preserve"> a bold philosophical stance that risked undermining communal cohesion. Yet Cicero's insistence on intellectual consistency speaks to a broader aspiration: the hope that public life might be guided by reason rather than ritual, and by truth rather than tradition. In this light, his critique is both a philosophical and civic intervention</w:t>
      </w:r>
      <w:r>
        <w:rPr>
          <w:rFonts w:eastAsia="Times New Roman" w:cs="Times New Roman"/>
          <w:szCs w:val="24"/>
        </w:rPr>
        <w:t>.</w:t>
      </w:r>
      <w:r>
        <w:rPr>
          <w:rFonts w:eastAsia="Times New Roman" w:cs="Times New Roman"/>
          <w:szCs w:val="24"/>
          <w:vertAlign w:val="superscript"/>
        </w:rPr>
        <w:footnoteReference w:id="22"/>
      </w:r>
    </w:p>
    <w:p w14:paraId="58ED5BFA" w14:textId="77777777" w:rsidR="005F3215" w:rsidRPr="008E3541" w:rsidRDefault="005F3215" w:rsidP="005F3215">
      <w:pPr>
        <w:spacing w:line="240" w:lineRule="auto"/>
        <w:jc w:val="left"/>
        <w:rPr>
          <w:rFonts w:eastAsia="Times New Roman" w:cs="Times New Roman"/>
          <w:szCs w:val="24"/>
          <w:lang w:val="en-US"/>
        </w:rPr>
      </w:pPr>
    </w:p>
    <w:p w14:paraId="0000002A" w14:textId="2E820E71"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However, Cicero’s argument also rests on some debatable assumptions. He appears to generalize from a limited selection of examples, giving the impression that the majority, or even all, prophecies produced through divination are unsuccessful. Without a comprehensive record of </w:t>
      </w:r>
      <w:r>
        <w:rPr>
          <w:rFonts w:eastAsia="Times New Roman" w:cs="Times New Roman"/>
          <w:szCs w:val="24"/>
        </w:rPr>
        <w:lastRenderedPageBreak/>
        <w:t>both accurate and inaccurate predictions, such a conclusion remains speculative. Cicero’s critique rests on a limited premise—namely, that divination’s value lies solely in its predictive accuracy. This assumption overlooks the symbolic, performative, and sociopolitical dimensions of the practice. In many ancient cultures, including Rom</w:t>
      </w:r>
      <w:r w:rsidR="00210CB6">
        <w:rPr>
          <w:rFonts w:eastAsia="Times New Roman" w:cs="Times New Roman"/>
          <w:szCs w:val="24"/>
        </w:rPr>
        <w:t>an</w:t>
      </w:r>
      <w:r w:rsidR="008A29D4">
        <w:rPr>
          <w:rFonts w:eastAsia="Times New Roman" w:cs="Times New Roman"/>
          <w:szCs w:val="24"/>
        </w:rPr>
        <w:t xml:space="preserve"> culture</w:t>
      </w:r>
      <w:r>
        <w:rPr>
          <w:rFonts w:eastAsia="Times New Roman" w:cs="Times New Roman"/>
          <w:szCs w:val="24"/>
        </w:rPr>
        <w:t>, prophecies often served not to foretell events with precision but to guide decisions, articulate communal anxieties, or legitimize action in uncertain contexts.</w:t>
      </w:r>
      <w:r>
        <w:rPr>
          <w:rFonts w:eastAsia="Times New Roman" w:cs="Times New Roman"/>
          <w:szCs w:val="24"/>
          <w:vertAlign w:val="superscript"/>
        </w:rPr>
        <w:footnoteReference w:id="23"/>
      </w:r>
      <w:r>
        <w:rPr>
          <w:rFonts w:eastAsia="Times New Roman" w:cs="Times New Roman"/>
          <w:szCs w:val="24"/>
        </w:rPr>
        <w:t xml:space="preserve"> Their importance may have stemmed less from factual correctness and more from their ability to shape interpretation, reinforce ritual meaning, or provide ethical orientation. By reducing divination to a testable science, Cicero misses how prophecy could function as a flexible narrative tool—one that operate</w:t>
      </w:r>
      <w:r w:rsidR="00E6195F">
        <w:rPr>
          <w:rFonts w:eastAsia="Times New Roman" w:cs="Times New Roman"/>
          <w:szCs w:val="24"/>
        </w:rPr>
        <w:t>s</w:t>
      </w:r>
      <w:r>
        <w:rPr>
          <w:rFonts w:eastAsia="Times New Roman" w:cs="Times New Roman"/>
          <w:szCs w:val="24"/>
        </w:rPr>
        <w:t xml:space="preserve"> through suggestion, reflection, and cultural resonance, rather than merely deterministic forecasts.</w:t>
      </w:r>
      <w:r>
        <w:rPr>
          <w:rFonts w:eastAsia="Times New Roman" w:cs="Times New Roman"/>
          <w:szCs w:val="24"/>
          <w:vertAlign w:val="superscript"/>
        </w:rPr>
        <w:footnoteReference w:id="24"/>
      </w:r>
    </w:p>
    <w:p w14:paraId="68B5FE1B" w14:textId="77777777" w:rsidR="005F3215" w:rsidRDefault="005F3215" w:rsidP="005F3215">
      <w:pPr>
        <w:spacing w:line="240" w:lineRule="auto"/>
        <w:jc w:val="left"/>
        <w:rPr>
          <w:rFonts w:eastAsia="Times New Roman" w:cs="Times New Roman"/>
          <w:szCs w:val="24"/>
        </w:rPr>
      </w:pPr>
    </w:p>
    <w:p w14:paraId="0000002B" w14:textId="69D89CC2" w:rsidR="007011E1" w:rsidRDefault="00000000" w:rsidP="005F3215">
      <w:pPr>
        <w:spacing w:line="240" w:lineRule="auto"/>
        <w:ind w:firstLine="0"/>
        <w:rPr>
          <w:rFonts w:eastAsia="Times New Roman" w:cs="Times New Roman"/>
          <w:b/>
          <w:szCs w:val="24"/>
        </w:rPr>
      </w:pPr>
      <w:r>
        <w:rPr>
          <w:rFonts w:eastAsia="Times New Roman" w:cs="Times New Roman"/>
          <w:b/>
          <w:szCs w:val="24"/>
        </w:rPr>
        <w:t>Divination and the Erosion of Moral Responsibility</w:t>
      </w:r>
    </w:p>
    <w:p w14:paraId="0BD04184" w14:textId="77777777" w:rsidR="005F3215" w:rsidRDefault="005F3215" w:rsidP="005F3215">
      <w:pPr>
        <w:spacing w:line="240" w:lineRule="auto"/>
        <w:ind w:firstLine="0"/>
        <w:rPr>
          <w:rFonts w:eastAsia="Times New Roman" w:cs="Times New Roman"/>
          <w:b/>
          <w:szCs w:val="24"/>
        </w:rPr>
      </w:pPr>
    </w:p>
    <w:p w14:paraId="0000002C" w14:textId="7BA3902E"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Beyond questions of accuracy or utility, Cicero’s objection to divination takes on a moral dimension. Cicero argues that </w:t>
      </w:r>
      <w:proofErr w:type="gramStart"/>
      <w:r>
        <w:rPr>
          <w:rFonts w:eastAsia="Times New Roman" w:cs="Times New Roman"/>
          <w:szCs w:val="24"/>
        </w:rPr>
        <w:t>the reliance</w:t>
      </w:r>
      <w:proofErr w:type="gramEnd"/>
      <w:r>
        <w:rPr>
          <w:rFonts w:eastAsia="Times New Roman" w:cs="Times New Roman"/>
          <w:szCs w:val="24"/>
        </w:rPr>
        <w:t xml:space="preserve"> on divination diminishes human responsibility by encouraging bias and distorting judgment in decision-making. He expresses concern that individuals who defer to omens or signs in moments of consequence are not engaging in rational deliberation but </w:t>
      </w:r>
      <w:r w:rsidR="008A29D4">
        <w:rPr>
          <w:rFonts w:eastAsia="Times New Roman" w:cs="Times New Roman"/>
          <w:szCs w:val="24"/>
        </w:rPr>
        <w:t xml:space="preserve">are </w:t>
      </w:r>
      <w:r>
        <w:rPr>
          <w:rFonts w:eastAsia="Times New Roman" w:cs="Times New Roman"/>
          <w:szCs w:val="24"/>
        </w:rPr>
        <w:t>surrendering to ambiguous or easily manipulated messages. For Cicero, this is not merely an epistemological issue but a moral one. He insists that those entrusted with authority—particularly in political or civic roles—have a duty to act through reasoned judgment, experiential knowledge, and practical wisdom. To substitute these with the uncertainties of divination is, in his view, to abdicate personal accountability. Such reliance cultivates fear and indecision, rather than courage and agency. When fate is attributed to external powers, Cicero warns, individuals are relieved of responsibility for failure.</w:t>
      </w:r>
      <w:r>
        <w:rPr>
          <w:rFonts w:eastAsia="Times New Roman" w:cs="Times New Roman"/>
          <w:szCs w:val="24"/>
          <w:vertAlign w:val="superscript"/>
        </w:rPr>
        <w:footnoteReference w:id="25"/>
      </w:r>
      <w:r>
        <w:rPr>
          <w:rFonts w:eastAsia="Times New Roman" w:cs="Times New Roman"/>
          <w:szCs w:val="24"/>
        </w:rPr>
        <w:t xml:space="preserve"> </w:t>
      </w:r>
    </w:p>
    <w:p w14:paraId="50EAC042" w14:textId="77777777" w:rsidR="005F3215" w:rsidRDefault="005F3215" w:rsidP="005F3215">
      <w:pPr>
        <w:spacing w:line="240" w:lineRule="auto"/>
        <w:jc w:val="left"/>
        <w:rPr>
          <w:rFonts w:eastAsia="Times New Roman" w:cs="Times New Roman"/>
          <w:b/>
          <w:szCs w:val="24"/>
        </w:rPr>
      </w:pPr>
    </w:p>
    <w:p w14:paraId="0000002D" w14:textId="71CB8BBD" w:rsidR="007011E1" w:rsidRDefault="00000000" w:rsidP="005F3215">
      <w:pPr>
        <w:spacing w:line="240" w:lineRule="auto"/>
        <w:jc w:val="left"/>
        <w:rPr>
          <w:rFonts w:eastAsia="Times New Roman" w:cs="Times New Roman"/>
          <w:szCs w:val="24"/>
        </w:rPr>
      </w:pPr>
      <w:r>
        <w:rPr>
          <w:rFonts w:eastAsia="Times New Roman" w:cs="Times New Roman"/>
          <w:szCs w:val="24"/>
        </w:rPr>
        <w:t xml:space="preserve">This argument is compelling because it is rooted in ethical reasoning. Cicero is not merely skeptical of the </w:t>
      </w:r>
      <w:proofErr w:type="gramStart"/>
      <w:r>
        <w:rPr>
          <w:rFonts w:eastAsia="Times New Roman" w:cs="Times New Roman"/>
          <w:szCs w:val="24"/>
        </w:rPr>
        <w:t>truth-claims</w:t>
      </w:r>
      <w:proofErr w:type="gramEnd"/>
      <w:r>
        <w:rPr>
          <w:rFonts w:eastAsia="Times New Roman" w:cs="Times New Roman"/>
          <w:szCs w:val="24"/>
        </w:rPr>
        <w:t xml:space="preserve"> made by divination but also of its potential to undermine human character and societal responsibility. In defending rational choice, he aligns himself with Roman ideals, particularly the value of </w:t>
      </w:r>
      <w:proofErr w:type="spellStart"/>
      <w:r>
        <w:rPr>
          <w:rFonts w:eastAsia="Times New Roman" w:cs="Times New Roman"/>
          <w:i/>
          <w:szCs w:val="24"/>
        </w:rPr>
        <w:t>prudentia</w:t>
      </w:r>
      <w:proofErr w:type="spellEnd"/>
      <w:r>
        <w:rPr>
          <w:rFonts w:eastAsia="Times New Roman" w:cs="Times New Roman"/>
          <w:szCs w:val="24"/>
        </w:rPr>
        <w:t>—the practical wisdom expected of a virtuous leader and citizen.</w:t>
      </w:r>
      <w:r>
        <w:rPr>
          <w:rFonts w:eastAsia="Times New Roman" w:cs="Times New Roman"/>
          <w:szCs w:val="24"/>
          <w:vertAlign w:val="superscript"/>
        </w:rPr>
        <w:footnoteReference w:id="26"/>
      </w:r>
      <w:r>
        <w:rPr>
          <w:rFonts w:eastAsia="Times New Roman" w:cs="Times New Roman"/>
          <w:szCs w:val="24"/>
        </w:rPr>
        <w:t xml:space="preserve"> Cicero raises a significant concern: the possibility that excessive reliance on divination may lead individuals to delay or avoid action, hoping for favorable omens rather than exercising decisive judgment.</w:t>
      </w:r>
      <w:r>
        <w:rPr>
          <w:rFonts w:eastAsia="Times New Roman" w:cs="Times New Roman"/>
          <w:szCs w:val="24"/>
          <w:vertAlign w:val="superscript"/>
        </w:rPr>
        <w:footnoteReference w:id="27"/>
      </w:r>
      <w:r>
        <w:rPr>
          <w:rFonts w:eastAsia="Times New Roman" w:cs="Times New Roman"/>
          <w:szCs w:val="24"/>
        </w:rPr>
        <w:t xml:space="preserve"> In the political sphere, such hesitation could prove disastrous. His appeal to human reason and personal accountability reinforces a broader vision of civic virtue, wherein leaders are expected to evaluate evidence and act with resolve. Against this backdrop, Cicero’s critique extends beyond religious skepticism to become a philosophical endorsement of Roman identity and political integrity. As Mary Beard argues, Cicero’s engagement with Greek philosophical ideas was not a passive adoption but a deliberate reinterpretation aimed at aligning them with Roman political and religious frameworks—</w:t>
      </w:r>
      <w:r>
        <w:rPr>
          <w:rFonts w:eastAsia="Times New Roman" w:cs="Times New Roman"/>
          <w:szCs w:val="24"/>
        </w:rPr>
        <w:lastRenderedPageBreak/>
        <w:t>particularly in areas like augury and civic responsibility, where traditional Roman knowledge had deep institutional roots.</w:t>
      </w:r>
      <w:r>
        <w:rPr>
          <w:rFonts w:eastAsia="Times New Roman" w:cs="Times New Roman"/>
          <w:szCs w:val="24"/>
          <w:vertAlign w:val="superscript"/>
        </w:rPr>
        <w:footnoteReference w:id="28"/>
      </w:r>
    </w:p>
    <w:p w14:paraId="0000002E" w14:textId="7E74F080" w:rsidR="007011E1" w:rsidRDefault="00000000" w:rsidP="005F3215">
      <w:pPr>
        <w:spacing w:line="240" w:lineRule="auto"/>
        <w:jc w:val="left"/>
        <w:rPr>
          <w:rFonts w:eastAsia="Times New Roman" w:cs="Times New Roman"/>
          <w:szCs w:val="24"/>
        </w:rPr>
      </w:pPr>
      <w:r>
        <w:rPr>
          <w:rFonts w:eastAsia="Times New Roman" w:cs="Times New Roman"/>
          <w:szCs w:val="24"/>
        </w:rPr>
        <w:t>Nonetheless, Cicero tends to portray divination as inherently incompatible with independent thought, presenting it as a practice that overrides reason rather than complements it. Yet this perspective may oversimplify how divination functioned in practice. In a culture as religiously and politically layered as Rome’s, it is plausible that individuals consulted omens not as a replacement for rational judgment but as one tool among many in navigating uncertainty. Rather than framing divination and reason as mutually exclusive, it may be more accurate to see them as coexisting modes of interpretation</w:t>
      </w:r>
      <w:r w:rsidR="008A29D4">
        <w:rPr>
          <w:rFonts w:eastAsia="Times New Roman" w:cs="Times New Roman"/>
          <w:szCs w:val="24"/>
        </w:rPr>
        <w:t>—</w:t>
      </w:r>
      <w:r>
        <w:rPr>
          <w:rFonts w:eastAsia="Times New Roman" w:cs="Times New Roman"/>
          <w:szCs w:val="24"/>
        </w:rPr>
        <w:t>sometimes in tension, sometimes in alignment</w:t>
      </w:r>
      <w:r w:rsidR="008A29D4">
        <w:rPr>
          <w:rFonts w:eastAsia="Times New Roman" w:cs="Times New Roman"/>
          <w:szCs w:val="24"/>
        </w:rPr>
        <w:t>—</w:t>
      </w:r>
      <w:r>
        <w:rPr>
          <w:rFonts w:eastAsia="Times New Roman" w:cs="Times New Roman"/>
          <w:szCs w:val="24"/>
        </w:rPr>
        <w:t>within the broader decision-making processes of Roman life. Cicero’s framing, by contrast, constructs a binary that may not fully reflect the complexities of lived belief.</w:t>
      </w:r>
    </w:p>
    <w:p w14:paraId="0B0CC5C0" w14:textId="77777777" w:rsidR="00CA5343" w:rsidRDefault="00CA5343" w:rsidP="005F3215">
      <w:pPr>
        <w:spacing w:line="240" w:lineRule="auto"/>
        <w:ind w:firstLine="0"/>
        <w:rPr>
          <w:rFonts w:eastAsia="Times New Roman" w:cs="Times New Roman"/>
          <w:b/>
          <w:szCs w:val="24"/>
        </w:rPr>
      </w:pPr>
    </w:p>
    <w:p w14:paraId="00000030" w14:textId="40D373C3" w:rsidR="007011E1" w:rsidRDefault="00000000" w:rsidP="005F3215">
      <w:pPr>
        <w:spacing w:line="240" w:lineRule="auto"/>
        <w:ind w:firstLine="0"/>
        <w:rPr>
          <w:rFonts w:eastAsia="Times New Roman" w:cs="Times New Roman"/>
          <w:b/>
          <w:szCs w:val="24"/>
        </w:rPr>
      </w:pPr>
      <w:r>
        <w:rPr>
          <w:rFonts w:eastAsia="Times New Roman" w:cs="Times New Roman"/>
          <w:b/>
          <w:szCs w:val="24"/>
        </w:rPr>
        <w:t>Lack of Philosophical and Natural Explanation</w:t>
      </w:r>
    </w:p>
    <w:p w14:paraId="6A3A3059" w14:textId="77777777" w:rsidR="005F3215" w:rsidRDefault="005F3215" w:rsidP="005F3215">
      <w:pPr>
        <w:spacing w:line="240" w:lineRule="auto"/>
        <w:ind w:firstLine="0"/>
        <w:rPr>
          <w:rFonts w:eastAsia="Times New Roman" w:cs="Times New Roman"/>
          <w:b/>
          <w:szCs w:val="24"/>
        </w:rPr>
      </w:pPr>
    </w:p>
    <w:p w14:paraId="00000031" w14:textId="77777777" w:rsidR="007011E1" w:rsidRDefault="00000000" w:rsidP="005F3215">
      <w:pPr>
        <w:spacing w:line="240" w:lineRule="auto"/>
        <w:jc w:val="left"/>
        <w:rPr>
          <w:rFonts w:eastAsia="Times New Roman" w:cs="Times New Roman"/>
          <w:szCs w:val="24"/>
        </w:rPr>
      </w:pPr>
      <w:r>
        <w:rPr>
          <w:rFonts w:eastAsia="Times New Roman" w:cs="Times New Roman"/>
          <w:szCs w:val="24"/>
        </w:rPr>
        <w:t>Cicero challenges the legitimacy of divination by asserting that it lacks both a rational foundation and any basis in natural philosophy. He argues that true knowledge must be rooted in reason and observable causes, whereas practices like dream interpretation or reading entrails are disconnected from the causal order that governs the universe. Cicero questions how random phenomena, such as the shape of a sacrificed animal’s liver, could logically correspond to complex outcomes like political decisions or personal fate.</w:t>
      </w:r>
      <w:r>
        <w:rPr>
          <w:rFonts w:eastAsia="Times New Roman" w:cs="Times New Roman"/>
          <w:szCs w:val="24"/>
          <w:vertAlign w:val="superscript"/>
        </w:rPr>
        <w:footnoteReference w:id="29"/>
      </w:r>
      <w:r>
        <w:rPr>
          <w:rFonts w:eastAsia="Times New Roman" w:cs="Times New Roman"/>
          <w:szCs w:val="24"/>
        </w:rPr>
        <w:t xml:space="preserve"> In his view, divination fails to meet the standards of philosophical inquiry and natural explanation, rendering it intellectually untenable.</w:t>
      </w:r>
    </w:p>
    <w:p w14:paraId="046EE2CE" w14:textId="77777777" w:rsidR="005F3215" w:rsidRDefault="005F3215" w:rsidP="005F3215">
      <w:pPr>
        <w:spacing w:line="240" w:lineRule="auto"/>
        <w:jc w:val="left"/>
        <w:rPr>
          <w:rFonts w:eastAsia="Times New Roman" w:cs="Times New Roman"/>
          <w:szCs w:val="24"/>
        </w:rPr>
      </w:pPr>
    </w:p>
    <w:p w14:paraId="0ABA6549" w14:textId="77777777" w:rsidR="008E3541" w:rsidRDefault="008E3541" w:rsidP="005F3215">
      <w:pPr>
        <w:spacing w:line="240" w:lineRule="auto"/>
        <w:jc w:val="left"/>
        <w:rPr>
          <w:rFonts w:eastAsia="Times New Roman" w:cs="Times New Roman"/>
          <w:szCs w:val="24"/>
        </w:rPr>
      </w:pPr>
      <w:r w:rsidRPr="008E3541">
        <w:rPr>
          <w:rFonts w:eastAsia="Times New Roman" w:cs="Times New Roman"/>
          <w:szCs w:val="24"/>
        </w:rPr>
        <w:t xml:space="preserve">Building on Cicero’s demand for rational explanation, this position aligns his critique with the broader tradition of philosophical skepticism. Emphasizing rational coherence and causal explanation, he situates himself among thinkers who valued logical consistency and natural reasoning as essential tools in the pursuit of truth. His argument appeals to readers who expect intellectual positions to be supported by evidence or theory, rather than by emotion, personal belief, or inherited custom. This approach exposes divinatory systems to rigorous scrutiny; unless </w:t>
      </w:r>
      <w:proofErr w:type="gramStart"/>
      <w:r w:rsidRPr="008E3541">
        <w:rPr>
          <w:rFonts w:eastAsia="Times New Roman" w:cs="Times New Roman"/>
          <w:szCs w:val="24"/>
        </w:rPr>
        <w:t>they can</w:t>
      </w:r>
      <w:proofErr w:type="gramEnd"/>
      <w:r w:rsidRPr="008E3541">
        <w:rPr>
          <w:rFonts w:eastAsia="Times New Roman" w:cs="Times New Roman"/>
          <w:szCs w:val="24"/>
        </w:rPr>
        <w:t xml:space="preserve"> demonstrate clear, repeatable causal links between signs and outcomes, they struggle to withstand logical analysis. In this way, Cicero’s rejection of divination not only serves as a critique of religious practice but also as a reflection of his philosophical identity, grounded in the values of Hellenistic rationalism, Roman intellectual culture, and a commitment to disciplined inquiry.</w:t>
      </w:r>
      <w:r>
        <w:rPr>
          <w:rFonts w:eastAsia="Times New Roman" w:cs="Times New Roman"/>
          <w:szCs w:val="24"/>
        </w:rPr>
        <w:t xml:space="preserve"> </w:t>
      </w:r>
    </w:p>
    <w:p w14:paraId="69345734" w14:textId="77777777" w:rsidR="005F3215" w:rsidRDefault="005F3215" w:rsidP="005F3215">
      <w:pPr>
        <w:spacing w:line="240" w:lineRule="auto"/>
        <w:jc w:val="left"/>
        <w:rPr>
          <w:rFonts w:eastAsia="Times New Roman" w:cs="Times New Roman"/>
          <w:szCs w:val="24"/>
        </w:rPr>
      </w:pPr>
    </w:p>
    <w:p w14:paraId="72FF1DD3" w14:textId="59ED96AE" w:rsidR="00CA5343" w:rsidRDefault="00000000" w:rsidP="005F3215">
      <w:pPr>
        <w:spacing w:line="240" w:lineRule="auto"/>
        <w:jc w:val="left"/>
        <w:rPr>
          <w:rFonts w:eastAsia="Times New Roman" w:cs="Times New Roman"/>
          <w:szCs w:val="24"/>
        </w:rPr>
      </w:pPr>
      <w:r>
        <w:rPr>
          <w:rFonts w:eastAsia="Times New Roman" w:cs="Times New Roman"/>
          <w:szCs w:val="24"/>
        </w:rPr>
        <w:t>Although intellectually coherent, Cicero’s argument imposes standards that may not be appropriate to the religious structures he critiques. Roman religion was not built upon philosophical coherence or natural law but was instead rooted in myth, ritual, and communal experience.</w:t>
      </w:r>
      <w:r>
        <w:rPr>
          <w:rFonts w:eastAsia="Times New Roman" w:cs="Times New Roman"/>
          <w:szCs w:val="24"/>
          <w:vertAlign w:val="superscript"/>
        </w:rPr>
        <w:footnoteReference w:id="30"/>
      </w:r>
      <w:r>
        <w:rPr>
          <w:rFonts w:eastAsia="Times New Roman" w:cs="Times New Roman"/>
          <w:szCs w:val="24"/>
        </w:rPr>
        <w:t xml:space="preserve"> Divination in Rome functioned less as an effort to explain causal mechanisms and more as a structured symbolic system for engaging with the divine and interpreting disruptions in </w:t>
      </w:r>
      <w:r>
        <w:rPr>
          <w:rFonts w:eastAsia="Times New Roman" w:cs="Times New Roman"/>
          <w:szCs w:val="24"/>
        </w:rPr>
        <w:lastRenderedPageBreak/>
        <w:t>the civic-religious order.</w:t>
      </w:r>
      <w:r>
        <w:rPr>
          <w:rFonts w:eastAsia="Times New Roman" w:cs="Times New Roman"/>
          <w:szCs w:val="24"/>
          <w:vertAlign w:val="superscript"/>
        </w:rPr>
        <w:footnoteReference w:id="31"/>
      </w:r>
      <w:r>
        <w:rPr>
          <w:rFonts w:eastAsia="Times New Roman" w:cs="Times New Roman"/>
          <w:szCs w:val="24"/>
        </w:rPr>
        <w:t xml:space="preserve"> By demanding that religious practices adhere to the principles of philosophical rationalism, Cicero holds them to a standard they were never intended to meet. He largely disregards the role of metaphor, narrative, and myth as valid modes of expressing truths that elude strict logical formulation. Religious meaning can possess coherence without conforming to scientific paradigms, and many cultures have long used symbolic systems to generate understanding without requiring literal accuracy. In this light, Cicero’s critique, though rigorously reasoned, appears both narrow in scope and rigid in its evaluative criteria.</w:t>
      </w:r>
    </w:p>
    <w:p w14:paraId="2DBD67C8" w14:textId="77777777" w:rsidR="005F3215" w:rsidRDefault="005F3215" w:rsidP="005F3215">
      <w:pPr>
        <w:spacing w:line="240" w:lineRule="auto"/>
        <w:jc w:val="left"/>
        <w:rPr>
          <w:rFonts w:eastAsia="Times New Roman" w:cs="Times New Roman"/>
          <w:szCs w:val="24"/>
        </w:rPr>
      </w:pPr>
    </w:p>
    <w:p w14:paraId="4682E11E" w14:textId="77777777" w:rsidR="00CA5343" w:rsidRDefault="00CA5343" w:rsidP="005F3215">
      <w:pPr>
        <w:spacing w:line="240" w:lineRule="auto"/>
        <w:jc w:val="left"/>
        <w:rPr>
          <w:rFonts w:eastAsia="Times New Roman" w:cs="Times New Roman"/>
          <w:szCs w:val="24"/>
        </w:rPr>
      </w:pPr>
      <w:r w:rsidRPr="00CA5343">
        <w:rPr>
          <w:rFonts w:eastAsia="Times New Roman" w:cs="Times New Roman"/>
          <w:szCs w:val="24"/>
        </w:rPr>
        <w:t>Cicero presents a compelling critique of divination as a provider of objective knowledge, particularly within the framework of philosophical skepticism. His argument holds weight when measured against the standards of rational inquiry and epistemological rigor. However, this critique becomes less persuasive when viewed through the lens of Roman cultural and religious life, where collective experience, ritual, and symbolic interaction with the divine held greater importance than logical demonstration. Divination in Rome functioned not simply as a means of foretelling future events but as a mechanism for reinforcing civic order, affirming communal identity, and maintaining a reciprocal relationship with the gods. It served as a structured response to uncertainty, offering guidance and reassurance through shared rituals rather than through verifiable proof. While Cicero’s reasoning may resonate within philosophical circles, it fails to account for the broader social, religious, and emotional dimensions of divinatory practice as it was lived and experienced in Roman society.</w:t>
      </w:r>
    </w:p>
    <w:p w14:paraId="22BD833A" w14:textId="77777777" w:rsidR="005F3215" w:rsidRDefault="005F3215" w:rsidP="005F3215">
      <w:pPr>
        <w:spacing w:line="240" w:lineRule="auto"/>
        <w:jc w:val="left"/>
        <w:rPr>
          <w:rFonts w:eastAsia="Times New Roman" w:cs="Times New Roman"/>
          <w:szCs w:val="24"/>
        </w:rPr>
      </w:pPr>
    </w:p>
    <w:p w14:paraId="00000037" w14:textId="2603210E" w:rsidR="007011E1" w:rsidRDefault="00000000" w:rsidP="005F3215">
      <w:pPr>
        <w:spacing w:line="240" w:lineRule="auto"/>
        <w:ind w:firstLine="0"/>
        <w:rPr>
          <w:rFonts w:eastAsia="Times New Roman" w:cs="Times New Roman"/>
          <w:b/>
          <w:szCs w:val="24"/>
        </w:rPr>
      </w:pPr>
      <w:r>
        <w:rPr>
          <w:rFonts w:eastAsia="Times New Roman" w:cs="Times New Roman"/>
          <w:b/>
          <w:szCs w:val="24"/>
        </w:rPr>
        <w:t>Conclusion</w:t>
      </w:r>
    </w:p>
    <w:p w14:paraId="0C395BEC" w14:textId="77777777" w:rsidR="005F3215" w:rsidRDefault="005F3215" w:rsidP="005F3215">
      <w:pPr>
        <w:spacing w:line="240" w:lineRule="auto"/>
        <w:ind w:firstLine="0"/>
        <w:rPr>
          <w:rFonts w:eastAsia="Times New Roman" w:cs="Times New Roman"/>
          <w:b/>
          <w:szCs w:val="24"/>
        </w:rPr>
      </w:pPr>
    </w:p>
    <w:p w14:paraId="41A30B3D" w14:textId="761194B9" w:rsidR="001A6E36" w:rsidRDefault="00CA5343" w:rsidP="005F3215">
      <w:pPr>
        <w:spacing w:line="240" w:lineRule="auto"/>
        <w:jc w:val="left"/>
        <w:rPr>
          <w:rFonts w:eastAsia="Times New Roman" w:cs="Times New Roman"/>
          <w:b/>
          <w:szCs w:val="24"/>
        </w:rPr>
        <w:sectPr w:rsidR="001A6E36">
          <w:headerReference w:type="default" r:id="rId7"/>
          <w:pgSz w:w="12240" w:h="15840"/>
          <w:pgMar w:top="1440" w:right="1440" w:bottom="1440" w:left="1440" w:header="720" w:footer="720" w:gutter="0"/>
          <w:pgNumType w:start="1"/>
          <w:cols w:space="720"/>
        </w:sectPr>
      </w:pPr>
      <w:r w:rsidRPr="00CA5343">
        <w:rPr>
          <w:rFonts w:eastAsia="Times New Roman" w:cs="Times New Roman"/>
          <w:szCs w:val="24"/>
        </w:rPr>
        <w:t xml:space="preserve">In </w:t>
      </w:r>
      <w:r w:rsidRPr="00CA5343">
        <w:rPr>
          <w:rFonts w:eastAsia="Times New Roman" w:cs="Times New Roman"/>
          <w:i/>
          <w:iCs/>
          <w:szCs w:val="24"/>
        </w:rPr>
        <w:t xml:space="preserve">De </w:t>
      </w:r>
      <w:proofErr w:type="spellStart"/>
      <w:r w:rsidRPr="00CA5343">
        <w:rPr>
          <w:rFonts w:eastAsia="Times New Roman" w:cs="Times New Roman"/>
          <w:i/>
          <w:iCs/>
          <w:szCs w:val="24"/>
        </w:rPr>
        <w:t>Divinatione</w:t>
      </w:r>
      <w:proofErr w:type="spellEnd"/>
      <w:r w:rsidRPr="00CA5343">
        <w:rPr>
          <w:rFonts w:eastAsia="Times New Roman" w:cs="Times New Roman"/>
          <w:szCs w:val="24"/>
        </w:rPr>
        <w:t xml:space="preserve"> Book II, Cicero offers a sustained critique of divinatory practice, challenging its logical coherence, consistency, and ethical implications. He questions the plausibility of divine communication through signs, highlights contradictions among prophetic claims, critiques the unreliability of predictions, warns against the erosion of human responsibility, and addresses the absence of a causal explanation. Rooted in his commitment to reason and Academic Skepticism, Cicero’s arguments are often philosophically persuasive. Yet his critique relies on assumptions that fail to fully account for the symbolic, social, and psychological dimensions of Roman religious life. Practices such as augury, haruspicy, and the interpretation of prodigies were embedded in communal experience and civic order, functioning less as predictive science and more as tools for maintaining relationships between Rome and its gods. In this context, the purpose of divination was not necessarily to reveal objective truths but to sustain cultural cohesion and reinforce shared values through ritual and symbolism. While Cicero effectively demonstrates the limitations of divination as a means of attaining objective knowledge, he does not address why such practices continued to hold meaning and authority within Roman society. </w:t>
      </w:r>
      <w:r w:rsidR="00571540" w:rsidRPr="00571540">
        <w:rPr>
          <w:rFonts w:eastAsia="Times New Roman" w:cs="Times New Roman"/>
          <w:szCs w:val="24"/>
        </w:rPr>
        <w:t xml:space="preserve">Ultimately, </w:t>
      </w:r>
      <w:r w:rsidR="00571540" w:rsidRPr="00843154">
        <w:rPr>
          <w:rFonts w:eastAsia="Times New Roman" w:cs="Times New Roman"/>
          <w:i/>
          <w:iCs/>
          <w:szCs w:val="24"/>
        </w:rPr>
        <w:t xml:space="preserve">De </w:t>
      </w:r>
      <w:proofErr w:type="spellStart"/>
      <w:r w:rsidR="00571540" w:rsidRPr="00843154">
        <w:rPr>
          <w:rFonts w:eastAsia="Times New Roman" w:cs="Times New Roman"/>
          <w:i/>
          <w:iCs/>
          <w:szCs w:val="24"/>
        </w:rPr>
        <w:t>Divinatione</w:t>
      </w:r>
      <w:proofErr w:type="spellEnd"/>
      <w:r w:rsidR="00571540" w:rsidRPr="00571540">
        <w:rPr>
          <w:rFonts w:eastAsia="Times New Roman" w:cs="Times New Roman"/>
          <w:szCs w:val="24"/>
        </w:rPr>
        <w:t xml:space="preserve"> stands as a notable work of philosophical skepticism, but its enduring value also lies in what it inadvertently reveals about the complex intersection of belief, ritual, and reason in Roman </w:t>
      </w:r>
      <w:r w:rsidR="005F3215" w:rsidRPr="00571540">
        <w:rPr>
          <w:rFonts w:eastAsia="Times New Roman" w:cs="Times New Roman"/>
          <w:szCs w:val="24"/>
        </w:rPr>
        <w:t>thought.</w:t>
      </w:r>
    </w:p>
    <w:p w14:paraId="00000039" w14:textId="77777777" w:rsidR="007011E1" w:rsidRDefault="00000000">
      <w:pPr>
        <w:ind w:firstLine="0"/>
        <w:rPr>
          <w:rFonts w:eastAsia="Times New Roman" w:cs="Times New Roman"/>
          <w:b/>
          <w:szCs w:val="24"/>
        </w:rPr>
      </w:pPr>
      <w:r>
        <w:rPr>
          <w:rFonts w:eastAsia="Times New Roman" w:cs="Times New Roman"/>
          <w:b/>
          <w:szCs w:val="24"/>
        </w:rPr>
        <w:lastRenderedPageBreak/>
        <w:t>Bibliography</w:t>
      </w:r>
    </w:p>
    <w:p w14:paraId="0000003A" w14:textId="77777777" w:rsidR="007011E1" w:rsidRDefault="00000000">
      <w:pPr>
        <w:ind w:firstLine="0"/>
        <w:jc w:val="left"/>
        <w:rPr>
          <w:rFonts w:eastAsia="Times New Roman" w:cs="Times New Roman"/>
          <w:b/>
          <w:szCs w:val="24"/>
        </w:rPr>
      </w:pPr>
      <w:r>
        <w:rPr>
          <w:rFonts w:eastAsia="Times New Roman" w:cs="Times New Roman"/>
          <w:b/>
          <w:szCs w:val="24"/>
        </w:rPr>
        <w:t>Primary Source:</w:t>
      </w:r>
    </w:p>
    <w:p w14:paraId="0000003B" w14:textId="6095DDED" w:rsidR="007011E1" w:rsidRDefault="009902E3" w:rsidP="009902E3">
      <w:pPr>
        <w:widowControl w:val="0"/>
        <w:tabs>
          <w:tab w:val="left" w:pos="0"/>
        </w:tabs>
        <w:spacing w:after="240" w:line="240" w:lineRule="auto"/>
        <w:ind w:left="720" w:hanging="720"/>
        <w:jc w:val="left"/>
        <w:rPr>
          <w:rFonts w:eastAsia="Times New Roman" w:cs="Times New Roman"/>
          <w:szCs w:val="24"/>
        </w:rPr>
      </w:pPr>
      <w:r>
        <w:t xml:space="preserve">Cicero, </w:t>
      </w:r>
      <w:hyperlink r:id="rId8">
        <w:r>
          <w:t xml:space="preserve">Marcus Tullius, </w:t>
        </w:r>
      </w:hyperlink>
      <w:r>
        <w:rPr>
          <w:i/>
          <w:iCs/>
        </w:rPr>
        <w:t xml:space="preserve">Cicero: </w:t>
      </w:r>
      <w:hyperlink r:id="rId9">
        <w:r>
          <w:rPr>
            <w:i/>
          </w:rPr>
          <w:t>On Old Age, On Friendship, On Divination</w:t>
        </w:r>
      </w:hyperlink>
      <w:r w:rsidR="009F06F9" w:rsidRPr="009F06F9">
        <w:t>, trans. by W</w:t>
      </w:r>
      <w:r w:rsidR="009F06F9">
        <w:t xml:space="preserve">illiam </w:t>
      </w:r>
      <w:r w:rsidR="009F06F9" w:rsidRPr="009F06F9">
        <w:t>A</w:t>
      </w:r>
      <w:r w:rsidR="009F06F9">
        <w:t>rmistead</w:t>
      </w:r>
      <w:r w:rsidR="009F06F9" w:rsidRPr="009F06F9">
        <w:t xml:space="preserve"> Falconer, Loeb Classical Library (</w:t>
      </w:r>
      <w:r w:rsidR="009F06F9">
        <w:t xml:space="preserve">Cambridge, MA: </w:t>
      </w:r>
      <w:r w:rsidR="009F06F9" w:rsidRPr="009F06F9">
        <w:t>Harvard University Press, 1923) &lt;http://archive.org/details/cicero-de-senectute-de-amicitia-de-divinatione&gt; [accessed 5 July 2025]</w:t>
      </w:r>
      <w:r w:rsidR="009F06F9">
        <w:t>.</w:t>
      </w:r>
    </w:p>
    <w:p w14:paraId="0000003C" w14:textId="77777777" w:rsidR="007011E1" w:rsidRDefault="00000000">
      <w:pPr>
        <w:ind w:firstLine="0"/>
        <w:jc w:val="left"/>
        <w:rPr>
          <w:rFonts w:eastAsia="Times New Roman" w:cs="Times New Roman"/>
          <w:b/>
          <w:szCs w:val="24"/>
        </w:rPr>
      </w:pPr>
      <w:r>
        <w:rPr>
          <w:rFonts w:eastAsia="Times New Roman" w:cs="Times New Roman"/>
          <w:b/>
          <w:szCs w:val="24"/>
        </w:rPr>
        <w:t>Secondary Sources:</w:t>
      </w:r>
    </w:p>
    <w:p w14:paraId="0000003D" w14:textId="7C71FD69" w:rsidR="007011E1" w:rsidRDefault="007011E1" w:rsidP="009902E3">
      <w:pPr>
        <w:spacing w:after="240" w:line="240" w:lineRule="auto"/>
        <w:ind w:left="720" w:hanging="720"/>
        <w:jc w:val="left"/>
        <w:rPr>
          <w:rFonts w:eastAsia="Times New Roman" w:cs="Times New Roman"/>
          <w:szCs w:val="24"/>
        </w:rPr>
      </w:pPr>
      <w:hyperlink r:id="rId10">
        <w:r>
          <w:t xml:space="preserve">Beard, Mary, ‘Cicero and Divination: The Formation of a Latin Discourse’, </w:t>
        </w:r>
      </w:hyperlink>
      <w:hyperlink r:id="rId11">
        <w:r>
          <w:rPr>
            <w:i/>
          </w:rPr>
          <w:t>The Journal of Roman Studies</w:t>
        </w:r>
      </w:hyperlink>
      <w:r>
        <w:t>, 76 (1986), 33–46, doi:10.2307/30036</w:t>
      </w:r>
      <w:hyperlink r:id="rId12">
        <w:r>
          <w:t>4</w:t>
        </w:r>
      </w:hyperlink>
      <w:r w:rsidR="009F06F9">
        <w:t>.</w:t>
      </w:r>
    </w:p>
    <w:p w14:paraId="0000003E" w14:textId="401A392B" w:rsidR="007011E1" w:rsidRDefault="009F5771">
      <w:pPr>
        <w:widowControl w:val="0"/>
        <w:pBdr>
          <w:top w:val="nil"/>
          <w:left w:val="nil"/>
          <w:bottom w:val="nil"/>
          <w:right w:val="nil"/>
          <w:between w:val="nil"/>
        </w:pBdr>
        <w:spacing w:after="240" w:line="240" w:lineRule="auto"/>
        <w:ind w:left="720" w:hanging="720"/>
        <w:jc w:val="left"/>
        <w:rPr>
          <w:rFonts w:eastAsia="Times New Roman" w:cs="Times New Roman"/>
          <w:b/>
          <w:szCs w:val="24"/>
        </w:rPr>
      </w:pPr>
      <w:r>
        <w:t>Beard, Mary, John North, and Simon Price</w:t>
      </w:r>
      <w:r w:rsidR="007011E1">
        <w:t xml:space="preserve">, </w:t>
      </w:r>
      <w:hyperlink r:id="rId13">
        <w:r w:rsidR="007011E1">
          <w:rPr>
            <w:i/>
          </w:rPr>
          <w:t>Religions of Rome</w:t>
        </w:r>
      </w:hyperlink>
      <w:r w:rsidR="007011E1">
        <w:t xml:space="preserve"> (Cambridge: Cambridge University Press, 1998) &lt;http://archive.org/details/religionsofrome0001bear&gt; [accessed 22 July 2025]</w:t>
      </w:r>
      <w:r>
        <w:t>.</w:t>
      </w:r>
    </w:p>
    <w:p w14:paraId="00000040" w14:textId="4D577F75" w:rsidR="007011E1" w:rsidRDefault="007011E1">
      <w:pPr>
        <w:widowControl w:val="0"/>
        <w:pBdr>
          <w:top w:val="nil"/>
          <w:left w:val="nil"/>
          <w:bottom w:val="nil"/>
          <w:right w:val="nil"/>
          <w:between w:val="nil"/>
        </w:pBdr>
        <w:spacing w:after="240" w:line="240" w:lineRule="auto"/>
        <w:ind w:left="720" w:hanging="720"/>
        <w:jc w:val="left"/>
        <w:rPr>
          <w:rFonts w:eastAsia="Times New Roman" w:cs="Times New Roman"/>
          <w:b/>
          <w:szCs w:val="24"/>
        </w:rPr>
      </w:pPr>
      <w:r>
        <w:t xml:space="preserve">Cicero, Marcus Tullius, </w:t>
      </w:r>
      <w:hyperlink r:id="rId14">
        <w:r>
          <w:rPr>
            <w:i/>
          </w:rPr>
          <w:t>De officiis</w:t>
        </w:r>
        <w:r w:rsidR="009F5771">
          <w:rPr>
            <w:iCs/>
          </w:rPr>
          <w:t xml:space="preserve">, trans. by </w:t>
        </w:r>
        <w:r w:rsidRPr="002C3055">
          <w:rPr>
            <w:iCs/>
          </w:rPr>
          <w:t>Walter Miller</w:t>
        </w:r>
      </w:hyperlink>
      <w:r>
        <w:t xml:space="preserve"> (London</w:t>
      </w:r>
      <w:r w:rsidR="009F5771">
        <w:t>:</w:t>
      </w:r>
      <w:r>
        <w:t xml:space="preserve"> </w:t>
      </w:r>
      <w:r w:rsidR="009F5771">
        <w:t xml:space="preserve">William </w:t>
      </w:r>
      <w:r>
        <w:t>Heinemann, 1913) &lt;http://archive.org/details/deofficiiswithen00ciceuoft&gt; [accessed 22 July 2025]</w:t>
      </w:r>
      <w:r w:rsidR="009F5771">
        <w:t>.</w:t>
      </w:r>
    </w:p>
    <w:p w14:paraId="00000041" w14:textId="0B11338D" w:rsidR="007011E1" w:rsidRDefault="007011E1">
      <w:pPr>
        <w:widowControl w:val="0"/>
        <w:pBdr>
          <w:top w:val="nil"/>
          <w:left w:val="nil"/>
          <w:bottom w:val="nil"/>
          <w:right w:val="nil"/>
          <w:between w:val="nil"/>
        </w:pBdr>
        <w:spacing w:after="240" w:line="240" w:lineRule="auto"/>
        <w:ind w:left="720" w:hanging="720"/>
        <w:jc w:val="left"/>
        <w:rPr>
          <w:rFonts w:eastAsia="Times New Roman" w:cs="Times New Roman"/>
          <w:b/>
          <w:szCs w:val="24"/>
        </w:rPr>
      </w:pPr>
      <w:r>
        <w:t xml:space="preserve">Denyer, Nicholas, ‘The Case </w:t>
      </w:r>
      <w:r w:rsidR="00366A57">
        <w:t>A</w:t>
      </w:r>
      <w:r>
        <w:t xml:space="preserve">gainst Divination: An Examination of Cicero’s </w:t>
      </w:r>
      <w:r w:rsidRPr="002C3055">
        <w:rPr>
          <w:i/>
          <w:iCs/>
        </w:rPr>
        <w:t xml:space="preserve">De </w:t>
      </w:r>
      <w:proofErr w:type="spellStart"/>
      <w:r w:rsidRPr="002C3055">
        <w:rPr>
          <w:i/>
          <w:iCs/>
        </w:rPr>
        <w:t>Divinatione</w:t>
      </w:r>
      <w:proofErr w:type="spellEnd"/>
      <w:r>
        <w:t xml:space="preserve">’, </w:t>
      </w:r>
      <w:r>
        <w:rPr>
          <w:i/>
        </w:rPr>
        <w:t>Proceedings of the Cambridge Philological Society</w:t>
      </w:r>
      <w:r>
        <w:t>, 31.31 (211) (1985), 1–10, doi:10.1017/S0068673500004715</w:t>
      </w:r>
      <w:r w:rsidR="00366A57">
        <w:t>.</w:t>
      </w:r>
    </w:p>
    <w:p w14:paraId="00000042" w14:textId="41D764F0" w:rsidR="007011E1" w:rsidRDefault="007011E1">
      <w:pPr>
        <w:widowControl w:val="0"/>
        <w:pBdr>
          <w:top w:val="nil"/>
          <w:left w:val="nil"/>
          <w:bottom w:val="nil"/>
          <w:right w:val="nil"/>
          <w:between w:val="nil"/>
        </w:pBdr>
        <w:spacing w:after="240" w:line="240" w:lineRule="auto"/>
        <w:ind w:left="720" w:hanging="720"/>
        <w:jc w:val="left"/>
        <w:rPr>
          <w:rFonts w:eastAsia="Times New Roman" w:cs="Times New Roman"/>
          <w:b/>
          <w:szCs w:val="24"/>
        </w:rPr>
      </w:pPr>
      <w:r>
        <w:t xml:space="preserve">Flower, Michael </w:t>
      </w:r>
      <w:proofErr w:type="spellStart"/>
      <w:r>
        <w:t>Attyah</w:t>
      </w:r>
      <w:proofErr w:type="spellEnd"/>
      <w:r>
        <w:t xml:space="preserve">, </w:t>
      </w:r>
      <w:hyperlink r:id="rId15">
        <w:r>
          <w:rPr>
            <w:i/>
          </w:rPr>
          <w:t>The Seer in Ancient Greece</w:t>
        </w:r>
      </w:hyperlink>
      <w:r>
        <w:t xml:space="preserve"> (University of California Press, 2007) &lt;https://www.jstor.org/stable/10.1525/j.ctt1pp4k4&gt; [accessed 10 </w:t>
      </w:r>
      <w:r w:rsidR="000E3613">
        <w:t>July</w:t>
      </w:r>
      <w:r>
        <w:t xml:space="preserve"> 2025]</w:t>
      </w:r>
    </w:p>
    <w:p w14:paraId="00000044" w14:textId="6A9364E6" w:rsidR="007011E1" w:rsidRDefault="007011E1">
      <w:pPr>
        <w:widowControl w:val="0"/>
        <w:pBdr>
          <w:top w:val="nil"/>
          <w:left w:val="nil"/>
          <w:bottom w:val="nil"/>
          <w:right w:val="nil"/>
          <w:between w:val="nil"/>
        </w:pBdr>
        <w:spacing w:after="240" w:line="240" w:lineRule="auto"/>
        <w:ind w:left="720" w:hanging="720"/>
        <w:jc w:val="left"/>
        <w:rPr>
          <w:rFonts w:eastAsia="Times New Roman" w:cs="Times New Roman"/>
          <w:b/>
          <w:szCs w:val="24"/>
        </w:rPr>
      </w:pPr>
      <w:r>
        <w:t xml:space="preserve">Park, George K., ‘Divination and Its Social Contexts’, </w:t>
      </w:r>
      <w:r>
        <w:rPr>
          <w:i/>
        </w:rPr>
        <w:t>The Journal of the Royal Anthropological Institute of Great Britain and Ireland</w:t>
      </w:r>
      <w:r>
        <w:t>, 93.2 (1963), 195–209, doi:10.2307/2844242</w:t>
      </w:r>
    </w:p>
    <w:p w14:paraId="00000045" w14:textId="0AF69DDD" w:rsidR="007011E1" w:rsidRDefault="00000000">
      <w:pPr>
        <w:widowControl w:val="0"/>
        <w:pBdr>
          <w:top w:val="nil"/>
          <w:left w:val="nil"/>
          <w:bottom w:val="nil"/>
          <w:right w:val="nil"/>
          <w:between w:val="nil"/>
        </w:pBdr>
        <w:spacing w:after="240" w:line="240" w:lineRule="auto"/>
        <w:ind w:left="720" w:hanging="720"/>
        <w:jc w:val="left"/>
      </w:pPr>
      <w:proofErr w:type="spellStart"/>
      <w:r>
        <w:t>Ruepke</w:t>
      </w:r>
      <w:proofErr w:type="spellEnd"/>
      <w:r>
        <w:t xml:space="preserve">, Joerg, </w:t>
      </w:r>
      <w:r w:rsidR="007011E1">
        <w:rPr>
          <w:i/>
        </w:rPr>
        <w:t>A Companion to Roman Religion</w:t>
      </w:r>
      <w:r w:rsidR="00366A57" w:rsidRPr="00366A57">
        <w:rPr>
          <w:iCs/>
        </w:rPr>
        <w:t xml:space="preserve"> (M</w:t>
      </w:r>
      <w:r w:rsidR="00366A57">
        <w:t>alden: Blackwell Publishing, 2007)</w:t>
      </w:r>
      <w:r w:rsidR="007011E1">
        <w:t xml:space="preserve"> &lt;https://www.academia.edu/13494260/2011_A_Companion_to_Roman_Religion&gt; [accessed 10 March 2025]</w:t>
      </w:r>
      <w:r w:rsidR="00366A57">
        <w:t>.</w:t>
      </w:r>
    </w:p>
    <w:p w14:paraId="3BE39377" w14:textId="1E32EA1B" w:rsidR="00366A57" w:rsidRPr="00AC5A26" w:rsidRDefault="00366A57" w:rsidP="00AC5A26">
      <w:pPr>
        <w:widowControl w:val="0"/>
        <w:pBdr>
          <w:top w:val="nil"/>
          <w:left w:val="nil"/>
          <w:bottom w:val="nil"/>
          <w:right w:val="nil"/>
          <w:between w:val="nil"/>
        </w:pBdr>
        <w:spacing w:after="240" w:line="240" w:lineRule="auto"/>
        <w:ind w:left="720" w:hanging="720"/>
        <w:jc w:val="left"/>
      </w:pPr>
      <w:r w:rsidRPr="00450D1D">
        <w:rPr>
          <w:iCs/>
        </w:rPr>
        <w:t>Thorsrud, Harald,</w:t>
      </w:r>
      <w:r>
        <w:rPr>
          <w:i/>
        </w:rPr>
        <w:t xml:space="preserve"> Cicero: Academic Skepticism</w:t>
      </w:r>
      <w:r>
        <w:rPr>
          <w:iCs/>
        </w:rPr>
        <w:t xml:space="preserve"> (</w:t>
      </w:r>
      <w:r w:rsidRPr="009F5771">
        <w:rPr>
          <w:iCs/>
        </w:rPr>
        <w:t>Internet Encyclopedia of Philosophy</w:t>
      </w:r>
      <w:r>
        <w:t>, n.d.)</w:t>
      </w:r>
      <w:hyperlink r:id="rId16" w:history="1">
        <w:r w:rsidRPr="00BB06B6">
          <w:rPr>
            <w:rStyle w:val="Hyperlink"/>
          </w:rPr>
          <w:t xml:space="preserve"> </w:t>
        </w:r>
      </w:hyperlink>
      <w:r>
        <w:t>&lt;https://iep.utm.edu/cicero-academic-skepticism/&gt; [accessed 22 July 2025].</w:t>
      </w:r>
    </w:p>
    <w:sectPr w:rsidR="00366A57" w:rsidRPr="00AC5A26" w:rsidSect="002C305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FF97" w14:textId="77777777" w:rsidR="00D876D0" w:rsidRDefault="00D876D0">
      <w:pPr>
        <w:spacing w:line="240" w:lineRule="auto"/>
      </w:pPr>
      <w:r>
        <w:separator/>
      </w:r>
    </w:p>
  </w:endnote>
  <w:endnote w:type="continuationSeparator" w:id="0">
    <w:p w14:paraId="589C5B4F" w14:textId="77777777" w:rsidR="00D876D0" w:rsidRDefault="00D87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bramo Script">
    <w:panose1 w:val="02010504020101010102"/>
    <w:charset w:val="00"/>
    <w:family w:val="auto"/>
    <w:pitch w:val="variable"/>
    <w:sig w:usb0="A00000EF" w:usb1="0000204A" w:usb2="00000008" w:usb3="00000000" w:csb0="0000008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BDBCA" w14:textId="77777777" w:rsidR="00D876D0" w:rsidRDefault="00D876D0">
      <w:pPr>
        <w:spacing w:line="240" w:lineRule="auto"/>
      </w:pPr>
      <w:r>
        <w:separator/>
      </w:r>
    </w:p>
  </w:footnote>
  <w:footnote w:type="continuationSeparator" w:id="0">
    <w:p w14:paraId="4FF8F709" w14:textId="77777777" w:rsidR="00D876D0" w:rsidRDefault="00D876D0">
      <w:pPr>
        <w:spacing w:line="240" w:lineRule="auto"/>
      </w:pPr>
      <w:r>
        <w:continuationSeparator/>
      </w:r>
    </w:p>
  </w:footnote>
  <w:footnote w:id="1">
    <w:p w14:paraId="00000046" w14:textId="34374CC2" w:rsidR="007011E1" w:rsidRDefault="00000000">
      <w:pPr>
        <w:pBdr>
          <w:top w:val="nil"/>
          <w:left w:val="nil"/>
          <w:bottom w:val="nil"/>
          <w:right w:val="nil"/>
          <w:between w:val="nil"/>
        </w:pBdr>
        <w:spacing w:line="240" w:lineRule="auto"/>
        <w:ind w:firstLine="0"/>
        <w:jc w:val="left"/>
        <w:rPr>
          <w:color w:val="000000"/>
          <w:sz w:val="20"/>
          <w:szCs w:val="20"/>
        </w:rPr>
      </w:pPr>
      <w:r>
        <w:rPr>
          <w:vertAlign w:val="superscript"/>
        </w:rPr>
        <w:footnoteRef/>
      </w:r>
      <w:r>
        <w:rPr>
          <w:color w:val="000000"/>
          <w:sz w:val="20"/>
          <w:szCs w:val="20"/>
        </w:rPr>
        <w:t xml:space="preserve"> Marcus Tullius Cicero, </w:t>
      </w:r>
      <w:r>
        <w:rPr>
          <w:i/>
          <w:color w:val="000000"/>
          <w:sz w:val="20"/>
          <w:szCs w:val="20"/>
        </w:rPr>
        <w:t>Cicero: On Old Age, On Friendship, On Divination</w:t>
      </w:r>
      <w:r>
        <w:rPr>
          <w:color w:val="000000"/>
          <w:sz w:val="20"/>
          <w:szCs w:val="20"/>
        </w:rPr>
        <w:t>, trans. by W</w:t>
      </w:r>
      <w:r w:rsidR="00453022">
        <w:rPr>
          <w:color w:val="000000"/>
          <w:sz w:val="20"/>
          <w:szCs w:val="20"/>
        </w:rPr>
        <w:t xml:space="preserve">illiam Armistead </w:t>
      </w:r>
      <w:r>
        <w:rPr>
          <w:color w:val="000000"/>
          <w:sz w:val="20"/>
          <w:szCs w:val="20"/>
        </w:rPr>
        <w:t>Falconer, Loeb Classical Library (</w:t>
      </w:r>
      <w:r w:rsidR="00453022">
        <w:rPr>
          <w:color w:val="000000"/>
          <w:sz w:val="20"/>
          <w:szCs w:val="20"/>
        </w:rPr>
        <w:t xml:space="preserve">Cambridge, MA: </w:t>
      </w:r>
      <w:r>
        <w:rPr>
          <w:color w:val="000000"/>
          <w:sz w:val="20"/>
          <w:szCs w:val="20"/>
        </w:rPr>
        <w:t>Harvard University Press, 1923) &lt;http://archive.org/details/cicero-de-senectute-de-amicitia-de-divinatione&gt; [accessed 5 July 2025].</w:t>
      </w:r>
    </w:p>
  </w:footnote>
  <w:footnote w:id="2">
    <w:p w14:paraId="00000047" w14:textId="0F6E14E4" w:rsidR="007011E1" w:rsidRDefault="00000000">
      <w:pPr>
        <w:pBdr>
          <w:top w:val="nil"/>
          <w:left w:val="nil"/>
          <w:bottom w:val="nil"/>
          <w:right w:val="nil"/>
          <w:between w:val="nil"/>
        </w:pBdr>
        <w:spacing w:line="240" w:lineRule="auto"/>
        <w:ind w:firstLine="0"/>
        <w:jc w:val="left"/>
        <w:rPr>
          <w:color w:val="000000"/>
          <w:sz w:val="20"/>
          <w:szCs w:val="20"/>
        </w:rPr>
      </w:pPr>
      <w:r>
        <w:rPr>
          <w:vertAlign w:val="superscript"/>
        </w:rPr>
        <w:footnoteRef/>
      </w:r>
      <w:r>
        <w:rPr>
          <w:color w:val="000000"/>
          <w:sz w:val="20"/>
          <w:szCs w:val="20"/>
        </w:rPr>
        <w:t xml:space="preserve"> </w:t>
      </w:r>
      <w:r w:rsidR="00453022">
        <w:rPr>
          <w:color w:val="000000"/>
          <w:sz w:val="20"/>
          <w:szCs w:val="20"/>
        </w:rPr>
        <w:t>Ibid.,</w:t>
      </w:r>
      <w:r>
        <w:rPr>
          <w:color w:val="000000"/>
          <w:sz w:val="20"/>
          <w:szCs w:val="20"/>
        </w:rPr>
        <w:t xml:space="preserve"> pp. 223–369.</w:t>
      </w:r>
    </w:p>
  </w:footnote>
  <w:footnote w:id="3">
    <w:p w14:paraId="00000048" w14:textId="0FDFF3B0" w:rsidR="007011E1" w:rsidRDefault="00000000">
      <w:pPr>
        <w:pBdr>
          <w:top w:val="nil"/>
          <w:left w:val="nil"/>
          <w:bottom w:val="nil"/>
          <w:right w:val="nil"/>
          <w:between w:val="nil"/>
        </w:pBdr>
        <w:spacing w:line="240" w:lineRule="auto"/>
        <w:ind w:firstLine="0"/>
        <w:jc w:val="left"/>
        <w:rPr>
          <w:color w:val="000000"/>
          <w:sz w:val="20"/>
          <w:szCs w:val="20"/>
        </w:rPr>
      </w:pPr>
      <w:r>
        <w:rPr>
          <w:vertAlign w:val="superscript"/>
        </w:rPr>
        <w:footnoteRef/>
      </w:r>
      <w:r>
        <w:rPr>
          <w:color w:val="000000"/>
          <w:sz w:val="20"/>
          <w:szCs w:val="20"/>
        </w:rPr>
        <w:t xml:space="preserve"> </w:t>
      </w:r>
      <w:r w:rsidR="00453022">
        <w:rPr>
          <w:color w:val="000000"/>
          <w:sz w:val="20"/>
          <w:szCs w:val="20"/>
        </w:rPr>
        <w:t xml:space="preserve">Ibid., </w:t>
      </w:r>
      <w:r>
        <w:rPr>
          <w:color w:val="000000"/>
          <w:sz w:val="20"/>
          <w:szCs w:val="20"/>
        </w:rPr>
        <w:t>pp. 371–539.</w:t>
      </w:r>
    </w:p>
  </w:footnote>
  <w:footnote w:id="4">
    <w:p w14:paraId="00000049" w14:textId="580BEF91" w:rsidR="007011E1" w:rsidRDefault="00000000">
      <w:pPr>
        <w:pBdr>
          <w:top w:val="nil"/>
          <w:left w:val="nil"/>
          <w:bottom w:val="nil"/>
          <w:right w:val="nil"/>
          <w:between w:val="nil"/>
        </w:pBdr>
        <w:spacing w:line="240" w:lineRule="auto"/>
        <w:ind w:firstLine="0"/>
        <w:jc w:val="left"/>
        <w:rPr>
          <w:color w:val="000000"/>
          <w:sz w:val="20"/>
          <w:szCs w:val="20"/>
        </w:rPr>
      </w:pPr>
      <w:r>
        <w:rPr>
          <w:vertAlign w:val="superscript"/>
        </w:rPr>
        <w:footnoteRef/>
      </w:r>
      <w:r>
        <w:rPr>
          <w:color w:val="000000"/>
          <w:sz w:val="20"/>
          <w:szCs w:val="20"/>
        </w:rPr>
        <w:t xml:space="preserve"> Mary Beard, </w:t>
      </w:r>
      <w:r w:rsidR="00453022" w:rsidRPr="00453022">
        <w:rPr>
          <w:color w:val="000000"/>
          <w:sz w:val="20"/>
          <w:szCs w:val="20"/>
        </w:rPr>
        <w:t>John North, and Simon Price</w:t>
      </w:r>
      <w:r>
        <w:rPr>
          <w:color w:val="000000"/>
          <w:sz w:val="20"/>
          <w:szCs w:val="20"/>
        </w:rPr>
        <w:t xml:space="preserve">, </w:t>
      </w:r>
      <w:r>
        <w:rPr>
          <w:i/>
          <w:color w:val="000000"/>
          <w:sz w:val="20"/>
          <w:szCs w:val="20"/>
        </w:rPr>
        <w:t>Religions of Rome</w:t>
      </w:r>
      <w:r>
        <w:rPr>
          <w:color w:val="000000"/>
          <w:sz w:val="20"/>
          <w:szCs w:val="20"/>
        </w:rPr>
        <w:t xml:space="preserve"> (Cambridge: Cambridge University Press, 1998) p. 150 &lt;</w:t>
      </w:r>
      <w:r w:rsidR="000E3613" w:rsidRPr="000E3613">
        <w:rPr>
          <w:color w:val="000000"/>
          <w:sz w:val="20"/>
          <w:szCs w:val="20"/>
        </w:rPr>
        <w:t>http://khazarzar.skeptik.net/books/rel_rom1.pdf</w:t>
      </w:r>
      <w:r>
        <w:rPr>
          <w:color w:val="000000"/>
          <w:sz w:val="20"/>
          <w:szCs w:val="20"/>
        </w:rPr>
        <w:t>&gt; [accessed 2 July 2025].</w:t>
      </w:r>
    </w:p>
  </w:footnote>
  <w:footnote w:id="5">
    <w:p w14:paraId="0000004A" w14:textId="5CF28137" w:rsidR="007011E1" w:rsidRDefault="00000000">
      <w:pPr>
        <w:pBdr>
          <w:top w:val="nil"/>
          <w:left w:val="nil"/>
          <w:bottom w:val="nil"/>
          <w:right w:val="nil"/>
          <w:between w:val="nil"/>
        </w:pBdr>
        <w:spacing w:line="240" w:lineRule="auto"/>
        <w:ind w:firstLine="0"/>
        <w:jc w:val="left"/>
        <w:rPr>
          <w:color w:val="000000"/>
          <w:sz w:val="20"/>
          <w:szCs w:val="20"/>
        </w:rPr>
      </w:pPr>
      <w:r>
        <w:rPr>
          <w:vertAlign w:val="superscript"/>
        </w:rPr>
        <w:footnoteRef/>
      </w:r>
      <w:r>
        <w:rPr>
          <w:color w:val="000000"/>
          <w:sz w:val="20"/>
          <w:szCs w:val="20"/>
        </w:rPr>
        <w:t xml:space="preserve"> </w:t>
      </w:r>
      <w:r w:rsidR="00453022">
        <w:rPr>
          <w:color w:val="000000"/>
          <w:sz w:val="20"/>
          <w:szCs w:val="20"/>
        </w:rPr>
        <w:t xml:space="preserve">Harald </w:t>
      </w:r>
      <w:r w:rsidR="00453022" w:rsidRPr="00453022">
        <w:rPr>
          <w:iCs/>
          <w:color w:val="000000"/>
          <w:sz w:val="20"/>
          <w:szCs w:val="20"/>
        </w:rPr>
        <w:t xml:space="preserve">Thorsrud, </w:t>
      </w:r>
      <w:r w:rsidR="00453022" w:rsidRPr="00453022">
        <w:rPr>
          <w:i/>
          <w:color w:val="000000"/>
          <w:sz w:val="20"/>
          <w:szCs w:val="20"/>
        </w:rPr>
        <w:t>Cicero: Academic Skepticism</w:t>
      </w:r>
      <w:r w:rsidR="00453022" w:rsidRPr="00453022">
        <w:rPr>
          <w:iCs/>
          <w:color w:val="000000"/>
          <w:sz w:val="20"/>
          <w:szCs w:val="20"/>
        </w:rPr>
        <w:t xml:space="preserve"> (Internet Encyclopedia of Philosophy</w:t>
      </w:r>
      <w:r w:rsidR="00453022" w:rsidRPr="00453022">
        <w:rPr>
          <w:color w:val="000000"/>
          <w:sz w:val="20"/>
          <w:szCs w:val="20"/>
        </w:rPr>
        <w:t>, n.d.)</w:t>
      </w:r>
      <w:hyperlink r:id="rId1" w:history="1">
        <w:r w:rsidR="00453022" w:rsidRPr="00453022">
          <w:rPr>
            <w:rStyle w:val="Hyperlink"/>
            <w:sz w:val="20"/>
            <w:szCs w:val="20"/>
          </w:rPr>
          <w:t xml:space="preserve"> </w:t>
        </w:r>
      </w:hyperlink>
      <w:r w:rsidR="00453022" w:rsidRPr="00453022">
        <w:rPr>
          <w:color w:val="000000"/>
          <w:sz w:val="20"/>
          <w:szCs w:val="20"/>
        </w:rPr>
        <w:t>&lt;https://iep.utm.edu/cicero-academic-skepticism/&gt; [accessed 2 July 2025].</w:t>
      </w:r>
    </w:p>
  </w:footnote>
  <w:footnote w:id="6">
    <w:p w14:paraId="0000004C" w14:textId="06A91DFF" w:rsidR="007011E1" w:rsidRDefault="00000000">
      <w:pPr>
        <w:spacing w:line="240" w:lineRule="auto"/>
        <w:ind w:firstLine="0"/>
        <w:jc w:val="left"/>
        <w:rPr>
          <w:sz w:val="20"/>
          <w:szCs w:val="20"/>
        </w:rPr>
      </w:pPr>
      <w:r>
        <w:rPr>
          <w:vertAlign w:val="superscript"/>
        </w:rPr>
        <w:footnoteRef/>
      </w:r>
      <w:r>
        <w:rPr>
          <w:sz w:val="20"/>
          <w:szCs w:val="20"/>
        </w:rPr>
        <w:t xml:space="preserve"> </w:t>
      </w:r>
      <w:r w:rsidR="008A1237">
        <w:rPr>
          <w:color w:val="000000"/>
          <w:sz w:val="20"/>
          <w:szCs w:val="20"/>
        </w:rPr>
        <w:t xml:space="preserve">Cicero, </w:t>
      </w:r>
      <w:r w:rsidR="008A1237">
        <w:rPr>
          <w:i/>
          <w:color w:val="000000"/>
          <w:sz w:val="20"/>
          <w:szCs w:val="20"/>
        </w:rPr>
        <w:t>Cicero</w:t>
      </w:r>
      <w:hyperlink r:id="rId2">
        <w:r w:rsidR="007011E1">
          <w:rPr>
            <w:sz w:val="20"/>
            <w:szCs w:val="20"/>
          </w:rPr>
          <w:t>, pp. 371–539.</w:t>
        </w:r>
      </w:hyperlink>
    </w:p>
  </w:footnote>
  <w:footnote w:id="7">
    <w:p w14:paraId="0000004D" w14:textId="3759DE6D" w:rsidR="007011E1" w:rsidRDefault="00000000">
      <w:pPr>
        <w:spacing w:line="240" w:lineRule="auto"/>
        <w:ind w:firstLine="0"/>
        <w:jc w:val="left"/>
        <w:rPr>
          <w:sz w:val="20"/>
          <w:szCs w:val="20"/>
        </w:rPr>
      </w:pPr>
      <w:r>
        <w:rPr>
          <w:vertAlign w:val="superscript"/>
        </w:rPr>
        <w:footnoteRef/>
      </w:r>
      <w:r w:rsidR="00453022">
        <w:rPr>
          <w:sz w:val="20"/>
          <w:szCs w:val="20"/>
        </w:rPr>
        <w:t xml:space="preserve"> Ibid.</w:t>
      </w:r>
      <w:hyperlink r:id="rId3">
        <w:r w:rsidR="007011E1">
          <w:rPr>
            <w:sz w:val="20"/>
            <w:szCs w:val="20"/>
          </w:rPr>
          <w:t xml:space="preserve">, pp. </w:t>
        </w:r>
      </w:hyperlink>
      <w:hyperlink r:id="rId4">
        <w:r w:rsidR="007011E1">
          <w:rPr>
            <w:sz w:val="20"/>
            <w:szCs w:val="20"/>
          </w:rPr>
          <w:t>433</w:t>
        </w:r>
        <w:r w:rsidR="00453022">
          <w:rPr>
            <w:sz w:val="20"/>
            <w:szCs w:val="20"/>
          </w:rPr>
          <w:t>–</w:t>
        </w:r>
        <w:r w:rsidR="00453022">
          <w:rPr>
            <w:sz w:val="20"/>
            <w:szCs w:val="20"/>
          </w:rPr>
          <w:softHyphen/>
        </w:r>
        <w:r w:rsidR="007011E1">
          <w:rPr>
            <w:sz w:val="20"/>
            <w:szCs w:val="20"/>
          </w:rPr>
          <w:t>37.</w:t>
        </w:r>
      </w:hyperlink>
    </w:p>
  </w:footnote>
  <w:footnote w:id="8">
    <w:p w14:paraId="0000004E" w14:textId="3188A054" w:rsidR="007011E1" w:rsidRDefault="00000000">
      <w:pPr>
        <w:spacing w:line="240" w:lineRule="auto"/>
        <w:ind w:firstLine="0"/>
        <w:jc w:val="left"/>
        <w:rPr>
          <w:sz w:val="20"/>
          <w:szCs w:val="20"/>
        </w:rPr>
      </w:pPr>
      <w:r>
        <w:rPr>
          <w:vertAlign w:val="superscript"/>
        </w:rPr>
        <w:footnoteRef/>
      </w:r>
      <w:r>
        <w:rPr>
          <w:sz w:val="20"/>
          <w:szCs w:val="20"/>
        </w:rPr>
        <w:t xml:space="preserve"> </w:t>
      </w:r>
      <w:r w:rsidR="00453022">
        <w:rPr>
          <w:sz w:val="20"/>
          <w:szCs w:val="20"/>
        </w:rPr>
        <w:t>Ibid.</w:t>
      </w:r>
      <w:hyperlink r:id="rId5">
        <w:r w:rsidR="007011E1">
          <w:rPr>
            <w:sz w:val="20"/>
            <w:szCs w:val="20"/>
          </w:rPr>
          <w:t>, p. 387.</w:t>
        </w:r>
      </w:hyperlink>
    </w:p>
  </w:footnote>
  <w:footnote w:id="9">
    <w:p w14:paraId="0000004F" w14:textId="7BAF0623" w:rsidR="007011E1" w:rsidRDefault="00000000">
      <w:pPr>
        <w:spacing w:line="240" w:lineRule="auto"/>
        <w:ind w:firstLine="0"/>
        <w:jc w:val="left"/>
        <w:rPr>
          <w:sz w:val="20"/>
          <w:szCs w:val="20"/>
        </w:rPr>
      </w:pPr>
      <w:r>
        <w:rPr>
          <w:vertAlign w:val="superscript"/>
        </w:rPr>
        <w:footnoteRef/>
      </w:r>
      <w:r>
        <w:rPr>
          <w:sz w:val="20"/>
          <w:szCs w:val="20"/>
        </w:rPr>
        <w:t xml:space="preserve"> Ibid</w:t>
      </w:r>
      <w:hyperlink r:id="rId6">
        <w:r w:rsidR="007011E1">
          <w:rPr>
            <w:sz w:val="20"/>
            <w:szCs w:val="20"/>
          </w:rPr>
          <w:t>.</w:t>
        </w:r>
      </w:hyperlink>
      <w:r w:rsidR="00670407">
        <w:t xml:space="preserve"> </w:t>
      </w:r>
      <w:r w:rsidR="00670407" w:rsidRPr="00670407">
        <w:rPr>
          <w:sz w:val="20"/>
          <w:szCs w:val="20"/>
        </w:rPr>
        <w:t>p.433-37</w:t>
      </w:r>
    </w:p>
  </w:footnote>
  <w:footnote w:id="10">
    <w:p w14:paraId="00000051" w14:textId="0058D61D" w:rsidR="007011E1" w:rsidRDefault="00000000">
      <w:pPr>
        <w:spacing w:line="240" w:lineRule="auto"/>
        <w:ind w:firstLine="0"/>
        <w:jc w:val="left"/>
        <w:rPr>
          <w:sz w:val="20"/>
          <w:szCs w:val="20"/>
        </w:rPr>
      </w:pPr>
      <w:r>
        <w:rPr>
          <w:vertAlign w:val="superscript"/>
        </w:rPr>
        <w:footnoteRef/>
      </w:r>
      <w:r>
        <w:rPr>
          <w:sz w:val="20"/>
          <w:szCs w:val="20"/>
        </w:rPr>
        <w:t xml:space="preserve"> Ibid.</w:t>
      </w:r>
      <w:r w:rsidR="00EA7091">
        <w:t>,</w:t>
      </w:r>
      <w:hyperlink r:id="rId7">
        <w:r w:rsidR="007011E1">
          <w:rPr>
            <w:sz w:val="20"/>
            <w:szCs w:val="20"/>
          </w:rPr>
          <w:t xml:space="preserve"> pp. 43</w:t>
        </w:r>
        <w:r w:rsidR="005F43D9">
          <w:rPr>
            <w:sz w:val="20"/>
            <w:szCs w:val="20"/>
          </w:rPr>
          <w:t>1</w:t>
        </w:r>
        <w:r w:rsidR="007011E1">
          <w:rPr>
            <w:sz w:val="20"/>
            <w:szCs w:val="20"/>
          </w:rPr>
          <w:t>.</w:t>
        </w:r>
      </w:hyperlink>
    </w:p>
  </w:footnote>
  <w:footnote w:id="11">
    <w:p w14:paraId="00000052" w14:textId="56A45762" w:rsidR="007011E1" w:rsidRDefault="00000000">
      <w:pPr>
        <w:spacing w:line="240" w:lineRule="auto"/>
        <w:ind w:firstLine="0"/>
        <w:jc w:val="left"/>
        <w:rPr>
          <w:sz w:val="20"/>
          <w:szCs w:val="20"/>
        </w:rPr>
      </w:pPr>
      <w:r>
        <w:rPr>
          <w:vertAlign w:val="superscript"/>
        </w:rPr>
        <w:footnoteRef/>
      </w:r>
      <w:r>
        <w:rPr>
          <w:sz w:val="20"/>
          <w:szCs w:val="20"/>
        </w:rPr>
        <w:t xml:space="preserve"> </w:t>
      </w:r>
      <w:r w:rsidR="00453022" w:rsidRPr="00453022">
        <w:rPr>
          <w:iCs/>
          <w:color w:val="000000"/>
          <w:sz w:val="20"/>
          <w:szCs w:val="20"/>
        </w:rPr>
        <w:t xml:space="preserve">Thorsrud, </w:t>
      </w:r>
      <w:r w:rsidR="00453022" w:rsidRPr="00453022">
        <w:rPr>
          <w:i/>
          <w:color w:val="000000"/>
          <w:sz w:val="20"/>
          <w:szCs w:val="20"/>
        </w:rPr>
        <w:t>Cicero: Academic Skepticism</w:t>
      </w:r>
      <w:r w:rsidR="00453022">
        <w:rPr>
          <w:iCs/>
          <w:color w:val="000000"/>
          <w:sz w:val="20"/>
          <w:szCs w:val="20"/>
        </w:rPr>
        <w:t>.</w:t>
      </w:r>
    </w:p>
  </w:footnote>
  <w:footnote w:id="12">
    <w:p w14:paraId="00000054" w14:textId="56ECFA9F" w:rsidR="007011E1" w:rsidRPr="00B473E4" w:rsidRDefault="00000000">
      <w:pPr>
        <w:spacing w:line="240" w:lineRule="auto"/>
        <w:ind w:firstLine="0"/>
        <w:jc w:val="left"/>
        <w:rPr>
          <w:sz w:val="20"/>
          <w:szCs w:val="20"/>
        </w:rPr>
      </w:pPr>
      <w:r>
        <w:rPr>
          <w:vertAlign w:val="superscript"/>
        </w:rPr>
        <w:footnoteRef/>
      </w:r>
      <w:r>
        <w:rPr>
          <w:sz w:val="20"/>
          <w:szCs w:val="20"/>
        </w:rPr>
        <w:t xml:space="preserve"> </w:t>
      </w:r>
      <w:r w:rsidR="00B473E4" w:rsidRPr="00B473E4">
        <w:rPr>
          <w:sz w:val="20"/>
          <w:szCs w:val="20"/>
        </w:rPr>
        <w:fldChar w:fldCharType="begin"/>
      </w:r>
      <w:r w:rsidR="00B473E4" w:rsidRPr="00B473E4">
        <w:rPr>
          <w:sz w:val="20"/>
          <w:szCs w:val="20"/>
        </w:rPr>
        <w:instrText xml:space="preserve"> ADDIN ZOTERO_ITEM CSL_CITATION {"citationID":"Vcy4HfeJ","properties":{"formattedCitation":"Michael Attyah Flower, {\\i{}The Seer in Ancient Greece}, 1st edn (University of California Press, 2007), p. 74 &lt;https://www.jstor.org/stable/10.1525/j.ctt1pp4k4&gt; [accessed 10 March 2025].","plainCitation":"Michael Attyah Flower, The Seer in Ancient Greece, 1st edn (University of California Press, 2007), p. 74 &lt;https://www.jstor.org/stable/10.1525/j.ctt1pp4k4&gt; [accessed 10 March 2025].","noteIndex":12},"citationItems":[{"id":38,"uris":["http://zotero.org/users/16640463/items/5THFAE7N"],"itemData":{"id":38,"type":"book","abstract":"The seer ( &lt;i&gt;mantis&lt;/i&gt; ), an expert in the art of divination, operated in ancient Greek society through a combination of\ncharismatic inspiration and diverse skills ranging from examining the livers of sacrificed animals to spirit possession. Unlike the palm readers and mediums who exist on the fringe of modern society, many seers were highly paid, well respected, educated members of\nthe elite who played an essential role in the conduct of daily\nlife, political decisions, and military campaigns. Armies, for\nexample, never went anywhere without one. This engaging book, the only comprehensive study of this fascinating figure, enters into\nthe socioreligious world of ancient Greece to explore what seers\ndid, why they were so widely employed, and how their craft served as a viable and useful social practice.","edition":"1","ISBN":"978-0-520-25229-5","publisher":"University of California Press","source":"JSTOR","title":"The Seer in Ancient Greece","URL":"https://www.jstor.org/stable/10.1525/j.ctt1pp4k4","author":[{"family":"Flower","given":"Michael Attyah"}],"accessed":{"date-parts":[["2025",3,10]]},"issued":{"date-parts":[["2007"]]}},"locator":"74"}],"schema":"https://github.com/citation-style-language/schema/raw/master/csl-citation.json"} </w:instrText>
      </w:r>
      <w:r w:rsidR="00B473E4" w:rsidRPr="00B473E4">
        <w:rPr>
          <w:sz w:val="20"/>
          <w:szCs w:val="20"/>
        </w:rPr>
        <w:fldChar w:fldCharType="separate"/>
      </w:r>
      <w:r w:rsidR="00B473E4" w:rsidRPr="00B473E4">
        <w:rPr>
          <w:rFonts w:cs="Times New Roman"/>
          <w:sz w:val="20"/>
          <w:szCs w:val="20"/>
        </w:rPr>
        <w:t xml:space="preserve">Michael Attyah Flower, </w:t>
      </w:r>
      <w:r w:rsidR="00B473E4" w:rsidRPr="00B473E4">
        <w:rPr>
          <w:rFonts w:cs="Times New Roman"/>
          <w:i/>
          <w:iCs/>
          <w:sz w:val="20"/>
          <w:szCs w:val="20"/>
        </w:rPr>
        <w:t>The Seer in Ancient Greece</w:t>
      </w:r>
      <w:r w:rsidR="00B473E4" w:rsidRPr="00B473E4">
        <w:rPr>
          <w:rFonts w:cs="Times New Roman"/>
          <w:sz w:val="20"/>
          <w:szCs w:val="20"/>
        </w:rPr>
        <w:t>, 1st edn (University of California Press, 2007), p. 74 &lt;https://www.jstor.org/stable/10.1525/j.ctt1pp4k4&gt; [accessed 10 March 2025].</w:t>
      </w:r>
      <w:r w:rsidR="00B473E4" w:rsidRPr="00B473E4">
        <w:rPr>
          <w:sz w:val="20"/>
          <w:szCs w:val="20"/>
        </w:rPr>
        <w:fldChar w:fldCharType="end"/>
      </w:r>
    </w:p>
  </w:footnote>
  <w:footnote w:id="13">
    <w:p w14:paraId="00000055" w14:textId="32BCC580" w:rsidR="007011E1" w:rsidRDefault="00000000">
      <w:pPr>
        <w:spacing w:line="240" w:lineRule="auto"/>
        <w:ind w:firstLine="0"/>
        <w:jc w:val="left"/>
        <w:rPr>
          <w:sz w:val="20"/>
          <w:szCs w:val="20"/>
        </w:rPr>
      </w:pPr>
      <w:r w:rsidRPr="00B473E4">
        <w:rPr>
          <w:sz w:val="20"/>
          <w:szCs w:val="20"/>
          <w:vertAlign w:val="superscript"/>
        </w:rPr>
        <w:footnoteRef/>
      </w:r>
      <w:r w:rsidRPr="00B473E4">
        <w:rPr>
          <w:sz w:val="20"/>
          <w:szCs w:val="20"/>
        </w:rPr>
        <w:t xml:space="preserve"> </w:t>
      </w:r>
      <w:r w:rsidR="00B473E4" w:rsidRPr="00B473E4">
        <w:rPr>
          <w:sz w:val="20"/>
          <w:szCs w:val="20"/>
        </w:rPr>
        <w:t>Ibid.</w:t>
      </w:r>
    </w:p>
  </w:footnote>
  <w:footnote w:id="14">
    <w:p w14:paraId="00000056" w14:textId="78A090DE"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8">
        <w:r w:rsidR="007011E1">
          <w:rPr>
            <w:sz w:val="20"/>
            <w:szCs w:val="20"/>
          </w:rPr>
          <w:t xml:space="preserve">Nicholas Denyer, ‘The Case against Divination: An Examination of Cicero’s De </w:t>
        </w:r>
        <w:proofErr w:type="spellStart"/>
        <w:r w:rsidR="007011E1">
          <w:rPr>
            <w:sz w:val="20"/>
            <w:szCs w:val="20"/>
          </w:rPr>
          <w:t>Divinatione</w:t>
        </w:r>
        <w:proofErr w:type="spellEnd"/>
        <w:r w:rsidR="007011E1">
          <w:rPr>
            <w:sz w:val="20"/>
            <w:szCs w:val="20"/>
          </w:rPr>
          <w:t xml:space="preserve">’, </w:t>
        </w:r>
      </w:hyperlink>
      <w:hyperlink r:id="rId9">
        <w:r w:rsidR="007011E1">
          <w:rPr>
            <w:i/>
            <w:sz w:val="20"/>
            <w:szCs w:val="20"/>
          </w:rPr>
          <w:t>Proceedings of the Cambridge Philological Society</w:t>
        </w:r>
      </w:hyperlink>
      <w:hyperlink r:id="rId10">
        <w:r w:rsidR="007011E1">
          <w:rPr>
            <w:sz w:val="20"/>
            <w:szCs w:val="20"/>
          </w:rPr>
          <w:t>, 31.31 (211) (1985), 1–10 (pp. 9–10), doi:10.1017/S0068673500004715.</w:t>
        </w:r>
      </w:hyperlink>
    </w:p>
  </w:footnote>
  <w:footnote w:id="15">
    <w:p w14:paraId="00000057" w14:textId="42E29527"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11">
        <w:hyperlink r:id="rId12">
          <w:r w:rsidR="00EA7091">
            <w:rPr>
              <w:sz w:val="20"/>
              <w:szCs w:val="20"/>
            </w:rPr>
            <w:t xml:space="preserve">Cicero, </w:t>
          </w:r>
        </w:hyperlink>
        <w:hyperlink r:id="rId13">
          <w:r w:rsidR="00EA7091">
            <w:rPr>
              <w:i/>
              <w:sz w:val="20"/>
              <w:szCs w:val="20"/>
            </w:rPr>
            <w:t>Cicero</w:t>
          </w:r>
        </w:hyperlink>
        <w:r>
          <w:rPr>
            <w:sz w:val="20"/>
            <w:szCs w:val="20"/>
          </w:rPr>
          <w:t>,</w:t>
        </w:r>
      </w:hyperlink>
      <w:hyperlink r:id="rId14">
        <w:r w:rsidR="007011E1">
          <w:rPr>
            <w:sz w:val="20"/>
            <w:szCs w:val="20"/>
          </w:rPr>
          <w:t xml:space="preserve"> p. 401</w:t>
        </w:r>
        <w:r w:rsidR="005A2E5E">
          <w:rPr>
            <w:sz w:val="20"/>
            <w:szCs w:val="20"/>
          </w:rPr>
          <w:t>–</w:t>
        </w:r>
        <w:r w:rsidR="007011E1">
          <w:rPr>
            <w:sz w:val="20"/>
            <w:szCs w:val="20"/>
          </w:rPr>
          <w:t>03</w:t>
        </w:r>
      </w:hyperlink>
      <w:r>
        <w:rPr>
          <w:sz w:val="20"/>
          <w:szCs w:val="20"/>
        </w:rPr>
        <w:t>, 417</w:t>
      </w:r>
    </w:p>
  </w:footnote>
  <w:footnote w:id="16">
    <w:p w14:paraId="00000058" w14:textId="0980C06E"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15">
        <w:r w:rsidR="007011E1" w:rsidRPr="00E6195F">
          <w:rPr>
            <w:sz w:val="20"/>
            <w:szCs w:val="20"/>
          </w:rPr>
          <w:t>Ibid.</w:t>
        </w:r>
      </w:hyperlink>
      <w:hyperlink r:id="rId16">
        <w:r w:rsidR="007011E1">
          <w:rPr>
            <w:sz w:val="20"/>
            <w:szCs w:val="20"/>
          </w:rPr>
          <w:t>, pp. 3</w:t>
        </w:r>
      </w:hyperlink>
      <w:hyperlink r:id="rId17">
        <w:r w:rsidR="007011E1">
          <w:rPr>
            <w:sz w:val="20"/>
            <w:szCs w:val="20"/>
          </w:rPr>
          <w:t>79</w:t>
        </w:r>
      </w:hyperlink>
      <w:hyperlink r:id="rId18">
        <w:r w:rsidR="007011E1">
          <w:rPr>
            <w:sz w:val="20"/>
            <w:szCs w:val="20"/>
          </w:rPr>
          <w:t>–83.</w:t>
        </w:r>
      </w:hyperlink>
    </w:p>
  </w:footnote>
  <w:footnote w:id="17">
    <w:p w14:paraId="00000059" w14:textId="3EE9203A"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19">
        <w:r w:rsidR="007011E1">
          <w:rPr>
            <w:sz w:val="20"/>
            <w:szCs w:val="20"/>
          </w:rPr>
          <w:t>Denyer, ‘The Case against Divination’, pp. 9–10.</w:t>
        </w:r>
      </w:hyperlink>
    </w:p>
  </w:footnote>
  <w:footnote w:id="18">
    <w:p w14:paraId="22EE4A8C" w14:textId="4F8ABA10" w:rsidR="00033043" w:rsidRPr="00033043" w:rsidRDefault="00033043" w:rsidP="00033043">
      <w:pPr>
        <w:pStyle w:val="FootnoteText"/>
        <w:ind w:firstLine="0"/>
        <w:jc w:val="left"/>
        <w:rPr>
          <w:lang w:val="en-US"/>
        </w:rPr>
      </w:pPr>
      <w:r>
        <w:rPr>
          <w:rStyle w:val="FootnoteReference"/>
        </w:rPr>
        <w:footnoteRef/>
      </w:r>
      <w:r>
        <w:t xml:space="preserve"> </w:t>
      </w:r>
      <w:r>
        <w:fldChar w:fldCharType="begin"/>
      </w:r>
      <w:r>
        <w:instrText xml:space="preserve"> ADDIN ZOTERO_ITEM CSL_CITATION {"citationID":"SXNUPvqp","properties":{"formattedCitation":"Marcus Tullius Cicero, {\\i{}On Old Age, On Friendship, On Divination}, trans. by W.A Falconer, Loeb Classical Library (Harvard University Press, 1923), p. 303 &lt;http://archive.org/details/cicero-de-senectute-de-amicitia-de-divinatione&gt; [accessed 5 July 2025].","plainCitation":"Marcus Tullius Cicero, On Old Age, On Friendship, On Divination, trans. by W.A Falconer, Loeb Classical Library (Harvard University Press, 1923), p. 303 &lt;http://archive.org/details/cicero-de-senectute-de-amicitia-de-divinatione&gt; [accessed 5 July 2025].","dontUpdate":true,"noteIndex":18},"citationItems":[{"id":326,"uris":["http://zotero.org/users/16640463/items/TBF2PXWZ"],"itemData":{"id":326,"type":"book","abstract":"Cicero. De Senectute, De Amicitia, De Divinatione [On\nOld Age, On Friendship, On Divination]. Translated by William Armistead\nFalconer, Loeb Classical Library, Harvard UP, 1964. \n\n\n\nDe Divinatione [On Divination]\n\n\n\n\n\nCicero debates whether ancient fortune-telling or\ninterpreting omens can be trusted as a source of knowledge.\n\n\n\n\n\n\n\n \n\n\n\nDe Senectute [On Old Age]\n\n\n\n\n\nCicero argues that old age is not something to be feared\nor pitied, but a natural and valuable stage of life—especially when guided by\nwisdom, experience, and moral character.\n\n\n\n\n\n\n\n \n\n\n\nDe Divinatione [On Divination]\n\n\n\n\n\nCicero debates whether ancient fortune-telling or\ninterpreting omens can be trusted as a source of knowledge.\n\n\n\n\n\n\n\n \n\n\n\nI. De Senectute (On Old Age)\n\n\n\n\n\nContext and Purpose\n\nWritten in 44 BCE, De Senectute presents a dialogue between Cato the\nElder, Laelius, and Scipio. At a time when the Roman Republic was in decline,\nCicero offers a defense of old age as a dignified and meaningful stage of life.\nIt reflects Roman Stoic ideals and is filled with historical references to\nprominent Roman elders.\n\n\n\n\n\nPhilosophy of Knowledge\n\nCicero emphasizes that wisdom increases with age. Unlike the body, the mind—if\nproperly exercised—remains sharp. Knowledge in old age is less about physical\nactivity and more about judgment, experience, and memory. For Cicero, reason is\nthe true source of strength in the elderly.\n\n\n\n\n\nView of Reality (Ontology)\n\nOld age is natural and desirable—it fulfills the cycle of human nature. Rather\nthan resisting aging, the wise person accepts it as a part of cosmic and human\norder. Death itself is not feared but seen as the natural conclusion of a\nwell-lived life.\n\n\n\n\n\nEthical Values\n\nVirtue, dignity, and public service remain central in old age. Cato argues that\nmoral character and civic contribution do not diminish with years, but rather\nbecome more refined. Elderly individuals are portrayed as mentors, advisers,\nand role models for younger generations.\n\n\n\n\n\nStyle of Reasoning\n\nThe essay relies on analogies (e.g., old men are like pilots steering the\nship), Roman examples, and refutations of common complaints. Cicero presents\nold age as capable of intellectual and moral productivity, using historical\nillustrations to support each claim.\n\n\n\n\n\nUse of Rhetoric\n\nCato’s speech appeals to logic (logos) and ethics (ethos), with occasional\npathos when discussing death or fading pleasures. The dialogue structure\nencourages readers to weigh multiple perspectives, while ultimately affirming\nthe Stoic view.\n\n\n\n\n\nUnstated Beliefs\n\nThere is an implicit assumption that public service and education are the\nhighest goods in life. Aging is praised only when accompanied by virtue and\nwisdom. Leisure without moral purpose is criticized.\n\n\n\n\n\nModern Connections\n\nThe work challenges modern stereotypes about aging. It can be used to discuss\nretirement, the value of lifelong learning, and the civic role of older\ngenerations. The essay invites students to consider the idea of \"aging\nwith purpose.\"\n\n\n\n\n\nQuestions for Discussion\n\n\n\n\n\n\n How\n     does Cicero define a “successful” old age?\n\n\n Does\n     his view hold up in today’s world of longer lifespans and retirement?\n\n\n Can\n     physical decline be reconciled with intellectual and moral growth?\n\n\n\n\n\n\n\n\n\n\nII. De Amicitia (On Friendship)\n\n\n\n\n\nContext and Setting\n\nWritten shortly after De Senectute, this dialogue is set after the death\nof Scipio Africanus and centers on his friend Laelius reflecting on the nature\nof friendship. It is a heartfelt exploration of how virtue shapes and sustains\ntrue companionship.\n\n\n\n\n\nPhilosophy of Knowledge\n\nKnowledge of friendship comes from personal experience and rational\nobservation. True friends know each other intimately and recognize shared moral\nvalues. Friendship is not just an emotion—it is an ethical and intellectual\nconnection.\n\n\n\n\n\nView of Reality (Ontology)\n\nFriendship is part of human nature. Cicero suggests that people are social\nbeings drawn to one another through virtue. Friends are described as “second\nselves”—an extension of the self, grounded in loyalty and moral harmony.\n\n\n\n\n\nEthical Foundations\n\nCicero’s highest standard for friendship is virtue. True friendship cannot\nexist among the wicked or the selfish. Loyalty, honesty, and constancy define\ngenuine relationships. Those who seek pleasure or utility alone are unworthy of\ndeep friendship.\n\n\n\n\n\nLogic and Reasoning Style\n\nLaelius uses examples and analogies to explain the characteristics of true\nfriends. He contrasts virtuous friendship with shallow or self-serving bonds.\nThe argument builds gradually, distinguishing love from dependence or flattery.\n\n\n\n\n\nRhetorical Techniques\n\nThe essay uses personal grief (pathos), moral credibility (ethos), and logical\ncontrast (logos). The style is more reflective than argumentative, inviting\nreaders to examine their own relationships.\n\n\n\n\n\nHidden Assumptions\n\nCicero assumes that Roman political alliances can reflect true moral\nfriendships—but only when founded on virtue. He suggests that true affection is\nstable, rational, and enduring—rare, but possible.\n\n\n\n\n\nApplications to Modern Life\n\nThis essay can spark reflection on digital friendships, peer loyalty, and\nwhether relationships are based on ethics or convenience. Students may compare\nCicero’s ideals to the realities of peer pressure and social networks.\n\n\n\n\n\nQuestions for Discussion\n\n\n\n\n\n\n Is\n     Cicero’s idea of friendship realistic in the modern world?\n\n\n Can\n     deep friendship exist without shared moral values?\n\n\n How do\n     our friendships today measure up to Cicero’s expectations?\n\n\n\n\n\n\n\n\n\n\nIII. De Divinatione (On Divination)\n\n\n\n\n\nContext and Controversy\n\nIn this dialogue, Cicero debates his brother Quintus about the legitimacy of\ndivination—omens, oracles, dreams, and prophetic signs. Written on the eve of\nCaesar’s assassination, the essay wrestles with Stoic belief in fate versus\nCicero’s own skeptical, Academic perspective.\n\n\n\n\n\nKnowledge and Belief\n\nCicero questions whether knowledge gained through divination is rational or\nreliable. He contrasts empirical evidence and probability with faith in omens.\nHe argues that belief without reason is dangerous in public life.\n\n\n\n\n\nOntology and Fate\n\nThe essay presents two competing worldviews: one in which the cosmos is\ngoverned by rational fate (Stoicism), and one in which chance and free will\nshape reality (Academic skepticism). Cicero leans toward the latter but does\nnot fully dismiss religious custom.\n\n\n\n\n\nMoral Concerns\n\nCicero believes that morality should be based on reason and experience, not on\nsuperstition. He worries that people may evade responsibility by claiming fate\nor prophecy justified their actions. The ethical life, for Cicero, must be\ngrounded in rational choice.\n\n\n\n\n\nReasoning and Argument\n\nThe dialogue structure allows both sides to be presented. Cicero uses\nanalogies, historical examples, and logical critique to challenge his brother’s\nfaith in divination. The overall style is dialectical and rational.\n\n\n\n\n\nRhetoric in the Dialogue\n\nCicero uses irony, reasoned skepticism, and evidence-based critique to argue\nhis point. Quintus represents traditional belief, while Cicero embodies the\nRoman Enlightenment attitude of inquiry.\n\n\n\n\n\nUnspoken Premises\n\nCicero assumes that religious beliefs serve a civic function, even if not\nintellectually persuasive. He tolerates ritual, but not when it overrides\npractical wisdom. His argument suggests a divide between public conformity and\nprivate belief.\n\n\n\n\n\nRelevance Today\n\nThis essay opens up discussion on science vs. superstition, personal belief vs.\npublic reason, and how societies handle uncertainty. It can also prompt debate\non astrology, conspiracy theories, and civic responsibility.\n\n\n\n\n\nQuestions for Discussion\n\n\n\n\n\n\n Can\n     reason and religious belief coexist in political life?\n\n\n How\n     should societies handle prophecy, prediction, and superstition?\n\n\n What’s\n     the modern equivalent of Roman divination—and should we trust it?","collection-title":"Loeb Classical Library","event-place":"Cambridge, MA","language":"eng","license":"https://creativecommons.org/publicdomain/mark/1.0/","publisher":"Harvard University Press","publisher-place":"Cambridge, MA","source":"Internet Archive","title":"On Old Age, On Friendship, On Divination","title-short":"Cicero","URL":"http://archive.org/details/cicero-de-senectute-de-amicitia-de-divinatione","author":[{"literal":"Marcus Tullius Cicero"}],"translator":[{"family":"Falconer","given":"W.A"}],"accessed":{"date-parts":[["2025",7,5]]},"issued":{"date-parts":[["1923"]]}},"locator":"303"}],"schema":"https://github.com/citation-style-language/schema/raw/master/csl-citation.json"} </w:instrText>
      </w:r>
      <w:r>
        <w:fldChar w:fldCharType="separate"/>
      </w:r>
      <w:hyperlink r:id="rId20">
        <w:r>
          <w:t xml:space="preserve">Cicero, </w:t>
        </w:r>
      </w:hyperlink>
      <w:hyperlink r:id="rId21">
        <w:r>
          <w:rPr>
            <w:i/>
          </w:rPr>
          <w:t>Cicero</w:t>
        </w:r>
      </w:hyperlink>
      <w:hyperlink r:id="rId22">
        <w:r>
          <w:t xml:space="preserve">, pp.303 </w:t>
        </w:r>
      </w:hyperlink>
      <w:r>
        <w:fldChar w:fldCharType="end"/>
      </w:r>
    </w:p>
  </w:footnote>
  <w:footnote w:id="19">
    <w:p w14:paraId="46886B6B" w14:textId="64F51233" w:rsidR="00033043" w:rsidRDefault="00033043" w:rsidP="00033043">
      <w:pPr>
        <w:spacing w:line="240" w:lineRule="auto"/>
        <w:ind w:firstLine="0"/>
        <w:jc w:val="left"/>
        <w:rPr>
          <w:sz w:val="20"/>
          <w:szCs w:val="20"/>
        </w:rPr>
      </w:pPr>
      <w:r>
        <w:rPr>
          <w:vertAlign w:val="superscript"/>
        </w:rPr>
        <w:footnoteRef/>
      </w:r>
      <w:r>
        <w:rPr>
          <w:sz w:val="20"/>
          <w:szCs w:val="20"/>
        </w:rPr>
        <w:t xml:space="preserve"> </w:t>
      </w:r>
      <w:r w:rsidRPr="00033043">
        <w:rPr>
          <w:sz w:val="20"/>
          <w:szCs w:val="20"/>
        </w:rPr>
        <w:t>Ibid.</w:t>
      </w:r>
      <w:hyperlink r:id="rId23">
        <w:r>
          <w:rPr>
            <w:sz w:val="20"/>
            <w:szCs w:val="20"/>
          </w:rPr>
          <w:t>, pp.</w:t>
        </w:r>
      </w:hyperlink>
      <w:r>
        <w:rPr>
          <w:sz w:val="20"/>
          <w:szCs w:val="20"/>
        </w:rPr>
        <w:t>431.</w:t>
      </w:r>
    </w:p>
  </w:footnote>
  <w:footnote w:id="20">
    <w:p w14:paraId="2D041FCA" w14:textId="02DE4C2B" w:rsidR="00033043" w:rsidRPr="00033043" w:rsidRDefault="00033043" w:rsidP="00033043">
      <w:pPr>
        <w:pStyle w:val="FootnoteText"/>
        <w:ind w:firstLine="0"/>
        <w:jc w:val="left"/>
        <w:rPr>
          <w:lang w:val="en-US"/>
        </w:rPr>
      </w:pPr>
      <w:r>
        <w:rPr>
          <w:rStyle w:val="FootnoteReference"/>
        </w:rPr>
        <w:footnoteRef/>
      </w:r>
      <w:r>
        <w:t xml:space="preserve"> </w:t>
      </w:r>
      <w:r>
        <w:fldChar w:fldCharType="begin"/>
      </w:r>
      <w:r>
        <w:instrText xml:space="preserve"> ADDIN ZOTERO_ITEM CSL_CITATION {"citationID":"TX1vL3HH","properties":{"formattedCitation":"Marcus Tullius Cicero, {\\i{}Cicero}, pp. 381\\uc0\\u8211{}83.","plainCitation":"Marcus Tullius Cicero, Cicero, pp. 381–83.","noteIndex":20},"citationItems":[{"id":326,"uris":["http://zotero.org/users/16640463/items/TBF2PXWZ"],"itemData":{"id":326,"type":"book","abstract":"Cicero. De Senectute, De Amicitia, De Divinatione [On\nOld Age, On Friendship, On Divination]. Translated by William Armistead\nFalconer, Loeb Classical Library, Harvard UP, 1964. \n\n\n\nDe Divinatione [On Divination]\n\n\n\n\n\nCicero debates whether ancient fortune-telling or\ninterpreting omens can be trusted as a source of knowledge.\n\n\n\n\n\n\n\n \n\n\n\nDe Senectute [On Old Age]\n\n\n\n\n\nCicero argues that old age is not something to be feared\nor pitied, but a natural and valuable stage of life—especially when guided by\nwisdom, experience, and moral character.\n\n\n\n\n\n\n\n \n\n\n\nDe Divinatione [On Divination]\n\n\n\n\n\nCicero debates whether ancient fortune-telling or\ninterpreting omens can be trusted as a source of knowledge.\n\n\n\n\n\n\n\n \n\n\n\nI. De Senectute (On Old Age)\n\n\n\n\n\nContext and Purpose\n\nWritten in 44 BCE, De Senectute presents a dialogue between Cato the\nElder, Laelius, and Scipio. At a time when the Roman Republic was in decline,\nCicero offers a defense of old age as a dignified and meaningful stage of life.\nIt reflects Roman Stoic ideals and is filled with historical references to\nprominent Roman elders.\n\n\n\n\n\nPhilosophy of Knowledge\n\nCicero emphasizes that wisdom increases with age. Unlike the body, the mind—if\nproperly exercised—remains sharp. Knowledge in old age is less about physical\nactivity and more about judgment, experience, and memory. For Cicero, reason is\nthe true source of strength in the elderly.\n\n\n\n\n\nView of Reality (Ontology)\n\nOld age is natural and desirable—it fulfills the cycle of human nature. Rather\nthan resisting aging, the wise person accepts it as a part of cosmic and human\norder. Death itself is not feared but seen as the natural conclusion of a\nwell-lived life.\n\n\n\n\n\nEthical Values\n\nVirtue, dignity, and public service remain central in old age. Cato argues that\nmoral character and civic contribution do not diminish with years, but rather\nbecome more refined. Elderly individuals are portrayed as mentors, advisers,\nand role models for younger generations.\n\n\n\n\n\nStyle of Reasoning\n\nThe essay relies on analogies (e.g., old men are like pilots steering the\nship), Roman examples, and refutations of common complaints. Cicero presents\nold age as capable of intellectual and moral productivity, using historical\nillustrations to support each claim.\n\n\n\n\n\nUse of Rhetoric\n\nCato’s speech appeals to logic (logos) and ethics (ethos), with occasional\npathos when discussing death or fading pleasures. The dialogue structure\nencourages readers to weigh multiple perspectives, while ultimately affirming\nthe Stoic view.\n\n\n\n\n\nUnstated Beliefs\n\nThere is an implicit assumption that public service and education are the\nhighest goods in life. Aging is praised only when accompanied by virtue and\nwisdom. Leisure without moral purpose is criticized.\n\n\n\n\n\nModern Connections\n\nThe work challenges modern stereotypes about aging. It can be used to discuss\nretirement, the value of lifelong learning, and the civic role of older\ngenerations. The essay invites students to consider the idea of \"aging\nwith purpose.\"\n\n\n\n\n\nQuestions for Discussion\n\n\n\n\n\n\n How\n     does Cicero define a “successful” old age?\n\n\n Does\n     his view hold up in today’s world of longer lifespans and retirement?\n\n\n Can\n     physical decline be reconciled with intellectual and moral growth?\n\n\n\n\n\n\n\n\n\n\nII. De Amicitia (On Friendship)\n\n\n\n\n\nContext and Setting\n\nWritten shortly after De Senectute, this dialogue is set after the death\nof Scipio Africanus and centers on his friend Laelius reflecting on the nature\nof friendship. It is a heartfelt exploration of how virtue shapes and sustains\ntrue companionship.\n\n\n\n\n\nPhilosophy of Knowledge\n\nKnowledge of friendship comes from personal experience and rational\nobservation. True friends know each other intimately and recognize shared moral\nvalues. Friendship is not just an emotion—it is an ethical and intellectual\nconnection.\n\n\n\n\n\nView of Reality (Ontology)\n\nFriendship is part of human nature. Cicero suggests that people are social\nbeings drawn to one another through virtue. Friends are described as “second\nselves”—an extension of the self, grounded in loyalty and moral harmony.\n\n\n\n\n\nEthical Foundations\n\nCicero’s highest standard for friendship is virtue. True friendship cannot\nexist among the wicked or the selfish. Loyalty, honesty, and constancy define\ngenuine relationships. Those who seek pleasure or utility alone are unworthy of\ndeep friendship.\n\n\n\n\n\nLogic and Reasoning Style\n\nLaelius uses examples and analogies to explain the characteristics of true\nfriends. He contrasts virtuous friendship with shallow or self-serving bonds.\nThe argument builds gradually, distinguishing love from dependence or flattery.\n\n\n\n\n\nRhetorical Techniques\n\nThe essay uses personal grief (pathos), moral credibility (ethos), and logical\ncontrast (logos). The style is more reflective than argumentative, inviting\nreaders to examine their own relationships.\n\n\n\n\n\nHidden Assumptions\n\nCicero assumes that Roman political alliances can reflect true moral\nfriendships—but only when founded on virtue. He suggests that true affection is\nstable, rational, and enduring—rare, but possible.\n\n\n\n\n\nApplications to Modern Life\n\nThis essay can spark reflection on digital friendships, peer loyalty, and\nwhether relationships are based on ethics or convenience. Students may compare\nCicero’s ideals to the realities of peer pressure and social networks.\n\n\n\n\n\nQuestions for Discussion\n\n\n\n\n\n\n Is\n     Cicero’s idea of friendship realistic in the modern world?\n\n\n Can\n     deep friendship exist without shared moral values?\n\n\n How do\n     our friendships today measure up to Cicero’s expectations?\n\n\n\n\n\n\n\n\n\n\nIII. De Divinatione (On Divination)\n\n\n\n\n\nContext and Controversy\n\nIn this dialogue, Cicero debates his brother Quintus about the legitimacy of\ndivination—omens, oracles, dreams, and prophetic signs. Written on the eve of\nCaesar’s assassination, the essay wrestles with Stoic belief in fate versus\nCicero’s own skeptical, Academic perspective.\n\n\n\n\n\nKnowledge and Belief\n\nCicero questions whether knowledge gained through divination is rational or\nreliable. He contrasts empirical evidence and probability with faith in omens.\nHe argues that belief without reason is dangerous in public life.\n\n\n\n\n\nOntology and Fate\n\nThe essay presents two competing worldviews: one in which the cosmos is\ngoverned by rational fate (Stoicism), and one in which chance and free will\nshape reality (Academic skepticism). Cicero leans toward the latter but does\nnot fully dismiss religious custom.\n\n\n\n\n\nMoral Concerns\n\nCicero believes that morality should be based on reason and experience, not on\nsuperstition. He worries that people may evade responsibility by claiming fate\nor prophecy justified their actions. The ethical life, for Cicero, must be\ngrounded in rational choice.\n\n\n\n\n\nReasoning and Argument\n\nThe dialogue structure allows both sides to be presented. Cicero uses\nanalogies, historical examples, and logical critique to challenge his brother’s\nfaith in divination. The overall style is dialectical and rational.\n\n\n\n\n\nRhetoric in the Dialogue\n\nCicero uses irony, reasoned skepticism, and evidence-based critique to argue\nhis point. Quintus represents traditional belief, while Cicero embodies the\nRoman Enlightenment attitude of inquiry.\n\n\n\n\n\nUnspoken Premises\n\nCicero assumes that religious beliefs serve a civic function, even if not\nintellectually persuasive. He tolerates ritual, but not when it overrides\npractical wisdom. His argument suggests a divide between public conformity and\nprivate belief.\n\n\n\n\n\nRelevance Today\n\nThis essay opens up discussion on science vs. superstition, personal belief vs.\npublic reason, and how societies handle uncertainty. It can also prompt debate\non astrology, conspiracy theories, and civic responsibility.\n\n\n\n\n\nQuestions for Discussion\n\n\n\n\n\n\n Can\n     reason and religious belief coexist in political life?\n\n\n How\n     should societies handle prophecy, prediction, and superstition?\n\n\n What’s\n     the modern equivalent of Roman divination—and should we trust it?","collection-title":"Loeb Classical Library","event-place":"Cambridge, MA","language":"eng","license":"https://creativecommons.org/publicdomain/mark/1.0/","publisher":"Harvard University Press","publisher-place":"Cambridge, MA","source":"Internet Archive","title":"On Old Age, On Friendship, On Divination","title-short":"Cicero","URL":"http://archive.org/details/cicero-de-senectute-de-amicitia-de-divinatione","author":[{"literal":"Marcus Tullius Cicero"}],"translator":[{"family":"Falconer","given":"W.A"}],"accessed":{"date-parts":[["2025",7,5]]},"issued":{"date-parts":[["1923"]]}},"locator":"381-383"}],"schema":"https://github.com/citation-style-language/schema/raw/master/csl-citation.json"} </w:instrText>
      </w:r>
      <w:r>
        <w:fldChar w:fldCharType="separate"/>
      </w:r>
      <w:r>
        <w:rPr>
          <w:rFonts w:cs="Times New Roman"/>
        </w:rPr>
        <w:t>Ibid.</w:t>
      </w:r>
      <w:r w:rsidRPr="00033043">
        <w:rPr>
          <w:rFonts w:cs="Times New Roman"/>
        </w:rPr>
        <w:t>, pp. 381–83.</w:t>
      </w:r>
      <w:r>
        <w:fldChar w:fldCharType="end"/>
      </w:r>
    </w:p>
  </w:footnote>
  <w:footnote w:id="21">
    <w:p w14:paraId="0000005B" w14:textId="77777777" w:rsidR="007011E1" w:rsidRDefault="00000000" w:rsidP="00210CB6">
      <w:pPr>
        <w:spacing w:line="240" w:lineRule="auto"/>
        <w:ind w:firstLine="0"/>
        <w:jc w:val="left"/>
        <w:rPr>
          <w:sz w:val="20"/>
          <w:szCs w:val="20"/>
        </w:rPr>
      </w:pPr>
      <w:r>
        <w:rPr>
          <w:vertAlign w:val="superscript"/>
        </w:rPr>
        <w:footnoteRef/>
      </w:r>
      <w:r>
        <w:rPr>
          <w:sz w:val="20"/>
          <w:szCs w:val="20"/>
        </w:rPr>
        <w:t xml:space="preserve"> </w:t>
      </w:r>
      <w:hyperlink r:id="rId24">
        <w:r w:rsidR="007011E1" w:rsidRPr="00E94E35">
          <w:rPr>
            <w:sz w:val="20"/>
            <w:szCs w:val="20"/>
          </w:rPr>
          <w:t>Ibid.</w:t>
        </w:r>
      </w:hyperlink>
      <w:hyperlink r:id="rId25">
        <w:r w:rsidR="007011E1" w:rsidRPr="00E94E35">
          <w:rPr>
            <w:sz w:val="20"/>
            <w:szCs w:val="20"/>
          </w:rPr>
          <w:t>, p. 537.</w:t>
        </w:r>
      </w:hyperlink>
    </w:p>
  </w:footnote>
  <w:footnote w:id="22">
    <w:p w14:paraId="0000005C" w14:textId="77777777" w:rsidR="007011E1" w:rsidRDefault="00000000" w:rsidP="00E6195F">
      <w:pPr>
        <w:spacing w:line="240" w:lineRule="auto"/>
        <w:ind w:firstLine="0"/>
        <w:jc w:val="left"/>
        <w:rPr>
          <w:sz w:val="20"/>
          <w:szCs w:val="20"/>
        </w:rPr>
      </w:pPr>
      <w:r>
        <w:rPr>
          <w:vertAlign w:val="superscript"/>
        </w:rPr>
        <w:footnoteRef/>
      </w:r>
      <w:r>
        <w:rPr>
          <w:sz w:val="20"/>
          <w:szCs w:val="20"/>
        </w:rPr>
        <w:t xml:space="preserve"> </w:t>
      </w:r>
      <w:hyperlink r:id="rId26">
        <w:r w:rsidR="007011E1" w:rsidRPr="00E6195F">
          <w:rPr>
            <w:sz w:val="20"/>
            <w:szCs w:val="20"/>
          </w:rPr>
          <w:t>Ibid.</w:t>
        </w:r>
      </w:hyperlink>
      <w:hyperlink r:id="rId27">
        <w:r w:rsidR="007011E1">
          <w:rPr>
            <w:sz w:val="20"/>
            <w:szCs w:val="20"/>
          </w:rPr>
          <w:t>, pp. 493–95.</w:t>
        </w:r>
      </w:hyperlink>
    </w:p>
  </w:footnote>
  <w:footnote w:id="23">
    <w:p w14:paraId="0000005D" w14:textId="77777777"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28">
        <w:r w:rsidR="007011E1">
          <w:rPr>
            <w:sz w:val="20"/>
            <w:szCs w:val="20"/>
          </w:rPr>
          <w:t xml:space="preserve">Flower, </w:t>
        </w:r>
      </w:hyperlink>
      <w:hyperlink r:id="rId29">
        <w:r w:rsidR="007011E1">
          <w:rPr>
            <w:i/>
            <w:sz w:val="20"/>
            <w:szCs w:val="20"/>
          </w:rPr>
          <w:t>The Seer in Ancient Greece</w:t>
        </w:r>
      </w:hyperlink>
      <w:hyperlink r:id="rId30">
        <w:r w:rsidR="007011E1">
          <w:rPr>
            <w:sz w:val="20"/>
            <w:szCs w:val="20"/>
          </w:rPr>
          <w:t>, p. 74.</w:t>
        </w:r>
      </w:hyperlink>
    </w:p>
  </w:footnote>
  <w:footnote w:id="24">
    <w:p w14:paraId="0000005F" w14:textId="7B43385A"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31">
        <w:r w:rsidR="007011E1">
          <w:rPr>
            <w:sz w:val="20"/>
            <w:szCs w:val="20"/>
          </w:rPr>
          <w:t>Park, ‘Divination and Its Social Contexts’, pp. 200–01</w:t>
        </w:r>
      </w:hyperlink>
      <w:r w:rsidR="00210CB6">
        <w:t>.</w:t>
      </w:r>
    </w:p>
  </w:footnote>
  <w:footnote w:id="25">
    <w:p w14:paraId="00000060" w14:textId="5C91A703"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32">
        <w:r w:rsidR="007011E1">
          <w:rPr>
            <w:sz w:val="20"/>
            <w:szCs w:val="20"/>
          </w:rPr>
          <w:t xml:space="preserve">Cicero, </w:t>
        </w:r>
      </w:hyperlink>
      <w:hyperlink r:id="rId33">
        <w:r w:rsidR="007011E1">
          <w:rPr>
            <w:i/>
            <w:sz w:val="20"/>
            <w:szCs w:val="20"/>
          </w:rPr>
          <w:t>Cicero</w:t>
        </w:r>
      </w:hyperlink>
      <w:hyperlink r:id="rId34">
        <w:r w:rsidR="007011E1">
          <w:rPr>
            <w:sz w:val="20"/>
            <w:szCs w:val="20"/>
          </w:rPr>
          <w:t>, pp. 395–97.</w:t>
        </w:r>
      </w:hyperlink>
      <w:r>
        <w:rPr>
          <w:sz w:val="20"/>
          <w:szCs w:val="20"/>
        </w:rPr>
        <w:t xml:space="preserve"> </w:t>
      </w:r>
    </w:p>
  </w:footnote>
  <w:footnote w:id="26">
    <w:p w14:paraId="00000061" w14:textId="5565CC5A" w:rsidR="007011E1" w:rsidRPr="002C3055" w:rsidRDefault="00000000">
      <w:pPr>
        <w:spacing w:line="240" w:lineRule="auto"/>
        <w:ind w:firstLine="0"/>
        <w:jc w:val="left"/>
        <w:rPr>
          <w:b/>
          <w:sz w:val="20"/>
          <w:szCs w:val="20"/>
        </w:rPr>
      </w:pPr>
      <w:r>
        <w:rPr>
          <w:vertAlign w:val="superscript"/>
        </w:rPr>
        <w:footnoteRef/>
      </w:r>
      <w:r w:rsidR="005A2E5E">
        <w:rPr>
          <w:sz w:val="20"/>
          <w:szCs w:val="20"/>
        </w:rPr>
        <w:t xml:space="preserve"> </w:t>
      </w:r>
      <w:r w:rsidR="005A2E5E" w:rsidRPr="005A2E5E">
        <w:rPr>
          <w:sz w:val="20"/>
          <w:szCs w:val="20"/>
        </w:rPr>
        <w:t>Marcus Tullius</w:t>
      </w:r>
      <w:r w:rsidR="005A2E5E">
        <w:rPr>
          <w:sz w:val="20"/>
          <w:szCs w:val="20"/>
        </w:rPr>
        <w:t xml:space="preserve"> Cicero</w:t>
      </w:r>
      <w:r w:rsidR="005A2E5E" w:rsidRPr="005A2E5E">
        <w:rPr>
          <w:sz w:val="20"/>
          <w:szCs w:val="20"/>
        </w:rPr>
        <w:t xml:space="preserve">, </w:t>
      </w:r>
      <w:r w:rsidR="005A2E5E" w:rsidRPr="005A2E5E">
        <w:rPr>
          <w:i/>
          <w:sz w:val="20"/>
          <w:szCs w:val="20"/>
        </w:rPr>
        <w:t xml:space="preserve">De </w:t>
      </w:r>
      <w:proofErr w:type="spellStart"/>
      <w:r w:rsidR="005A2E5E" w:rsidRPr="005A2E5E">
        <w:rPr>
          <w:i/>
          <w:sz w:val="20"/>
          <w:szCs w:val="20"/>
        </w:rPr>
        <w:t>officiis</w:t>
      </w:r>
      <w:proofErr w:type="spellEnd"/>
      <w:r w:rsidR="005A2E5E" w:rsidRPr="005A2E5E">
        <w:rPr>
          <w:iCs/>
          <w:sz w:val="20"/>
          <w:szCs w:val="20"/>
        </w:rPr>
        <w:t>, trans. by Walter Miller</w:t>
      </w:r>
      <w:r w:rsidR="005A2E5E" w:rsidRPr="005A2E5E">
        <w:rPr>
          <w:sz w:val="20"/>
          <w:szCs w:val="20"/>
        </w:rPr>
        <w:t xml:space="preserve"> (London: William Heinemann, 1913)</w:t>
      </w:r>
      <w:r w:rsidR="005A2E5E">
        <w:rPr>
          <w:sz w:val="20"/>
          <w:szCs w:val="20"/>
        </w:rPr>
        <w:t>, pp. 1</w:t>
      </w:r>
      <w:r w:rsidR="00620A8C">
        <w:rPr>
          <w:sz w:val="20"/>
          <w:szCs w:val="20"/>
        </w:rPr>
        <w:t>7</w:t>
      </w:r>
      <w:r w:rsidR="005A2E5E">
        <w:rPr>
          <w:sz w:val="20"/>
          <w:szCs w:val="20"/>
        </w:rPr>
        <w:t>–20</w:t>
      </w:r>
      <w:r w:rsidR="005A2E5E" w:rsidRPr="005A2E5E">
        <w:rPr>
          <w:sz w:val="20"/>
          <w:szCs w:val="20"/>
        </w:rPr>
        <w:t xml:space="preserve"> &lt;http://archive.org/details/deofficiiswithen00ciceuoft&gt; [accessed 22 July 2025].</w:t>
      </w:r>
    </w:p>
  </w:footnote>
  <w:footnote w:id="27">
    <w:p w14:paraId="00000062" w14:textId="77777777"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35">
        <w:r w:rsidR="007011E1" w:rsidRPr="00210CB6">
          <w:rPr>
            <w:sz w:val="20"/>
            <w:szCs w:val="20"/>
          </w:rPr>
          <w:t>Ibid.</w:t>
        </w:r>
      </w:hyperlink>
      <w:hyperlink r:id="rId36">
        <w:r w:rsidR="007011E1" w:rsidRPr="00210CB6">
          <w:rPr>
            <w:sz w:val="20"/>
            <w:szCs w:val="20"/>
          </w:rPr>
          <w:t>, p. 509.</w:t>
        </w:r>
      </w:hyperlink>
    </w:p>
  </w:footnote>
  <w:footnote w:id="28">
    <w:p w14:paraId="00000063" w14:textId="3612A5C2"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37">
        <w:r w:rsidR="007011E1">
          <w:rPr>
            <w:sz w:val="20"/>
            <w:szCs w:val="20"/>
          </w:rPr>
          <w:t xml:space="preserve">Mary Beard, ‘Cicero and Divination: The Formation of a Latin Discourse’, </w:t>
        </w:r>
      </w:hyperlink>
      <w:hyperlink r:id="rId38">
        <w:r w:rsidR="007011E1">
          <w:rPr>
            <w:i/>
            <w:sz w:val="20"/>
            <w:szCs w:val="20"/>
          </w:rPr>
          <w:t>The Journal of Roman Studies</w:t>
        </w:r>
      </w:hyperlink>
      <w:hyperlink r:id="rId39">
        <w:r w:rsidR="007011E1">
          <w:rPr>
            <w:sz w:val="20"/>
            <w:szCs w:val="20"/>
          </w:rPr>
          <w:t>, 76 (1986), 33–46 (pp. 40–41), doi:10.2307/300364.</w:t>
        </w:r>
      </w:hyperlink>
    </w:p>
  </w:footnote>
  <w:footnote w:id="29">
    <w:p w14:paraId="00000064" w14:textId="26E07ACE"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40">
        <w:hyperlink r:id="rId41">
          <w:r w:rsidR="00646604">
            <w:rPr>
              <w:sz w:val="20"/>
              <w:szCs w:val="20"/>
            </w:rPr>
            <w:t xml:space="preserve">Cicero, </w:t>
          </w:r>
        </w:hyperlink>
        <w:hyperlink r:id="rId42">
          <w:r w:rsidR="00646604">
            <w:rPr>
              <w:i/>
              <w:sz w:val="20"/>
              <w:szCs w:val="20"/>
            </w:rPr>
            <w:t>Cicero</w:t>
          </w:r>
        </w:hyperlink>
        <w:r>
          <w:rPr>
            <w:sz w:val="20"/>
            <w:szCs w:val="20"/>
          </w:rPr>
          <w:t>,</w:t>
        </w:r>
      </w:hyperlink>
      <w:hyperlink r:id="rId43">
        <w:r w:rsidR="007011E1">
          <w:rPr>
            <w:sz w:val="20"/>
            <w:szCs w:val="20"/>
          </w:rPr>
          <w:t xml:space="preserve"> pp. 387–88.</w:t>
        </w:r>
      </w:hyperlink>
    </w:p>
  </w:footnote>
  <w:footnote w:id="30">
    <w:p w14:paraId="00000065" w14:textId="0385D87C"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44">
        <w:r w:rsidR="007011E1">
          <w:rPr>
            <w:sz w:val="20"/>
            <w:szCs w:val="20"/>
          </w:rPr>
          <w:t xml:space="preserve">Joerg Ruepke, </w:t>
        </w:r>
      </w:hyperlink>
      <w:r w:rsidR="005A2E5E" w:rsidRPr="005A2E5E">
        <w:rPr>
          <w:i/>
          <w:sz w:val="20"/>
          <w:szCs w:val="20"/>
        </w:rPr>
        <w:t>A Companion to Roman Religion</w:t>
      </w:r>
      <w:r w:rsidR="005A2E5E" w:rsidRPr="005A2E5E">
        <w:rPr>
          <w:iCs/>
          <w:sz w:val="20"/>
          <w:szCs w:val="20"/>
        </w:rPr>
        <w:t xml:space="preserve"> (M</w:t>
      </w:r>
      <w:r w:rsidR="005A2E5E" w:rsidRPr="005A2E5E">
        <w:rPr>
          <w:sz w:val="20"/>
          <w:szCs w:val="20"/>
        </w:rPr>
        <w:t>alden: Blackwell Publishing, 2007)</w:t>
      </w:r>
      <w:r w:rsidR="005A2E5E">
        <w:rPr>
          <w:sz w:val="20"/>
          <w:szCs w:val="20"/>
        </w:rPr>
        <w:t>, p. 93</w:t>
      </w:r>
      <w:r w:rsidR="005A2E5E" w:rsidRPr="005A2E5E">
        <w:rPr>
          <w:sz w:val="20"/>
          <w:szCs w:val="20"/>
        </w:rPr>
        <w:t xml:space="preserve"> &lt;https://www.academia.edu/13494260/2011_A_Companion_to_Roman_Religion&gt; [accessed 10 March 2025].</w:t>
      </w:r>
      <w:r w:rsidR="005A2E5E" w:rsidDel="005A2E5E">
        <w:t xml:space="preserve"> </w:t>
      </w:r>
    </w:p>
  </w:footnote>
  <w:footnote w:id="31">
    <w:p w14:paraId="00000066" w14:textId="77777777" w:rsidR="007011E1" w:rsidRDefault="00000000">
      <w:pPr>
        <w:spacing w:line="240" w:lineRule="auto"/>
        <w:ind w:firstLine="0"/>
        <w:jc w:val="left"/>
        <w:rPr>
          <w:sz w:val="20"/>
          <w:szCs w:val="20"/>
        </w:rPr>
      </w:pPr>
      <w:r>
        <w:rPr>
          <w:vertAlign w:val="superscript"/>
        </w:rPr>
        <w:footnoteRef/>
      </w:r>
      <w:r>
        <w:rPr>
          <w:sz w:val="20"/>
          <w:szCs w:val="20"/>
        </w:rPr>
        <w:t xml:space="preserve"> </w:t>
      </w:r>
      <w:hyperlink r:id="rId45">
        <w:r w:rsidR="007011E1">
          <w:rPr>
            <w:sz w:val="20"/>
            <w:szCs w:val="20"/>
          </w:rPr>
          <w:t xml:space="preserve">Beard, </w:t>
        </w:r>
      </w:hyperlink>
      <w:hyperlink r:id="rId46">
        <w:r w:rsidR="007011E1">
          <w:rPr>
            <w:i/>
            <w:sz w:val="20"/>
            <w:szCs w:val="20"/>
          </w:rPr>
          <w:t>Religions of Rome</w:t>
        </w:r>
      </w:hyperlink>
      <w:hyperlink r:id="rId47">
        <w:r w:rsidR="007011E1">
          <w:rPr>
            <w:sz w:val="20"/>
            <w:szCs w:val="20"/>
          </w:rPr>
          <w:t>, pp. 37–38.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B" w14:textId="67901A33" w:rsidR="007011E1"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37A95">
      <w:rPr>
        <w:noProof/>
        <w:color w:val="000000"/>
      </w:rPr>
      <w:t>1</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E1"/>
    <w:rsid w:val="00033043"/>
    <w:rsid w:val="000B0EEB"/>
    <w:rsid w:val="000C779F"/>
    <w:rsid w:val="000E3613"/>
    <w:rsid w:val="00170D8E"/>
    <w:rsid w:val="00196923"/>
    <w:rsid w:val="001A6E36"/>
    <w:rsid w:val="001B0DF6"/>
    <w:rsid w:val="001F5F08"/>
    <w:rsid w:val="00210CB6"/>
    <w:rsid w:val="0023671D"/>
    <w:rsid w:val="002645D6"/>
    <w:rsid w:val="002C3055"/>
    <w:rsid w:val="003132E7"/>
    <w:rsid w:val="00366A57"/>
    <w:rsid w:val="003C5C4D"/>
    <w:rsid w:val="003C7DD6"/>
    <w:rsid w:val="00404003"/>
    <w:rsid w:val="00453022"/>
    <w:rsid w:val="0046689A"/>
    <w:rsid w:val="0048055B"/>
    <w:rsid w:val="00491CFB"/>
    <w:rsid w:val="00571540"/>
    <w:rsid w:val="005A2E5E"/>
    <w:rsid w:val="005F3215"/>
    <w:rsid w:val="005F43D9"/>
    <w:rsid w:val="00600985"/>
    <w:rsid w:val="00620A8C"/>
    <w:rsid w:val="00646604"/>
    <w:rsid w:val="00670407"/>
    <w:rsid w:val="006B15AC"/>
    <w:rsid w:val="007011E1"/>
    <w:rsid w:val="00730EEC"/>
    <w:rsid w:val="0075198B"/>
    <w:rsid w:val="007E2480"/>
    <w:rsid w:val="007E6252"/>
    <w:rsid w:val="00843154"/>
    <w:rsid w:val="0084516A"/>
    <w:rsid w:val="008A1237"/>
    <w:rsid w:val="008A29D4"/>
    <w:rsid w:val="008B43D8"/>
    <w:rsid w:val="008E3541"/>
    <w:rsid w:val="00904083"/>
    <w:rsid w:val="00937A95"/>
    <w:rsid w:val="009902E3"/>
    <w:rsid w:val="009F06F9"/>
    <w:rsid w:val="009F5771"/>
    <w:rsid w:val="00AA24D7"/>
    <w:rsid w:val="00AC5A26"/>
    <w:rsid w:val="00B31775"/>
    <w:rsid w:val="00B44949"/>
    <w:rsid w:val="00B473E4"/>
    <w:rsid w:val="00B81CF3"/>
    <w:rsid w:val="00B93332"/>
    <w:rsid w:val="00BB229B"/>
    <w:rsid w:val="00C54D5D"/>
    <w:rsid w:val="00CA5343"/>
    <w:rsid w:val="00D70BD2"/>
    <w:rsid w:val="00D876D0"/>
    <w:rsid w:val="00DE05D7"/>
    <w:rsid w:val="00E6195F"/>
    <w:rsid w:val="00E94E35"/>
    <w:rsid w:val="00EA7091"/>
    <w:rsid w:val="00EC18AF"/>
    <w:rsid w:val="00EE42F2"/>
    <w:rsid w:val="00EE6A38"/>
    <w:rsid w:val="00F06A29"/>
    <w:rsid w:val="00F50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C282C"/>
  <w15:docId w15:val="{3DB6A58B-ACBD-4E94-9B0A-6C942FB0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line="480" w:lineRule="auto"/>
        <w:ind w:firstLine="7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5D7"/>
    <w:rPr>
      <w:rFonts w:ascii="Times New Roman" w:hAnsi="Times New Roman"/>
      <w:sz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after="100" w:line="240" w:lineRule="auto"/>
      <w:ind w:firstLine="0"/>
      <w:jc w:val="left"/>
      <w:outlineLvl w:val="1"/>
    </w:pPr>
    <w:rPr>
      <w:rFonts w:eastAsia="Times New Roman" w:cs="Times New Roman"/>
      <w:b/>
      <w:sz w:val="36"/>
      <w:szCs w:val="36"/>
    </w:rPr>
  </w:style>
  <w:style w:type="paragraph" w:styleId="Heading3">
    <w:name w:val="heading 3"/>
    <w:basedOn w:val="Normal"/>
    <w:next w:val="Normal"/>
    <w:uiPriority w:val="9"/>
    <w:semiHidden/>
    <w:unhideWhenUsed/>
    <w:qFormat/>
    <w:pPr>
      <w:keepNext/>
      <w:keepLines/>
      <w:spacing w:before="40"/>
      <w:outlineLvl w:val="2"/>
    </w:pPr>
    <w:rPr>
      <w:color w:val="1F3863"/>
      <w:szCs w:val="24"/>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A1237"/>
    <w:rPr>
      <w:color w:val="0000FF" w:themeColor="hyperlink"/>
      <w:u w:val="single"/>
    </w:rPr>
  </w:style>
  <w:style w:type="character" w:styleId="UnresolvedMention">
    <w:name w:val="Unresolved Mention"/>
    <w:basedOn w:val="DefaultParagraphFont"/>
    <w:uiPriority w:val="99"/>
    <w:semiHidden/>
    <w:unhideWhenUsed/>
    <w:rsid w:val="008A1237"/>
    <w:rPr>
      <w:color w:val="605E5C"/>
      <w:shd w:val="clear" w:color="auto" w:fill="E1DFDD"/>
    </w:rPr>
  </w:style>
  <w:style w:type="character" w:styleId="CommentReference">
    <w:name w:val="annotation reference"/>
    <w:basedOn w:val="DefaultParagraphFont"/>
    <w:uiPriority w:val="99"/>
    <w:semiHidden/>
    <w:unhideWhenUsed/>
    <w:rsid w:val="008A1237"/>
    <w:rPr>
      <w:sz w:val="16"/>
      <w:szCs w:val="16"/>
    </w:rPr>
  </w:style>
  <w:style w:type="paragraph" w:styleId="CommentText">
    <w:name w:val="annotation text"/>
    <w:basedOn w:val="Normal"/>
    <w:link w:val="CommentTextChar"/>
    <w:uiPriority w:val="99"/>
    <w:unhideWhenUsed/>
    <w:rsid w:val="008A1237"/>
    <w:pPr>
      <w:spacing w:line="240" w:lineRule="auto"/>
    </w:pPr>
    <w:rPr>
      <w:sz w:val="20"/>
      <w:szCs w:val="20"/>
    </w:rPr>
  </w:style>
  <w:style w:type="character" w:customStyle="1" w:styleId="CommentTextChar">
    <w:name w:val="Comment Text Char"/>
    <w:basedOn w:val="DefaultParagraphFont"/>
    <w:link w:val="CommentText"/>
    <w:uiPriority w:val="99"/>
    <w:rsid w:val="008A1237"/>
    <w:rPr>
      <w:sz w:val="20"/>
      <w:szCs w:val="20"/>
    </w:rPr>
  </w:style>
  <w:style w:type="paragraph" w:styleId="CommentSubject">
    <w:name w:val="annotation subject"/>
    <w:basedOn w:val="CommentText"/>
    <w:next w:val="CommentText"/>
    <w:link w:val="CommentSubjectChar"/>
    <w:uiPriority w:val="99"/>
    <w:semiHidden/>
    <w:unhideWhenUsed/>
    <w:rsid w:val="008A1237"/>
    <w:rPr>
      <w:b/>
      <w:bCs/>
    </w:rPr>
  </w:style>
  <w:style w:type="character" w:customStyle="1" w:styleId="CommentSubjectChar">
    <w:name w:val="Comment Subject Char"/>
    <w:basedOn w:val="CommentTextChar"/>
    <w:link w:val="CommentSubject"/>
    <w:uiPriority w:val="99"/>
    <w:semiHidden/>
    <w:rsid w:val="008A1237"/>
    <w:rPr>
      <w:b/>
      <w:bCs/>
      <w:sz w:val="20"/>
      <w:szCs w:val="20"/>
    </w:rPr>
  </w:style>
  <w:style w:type="paragraph" w:styleId="Revision">
    <w:name w:val="Revision"/>
    <w:hidden/>
    <w:uiPriority w:val="99"/>
    <w:semiHidden/>
    <w:rsid w:val="001B0DF6"/>
    <w:pPr>
      <w:spacing w:line="240" w:lineRule="auto"/>
      <w:ind w:firstLine="0"/>
      <w:jc w:val="left"/>
    </w:pPr>
  </w:style>
  <w:style w:type="paragraph" w:styleId="Footer">
    <w:name w:val="footer"/>
    <w:basedOn w:val="Normal"/>
    <w:link w:val="FooterChar"/>
    <w:uiPriority w:val="99"/>
    <w:unhideWhenUsed/>
    <w:rsid w:val="00491CFB"/>
    <w:pPr>
      <w:tabs>
        <w:tab w:val="center" w:pos="4513"/>
        <w:tab w:val="right" w:pos="9026"/>
      </w:tabs>
      <w:spacing w:line="240" w:lineRule="auto"/>
    </w:pPr>
  </w:style>
  <w:style w:type="character" w:customStyle="1" w:styleId="FooterChar">
    <w:name w:val="Footer Char"/>
    <w:basedOn w:val="DefaultParagraphFont"/>
    <w:link w:val="Footer"/>
    <w:uiPriority w:val="99"/>
    <w:rsid w:val="00491CFB"/>
  </w:style>
  <w:style w:type="paragraph" w:styleId="Header">
    <w:name w:val="header"/>
    <w:basedOn w:val="Normal"/>
    <w:link w:val="HeaderChar"/>
    <w:uiPriority w:val="99"/>
    <w:unhideWhenUsed/>
    <w:rsid w:val="005A2E5E"/>
    <w:pPr>
      <w:tabs>
        <w:tab w:val="center" w:pos="4513"/>
        <w:tab w:val="right" w:pos="9026"/>
      </w:tabs>
      <w:spacing w:line="240" w:lineRule="auto"/>
    </w:pPr>
  </w:style>
  <w:style w:type="character" w:customStyle="1" w:styleId="HeaderChar">
    <w:name w:val="Header Char"/>
    <w:basedOn w:val="DefaultParagraphFont"/>
    <w:link w:val="Header"/>
    <w:uiPriority w:val="99"/>
    <w:rsid w:val="005A2E5E"/>
    <w:rPr>
      <w:rFonts w:ascii="Times New Roman" w:hAnsi="Times New Roman"/>
      <w:sz w:val="24"/>
    </w:rPr>
  </w:style>
  <w:style w:type="character" w:styleId="FollowedHyperlink">
    <w:name w:val="FollowedHyperlink"/>
    <w:basedOn w:val="DefaultParagraphFont"/>
    <w:uiPriority w:val="99"/>
    <w:semiHidden/>
    <w:unhideWhenUsed/>
    <w:rsid w:val="005A2E5E"/>
    <w:rPr>
      <w:color w:val="800080" w:themeColor="followedHyperlink"/>
      <w:u w:val="single"/>
    </w:rPr>
  </w:style>
  <w:style w:type="paragraph" w:styleId="NormalWeb">
    <w:name w:val="Normal (Web)"/>
    <w:basedOn w:val="Normal"/>
    <w:uiPriority w:val="99"/>
    <w:unhideWhenUsed/>
    <w:rsid w:val="00EE6A38"/>
    <w:pPr>
      <w:spacing w:before="100" w:beforeAutospacing="1" w:after="100" w:afterAutospacing="1" w:line="240" w:lineRule="auto"/>
      <w:ind w:firstLine="0"/>
      <w:jc w:val="left"/>
    </w:pPr>
    <w:rPr>
      <w:rFonts w:ascii="Georgia" w:eastAsia="SimSun" w:hAnsi="Georgia" w:cs="Times New Roman"/>
      <w:color w:val="000000"/>
      <w:sz w:val="21"/>
      <w:szCs w:val="21"/>
      <w:lang w:val="en-GB" w:eastAsia="zh-CN"/>
    </w:rPr>
  </w:style>
  <w:style w:type="paragraph" w:styleId="FootnoteText">
    <w:name w:val="footnote text"/>
    <w:basedOn w:val="Normal"/>
    <w:link w:val="FootnoteTextChar"/>
    <w:uiPriority w:val="99"/>
    <w:semiHidden/>
    <w:unhideWhenUsed/>
    <w:rsid w:val="005F43D9"/>
    <w:pPr>
      <w:spacing w:line="240" w:lineRule="auto"/>
    </w:pPr>
    <w:rPr>
      <w:sz w:val="20"/>
      <w:szCs w:val="20"/>
    </w:rPr>
  </w:style>
  <w:style w:type="character" w:customStyle="1" w:styleId="FootnoteTextChar">
    <w:name w:val="Footnote Text Char"/>
    <w:basedOn w:val="DefaultParagraphFont"/>
    <w:link w:val="FootnoteText"/>
    <w:uiPriority w:val="99"/>
    <w:semiHidden/>
    <w:rsid w:val="005F43D9"/>
    <w:rPr>
      <w:rFonts w:ascii="Times New Roman" w:hAnsi="Times New Roman"/>
      <w:sz w:val="20"/>
      <w:szCs w:val="20"/>
    </w:rPr>
  </w:style>
  <w:style w:type="character" w:styleId="FootnoteReference">
    <w:name w:val="footnote reference"/>
    <w:basedOn w:val="DefaultParagraphFont"/>
    <w:uiPriority w:val="99"/>
    <w:semiHidden/>
    <w:unhideWhenUsed/>
    <w:rsid w:val="005F43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946647">
      <w:bodyDiv w:val="1"/>
      <w:marLeft w:val="0"/>
      <w:marRight w:val="0"/>
      <w:marTop w:val="0"/>
      <w:marBottom w:val="0"/>
      <w:divBdr>
        <w:top w:val="none" w:sz="0" w:space="0" w:color="auto"/>
        <w:left w:val="none" w:sz="0" w:space="0" w:color="auto"/>
        <w:bottom w:val="none" w:sz="0" w:space="0" w:color="auto"/>
        <w:right w:val="none" w:sz="0" w:space="0" w:color="auto"/>
      </w:divBdr>
    </w:div>
    <w:div w:id="1095369539">
      <w:bodyDiv w:val="1"/>
      <w:marLeft w:val="0"/>
      <w:marRight w:val="0"/>
      <w:marTop w:val="0"/>
      <w:marBottom w:val="0"/>
      <w:divBdr>
        <w:top w:val="none" w:sz="0" w:space="0" w:color="auto"/>
        <w:left w:val="none" w:sz="0" w:space="0" w:color="auto"/>
        <w:bottom w:val="none" w:sz="0" w:space="0" w:color="auto"/>
        <w:right w:val="none" w:sz="0" w:space="0" w:color="auto"/>
      </w:divBdr>
    </w:div>
    <w:div w:id="1766457823">
      <w:bodyDiv w:val="1"/>
      <w:marLeft w:val="0"/>
      <w:marRight w:val="0"/>
      <w:marTop w:val="0"/>
      <w:marBottom w:val="0"/>
      <w:divBdr>
        <w:top w:val="none" w:sz="0" w:space="0" w:color="auto"/>
        <w:left w:val="none" w:sz="0" w:space="0" w:color="auto"/>
        <w:bottom w:val="none" w:sz="0" w:space="0" w:color="auto"/>
        <w:right w:val="none" w:sz="0" w:space="0" w:color="auto"/>
      </w:divBdr>
    </w:div>
    <w:div w:id="1834222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zotero.org/google-docs/?GT4XW3" TargetMode="External"/><Relationship Id="rId13" Type="http://schemas.openxmlformats.org/officeDocument/2006/relationships/hyperlink" Target="https://www.zotero.org/google-docs/?GT4XW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zotero.org/google-docs/?GT4XW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shelb\Tamed%20Wild%20Dropbox\Shelby%20Bundy\PC\Download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zotero.org/google-docs/?GT4XW3" TargetMode="External"/><Relationship Id="rId5" Type="http://schemas.openxmlformats.org/officeDocument/2006/relationships/endnotes" Target="endnotes.xml"/><Relationship Id="rId15" Type="http://schemas.openxmlformats.org/officeDocument/2006/relationships/hyperlink" Target="https://www.zotero.org/google-docs/?GT4XW3" TargetMode="External"/><Relationship Id="rId10" Type="http://schemas.openxmlformats.org/officeDocument/2006/relationships/hyperlink" Target="https://www.zotero.org/google-docs/?GT4XW3" TargetMode="External"/><Relationship Id="rId4" Type="http://schemas.openxmlformats.org/officeDocument/2006/relationships/footnotes" Target="footnotes.xml"/><Relationship Id="rId9" Type="http://schemas.openxmlformats.org/officeDocument/2006/relationships/hyperlink" Target="https://www.zotero.org/google-docs/?GT4XW3" TargetMode="External"/><Relationship Id="rId14" Type="http://schemas.openxmlformats.org/officeDocument/2006/relationships/hyperlink" Target="https://www.zotero.org/google-docs/?GT4XW3"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zotero.org/google-docs/?qpvLon" TargetMode="External"/><Relationship Id="rId18" Type="http://schemas.openxmlformats.org/officeDocument/2006/relationships/hyperlink" Target="https://www.zotero.org/google-docs/?7UUSjV" TargetMode="External"/><Relationship Id="rId26" Type="http://schemas.openxmlformats.org/officeDocument/2006/relationships/hyperlink" Target="https://www.zotero.org/google-docs/?ZhvKtP" TargetMode="External"/><Relationship Id="rId39" Type="http://schemas.openxmlformats.org/officeDocument/2006/relationships/hyperlink" Target="https://www.zotero.org/google-docs/?dWsNA7" TargetMode="External"/><Relationship Id="rId21" Type="http://schemas.openxmlformats.org/officeDocument/2006/relationships/hyperlink" Target="https://www.zotero.org/google-docs/?DzhbhP" TargetMode="External"/><Relationship Id="rId34" Type="http://schemas.openxmlformats.org/officeDocument/2006/relationships/hyperlink" Target="https://www.zotero.org/google-docs/?K4urjZ" TargetMode="External"/><Relationship Id="rId42" Type="http://schemas.openxmlformats.org/officeDocument/2006/relationships/hyperlink" Target="https://www.zotero.org/google-docs/?K4urjZ" TargetMode="External"/><Relationship Id="rId47" Type="http://schemas.openxmlformats.org/officeDocument/2006/relationships/hyperlink" Target="https://www.zotero.org/google-docs/?DDEVcw" TargetMode="External"/><Relationship Id="rId7" Type="http://schemas.openxmlformats.org/officeDocument/2006/relationships/hyperlink" Target="https://www.zotero.org/google-docs/?aoRNTM" TargetMode="External"/><Relationship Id="rId2" Type="http://schemas.openxmlformats.org/officeDocument/2006/relationships/hyperlink" Target="https://www.zotero.org/google-docs/?YgZaPO" TargetMode="External"/><Relationship Id="rId16" Type="http://schemas.openxmlformats.org/officeDocument/2006/relationships/hyperlink" Target="https://www.zotero.org/google-docs/?7UUSjV" TargetMode="External"/><Relationship Id="rId29" Type="http://schemas.openxmlformats.org/officeDocument/2006/relationships/hyperlink" Target="https://www.zotero.org/google-docs/?Yw7WTF" TargetMode="External"/><Relationship Id="rId1" Type="http://schemas.openxmlformats.org/officeDocument/2006/relationships/hyperlink" Target="file:///C:\Users\shelb\Tamed%20Wild%20Dropbox\Shelby%20Bundy\PC\Downloads\" TargetMode="External"/><Relationship Id="rId6" Type="http://schemas.openxmlformats.org/officeDocument/2006/relationships/hyperlink" Target="https://www.zotero.org/google-docs/?XOAynF" TargetMode="External"/><Relationship Id="rId11" Type="http://schemas.openxmlformats.org/officeDocument/2006/relationships/hyperlink" Target="https://www.zotero.org/google-docs/?pw7jHD" TargetMode="External"/><Relationship Id="rId24" Type="http://schemas.openxmlformats.org/officeDocument/2006/relationships/hyperlink" Target="https://www.zotero.org/google-docs/?0F9495" TargetMode="External"/><Relationship Id="rId32" Type="http://schemas.openxmlformats.org/officeDocument/2006/relationships/hyperlink" Target="https://www.zotero.org/google-docs/?K4urjZ" TargetMode="External"/><Relationship Id="rId37" Type="http://schemas.openxmlformats.org/officeDocument/2006/relationships/hyperlink" Target="https://www.zotero.org/google-docs/?dWsNA7" TargetMode="External"/><Relationship Id="rId40" Type="http://schemas.openxmlformats.org/officeDocument/2006/relationships/hyperlink" Target="https://www.zotero.org/google-docs/?9OCNhn" TargetMode="External"/><Relationship Id="rId45" Type="http://schemas.openxmlformats.org/officeDocument/2006/relationships/hyperlink" Target="https://www.zotero.org/google-docs/?DDEVcw" TargetMode="External"/><Relationship Id="rId5" Type="http://schemas.openxmlformats.org/officeDocument/2006/relationships/hyperlink" Target="https://www.zotero.org/google-docs/?XA5qN3" TargetMode="External"/><Relationship Id="rId15" Type="http://schemas.openxmlformats.org/officeDocument/2006/relationships/hyperlink" Target="https://www.zotero.org/google-docs/?7UUSjV" TargetMode="External"/><Relationship Id="rId23" Type="http://schemas.openxmlformats.org/officeDocument/2006/relationships/hyperlink" Target="https://www.zotero.org/google-docs/?DzhbhP" TargetMode="External"/><Relationship Id="rId28" Type="http://schemas.openxmlformats.org/officeDocument/2006/relationships/hyperlink" Target="https://www.zotero.org/google-docs/?Yw7WTF" TargetMode="External"/><Relationship Id="rId36" Type="http://schemas.openxmlformats.org/officeDocument/2006/relationships/hyperlink" Target="https://www.zotero.org/google-docs/?2ISbwT" TargetMode="External"/><Relationship Id="rId10" Type="http://schemas.openxmlformats.org/officeDocument/2006/relationships/hyperlink" Target="https://www.zotero.org/google-docs/?gWjOzC" TargetMode="External"/><Relationship Id="rId19" Type="http://schemas.openxmlformats.org/officeDocument/2006/relationships/hyperlink" Target="https://www.zotero.org/google-docs/?r3UYBq" TargetMode="External"/><Relationship Id="rId31" Type="http://schemas.openxmlformats.org/officeDocument/2006/relationships/hyperlink" Target="https://www.zotero.org/google-docs/?kpeLcH" TargetMode="External"/><Relationship Id="rId44" Type="http://schemas.openxmlformats.org/officeDocument/2006/relationships/hyperlink" Target="https://www.zotero.org/google-docs/?02tDf4" TargetMode="External"/><Relationship Id="rId4" Type="http://schemas.openxmlformats.org/officeDocument/2006/relationships/hyperlink" Target="https://www.zotero.org/google-docs/?1ez7XX" TargetMode="External"/><Relationship Id="rId9" Type="http://schemas.openxmlformats.org/officeDocument/2006/relationships/hyperlink" Target="https://www.zotero.org/google-docs/?gWjOzC" TargetMode="External"/><Relationship Id="rId14" Type="http://schemas.openxmlformats.org/officeDocument/2006/relationships/hyperlink" Target="https://www.zotero.org/google-docs/?pw7jHD" TargetMode="External"/><Relationship Id="rId22" Type="http://schemas.openxmlformats.org/officeDocument/2006/relationships/hyperlink" Target="https://www.zotero.org/google-docs/?DzhbhP" TargetMode="External"/><Relationship Id="rId27" Type="http://schemas.openxmlformats.org/officeDocument/2006/relationships/hyperlink" Target="https://www.zotero.org/google-docs/?ZhvKtP" TargetMode="External"/><Relationship Id="rId30" Type="http://schemas.openxmlformats.org/officeDocument/2006/relationships/hyperlink" Target="https://www.zotero.org/google-docs/?Yw7WTF" TargetMode="External"/><Relationship Id="rId35" Type="http://schemas.openxmlformats.org/officeDocument/2006/relationships/hyperlink" Target="https://www.zotero.org/google-docs/?2ISbwT" TargetMode="External"/><Relationship Id="rId43" Type="http://schemas.openxmlformats.org/officeDocument/2006/relationships/hyperlink" Target="https://www.zotero.org/google-docs/?9OCNhn" TargetMode="External"/><Relationship Id="rId8" Type="http://schemas.openxmlformats.org/officeDocument/2006/relationships/hyperlink" Target="https://www.zotero.org/google-docs/?gWjOzC" TargetMode="External"/><Relationship Id="rId3" Type="http://schemas.openxmlformats.org/officeDocument/2006/relationships/hyperlink" Target="https://www.zotero.org/google-docs/?1ez7XX" TargetMode="External"/><Relationship Id="rId12" Type="http://schemas.openxmlformats.org/officeDocument/2006/relationships/hyperlink" Target="https://www.zotero.org/google-docs/?qpvLon" TargetMode="External"/><Relationship Id="rId17" Type="http://schemas.openxmlformats.org/officeDocument/2006/relationships/hyperlink" Target="https://www.zotero.org/google-docs/?7UUSjV" TargetMode="External"/><Relationship Id="rId25" Type="http://schemas.openxmlformats.org/officeDocument/2006/relationships/hyperlink" Target="https://www.zotero.org/google-docs/?0F9495" TargetMode="External"/><Relationship Id="rId33" Type="http://schemas.openxmlformats.org/officeDocument/2006/relationships/hyperlink" Target="https://www.zotero.org/google-docs/?K4urjZ" TargetMode="External"/><Relationship Id="rId38" Type="http://schemas.openxmlformats.org/officeDocument/2006/relationships/hyperlink" Target="https://www.zotero.org/google-docs/?dWsNA7" TargetMode="External"/><Relationship Id="rId46" Type="http://schemas.openxmlformats.org/officeDocument/2006/relationships/hyperlink" Target="https://www.zotero.org/google-docs/?DDEVcw" TargetMode="External"/><Relationship Id="rId20" Type="http://schemas.openxmlformats.org/officeDocument/2006/relationships/hyperlink" Target="https://www.zotero.org/google-docs/?DzhbhP" TargetMode="External"/><Relationship Id="rId41" Type="http://schemas.openxmlformats.org/officeDocument/2006/relationships/hyperlink" Target="https://www.zotero.org/google-docs/?K4urj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12</Pages>
  <Words>3619</Words>
  <Characters>22116</Characters>
  <Application>Microsoft Office Word</Application>
  <DocSecurity>0</DocSecurity>
  <Lines>451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 L</dc:creator>
  <cp:lastModifiedBy>Shelby Bundy</cp:lastModifiedBy>
  <cp:revision>8</cp:revision>
  <dcterms:created xsi:type="dcterms:W3CDTF">2025-07-23T15:17:00Z</dcterms:created>
  <dcterms:modified xsi:type="dcterms:W3CDTF">2025-07-24T17:44:00Z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d1de9cfa-4637-4aea-8c29-49d86c43f2f5</vt:lpwstr>
  </property>
  <property fmtid="{D5CDD505-2E9C-101B-9397-08002B2CF9AE}" pid="3" name="ZOTERO_PREF_1">
    <vt:lpwstr>&lt;data data-version="3" zotero-version="7.0.21"&gt;&lt;session id="wlkJPUbo"/&gt;&lt;style id="http://www.zotero.org/styles/modern-humanities-research-association-notes" hasBibliography="1" bibliographyStyleHasBeenSet="0"/&gt;&lt;prefs&gt;&lt;pref name="fieldType" value="Field"/&gt;</vt:lpwstr>
  </property>
  <property fmtid="{D5CDD505-2E9C-101B-9397-08002B2CF9AE}" pid="4" name="ZOTERO_PREF_2">
    <vt:lpwstr>&lt;pref name="automaticJournalAbbreviations" value="true"/&gt;&lt;pref name="noteType" value="1"/&gt;&lt;/prefs&gt;&lt;/data&gt;</vt:lpwstr>
  </property>
</Properties>
</file>