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795FF" w14:textId="77777777" w:rsidR="003C592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Community Engagement </w:t>
      </w:r>
    </w:p>
    <w:p w14:paraId="3FE50C3D" w14:textId="77777777" w:rsidR="003C592D" w:rsidRDefault="003C592D">
      <w:pPr>
        <w:spacing w:line="360" w:lineRule="auto"/>
        <w:jc w:val="center"/>
        <w:rPr>
          <w:rFonts w:ascii="Times New Roman" w:eastAsia="Times New Roman" w:hAnsi="Times New Roman" w:cs="Times New Roman"/>
          <w:b/>
          <w:sz w:val="24"/>
          <w:szCs w:val="24"/>
        </w:rPr>
      </w:pPr>
    </w:p>
    <w:p w14:paraId="0C0E7973" w14:textId="4EDBA313" w:rsidR="008C0B3E" w:rsidRDefault="003C592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w:t>
      </w:r>
      <w:r w:rsidRPr="003C592D">
        <w:rPr>
          <w:rFonts w:ascii="Times New Roman" w:eastAsia="Times New Roman" w:hAnsi="Times New Roman" w:cs="Times New Roman"/>
          <w:b/>
          <w:sz w:val="24"/>
          <w:szCs w:val="24"/>
        </w:rPr>
        <w:t xml:space="preserve">Marius Nicolae </w:t>
      </w:r>
      <w:proofErr w:type="spellStart"/>
      <w:r w:rsidRPr="003C592D">
        <w:rPr>
          <w:rFonts w:ascii="Times New Roman" w:eastAsia="Times New Roman" w:hAnsi="Times New Roman" w:cs="Times New Roman"/>
          <w:b/>
          <w:sz w:val="24"/>
          <w:szCs w:val="24"/>
        </w:rPr>
        <w:t>Mateescu</w:t>
      </w:r>
      <w:proofErr w:type="spellEnd"/>
      <w:r w:rsidRPr="003C592D">
        <w:rPr>
          <w:rFonts w:ascii="Times New Roman" w:eastAsia="Times New Roman" w:hAnsi="Times New Roman" w:cs="Times New Roman"/>
          <w:b/>
          <w:sz w:val="24"/>
          <w:szCs w:val="24"/>
        </w:rPr>
        <w:t xml:space="preserve"> </w:t>
      </w:r>
      <w:r w:rsidR="00000000">
        <w:br w:type="page"/>
      </w:r>
      <w:r w:rsidR="00000000">
        <w:rPr>
          <w:rFonts w:ascii="Times New Roman" w:eastAsia="Times New Roman" w:hAnsi="Times New Roman" w:cs="Times New Roman"/>
          <w:b/>
          <w:sz w:val="24"/>
          <w:szCs w:val="24"/>
        </w:rPr>
        <w:lastRenderedPageBreak/>
        <w:t>Table of Contents</w:t>
      </w:r>
    </w:p>
    <w:sdt>
      <w:sdtPr>
        <w:id w:val="-373467146"/>
        <w:docPartObj>
          <w:docPartGallery w:val="Table of Contents"/>
          <w:docPartUnique/>
        </w:docPartObj>
      </w:sdtPr>
      <w:sdtContent>
        <w:p w14:paraId="2255E947" w14:textId="77777777" w:rsidR="008C0B3E" w:rsidRDefault="00000000">
          <w:pPr>
            <w:tabs>
              <w:tab w:val="right" w:pos="9025"/>
            </w:tabs>
            <w:spacing w:before="80" w:line="24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y12riqmuo0u">
            <w:r>
              <w:rPr>
                <w:rFonts w:ascii="Times New Roman" w:eastAsia="Times New Roman" w:hAnsi="Times New Roman" w:cs="Times New Roman"/>
                <w:b/>
                <w:sz w:val="24"/>
                <w:szCs w:val="24"/>
              </w:rPr>
              <w:t>Introduction</w:t>
            </w:r>
          </w:hyperlink>
          <w:r>
            <w:rPr>
              <w:rFonts w:ascii="Times New Roman" w:eastAsia="Times New Roman" w:hAnsi="Times New Roman" w:cs="Times New Roman"/>
              <w:b/>
              <w:sz w:val="24"/>
              <w:szCs w:val="24"/>
            </w:rPr>
            <w:tab/>
          </w:r>
          <w:r>
            <w:fldChar w:fldCharType="begin"/>
          </w:r>
          <w:r>
            <w:instrText xml:space="preserve"> PAGEREF _heading=h.y12riqmuo0u \h </w:instrText>
          </w:r>
          <w:r>
            <w:fldChar w:fldCharType="separate"/>
          </w:r>
          <w:r>
            <w:rPr>
              <w:rFonts w:ascii="Times New Roman" w:eastAsia="Times New Roman" w:hAnsi="Times New Roman" w:cs="Times New Roman"/>
              <w:b/>
              <w:sz w:val="24"/>
              <w:szCs w:val="24"/>
            </w:rPr>
            <w:t>4</w:t>
          </w:r>
          <w:r>
            <w:fldChar w:fldCharType="end"/>
          </w:r>
        </w:p>
        <w:p w14:paraId="54E2FA9F" w14:textId="77777777" w:rsidR="008C0B3E" w:rsidRDefault="00000000">
          <w:pPr>
            <w:tabs>
              <w:tab w:val="right" w:pos="9025"/>
            </w:tabs>
            <w:spacing w:before="200" w:line="240" w:lineRule="auto"/>
            <w:rPr>
              <w:rFonts w:ascii="Times New Roman" w:eastAsia="Times New Roman" w:hAnsi="Times New Roman" w:cs="Times New Roman"/>
              <w:sz w:val="24"/>
              <w:szCs w:val="24"/>
            </w:rPr>
          </w:pPr>
          <w:hyperlink w:anchor="_heading=h.n1awmv1djo8v">
            <w:r>
              <w:rPr>
                <w:rFonts w:ascii="Times New Roman" w:eastAsia="Times New Roman" w:hAnsi="Times New Roman" w:cs="Times New Roman"/>
                <w:b/>
                <w:sz w:val="24"/>
                <w:szCs w:val="24"/>
              </w:rPr>
              <w:t>Fujitsu’s strategies on using both its human and material resources in improving lives in the community-</w:t>
            </w:r>
          </w:hyperlink>
          <w:r>
            <w:rPr>
              <w:rFonts w:ascii="Times New Roman" w:eastAsia="Times New Roman" w:hAnsi="Times New Roman" w:cs="Times New Roman"/>
              <w:b/>
              <w:sz w:val="24"/>
              <w:szCs w:val="24"/>
            </w:rPr>
            <w:tab/>
          </w:r>
          <w:r>
            <w:fldChar w:fldCharType="begin"/>
          </w:r>
          <w:r>
            <w:instrText xml:space="preserve"> PAGEREF _heading=h.n1awmv1djo8v \h </w:instrText>
          </w:r>
          <w:r>
            <w:fldChar w:fldCharType="separate"/>
          </w:r>
          <w:r>
            <w:rPr>
              <w:rFonts w:ascii="Times New Roman" w:eastAsia="Times New Roman" w:hAnsi="Times New Roman" w:cs="Times New Roman"/>
              <w:b/>
              <w:sz w:val="24"/>
              <w:szCs w:val="24"/>
            </w:rPr>
            <w:t>4</w:t>
          </w:r>
          <w:r>
            <w:fldChar w:fldCharType="end"/>
          </w:r>
        </w:p>
        <w:p w14:paraId="22B57796" w14:textId="77777777" w:rsidR="008C0B3E" w:rsidRDefault="00000000">
          <w:pPr>
            <w:tabs>
              <w:tab w:val="right" w:pos="9025"/>
            </w:tabs>
            <w:spacing w:before="200" w:line="240" w:lineRule="auto"/>
            <w:rPr>
              <w:rFonts w:ascii="Times New Roman" w:eastAsia="Times New Roman" w:hAnsi="Times New Roman" w:cs="Times New Roman"/>
              <w:sz w:val="24"/>
              <w:szCs w:val="24"/>
            </w:rPr>
          </w:pPr>
          <w:hyperlink w:anchor="_heading=h.9uhgshg4ctlo">
            <w:r>
              <w:rPr>
                <w:rFonts w:ascii="Times New Roman" w:eastAsia="Times New Roman" w:hAnsi="Times New Roman" w:cs="Times New Roman"/>
                <w:b/>
                <w:sz w:val="24"/>
                <w:szCs w:val="24"/>
              </w:rPr>
              <w:t>Identifying the key themes which Fujitsu carry out to its community engagement activities-</w:t>
            </w:r>
          </w:hyperlink>
          <w:r>
            <w:rPr>
              <w:rFonts w:ascii="Times New Roman" w:eastAsia="Times New Roman" w:hAnsi="Times New Roman" w:cs="Times New Roman"/>
              <w:b/>
              <w:sz w:val="24"/>
              <w:szCs w:val="24"/>
            </w:rPr>
            <w:tab/>
          </w:r>
          <w:r>
            <w:fldChar w:fldCharType="begin"/>
          </w:r>
          <w:r>
            <w:instrText xml:space="preserve"> PAGEREF _heading=h.9uhgshg4ctlo \h </w:instrText>
          </w:r>
          <w:r>
            <w:fldChar w:fldCharType="separate"/>
          </w:r>
          <w:r>
            <w:rPr>
              <w:rFonts w:ascii="Times New Roman" w:eastAsia="Times New Roman" w:hAnsi="Times New Roman" w:cs="Times New Roman"/>
              <w:b/>
              <w:sz w:val="24"/>
              <w:szCs w:val="24"/>
            </w:rPr>
            <w:t>5</w:t>
          </w:r>
          <w:r>
            <w:fldChar w:fldCharType="end"/>
          </w:r>
        </w:p>
        <w:p w14:paraId="26B97675" w14:textId="77777777" w:rsidR="008C0B3E" w:rsidRDefault="00000000">
          <w:pPr>
            <w:tabs>
              <w:tab w:val="right" w:pos="9025"/>
            </w:tabs>
            <w:spacing w:before="200" w:line="240" w:lineRule="auto"/>
            <w:rPr>
              <w:rFonts w:ascii="Times New Roman" w:eastAsia="Times New Roman" w:hAnsi="Times New Roman" w:cs="Times New Roman"/>
              <w:sz w:val="24"/>
              <w:szCs w:val="24"/>
            </w:rPr>
          </w:pPr>
          <w:hyperlink w:anchor="_heading=h.a3gr0y7dpda8">
            <w:r>
              <w:rPr>
                <w:rFonts w:ascii="Times New Roman" w:eastAsia="Times New Roman" w:hAnsi="Times New Roman" w:cs="Times New Roman"/>
                <w:b/>
                <w:sz w:val="24"/>
                <w:szCs w:val="24"/>
              </w:rPr>
              <w:t>Identifying its service users and the services they require from Fujitsu-</w:t>
            </w:r>
          </w:hyperlink>
          <w:r>
            <w:rPr>
              <w:rFonts w:ascii="Times New Roman" w:eastAsia="Times New Roman" w:hAnsi="Times New Roman" w:cs="Times New Roman"/>
              <w:b/>
              <w:sz w:val="24"/>
              <w:szCs w:val="24"/>
            </w:rPr>
            <w:tab/>
          </w:r>
          <w:r>
            <w:fldChar w:fldCharType="begin"/>
          </w:r>
          <w:r>
            <w:instrText xml:space="preserve"> PAGEREF _heading=h.a3gr0y7dpda8 \h </w:instrText>
          </w:r>
          <w:r>
            <w:fldChar w:fldCharType="separate"/>
          </w:r>
          <w:r>
            <w:rPr>
              <w:rFonts w:ascii="Times New Roman" w:eastAsia="Times New Roman" w:hAnsi="Times New Roman" w:cs="Times New Roman"/>
              <w:b/>
              <w:sz w:val="24"/>
              <w:szCs w:val="24"/>
            </w:rPr>
            <w:t>6</w:t>
          </w:r>
          <w:r>
            <w:fldChar w:fldCharType="end"/>
          </w:r>
        </w:p>
        <w:p w14:paraId="34022C7D" w14:textId="77777777" w:rsidR="008C0B3E" w:rsidRDefault="00000000">
          <w:pPr>
            <w:tabs>
              <w:tab w:val="right" w:pos="9025"/>
            </w:tabs>
            <w:spacing w:before="200" w:line="240" w:lineRule="auto"/>
            <w:rPr>
              <w:rFonts w:ascii="Times New Roman" w:eastAsia="Times New Roman" w:hAnsi="Times New Roman" w:cs="Times New Roman"/>
              <w:sz w:val="24"/>
              <w:szCs w:val="24"/>
            </w:rPr>
          </w:pPr>
          <w:hyperlink w:anchor="_heading=h.whom67j4s9w3">
            <w:r>
              <w:rPr>
                <w:rFonts w:ascii="Times New Roman" w:eastAsia="Times New Roman" w:hAnsi="Times New Roman" w:cs="Times New Roman"/>
                <w:b/>
                <w:sz w:val="24"/>
                <w:szCs w:val="24"/>
              </w:rPr>
              <w:t>Importance of community engagement</w:t>
            </w:r>
          </w:hyperlink>
          <w:r>
            <w:rPr>
              <w:rFonts w:ascii="Times New Roman" w:eastAsia="Times New Roman" w:hAnsi="Times New Roman" w:cs="Times New Roman"/>
              <w:b/>
              <w:sz w:val="24"/>
              <w:szCs w:val="24"/>
            </w:rPr>
            <w:tab/>
          </w:r>
          <w:r>
            <w:fldChar w:fldCharType="begin"/>
          </w:r>
          <w:r>
            <w:instrText xml:space="preserve"> PAGEREF _heading=h.whom67j4s9w3 \h </w:instrText>
          </w:r>
          <w:r>
            <w:fldChar w:fldCharType="separate"/>
          </w:r>
          <w:r>
            <w:rPr>
              <w:rFonts w:ascii="Times New Roman" w:eastAsia="Times New Roman" w:hAnsi="Times New Roman" w:cs="Times New Roman"/>
              <w:b/>
              <w:sz w:val="24"/>
              <w:szCs w:val="24"/>
            </w:rPr>
            <w:t>6</w:t>
          </w:r>
          <w:r>
            <w:fldChar w:fldCharType="end"/>
          </w:r>
        </w:p>
        <w:p w14:paraId="527183E9" w14:textId="77777777" w:rsidR="008C0B3E" w:rsidRDefault="00000000">
          <w:pPr>
            <w:tabs>
              <w:tab w:val="right" w:pos="9025"/>
            </w:tabs>
            <w:spacing w:before="200" w:line="240" w:lineRule="auto"/>
            <w:rPr>
              <w:rFonts w:ascii="Times New Roman" w:eastAsia="Times New Roman" w:hAnsi="Times New Roman" w:cs="Times New Roman"/>
              <w:sz w:val="24"/>
              <w:szCs w:val="24"/>
            </w:rPr>
          </w:pPr>
          <w:hyperlink w:anchor="_heading=h.fys8u0776o4u">
            <w:r>
              <w:rPr>
                <w:rFonts w:ascii="Times New Roman" w:eastAsia="Times New Roman" w:hAnsi="Times New Roman" w:cs="Times New Roman"/>
                <w:b/>
                <w:sz w:val="24"/>
                <w:szCs w:val="24"/>
              </w:rPr>
              <w:t>Required skills for community engagement</w:t>
            </w:r>
          </w:hyperlink>
          <w:r>
            <w:rPr>
              <w:rFonts w:ascii="Times New Roman" w:eastAsia="Times New Roman" w:hAnsi="Times New Roman" w:cs="Times New Roman"/>
              <w:b/>
              <w:sz w:val="24"/>
              <w:szCs w:val="24"/>
            </w:rPr>
            <w:tab/>
          </w:r>
          <w:r>
            <w:fldChar w:fldCharType="begin"/>
          </w:r>
          <w:r>
            <w:instrText xml:space="preserve"> PAGEREF _heading=h.fys8u0776o4u \h </w:instrText>
          </w:r>
          <w:r>
            <w:fldChar w:fldCharType="separate"/>
          </w:r>
          <w:r>
            <w:rPr>
              <w:rFonts w:ascii="Times New Roman" w:eastAsia="Times New Roman" w:hAnsi="Times New Roman" w:cs="Times New Roman"/>
              <w:b/>
              <w:sz w:val="24"/>
              <w:szCs w:val="24"/>
            </w:rPr>
            <w:t>7</w:t>
          </w:r>
          <w:r>
            <w:fldChar w:fldCharType="end"/>
          </w:r>
        </w:p>
        <w:p w14:paraId="67DE6CF1" w14:textId="77777777" w:rsidR="008C0B3E" w:rsidRDefault="00000000">
          <w:pPr>
            <w:tabs>
              <w:tab w:val="right" w:pos="9025"/>
            </w:tabs>
            <w:spacing w:before="200" w:line="240" w:lineRule="auto"/>
            <w:rPr>
              <w:rFonts w:ascii="Times New Roman" w:eastAsia="Times New Roman" w:hAnsi="Times New Roman" w:cs="Times New Roman"/>
              <w:sz w:val="24"/>
              <w:szCs w:val="24"/>
            </w:rPr>
          </w:pPr>
          <w:hyperlink w:anchor="_heading=h.rvmeuvrkq6rd">
            <w:r>
              <w:rPr>
                <w:rFonts w:ascii="Times New Roman" w:eastAsia="Times New Roman" w:hAnsi="Times New Roman" w:cs="Times New Roman"/>
                <w:b/>
                <w:sz w:val="24"/>
                <w:szCs w:val="24"/>
              </w:rPr>
              <w:t>How to acquire those skills</w:t>
            </w:r>
          </w:hyperlink>
          <w:r>
            <w:rPr>
              <w:rFonts w:ascii="Times New Roman" w:eastAsia="Times New Roman" w:hAnsi="Times New Roman" w:cs="Times New Roman"/>
              <w:b/>
              <w:sz w:val="24"/>
              <w:szCs w:val="24"/>
            </w:rPr>
            <w:tab/>
          </w:r>
          <w:r>
            <w:fldChar w:fldCharType="begin"/>
          </w:r>
          <w:r>
            <w:instrText xml:space="preserve"> PAGEREF _heading=h.rvmeuvrkq6rd \h </w:instrText>
          </w:r>
          <w:r>
            <w:fldChar w:fldCharType="separate"/>
          </w:r>
          <w:r>
            <w:rPr>
              <w:rFonts w:ascii="Times New Roman" w:eastAsia="Times New Roman" w:hAnsi="Times New Roman" w:cs="Times New Roman"/>
              <w:b/>
              <w:sz w:val="24"/>
              <w:szCs w:val="24"/>
            </w:rPr>
            <w:t>7</w:t>
          </w:r>
          <w:r>
            <w:fldChar w:fldCharType="end"/>
          </w:r>
        </w:p>
        <w:p w14:paraId="5B063796" w14:textId="77777777" w:rsidR="008C0B3E" w:rsidRDefault="00000000">
          <w:pPr>
            <w:tabs>
              <w:tab w:val="right" w:pos="9025"/>
            </w:tabs>
            <w:spacing w:before="200" w:after="80" w:line="240" w:lineRule="auto"/>
            <w:rPr>
              <w:rFonts w:ascii="Times New Roman" w:eastAsia="Times New Roman" w:hAnsi="Times New Roman" w:cs="Times New Roman"/>
              <w:sz w:val="24"/>
              <w:szCs w:val="24"/>
            </w:rPr>
          </w:pPr>
          <w:hyperlink w:anchor="_heading=h.gvf7zxocrbf">
            <w:r>
              <w:rPr>
                <w:rFonts w:ascii="Times New Roman" w:eastAsia="Times New Roman" w:hAnsi="Times New Roman" w:cs="Times New Roman"/>
                <w:b/>
                <w:sz w:val="24"/>
                <w:szCs w:val="24"/>
              </w:rPr>
              <w:t>Conclusion</w:t>
            </w:r>
          </w:hyperlink>
          <w:r>
            <w:rPr>
              <w:rFonts w:ascii="Times New Roman" w:eastAsia="Times New Roman" w:hAnsi="Times New Roman" w:cs="Times New Roman"/>
              <w:b/>
              <w:sz w:val="24"/>
              <w:szCs w:val="24"/>
            </w:rPr>
            <w:tab/>
          </w:r>
          <w:r>
            <w:fldChar w:fldCharType="begin"/>
          </w:r>
          <w:r>
            <w:instrText xml:space="preserve"> PAGEREF _heading=h.gvf7zxocrbf \h </w:instrText>
          </w:r>
          <w:r>
            <w:fldChar w:fldCharType="separate"/>
          </w:r>
          <w:r>
            <w:rPr>
              <w:rFonts w:ascii="Times New Roman" w:eastAsia="Times New Roman" w:hAnsi="Times New Roman" w:cs="Times New Roman"/>
              <w:b/>
              <w:sz w:val="24"/>
              <w:szCs w:val="24"/>
            </w:rPr>
            <w:t>9</w:t>
          </w:r>
          <w:r>
            <w:fldChar w:fldCharType="end"/>
          </w:r>
          <w:r>
            <w:fldChar w:fldCharType="end"/>
          </w:r>
        </w:p>
      </w:sdtContent>
    </w:sdt>
    <w:p w14:paraId="188F4DC3" w14:textId="77777777" w:rsidR="008C0B3E" w:rsidRDefault="008C0B3E">
      <w:pPr>
        <w:rPr>
          <w:rFonts w:ascii="Times New Roman" w:eastAsia="Times New Roman" w:hAnsi="Times New Roman" w:cs="Times New Roman"/>
          <w:b/>
          <w:sz w:val="24"/>
          <w:szCs w:val="24"/>
        </w:rPr>
      </w:pPr>
    </w:p>
    <w:p w14:paraId="4CA6E444" w14:textId="77777777" w:rsidR="008C0B3E" w:rsidRDefault="00000000">
      <w:pPr>
        <w:spacing w:line="360" w:lineRule="auto"/>
        <w:jc w:val="both"/>
        <w:rPr>
          <w:rFonts w:ascii="Times New Roman" w:eastAsia="Times New Roman" w:hAnsi="Times New Roman" w:cs="Times New Roman"/>
          <w:b/>
          <w:sz w:val="24"/>
          <w:szCs w:val="24"/>
        </w:rPr>
      </w:pPr>
      <w:r>
        <w:br w:type="page"/>
      </w:r>
    </w:p>
    <w:p w14:paraId="398FE7E9" w14:textId="77777777" w:rsidR="008C0B3E" w:rsidRDefault="008C0B3E">
      <w:pPr>
        <w:spacing w:line="360" w:lineRule="auto"/>
        <w:jc w:val="both"/>
        <w:rPr>
          <w:rFonts w:ascii="Times New Roman" w:eastAsia="Times New Roman" w:hAnsi="Times New Roman" w:cs="Times New Roman"/>
          <w:b/>
          <w:sz w:val="24"/>
          <w:szCs w:val="24"/>
        </w:rPr>
      </w:pPr>
    </w:p>
    <w:p w14:paraId="60C09C00" w14:textId="77777777" w:rsidR="008C0B3E" w:rsidRDefault="00000000">
      <w:pPr>
        <w:pStyle w:val="Heading1"/>
        <w:spacing w:line="360" w:lineRule="auto"/>
        <w:jc w:val="both"/>
      </w:pPr>
      <w:bookmarkStart w:id="0" w:name="_heading=h.y12riqmuo0u" w:colFirst="0" w:colLast="0"/>
      <w:bookmarkEnd w:id="0"/>
      <w:r>
        <w:t>Introduction</w:t>
      </w:r>
    </w:p>
    <w:p w14:paraId="582D9B58" w14:textId="77777777" w:rsidR="008C0B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Everyday Fujitsu itself as an organisation throughout the UK and Ireland touches millions of lives as it holds significant responsibility that helps in addressing the social issues that are affecting communities. Here the community stakeholders are regarded as the key aspects or parts which impact securing the long-term sustainability of the organisation. The works here mainly are guided by the various needs related to the communities and influenced by the several issues that are considered important to Fujitsu (</w:t>
      </w:r>
      <w:r>
        <w:rPr>
          <w:rFonts w:ascii="Times New Roman" w:eastAsia="Times New Roman" w:hAnsi="Times New Roman" w:cs="Times New Roman"/>
          <w:color w:val="222222"/>
          <w:sz w:val="24"/>
          <w:szCs w:val="24"/>
          <w:highlight w:val="white"/>
        </w:rPr>
        <w:t>Fujitsu, 2022</w:t>
      </w:r>
      <w:r>
        <w:rPr>
          <w:rFonts w:ascii="Times New Roman" w:eastAsia="Times New Roman" w:hAnsi="Times New Roman" w:cs="Times New Roman"/>
          <w:sz w:val="24"/>
          <w:szCs w:val="24"/>
        </w:rPr>
        <w:t xml:space="preserve">). Here in this organisation, the employees use their skills to support the local communities and the various charity-related activities. Fujitsu encourages participation in locally initiated and company-related programmes by offering one day of volunteering every </w:t>
      </w:r>
      <w:proofErr w:type="spellStart"/>
      <w:proofErr w:type="gramStart"/>
      <w:r>
        <w:rPr>
          <w:rFonts w:ascii="Times New Roman" w:eastAsia="Times New Roman" w:hAnsi="Times New Roman" w:cs="Times New Roman"/>
          <w:sz w:val="24"/>
          <w:szCs w:val="24"/>
        </w:rPr>
        <w:t>year.This</w:t>
      </w:r>
      <w:proofErr w:type="spellEnd"/>
      <w:proofErr w:type="gramEnd"/>
      <w:r>
        <w:rPr>
          <w:rFonts w:ascii="Times New Roman" w:eastAsia="Times New Roman" w:hAnsi="Times New Roman" w:cs="Times New Roman"/>
          <w:sz w:val="24"/>
          <w:szCs w:val="24"/>
        </w:rPr>
        <w:t xml:space="preserve"> report here pretty much elaborates all the implementations of various strategies and steps taken by Fujitsu in shaping them overall.</w:t>
      </w:r>
    </w:p>
    <w:p w14:paraId="68AD55A9" w14:textId="77777777" w:rsidR="008C0B3E" w:rsidRDefault="00000000">
      <w:pPr>
        <w:pStyle w:val="Heading1"/>
        <w:spacing w:line="360" w:lineRule="auto"/>
        <w:jc w:val="both"/>
      </w:pPr>
      <w:bookmarkStart w:id="1" w:name="_heading=h.n1awmv1djo8v" w:colFirst="0" w:colLast="0"/>
      <w:bookmarkEnd w:id="1"/>
      <w:r>
        <w:t>Fujitsu’s strategies on using both its human and material resources in improving lives in the community-</w:t>
      </w:r>
    </w:p>
    <w:p w14:paraId="5CBC144D" w14:textId="77777777" w:rsidR="008C0B3E" w:rsidRDefault="00000000">
      <w:pPr>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sz w:val="24"/>
          <w:szCs w:val="24"/>
        </w:rPr>
        <w:t>Fuijitsu</w:t>
      </w:r>
      <w:proofErr w:type="spellEnd"/>
      <w:r>
        <w:rPr>
          <w:rFonts w:ascii="Times New Roman" w:eastAsia="Times New Roman" w:hAnsi="Times New Roman" w:cs="Times New Roman"/>
          <w:sz w:val="24"/>
          <w:szCs w:val="24"/>
        </w:rPr>
        <w:t xml:space="preserve"> here implements various strategies towards the betterment and also in improving lives in the </w:t>
      </w:r>
      <w:proofErr w:type="spellStart"/>
      <w:r>
        <w:rPr>
          <w:rFonts w:ascii="Times New Roman" w:eastAsia="Times New Roman" w:hAnsi="Times New Roman" w:cs="Times New Roman"/>
          <w:sz w:val="24"/>
          <w:szCs w:val="24"/>
        </w:rPr>
        <w:t>community.Fujitsu</w:t>
      </w:r>
      <w:proofErr w:type="spellEnd"/>
      <w:r>
        <w:rPr>
          <w:rFonts w:ascii="Times New Roman" w:eastAsia="Times New Roman" w:hAnsi="Times New Roman" w:cs="Times New Roman"/>
          <w:sz w:val="24"/>
          <w:szCs w:val="24"/>
        </w:rPr>
        <w:t xml:space="preserve"> here first formulated the HR </w:t>
      </w:r>
      <w:proofErr w:type="spellStart"/>
      <w:r>
        <w:rPr>
          <w:rFonts w:ascii="Times New Roman" w:eastAsia="Times New Roman" w:hAnsi="Times New Roman" w:cs="Times New Roman"/>
          <w:sz w:val="24"/>
          <w:szCs w:val="24"/>
        </w:rPr>
        <w:t>vision.By</w:t>
      </w:r>
      <w:proofErr w:type="spellEnd"/>
      <w:r>
        <w:rPr>
          <w:rFonts w:ascii="Times New Roman" w:eastAsia="Times New Roman" w:hAnsi="Times New Roman" w:cs="Times New Roman"/>
          <w:sz w:val="24"/>
          <w:szCs w:val="24"/>
        </w:rPr>
        <w:t xml:space="preserve"> formulating this particular vision Fujitsu gathers diverse talents in creating different innovations in every field in the society for the betterment of the lives(</w:t>
      </w:r>
      <w:r>
        <w:rPr>
          <w:rFonts w:ascii="Times New Roman" w:eastAsia="Times New Roman" w:hAnsi="Times New Roman" w:cs="Times New Roman"/>
          <w:color w:val="222222"/>
          <w:sz w:val="24"/>
          <w:szCs w:val="24"/>
          <w:highlight w:val="white"/>
        </w:rPr>
        <w:t>Correia, 2022</w:t>
      </w:r>
      <w:r>
        <w:rPr>
          <w:rFonts w:ascii="Times New Roman" w:eastAsia="Times New Roman" w:hAnsi="Times New Roman" w:cs="Times New Roman"/>
          <w:sz w:val="24"/>
          <w:szCs w:val="24"/>
        </w:rPr>
        <w:t xml:space="preserve">).This organisation’s employees and people are regarded as the greatest management resource that contributes toward customer </w:t>
      </w:r>
      <w:proofErr w:type="spellStart"/>
      <w:r>
        <w:rPr>
          <w:rFonts w:ascii="Times New Roman" w:eastAsia="Times New Roman" w:hAnsi="Times New Roman" w:cs="Times New Roman"/>
          <w:sz w:val="24"/>
          <w:szCs w:val="24"/>
        </w:rPr>
        <w:t>value.Therefore</w:t>
      </w:r>
      <w:proofErr w:type="spellEnd"/>
      <w:r>
        <w:rPr>
          <w:rFonts w:ascii="Times New Roman" w:eastAsia="Times New Roman" w:hAnsi="Times New Roman" w:cs="Times New Roman"/>
          <w:sz w:val="24"/>
          <w:szCs w:val="24"/>
        </w:rPr>
        <w:t xml:space="preserve">, the main vision behind the Human and also the material resource unit is to gather and attract diverse talented people so that later they can develop their talents of them and retain them in their organisation for the betterment of the lives of the </w:t>
      </w:r>
      <w:proofErr w:type="spellStart"/>
      <w:r>
        <w:rPr>
          <w:rFonts w:ascii="Times New Roman" w:eastAsia="Times New Roman" w:hAnsi="Times New Roman" w:cs="Times New Roman"/>
          <w:sz w:val="24"/>
          <w:szCs w:val="24"/>
        </w:rPr>
        <w:t>community.Besides</w:t>
      </w:r>
      <w:proofErr w:type="spellEnd"/>
      <w:r>
        <w:rPr>
          <w:rFonts w:ascii="Times New Roman" w:eastAsia="Times New Roman" w:hAnsi="Times New Roman" w:cs="Times New Roman"/>
          <w:sz w:val="24"/>
          <w:szCs w:val="24"/>
        </w:rPr>
        <w:t>, their vision is to make their capabilities mobilised at the greatest level possible(</w:t>
      </w:r>
      <w:r>
        <w:rPr>
          <w:rFonts w:ascii="Times New Roman" w:eastAsia="Times New Roman" w:hAnsi="Times New Roman" w:cs="Times New Roman"/>
          <w:color w:val="222222"/>
          <w:sz w:val="24"/>
          <w:szCs w:val="24"/>
          <w:highlight w:val="white"/>
        </w:rPr>
        <w:t>Calvo,2021</w:t>
      </w:r>
      <w:r>
        <w:rPr>
          <w:rFonts w:ascii="Times New Roman" w:eastAsia="Times New Roman" w:hAnsi="Times New Roman" w:cs="Times New Roman"/>
          <w:sz w:val="24"/>
          <w:szCs w:val="24"/>
        </w:rPr>
        <w:t xml:space="preserve">).They want their people to share a common purpose and want them to work together with great </w:t>
      </w:r>
      <w:proofErr w:type="spellStart"/>
      <w:r>
        <w:rPr>
          <w:rFonts w:ascii="Times New Roman" w:eastAsia="Times New Roman" w:hAnsi="Times New Roman" w:cs="Times New Roman"/>
          <w:sz w:val="24"/>
          <w:szCs w:val="24"/>
        </w:rPr>
        <w:t>agility.Fujitsu</w:t>
      </w:r>
      <w:proofErr w:type="spellEnd"/>
      <w:r>
        <w:rPr>
          <w:rFonts w:ascii="Times New Roman" w:eastAsia="Times New Roman" w:hAnsi="Times New Roman" w:cs="Times New Roman"/>
          <w:sz w:val="24"/>
          <w:szCs w:val="24"/>
        </w:rPr>
        <w:t xml:space="preserve"> here mainly focuses on the importance of every individual’s well-being and wants to raise the level related to the employee’s </w:t>
      </w:r>
      <w:proofErr w:type="spellStart"/>
      <w:r>
        <w:rPr>
          <w:rFonts w:ascii="Times New Roman" w:eastAsia="Times New Roman" w:hAnsi="Times New Roman" w:cs="Times New Roman"/>
          <w:sz w:val="24"/>
          <w:szCs w:val="24"/>
        </w:rPr>
        <w:t>creativity.Fujitsu</w:t>
      </w:r>
      <w:proofErr w:type="spellEnd"/>
      <w:r>
        <w:rPr>
          <w:rFonts w:ascii="Times New Roman" w:eastAsia="Times New Roman" w:hAnsi="Times New Roman" w:cs="Times New Roman"/>
          <w:sz w:val="24"/>
          <w:szCs w:val="24"/>
        </w:rPr>
        <w:t xml:space="preserve"> here shares share the goal of providing opportunities to all the employees so that they can be attracted in works and can be </w:t>
      </w:r>
      <w:proofErr w:type="spellStart"/>
      <w:r>
        <w:rPr>
          <w:rFonts w:ascii="Times New Roman" w:eastAsia="Times New Roman" w:hAnsi="Times New Roman" w:cs="Times New Roman"/>
          <w:sz w:val="24"/>
          <w:szCs w:val="24"/>
        </w:rPr>
        <w:t>engaged.They</w:t>
      </w:r>
      <w:proofErr w:type="spellEnd"/>
      <w:r>
        <w:rPr>
          <w:rFonts w:ascii="Times New Roman" w:eastAsia="Times New Roman" w:hAnsi="Times New Roman" w:cs="Times New Roman"/>
          <w:sz w:val="24"/>
          <w:szCs w:val="24"/>
        </w:rPr>
        <w:t xml:space="preserve"> offer several chances to all their employees in learning and growing in every </w:t>
      </w:r>
      <w:proofErr w:type="spellStart"/>
      <w:r>
        <w:rPr>
          <w:rFonts w:ascii="Times New Roman" w:eastAsia="Times New Roman" w:hAnsi="Times New Roman" w:cs="Times New Roman"/>
          <w:sz w:val="24"/>
          <w:szCs w:val="24"/>
        </w:rPr>
        <w:t>field.They</w:t>
      </w:r>
      <w:proofErr w:type="spellEnd"/>
      <w:r>
        <w:rPr>
          <w:rFonts w:ascii="Times New Roman" w:eastAsia="Times New Roman" w:hAnsi="Times New Roman" w:cs="Times New Roman"/>
          <w:sz w:val="24"/>
          <w:szCs w:val="24"/>
        </w:rPr>
        <w:t xml:space="preserve"> engaged their people in collaborating with other organisations across the </w:t>
      </w:r>
      <w:proofErr w:type="spellStart"/>
      <w:r>
        <w:rPr>
          <w:rFonts w:ascii="Times New Roman" w:eastAsia="Times New Roman" w:hAnsi="Times New Roman" w:cs="Times New Roman"/>
          <w:sz w:val="24"/>
          <w:szCs w:val="24"/>
        </w:rPr>
        <w:t>border.By</w:t>
      </w:r>
      <w:proofErr w:type="spellEnd"/>
      <w:r>
        <w:rPr>
          <w:rFonts w:ascii="Times New Roman" w:eastAsia="Times New Roman" w:hAnsi="Times New Roman" w:cs="Times New Roman"/>
          <w:sz w:val="24"/>
          <w:szCs w:val="24"/>
        </w:rPr>
        <w:t xml:space="preserve"> using both the human and material resources Fujitsu can conduct </w:t>
      </w:r>
      <w:proofErr w:type="spellStart"/>
      <w:r>
        <w:rPr>
          <w:rFonts w:ascii="Times New Roman" w:eastAsia="Times New Roman" w:hAnsi="Times New Roman" w:cs="Times New Roman"/>
          <w:sz w:val="24"/>
          <w:szCs w:val="24"/>
        </w:rPr>
        <w:t>managements,hiring</w:t>
      </w:r>
      <w:proofErr w:type="spellEnd"/>
      <w:r>
        <w:rPr>
          <w:rFonts w:ascii="Times New Roman" w:eastAsia="Times New Roman" w:hAnsi="Times New Roman" w:cs="Times New Roman"/>
          <w:sz w:val="24"/>
          <w:szCs w:val="24"/>
        </w:rPr>
        <w:t xml:space="preserve"> and several internal job </w:t>
      </w:r>
      <w:proofErr w:type="spellStart"/>
      <w:r>
        <w:rPr>
          <w:rFonts w:ascii="Times New Roman" w:eastAsia="Times New Roman" w:hAnsi="Times New Roman" w:cs="Times New Roman"/>
          <w:sz w:val="24"/>
          <w:szCs w:val="24"/>
        </w:rPr>
        <w:t>posting.This</w:t>
      </w:r>
      <w:proofErr w:type="spellEnd"/>
      <w:r>
        <w:rPr>
          <w:rFonts w:ascii="Times New Roman" w:eastAsia="Times New Roman" w:hAnsi="Times New Roman" w:cs="Times New Roman"/>
          <w:sz w:val="24"/>
          <w:szCs w:val="24"/>
        </w:rPr>
        <w:t xml:space="preserve"> step is being taken for the employees to perform better at their respected positions and also for the ability to face problems and their responsibilities </w:t>
      </w:r>
      <w:proofErr w:type="spellStart"/>
      <w:r>
        <w:rPr>
          <w:rFonts w:ascii="Times New Roman" w:eastAsia="Times New Roman" w:hAnsi="Times New Roman" w:cs="Times New Roman"/>
          <w:sz w:val="24"/>
          <w:szCs w:val="24"/>
        </w:rPr>
        <w:t>too.Here</w:t>
      </w:r>
      <w:proofErr w:type="spellEnd"/>
      <w:r>
        <w:rPr>
          <w:rFonts w:ascii="Times New Roman" w:eastAsia="Times New Roman" w:hAnsi="Times New Roman" w:cs="Times New Roman"/>
          <w:sz w:val="24"/>
          <w:szCs w:val="24"/>
        </w:rPr>
        <w:t xml:space="preserve"> the ‘</w:t>
      </w:r>
      <w:r>
        <w:rPr>
          <w:rFonts w:ascii="Times New Roman" w:eastAsia="Times New Roman" w:hAnsi="Times New Roman" w:cs="Times New Roman"/>
          <w:b/>
          <w:sz w:val="24"/>
          <w:szCs w:val="24"/>
        </w:rPr>
        <w:t>balanced scorecard’</w:t>
      </w:r>
      <w:r>
        <w:rPr>
          <w:rFonts w:ascii="Times New Roman" w:eastAsia="Times New Roman" w:hAnsi="Times New Roman" w:cs="Times New Roman"/>
          <w:sz w:val="24"/>
          <w:szCs w:val="24"/>
        </w:rPr>
        <w:t xml:space="preserve"> system plays a significant role in improving the lives in the </w:t>
      </w:r>
      <w:proofErr w:type="spellStart"/>
      <w:r>
        <w:rPr>
          <w:rFonts w:ascii="Times New Roman" w:eastAsia="Times New Roman" w:hAnsi="Times New Roman" w:cs="Times New Roman"/>
          <w:sz w:val="24"/>
          <w:szCs w:val="24"/>
        </w:rPr>
        <w:t>community.</w:t>
      </w:r>
      <w:r>
        <w:rPr>
          <w:rFonts w:ascii="Times New Roman" w:eastAsia="Times New Roman" w:hAnsi="Times New Roman" w:cs="Times New Roman"/>
          <w:b/>
          <w:sz w:val="24"/>
          <w:szCs w:val="24"/>
        </w:rPr>
        <w:t>Finalcial</w:t>
      </w:r>
      <w:proofErr w:type="spellEnd"/>
      <w:r>
        <w:rPr>
          <w:rFonts w:ascii="Times New Roman" w:eastAsia="Times New Roman" w:hAnsi="Times New Roman" w:cs="Times New Roman"/>
          <w:b/>
          <w:sz w:val="24"/>
          <w:szCs w:val="24"/>
        </w:rPr>
        <w:t xml:space="preserve"> indicator </w:t>
      </w:r>
      <w:r>
        <w:rPr>
          <w:rFonts w:ascii="Times New Roman" w:eastAsia="Times New Roman" w:hAnsi="Times New Roman" w:cs="Times New Roman"/>
          <w:sz w:val="24"/>
          <w:szCs w:val="24"/>
        </w:rPr>
        <w:t xml:space="preserve">here indicates the revenue and operating </w:t>
      </w:r>
      <w:proofErr w:type="spellStart"/>
      <w:r>
        <w:rPr>
          <w:rFonts w:ascii="Times New Roman" w:eastAsia="Times New Roman" w:hAnsi="Times New Roman" w:cs="Times New Roman"/>
          <w:sz w:val="24"/>
          <w:szCs w:val="24"/>
        </w:rPr>
        <w:t>profits.The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non-financial indicator</w:t>
      </w:r>
      <w:r>
        <w:rPr>
          <w:rFonts w:ascii="Times New Roman" w:eastAsia="Times New Roman" w:hAnsi="Times New Roman" w:cs="Times New Roman"/>
          <w:sz w:val="24"/>
          <w:szCs w:val="24"/>
        </w:rPr>
        <w:t xml:space="preserve"> indicates the </w:t>
      </w:r>
      <w:r>
        <w:rPr>
          <w:rFonts w:ascii="Times New Roman" w:eastAsia="Times New Roman" w:hAnsi="Times New Roman" w:cs="Times New Roman"/>
          <w:b/>
          <w:sz w:val="24"/>
          <w:szCs w:val="24"/>
        </w:rPr>
        <w:t xml:space="preserve">DX promotions </w:t>
      </w:r>
      <w:r>
        <w:rPr>
          <w:rFonts w:ascii="Times New Roman" w:eastAsia="Times New Roman" w:hAnsi="Times New Roman" w:cs="Times New Roman"/>
          <w:sz w:val="24"/>
          <w:szCs w:val="24"/>
        </w:rPr>
        <w:t xml:space="preserve">and  </w:t>
      </w:r>
      <w:r>
        <w:rPr>
          <w:rFonts w:ascii="Times New Roman" w:eastAsia="Times New Roman" w:hAnsi="Times New Roman" w:cs="Times New Roman"/>
          <w:b/>
          <w:sz w:val="24"/>
          <w:szCs w:val="24"/>
        </w:rPr>
        <w:t>NPS(Net Promoter Score)</w:t>
      </w:r>
      <w:r>
        <w:rPr>
          <w:rFonts w:ascii="Times New Roman" w:eastAsia="Times New Roman" w:hAnsi="Times New Roman" w:cs="Times New Roman"/>
          <w:sz w:val="24"/>
          <w:szCs w:val="24"/>
        </w:rPr>
        <w:t xml:space="preserve">.This way it becomes easy for </w:t>
      </w:r>
      <w:proofErr w:type="spellStart"/>
      <w:r>
        <w:rPr>
          <w:rFonts w:ascii="Times New Roman" w:eastAsia="Times New Roman" w:hAnsi="Times New Roman" w:cs="Times New Roman"/>
          <w:sz w:val="24"/>
          <w:szCs w:val="24"/>
        </w:rPr>
        <w:t>Fuijitsu</w:t>
      </w:r>
      <w:proofErr w:type="spellEnd"/>
      <w:r>
        <w:rPr>
          <w:rFonts w:ascii="Times New Roman" w:eastAsia="Times New Roman" w:hAnsi="Times New Roman" w:cs="Times New Roman"/>
          <w:sz w:val="24"/>
          <w:szCs w:val="24"/>
        </w:rPr>
        <w:t xml:space="preserve"> to evaluate and balance all the necessary aspects for the betterment of the lives in the community and these upper-mentioned methods help in managing the overall workforce too.</w:t>
      </w:r>
    </w:p>
    <w:p w14:paraId="3663BAFF" w14:textId="77777777" w:rsidR="008C0B3E" w:rsidRDefault="00000000">
      <w:pPr>
        <w:pStyle w:val="Heading1"/>
        <w:spacing w:line="360" w:lineRule="auto"/>
        <w:jc w:val="both"/>
      </w:pPr>
      <w:bookmarkStart w:id="2" w:name="_heading=h.9uhgshg4ctlo" w:colFirst="0" w:colLast="0"/>
      <w:bookmarkEnd w:id="2"/>
      <w:r>
        <w:t>Identifying the key themes which Fujitsu carry out in its community engagement activities-</w:t>
      </w:r>
    </w:p>
    <w:p w14:paraId="2B098721" w14:textId="77777777" w:rsidR="008C0B3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Fuijitsu</w:t>
      </w:r>
      <w:proofErr w:type="spellEnd"/>
      <w:r>
        <w:rPr>
          <w:rFonts w:ascii="Times New Roman" w:eastAsia="Times New Roman" w:hAnsi="Times New Roman" w:cs="Times New Roman"/>
          <w:sz w:val="24"/>
          <w:szCs w:val="24"/>
        </w:rPr>
        <w:t xml:space="preserve"> undertakes several themes in its community management </w:t>
      </w:r>
      <w:proofErr w:type="spellStart"/>
      <w:r>
        <w:rPr>
          <w:rFonts w:ascii="Times New Roman" w:eastAsia="Times New Roman" w:hAnsi="Times New Roman" w:cs="Times New Roman"/>
          <w:sz w:val="24"/>
          <w:szCs w:val="24"/>
        </w:rPr>
        <w:t>activities.Here</w:t>
      </w:r>
      <w:proofErr w:type="spellEnd"/>
      <w:r>
        <w:rPr>
          <w:rFonts w:ascii="Times New Roman" w:eastAsia="Times New Roman" w:hAnsi="Times New Roman" w:cs="Times New Roman"/>
          <w:sz w:val="24"/>
          <w:szCs w:val="24"/>
        </w:rPr>
        <w:t xml:space="preserve"> the key themes are discussed and </w:t>
      </w:r>
      <w:proofErr w:type="spellStart"/>
      <w:r>
        <w:rPr>
          <w:rFonts w:ascii="Times New Roman" w:eastAsia="Times New Roman" w:hAnsi="Times New Roman" w:cs="Times New Roman"/>
          <w:sz w:val="24"/>
          <w:szCs w:val="24"/>
        </w:rPr>
        <w:t>elaborated.Through</w:t>
      </w:r>
      <w:proofErr w:type="spellEnd"/>
      <w:r>
        <w:rPr>
          <w:rFonts w:ascii="Times New Roman" w:eastAsia="Times New Roman" w:hAnsi="Times New Roman" w:cs="Times New Roman"/>
          <w:b/>
          <w:sz w:val="24"/>
          <w:szCs w:val="24"/>
        </w:rPr>
        <w:t xml:space="preserve"> ICT</w:t>
      </w:r>
      <w:r>
        <w:rPr>
          <w:rFonts w:ascii="Times New Roman" w:eastAsia="Times New Roman" w:hAnsi="Times New Roman" w:cs="Times New Roman"/>
          <w:sz w:val="24"/>
          <w:szCs w:val="24"/>
        </w:rPr>
        <w:t xml:space="preserve"> Fujitsu group will be able to create new values and knowledge by working together with the customers, various communities and people across the </w:t>
      </w:r>
      <w:proofErr w:type="spellStart"/>
      <w:r>
        <w:rPr>
          <w:rFonts w:ascii="Times New Roman" w:eastAsia="Times New Roman" w:hAnsi="Times New Roman" w:cs="Times New Roman"/>
          <w:sz w:val="24"/>
          <w:szCs w:val="24"/>
        </w:rPr>
        <w:t>globe.This</w:t>
      </w:r>
      <w:proofErr w:type="spellEnd"/>
      <w:r>
        <w:rPr>
          <w:rFonts w:ascii="Times New Roman" w:eastAsia="Times New Roman" w:hAnsi="Times New Roman" w:cs="Times New Roman"/>
          <w:sz w:val="24"/>
          <w:szCs w:val="24"/>
        </w:rPr>
        <w:t xml:space="preserve"> approach will be beneficial for them in developing sustainability for the community and the </w:t>
      </w:r>
      <w:proofErr w:type="spellStart"/>
      <w:r>
        <w:rPr>
          <w:rFonts w:ascii="Times New Roman" w:eastAsia="Times New Roman" w:hAnsi="Times New Roman" w:cs="Times New Roman"/>
          <w:sz w:val="24"/>
          <w:szCs w:val="24"/>
        </w:rPr>
        <w:t>planet.By</w:t>
      </w:r>
      <w:proofErr w:type="spellEnd"/>
      <w:r>
        <w:rPr>
          <w:rFonts w:ascii="Times New Roman" w:eastAsia="Times New Roman" w:hAnsi="Times New Roman" w:cs="Times New Roman"/>
          <w:sz w:val="24"/>
          <w:szCs w:val="24"/>
        </w:rPr>
        <w:t xml:space="preserve"> this they want the people’s dreams to be achieved and </w:t>
      </w:r>
      <w:proofErr w:type="spellStart"/>
      <w:r>
        <w:rPr>
          <w:rFonts w:ascii="Times New Roman" w:eastAsia="Times New Roman" w:hAnsi="Times New Roman" w:cs="Times New Roman"/>
          <w:sz w:val="24"/>
          <w:szCs w:val="24"/>
        </w:rPr>
        <w:t>fulfilled.All</w:t>
      </w:r>
      <w:proofErr w:type="spellEnd"/>
      <w:r>
        <w:rPr>
          <w:rFonts w:ascii="Times New Roman" w:eastAsia="Times New Roman" w:hAnsi="Times New Roman" w:cs="Times New Roman"/>
          <w:sz w:val="24"/>
          <w:szCs w:val="24"/>
        </w:rPr>
        <w:t xml:space="preserve"> the employees of Fujitsu are participating actively and also engaging in different social </w:t>
      </w:r>
      <w:proofErr w:type="spellStart"/>
      <w:r>
        <w:rPr>
          <w:rFonts w:ascii="Times New Roman" w:eastAsia="Times New Roman" w:hAnsi="Times New Roman" w:cs="Times New Roman"/>
          <w:sz w:val="24"/>
          <w:szCs w:val="24"/>
        </w:rPr>
        <w:t>activities.With</w:t>
      </w:r>
      <w:proofErr w:type="spellEnd"/>
      <w:r>
        <w:rPr>
          <w:rFonts w:ascii="Times New Roman" w:eastAsia="Times New Roman" w:hAnsi="Times New Roman" w:cs="Times New Roman"/>
          <w:sz w:val="24"/>
          <w:szCs w:val="24"/>
        </w:rPr>
        <w:t xml:space="preserve"> a widespread range of stakeholders, they are engaging together in these </w:t>
      </w:r>
      <w:proofErr w:type="spellStart"/>
      <w:r>
        <w:rPr>
          <w:rFonts w:ascii="Times New Roman" w:eastAsia="Times New Roman" w:hAnsi="Times New Roman" w:cs="Times New Roman"/>
          <w:sz w:val="24"/>
          <w:szCs w:val="24"/>
        </w:rPr>
        <w:t>activities.These</w:t>
      </w:r>
      <w:proofErr w:type="spellEnd"/>
      <w:r>
        <w:rPr>
          <w:rFonts w:ascii="Times New Roman" w:eastAsia="Times New Roman" w:hAnsi="Times New Roman" w:cs="Times New Roman"/>
          <w:sz w:val="24"/>
          <w:szCs w:val="24"/>
        </w:rPr>
        <w:t xml:space="preserve"> activities are mainly based on four pillars, such as ICT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for everyone, the support for different challenges, engagement of various communities and lastly </w:t>
      </w:r>
      <w:proofErr w:type="spellStart"/>
      <w:r>
        <w:rPr>
          <w:rFonts w:ascii="Times New Roman" w:eastAsia="Times New Roman" w:hAnsi="Times New Roman" w:cs="Times New Roman"/>
          <w:sz w:val="24"/>
          <w:szCs w:val="24"/>
        </w:rPr>
        <w:t>Environment.Fujitsu</w:t>
      </w:r>
      <w:proofErr w:type="spellEnd"/>
      <w:r>
        <w:rPr>
          <w:rFonts w:ascii="Times New Roman" w:eastAsia="Times New Roman" w:hAnsi="Times New Roman" w:cs="Times New Roman"/>
          <w:sz w:val="24"/>
          <w:szCs w:val="24"/>
        </w:rPr>
        <w:t xml:space="preserve"> here takes the step related to ICT promotion by the engagement with colleges and schools(</w:t>
      </w:r>
      <w:r>
        <w:rPr>
          <w:rFonts w:ascii="Times New Roman" w:eastAsia="Times New Roman" w:hAnsi="Times New Roman" w:cs="Times New Roman"/>
          <w:color w:val="222222"/>
          <w:sz w:val="24"/>
          <w:szCs w:val="24"/>
          <w:highlight w:val="white"/>
        </w:rPr>
        <w:t>Wynn and Jones, 2022</w:t>
      </w:r>
      <w:r>
        <w:rPr>
          <w:rFonts w:ascii="Times New Roman" w:eastAsia="Times New Roman" w:hAnsi="Times New Roman" w:cs="Times New Roman"/>
          <w:sz w:val="24"/>
          <w:szCs w:val="24"/>
        </w:rPr>
        <w:t xml:space="preserve">). They also focus on the delivery of several events by the help of their several partner </w:t>
      </w:r>
      <w:proofErr w:type="spellStart"/>
      <w:r>
        <w:rPr>
          <w:rFonts w:ascii="Times New Roman" w:eastAsia="Times New Roman" w:hAnsi="Times New Roman" w:cs="Times New Roman"/>
          <w:sz w:val="24"/>
          <w:szCs w:val="24"/>
        </w:rPr>
        <w:t>organisations.For</w:t>
      </w:r>
      <w:proofErr w:type="spellEnd"/>
      <w:r>
        <w:rPr>
          <w:rFonts w:ascii="Times New Roman" w:eastAsia="Times New Roman" w:hAnsi="Times New Roman" w:cs="Times New Roman"/>
          <w:sz w:val="24"/>
          <w:szCs w:val="24"/>
        </w:rPr>
        <w:t xml:space="preserve"> example-</w:t>
      </w:r>
      <w:proofErr w:type="spellStart"/>
      <w:r>
        <w:rPr>
          <w:rFonts w:ascii="Times New Roman" w:eastAsia="Times New Roman" w:hAnsi="Times New Roman" w:cs="Times New Roman"/>
          <w:sz w:val="24"/>
          <w:szCs w:val="24"/>
        </w:rPr>
        <w:t>BITC.Prince’s</w:t>
      </w:r>
      <w:proofErr w:type="spellEnd"/>
      <w:r>
        <w:rPr>
          <w:rFonts w:ascii="Times New Roman" w:eastAsia="Times New Roman" w:hAnsi="Times New Roman" w:cs="Times New Roman"/>
          <w:sz w:val="24"/>
          <w:szCs w:val="24"/>
        </w:rPr>
        <w:t xml:space="preserve"> trust and some regional education business </w:t>
      </w:r>
      <w:proofErr w:type="spellStart"/>
      <w:r>
        <w:rPr>
          <w:rFonts w:ascii="Times New Roman" w:eastAsia="Times New Roman" w:hAnsi="Times New Roman" w:cs="Times New Roman"/>
          <w:sz w:val="24"/>
          <w:szCs w:val="24"/>
        </w:rPr>
        <w:t>partners.Fujitsu</w:t>
      </w:r>
      <w:proofErr w:type="spellEnd"/>
      <w:r>
        <w:rPr>
          <w:rFonts w:ascii="Times New Roman" w:eastAsia="Times New Roman" w:hAnsi="Times New Roman" w:cs="Times New Roman"/>
          <w:sz w:val="24"/>
          <w:szCs w:val="24"/>
        </w:rPr>
        <w:t xml:space="preserve"> are also offering various opportunities to volunteer at the corporate level and also via the regional groups of </w:t>
      </w:r>
      <w:proofErr w:type="spellStart"/>
      <w:r>
        <w:rPr>
          <w:rFonts w:ascii="Times New Roman" w:eastAsia="Times New Roman" w:hAnsi="Times New Roman" w:cs="Times New Roman"/>
          <w:sz w:val="24"/>
          <w:szCs w:val="24"/>
        </w:rPr>
        <w:t>IOS.This</w:t>
      </w:r>
      <w:proofErr w:type="spellEnd"/>
      <w:r>
        <w:rPr>
          <w:rFonts w:ascii="Times New Roman" w:eastAsia="Times New Roman" w:hAnsi="Times New Roman" w:cs="Times New Roman"/>
          <w:sz w:val="24"/>
          <w:szCs w:val="24"/>
        </w:rPr>
        <w:t xml:space="preserve"> approach will be beneficial for the employees in understanding their professional and personal development </w:t>
      </w:r>
      <w:proofErr w:type="spellStart"/>
      <w:r>
        <w:rPr>
          <w:rFonts w:ascii="Times New Roman" w:eastAsia="Times New Roman" w:hAnsi="Times New Roman" w:cs="Times New Roman"/>
          <w:sz w:val="24"/>
          <w:szCs w:val="24"/>
        </w:rPr>
        <w:t>needs.However</w:t>
      </w:r>
      <w:proofErr w:type="spellEnd"/>
      <w:r>
        <w:rPr>
          <w:rFonts w:ascii="Times New Roman" w:eastAsia="Times New Roman" w:hAnsi="Times New Roman" w:cs="Times New Roman"/>
          <w:sz w:val="24"/>
          <w:szCs w:val="24"/>
        </w:rPr>
        <w:t xml:space="preserve">, to achieve this they must engage with these events that support the strategic objectives of </w:t>
      </w:r>
      <w:proofErr w:type="spellStart"/>
      <w:r>
        <w:rPr>
          <w:rFonts w:ascii="Times New Roman" w:eastAsia="Times New Roman" w:hAnsi="Times New Roman" w:cs="Times New Roman"/>
          <w:sz w:val="24"/>
          <w:szCs w:val="24"/>
        </w:rPr>
        <w:t>Fujitsu.They</w:t>
      </w:r>
      <w:proofErr w:type="spellEnd"/>
      <w:r>
        <w:rPr>
          <w:rFonts w:ascii="Times New Roman" w:eastAsia="Times New Roman" w:hAnsi="Times New Roman" w:cs="Times New Roman"/>
          <w:sz w:val="24"/>
          <w:szCs w:val="24"/>
        </w:rPr>
        <w:t xml:space="preserve"> are also considering the financial support that helps in staff fundraising and also looking for volunteer requests where it is possible to </w:t>
      </w:r>
      <w:proofErr w:type="spellStart"/>
      <w:r>
        <w:rPr>
          <w:rFonts w:ascii="Times New Roman" w:eastAsia="Times New Roman" w:hAnsi="Times New Roman" w:cs="Times New Roman"/>
          <w:sz w:val="24"/>
          <w:szCs w:val="24"/>
        </w:rPr>
        <w:t>make.They</w:t>
      </w:r>
      <w:proofErr w:type="spellEnd"/>
      <w:r>
        <w:rPr>
          <w:rFonts w:ascii="Times New Roman" w:eastAsia="Times New Roman" w:hAnsi="Times New Roman" w:cs="Times New Roman"/>
          <w:sz w:val="24"/>
          <w:szCs w:val="24"/>
        </w:rPr>
        <w:t xml:space="preserve"> are also considering partnering with </w:t>
      </w:r>
      <w:r>
        <w:rPr>
          <w:rFonts w:ascii="Times New Roman" w:eastAsia="Times New Roman" w:hAnsi="Times New Roman" w:cs="Times New Roman"/>
          <w:b/>
          <w:sz w:val="24"/>
          <w:szCs w:val="24"/>
        </w:rPr>
        <w:t>Centrica</w:t>
      </w:r>
      <w:r>
        <w:rPr>
          <w:rFonts w:ascii="Times New Roman" w:eastAsia="Times New Roman" w:hAnsi="Times New Roman" w:cs="Times New Roman"/>
          <w:sz w:val="24"/>
          <w:szCs w:val="24"/>
        </w:rPr>
        <w:t xml:space="preserve"> to provide </w:t>
      </w:r>
      <w:proofErr w:type="spellStart"/>
      <w:r>
        <w:rPr>
          <w:rFonts w:ascii="Times New Roman" w:eastAsia="Times New Roman" w:hAnsi="Times New Roman" w:cs="Times New Roman"/>
          <w:sz w:val="24"/>
          <w:szCs w:val="24"/>
        </w:rPr>
        <w:t>homeschooling</w:t>
      </w:r>
      <w:proofErr w:type="spellEnd"/>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Sakai and Hidaka,2018</w:t>
      </w:r>
      <w:r>
        <w:rPr>
          <w:rFonts w:ascii="Times New Roman" w:eastAsia="Times New Roman" w:hAnsi="Times New Roman" w:cs="Times New Roman"/>
          <w:sz w:val="24"/>
          <w:szCs w:val="24"/>
        </w:rPr>
        <w:t xml:space="preserve">).During covid, the remote learning practices have increased a lot and therefore </w:t>
      </w:r>
      <w:proofErr w:type="spellStart"/>
      <w:r>
        <w:rPr>
          <w:rFonts w:ascii="Times New Roman" w:eastAsia="Times New Roman" w:hAnsi="Times New Roman" w:cs="Times New Roman"/>
          <w:sz w:val="24"/>
          <w:szCs w:val="24"/>
        </w:rPr>
        <w:t>Fuijitsu</w:t>
      </w:r>
      <w:proofErr w:type="spellEnd"/>
      <w:r>
        <w:rPr>
          <w:rFonts w:ascii="Times New Roman" w:eastAsia="Times New Roman" w:hAnsi="Times New Roman" w:cs="Times New Roman"/>
          <w:sz w:val="24"/>
          <w:szCs w:val="24"/>
        </w:rPr>
        <w:t xml:space="preserve"> here are collaborating with Centrica</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to provide education to </w:t>
      </w:r>
      <w:proofErr w:type="spellStart"/>
      <w:r>
        <w:rPr>
          <w:rFonts w:ascii="Times New Roman" w:eastAsia="Times New Roman" w:hAnsi="Times New Roman" w:cs="Times New Roman"/>
          <w:sz w:val="24"/>
          <w:szCs w:val="24"/>
        </w:rPr>
        <w:t>children.To</w:t>
      </w:r>
      <w:proofErr w:type="spellEnd"/>
      <w:r>
        <w:rPr>
          <w:rFonts w:ascii="Times New Roman" w:eastAsia="Times New Roman" w:hAnsi="Times New Roman" w:cs="Times New Roman"/>
          <w:sz w:val="24"/>
          <w:szCs w:val="24"/>
        </w:rPr>
        <w:t xml:space="preserve"> make this happen they are collecting the old laptops and Pcs and then refurbishing </w:t>
      </w:r>
      <w:proofErr w:type="spellStart"/>
      <w:r>
        <w:rPr>
          <w:rFonts w:ascii="Times New Roman" w:eastAsia="Times New Roman" w:hAnsi="Times New Roman" w:cs="Times New Roman"/>
          <w:sz w:val="24"/>
          <w:szCs w:val="24"/>
        </w:rPr>
        <w:t>them,so</w:t>
      </w:r>
      <w:proofErr w:type="spellEnd"/>
      <w:r>
        <w:rPr>
          <w:rFonts w:ascii="Times New Roman" w:eastAsia="Times New Roman" w:hAnsi="Times New Roman" w:cs="Times New Roman"/>
          <w:sz w:val="24"/>
          <w:szCs w:val="24"/>
        </w:rPr>
        <w:t xml:space="preserve"> that they can give those all for free to the Families that are unable to provide their children with remote learning </w:t>
      </w:r>
      <w:proofErr w:type="spellStart"/>
      <w:r>
        <w:rPr>
          <w:rFonts w:ascii="Times New Roman" w:eastAsia="Times New Roman" w:hAnsi="Times New Roman" w:cs="Times New Roman"/>
          <w:sz w:val="24"/>
          <w:szCs w:val="24"/>
        </w:rPr>
        <w:t>facilities.Besides,the</w:t>
      </w:r>
      <w:proofErr w:type="spellEnd"/>
      <w:r>
        <w:rPr>
          <w:rFonts w:ascii="Times New Roman" w:eastAsia="Times New Roman" w:hAnsi="Times New Roman" w:cs="Times New Roman"/>
          <w:sz w:val="24"/>
          <w:szCs w:val="24"/>
        </w:rPr>
        <w:t xml:space="preserve"> support that they show towards the people with disability are also recognised </w:t>
      </w:r>
      <w:proofErr w:type="spellStart"/>
      <w:r>
        <w:rPr>
          <w:rFonts w:ascii="Times New Roman" w:eastAsia="Times New Roman" w:hAnsi="Times New Roman" w:cs="Times New Roman"/>
          <w:sz w:val="24"/>
          <w:szCs w:val="24"/>
        </w:rPr>
        <w:t>widely.Various</w:t>
      </w:r>
      <w:proofErr w:type="spellEnd"/>
      <w:r>
        <w:rPr>
          <w:rFonts w:ascii="Times New Roman" w:eastAsia="Times New Roman" w:hAnsi="Times New Roman" w:cs="Times New Roman"/>
          <w:sz w:val="24"/>
          <w:szCs w:val="24"/>
        </w:rPr>
        <w:t xml:space="preserve"> programmes regarding the support towards the entrepreneurs are also remarkable.   </w:t>
      </w:r>
    </w:p>
    <w:p w14:paraId="2791C333" w14:textId="77777777" w:rsidR="008C0B3E" w:rsidRDefault="00000000">
      <w:pPr>
        <w:pStyle w:val="Heading1"/>
        <w:spacing w:line="360" w:lineRule="auto"/>
        <w:jc w:val="both"/>
      </w:pPr>
      <w:bookmarkStart w:id="3" w:name="_heading=h.a3gr0y7dpda8" w:colFirst="0" w:colLast="0"/>
      <w:bookmarkEnd w:id="3"/>
      <w:r>
        <w:t>Identifying its service users and the services they require from Fujitsu-</w:t>
      </w:r>
    </w:p>
    <w:p w14:paraId="1DFA3693" w14:textId="77777777" w:rsidR="008C0B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Fujitsu is recognised as one of the world-class service desk providers across the </w:t>
      </w:r>
      <w:proofErr w:type="spellStart"/>
      <w:r>
        <w:rPr>
          <w:rFonts w:ascii="Times New Roman" w:eastAsia="Times New Roman" w:hAnsi="Times New Roman" w:cs="Times New Roman"/>
          <w:sz w:val="24"/>
          <w:szCs w:val="24"/>
        </w:rPr>
        <w:t>globe.It</w:t>
      </w:r>
      <w:proofErr w:type="spellEnd"/>
      <w:r>
        <w:rPr>
          <w:rFonts w:ascii="Times New Roman" w:eastAsia="Times New Roman" w:hAnsi="Times New Roman" w:cs="Times New Roman"/>
          <w:sz w:val="24"/>
          <w:szCs w:val="24"/>
        </w:rPr>
        <w:t xml:space="preserve"> is famous for delivering support service at a pro-level to all the customers </w:t>
      </w:r>
      <w:proofErr w:type="spellStart"/>
      <w:r>
        <w:rPr>
          <w:rFonts w:ascii="Times New Roman" w:eastAsia="Times New Roman" w:hAnsi="Times New Roman" w:cs="Times New Roman"/>
          <w:sz w:val="24"/>
          <w:szCs w:val="24"/>
        </w:rPr>
        <w:t>worldwide.Here</w:t>
      </w:r>
      <w:proofErr w:type="spellEnd"/>
      <w:r>
        <w:rPr>
          <w:rFonts w:ascii="Times New Roman" w:eastAsia="Times New Roman" w:hAnsi="Times New Roman" w:cs="Times New Roman"/>
          <w:sz w:val="24"/>
          <w:szCs w:val="24"/>
        </w:rPr>
        <w:t xml:space="preserve"> the services that they provide and the services that the customers need from Fujitsu are hereby </w:t>
      </w:r>
      <w:proofErr w:type="spellStart"/>
      <w:r>
        <w:rPr>
          <w:rFonts w:ascii="Times New Roman" w:eastAsia="Times New Roman" w:hAnsi="Times New Roman" w:cs="Times New Roman"/>
          <w:sz w:val="24"/>
          <w:szCs w:val="24"/>
        </w:rPr>
        <w:t>discussed.Fujitsu</w:t>
      </w:r>
      <w:proofErr w:type="spellEnd"/>
      <w:r>
        <w:rPr>
          <w:rFonts w:ascii="Times New Roman" w:eastAsia="Times New Roman" w:hAnsi="Times New Roman" w:cs="Times New Roman"/>
          <w:sz w:val="24"/>
          <w:szCs w:val="24"/>
        </w:rPr>
        <w:t xml:space="preserve"> currently have five delivery centres in countries like Portugal, Poland, Malaysia, Costa Rica and the </w:t>
      </w:r>
      <w:proofErr w:type="spellStart"/>
      <w:r>
        <w:rPr>
          <w:rFonts w:ascii="Times New Roman" w:eastAsia="Times New Roman" w:hAnsi="Times New Roman" w:cs="Times New Roman"/>
          <w:sz w:val="24"/>
          <w:szCs w:val="24"/>
        </w:rPr>
        <w:t>Philippines.In</w:t>
      </w:r>
      <w:proofErr w:type="spellEnd"/>
      <w:r>
        <w:rPr>
          <w:rFonts w:ascii="Times New Roman" w:eastAsia="Times New Roman" w:hAnsi="Times New Roman" w:cs="Times New Roman"/>
          <w:sz w:val="24"/>
          <w:szCs w:val="24"/>
        </w:rPr>
        <w:t xml:space="preserve"> over 160 countries they have their own local </w:t>
      </w:r>
      <w:proofErr w:type="spellStart"/>
      <w:r>
        <w:rPr>
          <w:rFonts w:ascii="Times New Roman" w:eastAsia="Times New Roman" w:hAnsi="Times New Roman" w:cs="Times New Roman"/>
          <w:sz w:val="24"/>
          <w:szCs w:val="24"/>
        </w:rPr>
        <w:t>services.Fujitsu</w:t>
      </w:r>
      <w:proofErr w:type="spellEnd"/>
      <w:r>
        <w:rPr>
          <w:rFonts w:ascii="Times New Roman" w:eastAsia="Times New Roman" w:hAnsi="Times New Roman" w:cs="Times New Roman"/>
          <w:sz w:val="24"/>
          <w:szCs w:val="24"/>
        </w:rPr>
        <w:t xml:space="preserve"> as their service provides multilingual support over 30 languages (</w:t>
      </w:r>
      <w:r>
        <w:rPr>
          <w:rFonts w:ascii="Times New Roman" w:eastAsia="Times New Roman" w:hAnsi="Times New Roman" w:cs="Times New Roman"/>
          <w:color w:val="222222"/>
          <w:sz w:val="24"/>
          <w:szCs w:val="24"/>
          <w:highlight w:val="white"/>
        </w:rPr>
        <w:t xml:space="preserve">Barrett, </w:t>
      </w:r>
      <w:proofErr w:type="spellStart"/>
      <w:r>
        <w:rPr>
          <w:rFonts w:ascii="Times New Roman" w:eastAsia="Times New Roman" w:hAnsi="Times New Roman" w:cs="Times New Roman"/>
          <w:color w:val="222222"/>
          <w:sz w:val="24"/>
          <w:szCs w:val="24"/>
          <w:highlight w:val="white"/>
        </w:rPr>
        <w:t>DeWit</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Yarime</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).Fujitsu knows that they must do more than just reacting to the issues, therefore they offer their proactive services and tries to predict the issues that might </w:t>
      </w:r>
      <w:proofErr w:type="spellStart"/>
      <w:r>
        <w:rPr>
          <w:rFonts w:ascii="Times New Roman" w:eastAsia="Times New Roman" w:hAnsi="Times New Roman" w:cs="Times New Roman"/>
          <w:sz w:val="24"/>
          <w:szCs w:val="24"/>
        </w:rPr>
        <w:t>come.They</w:t>
      </w:r>
      <w:proofErr w:type="spellEnd"/>
      <w:r>
        <w:rPr>
          <w:rFonts w:ascii="Times New Roman" w:eastAsia="Times New Roman" w:hAnsi="Times New Roman" w:cs="Times New Roman"/>
          <w:sz w:val="24"/>
          <w:szCs w:val="24"/>
        </w:rPr>
        <w:t xml:space="preserve"> offer services like Social</w:t>
      </w:r>
      <w:r>
        <w:rPr>
          <w:rFonts w:ascii="Times New Roman" w:eastAsia="Times New Roman" w:hAnsi="Times New Roman" w:cs="Times New Roman"/>
          <w:b/>
          <w:sz w:val="24"/>
          <w:szCs w:val="24"/>
        </w:rPr>
        <w:t xml:space="preserve"> Command Centre(</w:t>
      </w:r>
      <w:proofErr w:type="spellStart"/>
      <w:r>
        <w:rPr>
          <w:rFonts w:ascii="Times New Roman" w:eastAsia="Times New Roman" w:hAnsi="Times New Roman" w:cs="Times New Roman"/>
          <w:b/>
          <w:sz w:val="24"/>
          <w:szCs w:val="24"/>
        </w:rPr>
        <w:t>scc</w:t>
      </w:r>
      <w:proofErr w:type="spellEnd"/>
      <w:r>
        <w:rPr>
          <w:rFonts w:ascii="Times New Roman" w:eastAsia="Times New Roman" w:hAnsi="Times New Roman" w:cs="Times New Roman"/>
          <w:b/>
          <w:sz w:val="24"/>
          <w:szCs w:val="24"/>
        </w:rPr>
        <w:t>), instant support for multi-devices, only one simple interface for all the requests, rapid 24/7 support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etc.By</w:t>
      </w:r>
      <w:proofErr w:type="spellEnd"/>
      <w:r>
        <w:rPr>
          <w:rFonts w:ascii="Times New Roman" w:eastAsia="Times New Roman" w:hAnsi="Times New Roman" w:cs="Times New Roman"/>
          <w:sz w:val="24"/>
          <w:szCs w:val="24"/>
        </w:rPr>
        <w:t xml:space="preserve"> all these offerings they always try to develop their service desk by new inventions.</w:t>
      </w:r>
    </w:p>
    <w:p w14:paraId="230C5DFA" w14:textId="77777777" w:rsidR="008C0B3E" w:rsidRDefault="00000000">
      <w:pPr>
        <w:pStyle w:val="Heading1"/>
        <w:spacing w:line="360" w:lineRule="auto"/>
        <w:jc w:val="both"/>
      </w:pPr>
      <w:bookmarkStart w:id="4" w:name="_heading=h.whom67j4s9w3" w:colFirst="0" w:colLast="0"/>
      <w:bookmarkEnd w:id="4"/>
      <w:r>
        <w:t xml:space="preserve">Importance of community engagement </w:t>
      </w:r>
    </w:p>
    <w:p w14:paraId="2C7DF89E" w14:textId="77777777" w:rsidR="008C0B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 important for Fujitsu. They serve millions of lives in the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and Ireland region. Fujitsu has a significant part in addressing the social issues that are affecting the people. This is an important task to do. Community engagement helps the organization in achieving the sustainable goals. The engagement with the members of the community helps Fujitsu to be sustainable in the long term. This is an important task for Fujitsu. It helps Fujitsu in giving the valuable service to the people in need. Fujitsu is intended to provide this service. The community engagement is important to take better decisions for Fujitsu. The more they will engage with the community the more they </w:t>
      </w:r>
      <w:proofErr w:type="gramStart"/>
      <w:r>
        <w:rPr>
          <w:rFonts w:ascii="Times New Roman" w:eastAsia="Times New Roman" w:hAnsi="Times New Roman" w:cs="Times New Roman"/>
          <w:sz w:val="24"/>
          <w:szCs w:val="24"/>
        </w:rPr>
        <w:t>will</w:t>
      </w:r>
      <w:proofErr w:type="gramEnd"/>
      <w:r>
        <w:rPr>
          <w:rFonts w:ascii="Times New Roman" w:eastAsia="Times New Roman" w:hAnsi="Times New Roman" w:cs="Times New Roman"/>
          <w:sz w:val="24"/>
          <w:szCs w:val="24"/>
        </w:rPr>
        <w:t xml:space="preserve"> like to take better decisions for the future. Members of the community will provide better input and that helps to make better decisions for Fujitsu. The community engagement will help to make the community happy with the decisions of Fujitsu. The Community will take an active part in the projects of Fujitsu. If the community will take an active part in the projects it will help Fujitsu to make better </w:t>
      </w:r>
      <w:proofErr w:type="gramStart"/>
      <w:r>
        <w:rPr>
          <w:rFonts w:ascii="Times New Roman" w:eastAsia="Times New Roman" w:hAnsi="Times New Roman" w:cs="Times New Roman"/>
          <w:sz w:val="24"/>
          <w:szCs w:val="24"/>
        </w:rPr>
        <w:t>decisions(</w:t>
      </w:r>
      <w:proofErr w:type="gramEnd"/>
      <w:r>
        <w:rPr>
          <w:rFonts w:ascii="Times New Roman" w:eastAsia="Times New Roman" w:hAnsi="Times New Roman" w:cs="Times New Roman"/>
          <w:color w:val="222222"/>
          <w:sz w:val="24"/>
          <w:szCs w:val="24"/>
          <w:highlight w:val="white"/>
        </w:rPr>
        <w:t>Weaver,</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The engagement of the community will help to make the job of a manager somehow easier. The engagement will make the community accept the decisions of Fujitsu. The decisions of Fujitsu have an impact on the issues that are dealt with and if the Fujitsu community is engaged then it will be easier for the manager to t take effective decisions. The members of the community if engaged they can solve the issues of the community. Fujitsu has many works to do. The goals that Fujitsu have are important goals for Fujitsu and the engagement of the members will help them to achieve those.</w:t>
      </w:r>
    </w:p>
    <w:p w14:paraId="77B79319" w14:textId="77777777" w:rsidR="008C0B3E" w:rsidRDefault="008C0B3E">
      <w:pPr>
        <w:spacing w:line="360" w:lineRule="auto"/>
        <w:jc w:val="both"/>
        <w:rPr>
          <w:rFonts w:ascii="Times New Roman" w:eastAsia="Times New Roman" w:hAnsi="Times New Roman" w:cs="Times New Roman"/>
          <w:sz w:val="24"/>
          <w:szCs w:val="24"/>
        </w:rPr>
      </w:pPr>
    </w:p>
    <w:p w14:paraId="58930DC8" w14:textId="77777777" w:rsidR="008C0B3E" w:rsidRDefault="00000000">
      <w:pPr>
        <w:pStyle w:val="Heading1"/>
        <w:spacing w:line="360" w:lineRule="auto"/>
        <w:jc w:val="both"/>
      </w:pPr>
      <w:bookmarkStart w:id="5" w:name="_heading=h.fys8u0776o4u" w:colFirst="0" w:colLast="0"/>
      <w:bookmarkEnd w:id="5"/>
      <w:r>
        <w:t>Required skills for community engagement</w:t>
      </w:r>
    </w:p>
    <w:p w14:paraId="1C849A7C" w14:textId="77777777" w:rsidR="008C0B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of the members of the community is an important thing. The community engagement helps Fujitsu in many ways. The engagement helps Fujitsu in achieving its goals. The members of Fujitsu need to have the skills that are required for community engagement. The listening and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skill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important to carry on this task. Listening to the members and issues is important to engage the community. The more the listening culture is there in Fujitsu the more engaged the community will be. Listening to the issues is important. The analysis of the problems is also important for this task. Another skill that is required for this task is promoting productive behaviour. This is important for the company to be productive. If the managers promote this to the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then they will be more engaged. It will help the community to make more contributions and it will lead to community </w:t>
      </w:r>
      <w:proofErr w:type="gramStart"/>
      <w:r>
        <w:rPr>
          <w:rFonts w:ascii="Times New Roman" w:eastAsia="Times New Roman" w:hAnsi="Times New Roman" w:cs="Times New Roman"/>
          <w:sz w:val="24"/>
          <w:szCs w:val="24"/>
        </w:rPr>
        <w:t>engagement(</w:t>
      </w:r>
      <w:proofErr w:type="gramEnd"/>
      <w:r>
        <w:rPr>
          <w:rFonts w:ascii="Times New Roman" w:eastAsia="Times New Roman" w:hAnsi="Times New Roman" w:cs="Times New Roman"/>
          <w:color w:val="222222"/>
          <w:sz w:val="24"/>
          <w:szCs w:val="24"/>
          <w:highlight w:val="white"/>
        </w:rPr>
        <w:t xml:space="preserve">Cleveland, and Cleveland, 2018, </w:t>
      </w:r>
      <w:r>
        <w:rPr>
          <w:rFonts w:ascii="Times New Roman" w:eastAsia="Times New Roman" w:hAnsi="Times New Roman" w:cs="Times New Roman"/>
          <w:sz w:val="24"/>
          <w:szCs w:val="24"/>
        </w:rPr>
        <w:t xml:space="preserve">). The other skill is member support skill. This skill is important for the managers of Fujitsu. The members of Fujitsu need to be supported. It will be helpful for Fujitsu. The member support skill is needed in the members of Fujitsu to support Fujitsu. Another skill for community engagement is analysing the situations. The members of Fujitsu should look to analyse the situation for Fujitsu it will help to engage more members.  The other skill is behaviour change and gamification. This skill is required for the members of the community to make the community engaged. The change in behaviour will help to handle the situations well and it will help to make the employees more engaged in Fujitsu. New member welcoming is also another skill which can be used in community engagement. These skills will help the company to grow as a company. The goals and tasks of the company will be acquired by the help of these skills. These skills are a must-have skill for the goals of the company. The company will be helpful if the members have these skills. </w:t>
      </w:r>
    </w:p>
    <w:p w14:paraId="26273EF2" w14:textId="77777777" w:rsidR="008C0B3E" w:rsidRDefault="00000000">
      <w:pPr>
        <w:pStyle w:val="Heading1"/>
        <w:spacing w:line="360" w:lineRule="auto"/>
        <w:jc w:val="both"/>
      </w:pPr>
      <w:bookmarkStart w:id="6" w:name="_heading=h.rvmeuvrkq6rd" w:colFirst="0" w:colLast="0"/>
      <w:bookmarkEnd w:id="6"/>
      <w:r>
        <w:t>How to acquire those skills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C0B3E" w14:paraId="39B8A2F1" w14:textId="77777777">
        <w:tc>
          <w:tcPr>
            <w:tcW w:w="3009" w:type="dxa"/>
            <w:shd w:val="clear" w:color="auto" w:fill="auto"/>
            <w:tcMar>
              <w:top w:w="100" w:type="dxa"/>
              <w:left w:w="100" w:type="dxa"/>
              <w:bottom w:w="100" w:type="dxa"/>
              <w:right w:w="100" w:type="dxa"/>
            </w:tcMar>
          </w:tcPr>
          <w:p w14:paraId="4AA690B9"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Skills </w:t>
            </w:r>
          </w:p>
        </w:tc>
        <w:tc>
          <w:tcPr>
            <w:tcW w:w="3009" w:type="dxa"/>
            <w:shd w:val="clear" w:color="auto" w:fill="auto"/>
            <w:tcMar>
              <w:top w:w="100" w:type="dxa"/>
              <w:left w:w="100" w:type="dxa"/>
              <w:bottom w:w="100" w:type="dxa"/>
              <w:right w:w="100" w:type="dxa"/>
            </w:tcMar>
          </w:tcPr>
          <w:p w14:paraId="730AD5A2"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to develop the skills</w:t>
            </w:r>
          </w:p>
        </w:tc>
        <w:tc>
          <w:tcPr>
            <w:tcW w:w="3009" w:type="dxa"/>
            <w:shd w:val="clear" w:color="auto" w:fill="auto"/>
            <w:tcMar>
              <w:top w:w="100" w:type="dxa"/>
              <w:left w:w="100" w:type="dxa"/>
              <w:bottom w:w="100" w:type="dxa"/>
              <w:right w:w="100" w:type="dxa"/>
            </w:tcMar>
          </w:tcPr>
          <w:p w14:paraId="01B28C2F"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frame</w:t>
            </w:r>
          </w:p>
        </w:tc>
      </w:tr>
      <w:tr w:rsidR="008C0B3E" w14:paraId="7B286C92" w14:textId="77777777">
        <w:tc>
          <w:tcPr>
            <w:tcW w:w="3009" w:type="dxa"/>
            <w:shd w:val="clear" w:color="auto" w:fill="auto"/>
            <w:tcMar>
              <w:top w:w="100" w:type="dxa"/>
              <w:left w:w="100" w:type="dxa"/>
              <w:bottom w:w="100" w:type="dxa"/>
              <w:right w:w="100" w:type="dxa"/>
            </w:tcMar>
          </w:tcPr>
          <w:p w14:paraId="7B4FD669"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Listening and analysing skills</w:t>
            </w:r>
          </w:p>
        </w:tc>
        <w:tc>
          <w:tcPr>
            <w:tcW w:w="3009" w:type="dxa"/>
            <w:shd w:val="clear" w:color="auto" w:fill="auto"/>
            <w:tcMar>
              <w:top w:w="100" w:type="dxa"/>
              <w:left w:w="100" w:type="dxa"/>
              <w:bottom w:w="100" w:type="dxa"/>
              <w:right w:w="100" w:type="dxa"/>
            </w:tcMar>
          </w:tcPr>
          <w:p w14:paraId="40E16957"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listening and analysing skills are important for the members of Fujitsu. The listening and analysing skills can be developed by proper practice and </w:t>
            </w:r>
            <w:proofErr w:type="gramStart"/>
            <w:r>
              <w:rPr>
                <w:rFonts w:ascii="Times New Roman" w:eastAsia="Times New Roman" w:hAnsi="Times New Roman" w:cs="Times New Roman"/>
                <w:sz w:val="24"/>
                <w:szCs w:val="24"/>
              </w:rPr>
              <w:t>dedication(</w:t>
            </w:r>
            <w:proofErr w:type="gramEnd"/>
            <w:r>
              <w:rPr>
                <w:rFonts w:ascii="Times New Roman" w:eastAsia="Times New Roman" w:hAnsi="Times New Roman" w:cs="Times New Roman"/>
                <w:color w:val="222222"/>
                <w:sz w:val="24"/>
                <w:szCs w:val="24"/>
                <w:highlight w:val="white"/>
              </w:rPr>
              <w:t>Cosmas,2018.</w:t>
            </w:r>
            <w:r>
              <w:rPr>
                <w:rFonts w:ascii="Times New Roman" w:eastAsia="Times New Roman" w:hAnsi="Times New Roman" w:cs="Times New Roman"/>
                <w:sz w:val="24"/>
                <w:szCs w:val="24"/>
              </w:rPr>
              <w:t xml:space="preserve">). This skill can be developed by continuously listening to the other members of Fujitsu. The analysing skills can also be developed by doing more analysis. This skill will take time to develop. </w:t>
            </w:r>
          </w:p>
        </w:tc>
        <w:tc>
          <w:tcPr>
            <w:tcW w:w="3009" w:type="dxa"/>
            <w:shd w:val="clear" w:color="auto" w:fill="auto"/>
            <w:tcMar>
              <w:top w:w="100" w:type="dxa"/>
              <w:left w:w="100" w:type="dxa"/>
              <w:bottom w:w="100" w:type="dxa"/>
              <w:right w:w="100" w:type="dxa"/>
            </w:tcMar>
          </w:tcPr>
          <w:p w14:paraId="2292F75D"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skill will take 2-3 months timing</w:t>
            </w:r>
          </w:p>
        </w:tc>
      </w:tr>
      <w:tr w:rsidR="008C0B3E" w14:paraId="7C5D51C3" w14:textId="77777777">
        <w:tc>
          <w:tcPr>
            <w:tcW w:w="3009" w:type="dxa"/>
            <w:shd w:val="clear" w:color="auto" w:fill="auto"/>
            <w:tcMar>
              <w:top w:w="100" w:type="dxa"/>
              <w:left w:w="100" w:type="dxa"/>
              <w:bottom w:w="100" w:type="dxa"/>
              <w:right w:w="100" w:type="dxa"/>
            </w:tcMar>
          </w:tcPr>
          <w:p w14:paraId="58DA094F"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Promoting productive behaviour</w:t>
            </w:r>
          </w:p>
        </w:tc>
        <w:tc>
          <w:tcPr>
            <w:tcW w:w="3009" w:type="dxa"/>
            <w:shd w:val="clear" w:color="auto" w:fill="auto"/>
            <w:tcMar>
              <w:top w:w="100" w:type="dxa"/>
              <w:left w:w="100" w:type="dxa"/>
              <w:bottom w:w="100" w:type="dxa"/>
              <w:right w:w="100" w:type="dxa"/>
            </w:tcMar>
          </w:tcPr>
          <w:p w14:paraId="3FA407AC"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Productive behaviour is an important thing for the companies to develop. Promoting this behaviour is needed for Fujitsu. The productivity promotion can be done by proper knowledge. The productivity of the members will be promoted by knowing their strengths. Productivity can be promoted by the proper use of technology.  </w:t>
            </w:r>
          </w:p>
        </w:tc>
        <w:tc>
          <w:tcPr>
            <w:tcW w:w="3009" w:type="dxa"/>
            <w:shd w:val="clear" w:color="auto" w:fill="auto"/>
            <w:tcMar>
              <w:top w:w="100" w:type="dxa"/>
              <w:left w:w="100" w:type="dxa"/>
              <w:bottom w:w="100" w:type="dxa"/>
              <w:right w:w="100" w:type="dxa"/>
            </w:tcMar>
          </w:tcPr>
          <w:p w14:paraId="12C72183"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skill will take 2months time. </w:t>
            </w:r>
          </w:p>
        </w:tc>
      </w:tr>
      <w:tr w:rsidR="008C0B3E" w14:paraId="59329BE1" w14:textId="77777777">
        <w:tc>
          <w:tcPr>
            <w:tcW w:w="3009" w:type="dxa"/>
            <w:shd w:val="clear" w:color="auto" w:fill="auto"/>
            <w:tcMar>
              <w:top w:w="100" w:type="dxa"/>
              <w:left w:w="100" w:type="dxa"/>
              <w:bottom w:w="100" w:type="dxa"/>
              <w:right w:w="100" w:type="dxa"/>
            </w:tcMar>
          </w:tcPr>
          <w:p w14:paraId="2316A85E"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Member support skill</w:t>
            </w:r>
          </w:p>
        </w:tc>
        <w:tc>
          <w:tcPr>
            <w:tcW w:w="3009" w:type="dxa"/>
            <w:shd w:val="clear" w:color="auto" w:fill="auto"/>
            <w:tcMar>
              <w:top w:w="100" w:type="dxa"/>
              <w:left w:w="100" w:type="dxa"/>
              <w:bottom w:w="100" w:type="dxa"/>
              <w:right w:w="100" w:type="dxa"/>
            </w:tcMar>
          </w:tcPr>
          <w:p w14:paraId="3745E1CF"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Member support skill is also required for community engagement. Member support skills can be achieved by proper analysis of the members. The members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supported according to their needs. The member support skill can be acquired by the proper knowledge of the topic. </w:t>
            </w:r>
          </w:p>
        </w:tc>
        <w:tc>
          <w:tcPr>
            <w:tcW w:w="3009" w:type="dxa"/>
            <w:shd w:val="clear" w:color="auto" w:fill="auto"/>
            <w:tcMar>
              <w:top w:w="100" w:type="dxa"/>
              <w:left w:w="100" w:type="dxa"/>
              <w:bottom w:w="100" w:type="dxa"/>
              <w:right w:w="100" w:type="dxa"/>
            </w:tcMar>
          </w:tcPr>
          <w:p w14:paraId="0EF49CDE"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take 1 </w:t>
            </w:r>
            <w:proofErr w:type="spellStart"/>
            <w:proofErr w:type="gramStart"/>
            <w:r>
              <w:rPr>
                <w:rFonts w:ascii="Times New Roman" w:eastAsia="Times New Roman" w:hAnsi="Times New Roman" w:cs="Times New Roman"/>
                <w:sz w:val="24"/>
                <w:szCs w:val="24"/>
              </w:rPr>
              <w:t>months</w:t>
            </w:r>
            <w:proofErr w:type="gramEnd"/>
            <w:r>
              <w:rPr>
                <w:rFonts w:ascii="Times New Roman" w:eastAsia="Times New Roman" w:hAnsi="Times New Roman" w:cs="Times New Roman"/>
                <w:sz w:val="24"/>
                <w:szCs w:val="24"/>
              </w:rPr>
              <w:t xml:space="preserve"> time</w:t>
            </w:r>
            <w:proofErr w:type="spellEnd"/>
            <w:r>
              <w:rPr>
                <w:rFonts w:ascii="Times New Roman" w:eastAsia="Times New Roman" w:hAnsi="Times New Roman" w:cs="Times New Roman"/>
                <w:sz w:val="24"/>
                <w:szCs w:val="24"/>
              </w:rPr>
              <w:t xml:space="preserve">. </w:t>
            </w:r>
          </w:p>
        </w:tc>
      </w:tr>
      <w:tr w:rsidR="008C0B3E" w14:paraId="0D98A263" w14:textId="77777777">
        <w:tc>
          <w:tcPr>
            <w:tcW w:w="3009" w:type="dxa"/>
            <w:shd w:val="clear" w:color="auto" w:fill="auto"/>
            <w:tcMar>
              <w:top w:w="100" w:type="dxa"/>
              <w:left w:w="100" w:type="dxa"/>
              <w:bottom w:w="100" w:type="dxa"/>
              <w:right w:w="100" w:type="dxa"/>
            </w:tcMar>
          </w:tcPr>
          <w:p w14:paraId="0592FF87" w14:textId="77777777" w:rsidR="008C0B3E" w:rsidRDefault="00000000">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situations</w:t>
            </w:r>
          </w:p>
        </w:tc>
        <w:tc>
          <w:tcPr>
            <w:tcW w:w="3009" w:type="dxa"/>
            <w:shd w:val="clear" w:color="auto" w:fill="auto"/>
            <w:tcMar>
              <w:top w:w="100" w:type="dxa"/>
              <w:left w:w="100" w:type="dxa"/>
              <w:bottom w:w="100" w:type="dxa"/>
              <w:right w:w="100" w:type="dxa"/>
            </w:tcMar>
          </w:tcPr>
          <w:p w14:paraId="73618A06"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situation analysis is one of the skills for community engagement. The situation analysis skill is a must-</w:t>
            </w:r>
            <w:proofErr w:type="gramStart"/>
            <w:r>
              <w:rPr>
                <w:rFonts w:ascii="Times New Roman" w:eastAsia="Times New Roman" w:hAnsi="Times New Roman" w:cs="Times New Roman"/>
                <w:sz w:val="24"/>
                <w:szCs w:val="24"/>
              </w:rPr>
              <w:t>have(</w:t>
            </w:r>
            <w:proofErr w:type="gramEnd"/>
            <w:r>
              <w:rPr>
                <w:rFonts w:ascii="Times New Roman" w:eastAsia="Times New Roman" w:hAnsi="Times New Roman" w:cs="Times New Roman"/>
                <w:color w:val="222222"/>
                <w:sz w:val="24"/>
                <w:szCs w:val="24"/>
                <w:highlight w:val="white"/>
              </w:rPr>
              <w:t xml:space="preserve">Jones,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situation analysis skill can be developed by getting proper knowledge about this matter. </w:t>
            </w:r>
          </w:p>
        </w:tc>
        <w:tc>
          <w:tcPr>
            <w:tcW w:w="3009" w:type="dxa"/>
            <w:shd w:val="clear" w:color="auto" w:fill="auto"/>
            <w:tcMar>
              <w:top w:w="100" w:type="dxa"/>
              <w:left w:w="100" w:type="dxa"/>
              <w:bottom w:w="100" w:type="dxa"/>
              <w:right w:w="100" w:type="dxa"/>
            </w:tcMar>
          </w:tcPr>
          <w:p w14:paraId="7FF8F9EB"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will take 2 months' time</w:t>
            </w:r>
          </w:p>
        </w:tc>
      </w:tr>
      <w:tr w:rsidR="008C0B3E" w14:paraId="49223DBB" w14:textId="77777777">
        <w:tc>
          <w:tcPr>
            <w:tcW w:w="3009" w:type="dxa"/>
            <w:shd w:val="clear" w:color="auto" w:fill="auto"/>
            <w:tcMar>
              <w:top w:w="100" w:type="dxa"/>
              <w:left w:w="100" w:type="dxa"/>
              <w:bottom w:w="100" w:type="dxa"/>
              <w:right w:w="100" w:type="dxa"/>
            </w:tcMar>
          </w:tcPr>
          <w:p w14:paraId="339A66BD"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member welcoming</w:t>
            </w:r>
          </w:p>
        </w:tc>
        <w:tc>
          <w:tcPr>
            <w:tcW w:w="3009" w:type="dxa"/>
            <w:shd w:val="clear" w:color="auto" w:fill="auto"/>
            <w:tcMar>
              <w:top w:w="100" w:type="dxa"/>
              <w:left w:w="100" w:type="dxa"/>
              <w:bottom w:w="100" w:type="dxa"/>
              <w:right w:w="100" w:type="dxa"/>
            </w:tcMar>
          </w:tcPr>
          <w:p w14:paraId="45643208"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member welcoming is a skill that is required for every person. The skill is important for community engagement. The new member welcoming skill can be achieved by gaining knowledge from other members. </w:t>
            </w:r>
          </w:p>
        </w:tc>
        <w:tc>
          <w:tcPr>
            <w:tcW w:w="3009" w:type="dxa"/>
            <w:shd w:val="clear" w:color="auto" w:fill="auto"/>
            <w:tcMar>
              <w:top w:w="100" w:type="dxa"/>
              <w:left w:w="100" w:type="dxa"/>
              <w:bottom w:w="100" w:type="dxa"/>
              <w:right w:w="100" w:type="dxa"/>
            </w:tcMar>
          </w:tcPr>
          <w:p w14:paraId="2FE040C9" w14:textId="77777777" w:rsidR="008C0B3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will take 2 </w:t>
            </w:r>
            <w:proofErr w:type="spellStart"/>
            <w:r>
              <w:rPr>
                <w:rFonts w:ascii="Times New Roman" w:eastAsia="Times New Roman" w:hAnsi="Times New Roman" w:cs="Times New Roman"/>
                <w:sz w:val="24"/>
                <w:szCs w:val="24"/>
              </w:rPr>
              <w:t>months time</w:t>
            </w:r>
            <w:proofErr w:type="spellEnd"/>
          </w:p>
        </w:tc>
      </w:tr>
    </w:tbl>
    <w:p w14:paraId="41A6F930" w14:textId="77777777" w:rsidR="008C0B3E" w:rsidRDefault="008C0B3E">
      <w:pPr>
        <w:spacing w:line="360" w:lineRule="auto"/>
        <w:jc w:val="both"/>
        <w:rPr>
          <w:rFonts w:ascii="Times New Roman" w:eastAsia="Times New Roman" w:hAnsi="Times New Roman" w:cs="Times New Roman"/>
          <w:sz w:val="24"/>
          <w:szCs w:val="24"/>
        </w:rPr>
      </w:pPr>
    </w:p>
    <w:p w14:paraId="3DB28080" w14:textId="77777777" w:rsidR="008C0B3E" w:rsidRDefault="00000000">
      <w:pPr>
        <w:pStyle w:val="Heading1"/>
        <w:spacing w:line="360" w:lineRule="auto"/>
        <w:jc w:val="both"/>
      </w:pPr>
      <w:bookmarkStart w:id="7" w:name="_heading=h.gvf7zxocrbf" w:colFirst="0" w:colLast="0"/>
      <w:bookmarkEnd w:id="7"/>
      <w:r>
        <w:t>Conclusion</w:t>
      </w:r>
    </w:p>
    <w:p w14:paraId="03F89515" w14:textId="77777777" w:rsidR="008C0B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is on Fujitsu called Fujitsu. The report suggests various things that are important for Fujitsu. This report analyses the actions of Fujitsu and how it is helping the people in the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and Ireland. Fujitsu holds many operations in the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and Ireland. This report explains how Fujitsu is using both its human and material power to improve the community. This report helps to identify the key themes that Fujitsu carries out to the community engagement activities. It also identifies the actions of Fujitsu. The report also explains the importance of community engagement, the required skills for community engagement.</w:t>
      </w:r>
    </w:p>
    <w:p w14:paraId="727BED4A" w14:textId="77777777" w:rsidR="008C0B3E" w:rsidRDefault="008C0B3E">
      <w:pPr>
        <w:spacing w:line="360" w:lineRule="auto"/>
        <w:jc w:val="both"/>
        <w:rPr>
          <w:rFonts w:ascii="Times New Roman" w:eastAsia="Times New Roman" w:hAnsi="Times New Roman" w:cs="Times New Roman"/>
          <w:sz w:val="24"/>
          <w:szCs w:val="24"/>
        </w:rPr>
      </w:pPr>
    </w:p>
    <w:p w14:paraId="174B2599" w14:textId="77777777" w:rsidR="008C0B3E" w:rsidRDefault="00000000">
      <w:pPr>
        <w:spacing w:line="360" w:lineRule="auto"/>
        <w:jc w:val="both"/>
        <w:rPr>
          <w:rFonts w:ascii="Times New Roman" w:eastAsia="Times New Roman" w:hAnsi="Times New Roman" w:cs="Times New Roman"/>
          <w:b/>
          <w:sz w:val="24"/>
          <w:szCs w:val="24"/>
        </w:rPr>
      </w:pPr>
      <w:r>
        <w:br w:type="page"/>
      </w:r>
    </w:p>
    <w:p w14:paraId="38EE1FD8" w14:textId="77777777" w:rsidR="008C0B3E" w:rsidRDefault="00000000">
      <w:pPr>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eference</w:t>
      </w:r>
      <w:proofErr w:type="spellEnd"/>
    </w:p>
    <w:p w14:paraId="22488354" w14:textId="77777777" w:rsidR="008C0B3E"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Weaver, L.A., Bingham, E., Luo, K., Juárez, A.P. and Taylor, J.L., 2021. What do we really mean by “inclusion?”: The importance of terminology when discussing approaches to community engagement. </w:t>
      </w:r>
      <w:r>
        <w:rPr>
          <w:rFonts w:ascii="Times New Roman" w:eastAsia="Times New Roman" w:hAnsi="Times New Roman" w:cs="Times New Roman"/>
          <w:i/>
          <w:color w:val="222222"/>
          <w:sz w:val="24"/>
          <w:szCs w:val="24"/>
          <w:highlight w:val="white"/>
        </w:rPr>
        <w:t>Autism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(8), pp.2149-2151.</w:t>
      </w:r>
    </w:p>
    <w:p w14:paraId="52E2E988" w14:textId="77777777" w:rsidR="008C0B3E"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Cosmas, J., 2018. Parents and community engagement in literacy skills learning. </w:t>
      </w:r>
      <w:r>
        <w:rPr>
          <w:rFonts w:ascii="Times New Roman" w:eastAsia="Times New Roman" w:hAnsi="Times New Roman" w:cs="Times New Roman"/>
          <w:i/>
          <w:color w:val="222222"/>
          <w:sz w:val="24"/>
          <w:szCs w:val="24"/>
          <w:highlight w:val="white"/>
        </w:rPr>
        <w:t>Papers in Education and Development</w:t>
      </w:r>
      <w:r>
        <w:rPr>
          <w:rFonts w:ascii="Times New Roman" w:eastAsia="Times New Roman" w:hAnsi="Times New Roman" w:cs="Times New Roman"/>
          <w:color w:val="222222"/>
          <w:sz w:val="24"/>
          <w:szCs w:val="24"/>
          <w:highlight w:val="white"/>
        </w:rPr>
        <w:t>, (35).</w:t>
      </w:r>
    </w:p>
    <w:p w14:paraId="6625F333" w14:textId="77777777" w:rsidR="008C0B3E"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Jones, D., Lyle, D., McAllister, L., Randall, S., Dyson, R., White, D., Smith, A., Hampton, D., Goldsworthy, M. and Rowe, A., 2020. The case for integrated health and community literacy to achieve transformational community engagement and improved health outcomes: an inclusive approach to addressing rural and remote health inequities and community healthcare expectations. </w:t>
      </w:r>
      <w:r>
        <w:rPr>
          <w:rFonts w:ascii="Times New Roman" w:eastAsia="Times New Roman" w:hAnsi="Times New Roman" w:cs="Times New Roman"/>
          <w:i/>
          <w:color w:val="222222"/>
          <w:sz w:val="24"/>
          <w:szCs w:val="24"/>
          <w:highlight w:val="white"/>
        </w:rPr>
        <w:t>Primary Health Care Research &amp;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w:t>
      </w:r>
    </w:p>
    <w:p w14:paraId="58EFE1D7" w14:textId="77777777" w:rsidR="008C0B3E"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Correia, R.D.S., 2022. </w:t>
      </w:r>
      <w:r>
        <w:rPr>
          <w:rFonts w:ascii="Times New Roman" w:eastAsia="Times New Roman" w:hAnsi="Times New Roman" w:cs="Times New Roman"/>
          <w:i/>
          <w:color w:val="222222"/>
          <w:sz w:val="24"/>
          <w:szCs w:val="24"/>
          <w:highlight w:val="white"/>
        </w:rPr>
        <w:t>Key drivers and challenges to perform marketing analytics on it markets: a Fujitsu case study</w:t>
      </w:r>
      <w:r>
        <w:rPr>
          <w:rFonts w:ascii="Times New Roman" w:eastAsia="Times New Roman" w:hAnsi="Times New Roman" w:cs="Times New Roman"/>
          <w:color w:val="222222"/>
          <w:sz w:val="24"/>
          <w:szCs w:val="24"/>
          <w:highlight w:val="white"/>
        </w:rPr>
        <w:t xml:space="preserve"> (Doctoral dissertation).</w:t>
      </w:r>
    </w:p>
    <w:p w14:paraId="05B7C7AE" w14:textId="77777777" w:rsidR="008C0B3E"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Calvo, Á., 2021. Japanese ICT multinationals in Southern Europe by the end of the twentieth century: Fujitsu in Spain. </w:t>
      </w:r>
      <w:r>
        <w:rPr>
          <w:rFonts w:ascii="Times New Roman" w:eastAsia="Times New Roman" w:hAnsi="Times New Roman" w:cs="Times New Roman"/>
          <w:i/>
          <w:color w:val="222222"/>
          <w:sz w:val="24"/>
          <w:szCs w:val="24"/>
          <w:highlight w:val="white"/>
        </w:rPr>
        <w:t>Journal of the Knowledge Economy</w:t>
      </w:r>
      <w:r>
        <w:rPr>
          <w:rFonts w:ascii="Times New Roman" w:eastAsia="Times New Roman" w:hAnsi="Times New Roman" w:cs="Times New Roman"/>
          <w:color w:val="222222"/>
          <w:sz w:val="24"/>
          <w:szCs w:val="24"/>
          <w:highlight w:val="white"/>
        </w:rPr>
        <w:t>, pp.1-33.</w:t>
      </w:r>
    </w:p>
    <w:p w14:paraId="76741821" w14:textId="77777777" w:rsidR="008C0B3E"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Wynn, M. and Jones, P., 2022. Industry approaches to the Sustainable Development Goals. </w:t>
      </w:r>
      <w:r>
        <w:rPr>
          <w:rFonts w:ascii="Times New Roman" w:eastAsia="Times New Roman" w:hAnsi="Times New Roman" w:cs="Times New Roman"/>
          <w:i/>
          <w:color w:val="222222"/>
          <w:sz w:val="24"/>
          <w:szCs w:val="24"/>
          <w:highlight w:val="white"/>
        </w:rPr>
        <w:t>International Journal of Environmental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79</w:t>
      </w:r>
      <w:r>
        <w:rPr>
          <w:rFonts w:ascii="Times New Roman" w:eastAsia="Times New Roman" w:hAnsi="Times New Roman" w:cs="Times New Roman"/>
          <w:color w:val="222222"/>
          <w:sz w:val="24"/>
          <w:szCs w:val="24"/>
          <w:highlight w:val="white"/>
        </w:rPr>
        <w:t>(1), pp.134-148.</w:t>
      </w:r>
    </w:p>
    <w:p w14:paraId="5ECE937C" w14:textId="77777777" w:rsidR="008C0B3E"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Sakai, S. and Hidaka, K., 2018. Aiming for digital business innovation by expanding services for co-creation. </w:t>
      </w:r>
      <w:r>
        <w:rPr>
          <w:rFonts w:ascii="Times New Roman" w:eastAsia="Times New Roman" w:hAnsi="Times New Roman" w:cs="Times New Roman"/>
          <w:i/>
          <w:color w:val="222222"/>
          <w:sz w:val="24"/>
          <w:szCs w:val="24"/>
          <w:highlight w:val="white"/>
        </w:rPr>
        <w:t>Fujitsu Sci. Tech. J</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54</w:t>
      </w:r>
      <w:r>
        <w:rPr>
          <w:rFonts w:ascii="Times New Roman" w:eastAsia="Times New Roman" w:hAnsi="Times New Roman" w:cs="Times New Roman"/>
          <w:color w:val="222222"/>
          <w:sz w:val="24"/>
          <w:szCs w:val="24"/>
          <w:highlight w:val="white"/>
        </w:rPr>
        <w:t>(2), pp.28-33.</w:t>
      </w:r>
    </w:p>
    <w:p w14:paraId="35FCF2A9" w14:textId="77777777" w:rsidR="008C0B3E"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Barrett, B.F., </w:t>
      </w:r>
      <w:proofErr w:type="spellStart"/>
      <w:r>
        <w:rPr>
          <w:rFonts w:ascii="Times New Roman" w:eastAsia="Times New Roman" w:hAnsi="Times New Roman" w:cs="Times New Roman"/>
          <w:color w:val="222222"/>
          <w:sz w:val="24"/>
          <w:szCs w:val="24"/>
          <w:highlight w:val="white"/>
        </w:rPr>
        <w:t>DeWit</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Yarime</w:t>
      </w:r>
      <w:proofErr w:type="spellEnd"/>
      <w:r>
        <w:rPr>
          <w:rFonts w:ascii="Times New Roman" w:eastAsia="Times New Roman" w:hAnsi="Times New Roman" w:cs="Times New Roman"/>
          <w:color w:val="222222"/>
          <w:sz w:val="24"/>
          <w:szCs w:val="24"/>
          <w:highlight w:val="white"/>
        </w:rPr>
        <w:t xml:space="preserve">, M., 2021. Japanese smart cities and communities: Integrating technological and institutional innovation for Society 5.0. In </w:t>
      </w:r>
      <w:r>
        <w:rPr>
          <w:rFonts w:ascii="Times New Roman" w:eastAsia="Times New Roman" w:hAnsi="Times New Roman" w:cs="Times New Roman"/>
          <w:i/>
          <w:color w:val="222222"/>
          <w:sz w:val="24"/>
          <w:szCs w:val="24"/>
          <w:highlight w:val="white"/>
        </w:rPr>
        <w:t>Smart Cities for Technological and Social Innovation</w:t>
      </w:r>
      <w:r>
        <w:rPr>
          <w:rFonts w:ascii="Times New Roman" w:eastAsia="Times New Roman" w:hAnsi="Times New Roman" w:cs="Times New Roman"/>
          <w:color w:val="222222"/>
          <w:sz w:val="24"/>
          <w:szCs w:val="24"/>
          <w:highlight w:val="white"/>
        </w:rPr>
        <w:t xml:space="preserve"> (pp. 73-94). Academic Press.</w:t>
      </w:r>
    </w:p>
    <w:p w14:paraId="43F6057A" w14:textId="77777777" w:rsidR="008C0B3E"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Fujitsu. (2022). Sustainability Transformation Report 2022. Available at.</w:t>
      </w:r>
      <w:hyperlink r:id="rId7">
        <w:r>
          <w:rPr>
            <w:rFonts w:ascii="Times New Roman" w:eastAsia="Times New Roman" w:hAnsi="Times New Roman" w:cs="Times New Roman"/>
            <w:color w:val="222222"/>
            <w:sz w:val="24"/>
            <w:szCs w:val="24"/>
            <w:highlight w:val="white"/>
          </w:rPr>
          <w:t xml:space="preserve"> </w:t>
        </w:r>
      </w:hyperlink>
      <w:hyperlink r:id="rId8">
        <w:r>
          <w:rPr>
            <w:rFonts w:ascii="Times New Roman" w:eastAsia="Times New Roman" w:hAnsi="Times New Roman" w:cs="Times New Roman"/>
            <w:color w:val="1155CC"/>
            <w:sz w:val="24"/>
            <w:szCs w:val="24"/>
            <w:highlight w:val="white"/>
            <w:u w:val="single"/>
          </w:rPr>
          <w:t>https://www.fujitsu.com/global/</w:t>
        </w:r>
      </w:hyperlink>
      <w:r>
        <w:rPr>
          <w:rFonts w:ascii="Times New Roman" w:eastAsia="Times New Roman" w:hAnsi="Times New Roman" w:cs="Times New Roman"/>
          <w:color w:val="222222"/>
          <w:sz w:val="24"/>
          <w:szCs w:val="24"/>
          <w:highlight w:val="white"/>
        </w:rPr>
        <w:t xml:space="preserve"> (accessed on 28th </w:t>
      </w:r>
      <w:proofErr w:type="gramStart"/>
      <w:r>
        <w:rPr>
          <w:rFonts w:ascii="Times New Roman" w:eastAsia="Times New Roman" w:hAnsi="Times New Roman" w:cs="Times New Roman"/>
          <w:color w:val="222222"/>
          <w:sz w:val="24"/>
          <w:szCs w:val="24"/>
          <w:highlight w:val="white"/>
        </w:rPr>
        <w:t>June,</w:t>
      </w:r>
      <w:proofErr w:type="gramEnd"/>
      <w:r>
        <w:rPr>
          <w:rFonts w:ascii="Times New Roman" w:eastAsia="Times New Roman" w:hAnsi="Times New Roman" w:cs="Times New Roman"/>
          <w:color w:val="222222"/>
          <w:sz w:val="24"/>
          <w:szCs w:val="24"/>
          <w:highlight w:val="white"/>
        </w:rPr>
        <w:t xml:space="preserve"> 2022)</w:t>
      </w:r>
    </w:p>
    <w:p w14:paraId="503CE91E" w14:textId="77777777" w:rsidR="008C0B3E"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Cleveland, M. and Cleveland, S., 2018, March. Toward understanding the impact of entrepreneurial leadership skills on community engagement. In </w:t>
      </w:r>
      <w:r>
        <w:rPr>
          <w:rFonts w:ascii="Times New Roman" w:eastAsia="Times New Roman" w:hAnsi="Times New Roman" w:cs="Times New Roman"/>
          <w:i/>
          <w:color w:val="222222"/>
          <w:sz w:val="24"/>
          <w:szCs w:val="24"/>
          <w:highlight w:val="white"/>
        </w:rPr>
        <w:t>Proceedings of the 6th International Conference on Innovation and Entrepreneurship</w:t>
      </w:r>
      <w:r>
        <w:rPr>
          <w:rFonts w:ascii="Times New Roman" w:eastAsia="Times New Roman" w:hAnsi="Times New Roman" w:cs="Times New Roman"/>
          <w:color w:val="222222"/>
          <w:sz w:val="24"/>
          <w:szCs w:val="24"/>
          <w:highlight w:val="white"/>
        </w:rPr>
        <w:t xml:space="preserve"> (pp. 15-22).</w:t>
      </w:r>
    </w:p>
    <w:p w14:paraId="4BC80EE5" w14:textId="77777777" w:rsidR="008C0B3E" w:rsidRDefault="008C0B3E">
      <w:pPr>
        <w:spacing w:line="360" w:lineRule="auto"/>
        <w:jc w:val="both"/>
        <w:rPr>
          <w:rFonts w:ascii="Times New Roman" w:eastAsia="Times New Roman" w:hAnsi="Times New Roman" w:cs="Times New Roman"/>
          <w:color w:val="222222"/>
          <w:sz w:val="24"/>
          <w:szCs w:val="24"/>
          <w:highlight w:val="white"/>
        </w:rPr>
      </w:pPr>
    </w:p>
    <w:sectPr w:rsidR="008C0B3E">
      <w:head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7DE79" w14:textId="77777777" w:rsidR="006B5F8A" w:rsidRDefault="006B5F8A" w:rsidP="004B4266">
      <w:pPr>
        <w:spacing w:line="240" w:lineRule="auto"/>
      </w:pPr>
      <w:r>
        <w:separator/>
      </w:r>
    </w:p>
  </w:endnote>
  <w:endnote w:type="continuationSeparator" w:id="0">
    <w:p w14:paraId="1BBE7A22" w14:textId="77777777" w:rsidR="006B5F8A" w:rsidRDefault="006B5F8A" w:rsidP="004B42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898A8" w14:textId="77777777" w:rsidR="006B5F8A" w:rsidRDefault="006B5F8A" w:rsidP="004B4266">
      <w:pPr>
        <w:spacing w:line="240" w:lineRule="auto"/>
      </w:pPr>
      <w:r>
        <w:separator/>
      </w:r>
    </w:p>
  </w:footnote>
  <w:footnote w:type="continuationSeparator" w:id="0">
    <w:p w14:paraId="6342F561" w14:textId="77777777" w:rsidR="006B5F8A" w:rsidRDefault="006B5F8A" w:rsidP="004B42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2B111" w14:textId="097748B9" w:rsidR="004B4266" w:rsidRDefault="004B4266">
    <w:pPr>
      <w:pStyle w:val="Header"/>
    </w:pPr>
    <w:r>
      <w:t xml:space="preserve">Student ID: </w:t>
    </w:r>
    <w:r w:rsidRPr="004B4266">
      <w:t>2029319</w:t>
    </w:r>
  </w:p>
  <w:p w14:paraId="47A63669" w14:textId="77777777" w:rsidR="004B4266" w:rsidRDefault="004B42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0B3E"/>
    <w:rsid w:val="00364072"/>
    <w:rsid w:val="003C592D"/>
    <w:rsid w:val="004B4266"/>
    <w:rsid w:val="006B5F8A"/>
    <w:rsid w:val="008C0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2F083B"/>
  <w15:docId w15:val="{C05AE448-52C2-3147-9113-3E1515C97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B4266"/>
    <w:pPr>
      <w:tabs>
        <w:tab w:val="center" w:pos="4513"/>
        <w:tab w:val="right" w:pos="9026"/>
      </w:tabs>
      <w:spacing w:line="240" w:lineRule="auto"/>
    </w:pPr>
  </w:style>
  <w:style w:type="character" w:customStyle="1" w:styleId="HeaderChar">
    <w:name w:val="Header Char"/>
    <w:basedOn w:val="DefaultParagraphFont"/>
    <w:link w:val="Header"/>
    <w:uiPriority w:val="99"/>
    <w:rsid w:val="004B4266"/>
  </w:style>
  <w:style w:type="paragraph" w:styleId="Footer">
    <w:name w:val="footer"/>
    <w:basedOn w:val="Normal"/>
    <w:link w:val="FooterChar"/>
    <w:uiPriority w:val="99"/>
    <w:unhideWhenUsed/>
    <w:rsid w:val="004B4266"/>
    <w:pPr>
      <w:tabs>
        <w:tab w:val="center" w:pos="4513"/>
        <w:tab w:val="right" w:pos="9026"/>
      </w:tabs>
      <w:spacing w:line="240" w:lineRule="auto"/>
    </w:pPr>
  </w:style>
  <w:style w:type="character" w:customStyle="1" w:styleId="FooterChar">
    <w:name w:val="Footer Char"/>
    <w:basedOn w:val="DefaultParagraphFont"/>
    <w:link w:val="Footer"/>
    <w:uiPriority w:val="99"/>
    <w:rsid w:val="004B42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ujitsu.com/global/" TargetMode="External"/><Relationship Id="rId3" Type="http://schemas.openxmlformats.org/officeDocument/2006/relationships/settings" Target="settings.xml"/><Relationship Id="rId7" Type="http://schemas.openxmlformats.org/officeDocument/2006/relationships/hyperlink" Target="https://www.fujitsu.com/globa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YD50dH3rUkJkjT85Hb90Lupal+g==">AMUW2mVENPXVvRzvOtvsn7Uo6IyMAySdQJszK+vu3WQgd1V6WA+3FWtpAxfMDaTmcaUxGfobBrd5ZN8mTIZAKgBWqhGezz1+Lgn2kNHd6gZ2t4qLqiP4nUElTNhSvPHep4yOty1w7g/+GAlseYlhtQ96SW8tW1IXlgIPBxqFl/siOJGT1hfeWyHdrfnwZMb0ccLegB8SBM0aXD6b14XfY8870BVPg3Z2iw3xgGyDNrkiYLNo4UCqjQ88jVxU/h88wkALXqK24olMRi/SmaSiozzenZOuvpdZ1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2409</Words>
  <Characters>13736</Characters>
  <Application>Microsoft Office Word</Application>
  <DocSecurity>0</DocSecurity>
  <Lines>114</Lines>
  <Paragraphs>32</Paragraphs>
  <ScaleCrop>false</ScaleCrop>
  <Company/>
  <LinksUpToDate>false</LinksUpToDate>
  <CharactersWithSpaces>16113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Nuszer, Melinda (Student)</cp:lastModifiedBy>
  <cp:revision>3</cp:revision>
  <dcterms:created xsi:type="dcterms:W3CDTF">2022-07-02T14:40:00Z</dcterms:created>
  <dcterms:modified xsi:type="dcterms:W3CDTF">2022-07-02T14:40:00Z</dcterms:modified>
</cp:coreProperties>
</file>