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777D2F" w14:textId="6860778D" w:rsidR="00B03C2F" w:rsidRDefault="00B03C2F" w:rsidP="00B03C2F">
      <w:pPr>
        <w:jc w:val="center"/>
        <w:rPr>
          <w:rFonts w:ascii="Arial" w:hAnsi="Arial" w:cs="Arial"/>
        </w:rPr>
      </w:pPr>
      <w:r>
        <w:rPr>
          <w:rFonts w:ascii="Arial" w:hAnsi="Arial" w:cs="Arial"/>
          <w:noProof/>
          <w:lang w:val="en-US"/>
        </w:rPr>
        <w:drawing>
          <wp:inline distT="0" distB="0" distL="0" distR="0" wp14:anchorId="50467807" wp14:editId="37162A45">
            <wp:extent cx="2095500" cy="1165860"/>
            <wp:effectExtent l="0" t="0" r="0" b="0"/>
            <wp:docPr id="1" name="Picture 1" descr="University of Wales Trinity Saint David Logo Vector - (.SV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go Vector - (.SVG ..."/>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095500" cy="1165860"/>
                    </a:xfrm>
                    <a:prstGeom prst="rect">
                      <a:avLst/>
                    </a:prstGeom>
                    <a:noFill/>
                    <a:ln>
                      <a:noFill/>
                    </a:ln>
                  </pic:spPr>
                </pic:pic>
              </a:graphicData>
            </a:graphic>
          </wp:inline>
        </w:drawing>
      </w:r>
    </w:p>
    <w:tbl>
      <w:tblPr>
        <w:tblStyle w:val="TableGrid"/>
        <w:tblW w:w="0" w:type="auto"/>
        <w:tblInd w:w="0" w:type="dxa"/>
        <w:tblLook w:val="04A0" w:firstRow="1" w:lastRow="0" w:firstColumn="1" w:lastColumn="0" w:noHBand="0" w:noVBand="1"/>
      </w:tblPr>
      <w:tblGrid>
        <w:gridCol w:w="2645"/>
        <w:gridCol w:w="2412"/>
        <w:gridCol w:w="2006"/>
        <w:gridCol w:w="1953"/>
      </w:tblGrid>
      <w:tr w:rsidR="00B03C2F" w14:paraId="0103BF3B" w14:textId="77777777" w:rsidTr="00B03C2F">
        <w:tc>
          <w:tcPr>
            <w:tcW w:w="2752" w:type="dxa"/>
            <w:tcBorders>
              <w:top w:val="single" w:sz="4" w:space="0" w:color="auto"/>
              <w:left w:val="single" w:sz="4" w:space="0" w:color="auto"/>
              <w:bottom w:val="single" w:sz="4" w:space="0" w:color="auto"/>
              <w:right w:val="single" w:sz="4" w:space="0" w:color="auto"/>
            </w:tcBorders>
            <w:hideMark/>
          </w:tcPr>
          <w:p w14:paraId="150A4958" w14:textId="77777777" w:rsidR="00B03C2F" w:rsidRDefault="00B03C2F">
            <w:pPr>
              <w:rPr>
                <w:rFonts w:ascii="Arial" w:hAnsi="Arial" w:cs="Arial"/>
              </w:rPr>
            </w:pPr>
            <w:r>
              <w:rPr>
                <w:rFonts w:ascii="Arial" w:hAnsi="Arial" w:cs="Arial"/>
              </w:rPr>
              <w:t xml:space="preserve">Module Code and Title: </w:t>
            </w:r>
          </w:p>
        </w:tc>
        <w:tc>
          <w:tcPr>
            <w:tcW w:w="2498" w:type="dxa"/>
            <w:tcBorders>
              <w:top w:val="single" w:sz="4" w:space="0" w:color="auto"/>
              <w:left w:val="single" w:sz="4" w:space="0" w:color="auto"/>
              <w:bottom w:val="single" w:sz="4" w:space="0" w:color="auto"/>
              <w:right w:val="single" w:sz="4" w:space="0" w:color="auto"/>
            </w:tcBorders>
            <w:hideMark/>
          </w:tcPr>
          <w:p w14:paraId="46AC8392" w14:textId="77777777" w:rsidR="00B03C2F" w:rsidRDefault="00B03C2F">
            <w:pPr>
              <w:rPr>
                <w:rFonts w:ascii="Arial" w:hAnsi="Arial" w:cs="Arial"/>
              </w:rPr>
            </w:pPr>
            <w:r>
              <w:rPr>
                <w:rFonts w:ascii="Arial" w:hAnsi="Arial" w:cs="Arial"/>
              </w:rPr>
              <w:t>BMIH4002 Food &amp; Beverage Operations</w:t>
            </w:r>
          </w:p>
        </w:tc>
        <w:tc>
          <w:tcPr>
            <w:tcW w:w="2050" w:type="dxa"/>
            <w:tcBorders>
              <w:top w:val="single" w:sz="4" w:space="0" w:color="auto"/>
              <w:left w:val="single" w:sz="4" w:space="0" w:color="auto"/>
              <w:bottom w:val="single" w:sz="4" w:space="0" w:color="auto"/>
              <w:right w:val="single" w:sz="4" w:space="0" w:color="auto"/>
            </w:tcBorders>
            <w:hideMark/>
          </w:tcPr>
          <w:p w14:paraId="63404045" w14:textId="77777777" w:rsidR="00B03C2F" w:rsidRDefault="00B03C2F">
            <w:pPr>
              <w:rPr>
                <w:rFonts w:ascii="Arial" w:hAnsi="Arial" w:cs="Arial"/>
              </w:rPr>
            </w:pPr>
            <w:r>
              <w:rPr>
                <w:rFonts w:ascii="Arial" w:hAnsi="Arial" w:cs="Arial"/>
              </w:rPr>
              <w:t>Lecturer Name</w:t>
            </w:r>
          </w:p>
        </w:tc>
        <w:tc>
          <w:tcPr>
            <w:tcW w:w="2050" w:type="dxa"/>
            <w:tcBorders>
              <w:top w:val="single" w:sz="4" w:space="0" w:color="auto"/>
              <w:left w:val="single" w:sz="4" w:space="0" w:color="auto"/>
              <w:bottom w:val="single" w:sz="4" w:space="0" w:color="auto"/>
              <w:right w:val="single" w:sz="4" w:space="0" w:color="auto"/>
            </w:tcBorders>
            <w:hideMark/>
          </w:tcPr>
          <w:p w14:paraId="32EE74CE" w14:textId="77777777" w:rsidR="00B03C2F" w:rsidRDefault="00B03C2F">
            <w:pPr>
              <w:rPr>
                <w:rFonts w:ascii="Arial" w:hAnsi="Arial" w:cs="Arial"/>
              </w:rPr>
            </w:pPr>
            <w:proofErr w:type="spellStart"/>
            <w:r>
              <w:rPr>
                <w:rFonts w:ascii="Arial" w:hAnsi="Arial" w:cs="Arial"/>
              </w:rPr>
              <w:t>Jaliya</w:t>
            </w:r>
            <w:proofErr w:type="spellEnd"/>
            <w:r>
              <w:rPr>
                <w:rFonts w:ascii="Arial" w:hAnsi="Arial" w:cs="Arial"/>
              </w:rPr>
              <w:t xml:space="preserve"> De-</w:t>
            </w:r>
            <w:proofErr w:type="spellStart"/>
            <w:r>
              <w:rPr>
                <w:rFonts w:ascii="Arial" w:hAnsi="Arial" w:cs="Arial"/>
              </w:rPr>
              <w:t>silva</w:t>
            </w:r>
            <w:proofErr w:type="spellEnd"/>
          </w:p>
        </w:tc>
      </w:tr>
      <w:tr w:rsidR="00B03C2F" w14:paraId="08D18517" w14:textId="77777777" w:rsidTr="00B03C2F">
        <w:tc>
          <w:tcPr>
            <w:tcW w:w="2752" w:type="dxa"/>
            <w:tcBorders>
              <w:top w:val="single" w:sz="4" w:space="0" w:color="auto"/>
              <w:left w:val="single" w:sz="4" w:space="0" w:color="auto"/>
              <w:bottom w:val="single" w:sz="4" w:space="0" w:color="auto"/>
              <w:right w:val="single" w:sz="4" w:space="0" w:color="auto"/>
            </w:tcBorders>
            <w:hideMark/>
          </w:tcPr>
          <w:p w14:paraId="07CBFD59" w14:textId="77777777" w:rsidR="00B03C2F" w:rsidRDefault="00B03C2F">
            <w:pPr>
              <w:rPr>
                <w:rFonts w:ascii="Arial" w:hAnsi="Arial" w:cs="Arial"/>
              </w:rPr>
            </w:pPr>
            <w:r>
              <w:rPr>
                <w:rFonts w:ascii="Arial" w:hAnsi="Arial" w:cs="Arial"/>
              </w:rPr>
              <w:t xml:space="preserve">Assignment Title: </w:t>
            </w:r>
          </w:p>
        </w:tc>
        <w:tc>
          <w:tcPr>
            <w:tcW w:w="2498" w:type="dxa"/>
            <w:tcBorders>
              <w:top w:val="single" w:sz="4" w:space="0" w:color="auto"/>
              <w:left w:val="single" w:sz="4" w:space="0" w:color="auto"/>
              <w:bottom w:val="single" w:sz="4" w:space="0" w:color="auto"/>
              <w:right w:val="single" w:sz="4" w:space="0" w:color="auto"/>
            </w:tcBorders>
            <w:hideMark/>
          </w:tcPr>
          <w:p w14:paraId="37C2FAAD" w14:textId="77777777" w:rsidR="00B03C2F" w:rsidRDefault="00B03C2F">
            <w:pPr>
              <w:rPr>
                <w:rFonts w:ascii="Arial" w:hAnsi="Arial" w:cs="Arial"/>
              </w:rPr>
            </w:pPr>
            <w:r>
              <w:rPr>
                <w:rFonts w:ascii="Arial" w:hAnsi="Arial" w:cs="Arial"/>
              </w:rPr>
              <w:t>Assignment 1 Student Journal (750 Word Learning Log)</w:t>
            </w:r>
          </w:p>
        </w:tc>
        <w:tc>
          <w:tcPr>
            <w:tcW w:w="2050" w:type="dxa"/>
            <w:tcBorders>
              <w:top w:val="single" w:sz="4" w:space="0" w:color="auto"/>
              <w:left w:val="single" w:sz="4" w:space="0" w:color="auto"/>
              <w:bottom w:val="single" w:sz="4" w:space="0" w:color="auto"/>
              <w:right w:val="single" w:sz="4" w:space="0" w:color="auto"/>
            </w:tcBorders>
            <w:hideMark/>
          </w:tcPr>
          <w:p w14:paraId="4E179ECB" w14:textId="77777777" w:rsidR="00B03C2F" w:rsidRDefault="00B03C2F">
            <w:pPr>
              <w:rPr>
                <w:rFonts w:ascii="Arial" w:hAnsi="Arial" w:cs="Arial"/>
              </w:rPr>
            </w:pPr>
            <w:r>
              <w:rPr>
                <w:rFonts w:ascii="Arial" w:hAnsi="Arial" w:cs="Arial"/>
              </w:rPr>
              <w:t>Assessment Weighing</w:t>
            </w:r>
          </w:p>
        </w:tc>
        <w:tc>
          <w:tcPr>
            <w:tcW w:w="2050" w:type="dxa"/>
            <w:tcBorders>
              <w:top w:val="single" w:sz="4" w:space="0" w:color="auto"/>
              <w:left w:val="single" w:sz="4" w:space="0" w:color="auto"/>
              <w:bottom w:val="single" w:sz="4" w:space="0" w:color="auto"/>
              <w:right w:val="single" w:sz="4" w:space="0" w:color="auto"/>
            </w:tcBorders>
            <w:hideMark/>
          </w:tcPr>
          <w:p w14:paraId="7B33AF1A" w14:textId="77777777" w:rsidR="00B03C2F" w:rsidRDefault="00B03C2F">
            <w:pPr>
              <w:rPr>
                <w:rFonts w:ascii="Arial" w:hAnsi="Arial" w:cs="Arial"/>
              </w:rPr>
            </w:pPr>
            <w:r>
              <w:rPr>
                <w:rFonts w:ascii="Arial" w:hAnsi="Arial" w:cs="Arial"/>
              </w:rPr>
              <w:t>25%</w:t>
            </w:r>
          </w:p>
        </w:tc>
      </w:tr>
      <w:tr w:rsidR="00B03C2F" w14:paraId="7BA6C8AB" w14:textId="77777777" w:rsidTr="00B03C2F">
        <w:tc>
          <w:tcPr>
            <w:tcW w:w="2752" w:type="dxa"/>
            <w:tcBorders>
              <w:top w:val="single" w:sz="4" w:space="0" w:color="auto"/>
              <w:left w:val="single" w:sz="4" w:space="0" w:color="auto"/>
              <w:bottom w:val="single" w:sz="4" w:space="0" w:color="auto"/>
              <w:right w:val="single" w:sz="4" w:space="0" w:color="auto"/>
            </w:tcBorders>
            <w:hideMark/>
          </w:tcPr>
          <w:p w14:paraId="68EB7495" w14:textId="77777777" w:rsidR="00B03C2F" w:rsidRDefault="00B03C2F">
            <w:pPr>
              <w:rPr>
                <w:rFonts w:ascii="Arial" w:hAnsi="Arial" w:cs="Arial"/>
              </w:rPr>
            </w:pPr>
            <w:r>
              <w:rPr>
                <w:rFonts w:ascii="Arial" w:hAnsi="Arial" w:cs="Arial"/>
              </w:rPr>
              <w:t>Submission Time and Date</w:t>
            </w:r>
          </w:p>
        </w:tc>
        <w:tc>
          <w:tcPr>
            <w:tcW w:w="2498" w:type="dxa"/>
            <w:tcBorders>
              <w:top w:val="single" w:sz="4" w:space="0" w:color="auto"/>
              <w:left w:val="single" w:sz="4" w:space="0" w:color="auto"/>
              <w:bottom w:val="single" w:sz="4" w:space="0" w:color="auto"/>
              <w:right w:val="single" w:sz="4" w:space="0" w:color="auto"/>
            </w:tcBorders>
          </w:tcPr>
          <w:p w14:paraId="2BE45EEF" w14:textId="77777777" w:rsidR="00B03C2F" w:rsidRDefault="00B03C2F">
            <w:pPr>
              <w:rPr>
                <w:rFonts w:ascii="Arial" w:hAnsi="Arial" w:cs="Arial"/>
              </w:rPr>
            </w:pPr>
          </w:p>
        </w:tc>
        <w:tc>
          <w:tcPr>
            <w:tcW w:w="2050" w:type="dxa"/>
            <w:tcBorders>
              <w:top w:val="single" w:sz="4" w:space="0" w:color="auto"/>
              <w:left w:val="single" w:sz="4" w:space="0" w:color="auto"/>
              <w:bottom w:val="single" w:sz="4" w:space="0" w:color="auto"/>
              <w:right w:val="single" w:sz="4" w:space="0" w:color="auto"/>
            </w:tcBorders>
            <w:hideMark/>
          </w:tcPr>
          <w:p w14:paraId="731AB264" w14:textId="77777777" w:rsidR="00B03C2F" w:rsidRDefault="00B03C2F">
            <w:pPr>
              <w:rPr>
                <w:rFonts w:ascii="Arial" w:hAnsi="Arial" w:cs="Arial"/>
              </w:rPr>
            </w:pPr>
            <w:r>
              <w:rPr>
                <w:rFonts w:ascii="Arial" w:hAnsi="Arial" w:cs="Arial"/>
              </w:rPr>
              <w:t>Target Feedback Time and Date</w:t>
            </w:r>
          </w:p>
        </w:tc>
        <w:tc>
          <w:tcPr>
            <w:tcW w:w="2050" w:type="dxa"/>
            <w:tcBorders>
              <w:top w:val="single" w:sz="4" w:space="0" w:color="auto"/>
              <w:left w:val="single" w:sz="4" w:space="0" w:color="auto"/>
              <w:bottom w:val="single" w:sz="4" w:space="0" w:color="auto"/>
              <w:right w:val="single" w:sz="4" w:space="0" w:color="auto"/>
            </w:tcBorders>
            <w:hideMark/>
          </w:tcPr>
          <w:p w14:paraId="623A8FAD" w14:textId="77777777" w:rsidR="00B03C2F" w:rsidRDefault="00B03C2F">
            <w:pPr>
              <w:rPr>
                <w:rFonts w:ascii="Arial" w:hAnsi="Arial" w:cs="Arial"/>
              </w:rPr>
            </w:pPr>
            <w:r>
              <w:rPr>
                <w:rFonts w:ascii="Arial" w:hAnsi="Arial" w:cs="Arial"/>
              </w:rPr>
              <w:t>Friday 16th of June 23.59 2023</w:t>
            </w:r>
          </w:p>
        </w:tc>
      </w:tr>
      <w:tr w:rsidR="00B03C2F" w14:paraId="433002A3" w14:textId="77777777" w:rsidTr="00B03C2F">
        <w:tc>
          <w:tcPr>
            <w:tcW w:w="2752" w:type="dxa"/>
            <w:tcBorders>
              <w:top w:val="single" w:sz="4" w:space="0" w:color="auto"/>
              <w:left w:val="single" w:sz="4" w:space="0" w:color="auto"/>
              <w:bottom w:val="single" w:sz="4" w:space="0" w:color="auto"/>
              <w:right w:val="single" w:sz="4" w:space="0" w:color="auto"/>
            </w:tcBorders>
            <w:hideMark/>
          </w:tcPr>
          <w:p w14:paraId="486D4CBE" w14:textId="77777777" w:rsidR="00B03C2F" w:rsidRDefault="00B03C2F">
            <w:pPr>
              <w:rPr>
                <w:rFonts w:ascii="Arial" w:hAnsi="Arial" w:cs="Arial"/>
              </w:rPr>
            </w:pPr>
            <w:r>
              <w:rPr>
                <w:rFonts w:ascii="Arial" w:hAnsi="Arial" w:cs="Arial"/>
              </w:rPr>
              <w:t>Student Name</w:t>
            </w:r>
          </w:p>
        </w:tc>
        <w:tc>
          <w:tcPr>
            <w:tcW w:w="2498" w:type="dxa"/>
            <w:tcBorders>
              <w:top w:val="single" w:sz="4" w:space="0" w:color="auto"/>
              <w:left w:val="single" w:sz="4" w:space="0" w:color="auto"/>
              <w:bottom w:val="single" w:sz="4" w:space="0" w:color="auto"/>
              <w:right w:val="single" w:sz="4" w:space="0" w:color="auto"/>
            </w:tcBorders>
            <w:hideMark/>
          </w:tcPr>
          <w:p w14:paraId="24260259" w14:textId="77777777" w:rsidR="00B03C2F" w:rsidRDefault="00B03C2F">
            <w:pPr>
              <w:rPr>
                <w:rFonts w:ascii="Arial" w:hAnsi="Arial" w:cs="Arial"/>
              </w:rPr>
            </w:pPr>
            <w:r>
              <w:rPr>
                <w:rFonts w:ascii="Arial" w:hAnsi="Arial" w:cs="Arial"/>
              </w:rPr>
              <w:t>Selina Akhter Seema</w:t>
            </w:r>
          </w:p>
        </w:tc>
        <w:tc>
          <w:tcPr>
            <w:tcW w:w="2050" w:type="dxa"/>
            <w:tcBorders>
              <w:top w:val="single" w:sz="4" w:space="0" w:color="auto"/>
              <w:left w:val="single" w:sz="4" w:space="0" w:color="auto"/>
              <w:bottom w:val="single" w:sz="4" w:space="0" w:color="auto"/>
              <w:right w:val="single" w:sz="4" w:space="0" w:color="auto"/>
            </w:tcBorders>
            <w:hideMark/>
          </w:tcPr>
          <w:p w14:paraId="6134C455" w14:textId="77777777" w:rsidR="00B03C2F" w:rsidRDefault="00B03C2F">
            <w:pPr>
              <w:rPr>
                <w:rFonts w:ascii="Arial" w:hAnsi="Arial" w:cs="Arial"/>
              </w:rPr>
            </w:pPr>
            <w:r>
              <w:rPr>
                <w:rFonts w:ascii="Arial" w:hAnsi="Arial" w:cs="Arial"/>
              </w:rPr>
              <w:t>Word Count</w:t>
            </w:r>
          </w:p>
        </w:tc>
        <w:tc>
          <w:tcPr>
            <w:tcW w:w="2050" w:type="dxa"/>
            <w:tcBorders>
              <w:top w:val="single" w:sz="4" w:space="0" w:color="auto"/>
              <w:left w:val="single" w:sz="4" w:space="0" w:color="auto"/>
              <w:bottom w:val="single" w:sz="4" w:space="0" w:color="auto"/>
              <w:right w:val="single" w:sz="4" w:space="0" w:color="auto"/>
            </w:tcBorders>
            <w:hideMark/>
          </w:tcPr>
          <w:p w14:paraId="405CCCF7" w14:textId="77777777" w:rsidR="00B03C2F" w:rsidRDefault="00B03C2F">
            <w:pPr>
              <w:rPr>
                <w:rFonts w:ascii="Arial" w:hAnsi="Arial" w:cs="Arial"/>
              </w:rPr>
            </w:pPr>
            <w:r>
              <w:rPr>
                <w:rFonts w:ascii="Arial" w:hAnsi="Arial" w:cs="Arial"/>
              </w:rPr>
              <w:t>743</w:t>
            </w:r>
          </w:p>
        </w:tc>
      </w:tr>
      <w:tr w:rsidR="00B03C2F" w14:paraId="379ED8D9" w14:textId="77777777" w:rsidTr="00B03C2F">
        <w:tc>
          <w:tcPr>
            <w:tcW w:w="2752" w:type="dxa"/>
            <w:tcBorders>
              <w:top w:val="single" w:sz="4" w:space="0" w:color="auto"/>
              <w:left w:val="single" w:sz="4" w:space="0" w:color="auto"/>
              <w:bottom w:val="single" w:sz="4" w:space="0" w:color="auto"/>
              <w:right w:val="single" w:sz="4" w:space="0" w:color="auto"/>
            </w:tcBorders>
            <w:hideMark/>
          </w:tcPr>
          <w:p w14:paraId="23E1F811" w14:textId="77777777" w:rsidR="00B03C2F" w:rsidRDefault="00B03C2F">
            <w:pPr>
              <w:rPr>
                <w:rFonts w:ascii="Arial" w:hAnsi="Arial" w:cs="Arial"/>
              </w:rPr>
            </w:pPr>
            <w:r>
              <w:rPr>
                <w:rFonts w:ascii="Arial" w:hAnsi="Arial" w:cs="Arial"/>
              </w:rPr>
              <w:t>Student ID</w:t>
            </w:r>
          </w:p>
        </w:tc>
        <w:tc>
          <w:tcPr>
            <w:tcW w:w="2498" w:type="dxa"/>
            <w:tcBorders>
              <w:top w:val="single" w:sz="4" w:space="0" w:color="auto"/>
              <w:left w:val="single" w:sz="4" w:space="0" w:color="auto"/>
              <w:bottom w:val="single" w:sz="4" w:space="0" w:color="auto"/>
              <w:right w:val="single" w:sz="4" w:space="0" w:color="auto"/>
            </w:tcBorders>
            <w:hideMark/>
          </w:tcPr>
          <w:p w14:paraId="2EF65747" w14:textId="77777777" w:rsidR="00B03C2F" w:rsidRDefault="00B03C2F">
            <w:pPr>
              <w:rPr>
                <w:rFonts w:ascii="Arial" w:hAnsi="Arial" w:cs="Arial"/>
              </w:rPr>
            </w:pPr>
            <w:r>
              <w:rPr>
                <w:rFonts w:ascii="Arial" w:hAnsi="Arial" w:cs="Arial"/>
              </w:rPr>
              <w:t>2225106</w:t>
            </w:r>
          </w:p>
        </w:tc>
        <w:tc>
          <w:tcPr>
            <w:tcW w:w="2050" w:type="dxa"/>
            <w:tcBorders>
              <w:top w:val="single" w:sz="4" w:space="0" w:color="auto"/>
              <w:left w:val="single" w:sz="4" w:space="0" w:color="auto"/>
              <w:bottom w:val="single" w:sz="4" w:space="0" w:color="auto"/>
              <w:right w:val="single" w:sz="4" w:space="0" w:color="auto"/>
            </w:tcBorders>
          </w:tcPr>
          <w:p w14:paraId="3B7F13FD" w14:textId="05F6EBF3" w:rsidR="00B03C2F" w:rsidRDefault="00B03C2F">
            <w:pPr>
              <w:rPr>
                <w:rFonts w:ascii="Arial" w:hAnsi="Arial" w:cs="Arial"/>
              </w:rPr>
            </w:pPr>
          </w:p>
        </w:tc>
        <w:tc>
          <w:tcPr>
            <w:tcW w:w="2050" w:type="dxa"/>
            <w:tcBorders>
              <w:top w:val="single" w:sz="4" w:space="0" w:color="auto"/>
              <w:left w:val="single" w:sz="4" w:space="0" w:color="auto"/>
              <w:bottom w:val="single" w:sz="4" w:space="0" w:color="auto"/>
              <w:right w:val="single" w:sz="4" w:space="0" w:color="auto"/>
            </w:tcBorders>
          </w:tcPr>
          <w:p w14:paraId="152E988B" w14:textId="77777777" w:rsidR="00B03C2F" w:rsidRDefault="00B03C2F">
            <w:pPr>
              <w:rPr>
                <w:rFonts w:ascii="Arial" w:hAnsi="Arial" w:cs="Arial"/>
              </w:rPr>
            </w:pPr>
          </w:p>
        </w:tc>
      </w:tr>
    </w:tbl>
    <w:p w14:paraId="63F1DA31" w14:textId="3749BEA4" w:rsidR="00B03C2F" w:rsidRDefault="00B03C2F" w:rsidP="00B03C2F">
      <w:pPr>
        <w:jc w:val="center"/>
        <w:rPr>
          <w:rFonts w:ascii="Arial" w:hAnsi="Arial" w:cs="Arial"/>
        </w:rPr>
      </w:pPr>
      <w:bookmarkStart w:id="0" w:name="_GoBack"/>
      <w:bookmarkEnd w:id="0"/>
      <w:r>
        <w:rPr>
          <w:rFonts w:ascii="Arial" w:hAnsi="Arial" w:cs="Arial"/>
        </w:rPr>
        <w:br w:type="page"/>
      </w:r>
    </w:p>
    <w:p w14:paraId="504C7014" w14:textId="77777777" w:rsidR="00B03C2F" w:rsidRDefault="00B03C2F" w:rsidP="00B03C2F">
      <w:pPr>
        <w:jc w:val="center"/>
        <w:rPr>
          <w:rFonts w:ascii="Arial" w:hAnsi="Arial" w:cs="Arial"/>
          <w:sz w:val="28"/>
        </w:rPr>
      </w:pPr>
      <w:r>
        <w:rPr>
          <w:rFonts w:ascii="Arial" w:hAnsi="Arial" w:cs="Arial"/>
          <w:sz w:val="28"/>
        </w:rPr>
        <w:lastRenderedPageBreak/>
        <w:t xml:space="preserve">“The Required Skill Set of a Food &amp; Beverage Employee Changes, </w:t>
      </w:r>
      <w:proofErr w:type="gramStart"/>
      <w:r>
        <w:rPr>
          <w:rFonts w:ascii="Arial" w:hAnsi="Arial" w:cs="Arial"/>
          <w:sz w:val="28"/>
        </w:rPr>
        <w:t>Based</w:t>
      </w:r>
      <w:proofErr w:type="gramEnd"/>
      <w:r>
        <w:rPr>
          <w:rFonts w:ascii="Arial" w:hAnsi="Arial" w:cs="Arial"/>
          <w:sz w:val="28"/>
        </w:rPr>
        <w:t xml:space="preserve"> on the Type of Business and the Type of Service That Is Offered”</w:t>
      </w:r>
    </w:p>
    <w:p w14:paraId="1F7486C9" w14:textId="77777777" w:rsidR="00B03C2F" w:rsidRPr="006765CE" w:rsidRDefault="00B03C2F" w:rsidP="006765CE">
      <w:pPr>
        <w:rPr>
          <w:rFonts w:ascii="Arial" w:hAnsi="Arial" w:cs="Arial"/>
          <w:szCs w:val="24"/>
        </w:rPr>
      </w:pPr>
      <w:bookmarkStart w:id="1" w:name="_Toc117162788"/>
      <w:r w:rsidRPr="006765CE">
        <w:rPr>
          <w:rFonts w:ascii="Arial" w:hAnsi="Arial" w:cs="Arial"/>
          <w:szCs w:val="24"/>
        </w:rPr>
        <w:t>Different occupations and positions in the diversified restaurant industry call for certain skills. These specialised abilities are necessary for restaurant personnel to manage their establishments efficiently (Cousins, 2020). The position of the food and beverage manager in two different kinds of restaurant fine dining places and cafes will be examined and compared in this essay, with an emphasis on the variations in abilities needed and how these affect business operations.</w:t>
      </w:r>
    </w:p>
    <w:p w14:paraId="5463867D" w14:textId="77777777" w:rsidR="00B03C2F" w:rsidRPr="006765CE" w:rsidRDefault="00B03C2F" w:rsidP="006765CE">
      <w:pPr>
        <w:rPr>
          <w:rFonts w:ascii="Arial" w:hAnsi="Arial" w:cs="Arial"/>
          <w:szCs w:val="24"/>
        </w:rPr>
      </w:pPr>
      <w:r w:rsidRPr="006765CE">
        <w:rPr>
          <w:rFonts w:ascii="Arial" w:hAnsi="Arial" w:cs="Arial"/>
          <w:szCs w:val="24"/>
        </w:rPr>
        <w:t>In the restaurant business, the Food and Beverage (F&amp;B) Manager is essential since they serve as a connection between the kitchen, wait staff, and customers (</w:t>
      </w:r>
      <w:proofErr w:type="spellStart"/>
      <w:r w:rsidRPr="006765CE">
        <w:rPr>
          <w:rFonts w:ascii="Arial" w:hAnsi="Arial" w:cs="Arial"/>
          <w:szCs w:val="24"/>
        </w:rPr>
        <w:t>Zutshi</w:t>
      </w:r>
      <w:proofErr w:type="spellEnd"/>
      <w:r w:rsidRPr="006765CE">
        <w:rPr>
          <w:rFonts w:ascii="Arial" w:hAnsi="Arial" w:cs="Arial"/>
          <w:szCs w:val="24"/>
        </w:rPr>
        <w:t xml:space="preserve">, 2019). They are accountable for running the business, supervising the workforce, assuring customer satisfaction, and boosting the establishment's profitability. However, depending on the kind of service provided by various sorts of restaurants, the abilities necessary for an F&amp;B Manager might change greatly. The F&amp;B Manager is required to have a thorough grasp of culinary arts and haute cuisine in the context of fine dining venues (Cousins et al., 2011). Luxury and fine dining go hand in hand, and customers look forward to an unmatched dining experience. In these situations, the F&amp;B Manager has to have a refined taste, in-depth knowledge of premium, often exotic products, and an understanding of the complexities of wine pairings. For instance, to fully comprehend the complexity of the menu and convey it to the service crew, an F&amp;B Manager in a fine dining establishment would need to properly communicate with the head chef. They should then be able to communicate these details to smart consumers, improving their eating experience (Walker, 2017). High-level interpersonal and communication skills are needed for this. They also need to have an immaculate level of service delivery and a sharp eye for detail. A nice dining experience includes more than simply the cuisine; it also includes the setting, table manners, ambience, and entire eating experience. This calls for a high degree of artistic sensibility, superior operational skills, and the capacity to develop people to fulfil demanding service standards. </w:t>
      </w:r>
    </w:p>
    <w:p w14:paraId="092B4F77" w14:textId="77777777" w:rsidR="00B03C2F" w:rsidRPr="006765CE" w:rsidRDefault="00B03C2F" w:rsidP="006765CE">
      <w:pPr>
        <w:rPr>
          <w:rFonts w:ascii="Arial" w:hAnsi="Arial" w:cs="Arial"/>
          <w:szCs w:val="24"/>
        </w:rPr>
      </w:pPr>
      <w:r w:rsidRPr="006765CE">
        <w:rPr>
          <w:rFonts w:ascii="Arial" w:hAnsi="Arial" w:cs="Arial"/>
          <w:szCs w:val="24"/>
        </w:rPr>
        <w:t xml:space="preserve">However, the position of an F&amp;B Manager at a cafe is slightly different and calls for a unique set of talents. While the essentials of the job remain the same, the environment at cafes is often more laid back and prioritises comfort and accessibility above </w:t>
      </w:r>
      <w:r w:rsidRPr="006765CE">
        <w:rPr>
          <w:rFonts w:ascii="Arial" w:hAnsi="Arial" w:cs="Arial"/>
          <w:szCs w:val="24"/>
        </w:rPr>
        <w:lastRenderedPageBreak/>
        <w:t>elegance (</w:t>
      </w:r>
      <w:proofErr w:type="spellStart"/>
      <w:r w:rsidRPr="006765CE">
        <w:rPr>
          <w:rFonts w:ascii="Arial" w:hAnsi="Arial" w:cs="Arial"/>
          <w:szCs w:val="24"/>
        </w:rPr>
        <w:t>Foskett</w:t>
      </w:r>
      <w:proofErr w:type="spellEnd"/>
      <w:r w:rsidRPr="006765CE">
        <w:rPr>
          <w:rFonts w:ascii="Arial" w:hAnsi="Arial" w:cs="Arial"/>
          <w:szCs w:val="24"/>
        </w:rPr>
        <w:t xml:space="preserve"> et al, 2021). The capacity to handle brisk service and fast turnover is one of the most important abilities in a cafe environment. Customers want speedy </w:t>
      </w:r>
      <w:proofErr w:type="gramStart"/>
      <w:r w:rsidRPr="006765CE">
        <w:rPr>
          <w:rFonts w:ascii="Arial" w:hAnsi="Arial" w:cs="Arial"/>
          <w:szCs w:val="24"/>
        </w:rPr>
        <w:t>service,</w:t>
      </w:r>
      <w:proofErr w:type="gramEnd"/>
      <w:r w:rsidRPr="006765CE">
        <w:rPr>
          <w:rFonts w:ascii="Arial" w:hAnsi="Arial" w:cs="Arial"/>
          <w:szCs w:val="24"/>
        </w:rPr>
        <w:t xml:space="preserve"> thus cafes often move at a faster pace. Excellent organisational skills, the capacity for multitasking, and the capacity for stress management are prerequisites for this. For instance, a busy city-centre cafe's F&amp;B Manager would need to ensure both the quality of the food and the service while guaranteeing a seamless workflow at peak times (</w:t>
      </w:r>
      <w:proofErr w:type="spellStart"/>
      <w:r w:rsidRPr="006765CE">
        <w:rPr>
          <w:rFonts w:ascii="Arial" w:hAnsi="Arial" w:cs="Arial"/>
          <w:szCs w:val="24"/>
        </w:rPr>
        <w:t>Boussard</w:t>
      </w:r>
      <w:proofErr w:type="spellEnd"/>
      <w:r w:rsidRPr="006765CE">
        <w:rPr>
          <w:rFonts w:ascii="Arial" w:hAnsi="Arial" w:cs="Arial"/>
          <w:szCs w:val="24"/>
        </w:rPr>
        <w:t>, 2021). Strong leadership abilities and the capacity to inspire and manage the employees well are required for this. Additionally, cafes often concentrate on a distinct kind of cuisine - easier, comforting meals as well as a range of drinks, with coffee playing a big role. An F&amp;B Manager at a cafe would thus need to have a solid awareness of various coffee beans, brewing techniques, and common food pairings.</w:t>
      </w:r>
    </w:p>
    <w:p w14:paraId="5D944AD7" w14:textId="77777777" w:rsidR="00B03C2F" w:rsidRPr="006765CE" w:rsidRDefault="00B03C2F" w:rsidP="006765CE">
      <w:pPr>
        <w:rPr>
          <w:rFonts w:ascii="Arial" w:hAnsi="Arial" w:cs="Arial"/>
          <w:szCs w:val="24"/>
        </w:rPr>
      </w:pPr>
      <w:r w:rsidRPr="006765CE">
        <w:rPr>
          <w:rFonts w:ascii="Arial" w:hAnsi="Arial" w:cs="Arial"/>
          <w:szCs w:val="24"/>
        </w:rPr>
        <w:t>Financial acumen, conflict management and resolution abilities, as well as a thorough knowledge of health and safety standards, are all traits that an F&amp;B Manager should possess in both fine dining and cafe environments (Johnston, 2018). However, depending on the eating idea, several abilities are emphasised more than others. The operations of restaurants may be considerably impacted by these variations in skill needs. A memorable eating experience would be the main goal of a fine-dining restaurant (Wood, 2013). As a result, the F&amp;B Manager plays a crucial part in maintaining high standards and guaranteeing that every visitor is delighted. Whereas the Cafe's F&amp;B Manager must strike a balance between prompt service and quality while maintaining the ease and comfort that their clients cherish.</w:t>
      </w:r>
    </w:p>
    <w:p w14:paraId="1D08064E" w14:textId="77777777" w:rsidR="00B03C2F" w:rsidRPr="006765CE" w:rsidRDefault="00B03C2F" w:rsidP="006765CE">
      <w:pPr>
        <w:rPr>
          <w:rFonts w:ascii="Arial" w:hAnsi="Arial" w:cs="Arial"/>
          <w:szCs w:val="24"/>
        </w:rPr>
      </w:pPr>
      <w:r w:rsidRPr="006765CE">
        <w:rPr>
          <w:rFonts w:ascii="Arial" w:hAnsi="Arial" w:cs="Arial"/>
          <w:szCs w:val="24"/>
        </w:rPr>
        <w:t>In conclusion, the abilities needed to manage food and beverage operations vary greatly between fine dining restaurants and cafes, reflecting the particular qualities and standards of both eating formats (</w:t>
      </w:r>
      <w:proofErr w:type="spellStart"/>
      <w:r w:rsidRPr="006765CE">
        <w:rPr>
          <w:rFonts w:ascii="Arial" w:hAnsi="Arial" w:cs="Arial"/>
          <w:szCs w:val="24"/>
        </w:rPr>
        <w:t>Motarjemi</w:t>
      </w:r>
      <w:proofErr w:type="spellEnd"/>
      <w:r w:rsidRPr="006765CE">
        <w:rPr>
          <w:rFonts w:ascii="Arial" w:hAnsi="Arial" w:cs="Arial"/>
          <w:szCs w:val="24"/>
        </w:rPr>
        <w:t xml:space="preserve"> and </w:t>
      </w:r>
      <w:proofErr w:type="spellStart"/>
      <w:r w:rsidRPr="006765CE">
        <w:rPr>
          <w:rFonts w:ascii="Arial" w:hAnsi="Arial" w:cs="Arial"/>
          <w:szCs w:val="24"/>
        </w:rPr>
        <w:t>Lelieveld</w:t>
      </w:r>
      <w:proofErr w:type="spellEnd"/>
      <w:r w:rsidRPr="006765CE">
        <w:rPr>
          <w:rFonts w:ascii="Arial" w:hAnsi="Arial" w:cs="Arial"/>
          <w:szCs w:val="24"/>
        </w:rPr>
        <w:t>, 2018). For operations to be in line with the restaurant's vision and to guarantee a dining experience that lives up to client expectations, an understanding of these distinctions is crucial (Davis et al., 2018). As a result, a competent F&amp;B Manager adapts their skill set to the kind of restaurant, greatly enhancing the performance of the business.</w:t>
      </w:r>
    </w:p>
    <w:p w14:paraId="57E69CE6" w14:textId="77777777" w:rsidR="00B03C2F" w:rsidRPr="006765CE" w:rsidRDefault="00B03C2F" w:rsidP="006765CE">
      <w:pPr>
        <w:rPr>
          <w:rFonts w:ascii="Arial" w:hAnsi="Arial" w:cs="Arial"/>
          <w:szCs w:val="24"/>
        </w:rPr>
      </w:pPr>
    </w:p>
    <w:p w14:paraId="451E1718" w14:textId="77777777" w:rsidR="00B03C2F" w:rsidRPr="006765CE" w:rsidRDefault="00B03C2F" w:rsidP="006765CE">
      <w:pPr>
        <w:spacing w:after="160"/>
        <w:jc w:val="left"/>
        <w:rPr>
          <w:rFonts w:ascii="Arial" w:hAnsi="Arial" w:cs="Arial"/>
          <w:szCs w:val="24"/>
        </w:rPr>
      </w:pPr>
      <w:r w:rsidRPr="006765CE">
        <w:rPr>
          <w:rFonts w:ascii="Arial" w:hAnsi="Arial" w:cs="Arial"/>
          <w:szCs w:val="24"/>
        </w:rPr>
        <w:br w:type="page"/>
      </w:r>
    </w:p>
    <w:p w14:paraId="2E68D102" w14:textId="77777777" w:rsidR="00B03C2F" w:rsidRPr="006765CE" w:rsidRDefault="00B03C2F" w:rsidP="006765CE">
      <w:pPr>
        <w:pStyle w:val="Heading1"/>
        <w:rPr>
          <w:sz w:val="24"/>
          <w:szCs w:val="24"/>
        </w:rPr>
      </w:pPr>
      <w:r w:rsidRPr="006765CE">
        <w:rPr>
          <w:sz w:val="24"/>
          <w:szCs w:val="24"/>
        </w:rPr>
        <w:lastRenderedPageBreak/>
        <w:t>References</w:t>
      </w:r>
      <w:bookmarkEnd w:id="1"/>
    </w:p>
    <w:p w14:paraId="0626F2AD" w14:textId="77777777" w:rsidR="00B03C2F" w:rsidRPr="006765CE" w:rsidRDefault="00B03C2F" w:rsidP="006765CE">
      <w:pPr>
        <w:rPr>
          <w:rFonts w:ascii="Arial" w:hAnsi="Arial" w:cs="Arial"/>
          <w:szCs w:val="24"/>
        </w:rPr>
      </w:pPr>
      <w:proofErr w:type="spellStart"/>
      <w:r w:rsidRPr="006765CE">
        <w:rPr>
          <w:rFonts w:ascii="Arial" w:hAnsi="Arial" w:cs="Arial"/>
          <w:szCs w:val="24"/>
        </w:rPr>
        <w:t>Boussard</w:t>
      </w:r>
      <w:proofErr w:type="spellEnd"/>
      <w:r w:rsidRPr="006765CE">
        <w:rPr>
          <w:rFonts w:ascii="Arial" w:hAnsi="Arial" w:cs="Arial"/>
          <w:szCs w:val="24"/>
        </w:rPr>
        <w:t xml:space="preserve">, S (2021) </w:t>
      </w:r>
      <w:r w:rsidRPr="006765CE">
        <w:rPr>
          <w:rFonts w:ascii="Arial" w:hAnsi="Arial" w:cs="Arial"/>
          <w:i/>
          <w:szCs w:val="24"/>
        </w:rPr>
        <w:t>Food and Beverage Management in the Luxury Hotel Industry</w:t>
      </w:r>
      <w:r w:rsidRPr="006765CE">
        <w:rPr>
          <w:rFonts w:ascii="Arial" w:hAnsi="Arial" w:cs="Arial"/>
          <w:szCs w:val="24"/>
        </w:rPr>
        <w:t>. New York: Business Expert Press.</w:t>
      </w:r>
    </w:p>
    <w:p w14:paraId="1F388C20" w14:textId="77777777" w:rsidR="00B03C2F" w:rsidRPr="006765CE" w:rsidRDefault="00B03C2F" w:rsidP="006765CE">
      <w:pPr>
        <w:rPr>
          <w:rFonts w:ascii="Arial" w:hAnsi="Arial" w:cs="Arial"/>
          <w:szCs w:val="24"/>
        </w:rPr>
      </w:pPr>
      <w:r w:rsidRPr="006765CE">
        <w:rPr>
          <w:rFonts w:ascii="Arial" w:hAnsi="Arial" w:cs="Arial"/>
          <w:color w:val="000000" w:themeColor="text1"/>
          <w:szCs w:val="24"/>
        </w:rPr>
        <w:t>Cousins J</w:t>
      </w:r>
      <w:r w:rsidRPr="006765CE">
        <w:rPr>
          <w:rFonts w:ascii="Arial" w:hAnsi="Arial" w:cs="Arial"/>
          <w:b/>
          <w:bCs/>
          <w:color w:val="000000" w:themeColor="text1"/>
          <w:szCs w:val="24"/>
        </w:rPr>
        <w:t>.</w:t>
      </w:r>
      <w:r w:rsidRPr="006765CE">
        <w:rPr>
          <w:rFonts w:ascii="Arial" w:hAnsi="Arial" w:cs="Arial"/>
          <w:color w:val="000000" w:themeColor="text1"/>
          <w:szCs w:val="24"/>
          <w:shd w:val="clear" w:color="auto" w:fill="FFFFFF"/>
        </w:rPr>
        <w:t xml:space="preserve">, </w:t>
      </w:r>
      <w:proofErr w:type="spellStart"/>
      <w:r w:rsidRPr="006765CE">
        <w:rPr>
          <w:rFonts w:ascii="Arial" w:hAnsi="Arial" w:cs="Arial"/>
          <w:color w:val="000000" w:themeColor="text1"/>
          <w:szCs w:val="24"/>
          <w:shd w:val="clear" w:color="auto" w:fill="FFFFFF"/>
        </w:rPr>
        <w:t>Foskett</w:t>
      </w:r>
      <w:proofErr w:type="spellEnd"/>
      <w:r w:rsidRPr="006765CE">
        <w:rPr>
          <w:rFonts w:ascii="Arial" w:hAnsi="Arial" w:cs="Arial"/>
          <w:color w:val="000000" w:themeColor="text1"/>
          <w:szCs w:val="24"/>
          <w:shd w:val="clear" w:color="auto" w:fill="FFFFFF"/>
        </w:rPr>
        <w:t xml:space="preserve"> D., Graham D., Hollier A.</w:t>
      </w:r>
      <w:r w:rsidRPr="006765CE">
        <w:rPr>
          <w:rFonts w:ascii="Arial" w:eastAsia="Arial" w:hAnsi="Arial" w:cs="Arial"/>
          <w:szCs w:val="24"/>
        </w:rPr>
        <w:t>,</w:t>
      </w:r>
      <w:r w:rsidRPr="006765CE">
        <w:rPr>
          <w:rFonts w:ascii="Arial" w:hAnsi="Arial" w:cs="Arial"/>
          <w:spacing w:val="3"/>
          <w:szCs w:val="24"/>
        </w:rPr>
        <w:t xml:space="preserve"> </w:t>
      </w:r>
      <w:r w:rsidRPr="006765CE">
        <w:rPr>
          <w:rFonts w:ascii="Arial" w:hAnsi="Arial" w:cs="Arial"/>
          <w:szCs w:val="24"/>
        </w:rPr>
        <w:t xml:space="preserve">(2011) </w:t>
      </w:r>
      <w:r w:rsidRPr="006765CE">
        <w:rPr>
          <w:rFonts w:ascii="Arial" w:hAnsi="Arial" w:cs="Arial"/>
          <w:i/>
          <w:szCs w:val="24"/>
        </w:rPr>
        <w:t>Food and beverage management: For the hospitality, tourism and event industries.</w:t>
      </w:r>
      <w:r w:rsidRPr="006765CE">
        <w:rPr>
          <w:rFonts w:ascii="Arial" w:hAnsi="Arial" w:cs="Arial"/>
          <w:szCs w:val="24"/>
        </w:rPr>
        <w:t xml:space="preserve"> 3rd ed. Oxford: Goodfellow. </w:t>
      </w:r>
    </w:p>
    <w:p w14:paraId="576460B8" w14:textId="77777777" w:rsidR="00B03C2F" w:rsidRPr="006765CE" w:rsidRDefault="00B03C2F" w:rsidP="006765CE">
      <w:pPr>
        <w:rPr>
          <w:rFonts w:ascii="Arial" w:hAnsi="Arial" w:cs="Arial"/>
          <w:szCs w:val="24"/>
        </w:rPr>
      </w:pPr>
      <w:r w:rsidRPr="006765CE">
        <w:rPr>
          <w:rFonts w:ascii="Arial" w:hAnsi="Arial" w:cs="Arial"/>
          <w:color w:val="000000" w:themeColor="text1"/>
          <w:szCs w:val="24"/>
        </w:rPr>
        <w:t>Cousins J</w:t>
      </w:r>
      <w:r w:rsidRPr="006765CE">
        <w:rPr>
          <w:rFonts w:ascii="Arial" w:eastAsia="Arial" w:hAnsi="Arial" w:cs="Arial"/>
          <w:szCs w:val="24"/>
        </w:rPr>
        <w:t>,</w:t>
      </w:r>
      <w:r w:rsidRPr="006765CE">
        <w:rPr>
          <w:rFonts w:ascii="Arial" w:hAnsi="Arial" w:cs="Arial"/>
          <w:spacing w:val="3"/>
          <w:szCs w:val="24"/>
        </w:rPr>
        <w:t xml:space="preserve"> </w:t>
      </w:r>
      <w:r w:rsidRPr="006765CE">
        <w:rPr>
          <w:rFonts w:ascii="Arial" w:hAnsi="Arial" w:cs="Arial"/>
          <w:szCs w:val="24"/>
        </w:rPr>
        <w:t xml:space="preserve">(2020) </w:t>
      </w:r>
      <w:r w:rsidRPr="006765CE">
        <w:rPr>
          <w:rFonts w:ascii="Arial" w:hAnsi="Arial" w:cs="Arial"/>
          <w:i/>
          <w:szCs w:val="24"/>
        </w:rPr>
        <w:t>Food and beverage service</w:t>
      </w:r>
      <w:r w:rsidRPr="006765CE">
        <w:rPr>
          <w:rFonts w:ascii="Arial" w:hAnsi="Arial" w:cs="Arial"/>
          <w:szCs w:val="24"/>
        </w:rPr>
        <w:t>. 9th ed. London: Hodder Education Group.</w:t>
      </w:r>
    </w:p>
    <w:p w14:paraId="40DF5C6B" w14:textId="77777777" w:rsidR="00B03C2F" w:rsidRPr="006765CE" w:rsidRDefault="00B03C2F" w:rsidP="006765CE">
      <w:pPr>
        <w:rPr>
          <w:rFonts w:ascii="Arial" w:hAnsi="Arial" w:cs="Arial"/>
          <w:szCs w:val="24"/>
        </w:rPr>
      </w:pPr>
      <w:r w:rsidRPr="006765CE">
        <w:rPr>
          <w:rFonts w:ascii="Arial" w:hAnsi="Arial" w:cs="Arial"/>
          <w:color w:val="000000"/>
          <w:spacing w:val="3"/>
          <w:szCs w:val="24"/>
        </w:rPr>
        <w:t xml:space="preserve">Davis B., Lockwood A., </w:t>
      </w:r>
      <w:proofErr w:type="spellStart"/>
      <w:r w:rsidRPr="006765CE">
        <w:rPr>
          <w:rFonts w:ascii="Arial" w:hAnsi="Arial" w:cs="Arial"/>
          <w:color w:val="000000"/>
          <w:spacing w:val="3"/>
          <w:szCs w:val="24"/>
        </w:rPr>
        <w:t>Pantelidis</w:t>
      </w:r>
      <w:proofErr w:type="spellEnd"/>
      <w:r w:rsidRPr="006765CE">
        <w:rPr>
          <w:rFonts w:ascii="Arial" w:hAnsi="Arial" w:cs="Arial"/>
          <w:color w:val="000000"/>
          <w:spacing w:val="3"/>
          <w:szCs w:val="24"/>
        </w:rPr>
        <w:t xml:space="preserve"> I.S., Alcott P.</w:t>
      </w:r>
      <w:r w:rsidRPr="006765CE">
        <w:rPr>
          <w:rFonts w:ascii="Arial" w:hAnsi="Arial" w:cs="Arial"/>
          <w:szCs w:val="24"/>
        </w:rPr>
        <w:t>,</w:t>
      </w:r>
      <w:r w:rsidRPr="006765CE">
        <w:rPr>
          <w:szCs w:val="24"/>
        </w:rPr>
        <w:t xml:space="preserve"> </w:t>
      </w:r>
      <w:r w:rsidRPr="006765CE">
        <w:rPr>
          <w:rFonts w:ascii="Arial" w:hAnsi="Arial" w:cs="Arial"/>
          <w:szCs w:val="24"/>
        </w:rPr>
        <w:t xml:space="preserve">(2018) Food and Beverage Management. 6 ed London: Routledge. </w:t>
      </w:r>
    </w:p>
    <w:p w14:paraId="53E94C16" w14:textId="77777777" w:rsidR="00B03C2F" w:rsidRPr="006765CE" w:rsidRDefault="00B03C2F" w:rsidP="006765CE">
      <w:pPr>
        <w:rPr>
          <w:rFonts w:ascii="Arial" w:hAnsi="Arial" w:cs="Arial"/>
          <w:szCs w:val="24"/>
        </w:rPr>
      </w:pPr>
      <w:proofErr w:type="spellStart"/>
      <w:r w:rsidRPr="006765CE">
        <w:rPr>
          <w:rStyle w:val="Emphasis"/>
          <w:rFonts w:ascii="Arial" w:hAnsi="Arial" w:cs="Arial"/>
          <w:color w:val="000000" w:themeColor="text1"/>
          <w:szCs w:val="24"/>
        </w:rPr>
        <w:t>Foskett</w:t>
      </w:r>
      <w:proofErr w:type="spellEnd"/>
      <w:r w:rsidRPr="006765CE">
        <w:rPr>
          <w:rStyle w:val="Emphasis"/>
          <w:rFonts w:ascii="Arial" w:hAnsi="Arial" w:cs="Arial"/>
          <w:color w:val="000000" w:themeColor="text1"/>
          <w:szCs w:val="24"/>
        </w:rPr>
        <w:t xml:space="preserve"> D.</w:t>
      </w:r>
      <w:r w:rsidRPr="006765CE">
        <w:rPr>
          <w:rFonts w:ascii="Arial" w:hAnsi="Arial" w:cs="Arial"/>
          <w:color w:val="000000" w:themeColor="text1"/>
          <w:szCs w:val="24"/>
          <w:shd w:val="clear" w:color="auto" w:fill="FFFFFF"/>
        </w:rPr>
        <w:t xml:space="preserve">, Paskins P., Pennington A., </w:t>
      </w:r>
      <w:proofErr w:type="spellStart"/>
      <w:r w:rsidRPr="006765CE">
        <w:rPr>
          <w:rFonts w:ascii="Arial" w:hAnsi="Arial" w:cs="Arial"/>
          <w:color w:val="000000" w:themeColor="text1"/>
          <w:szCs w:val="24"/>
          <w:shd w:val="clear" w:color="auto" w:fill="FFFFFF"/>
        </w:rPr>
        <w:t>Rippington</w:t>
      </w:r>
      <w:proofErr w:type="spellEnd"/>
      <w:r w:rsidRPr="006765CE">
        <w:rPr>
          <w:rFonts w:ascii="Arial" w:hAnsi="Arial" w:cs="Arial"/>
          <w:color w:val="000000" w:themeColor="text1"/>
          <w:szCs w:val="24"/>
          <w:shd w:val="clear" w:color="auto" w:fill="FFFFFF"/>
        </w:rPr>
        <w:t xml:space="preserve"> N</w:t>
      </w:r>
      <w:r w:rsidRPr="006765CE">
        <w:rPr>
          <w:rFonts w:ascii="Arial" w:hAnsi="Arial" w:cs="Arial"/>
          <w:i/>
          <w:iCs/>
          <w:szCs w:val="24"/>
        </w:rPr>
        <w:t>.,</w:t>
      </w:r>
      <w:r w:rsidRPr="006765CE">
        <w:rPr>
          <w:rFonts w:ascii="Arial" w:hAnsi="Arial" w:cs="Arial"/>
          <w:szCs w:val="24"/>
        </w:rPr>
        <w:t xml:space="preserve"> (2021) </w:t>
      </w:r>
      <w:r w:rsidRPr="006765CE">
        <w:rPr>
          <w:rFonts w:ascii="Arial" w:hAnsi="Arial" w:cs="Arial"/>
          <w:i/>
          <w:szCs w:val="24"/>
        </w:rPr>
        <w:t xml:space="preserve">The Theory of Hospitality and Catering. </w:t>
      </w:r>
      <w:r w:rsidRPr="006765CE">
        <w:rPr>
          <w:rFonts w:ascii="Arial" w:hAnsi="Arial" w:cs="Arial"/>
          <w:szCs w:val="24"/>
        </w:rPr>
        <w:t>14th Edition. London: Hodder Education Group.</w:t>
      </w:r>
    </w:p>
    <w:p w14:paraId="3818D251" w14:textId="77777777" w:rsidR="00B03C2F" w:rsidRPr="006765CE" w:rsidRDefault="00B03C2F" w:rsidP="006765CE">
      <w:pPr>
        <w:pStyle w:val="NormalWeb"/>
        <w:spacing w:before="0" w:beforeAutospacing="0" w:after="240" w:afterAutospacing="0" w:line="360" w:lineRule="auto"/>
        <w:jc w:val="both"/>
        <w:rPr>
          <w:rFonts w:ascii="Arial" w:hAnsi="Arial" w:cs="Arial"/>
        </w:rPr>
      </w:pPr>
      <w:r w:rsidRPr="006765CE">
        <w:rPr>
          <w:rFonts w:ascii="Arial" w:hAnsi="Arial" w:cs="Arial"/>
        </w:rPr>
        <w:t xml:space="preserve">Johnston, R. (2018). </w:t>
      </w:r>
      <w:r w:rsidRPr="006765CE">
        <w:rPr>
          <w:rFonts w:ascii="Arial" w:hAnsi="Arial" w:cs="Arial"/>
          <w:iCs/>
        </w:rPr>
        <w:t>Service operations management: improving service delivery</w:t>
      </w:r>
      <w:r w:rsidRPr="006765CE">
        <w:rPr>
          <w:rFonts w:ascii="Arial" w:hAnsi="Arial" w:cs="Arial"/>
        </w:rPr>
        <w:t>. 10th ed. Harlow: Pearson.</w:t>
      </w:r>
    </w:p>
    <w:p w14:paraId="2B493D9A" w14:textId="77777777" w:rsidR="00B03C2F" w:rsidRPr="006765CE" w:rsidRDefault="00B03C2F" w:rsidP="006765CE">
      <w:pPr>
        <w:pStyle w:val="NormalWeb"/>
        <w:spacing w:before="0" w:beforeAutospacing="0" w:after="240" w:afterAutospacing="0" w:line="360" w:lineRule="auto"/>
        <w:jc w:val="both"/>
        <w:rPr>
          <w:rFonts w:ascii="Arial" w:hAnsi="Arial" w:cs="Arial"/>
        </w:rPr>
      </w:pPr>
      <w:proofErr w:type="spellStart"/>
      <w:r w:rsidRPr="006765CE">
        <w:rPr>
          <w:rFonts w:ascii="Arial" w:hAnsi="Arial" w:cs="Arial"/>
        </w:rPr>
        <w:t>Motarjemi</w:t>
      </w:r>
      <w:proofErr w:type="spellEnd"/>
      <w:r w:rsidRPr="006765CE">
        <w:rPr>
          <w:rFonts w:ascii="Arial" w:hAnsi="Arial" w:cs="Arial"/>
        </w:rPr>
        <w:t xml:space="preserve">, Y. and </w:t>
      </w:r>
      <w:proofErr w:type="spellStart"/>
      <w:r w:rsidRPr="006765CE">
        <w:rPr>
          <w:rFonts w:ascii="Arial" w:hAnsi="Arial" w:cs="Arial"/>
        </w:rPr>
        <w:t>Lelieveld</w:t>
      </w:r>
      <w:proofErr w:type="spellEnd"/>
      <w:r w:rsidRPr="006765CE">
        <w:rPr>
          <w:rFonts w:ascii="Arial" w:hAnsi="Arial" w:cs="Arial"/>
        </w:rPr>
        <w:t xml:space="preserve">, H. (2018). </w:t>
      </w:r>
      <w:r w:rsidRPr="006765CE">
        <w:rPr>
          <w:rFonts w:ascii="Arial" w:hAnsi="Arial" w:cs="Arial"/>
          <w:iCs/>
        </w:rPr>
        <w:t>Food safety management: a practical guide for the food industry</w:t>
      </w:r>
      <w:r w:rsidRPr="006765CE">
        <w:rPr>
          <w:rFonts w:ascii="Arial" w:hAnsi="Arial" w:cs="Arial"/>
        </w:rPr>
        <w:t>. Illustrated edition ed. Amsterdam: Academic Press.</w:t>
      </w:r>
    </w:p>
    <w:p w14:paraId="33CCFE0F" w14:textId="77777777" w:rsidR="00B03C2F" w:rsidRPr="006765CE" w:rsidRDefault="00B03C2F" w:rsidP="006765CE">
      <w:pPr>
        <w:rPr>
          <w:rFonts w:ascii="Arial" w:hAnsi="Arial" w:cs="Arial"/>
          <w:szCs w:val="24"/>
        </w:rPr>
      </w:pPr>
      <w:r w:rsidRPr="006765CE">
        <w:rPr>
          <w:rFonts w:ascii="Arial" w:hAnsi="Arial" w:cs="Arial"/>
          <w:szCs w:val="24"/>
        </w:rPr>
        <w:t xml:space="preserve">Walker, J (2017) </w:t>
      </w:r>
      <w:r w:rsidRPr="006765CE">
        <w:rPr>
          <w:rFonts w:ascii="Arial" w:hAnsi="Arial" w:cs="Arial"/>
          <w:i/>
          <w:szCs w:val="24"/>
        </w:rPr>
        <w:t>Introduction to Hospitality</w:t>
      </w:r>
      <w:r w:rsidRPr="006765CE">
        <w:rPr>
          <w:rFonts w:ascii="Arial" w:hAnsi="Arial" w:cs="Arial"/>
          <w:szCs w:val="24"/>
        </w:rPr>
        <w:t>. Harlow: Pearson Education Limited.</w:t>
      </w:r>
    </w:p>
    <w:p w14:paraId="5A3B595E" w14:textId="77777777" w:rsidR="00B03C2F" w:rsidRPr="006765CE" w:rsidRDefault="00B03C2F" w:rsidP="006765CE">
      <w:pPr>
        <w:rPr>
          <w:rFonts w:ascii="Arial" w:hAnsi="Arial" w:cs="Arial"/>
          <w:szCs w:val="24"/>
        </w:rPr>
      </w:pPr>
      <w:r w:rsidRPr="006765CE">
        <w:rPr>
          <w:rFonts w:ascii="Arial" w:hAnsi="Arial" w:cs="Arial"/>
          <w:szCs w:val="24"/>
        </w:rPr>
        <w:t xml:space="preserve">Wood, R. (2013) </w:t>
      </w:r>
      <w:r w:rsidRPr="006765CE">
        <w:rPr>
          <w:rFonts w:ascii="Arial" w:hAnsi="Arial" w:cs="Arial"/>
          <w:i/>
          <w:szCs w:val="24"/>
        </w:rPr>
        <w:t>Key Concepts in Hospitality Management</w:t>
      </w:r>
      <w:r w:rsidRPr="006765CE">
        <w:rPr>
          <w:rFonts w:ascii="Arial" w:hAnsi="Arial" w:cs="Arial"/>
          <w:szCs w:val="24"/>
        </w:rPr>
        <w:t>. London: Sage</w:t>
      </w:r>
    </w:p>
    <w:p w14:paraId="31E055C6" w14:textId="77777777" w:rsidR="00B03C2F" w:rsidRPr="006765CE" w:rsidRDefault="00B03C2F" w:rsidP="006765CE">
      <w:pPr>
        <w:rPr>
          <w:rFonts w:ascii="Arial" w:hAnsi="Arial" w:cs="Arial"/>
          <w:szCs w:val="24"/>
        </w:rPr>
      </w:pPr>
      <w:proofErr w:type="spellStart"/>
      <w:r w:rsidRPr="006765CE">
        <w:rPr>
          <w:rFonts w:ascii="Arial" w:hAnsi="Arial" w:cs="Arial"/>
          <w:szCs w:val="24"/>
        </w:rPr>
        <w:t>Zutshi</w:t>
      </w:r>
      <w:proofErr w:type="spellEnd"/>
      <w:r w:rsidRPr="006765CE">
        <w:rPr>
          <w:rFonts w:ascii="Arial" w:hAnsi="Arial" w:cs="Arial"/>
          <w:szCs w:val="24"/>
        </w:rPr>
        <w:t xml:space="preserve">, A. (2019) ‘How to develop well-informed and assured teams to embed food safety compliance in the UK catering and hospitality industry, </w:t>
      </w:r>
      <w:r w:rsidRPr="006765CE">
        <w:rPr>
          <w:rFonts w:ascii="Arial" w:hAnsi="Arial" w:cs="Arial"/>
          <w:i/>
          <w:szCs w:val="24"/>
        </w:rPr>
        <w:t>Perspectives in Public Health</w:t>
      </w:r>
      <w:r w:rsidRPr="006765CE">
        <w:rPr>
          <w:rFonts w:ascii="Arial" w:hAnsi="Arial" w:cs="Arial"/>
          <w:szCs w:val="24"/>
        </w:rPr>
        <w:t>, 139(6), pp. 294±295.</w:t>
      </w:r>
    </w:p>
    <w:p w14:paraId="0647529E" w14:textId="77777777" w:rsidR="00B03C2F" w:rsidRDefault="00B03C2F" w:rsidP="00B03C2F">
      <w:pPr>
        <w:rPr>
          <w:rFonts w:ascii="Arial" w:hAnsi="Arial" w:cs="Arial"/>
        </w:rPr>
      </w:pPr>
    </w:p>
    <w:p w14:paraId="257E5E6A" w14:textId="776C6B7B" w:rsidR="00410127" w:rsidRPr="00B03C2F" w:rsidRDefault="00410127">
      <w:pPr>
        <w:rPr>
          <w:b/>
          <w:bCs/>
          <w:lang w:val="en-US"/>
        </w:rPr>
      </w:pPr>
    </w:p>
    <w:sectPr w:rsidR="00410127" w:rsidRPr="00B03C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B1C"/>
    <w:rsid w:val="0019519F"/>
    <w:rsid w:val="00410127"/>
    <w:rsid w:val="004B6DFE"/>
    <w:rsid w:val="00512B55"/>
    <w:rsid w:val="006765CE"/>
    <w:rsid w:val="007F47A7"/>
    <w:rsid w:val="00815ACD"/>
    <w:rsid w:val="00B03C2F"/>
    <w:rsid w:val="00C33F15"/>
    <w:rsid w:val="00CB7D52"/>
    <w:rsid w:val="00E35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F8051"/>
  <w15:chartTrackingRefBased/>
  <w15:docId w15:val="{A273A5D8-F140-4A43-A547-71EA6B1DD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C2F"/>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03C2F"/>
    <w:pPr>
      <w:keepNext/>
      <w:keepLines/>
      <w:spacing w:before="240" w:after="0"/>
      <w:outlineLvl w:val="0"/>
    </w:pPr>
    <w:rPr>
      <w:rFonts w:ascii="Arial" w:eastAsiaTheme="majorEastAsia" w:hAnsi="Arial"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C2F"/>
    <w:rPr>
      <w:rFonts w:ascii="Arial" w:eastAsiaTheme="majorEastAsia" w:hAnsi="Arial" w:cstheme="majorBidi"/>
      <w:b/>
      <w:sz w:val="32"/>
      <w:szCs w:val="32"/>
    </w:rPr>
  </w:style>
  <w:style w:type="paragraph" w:styleId="NormalWeb">
    <w:name w:val="Normal (Web)"/>
    <w:basedOn w:val="Normal"/>
    <w:uiPriority w:val="99"/>
    <w:semiHidden/>
    <w:unhideWhenUsed/>
    <w:rsid w:val="00B03C2F"/>
    <w:pPr>
      <w:spacing w:before="100" w:beforeAutospacing="1" w:after="100" w:afterAutospacing="1" w:line="240" w:lineRule="auto"/>
      <w:jc w:val="left"/>
    </w:pPr>
    <w:rPr>
      <w:rFonts w:eastAsia="Times New Roman" w:cs="Times New Roman"/>
      <w:szCs w:val="24"/>
      <w:lang w:eastAsia="en-GB"/>
    </w:rPr>
  </w:style>
  <w:style w:type="table" w:styleId="TableGrid">
    <w:name w:val="Table Grid"/>
    <w:basedOn w:val="TableNormal"/>
    <w:uiPriority w:val="39"/>
    <w:rsid w:val="00B03C2F"/>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03C2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7733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4</Pages>
  <Words>968</Words>
  <Characters>5521</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Kaamil Ahmed</dc:creator>
  <cp:keywords/>
  <dc:description/>
  <cp:lastModifiedBy>Kaamil Ahmed</cp:lastModifiedBy>
  <cp:revision>9</cp:revision>
  <dcterms:created xsi:type="dcterms:W3CDTF">2023-05-17T21:58:00Z</dcterms:created>
  <dcterms:modified xsi:type="dcterms:W3CDTF">2023-05-19T21:20:00Z</dcterms:modified>
</cp:coreProperties>
</file>