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905F8E" w14:textId="77777777" w:rsidR="00955E87" w:rsidRDefault="00955E87">
      <w:pPr>
        <w:rPr>
          <w:rFonts w:ascii="Arial" w:hAnsi="Arial" w:cs="Arial"/>
          <w:b/>
          <w:bCs/>
          <w:color w:val="000000" w:themeColor="text1"/>
        </w:rPr>
      </w:pPr>
    </w:p>
    <w:p w14:paraId="778DF64C" w14:textId="77777777" w:rsidR="00955E87" w:rsidRDefault="00955E87">
      <w:pPr>
        <w:rPr>
          <w:rFonts w:ascii="Arial" w:hAnsi="Arial" w:cs="Arial"/>
          <w:b/>
          <w:bCs/>
          <w:color w:val="000000" w:themeColor="text1"/>
        </w:rPr>
      </w:pPr>
    </w:p>
    <w:p w14:paraId="45951F5A" w14:textId="77777777" w:rsidR="00955E87" w:rsidRDefault="00955E87">
      <w:pPr>
        <w:rPr>
          <w:rFonts w:ascii="Arial" w:hAnsi="Arial" w:cs="Arial"/>
          <w:b/>
          <w:bCs/>
          <w:color w:val="000000" w:themeColor="text1"/>
        </w:rPr>
      </w:pPr>
    </w:p>
    <w:p w14:paraId="36639A78" w14:textId="77777777" w:rsidR="00955E87" w:rsidRDefault="00955E87">
      <w:pPr>
        <w:rPr>
          <w:rFonts w:ascii="Arial" w:hAnsi="Arial" w:cs="Arial"/>
          <w:b/>
          <w:bCs/>
          <w:color w:val="000000" w:themeColor="text1"/>
        </w:rPr>
      </w:pPr>
    </w:p>
    <w:p w14:paraId="48030CDE" w14:textId="07A5013B" w:rsidR="00955E87" w:rsidRDefault="00955E87" w:rsidP="00955E87">
      <w:pPr>
        <w:rPr>
          <w:rFonts w:ascii="Arial" w:hAnsi="Arial" w:cs="Arial"/>
          <w:b/>
          <w:bCs/>
          <w:color w:val="000000" w:themeColor="text1"/>
          <w:sz w:val="44"/>
          <w:szCs w:val="44"/>
        </w:rPr>
      </w:pPr>
      <w:r w:rsidRPr="00955E87">
        <w:rPr>
          <w:rFonts w:ascii="Arial" w:hAnsi="Arial" w:cs="Arial"/>
          <w:b/>
          <w:bCs/>
          <w:noProof/>
          <w:color w:val="000000" w:themeColor="text1"/>
          <w:sz w:val="44"/>
          <w:szCs w:val="44"/>
        </w:rPr>
        <w:drawing>
          <wp:anchor distT="0" distB="0" distL="114300" distR="114300" simplePos="0" relativeHeight="251659264" behindDoc="0" locked="0" layoutInCell="1" allowOverlap="1" wp14:anchorId="24063209" wp14:editId="283B6A4F">
            <wp:simplePos x="0" y="0"/>
            <wp:positionH relativeFrom="page">
              <wp:posOffset>333375</wp:posOffset>
            </wp:positionH>
            <wp:positionV relativeFrom="page">
              <wp:posOffset>390526</wp:posOffset>
            </wp:positionV>
            <wp:extent cx="3076575" cy="1250180"/>
            <wp:effectExtent l="0" t="0" r="0" b="7620"/>
            <wp:wrapNone/>
            <wp:docPr id="1558733945"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733945" name="Picture 1" descr="A black text on a white background&#10;&#10;AI-generated content may be incorrect."/>
                    <pic:cNvPicPr/>
                  </pic:nvPicPr>
                  <pic:blipFill>
                    <a:blip r:embed="rId8"/>
                    <a:stretch>
                      <a:fillRect/>
                    </a:stretch>
                  </pic:blipFill>
                  <pic:spPr>
                    <a:xfrm>
                      <a:off x="0" y="0"/>
                      <a:ext cx="3090795" cy="1255958"/>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bCs/>
          <w:color w:val="000000" w:themeColor="text1"/>
          <w:sz w:val="44"/>
          <w:szCs w:val="44"/>
        </w:rPr>
        <w:t xml:space="preserve">Entrepreneurship </w:t>
      </w:r>
    </w:p>
    <w:p w14:paraId="38420ADE" w14:textId="6564A209" w:rsidR="00955E87" w:rsidRDefault="00955E87" w:rsidP="00955E87">
      <w:pPr>
        <w:rPr>
          <w:rFonts w:ascii="Arial" w:hAnsi="Arial" w:cs="Arial"/>
          <w:b/>
          <w:bCs/>
          <w:color w:val="000000" w:themeColor="text1"/>
          <w:sz w:val="44"/>
          <w:szCs w:val="44"/>
        </w:rPr>
      </w:pPr>
      <w:r>
        <w:rPr>
          <w:rFonts w:ascii="Arial" w:hAnsi="Arial" w:cs="Arial"/>
          <w:b/>
          <w:bCs/>
          <w:color w:val="000000" w:themeColor="text1"/>
          <w:sz w:val="44"/>
          <w:szCs w:val="44"/>
        </w:rPr>
        <w:t>LCBB5013</w:t>
      </w:r>
    </w:p>
    <w:p w14:paraId="511AF4D3" w14:textId="77777777" w:rsidR="00955E87" w:rsidRDefault="00955E87" w:rsidP="00955E87">
      <w:pPr>
        <w:rPr>
          <w:rFonts w:ascii="Arial" w:hAnsi="Arial" w:cs="Arial"/>
          <w:b/>
          <w:bCs/>
          <w:color w:val="000000" w:themeColor="text1"/>
          <w:sz w:val="44"/>
          <w:szCs w:val="44"/>
        </w:rPr>
      </w:pPr>
    </w:p>
    <w:p w14:paraId="54F3100C" w14:textId="7783F8C7" w:rsidR="00955E87" w:rsidRDefault="00955E87">
      <w:pPr>
        <w:rPr>
          <w:rFonts w:ascii="Arial" w:hAnsi="Arial" w:cs="Arial"/>
          <w:b/>
          <w:bCs/>
          <w:color w:val="000000" w:themeColor="text1"/>
          <w:sz w:val="44"/>
          <w:szCs w:val="44"/>
        </w:rPr>
      </w:pPr>
      <w:r>
        <w:rPr>
          <w:rFonts w:ascii="Arial" w:hAnsi="Arial" w:cs="Arial"/>
          <w:b/>
          <w:bCs/>
          <w:color w:val="000000" w:themeColor="text1"/>
          <w:sz w:val="44"/>
          <w:szCs w:val="44"/>
        </w:rPr>
        <w:t>Name: Bushra Naila</w:t>
      </w:r>
    </w:p>
    <w:p w14:paraId="25440AB9" w14:textId="3B4C8409" w:rsidR="00955E87" w:rsidRDefault="00955E87">
      <w:pPr>
        <w:rPr>
          <w:rFonts w:ascii="Arial" w:hAnsi="Arial" w:cs="Arial"/>
          <w:b/>
          <w:bCs/>
          <w:color w:val="000000" w:themeColor="text1"/>
          <w:sz w:val="44"/>
          <w:szCs w:val="44"/>
        </w:rPr>
      </w:pPr>
      <w:r>
        <w:rPr>
          <w:rFonts w:ascii="Arial" w:hAnsi="Arial" w:cs="Arial"/>
          <w:b/>
          <w:bCs/>
          <w:color w:val="000000" w:themeColor="text1"/>
          <w:sz w:val="44"/>
          <w:szCs w:val="44"/>
        </w:rPr>
        <w:t>Student ID: 2337327</w:t>
      </w:r>
    </w:p>
    <w:p w14:paraId="2D94CFAD" w14:textId="7B126F6F" w:rsidR="006630F8" w:rsidRPr="00955E87" w:rsidRDefault="006630F8">
      <w:pPr>
        <w:rPr>
          <w:rFonts w:ascii="Arial" w:hAnsi="Arial" w:cs="Arial"/>
          <w:b/>
          <w:bCs/>
          <w:color w:val="000000" w:themeColor="text1"/>
          <w:sz w:val="44"/>
          <w:szCs w:val="44"/>
        </w:rPr>
      </w:pPr>
      <w:r w:rsidRPr="00955E87">
        <w:rPr>
          <w:rFonts w:ascii="Arial" w:hAnsi="Arial" w:cs="Arial"/>
          <w:b/>
          <w:bCs/>
          <w:color w:val="000000" w:themeColor="text1"/>
          <w:sz w:val="44"/>
          <w:szCs w:val="44"/>
        </w:rPr>
        <w:br w:type="page"/>
      </w:r>
    </w:p>
    <w:p w14:paraId="68595D1C" w14:textId="77777777" w:rsidR="00955E87" w:rsidRDefault="00955E87">
      <w:pPr>
        <w:rPr>
          <w:rFonts w:ascii="Arial" w:hAnsi="Arial" w:cs="Arial"/>
          <w:b/>
          <w:bCs/>
          <w:color w:val="000000" w:themeColor="text1"/>
        </w:rPr>
      </w:pPr>
    </w:p>
    <w:p w14:paraId="45AB254D" w14:textId="77777777" w:rsidR="00955E87" w:rsidRDefault="00955E87">
      <w:pPr>
        <w:rPr>
          <w:rFonts w:ascii="Arial" w:hAnsi="Arial" w:cs="Arial"/>
          <w:b/>
          <w:bCs/>
          <w:color w:val="000000" w:themeColor="text1"/>
        </w:rPr>
      </w:pPr>
    </w:p>
    <w:p w14:paraId="25D158F0" w14:textId="77777777" w:rsidR="00955E87" w:rsidRDefault="00955E87">
      <w:pPr>
        <w:rPr>
          <w:rFonts w:ascii="Arial" w:hAnsi="Arial" w:cs="Arial"/>
          <w:b/>
          <w:bCs/>
          <w:color w:val="000000" w:themeColor="text1"/>
        </w:rPr>
      </w:pPr>
    </w:p>
    <w:p w14:paraId="28B815E0" w14:textId="77777777" w:rsidR="00955E87" w:rsidRDefault="00955E87">
      <w:pPr>
        <w:rPr>
          <w:rFonts w:ascii="Arial" w:hAnsi="Arial" w:cs="Arial"/>
          <w:b/>
          <w:bCs/>
          <w:color w:val="000000" w:themeColor="text1"/>
        </w:rPr>
      </w:pPr>
    </w:p>
    <w:sdt>
      <w:sdtPr>
        <w:rPr>
          <w:rFonts w:asciiTheme="minorHAnsi" w:eastAsiaTheme="minorEastAsia" w:hAnsiTheme="minorHAnsi" w:cstheme="minorBidi"/>
          <w:b/>
          <w:bCs/>
          <w:color w:val="000000" w:themeColor="text1"/>
          <w:kern w:val="2"/>
          <w:sz w:val="24"/>
          <w:szCs w:val="24"/>
          <w14:ligatures w14:val="standardContextual"/>
        </w:rPr>
        <w:id w:val="1962155129"/>
        <w:docPartObj>
          <w:docPartGallery w:val="Table of Contents"/>
          <w:docPartUnique/>
        </w:docPartObj>
      </w:sdtPr>
      <w:sdtEndPr>
        <w:rPr>
          <w:noProof/>
          <w:color w:val="auto"/>
        </w:rPr>
      </w:sdtEndPr>
      <w:sdtContent>
        <w:p w14:paraId="53DAEAB8" w14:textId="6D67998D" w:rsidR="006630F8" w:rsidRPr="006630F8" w:rsidRDefault="006630F8" w:rsidP="006630F8">
          <w:pPr>
            <w:pStyle w:val="TOCHeading"/>
            <w:spacing w:line="480" w:lineRule="auto"/>
            <w:jc w:val="center"/>
            <w:rPr>
              <w:b/>
              <w:bCs/>
              <w:color w:val="000000" w:themeColor="text1"/>
            </w:rPr>
          </w:pPr>
          <w:r w:rsidRPr="006630F8">
            <w:rPr>
              <w:b/>
              <w:bCs/>
              <w:color w:val="000000" w:themeColor="text1"/>
            </w:rPr>
            <w:t>Table of Contents</w:t>
          </w:r>
        </w:p>
        <w:p w14:paraId="67F50CD1" w14:textId="2A5EC6D8" w:rsidR="006630F8" w:rsidRDefault="006630F8">
          <w:pPr>
            <w:pStyle w:val="TOC1"/>
            <w:tabs>
              <w:tab w:val="right" w:leader="dot" w:pos="9350"/>
            </w:tabs>
            <w:rPr>
              <w:noProof/>
            </w:rPr>
          </w:pPr>
          <w:r>
            <w:fldChar w:fldCharType="begin"/>
          </w:r>
          <w:r>
            <w:instrText xml:space="preserve"> TOC \o "1-3" \h \z \u </w:instrText>
          </w:r>
          <w:r>
            <w:fldChar w:fldCharType="separate"/>
          </w:r>
          <w:hyperlink w:anchor="_Toc213636390" w:history="1">
            <w:r w:rsidRPr="009B12EF">
              <w:rPr>
                <w:rStyle w:val="Hyperlink"/>
                <w:rFonts w:ascii="Arial" w:hAnsi="Arial" w:cs="Arial"/>
                <w:b/>
                <w:bCs/>
                <w:noProof/>
              </w:rPr>
              <w:t>Element 1: Business Idea, Products/Services, Objectives &amp; USP</w:t>
            </w:r>
            <w:r>
              <w:rPr>
                <w:noProof/>
                <w:webHidden/>
              </w:rPr>
              <w:tab/>
            </w:r>
            <w:r>
              <w:rPr>
                <w:noProof/>
                <w:webHidden/>
              </w:rPr>
              <w:fldChar w:fldCharType="begin"/>
            </w:r>
            <w:r>
              <w:rPr>
                <w:noProof/>
                <w:webHidden/>
              </w:rPr>
              <w:instrText xml:space="preserve"> PAGEREF _Toc213636390 \h </w:instrText>
            </w:r>
            <w:r>
              <w:rPr>
                <w:noProof/>
                <w:webHidden/>
              </w:rPr>
            </w:r>
            <w:r>
              <w:rPr>
                <w:noProof/>
                <w:webHidden/>
              </w:rPr>
              <w:fldChar w:fldCharType="separate"/>
            </w:r>
            <w:r>
              <w:rPr>
                <w:noProof/>
                <w:webHidden/>
              </w:rPr>
              <w:t>3</w:t>
            </w:r>
            <w:r>
              <w:rPr>
                <w:noProof/>
                <w:webHidden/>
              </w:rPr>
              <w:fldChar w:fldCharType="end"/>
            </w:r>
          </w:hyperlink>
        </w:p>
        <w:p w14:paraId="3EF98EF5" w14:textId="2745382F" w:rsidR="006630F8" w:rsidRDefault="006630F8">
          <w:pPr>
            <w:pStyle w:val="TOC2"/>
            <w:tabs>
              <w:tab w:val="right" w:leader="dot" w:pos="9350"/>
            </w:tabs>
            <w:rPr>
              <w:noProof/>
            </w:rPr>
          </w:pPr>
          <w:hyperlink w:anchor="_Toc213636391" w:history="1">
            <w:r w:rsidRPr="009B12EF">
              <w:rPr>
                <w:rStyle w:val="Hyperlink"/>
                <w:rFonts w:ascii="Arial" w:hAnsi="Arial" w:cs="Arial"/>
                <w:b/>
                <w:bCs/>
                <w:noProof/>
              </w:rPr>
              <w:t>Business Idea</w:t>
            </w:r>
            <w:r>
              <w:rPr>
                <w:noProof/>
                <w:webHidden/>
              </w:rPr>
              <w:tab/>
            </w:r>
            <w:r>
              <w:rPr>
                <w:noProof/>
                <w:webHidden/>
              </w:rPr>
              <w:fldChar w:fldCharType="begin"/>
            </w:r>
            <w:r>
              <w:rPr>
                <w:noProof/>
                <w:webHidden/>
              </w:rPr>
              <w:instrText xml:space="preserve"> PAGEREF _Toc213636391 \h </w:instrText>
            </w:r>
            <w:r>
              <w:rPr>
                <w:noProof/>
                <w:webHidden/>
              </w:rPr>
            </w:r>
            <w:r>
              <w:rPr>
                <w:noProof/>
                <w:webHidden/>
              </w:rPr>
              <w:fldChar w:fldCharType="separate"/>
            </w:r>
            <w:r>
              <w:rPr>
                <w:noProof/>
                <w:webHidden/>
              </w:rPr>
              <w:t>3</w:t>
            </w:r>
            <w:r>
              <w:rPr>
                <w:noProof/>
                <w:webHidden/>
              </w:rPr>
              <w:fldChar w:fldCharType="end"/>
            </w:r>
          </w:hyperlink>
        </w:p>
        <w:p w14:paraId="06EE2F77" w14:textId="1A07504F" w:rsidR="006630F8" w:rsidRDefault="006630F8">
          <w:pPr>
            <w:pStyle w:val="TOC2"/>
            <w:tabs>
              <w:tab w:val="right" w:leader="dot" w:pos="9350"/>
            </w:tabs>
            <w:rPr>
              <w:noProof/>
            </w:rPr>
          </w:pPr>
          <w:hyperlink w:anchor="_Toc213636392" w:history="1">
            <w:r w:rsidRPr="009B12EF">
              <w:rPr>
                <w:rStyle w:val="Hyperlink"/>
                <w:rFonts w:ascii="Arial" w:hAnsi="Arial" w:cs="Arial"/>
                <w:b/>
                <w:bCs/>
                <w:noProof/>
              </w:rPr>
              <w:t>Products and Services</w:t>
            </w:r>
            <w:r>
              <w:rPr>
                <w:noProof/>
                <w:webHidden/>
              </w:rPr>
              <w:tab/>
            </w:r>
            <w:r>
              <w:rPr>
                <w:noProof/>
                <w:webHidden/>
              </w:rPr>
              <w:fldChar w:fldCharType="begin"/>
            </w:r>
            <w:r>
              <w:rPr>
                <w:noProof/>
                <w:webHidden/>
              </w:rPr>
              <w:instrText xml:space="preserve"> PAGEREF _Toc213636392 \h </w:instrText>
            </w:r>
            <w:r>
              <w:rPr>
                <w:noProof/>
                <w:webHidden/>
              </w:rPr>
            </w:r>
            <w:r>
              <w:rPr>
                <w:noProof/>
                <w:webHidden/>
              </w:rPr>
              <w:fldChar w:fldCharType="separate"/>
            </w:r>
            <w:r>
              <w:rPr>
                <w:noProof/>
                <w:webHidden/>
              </w:rPr>
              <w:t>3</w:t>
            </w:r>
            <w:r>
              <w:rPr>
                <w:noProof/>
                <w:webHidden/>
              </w:rPr>
              <w:fldChar w:fldCharType="end"/>
            </w:r>
          </w:hyperlink>
        </w:p>
        <w:p w14:paraId="7A9F8F44" w14:textId="1CCEC774" w:rsidR="006630F8" w:rsidRDefault="006630F8">
          <w:pPr>
            <w:pStyle w:val="TOC2"/>
            <w:tabs>
              <w:tab w:val="right" w:leader="dot" w:pos="9350"/>
            </w:tabs>
            <w:rPr>
              <w:noProof/>
            </w:rPr>
          </w:pPr>
          <w:hyperlink w:anchor="_Toc213636393" w:history="1">
            <w:r w:rsidRPr="009B12EF">
              <w:rPr>
                <w:rStyle w:val="Hyperlink"/>
                <w:rFonts w:ascii="Arial" w:hAnsi="Arial" w:cs="Arial"/>
                <w:b/>
                <w:bCs/>
                <w:noProof/>
              </w:rPr>
              <w:t>Business Objectives</w:t>
            </w:r>
            <w:r>
              <w:rPr>
                <w:noProof/>
                <w:webHidden/>
              </w:rPr>
              <w:tab/>
            </w:r>
            <w:r>
              <w:rPr>
                <w:noProof/>
                <w:webHidden/>
              </w:rPr>
              <w:fldChar w:fldCharType="begin"/>
            </w:r>
            <w:r>
              <w:rPr>
                <w:noProof/>
                <w:webHidden/>
              </w:rPr>
              <w:instrText xml:space="preserve"> PAGEREF _Toc213636393 \h </w:instrText>
            </w:r>
            <w:r>
              <w:rPr>
                <w:noProof/>
                <w:webHidden/>
              </w:rPr>
            </w:r>
            <w:r>
              <w:rPr>
                <w:noProof/>
                <w:webHidden/>
              </w:rPr>
              <w:fldChar w:fldCharType="separate"/>
            </w:r>
            <w:r>
              <w:rPr>
                <w:noProof/>
                <w:webHidden/>
              </w:rPr>
              <w:t>4</w:t>
            </w:r>
            <w:r>
              <w:rPr>
                <w:noProof/>
                <w:webHidden/>
              </w:rPr>
              <w:fldChar w:fldCharType="end"/>
            </w:r>
          </w:hyperlink>
        </w:p>
        <w:p w14:paraId="564815E5" w14:textId="2F553DF7" w:rsidR="006630F8" w:rsidRDefault="006630F8">
          <w:pPr>
            <w:pStyle w:val="TOC2"/>
            <w:tabs>
              <w:tab w:val="right" w:leader="dot" w:pos="9350"/>
            </w:tabs>
            <w:rPr>
              <w:noProof/>
            </w:rPr>
          </w:pPr>
          <w:hyperlink w:anchor="_Toc213636394" w:history="1">
            <w:r w:rsidRPr="009B12EF">
              <w:rPr>
                <w:rStyle w:val="Hyperlink"/>
                <w:rFonts w:ascii="Arial" w:hAnsi="Arial" w:cs="Arial"/>
                <w:b/>
                <w:bCs/>
                <w:noProof/>
              </w:rPr>
              <w:t>Unique Selling Point (USP)</w:t>
            </w:r>
            <w:r>
              <w:rPr>
                <w:noProof/>
                <w:webHidden/>
              </w:rPr>
              <w:tab/>
            </w:r>
            <w:r>
              <w:rPr>
                <w:noProof/>
                <w:webHidden/>
              </w:rPr>
              <w:fldChar w:fldCharType="begin"/>
            </w:r>
            <w:r>
              <w:rPr>
                <w:noProof/>
                <w:webHidden/>
              </w:rPr>
              <w:instrText xml:space="preserve"> PAGEREF _Toc213636394 \h </w:instrText>
            </w:r>
            <w:r>
              <w:rPr>
                <w:noProof/>
                <w:webHidden/>
              </w:rPr>
            </w:r>
            <w:r>
              <w:rPr>
                <w:noProof/>
                <w:webHidden/>
              </w:rPr>
              <w:fldChar w:fldCharType="separate"/>
            </w:r>
            <w:r>
              <w:rPr>
                <w:noProof/>
                <w:webHidden/>
              </w:rPr>
              <w:t>4</w:t>
            </w:r>
            <w:r>
              <w:rPr>
                <w:noProof/>
                <w:webHidden/>
              </w:rPr>
              <w:fldChar w:fldCharType="end"/>
            </w:r>
          </w:hyperlink>
        </w:p>
        <w:p w14:paraId="267CC524" w14:textId="7B12C297" w:rsidR="006630F8" w:rsidRDefault="006630F8">
          <w:pPr>
            <w:pStyle w:val="TOC1"/>
            <w:tabs>
              <w:tab w:val="right" w:leader="dot" w:pos="9350"/>
            </w:tabs>
            <w:rPr>
              <w:noProof/>
            </w:rPr>
          </w:pPr>
          <w:hyperlink w:anchor="_Toc213636395" w:history="1">
            <w:r w:rsidRPr="009B12EF">
              <w:rPr>
                <w:rStyle w:val="Hyperlink"/>
                <w:rFonts w:ascii="Arial" w:hAnsi="Arial" w:cs="Arial"/>
                <w:b/>
                <w:bCs/>
                <w:noProof/>
              </w:rPr>
              <w:t>Element 2: Business Environment &amp; Competitor Analysis</w:t>
            </w:r>
            <w:r>
              <w:rPr>
                <w:noProof/>
                <w:webHidden/>
              </w:rPr>
              <w:tab/>
            </w:r>
            <w:r>
              <w:rPr>
                <w:noProof/>
                <w:webHidden/>
              </w:rPr>
              <w:fldChar w:fldCharType="begin"/>
            </w:r>
            <w:r>
              <w:rPr>
                <w:noProof/>
                <w:webHidden/>
              </w:rPr>
              <w:instrText xml:space="preserve"> PAGEREF _Toc213636395 \h </w:instrText>
            </w:r>
            <w:r>
              <w:rPr>
                <w:noProof/>
                <w:webHidden/>
              </w:rPr>
            </w:r>
            <w:r>
              <w:rPr>
                <w:noProof/>
                <w:webHidden/>
              </w:rPr>
              <w:fldChar w:fldCharType="separate"/>
            </w:r>
            <w:r>
              <w:rPr>
                <w:noProof/>
                <w:webHidden/>
              </w:rPr>
              <w:t>5</w:t>
            </w:r>
            <w:r>
              <w:rPr>
                <w:noProof/>
                <w:webHidden/>
              </w:rPr>
              <w:fldChar w:fldCharType="end"/>
            </w:r>
          </w:hyperlink>
        </w:p>
        <w:p w14:paraId="1BA3AC7B" w14:textId="7A9E5766" w:rsidR="006630F8" w:rsidRDefault="006630F8">
          <w:pPr>
            <w:pStyle w:val="TOC2"/>
            <w:tabs>
              <w:tab w:val="right" w:leader="dot" w:pos="9350"/>
            </w:tabs>
            <w:rPr>
              <w:noProof/>
            </w:rPr>
          </w:pPr>
          <w:hyperlink w:anchor="_Toc213636396" w:history="1">
            <w:r w:rsidRPr="009B12EF">
              <w:rPr>
                <w:rStyle w:val="Hyperlink"/>
                <w:rFonts w:ascii="Arial" w:hAnsi="Arial" w:cs="Arial"/>
                <w:b/>
                <w:bCs/>
                <w:noProof/>
              </w:rPr>
              <w:t>PESTEL Analysis</w:t>
            </w:r>
            <w:r>
              <w:rPr>
                <w:noProof/>
                <w:webHidden/>
              </w:rPr>
              <w:tab/>
            </w:r>
            <w:r>
              <w:rPr>
                <w:noProof/>
                <w:webHidden/>
              </w:rPr>
              <w:fldChar w:fldCharType="begin"/>
            </w:r>
            <w:r>
              <w:rPr>
                <w:noProof/>
                <w:webHidden/>
              </w:rPr>
              <w:instrText xml:space="preserve"> PAGEREF _Toc213636396 \h </w:instrText>
            </w:r>
            <w:r>
              <w:rPr>
                <w:noProof/>
                <w:webHidden/>
              </w:rPr>
            </w:r>
            <w:r>
              <w:rPr>
                <w:noProof/>
                <w:webHidden/>
              </w:rPr>
              <w:fldChar w:fldCharType="separate"/>
            </w:r>
            <w:r>
              <w:rPr>
                <w:noProof/>
                <w:webHidden/>
              </w:rPr>
              <w:t>5</w:t>
            </w:r>
            <w:r>
              <w:rPr>
                <w:noProof/>
                <w:webHidden/>
              </w:rPr>
              <w:fldChar w:fldCharType="end"/>
            </w:r>
          </w:hyperlink>
        </w:p>
        <w:p w14:paraId="711C9936" w14:textId="3BFA32B9" w:rsidR="006630F8" w:rsidRDefault="006630F8">
          <w:pPr>
            <w:pStyle w:val="TOC2"/>
            <w:tabs>
              <w:tab w:val="right" w:leader="dot" w:pos="9350"/>
            </w:tabs>
            <w:rPr>
              <w:noProof/>
            </w:rPr>
          </w:pPr>
          <w:hyperlink w:anchor="_Toc213636397" w:history="1">
            <w:r w:rsidRPr="009B12EF">
              <w:rPr>
                <w:rStyle w:val="Hyperlink"/>
                <w:rFonts w:ascii="Arial" w:hAnsi="Arial" w:cs="Arial"/>
                <w:b/>
                <w:bCs/>
                <w:noProof/>
              </w:rPr>
              <w:t>Porters 5 Forces</w:t>
            </w:r>
            <w:r>
              <w:rPr>
                <w:noProof/>
                <w:webHidden/>
              </w:rPr>
              <w:tab/>
            </w:r>
            <w:r>
              <w:rPr>
                <w:noProof/>
                <w:webHidden/>
              </w:rPr>
              <w:fldChar w:fldCharType="begin"/>
            </w:r>
            <w:r>
              <w:rPr>
                <w:noProof/>
                <w:webHidden/>
              </w:rPr>
              <w:instrText xml:space="preserve"> PAGEREF _Toc213636397 \h </w:instrText>
            </w:r>
            <w:r>
              <w:rPr>
                <w:noProof/>
                <w:webHidden/>
              </w:rPr>
            </w:r>
            <w:r>
              <w:rPr>
                <w:noProof/>
                <w:webHidden/>
              </w:rPr>
              <w:fldChar w:fldCharType="separate"/>
            </w:r>
            <w:r>
              <w:rPr>
                <w:noProof/>
                <w:webHidden/>
              </w:rPr>
              <w:t>8</w:t>
            </w:r>
            <w:r>
              <w:rPr>
                <w:noProof/>
                <w:webHidden/>
              </w:rPr>
              <w:fldChar w:fldCharType="end"/>
            </w:r>
          </w:hyperlink>
        </w:p>
        <w:p w14:paraId="712EA519" w14:textId="199D76AF" w:rsidR="006630F8" w:rsidRDefault="006630F8">
          <w:pPr>
            <w:pStyle w:val="TOC1"/>
            <w:tabs>
              <w:tab w:val="right" w:leader="dot" w:pos="9350"/>
            </w:tabs>
            <w:rPr>
              <w:noProof/>
            </w:rPr>
          </w:pPr>
          <w:hyperlink w:anchor="_Toc213636398" w:history="1">
            <w:r w:rsidRPr="009B12EF">
              <w:rPr>
                <w:rStyle w:val="Hyperlink"/>
                <w:rFonts w:ascii="Arial" w:hAnsi="Arial" w:cs="Arial"/>
                <w:b/>
                <w:bCs/>
                <w:noProof/>
              </w:rPr>
              <w:t>Element 3: 4Ps, Market Segmentation &amp; Marketing Strategies</w:t>
            </w:r>
            <w:r>
              <w:rPr>
                <w:noProof/>
                <w:webHidden/>
              </w:rPr>
              <w:tab/>
            </w:r>
            <w:r>
              <w:rPr>
                <w:noProof/>
                <w:webHidden/>
              </w:rPr>
              <w:fldChar w:fldCharType="begin"/>
            </w:r>
            <w:r>
              <w:rPr>
                <w:noProof/>
                <w:webHidden/>
              </w:rPr>
              <w:instrText xml:space="preserve"> PAGEREF _Toc213636398 \h </w:instrText>
            </w:r>
            <w:r>
              <w:rPr>
                <w:noProof/>
                <w:webHidden/>
              </w:rPr>
            </w:r>
            <w:r>
              <w:rPr>
                <w:noProof/>
                <w:webHidden/>
              </w:rPr>
              <w:fldChar w:fldCharType="separate"/>
            </w:r>
            <w:r>
              <w:rPr>
                <w:noProof/>
                <w:webHidden/>
              </w:rPr>
              <w:t>10</w:t>
            </w:r>
            <w:r>
              <w:rPr>
                <w:noProof/>
                <w:webHidden/>
              </w:rPr>
              <w:fldChar w:fldCharType="end"/>
            </w:r>
          </w:hyperlink>
        </w:p>
        <w:p w14:paraId="2580B349" w14:textId="260C644D" w:rsidR="006630F8" w:rsidRDefault="006630F8">
          <w:pPr>
            <w:pStyle w:val="TOC2"/>
            <w:tabs>
              <w:tab w:val="right" w:leader="dot" w:pos="9350"/>
            </w:tabs>
            <w:rPr>
              <w:noProof/>
            </w:rPr>
          </w:pPr>
          <w:hyperlink w:anchor="_Toc213636399" w:history="1">
            <w:r w:rsidRPr="009B12EF">
              <w:rPr>
                <w:rStyle w:val="Hyperlink"/>
                <w:rFonts w:ascii="Arial" w:hAnsi="Arial" w:cs="Arial"/>
                <w:b/>
                <w:bCs/>
                <w:noProof/>
              </w:rPr>
              <w:t>Market Segmentation and Target Customers</w:t>
            </w:r>
            <w:r>
              <w:rPr>
                <w:noProof/>
                <w:webHidden/>
              </w:rPr>
              <w:tab/>
            </w:r>
            <w:r>
              <w:rPr>
                <w:noProof/>
                <w:webHidden/>
              </w:rPr>
              <w:fldChar w:fldCharType="begin"/>
            </w:r>
            <w:r>
              <w:rPr>
                <w:noProof/>
                <w:webHidden/>
              </w:rPr>
              <w:instrText xml:space="preserve"> PAGEREF _Toc213636399 \h </w:instrText>
            </w:r>
            <w:r>
              <w:rPr>
                <w:noProof/>
                <w:webHidden/>
              </w:rPr>
            </w:r>
            <w:r>
              <w:rPr>
                <w:noProof/>
                <w:webHidden/>
              </w:rPr>
              <w:fldChar w:fldCharType="separate"/>
            </w:r>
            <w:r>
              <w:rPr>
                <w:noProof/>
                <w:webHidden/>
              </w:rPr>
              <w:t>10</w:t>
            </w:r>
            <w:r>
              <w:rPr>
                <w:noProof/>
                <w:webHidden/>
              </w:rPr>
              <w:fldChar w:fldCharType="end"/>
            </w:r>
          </w:hyperlink>
        </w:p>
        <w:p w14:paraId="556AAD18" w14:textId="31CA2970" w:rsidR="006630F8" w:rsidRDefault="006630F8">
          <w:pPr>
            <w:pStyle w:val="TOC2"/>
            <w:tabs>
              <w:tab w:val="right" w:leader="dot" w:pos="9350"/>
            </w:tabs>
            <w:rPr>
              <w:noProof/>
            </w:rPr>
          </w:pPr>
          <w:hyperlink w:anchor="_Toc213636400" w:history="1">
            <w:r w:rsidRPr="009B12EF">
              <w:rPr>
                <w:rStyle w:val="Hyperlink"/>
                <w:rFonts w:ascii="Arial" w:hAnsi="Arial" w:cs="Arial"/>
                <w:b/>
                <w:bCs/>
                <w:noProof/>
              </w:rPr>
              <w:t>Internet Marketing Strategies.</w:t>
            </w:r>
            <w:r>
              <w:rPr>
                <w:noProof/>
                <w:webHidden/>
              </w:rPr>
              <w:tab/>
            </w:r>
            <w:r>
              <w:rPr>
                <w:noProof/>
                <w:webHidden/>
              </w:rPr>
              <w:fldChar w:fldCharType="begin"/>
            </w:r>
            <w:r>
              <w:rPr>
                <w:noProof/>
                <w:webHidden/>
              </w:rPr>
              <w:instrText xml:space="preserve"> PAGEREF _Toc213636400 \h </w:instrText>
            </w:r>
            <w:r>
              <w:rPr>
                <w:noProof/>
                <w:webHidden/>
              </w:rPr>
            </w:r>
            <w:r>
              <w:rPr>
                <w:noProof/>
                <w:webHidden/>
              </w:rPr>
              <w:fldChar w:fldCharType="separate"/>
            </w:r>
            <w:r>
              <w:rPr>
                <w:noProof/>
                <w:webHidden/>
              </w:rPr>
              <w:t>12</w:t>
            </w:r>
            <w:r>
              <w:rPr>
                <w:noProof/>
                <w:webHidden/>
              </w:rPr>
              <w:fldChar w:fldCharType="end"/>
            </w:r>
          </w:hyperlink>
        </w:p>
        <w:p w14:paraId="787F46AF" w14:textId="45C5A7B2" w:rsidR="006630F8" w:rsidRDefault="006630F8">
          <w:pPr>
            <w:pStyle w:val="TOC1"/>
            <w:tabs>
              <w:tab w:val="right" w:leader="dot" w:pos="9350"/>
            </w:tabs>
            <w:rPr>
              <w:noProof/>
            </w:rPr>
          </w:pPr>
          <w:hyperlink w:anchor="_Toc213636401" w:history="1">
            <w:r w:rsidRPr="009B12EF">
              <w:rPr>
                <w:rStyle w:val="Hyperlink"/>
                <w:rFonts w:ascii="Arial" w:hAnsi="Arial" w:cs="Arial"/>
                <w:b/>
                <w:bCs/>
                <w:noProof/>
              </w:rPr>
              <w:t>Element 4: Legal, Management, and Financial Planning</w:t>
            </w:r>
            <w:r>
              <w:rPr>
                <w:noProof/>
                <w:webHidden/>
              </w:rPr>
              <w:tab/>
            </w:r>
            <w:r>
              <w:rPr>
                <w:noProof/>
                <w:webHidden/>
              </w:rPr>
              <w:fldChar w:fldCharType="begin"/>
            </w:r>
            <w:r>
              <w:rPr>
                <w:noProof/>
                <w:webHidden/>
              </w:rPr>
              <w:instrText xml:space="preserve"> PAGEREF _Toc213636401 \h </w:instrText>
            </w:r>
            <w:r>
              <w:rPr>
                <w:noProof/>
                <w:webHidden/>
              </w:rPr>
            </w:r>
            <w:r>
              <w:rPr>
                <w:noProof/>
                <w:webHidden/>
              </w:rPr>
              <w:fldChar w:fldCharType="separate"/>
            </w:r>
            <w:r>
              <w:rPr>
                <w:noProof/>
                <w:webHidden/>
              </w:rPr>
              <w:t>15</w:t>
            </w:r>
            <w:r>
              <w:rPr>
                <w:noProof/>
                <w:webHidden/>
              </w:rPr>
              <w:fldChar w:fldCharType="end"/>
            </w:r>
          </w:hyperlink>
        </w:p>
        <w:p w14:paraId="45C7A707" w14:textId="22F21E03" w:rsidR="006630F8" w:rsidRDefault="006630F8">
          <w:pPr>
            <w:pStyle w:val="TOC2"/>
            <w:tabs>
              <w:tab w:val="right" w:leader="dot" w:pos="9350"/>
            </w:tabs>
            <w:rPr>
              <w:noProof/>
            </w:rPr>
          </w:pPr>
          <w:hyperlink w:anchor="_Toc213636402" w:history="1">
            <w:r w:rsidRPr="009B12EF">
              <w:rPr>
                <w:rStyle w:val="Hyperlink"/>
                <w:rFonts w:ascii="Arial" w:hAnsi="Arial" w:cs="Arial"/>
                <w:b/>
                <w:bCs/>
                <w:noProof/>
              </w:rPr>
              <w:t>Legal Structure</w:t>
            </w:r>
            <w:r>
              <w:rPr>
                <w:noProof/>
                <w:webHidden/>
              </w:rPr>
              <w:tab/>
            </w:r>
            <w:r>
              <w:rPr>
                <w:noProof/>
                <w:webHidden/>
              </w:rPr>
              <w:fldChar w:fldCharType="begin"/>
            </w:r>
            <w:r>
              <w:rPr>
                <w:noProof/>
                <w:webHidden/>
              </w:rPr>
              <w:instrText xml:space="preserve"> PAGEREF _Toc213636402 \h </w:instrText>
            </w:r>
            <w:r>
              <w:rPr>
                <w:noProof/>
                <w:webHidden/>
              </w:rPr>
            </w:r>
            <w:r>
              <w:rPr>
                <w:noProof/>
                <w:webHidden/>
              </w:rPr>
              <w:fldChar w:fldCharType="separate"/>
            </w:r>
            <w:r>
              <w:rPr>
                <w:noProof/>
                <w:webHidden/>
              </w:rPr>
              <w:t>15</w:t>
            </w:r>
            <w:r>
              <w:rPr>
                <w:noProof/>
                <w:webHidden/>
              </w:rPr>
              <w:fldChar w:fldCharType="end"/>
            </w:r>
          </w:hyperlink>
        </w:p>
        <w:p w14:paraId="175F9056" w14:textId="78C39AB1" w:rsidR="006630F8" w:rsidRDefault="006630F8">
          <w:pPr>
            <w:pStyle w:val="TOC2"/>
            <w:tabs>
              <w:tab w:val="right" w:leader="dot" w:pos="9350"/>
            </w:tabs>
            <w:rPr>
              <w:noProof/>
            </w:rPr>
          </w:pPr>
          <w:hyperlink w:anchor="_Toc213636403" w:history="1">
            <w:r w:rsidRPr="009B12EF">
              <w:rPr>
                <w:rStyle w:val="Hyperlink"/>
                <w:rFonts w:ascii="Arial" w:hAnsi="Arial" w:cs="Arial"/>
                <w:b/>
                <w:bCs/>
                <w:noProof/>
              </w:rPr>
              <w:t>Start-up Funding Requirements</w:t>
            </w:r>
            <w:r>
              <w:rPr>
                <w:noProof/>
                <w:webHidden/>
              </w:rPr>
              <w:tab/>
            </w:r>
            <w:r>
              <w:rPr>
                <w:noProof/>
                <w:webHidden/>
              </w:rPr>
              <w:fldChar w:fldCharType="begin"/>
            </w:r>
            <w:r>
              <w:rPr>
                <w:noProof/>
                <w:webHidden/>
              </w:rPr>
              <w:instrText xml:space="preserve"> PAGEREF _Toc213636403 \h </w:instrText>
            </w:r>
            <w:r>
              <w:rPr>
                <w:noProof/>
                <w:webHidden/>
              </w:rPr>
            </w:r>
            <w:r>
              <w:rPr>
                <w:noProof/>
                <w:webHidden/>
              </w:rPr>
              <w:fldChar w:fldCharType="separate"/>
            </w:r>
            <w:r>
              <w:rPr>
                <w:noProof/>
                <w:webHidden/>
              </w:rPr>
              <w:t>16</w:t>
            </w:r>
            <w:r>
              <w:rPr>
                <w:noProof/>
                <w:webHidden/>
              </w:rPr>
              <w:fldChar w:fldCharType="end"/>
            </w:r>
          </w:hyperlink>
        </w:p>
        <w:p w14:paraId="4830F015" w14:textId="770A5A28" w:rsidR="006630F8" w:rsidRDefault="006630F8">
          <w:pPr>
            <w:pStyle w:val="TOC2"/>
            <w:tabs>
              <w:tab w:val="right" w:leader="dot" w:pos="9350"/>
            </w:tabs>
            <w:rPr>
              <w:noProof/>
            </w:rPr>
          </w:pPr>
          <w:hyperlink w:anchor="_Toc213636404" w:history="1">
            <w:r w:rsidRPr="009B12EF">
              <w:rPr>
                <w:rStyle w:val="Hyperlink"/>
                <w:rFonts w:ascii="Arial" w:hAnsi="Arial" w:cs="Arial"/>
                <w:b/>
                <w:bCs/>
                <w:noProof/>
              </w:rPr>
              <w:t>Proposed Funding Sources:</w:t>
            </w:r>
            <w:r>
              <w:rPr>
                <w:noProof/>
                <w:webHidden/>
              </w:rPr>
              <w:tab/>
            </w:r>
            <w:r>
              <w:rPr>
                <w:noProof/>
                <w:webHidden/>
              </w:rPr>
              <w:fldChar w:fldCharType="begin"/>
            </w:r>
            <w:r>
              <w:rPr>
                <w:noProof/>
                <w:webHidden/>
              </w:rPr>
              <w:instrText xml:space="preserve"> PAGEREF _Toc213636404 \h </w:instrText>
            </w:r>
            <w:r>
              <w:rPr>
                <w:noProof/>
                <w:webHidden/>
              </w:rPr>
            </w:r>
            <w:r>
              <w:rPr>
                <w:noProof/>
                <w:webHidden/>
              </w:rPr>
              <w:fldChar w:fldCharType="separate"/>
            </w:r>
            <w:r>
              <w:rPr>
                <w:noProof/>
                <w:webHidden/>
              </w:rPr>
              <w:t>16</w:t>
            </w:r>
            <w:r>
              <w:rPr>
                <w:noProof/>
                <w:webHidden/>
              </w:rPr>
              <w:fldChar w:fldCharType="end"/>
            </w:r>
          </w:hyperlink>
        </w:p>
        <w:p w14:paraId="1877425A" w14:textId="01FD4014" w:rsidR="006630F8" w:rsidRDefault="006630F8">
          <w:pPr>
            <w:pStyle w:val="TOC2"/>
            <w:tabs>
              <w:tab w:val="right" w:leader="dot" w:pos="9350"/>
            </w:tabs>
            <w:rPr>
              <w:noProof/>
            </w:rPr>
          </w:pPr>
          <w:hyperlink w:anchor="_Toc213636405" w:history="1">
            <w:r w:rsidRPr="009B12EF">
              <w:rPr>
                <w:rStyle w:val="Hyperlink"/>
                <w:rFonts w:ascii="Arial" w:hAnsi="Arial" w:cs="Arial"/>
                <w:b/>
                <w:bCs/>
                <w:noProof/>
              </w:rPr>
              <w:t>12-Month Cash Flow Forecast</w:t>
            </w:r>
            <w:r>
              <w:rPr>
                <w:noProof/>
                <w:webHidden/>
              </w:rPr>
              <w:tab/>
            </w:r>
            <w:r>
              <w:rPr>
                <w:noProof/>
                <w:webHidden/>
              </w:rPr>
              <w:fldChar w:fldCharType="begin"/>
            </w:r>
            <w:r>
              <w:rPr>
                <w:noProof/>
                <w:webHidden/>
              </w:rPr>
              <w:instrText xml:space="preserve"> PAGEREF _Toc213636405 \h </w:instrText>
            </w:r>
            <w:r>
              <w:rPr>
                <w:noProof/>
                <w:webHidden/>
              </w:rPr>
            </w:r>
            <w:r>
              <w:rPr>
                <w:noProof/>
                <w:webHidden/>
              </w:rPr>
              <w:fldChar w:fldCharType="separate"/>
            </w:r>
            <w:r>
              <w:rPr>
                <w:noProof/>
                <w:webHidden/>
              </w:rPr>
              <w:t>17</w:t>
            </w:r>
            <w:r>
              <w:rPr>
                <w:noProof/>
                <w:webHidden/>
              </w:rPr>
              <w:fldChar w:fldCharType="end"/>
            </w:r>
          </w:hyperlink>
        </w:p>
        <w:p w14:paraId="32393FAD" w14:textId="0E967B39" w:rsidR="006630F8" w:rsidRDefault="006630F8">
          <w:pPr>
            <w:pStyle w:val="TOC1"/>
            <w:tabs>
              <w:tab w:val="right" w:leader="dot" w:pos="9350"/>
            </w:tabs>
            <w:rPr>
              <w:noProof/>
            </w:rPr>
          </w:pPr>
          <w:hyperlink w:anchor="_Toc213636406" w:history="1">
            <w:r w:rsidRPr="009B12EF">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_Toc213636406 \h </w:instrText>
            </w:r>
            <w:r>
              <w:rPr>
                <w:noProof/>
                <w:webHidden/>
              </w:rPr>
            </w:r>
            <w:r>
              <w:rPr>
                <w:noProof/>
                <w:webHidden/>
              </w:rPr>
              <w:fldChar w:fldCharType="separate"/>
            </w:r>
            <w:r>
              <w:rPr>
                <w:noProof/>
                <w:webHidden/>
              </w:rPr>
              <w:t>18</w:t>
            </w:r>
            <w:r>
              <w:rPr>
                <w:noProof/>
                <w:webHidden/>
              </w:rPr>
              <w:fldChar w:fldCharType="end"/>
            </w:r>
          </w:hyperlink>
        </w:p>
        <w:p w14:paraId="106B81A5" w14:textId="3E01FD85" w:rsidR="006630F8" w:rsidRDefault="006630F8">
          <w:r>
            <w:rPr>
              <w:b/>
              <w:bCs/>
              <w:noProof/>
            </w:rPr>
            <w:fldChar w:fldCharType="end"/>
          </w:r>
        </w:p>
      </w:sdtContent>
    </w:sdt>
    <w:p w14:paraId="65E397FB" w14:textId="674A6F18" w:rsidR="006630F8" w:rsidRDefault="006630F8">
      <w:pPr>
        <w:rPr>
          <w:rFonts w:ascii="Arial" w:eastAsiaTheme="majorEastAsia" w:hAnsi="Arial" w:cs="Arial"/>
          <w:b/>
          <w:bCs/>
          <w:color w:val="000000" w:themeColor="text1"/>
        </w:rPr>
      </w:pPr>
      <w:r>
        <w:rPr>
          <w:rFonts w:ascii="Arial" w:hAnsi="Arial" w:cs="Arial"/>
          <w:b/>
          <w:bCs/>
          <w:color w:val="000000" w:themeColor="text1"/>
        </w:rPr>
        <w:br w:type="page"/>
      </w:r>
    </w:p>
    <w:p w14:paraId="1D2B7782" w14:textId="6C8FDB79" w:rsidR="00014DF1" w:rsidRPr="006630F8" w:rsidRDefault="00014DF1" w:rsidP="006630F8">
      <w:pPr>
        <w:pStyle w:val="Heading1"/>
        <w:spacing w:line="360" w:lineRule="auto"/>
        <w:rPr>
          <w:rFonts w:ascii="Arial" w:hAnsi="Arial" w:cs="Arial"/>
          <w:b/>
          <w:bCs/>
          <w:color w:val="000000" w:themeColor="text1"/>
          <w:sz w:val="24"/>
          <w:szCs w:val="24"/>
        </w:rPr>
      </w:pPr>
      <w:bookmarkStart w:id="0" w:name="_Toc213636390"/>
      <w:r w:rsidRPr="006630F8">
        <w:rPr>
          <w:rFonts w:ascii="Arial" w:hAnsi="Arial" w:cs="Arial"/>
          <w:b/>
          <w:bCs/>
          <w:color w:val="000000" w:themeColor="text1"/>
          <w:sz w:val="24"/>
          <w:szCs w:val="24"/>
        </w:rPr>
        <w:lastRenderedPageBreak/>
        <w:t>Element 1: Business Idea, Products/Services, Objectives &amp; USP</w:t>
      </w:r>
      <w:bookmarkEnd w:id="0"/>
    </w:p>
    <w:p w14:paraId="23BECF1E" w14:textId="77777777" w:rsidR="00E527D6" w:rsidRPr="006630F8" w:rsidRDefault="00E527D6" w:rsidP="006630F8">
      <w:pPr>
        <w:pStyle w:val="Heading2"/>
        <w:spacing w:line="360" w:lineRule="auto"/>
        <w:rPr>
          <w:rFonts w:ascii="Arial" w:hAnsi="Arial" w:cs="Arial"/>
          <w:b/>
          <w:bCs/>
          <w:color w:val="000000" w:themeColor="text1"/>
          <w:sz w:val="24"/>
          <w:szCs w:val="24"/>
        </w:rPr>
      </w:pPr>
      <w:bookmarkStart w:id="1" w:name="_Toc213636391"/>
      <w:r w:rsidRPr="006630F8">
        <w:rPr>
          <w:rFonts w:ascii="Arial" w:hAnsi="Arial" w:cs="Arial"/>
          <w:b/>
          <w:bCs/>
          <w:color w:val="000000" w:themeColor="text1"/>
          <w:sz w:val="24"/>
          <w:szCs w:val="24"/>
        </w:rPr>
        <w:t>Business Idea</w:t>
      </w:r>
      <w:bookmarkEnd w:id="1"/>
    </w:p>
    <w:p w14:paraId="6A1C6991" w14:textId="1A0B4C71" w:rsidR="00E527D6" w:rsidRDefault="00E527D6" w:rsidP="00E527D6">
      <w:pPr>
        <w:spacing w:line="360" w:lineRule="auto"/>
        <w:jc w:val="both"/>
        <w:rPr>
          <w:rFonts w:ascii="Arial" w:hAnsi="Arial" w:cs="Arial"/>
        </w:rPr>
      </w:pPr>
      <w:proofErr w:type="spellStart"/>
      <w:r w:rsidRPr="7B9AA84E">
        <w:rPr>
          <w:rFonts w:ascii="Arial" w:hAnsi="Arial" w:cs="Arial"/>
        </w:rPr>
        <w:t>EcoCharge</w:t>
      </w:r>
      <w:proofErr w:type="spellEnd"/>
      <w:r w:rsidRPr="7B9AA84E">
        <w:rPr>
          <w:rFonts w:ascii="Arial" w:hAnsi="Arial" w:cs="Arial"/>
        </w:rPr>
        <w:t xml:space="preserve"> Solutions is a sustainable electric vehicle (EV) charging system company aimed to respond to the increased need of available and friendly to the environment services of charging in the United Kingdom. </w:t>
      </w:r>
      <w:r w:rsidR="00357FB1" w:rsidRPr="00357FB1">
        <w:rPr>
          <w:rFonts w:ascii="Arial" w:hAnsi="Arial" w:cs="Arial"/>
        </w:rPr>
        <w:t xml:space="preserve">Despite 81,000 public charge </w:t>
      </w:r>
      <w:proofErr w:type="gramStart"/>
      <w:r w:rsidR="00357FB1" w:rsidRPr="00357FB1">
        <w:rPr>
          <w:rFonts w:ascii="Arial" w:hAnsi="Arial" w:cs="Arial"/>
        </w:rPr>
        <w:t>point</w:t>
      </w:r>
      <w:proofErr w:type="gramEnd"/>
      <w:r w:rsidR="00357FB1" w:rsidRPr="00357FB1">
        <w:rPr>
          <w:rFonts w:ascii="Arial" w:hAnsi="Arial" w:cs="Arial"/>
        </w:rPr>
        <w:t xml:space="preserve"> available today this is low compared to realistic need which will exceed 530,000 chargers by 2030. Hence the UK </w:t>
      </w:r>
      <w:r w:rsidR="00357FB1">
        <w:rPr>
          <w:rFonts w:ascii="Arial" w:hAnsi="Arial" w:cs="Arial"/>
        </w:rPr>
        <w:t xml:space="preserve">currently </w:t>
      </w:r>
      <w:r w:rsidR="00357FB1" w:rsidRPr="00357FB1">
        <w:rPr>
          <w:rFonts w:ascii="Arial" w:hAnsi="Arial" w:cs="Arial"/>
        </w:rPr>
        <w:t>has an infrastructure gap of over 450,000 charging points</w:t>
      </w:r>
      <w:r w:rsidR="00357FB1">
        <w:rPr>
          <w:rFonts w:ascii="Arial" w:hAnsi="Arial" w:cs="Arial"/>
        </w:rPr>
        <w:t xml:space="preserve"> </w:t>
      </w:r>
      <w:r w:rsidR="00357FB1" w:rsidRPr="00357FB1">
        <w:rPr>
          <w:rFonts w:ascii="Arial" w:hAnsi="Arial" w:cs="Arial"/>
        </w:rPr>
        <w:t>(Savills, 2025)</w:t>
      </w:r>
      <w:r w:rsidR="00357FB1">
        <w:rPr>
          <w:rFonts w:ascii="Arial" w:hAnsi="Arial" w:cs="Arial"/>
        </w:rPr>
        <w:t xml:space="preserve"> </w:t>
      </w:r>
      <w:r w:rsidRPr="7B9AA84E">
        <w:rPr>
          <w:rFonts w:ascii="Arial" w:hAnsi="Arial" w:cs="Arial"/>
        </w:rPr>
        <w:t xml:space="preserve">The business idea will be based on creating a web of solar-powered EV charging stations at strategic points such as retail parks, work car parks, residential buildings, and communities in rural areas that are currently not well served by current charging facilities. Since the UK government has been determined to prohibit the sale of new petrol and diesel vehicles by the year 2030, the shift towards electric mobility is a huge market opportunity (Department for Transport, 2023). </w:t>
      </w:r>
      <w:proofErr w:type="spellStart"/>
      <w:r w:rsidRPr="7B9AA84E">
        <w:rPr>
          <w:rFonts w:ascii="Arial" w:hAnsi="Arial" w:cs="Arial"/>
        </w:rPr>
        <w:t>EcoCharge</w:t>
      </w:r>
      <w:proofErr w:type="spellEnd"/>
      <w:r w:rsidRPr="7B9AA84E">
        <w:rPr>
          <w:rFonts w:ascii="Arial" w:hAnsi="Arial" w:cs="Arial"/>
        </w:rPr>
        <w:t xml:space="preserve"> Solutions will help eliminate the important gap in EV adoption and the presence of the reliable, sustainable charging infrastructure, as well as helping the UK to reach the goal of net-zero carbon emission by 2050 (Climate Change Committee, 2022).</w:t>
      </w:r>
    </w:p>
    <w:p w14:paraId="141E7CB5" w14:textId="33468D03" w:rsidR="00C765D8" w:rsidRPr="00E527D6" w:rsidRDefault="00C765D8" w:rsidP="00E527D6">
      <w:pPr>
        <w:spacing w:line="360" w:lineRule="auto"/>
        <w:jc w:val="both"/>
        <w:rPr>
          <w:rFonts w:ascii="Arial" w:hAnsi="Arial" w:cs="Arial"/>
        </w:rPr>
      </w:pPr>
      <w:r>
        <w:rPr>
          <w:rFonts w:ascii="Arial" w:hAnsi="Arial" w:cs="Arial"/>
          <w:noProof/>
        </w:rPr>
        <w:lastRenderedPageBreak/>
        <w:drawing>
          <wp:inline distT="0" distB="0" distL="0" distR="0" wp14:anchorId="349C7C0A" wp14:editId="13EEA496">
            <wp:extent cx="5943600" cy="3962400"/>
            <wp:effectExtent l="152400" t="152400" r="361950" b="361950"/>
            <wp:docPr id="9710882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088228" name="Picture 971088228"/>
                    <pic:cNvPicPr/>
                  </pic:nvPicPr>
                  <pic:blipFill>
                    <a:blip r:embed="rId9"/>
                    <a:stretch>
                      <a:fillRect/>
                    </a:stretch>
                  </pic:blipFill>
                  <pic:spPr>
                    <a:xfrm>
                      <a:off x="0" y="0"/>
                      <a:ext cx="5943600" cy="3962400"/>
                    </a:xfrm>
                    <a:prstGeom prst="rect">
                      <a:avLst/>
                    </a:prstGeom>
                    <a:ln>
                      <a:noFill/>
                    </a:ln>
                    <a:effectLst>
                      <a:outerShdw blurRad="292100" dist="139700" dir="2700000" algn="tl" rotWithShape="0">
                        <a:srgbClr val="333333">
                          <a:alpha val="65000"/>
                        </a:srgbClr>
                      </a:outerShdw>
                    </a:effectLst>
                  </pic:spPr>
                </pic:pic>
              </a:graphicData>
            </a:graphic>
          </wp:inline>
        </w:drawing>
      </w:r>
    </w:p>
    <w:p w14:paraId="5F0ADE4E" w14:textId="77777777" w:rsidR="00E527D6" w:rsidRPr="006630F8" w:rsidRDefault="00E527D6" w:rsidP="006630F8">
      <w:pPr>
        <w:pStyle w:val="Heading2"/>
        <w:spacing w:line="360" w:lineRule="auto"/>
        <w:rPr>
          <w:rFonts w:ascii="Arial" w:hAnsi="Arial" w:cs="Arial"/>
          <w:b/>
          <w:bCs/>
          <w:color w:val="000000" w:themeColor="text1"/>
          <w:sz w:val="24"/>
          <w:szCs w:val="24"/>
        </w:rPr>
      </w:pPr>
      <w:bookmarkStart w:id="2" w:name="_Toc213636392"/>
      <w:r w:rsidRPr="006630F8">
        <w:rPr>
          <w:rFonts w:ascii="Arial" w:hAnsi="Arial" w:cs="Arial"/>
          <w:b/>
          <w:bCs/>
          <w:color w:val="000000" w:themeColor="text1"/>
          <w:sz w:val="24"/>
          <w:szCs w:val="24"/>
        </w:rPr>
        <w:t>Products and Services</w:t>
      </w:r>
      <w:bookmarkEnd w:id="2"/>
    </w:p>
    <w:p w14:paraId="3EFF2F20" w14:textId="77777777" w:rsidR="00E527D6" w:rsidRPr="00E527D6" w:rsidRDefault="00E527D6" w:rsidP="00E527D6">
      <w:pPr>
        <w:spacing w:line="360" w:lineRule="auto"/>
        <w:jc w:val="both"/>
        <w:rPr>
          <w:rFonts w:ascii="Arial" w:hAnsi="Arial" w:cs="Arial"/>
        </w:rPr>
      </w:pPr>
      <w:proofErr w:type="spellStart"/>
      <w:r w:rsidRPr="00E527D6">
        <w:rPr>
          <w:rFonts w:ascii="Arial" w:hAnsi="Arial" w:cs="Arial"/>
        </w:rPr>
        <w:t>EcoCharge</w:t>
      </w:r>
      <w:proofErr w:type="spellEnd"/>
      <w:r w:rsidRPr="00E527D6">
        <w:rPr>
          <w:rFonts w:ascii="Arial" w:hAnsi="Arial" w:cs="Arial"/>
        </w:rPr>
        <w:t xml:space="preserve"> Solutions will provide an all-inclusive line of charging solutions to meet the different customer requirements. Its key product line comprises rapid charging stations (150kW+), which can charge the battery up to 80 percent in 20-30 minutes, and fast chargers (7-22kW), which can be used in longer parking operations like shopping </w:t>
      </w:r>
      <w:proofErr w:type="spellStart"/>
      <w:r w:rsidRPr="00E527D6">
        <w:rPr>
          <w:rFonts w:ascii="Arial" w:hAnsi="Arial" w:cs="Arial"/>
        </w:rPr>
        <w:t>centres</w:t>
      </w:r>
      <w:proofErr w:type="spellEnd"/>
      <w:r w:rsidRPr="00E527D6">
        <w:rPr>
          <w:rFonts w:ascii="Arial" w:hAnsi="Arial" w:cs="Arial"/>
        </w:rPr>
        <w:t xml:space="preserve"> and workplaces (Morrissey et al., 2016). Every charging point will be accompanied by canopies of solar panels and batteries that will provide a source of sustainable energy and will lessen the need to use grid electricity at the peak times.</w:t>
      </w:r>
    </w:p>
    <w:p w14:paraId="5EBFC1D4" w14:textId="77777777" w:rsidR="00E527D6" w:rsidRPr="00E527D6" w:rsidRDefault="00E527D6" w:rsidP="00E527D6">
      <w:pPr>
        <w:spacing w:line="360" w:lineRule="auto"/>
        <w:jc w:val="both"/>
        <w:rPr>
          <w:rFonts w:ascii="Arial" w:hAnsi="Arial" w:cs="Arial"/>
        </w:rPr>
      </w:pPr>
      <w:r w:rsidRPr="00E527D6">
        <w:rPr>
          <w:rFonts w:ascii="Arial" w:hAnsi="Arial" w:cs="Arial"/>
        </w:rPr>
        <w:t xml:space="preserve">The services to be offered will include a subscription-based membership system that will offer discounted rates on charging, priority accessibility </w:t>
      </w:r>
      <w:proofErr w:type="gramStart"/>
      <w:r w:rsidRPr="00E527D6">
        <w:rPr>
          <w:rFonts w:ascii="Arial" w:hAnsi="Arial" w:cs="Arial"/>
        </w:rPr>
        <w:t>in</w:t>
      </w:r>
      <w:proofErr w:type="gramEnd"/>
      <w:r w:rsidRPr="00E527D6">
        <w:rPr>
          <w:rFonts w:ascii="Arial" w:hAnsi="Arial" w:cs="Arial"/>
        </w:rPr>
        <w:t xml:space="preserve"> peak hours, and a mobile application that will offer real-time availability of chargers, the ability to make reservations, and contactless payment systems. Also, </w:t>
      </w:r>
      <w:proofErr w:type="spellStart"/>
      <w:r w:rsidRPr="00E527D6">
        <w:rPr>
          <w:rFonts w:ascii="Arial" w:hAnsi="Arial" w:cs="Arial"/>
        </w:rPr>
        <w:t>EcoCharge</w:t>
      </w:r>
      <w:proofErr w:type="spellEnd"/>
      <w:r w:rsidRPr="00E527D6">
        <w:rPr>
          <w:rFonts w:ascii="Arial" w:hAnsi="Arial" w:cs="Arial"/>
        </w:rPr>
        <w:t xml:space="preserve"> Solutions will offer corporate partnership packages where businesses will be able to install charging infrastructure on </w:t>
      </w:r>
      <w:r w:rsidRPr="00E527D6">
        <w:rPr>
          <w:rFonts w:ascii="Arial" w:hAnsi="Arial" w:cs="Arial"/>
        </w:rPr>
        <w:lastRenderedPageBreak/>
        <w:t>their property on a revenue-sharing or lease-basis contract, thus facilitating corporate sustainability efforts with no significant capital requirements (</w:t>
      </w:r>
      <w:proofErr w:type="spellStart"/>
      <w:r w:rsidRPr="00E527D6">
        <w:rPr>
          <w:rFonts w:ascii="Arial" w:hAnsi="Arial" w:cs="Arial"/>
        </w:rPr>
        <w:t>Wolbertus</w:t>
      </w:r>
      <w:proofErr w:type="spellEnd"/>
      <w:r w:rsidRPr="00E527D6">
        <w:rPr>
          <w:rFonts w:ascii="Arial" w:hAnsi="Arial" w:cs="Arial"/>
        </w:rPr>
        <w:t xml:space="preserve"> et al., 2018).</w:t>
      </w:r>
    </w:p>
    <w:p w14:paraId="7D7BCEBC" w14:textId="77777777" w:rsidR="00E527D6" w:rsidRPr="006630F8" w:rsidRDefault="00E527D6" w:rsidP="006630F8">
      <w:pPr>
        <w:pStyle w:val="Heading2"/>
        <w:spacing w:line="360" w:lineRule="auto"/>
        <w:rPr>
          <w:rFonts w:ascii="Arial" w:hAnsi="Arial" w:cs="Arial"/>
          <w:b/>
          <w:bCs/>
          <w:color w:val="000000" w:themeColor="text1"/>
          <w:sz w:val="24"/>
          <w:szCs w:val="24"/>
        </w:rPr>
      </w:pPr>
      <w:bookmarkStart w:id="3" w:name="_Toc213636393"/>
      <w:r w:rsidRPr="006630F8">
        <w:rPr>
          <w:rFonts w:ascii="Arial" w:hAnsi="Arial" w:cs="Arial"/>
          <w:b/>
          <w:bCs/>
          <w:color w:val="000000" w:themeColor="text1"/>
          <w:sz w:val="24"/>
          <w:szCs w:val="24"/>
        </w:rPr>
        <w:t>Business Objectives</w:t>
      </w:r>
      <w:bookmarkEnd w:id="3"/>
    </w:p>
    <w:p w14:paraId="11B6F1A5" w14:textId="77777777" w:rsidR="00E527D6" w:rsidRPr="00E527D6" w:rsidRDefault="00E527D6" w:rsidP="00E527D6">
      <w:pPr>
        <w:spacing w:line="360" w:lineRule="auto"/>
        <w:jc w:val="both"/>
        <w:rPr>
          <w:rFonts w:ascii="Arial" w:hAnsi="Arial" w:cs="Arial"/>
        </w:rPr>
      </w:pPr>
      <w:r w:rsidRPr="00E527D6">
        <w:rPr>
          <w:rFonts w:ascii="Arial" w:hAnsi="Arial" w:cs="Arial"/>
        </w:rPr>
        <w:t xml:space="preserve">Short-term goals (Years 1-2) are aimed at penetrating the market and building the basis of operations. The business will have a target of installing 25 charging stations in three areas in England within the first 12 months, 2,000 active subscribers after the first year of operation, and </w:t>
      </w:r>
      <w:proofErr w:type="gramStart"/>
      <w:r w:rsidRPr="00E527D6">
        <w:rPr>
          <w:rFonts w:ascii="Arial" w:hAnsi="Arial" w:cs="Arial"/>
        </w:rPr>
        <w:t>get</w:t>
      </w:r>
      <w:proofErr w:type="gramEnd"/>
      <w:r w:rsidRPr="00E527D6">
        <w:rPr>
          <w:rFonts w:ascii="Arial" w:hAnsi="Arial" w:cs="Arial"/>
        </w:rPr>
        <w:t xml:space="preserve"> at least 5 major retail or corporate partners. Also, the certification of 100 </w:t>
      </w:r>
      <w:proofErr w:type="gramStart"/>
      <w:r w:rsidRPr="00E527D6">
        <w:rPr>
          <w:rFonts w:ascii="Arial" w:hAnsi="Arial" w:cs="Arial"/>
        </w:rPr>
        <w:t>percent of</w:t>
      </w:r>
      <w:proofErr w:type="gramEnd"/>
      <w:r w:rsidRPr="00E527D6">
        <w:rPr>
          <w:rFonts w:ascii="Arial" w:hAnsi="Arial" w:cs="Arial"/>
        </w:rPr>
        <w:t xml:space="preserve"> renewable energy and brand recognition in the sustainable transport industry are important initial targets (Hardman et al., 2018).</w:t>
      </w:r>
    </w:p>
    <w:p w14:paraId="3260F76C" w14:textId="77777777" w:rsidR="00E527D6" w:rsidRPr="00E527D6" w:rsidRDefault="00E527D6" w:rsidP="00E527D6">
      <w:pPr>
        <w:spacing w:line="360" w:lineRule="auto"/>
        <w:jc w:val="both"/>
        <w:rPr>
          <w:rFonts w:ascii="Arial" w:hAnsi="Arial" w:cs="Arial"/>
        </w:rPr>
      </w:pPr>
      <w:r w:rsidRPr="00E527D6">
        <w:rPr>
          <w:rFonts w:ascii="Arial" w:hAnsi="Arial" w:cs="Arial"/>
        </w:rPr>
        <w:t xml:space="preserve">The long-term goals (Years 3-5) focus on scalability and dominance in the market. </w:t>
      </w:r>
      <w:proofErr w:type="spellStart"/>
      <w:r w:rsidRPr="00E527D6">
        <w:rPr>
          <w:rFonts w:ascii="Arial" w:hAnsi="Arial" w:cs="Arial"/>
        </w:rPr>
        <w:t>EcoCharge</w:t>
      </w:r>
      <w:proofErr w:type="spellEnd"/>
      <w:r w:rsidRPr="00E527D6">
        <w:rPr>
          <w:rFonts w:ascii="Arial" w:hAnsi="Arial" w:cs="Arial"/>
        </w:rPr>
        <w:t xml:space="preserve"> Solutions aims at having 150+ charging points across the UK, having a market share of 8% of all publicly charged in the UK, and making a profit within three years. The company will seek strategic alliances with automotive companies and energy </w:t>
      </w:r>
      <w:proofErr w:type="gramStart"/>
      <w:r w:rsidRPr="00E527D6">
        <w:rPr>
          <w:rFonts w:ascii="Arial" w:hAnsi="Arial" w:cs="Arial"/>
        </w:rPr>
        <w:t>providers, and</w:t>
      </w:r>
      <w:proofErr w:type="gramEnd"/>
      <w:r w:rsidRPr="00E527D6">
        <w:rPr>
          <w:rFonts w:ascii="Arial" w:hAnsi="Arial" w:cs="Arial"/>
        </w:rPr>
        <w:t xml:space="preserve"> consider the franchise option as an option to accelerate the growth process in geographical terms. Moreover, such investment in emerging technologies as ultra-rapid charging (350kW+) and vehicle-to-grid (V2G) integration will make the company an industry leader in terms of innovativeness (Noel et al., 2019).</w:t>
      </w:r>
    </w:p>
    <w:p w14:paraId="4D00B1B7" w14:textId="77777777" w:rsidR="00E527D6" w:rsidRPr="006630F8" w:rsidRDefault="00E527D6" w:rsidP="006630F8">
      <w:pPr>
        <w:pStyle w:val="Heading2"/>
        <w:spacing w:line="360" w:lineRule="auto"/>
        <w:rPr>
          <w:rFonts w:ascii="Arial" w:hAnsi="Arial" w:cs="Arial"/>
          <w:b/>
          <w:bCs/>
          <w:color w:val="000000" w:themeColor="text1"/>
          <w:sz w:val="24"/>
          <w:szCs w:val="24"/>
        </w:rPr>
      </w:pPr>
      <w:bookmarkStart w:id="4" w:name="_Toc213636394"/>
      <w:r w:rsidRPr="006630F8">
        <w:rPr>
          <w:rFonts w:ascii="Arial" w:hAnsi="Arial" w:cs="Arial"/>
          <w:b/>
          <w:bCs/>
          <w:color w:val="000000" w:themeColor="text1"/>
          <w:sz w:val="24"/>
          <w:szCs w:val="24"/>
        </w:rPr>
        <w:t>Unique Selling Point (USP)</w:t>
      </w:r>
      <w:bookmarkEnd w:id="4"/>
    </w:p>
    <w:p w14:paraId="09B1B7E2" w14:textId="2EAE9E43" w:rsidR="00BD477E" w:rsidRDefault="00E527D6" w:rsidP="00E527D6">
      <w:pPr>
        <w:spacing w:line="360" w:lineRule="auto"/>
        <w:jc w:val="both"/>
        <w:rPr>
          <w:rFonts w:ascii="Arial" w:hAnsi="Arial" w:cs="Arial"/>
        </w:rPr>
      </w:pPr>
      <w:proofErr w:type="spellStart"/>
      <w:r w:rsidRPr="00E527D6">
        <w:rPr>
          <w:rFonts w:ascii="Arial" w:hAnsi="Arial" w:cs="Arial"/>
        </w:rPr>
        <w:t>EcoCharge</w:t>
      </w:r>
      <w:proofErr w:type="spellEnd"/>
      <w:r w:rsidRPr="00E527D6">
        <w:rPr>
          <w:rFonts w:ascii="Arial" w:hAnsi="Arial" w:cs="Arial"/>
        </w:rPr>
        <w:t xml:space="preserve"> Solutions focuses on building competitive advantage by offering the combination of 100% solar-powered charging infrastructure and high customer experience. In contrast to traditional charging networks that depend on grid electricity as a major source of power, all </w:t>
      </w:r>
      <w:proofErr w:type="spellStart"/>
      <w:r w:rsidRPr="00E527D6">
        <w:rPr>
          <w:rFonts w:ascii="Arial" w:hAnsi="Arial" w:cs="Arial"/>
        </w:rPr>
        <w:t>EcoCharge</w:t>
      </w:r>
      <w:proofErr w:type="spellEnd"/>
      <w:r w:rsidRPr="00E527D6">
        <w:rPr>
          <w:rFonts w:ascii="Arial" w:hAnsi="Arial" w:cs="Arial"/>
        </w:rPr>
        <w:t xml:space="preserve"> stations use renewable solar energy and have built-in battery storage, hence true zero-emission charging (Khalid et al., 2019). The advanced smartphone app will offer proactive availability solutions that will alleviate anxiety to customers related to charger availability, which is a major challenge to EV adoption. Furthermore, the straightforward pricing system with no extra charges, customer loyalty programs and community involvement will help to build the confidence of customers and keep them loyal. </w:t>
      </w:r>
      <w:proofErr w:type="gramStart"/>
      <w:r w:rsidRPr="00E527D6">
        <w:rPr>
          <w:rFonts w:ascii="Arial" w:hAnsi="Arial" w:cs="Arial"/>
        </w:rPr>
        <w:t>Such an</w:t>
      </w:r>
      <w:proofErr w:type="gramEnd"/>
      <w:r w:rsidRPr="00E527D6">
        <w:rPr>
          <w:rFonts w:ascii="Arial" w:hAnsi="Arial" w:cs="Arial"/>
        </w:rPr>
        <w:t xml:space="preserve"> environmental friendliness, technological advancement, and customer-focused service provision </w:t>
      </w:r>
      <w:proofErr w:type="gramStart"/>
      <w:r w:rsidRPr="00E527D6">
        <w:rPr>
          <w:rFonts w:ascii="Arial" w:hAnsi="Arial" w:cs="Arial"/>
        </w:rPr>
        <w:t>makes</w:t>
      </w:r>
      <w:proofErr w:type="gramEnd"/>
      <w:r w:rsidRPr="00E527D6">
        <w:rPr>
          <w:rFonts w:ascii="Arial" w:hAnsi="Arial" w:cs="Arial"/>
        </w:rPr>
        <w:t xml:space="preserve"> </w:t>
      </w:r>
      <w:proofErr w:type="spellStart"/>
      <w:r w:rsidRPr="00E527D6">
        <w:rPr>
          <w:rFonts w:ascii="Arial" w:hAnsi="Arial" w:cs="Arial"/>
        </w:rPr>
        <w:t>EcoCharge</w:t>
      </w:r>
      <w:proofErr w:type="spellEnd"/>
      <w:r w:rsidRPr="00E527D6">
        <w:rPr>
          <w:rFonts w:ascii="Arial" w:hAnsi="Arial" w:cs="Arial"/>
        </w:rPr>
        <w:t xml:space="preserve"> Solutions the </w:t>
      </w:r>
      <w:r w:rsidRPr="00E527D6">
        <w:rPr>
          <w:rFonts w:ascii="Arial" w:hAnsi="Arial" w:cs="Arial"/>
        </w:rPr>
        <w:lastRenderedPageBreak/>
        <w:t xml:space="preserve">best option of </w:t>
      </w:r>
      <w:proofErr w:type="gramStart"/>
      <w:r w:rsidRPr="00E527D6">
        <w:rPr>
          <w:rFonts w:ascii="Arial" w:hAnsi="Arial" w:cs="Arial"/>
        </w:rPr>
        <w:t>environmentally-conscious</w:t>
      </w:r>
      <w:proofErr w:type="gramEnd"/>
      <w:r w:rsidRPr="00E527D6">
        <w:rPr>
          <w:rFonts w:ascii="Arial" w:hAnsi="Arial" w:cs="Arial"/>
        </w:rPr>
        <w:t xml:space="preserve"> EV drivers who want to have sustainable mobility solutions.</w:t>
      </w:r>
      <w:r w:rsidR="00BD477E">
        <w:rPr>
          <w:rFonts w:ascii="Arial" w:hAnsi="Arial" w:cs="Arial"/>
        </w:rPr>
        <w:br w:type="page"/>
      </w:r>
    </w:p>
    <w:p w14:paraId="7AE6F1C2" w14:textId="77777777" w:rsidR="00BD477E" w:rsidRPr="006630F8" w:rsidRDefault="00BD477E" w:rsidP="006630F8">
      <w:pPr>
        <w:pStyle w:val="Heading1"/>
        <w:spacing w:line="360" w:lineRule="auto"/>
        <w:rPr>
          <w:rFonts w:ascii="Arial" w:hAnsi="Arial" w:cs="Arial"/>
          <w:b/>
          <w:bCs/>
          <w:color w:val="000000" w:themeColor="text1"/>
          <w:sz w:val="24"/>
          <w:szCs w:val="24"/>
        </w:rPr>
      </w:pPr>
      <w:bookmarkStart w:id="5" w:name="_Toc213636395"/>
      <w:r w:rsidRPr="006630F8">
        <w:rPr>
          <w:rFonts w:ascii="Arial" w:hAnsi="Arial" w:cs="Arial"/>
          <w:b/>
          <w:bCs/>
          <w:color w:val="000000" w:themeColor="text1"/>
          <w:sz w:val="24"/>
          <w:szCs w:val="24"/>
        </w:rPr>
        <w:lastRenderedPageBreak/>
        <w:t>Element 2: Business Environment &amp; Competitor Analysis</w:t>
      </w:r>
      <w:bookmarkEnd w:id="5"/>
    </w:p>
    <w:p w14:paraId="6B332DB3" w14:textId="77777777" w:rsidR="00E527D6" w:rsidRPr="006630F8" w:rsidRDefault="00E527D6" w:rsidP="006630F8">
      <w:pPr>
        <w:pStyle w:val="Heading2"/>
        <w:spacing w:line="360" w:lineRule="auto"/>
        <w:rPr>
          <w:rFonts w:ascii="Arial" w:hAnsi="Arial" w:cs="Arial"/>
          <w:b/>
          <w:bCs/>
          <w:color w:val="000000" w:themeColor="text1"/>
          <w:sz w:val="24"/>
          <w:szCs w:val="24"/>
        </w:rPr>
      </w:pPr>
      <w:bookmarkStart w:id="6" w:name="_Toc213636396"/>
      <w:r w:rsidRPr="006630F8">
        <w:rPr>
          <w:rFonts w:ascii="Arial" w:hAnsi="Arial" w:cs="Arial"/>
          <w:b/>
          <w:bCs/>
          <w:color w:val="000000" w:themeColor="text1"/>
          <w:sz w:val="24"/>
          <w:szCs w:val="24"/>
        </w:rPr>
        <w:t>PESTEL Analysis</w:t>
      </w:r>
      <w:bookmarkEnd w:id="6"/>
    </w:p>
    <w:p w14:paraId="256D24E3" w14:textId="77777777" w:rsidR="00E527D6" w:rsidRPr="00E527D6" w:rsidRDefault="00E527D6" w:rsidP="00E527D6">
      <w:pPr>
        <w:spacing w:line="360" w:lineRule="auto"/>
        <w:jc w:val="both"/>
        <w:rPr>
          <w:rFonts w:ascii="Arial" w:hAnsi="Arial" w:cs="Arial"/>
        </w:rPr>
      </w:pPr>
      <w:r w:rsidRPr="00E527D6">
        <w:rPr>
          <w:rFonts w:ascii="Arial" w:hAnsi="Arial" w:cs="Arial"/>
        </w:rPr>
        <w:t xml:space="preserve">An in-depth PESTEL analysis indicates the complex external environment that affects the activities of </w:t>
      </w:r>
      <w:proofErr w:type="spellStart"/>
      <w:r w:rsidRPr="00E527D6">
        <w:rPr>
          <w:rFonts w:ascii="Arial" w:hAnsi="Arial" w:cs="Arial"/>
        </w:rPr>
        <w:t>EcoCharge</w:t>
      </w:r>
      <w:proofErr w:type="spellEnd"/>
      <w:r w:rsidRPr="00E527D6">
        <w:rPr>
          <w:rFonts w:ascii="Arial" w:hAnsi="Arial" w:cs="Arial"/>
        </w:rPr>
        <w:t xml:space="preserve"> Solutions in the electric vehicle charging industry in the UK.</w:t>
      </w:r>
    </w:p>
    <w:p w14:paraId="672CF1DA" w14:textId="70DB7CEE" w:rsidR="00E527D6" w:rsidRPr="00E527D6" w:rsidRDefault="00E527D6" w:rsidP="00E527D6">
      <w:pPr>
        <w:spacing w:line="360" w:lineRule="auto"/>
        <w:jc w:val="both"/>
        <w:rPr>
          <w:rFonts w:ascii="Arial" w:hAnsi="Arial" w:cs="Arial"/>
        </w:rPr>
      </w:pPr>
      <w:r w:rsidRPr="7B9AA84E">
        <w:rPr>
          <w:rFonts w:ascii="Arial" w:hAnsi="Arial" w:cs="Arial"/>
        </w:rPr>
        <w:t xml:space="preserve">Political variables show that there is a solid governmental support </w:t>
      </w:r>
      <w:proofErr w:type="gramStart"/>
      <w:r w:rsidRPr="7B9AA84E">
        <w:rPr>
          <w:rFonts w:ascii="Arial" w:hAnsi="Arial" w:cs="Arial"/>
        </w:rPr>
        <w:t>of</w:t>
      </w:r>
      <w:proofErr w:type="gramEnd"/>
      <w:r w:rsidRPr="7B9AA84E">
        <w:rPr>
          <w:rFonts w:ascii="Arial" w:hAnsi="Arial" w:cs="Arial"/>
        </w:rPr>
        <w:t xml:space="preserve"> EV infrastructure development. The new policies and measures introduced by the UK government to prohibit the sale of new vehicles based on petrol and diesel by 2030, as well as the significant amount of funds allocated to the development of charging infrastructure (e.g.1.6 billion</w:t>
      </w:r>
      <w:r w:rsidR="00F01F82">
        <w:rPr>
          <w:rFonts w:ascii="Arial" w:hAnsi="Arial" w:cs="Arial"/>
        </w:rPr>
        <w:t xml:space="preserve"> £</w:t>
      </w:r>
      <w:r w:rsidRPr="7B9AA84E">
        <w:rPr>
          <w:rFonts w:ascii="Arial" w:hAnsi="Arial" w:cs="Arial"/>
        </w:rPr>
        <w:t>) are promising (Department for Transport, 2023). Moreover, the planning policies of local governments have been progressively requiring EV charging infrastructure in new schemes, which will enable them to enter and grow the market (HM Government, 2021).</w:t>
      </w:r>
    </w:p>
    <w:p w14:paraId="42472CC9" w14:textId="77777777" w:rsidR="00E527D6" w:rsidRPr="00E527D6" w:rsidRDefault="00E527D6" w:rsidP="00E527D6">
      <w:pPr>
        <w:spacing w:line="360" w:lineRule="auto"/>
        <w:jc w:val="both"/>
        <w:rPr>
          <w:rFonts w:ascii="Arial" w:hAnsi="Arial" w:cs="Arial"/>
        </w:rPr>
      </w:pPr>
      <w:r w:rsidRPr="00E527D6">
        <w:rPr>
          <w:rFonts w:ascii="Arial" w:hAnsi="Arial" w:cs="Arial"/>
        </w:rPr>
        <w:t>There are opportunities and challenges that arise out of economic factors. An increase in fuel prices and inflation speeds up the desire of consumers to switch to more affordable electric energy options, and the Total Cost of Ownership (TCO) of EVs is dropping compared to internal combustion engines (BEUC, 2021). Nevertheless, consumer discretionary expenditure can be limited by economic unpredictability and affect the rate of EV purchase. The change in interest rates impacts the funding of capital expenditure on infrastructure projects, and they need to be financially planned (Bank of England, 2023).</w:t>
      </w:r>
    </w:p>
    <w:p w14:paraId="3F8DE6C6" w14:textId="77777777" w:rsidR="00E527D6" w:rsidRPr="00E527D6" w:rsidRDefault="00E527D6" w:rsidP="00E527D6">
      <w:pPr>
        <w:spacing w:line="360" w:lineRule="auto"/>
        <w:jc w:val="both"/>
        <w:rPr>
          <w:rFonts w:ascii="Arial" w:hAnsi="Arial" w:cs="Arial"/>
        </w:rPr>
      </w:pPr>
      <w:r w:rsidRPr="00E527D6">
        <w:rPr>
          <w:rFonts w:ascii="Arial" w:hAnsi="Arial" w:cs="Arial"/>
        </w:rPr>
        <w:t xml:space="preserve">Social factors show the changing consumer preferences towards environmental sustainability. It has been shown that three-quarters of the UK customers think about environmental impact when making a purchasing decision, and younger age groups are more interested in sustainable options (Deloitte, 2022). The increasing </w:t>
      </w:r>
      <w:proofErr w:type="gramStart"/>
      <w:r w:rsidRPr="00E527D6">
        <w:rPr>
          <w:rFonts w:ascii="Arial" w:hAnsi="Arial" w:cs="Arial"/>
        </w:rPr>
        <w:t>range</w:t>
      </w:r>
      <w:proofErr w:type="gramEnd"/>
      <w:r w:rsidRPr="00E527D6">
        <w:rPr>
          <w:rFonts w:ascii="Arial" w:hAnsi="Arial" w:cs="Arial"/>
        </w:rPr>
        <w:t xml:space="preserve"> anxiety of possible EV adopters provides a need to have such convenient, reliable charging infrastructure. In addition, the rising </w:t>
      </w:r>
      <w:proofErr w:type="spellStart"/>
      <w:r w:rsidRPr="00E527D6">
        <w:rPr>
          <w:rFonts w:ascii="Arial" w:hAnsi="Arial" w:cs="Arial"/>
        </w:rPr>
        <w:t>urbanisation</w:t>
      </w:r>
      <w:proofErr w:type="spellEnd"/>
      <w:r w:rsidRPr="00E527D6">
        <w:rPr>
          <w:rFonts w:ascii="Arial" w:hAnsi="Arial" w:cs="Arial"/>
        </w:rPr>
        <w:t xml:space="preserve"> requires the implementation of charging options to the residents of the areas lacking off-street parking (Turrentine and Kurani, 2001).</w:t>
      </w:r>
    </w:p>
    <w:p w14:paraId="41DB05E8" w14:textId="77777777" w:rsidR="00E527D6" w:rsidRPr="00E527D6" w:rsidRDefault="00E527D6" w:rsidP="00E527D6">
      <w:pPr>
        <w:spacing w:line="360" w:lineRule="auto"/>
        <w:jc w:val="both"/>
        <w:rPr>
          <w:rFonts w:ascii="Arial" w:hAnsi="Arial" w:cs="Arial"/>
        </w:rPr>
      </w:pPr>
      <w:r w:rsidRPr="00E527D6">
        <w:rPr>
          <w:rFonts w:ascii="Arial" w:hAnsi="Arial" w:cs="Arial"/>
        </w:rPr>
        <w:lastRenderedPageBreak/>
        <w:t xml:space="preserve">The sector is characterized by rapid innovation that is </w:t>
      </w:r>
      <w:proofErr w:type="spellStart"/>
      <w:r w:rsidRPr="00E527D6">
        <w:rPr>
          <w:rFonts w:ascii="Arial" w:hAnsi="Arial" w:cs="Arial"/>
        </w:rPr>
        <w:t>fuelled</w:t>
      </w:r>
      <w:proofErr w:type="spellEnd"/>
      <w:r w:rsidRPr="00E527D6">
        <w:rPr>
          <w:rFonts w:ascii="Arial" w:hAnsi="Arial" w:cs="Arial"/>
        </w:rPr>
        <w:t xml:space="preserve"> by technology. The battery technology, extremely fast charging speeds (350kW+), and vehicle-to-grid (V2G) are opportunities to achieve competitive differentiation (International Energy Agency, 2023). The viability of sustainable charging solutions is augmented by the improvements in the solar panel efficiency and the downward trends in the costs of renewable energy. Nevertheless, the threats of technological obsolescence demand the ongoing investment in the infrastructure upgrades to keep the organization relevant in the market.</w:t>
      </w:r>
    </w:p>
    <w:p w14:paraId="0A7E762B" w14:textId="77777777" w:rsidR="00E527D6" w:rsidRPr="00E527D6" w:rsidRDefault="00E527D6" w:rsidP="00E527D6">
      <w:pPr>
        <w:spacing w:line="360" w:lineRule="auto"/>
        <w:jc w:val="both"/>
        <w:rPr>
          <w:rFonts w:ascii="Arial" w:hAnsi="Arial" w:cs="Arial"/>
        </w:rPr>
      </w:pPr>
      <w:r w:rsidRPr="00E527D6">
        <w:rPr>
          <w:rFonts w:ascii="Arial" w:hAnsi="Arial" w:cs="Arial"/>
        </w:rPr>
        <w:t xml:space="preserve">The environmental factors are both a driver and an operation factor. Transport systems are required to be </w:t>
      </w:r>
      <w:proofErr w:type="spellStart"/>
      <w:r w:rsidRPr="00E527D6">
        <w:rPr>
          <w:rFonts w:ascii="Arial" w:hAnsi="Arial" w:cs="Arial"/>
        </w:rPr>
        <w:t>decarbonised</w:t>
      </w:r>
      <w:proofErr w:type="spellEnd"/>
      <w:r w:rsidRPr="00E527D6">
        <w:rPr>
          <w:rFonts w:ascii="Arial" w:hAnsi="Arial" w:cs="Arial"/>
        </w:rPr>
        <w:t xml:space="preserve"> by climate change </w:t>
      </w:r>
      <w:proofErr w:type="gramStart"/>
      <w:r w:rsidRPr="00E527D6">
        <w:rPr>
          <w:rFonts w:ascii="Arial" w:hAnsi="Arial" w:cs="Arial"/>
        </w:rPr>
        <w:t>commitments</w:t>
      </w:r>
      <w:proofErr w:type="gramEnd"/>
      <w:r w:rsidRPr="00E527D6">
        <w:rPr>
          <w:rFonts w:ascii="Arial" w:hAnsi="Arial" w:cs="Arial"/>
        </w:rPr>
        <w:t xml:space="preserve"> and the legally binding net-zero target that the UK has set by 2050 (Climate Change Committee, 2022). Solar energy production can be affected by extreme weather conditions, which require a strong battery storage mechanism. The location is subject to environmental regulations over land utilization and energy consumption that affect the forms of operations.</w:t>
      </w:r>
    </w:p>
    <w:p w14:paraId="57545173" w14:textId="3087FDC7" w:rsidR="00BD477E" w:rsidRPr="00BD477E" w:rsidRDefault="00E527D6" w:rsidP="00E527D6">
      <w:pPr>
        <w:spacing w:line="360" w:lineRule="auto"/>
        <w:jc w:val="both"/>
        <w:rPr>
          <w:rFonts w:ascii="Arial" w:hAnsi="Arial" w:cs="Arial"/>
        </w:rPr>
      </w:pPr>
      <w:r w:rsidRPr="00E527D6">
        <w:rPr>
          <w:rFonts w:ascii="Arial" w:hAnsi="Arial" w:cs="Arial"/>
        </w:rPr>
        <w:t>The legal factors include regulatory compliance such as health and safety requirements, customer information management in the form of the data protection law (GDPR), and electrical safety standards. The requirement to have transparent pricing and interoperability among charging networks has been highlighted by Competition and Markets Authority (CMA), with an effect on business model design (CMA, 2021). The employment law has implications on the administration of workforce, and contactors.</w:t>
      </w:r>
    </w:p>
    <w:p w14:paraId="44313FC6" w14:textId="0FB245AD" w:rsidR="00014DF1" w:rsidRPr="00014DF1" w:rsidRDefault="00BD477E" w:rsidP="00014DF1">
      <w:pPr>
        <w:spacing w:line="360" w:lineRule="auto"/>
        <w:jc w:val="both"/>
        <w:rPr>
          <w:rFonts w:ascii="Arial" w:hAnsi="Arial" w:cs="Arial"/>
          <w:b/>
          <w:bCs/>
        </w:rPr>
      </w:pPr>
      <w:r w:rsidRPr="00BD477E">
        <w:rPr>
          <w:rFonts w:ascii="Arial" w:hAnsi="Arial" w:cs="Arial"/>
          <w:b/>
          <w:bCs/>
        </w:rPr>
        <w:t>SWOT Analysis</w:t>
      </w:r>
    </w:p>
    <w:tbl>
      <w:tblPr>
        <w:tblStyle w:val="TableGrid"/>
        <w:tblW w:w="0" w:type="auto"/>
        <w:tblLook w:val="04A0" w:firstRow="1" w:lastRow="0" w:firstColumn="1" w:lastColumn="0" w:noHBand="0" w:noVBand="1"/>
      </w:tblPr>
      <w:tblGrid>
        <w:gridCol w:w="4675"/>
        <w:gridCol w:w="4675"/>
      </w:tblGrid>
      <w:tr w:rsidR="00BD477E" w14:paraId="3B8ACC95" w14:textId="77777777" w:rsidTr="00BD477E">
        <w:trPr>
          <w:trHeight w:val="494"/>
        </w:trPr>
        <w:tc>
          <w:tcPr>
            <w:tcW w:w="4675" w:type="dxa"/>
            <w:shd w:val="clear" w:color="auto" w:fill="B0D0E2" w:themeFill="accent1" w:themeFillTint="66"/>
            <w:vAlign w:val="center"/>
          </w:tcPr>
          <w:p w14:paraId="33CFA994" w14:textId="2EA641C7" w:rsidR="00BD477E" w:rsidRPr="00BD477E" w:rsidRDefault="00BD477E" w:rsidP="00BD477E">
            <w:pPr>
              <w:spacing w:line="360" w:lineRule="auto"/>
              <w:jc w:val="center"/>
              <w:rPr>
                <w:rFonts w:ascii="Arial" w:hAnsi="Arial" w:cs="Arial"/>
                <w:b/>
                <w:bCs/>
              </w:rPr>
            </w:pPr>
            <w:r w:rsidRPr="00BD477E">
              <w:rPr>
                <w:rFonts w:ascii="Arial" w:hAnsi="Arial" w:cs="Arial"/>
                <w:b/>
                <w:bCs/>
              </w:rPr>
              <w:t>Strengths</w:t>
            </w:r>
          </w:p>
        </w:tc>
        <w:tc>
          <w:tcPr>
            <w:tcW w:w="4675" w:type="dxa"/>
            <w:shd w:val="clear" w:color="auto" w:fill="FEE69B" w:themeFill="accent5" w:themeFillTint="66"/>
            <w:vAlign w:val="center"/>
          </w:tcPr>
          <w:p w14:paraId="40A95766" w14:textId="77301AD6" w:rsidR="00BD477E" w:rsidRPr="00BD477E" w:rsidRDefault="00BD477E" w:rsidP="00BD477E">
            <w:pPr>
              <w:spacing w:line="360" w:lineRule="auto"/>
              <w:jc w:val="center"/>
              <w:rPr>
                <w:rFonts w:ascii="Arial" w:hAnsi="Arial" w:cs="Arial"/>
                <w:b/>
                <w:bCs/>
              </w:rPr>
            </w:pPr>
            <w:r w:rsidRPr="00BD477E">
              <w:rPr>
                <w:rFonts w:ascii="Arial" w:hAnsi="Arial" w:cs="Arial"/>
                <w:b/>
                <w:bCs/>
              </w:rPr>
              <w:t>Weaknesses</w:t>
            </w:r>
          </w:p>
        </w:tc>
      </w:tr>
      <w:tr w:rsidR="00BD477E" w14:paraId="2A6A40D1" w14:textId="77777777" w:rsidTr="00BD477E">
        <w:trPr>
          <w:trHeight w:val="4130"/>
        </w:trPr>
        <w:tc>
          <w:tcPr>
            <w:tcW w:w="4675" w:type="dxa"/>
            <w:vAlign w:val="center"/>
          </w:tcPr>
          <w:p w14:paraId="27A5525D" w14:textId="77777777" w:rsidR="00BD477E" w:rsidRPr="00BD477E" w:rsidRDefault="00BD477E" w:rsidP="00BD477E">
            <w:pPr>
              <w:pStyle w:val="ListParagraph"/>
              <w:numPr>
                <w:ilvl w:val="0"/>
                <w:numId w:val="1"/>
              </w:numPr>
              <w:spacing w:line="360" w:lineRule="auto"/>
              <w:ind w:left="251" w:hanging="270"/>
              <w:jc w:val="both"/>
              <w:rPr>
                <w:rFonts w:ascii="Arial" w:hAnsi="Arial" w:cs="Arial"/>
              </w:rPr>
            </w:pPr>
            <w:r w:rsidRPr="00BD477E">
              <w:rPr>
                <w:rFonts w:ascii="Arial" w:hAnsi="Arial" w:cs="Arial"/>
              </w:rPr>
              <w:lastRenderedPageBreak/>
              <w:t>100% solar-powered infrastructure providing genuine sustainability credentials</w:t>
            </w:r>
          </w:p>
          <w:p w14:paraId="77F20C72" w14:textId="77777777" w:rsidR="00BD477E" w:rsidRDefault="00BD477E" w:rsidP="00BD477E">
            <w:pPr>
              <w:pStyle w:val="ListParagraph"/>
              <w:numPr>
                <w:ilvl w:val="0"/>
                <w:numId w:val="1"/>
              </w:numPr>
              <w:spacing w:line="360" w:lineRule="auto"/>
              <w:ind w:left="251" w:hanging="270"/>
              <w:jc w:val="both"/>
              <w:rPr>
                <w:rFonts w:ascii="Arial" w:hAnsi="Arial" w:cs="Arial"/>
              </w:rPr>
            </w:pPr>
            <w:r w:rsidRPr="00BD477E">
              <w:rPr>
                <w:rFonts w:ascii="Arial" w:hAnsi="Arial" w:cs="Arial"/>
              </w:rPr>
              <w:t>Advanced mobile application with predictive availability algorithms</w:t>
            </w:r>
          </w:p>
          <w:p w14:paraId="660656B5" w14:textId="01B42B69" w:rsidR="00BD477E" w:rsidRPr="00BD477E" w:rsidRDefault="00BD477E" w:rsidP="00BD477E">
            <w:pPr>
              <w:pStyle w:val="ListParagraph"/>
              <w:numPr>
                <w:ilvl w:val="0"/>
                <w:numId w:val="1"/>
              </w:numPr>
              <w:spacing w:line="360" w:lineRule="auto"/>
              <w:ind w:left="251" w:hanging="270"/>
              <w:jc w:val="both"/>
              <w:rPr>
                <w:rFonts w:ascii="Arial" w:hAnsi="Arial" w:cs="Arial"/>
              </w:rPr>
            </w:pPr>
            <w:r w:rsidRPr="00BD477E">
              <w:rPr>
                <w:rFonts w:ascii="Arial" w:hAnsi="Arial" w:cs="Arial"/>
              </w:rPr>
              <w:t>Strategic partnerships with retail and corporate entities</w:t>
            </w:r>
          </w:p>
          <w:p w14:paraId="56D73284" w14:textId="47DF8BE3" w:rsidR="00BD477E" w:rsidRPr="00BD477E" w:rsidRDefault="00BD477E" w:rsidP="00BD477E">
            <w:pPr>
              <w:pStyle w:val="ListParagraph"/>
              <w:numPr>
                <w:ilvl w:val="0"/>
                <w:numId w:val="1"/>
              </w:numPr>
              <w:spacing w:line="360" w:lineRule="auto"/>
              <w:ind w:left="251" w:hanging="270"/>
              <w:jc w:val="both"/>
              <w:rPr>
                <w:rFonts w:ascii="Arial" w:hAnsi="Arial" w:cs="Arial"/>
              </w:rPr>
            </w:pPr>
            <w:r w:rsidRPr="00BD477E">
              <w:rPr>
                <w:rFonts w:ascii="Arial" w:hAnsi="Arial" w:cs="Arial"/>
              </w:rPr>
              <w:t>Experienced management team with renewable energy expertise</w:t>
            </w:r>
          </w:p>
        </w:tc>
        <w:tc>
          <w:tcPr>
            <w:tcW w:w="4675" w:type="dxa"/>
            <w:vAlign w:val="center"/>
          </w:tcPr>
          <w:p w14:paraId="5B5A869E" w14:textId="77777777" w:rsidR="00BD477E" w:rsidRPr="00BD477E" w:rsidRDefault="00BD477E" w:rsidP="00BD477E">
            <w:pPr>
              <w:pStyle w:val="ListParagraph"/>
              <w:numPr>
                <w:ilvl w:val="0"/>
                <w:numId w:val="1"/>
              </w:numPr>
              <w:spacing w:line="360" w:lineRule="auto"/>
              <w:ind w:left="348" w:hanging="282"/>
              <w:jc w:val="both"/>
              <w:rPr>
                <w:rFonts w:ascii="Arial" w:hAnsi="Arial" w:cs="Arial"/>
              </w:rPr>
            </w:pPr>
            <w:r w:rsidRPr="00BD477E">
              <w:rPr>
                <w:rFonts w:ascii="Arial" w:hAnsi="Arial" w:cs="Arial"/>
              </w:rPr>
              <w:t>High initial capital expenditure requirements (£50,000-£100,000 per station)</w:t>
            </w:r>
          </w:p>
          <w:p w14:paraId="610EB302" w14:textId="13F5116C" w:rsidR="00BD477E" w:rsidRPr="00BD477E" w:rsidRDefault="00BD477E" w:rsidP="00BD477E">
            <w:pPr>
              <w:pStyle w:val="ListParagraph"/>
              <w:numPr>
                <w:ilvl w:val="0"/>
                <w:numId w:val="1"/>
              </w:numPr>
              <w:spacing w:line="360" w:lineRule="auto"/>
              <w:ind w:left="348" w:hanging="282"/>
              <w:jc w:val="both"/>
              <w:rPr>
                <w:rFonts w:ascii="Arial" w:hAnsi="Arial" w:cs="Arial"/>
              </w:rPr>
            </w:pPr>
            <w:r w:rsidRPr="00BD477E">
              <w:rPr>
                <w:rFonts w:ascii="Arial" w:hAnsi="Arial" w:cs="Arial"/>
              </w:rPr>
              <w:t>Limited brand recognition as a new market entrant</w:t>
            </w:r>
          </w:p>
          <w:p w14:paraId="18290CDD" w14:textId="77777777" w:rsidR="00BD477E" w:rsidRPr="00BD477E" w:rsidRDefault="00BD477E" w:rsidP="00BD477E">
            <w:pPr>
              <w:pStyle w:val="ListParagraph"/>
              <w:numPr>
                <w:ilvl w:val="0"/>
                <w:numId w:val="1"/>
              </w:numPr>
              <w:spacing w:line="360" w:lineRule="auto"/>
              <w:ind w:left="348" w:hanging="282"/>
              <w:jc w:val="both"/>
              <w:rPr>
                <w:rFonts w:ascii="Arial" w:hAnsi="Arial" w:cs="Arial"/>
              </w:rPr>
            </w:pPr>
            <w:r w:rsidRPr="00BD477E">
              <w:rPr>
                <w:rFonts w:ascii="Arial" w:hAnsi="Arial" w:cs="Arial"/>
              </w:rPr>
              <w:t>Dependence on solar energy generation (weather variability)</w:t>
            </w:r>
          </w:p>
          <w:p w14:paraId="18B9C93F" w14:textId="79DF29F0" w:rsidR="00BD477E" w:rsidRPr="00BD477E" w:rsidRDefault="00BD477E" w:rsidP="00BD477E">
            <w:pPr>
              <w:pStyle w:val="ListParagraph"/>
              <w:numPr>
                <w:ilvl w:val="0"/>
                <w:numId w:val="1"/>
              </w:numPr>
              <w:spacing w:line="360" w:lineRule="auto"/>
              <w:ind w:left="348" w:hanging="282"/>
              <w:jc w:val="both"/>
              <w:rPr>
                <w:rFonts w:ascii="Arial" w:hAnsi="Arial" w:cs="Arial"/>
              </w:rPr>
            </w:pPr>
            <w:r w:rsidRPr="00BD477E">
              <w:rPr>
                <w:rFonts w:ascii="Arial" w:hAnsi="Arial" w:cs="Arial"/>
              </w:rPr>
              <w:t>Geographic coverage constraints in early operational phase</w:t>
            </w:r>
          </w:p>
        </w:tc>
      </w:tr>
      <w:tr w:rsidR="00BD477E" w14:paraId="1685C1E3" w14:textId="77777777" w:rsidTr="00BD477E">
        <w:trPr>
          <w:trHeight w:val="530"/>
        </w:trPr>
        <w:tc>
          <w:tcPr>
            <w:tcW w:w="4675" w:type="dxa"/>
            <w:shd w:val="clear" w:color="auto" w:fill="E1EA9F" w:themeFill="accent2" w:themeFillTint="66"/>
            <w:vAlign w:val="center"/>
          </w:tcPr>
          <w:p w14:paraId="49455DFA" w14:textId="414A0836" w:rsidR="00BD477E" w:rsidRPr="00BD477E" w:rsidRDefault="00BD477E" w:rsidP="00BD477E">
            <w:pPr>
              <w:spacing w:line="360" w:lineRule="auto"/>
              <w:jc w:val="center"/>
              <w:rPr>
                <w:rFonts w:ascii="Arial" w:hAnsi="Arial" w:cs="Arial"/>
                <w:b/>
                <w:bCs/>
              </w:rPr>
            </w:pPr>
            <w:r w:rsidRPr="00BD477E">
              <w:rPr>
                <w:rFonts w:ascii="Arial" w:hAnsi="Arial" w:cs="Arial"/>
                <w:b/>
                <w:bCs/>
              </w:rPr>
              <w:t>Opportunities</w:t>
            </w:r>
          </w:p>
        </w:tc>
        <w:tc>
          <w:tcPr>
            <w:tcW w:w="4675" w:type="dxa"/>
            <w:shd w:val="clear" w:color="auto" w:fill="F2B9A8" w:themeFill="accent6" w:themeFillTint="66"/>
            <w:vAlign w:val="center"/>
          </w:tcPr>
          <w:p w14:paraId="053327AD" w14:textId="523658FA" w:rsidR="00BD477E" w:rsidRPr="00BD477E" w:rsidRDefault="00BD477E" w:rsidP="00BD477E">
            <w:pPr>
              <w:spacing w:line="360" w:lineRule="auto"/>
              <w:jc w:val="center"/>
              <w:rPr>
                <w:rFonts w:ascii="Arial" w:hAnsi="Arial" w:cs="Arial"/>
                <w:b/>
                <w:bCs/>
              </w:rPr>
            </w:pPr>
            <w:r w:rsidRPr="00BD477E">
              <w:rPr>
                <w:rFonts w:ascii="Arial" w:hAnsi="Arial" w:cs="Arial"/>
                <w:b/>
                <w:bCs/>
              </w:rPr>
              <w:t>Threats</w:t>
            </w:r>
          </w:p>
        </w:tc>
      </w:tr>
      <w:tr w:rsidR="00BD477E" w14:paraId="277C92AD" w14:textId="77777777" w:rsidTr="00BD477E">
        <w:trPr>
          <w:trHeight w:val="4697"/>
        </w:trPr>
        <w:tc>
          <w:tcPr>
            <w:tcW w:w="4675" w:type="dxa"/>
            <w:vAlign w:val="center"/>
          </w:tcPr>
          <w:p w14:paraId="0AF20C05" w14:textId="77777777" w:rsidR="00BD477E" w:rsidRPr="00BD477E" w:rsidRDefault="00BD477E" w:rsidP="00BD477E">
            <w:pPr>
              <w:pStyle w:val="ListParagraph"/>
              <w:numPr>
                <w:ilvl w:val="0"/>
                <w:numId w:val="2"/>
              </w:numPr>
              <w:spacing w:line="360" w:lineRule="auto"/>
              <w:ind w:left="251" w:hanging="251"/>
              <w:jc w:val="both"/>
              <w:rPr>
                <w:rFonts w:ascii="Arial" w:hAnsi="Arial" w:cs="Arial"/>
              </w:rPr>
            </w:pPr>
            <w:r w:rsidRPr="00BD477E">
              <w:rPr>
                <w:rFonts w:ascii="Arial" w:hAnsi="Arial" w:cs="Arial"/>
              </w:rPr>
              <w:t>Rapidly expanding EV market (projected 300% growth by 2030)</w:t>
            </w:r>
          </w:p>
          <w:p w14:paraId="12F91B96" w14:textId="77777777" w:rsidR="00BD477E" w:rsidRPr="00BD477E" w:rsidRDefault="00BD477E" w:rsidP="00BD477E">
            <w:pPr>
              <w:pStyle w:val="ListParagraph"/>
              <w:numPr>
                <w:ilvl w:val="0"/>
                <w:numId w:val="2"/>
              </w:numPr>
              <w:spacing w:line="360" w:lineRule="auto"/>
              <w:ind w:left="251" w:hanging="251"/>
              <w:jc w:val="both"/>
              <w:rPr>
                <w:rFonts w:ascii="Arial" w:hAnsi="Arial" w:cs="Arial"/>
              </w:rPr>
            </w:pPr>
            <w:r w:rsidRPr="00BD477E">
              <w:rPr>
                <w:rFonts w:ascii="Arial" w:hAnsi="Arial" w:cs="Arial"/>
              </w:rPr>
              <w:t>Government grants and subsidies for sustainable infrastructure</w:t>
            </w:r>
          </w:p>
          <w:p w14:paraId="79D8CCD2" w14:textId="77777777" w:rsidR="00BD477E" w:rsidRPr="00BD477E" w:rsidRDefault="00BD477E" w:rsidP="00BD477E">
            <w:pPr>
              <w:pStyle w:val="ListParagraph"/>
              <w:numPr>
                <w:ilvl w:val="0"/>
                <w:numId w:val="2"/>
              </w:numPr>
              <w:spacing w:line="360" w:lineRule="auto"/>
              <w:ind w:left="251" w:hanging="251"/>
              <w:jc w:val="both"/>
              <w:rPr>
                <w:rFonts w:ascii="Arial" w:hAnsi="Arial" w:cs="Arial"/>
              </w:rPr>
            </w:pPr>
            <w:r w:rsidRPr="00BD477E">
              <w:rPr>
                <w:rFonts w:ascii="Arial" w:hAnsi="Arial" w:cs="Arial"/>
              </w:rPr>
              <w:t>Underserved rural and suburban markets</w:t>
            </w:r>
          </w:p>
          <w:p w14:paraId="3F902297" w14:textId="77777777" w:rsidR="00BD477E" w:rsidRPr="00BD477E" w:rsidRDefault="00BD477E" w:rsidP="00BD477E">
            <w:pPr>
              <w:pStyle w:val="ListParagraph"/>
              <w:numPr>
                <w:ilvl w:val="0"/>
                <w:numId w:val="2"/>
              </w:numPr>
              <w:spacing w:line="360" w:lineRule="auto"/>
              <w:ind w:left="251" w:hanging="251"/>
              <w:jc w:val="both"/>
              <w:rPr>
                <w:rFonts w:ascii="Arial" w:hAnsi="Arial" w:cs="Arial"/>
              </w:rPr>
            </w:pPr>
            <w:r w:rsidRPr="00BD477E">
              <w:rPr>
                <w:rFonts w:ascii="Arial" w:hAnsi="Arial" w:cs="Arial"/>
              </w:rPr>
              <w:t>Corporate sustainability initiatives driving B2B demand</w:t>
            </w:r>
          </w:p>
          <w:p w14:paraId="246BD11F" w14:textId="00C924A9" w:rsidR="00BD477E" w:rsidRPr="00BD477E" w:rsidRDefault="00BD477E" w:rsidP="00BD477E">
            <w:pPr>
              <w:pStyle w:val="ListParagraph"/>
              <w:numPr>
                <w:ilvl w:val="0"/>
                <w:numId w:val="2"/>
              </w:numPr>
              <w:spacing w:line="360" w:lineRule="auto"/>
              <w:ind w:left="251" w:hanging="251"/>
              <w:jc w:val="both"/>
              <w:rPr>
                <w:rFonts w:ascii="Arial" w:hAnsi="Arial" w:cs="Arial"/>
              </w:rPr>
            </w:pPr>
            <w:r w:rsidRPr="00BD477E">
              <w:rPr>
                <w:rFonts w:ascii="Arial" w:hAnsi="Arial" w:cs="Arial"/>
              </w:rPr>
              <w:t>Technological advancements in battery storage and V2G</w:t>
            </w:r>
          </w:p>
        </w:tc>
        <w:tc>
          <w:tcPr>
            <w:tcW w:w="4675" w:type="dxa"/>
            <w:vAlign w:val="center"/>
          </w:tcPr>
          <w:p w14:paraId="0F7E1E4A" w14:textId="77777777" w:rsidR="00BD477E" w:rsidRPr="00BD477E" w:rsidRDefault="00BD477E" w:rsidP="00BD477E">
            <w:pPr>
              <w:pStyle w:val="ListParagraph"/>
              <w:numPr>
                <w:ilvl w:val="0"/>
                <w:numId w:val="2"/>
              </w:numPr>
              <w:spacing w:line="360" w:lineRule="auto"/>
              <w:ind w:left="348" w:hanging="270"/>
              <w:jc w:val="both"/>
              <w:rPr>
                <w:rFonts w:ascii="Arial" w:hAnsi="Arial" w:cs="Arial"/>
              </w:rPr>
            </w:pPr>
            <w:r w:rsidRPr="00BD477E">
              <w:rPr>
                <w:rFonts w:ascii="Arial" w:hAnsi="Arial" w:cs="Arial"/>
              </w:rPr>
              <w:t>Intense competition from established players (BP Pulse, Shell Recharge)</w:t>
            </w:r>
          </w:p>
          <w:p w14:paraId="6F8BB331" w14:textId="77777777" w:rsidR="00BD477E" w:rsidRPr="00BD477E" w:rsidRDefault="00BD477E" w:rsidP="00BD477E">
            <w:pPr>
              <w:pStyle w:val="ListParagraph"/>
              <w:numPr>
                <w:ilvl w:val="0"/>
                <w:numId w:val="2"/>
              </w:numPr>
              <w:spacing w:line="360" w:lineRule="auto"/>
              <w:ind w:left="348" w:hanging="270"/>
              <w:jc w:val="both"/>
              <w:rPr>
                <w:rFonts w:ascii="Arial" w:hAnsi="Arial" w:cs="Arial"/>
              </w:rPr>
            </w:pPr>
            <w:r w:rsidRPr="00BD477E">
              <w:rPr>
                <w:rFonts w:ascii="Arial" w:hAnsi="Arial" w:cs="Arial"/>
              </w:rPr>
              <w:t xml:space="preserve">Potential market saturation in urban </w:t>
            </w:r>
            <w:proofErr w:type="spellStart"/>
            <w:r w:rsidRPr="00BD477E">
              <w:rPr>
                <w:rFonts w:ascii="Arial" w:hAnsi="Arial" w:cs="Arial"/>
              </w:rPr>
              <w:t>centres</w:t>
            </w:r>
            <w:proofErr w:type="spellEnd"/>
          </w:p>
          <w:p w14:paraId="3BA4FFA3" w14:textId="77777777" w:rsidR="00BD477E" w:rsidRPr="00BD477E" w:rsidRDefault="00BD477E" w:rsidP="00BD477E">
            <w:pPr>
              <w:pStyle w:val="ListParagraph"/>
              <w:numPr>
                <w:ilvl w:val="0"/>
                <w:numId w:val="2"/>
              </w:numPr>
              <w:spacing w:line="360" w:lineRule="auto"/>
              <w:ind w:left="348" w:hanging="270"/>
              <w:jc w:val="both"/>
              <w:rPr>
                <w:rFonts w:ascii="Arial" w:hAnsi="Arial" w:cs="Arial"/>
              </w:rPr>
            </w:pPr>
            <w:r w:rsidRPr="00BD477E">
              <w:rPr>
                <w:rFonts w:ascii="Arial" w:hAnsi="Arial" w:cs="Arial"/>
              </w:rPr>
              <w:t>Regulatory changes affecting subsidy availability</w:t>
            </w:r>
          </w:p>
          <w:p w14:paraId="7832E206" w14:textId="77777777" w:rsidR="00BD477E" w:rsidRPr="00BD477E" w:rsidRDefault="00BD477E" w:rsidP="00BD477E">
            <w:pPr>
              <w:pStyle w:val="ListParagraph"/>
              <w:numPr>
                <w:ilvl w:val="0"/>
                <w:numId w:val="2"/>
              </w:numPr>
              <w:spacing w:line="360" w:lineRule="auto"/>
              <w:ind w:left="348" w:hanging="270"/>
              <w:jc w:val="both"/>
              <w:rPr>
                <w:rFonts w:ascii="Arial" w:hAnsi="Arial" w:cs="Arial"/>
              </w:rPr>
            </w:pPr>
            <w:r w:rsidRPr="00BD477E">
              <w:rPr>
                <w:rFonts w:ascii="Arial" w:hAnsi="Arial" w:cs="Arial"/>
              </w:rPr>
              <w:t>Economic downturn reducing consumer EV adoption rates</w:t>
            </w:r>
          </w:p>
          <w:p w14:paraId="574259D1" w14:textId="66F5A11E" w:rsidR="00BD477E" w:rsidRPr="00BD477E" w:rsidRDefault="00BD477E" w:rsidP="00BD477E">
            <w:pPr>
              <w:pStyle w:val="ListParagraph"/>
              <w:numPr>
                <w:ilvl w:val="0"/>
                <w:numId w:val="2"/>
              </w:numPr>
              <w:spacing w:line="360" w:lineRule="auto"/>
              <w:ind w:left="348" w:hanging="270"/>
              <w:jc w:val="both"/>
              <w:rPr>
                <w:rFonts w:ascii="Arial" w:hAnsi="Arial" w:cs="Arial"/>
              </w:rPr>
            </w:pPr>
            <w:r w:rsidRPr="00BD477E">
              <w:rPr>
                <w:rFonts w:ascii="Arial" w:hAnsi="Arial" w:cs="Arial"/>
              </w:rPr>
              <w:t>Rapid technological changes requiring continuous investment</w:t>
            </w:r>
          </w:p>
        </w:tc>
      </w:tr>
    </w:tbl>
    <w:p w14:paraId="538B2995" w14:textId="77777777" w:rsidR="00235222" w:rsidRDefault="00235222" w:rsidP="00014DF1">
      <w:pPr>
        <w:spacing w:line="360" w:lineRule="auto"/>
        <w:jc w:val="both"/>
        <w:rPr>
          <w:rFonts w:ascii="Arial" w:hAnsi="Arial" w:cs="Arial"/>
        </w:rPr>
      </w:pPr>
    </w:p>
    <w:p w14:paraId="1A953169" w14:textId="77777777" w:rsidR="00E527D6" w:rsidRPr="00E527D6" w:rsidRDefault="00E527D6" w:rsidP="00E527D6">
      <w:pPr>
        <w:spacing w:line="360" w:lineRule="auto"/>
        <w:jc w:val="both"/>
        <w:rPr>
          <w:rFonts w:ascii="Arial" w:hAnsi="Arial" w:cs="Arial"/>
        </w:rPr>
      </w:pPr>
      <w:r w:rsidRPr="00E527D6">
        <w:rPr>
          <w:rFonts w:ascii="Arial" w:hAnsi="Arial" w:cs="Arial"/>
        </w:rPr>
        <w:t xml:space="preserve">According to the SWOT analysis, </w:t>
      </w:r>
      <w:proofErr w:type="spellStart"/>
      <w:r w:rsidRPr="00E527D6">
        <w:rPr>
          <w:rFonts w:ascii="Arial" w:hAnsi="Arial" w:cs="Arial"/>
        </w:rPr>
        <w:t>EcoCharge</w:t>
      </w:r>
      <w:proofErr w:type="spellEnd"/>
      <w:r w:rsidRPr="00E527D6">
        <w:rPr>
          <w:rFonts w:ascii="Arial" w:hAnsi="Arial" w:cs="Arial"/>
        </w:rPr>
        <w:t xml:space="preserve"> Solutions has unique sustainability attributes, and technological strengths, but the enterprise needs to deal with capital intensity risks and competitors that have long histories in the market (Hardman et al., 2018). Sustainable growth will be very important due to a strategic positioning in niche markets and capitalizing on corporate partnership opportunities.</w:t>
      </w:r>
    </w:p>
    <w:p w14:paraId="68955053" w14:textId="0AA89455" w:rsidR="00E527D6" w:rsidRPr="006630F8" w:rsidRDefault="00E527D6" w:rsidP="006630F8">
      <w:pPr>
        <w:pStyle w:val="Heading2"/>
        <w:spacing w:line="360" w:lineRule="auto"/>
        <w:rPr>
          <w:rFonts w:ascii="Arial" w:hAnsi="Arial" w:cs="Arial"/>
          <w:b/>
          <w:bCs/>
          <w:color w:val="000000" w:themeColor="text1"/>
          <w:sz w:val="24"/>
          <w:szCs w:val="24"/>
        </w:rPr>
      </w:pPr>
      <w:bookmarkStart w:id="7" w:name="_Toc213636397"/>
      <w:r w:rsidRPr="006630F8">
        <w:rPr>
          <w:rFonts w:ascii="Arial" w:hAnsi="Arial" w:cs="Arial"/>
          <w:b/>
          <w:bCs/>
          <w:color w:val="000000" w:themeColor="text1"/>
          <w:sz w:val="24"/>
          <w:szCs w:val="24"/>
        </w:rPr>
        <w:lastRenderedPageBreak/>
        <w:t>Porters 5 Forces</w:t>
      </w:r>
      <w:bookmarkEnd w:id="7"/>
      <w:r w:rsidRPr="006630F8">
        <w:rPr>
          <w:rFonts w:ascii="Arial" w:hAnsi="Arial" w:cs="Arial"/>
          <w:b/>
          <w:bCs/>
          <w:color w:val="000000" w:themeColor="text1"/>
          <w:sz w:val="24"/>
          <w:szCs w:val="24"/>
        </w:rPr>
        <w:t xml:space="preserve"> </w:t>
      </w:r>
    </w:p>
    <w:p w14:paraId="43376F6C" w14:textId="322B5F7E" w:rsidR="00E527D6" w:rsidRPr="00E527D6" w:rsidRDefault="00E527D6" w:rsidP="00E527D6">
      <w:pPr>
        <w:spacing w:line="360" w:lineRule="auto"/>
        <w:jc w:val="both"/>
        <w:rPr>
          <w:rFonts w:ascii="Arial" w:hAnsi="Arial" w:cs="Arial"/>
        </w:rPr>
      </w:pPr>
      <w:r w:rsidRPr="00E527D6">
        <w:rPr>
          <w:rFonts w:ascii="Arial" w:hAnsi="Arial" w:cs="Arial"/>
          <w:b/>
          <w:bCs/>
        </w:rPr>
        <w:t>Threat of New Entrants (Medium-High):</w:t>
      </w:r>
      <w:r w:rsidRPr="00E527D6">
        <w:rPr>
          <w:rFonts w:ascii="Arial" w:hAnsi="Arial" w:cs="Arial"/>
        </w:rPr>
        <w:t xml:space="preserve"> Although significant capital requirements (</w:t>
      </w:r>
      <w:r w:rsidR="00F01F82">
        <w:rPr>
          <w:rFonts w:ascii="Arial" w:hAnsi="Arial" w:cs="Arial"/>
        </w:rPr>
        <w:t xml:space="preserve">£ </w:t>
      </w:r>
      <w:r w:rsidRPr="00E527D6">
        <w:rPr>
          <w:rFonts w:ascii="Arial" w:hAnsi="Arial" w:cs="Arial"/>
        </w:rPr>
        <w:t>50,000-</w:t>
      </w:r>
      <w:r w:rsidR="00F01F82">
        <w:rPr>
          <w:rFonts w:ascii="Arial" w:hAnsi="Arial" w:cs="Arial"/>
        </w:rPr>
        <w:t xml:space="preserve"> £</w:t>
      </w:r>
      <w:r w:rsidRPr="00E527D6">
        <w:rPr>
          <w:rFonts w:ascii="Arial" w:hAnsi="Arial" w:cs="Arial"/>
        </w:rPr>
        <w:t xml:space="preserve">100,000 per charging station) may affect the business, new entrants are likely due to </w:t>
      </w:r>
      <w:proofErr w:type="gramStart"/>
      <w:r w:rsidRPr="00E527D6">
        <w:rPr>
          <w:rFonts w:ascii="Arial" w:hAnsi="Arial" w:cs="Arial"/>
        </w:rPr>
        <w:t>the government</w:t>
      </w:r>
      <w:proofErr w:type="gramEnd"/>
      <w:r w:rsidRPr="00E527D6">
        <w:rPr>
          <w:rFonts w:ascii="Arial" w:hAnsi="Arial" w:cs="Arial"/>
        </w:rPr>
        <w:t xml:space="preserve"> incentives and promising growth rates in the market (OZEV, 2022). Nonetheless, the barriers to entry are moderate due to </w:t>
      </w:r>
      <w:proofErr w:type="gramStart"/>
      <w:r w:rsidRPr="00E527D6">
        <w:rPr>
          <w:rFonts w:ascii="Arial" w:hAnsi="Arial" w:cs="Arial"/>
        </w:rPr>
        <w:t>the regulatory</w:t>
      </w:r>
      <w:proofErr w:type="gramEnd"/>
      <w:r w:rsidRPr="00E527D6">
        <w:rPr>
          <w:rFonts w:ascii="Arial" w:hAnsi="Arial" w:cs="Arial"/>
        </w:rPr>
        <w:t xml:space="preserve"> compliance, technical expertise requirements, and </w:t>
      </w:r>
      <w:proofErr w:type="gramStart"/>
      <w:r w:rsidRPr="00E527D6">
        <w:rPr>
          <w:rFonts w:ascii="Arial" w:hAnsi="Arial" w:cs="Arial"/>
        </w:rPr>
        <w:t>well developed</w:t>
      </w:r>
      <w:proofErr w:type="gramEnd"/>
      <w:r w:rsidRPr="00E527D6">
        <w:rPr>
          <w:rFonts w:ascii="Arial" w:hAnsi="Arial" w:cs="Arial"/>
        </w:rPr>
        <w:t xml:space="preserve"> brand loyalty. Economies of scale are in </w:t>
      </w:r>
      <w:proofErr w:type="spellStart"/>
      <w:r w:rsidRPr="00E527D6">
        <w:rPr>
          <w:rFonts w:ascii="Arial" w:hAnsi="Arial" w:cs="Arial"/>
        </w:rPr>
        <w:t>favour</w:t>
      </w:r>
      <w:proofErr w:type="spellEnd"/>
      <w:r w:rsidRPr="00E527D6">
        <w:rPr>
          <w:rFonts w:ascii="Arial" w:hAnsi="Arial" w:cs="Arial"/>
        </w:rPr>
        <w:t xml:space="preserve"> of those who are already in business, but </w:t>
      </w:r>
      <w:proofErr w:type="gramStart"/>
      <w:r w:rsidRPr="00E527D6">
        <w:rPr>
          <w:rFonts w:ascii="Arial" w:hAnsi="Arial" w:cs="Arial"/>
        </w:rPr>
        <w:t>technology</w:t>
      </w:r>
      <w:proofErr w:type="gramEnd"/>
      <w:r w:rsidRPr="00E527D6">
        <w:rPr>
          <w:rFonts w:ascii="Arial" w:hAnsi="Arial" w:cs="Arial"/>
        </w:rPr>
        <w:t xml:space="preserve"> innovation makes it possible to have a niche.</w:t>
      </w:r>
    </w:p>
    <w:p w14:paraId="40BA51F5" w14:textId="77777777" w:rsidR="00E527D6" w:rsidRPr="00E527D6" w:rsidRDefault="00E527D6" w:rsidP="00E527D6">
      <w:pPr>
        <w:spacing w:line="360" w:lineRule="auto"/>
        <w:jc w:val="both"/>
        <w:rPr>
          <w:rFonts w:ascii="Arial" w:hAnsi="Arial" w:cs="Arial"/>
        </w:rPr>
      </w:pPr>
      <w:r w:rsidRPr="00E527D6">
        <w:rPr>
          <w:rFonts w:ascii="Arial" w:hAnsi="Arial" w:cs="Arial"/>
          <w:b/>
          <w:bCs/>
        </w:rPr>
        <w:t>Supplier Power (Medium):</w:t>
      </w:r>
      <w:r w:rsidRPr="00E527D6">
        <w:rPr>
          <w:rFonts w:ascii="Arial" w:hAnsi="Arial" w:cs="Arial"/>
        </w:rPr>
        <w:t xml:space="preserve"> Suppliers: The charging equipment market consists of some established players such as ABB, Siemens, and Tritium that provide decent supplier selection (IEA, 2023). But worldwide shortages of semiconductors and supply chain problems have contributed to the strength of suppliers. The suppliers of </w:t>
      </w:r>
      <w:proofErr w:type="gramStart"/>
      <w:r w:rsidRPr="00E527D6">
        <w:rPr>
          <w:rFonts w:ascii="Arial" w:hAnsi="Arial" w:cs="Arial"/>
        </w:rPr>
        <w:t>the solar</w:t>
      </w:r>
      <w:proofErr w:type="gramEnd"/>
      <w:r w:rsidRPr="00E527D6">
        <w:rPr>
          <w:rFonts w:ascii="Arial" w:hAnsi="Arial" w:cs="Arial"/>
        </w:rPr>
        <w:t xml:space="preserve"> panels and battery storage components have medium negotiating power because of the increasing demand of renewable energy in various sectors.</w:t>
      </w:r>
    </w:p>
    <w:p w14:paraId="46E70808" w14:textId="7919F714" w:rsidR="00E527D6" w:rsidRPr="00E527D6" w:rsidRDefault="00E527D6" w:rsidP="00E527D6">
      <w:pPr>
        <w:spacing w:line="360" w:lineRule="auto"/>
        <w:jc w:val="both"/>
        <w:rPr>
          <w:rFonts w:ascii="Arial" w:hAnsi="Arial" w:cs="Arial"/>
        </w:rPr>
      </w:pPr>
      <w:r w:rsidRPr="7B9AA84E">
        <w:rPr>
          <w:rFonts w:ascii="Arial" w:hAnsi="Arial" w:cs="Arial"/>
          <w:b/>
          <w:bCs/>
        </w:rPr>
        <w:t>Bargaining Power of Buyers (High):</w:t>
      </w:r>
      <w:r w:rsidRPr="7B9AA84E">
        <w:rPr>
          <w:rFonts w:ascii="Arial" w:hAnsi="Arial" w:cs="Arial"/>
        </w:rPr>
        <w:t xml:space="preserve"> EV drivers have an important bargaining power because of the number of charging networks and the low switching costs between the providers (</w:t>
      </w:r>
      <w:proofErr w:type="spellStart"/>
      <w:r w:rsidRPr="7B9AA84E">
        <w:rPr>
          <w:rFonts w:ascii="Arial" w:hAnsi="Arial" w:cs="Arial"/>
        </w:rPr>
        <w:t>Wolbertus</w:t>
      </w:r>
      <w:proofErr w:type="spellEnd"/>
      <w:r w:rsidRPr="7B9AA84E">
        <w:rPr>
          <w:rFonts w:ascii="Arial" w:hAnsi="Arial" w:cs="Arial"/>
        </w:rPr>
        <w:t xml:space="preserve"> et al., 2018). </w:t>
      </w:r>
      <w:r w:rsidR="00963296" w:rsidRPr="00963296">
        <w:rPr>
          <w:rFonts w:ascii="Arial" w:hAnsi="Arial" w:cs="Arial"/>
        </w:rPr>
        <w:t xml:space="preserve">A driver </w:t>
      </w:r>
      <w:r w:rsidR="00963296">
        <w:rPr>
          <w:rFonts w:ascii="Arial" w:hAnsi="Arial" w:cs="Arial"/>
        </w:rPr>
        <w:t xml:space="preserve">for example </w:t>
      </w:r>
      <w:r w:rsidR="00963296" w:rsidRPr="00963296">
        <w:rPr>
          <w:rFonts w:ascii="Arial" w:hAnsi="Arial" w:cs="Arial"/>
        </w:rPr>
        <w:t xml:space="preserve">can simply change from BP Pulse to Shell Recharge or </w:t>
      </w:r>
      <w:proofErr w:type="spellStart"/>
      <w:r w:rsidR="00963296" w:rsidRPr="00963296">
        <w:rPr>
          <w:rFonts w:ascii="Arial" w:hAnsi="Arial" w:cs="Arial"/>
        </w:rPr>
        <w:t>Ionity</w:t>
      </w:r>
      <w:proofErr w:type="spellEnd"/>
      <w:r w:rsidR="00963296" w:rsidRPr="00963296">
        <w:rPr>
          <w:rFonts w:ascii="Arial" w:hAnsi="Arial" w:cs="Arial"/>
        </w:rPr>
        <w:t xml:space="preserve"> using the price or location as their reason because almost all networks support contactless payment and do not require a longer contract.</w:t>
      </w:r>
      <w:r w:rsidR="00963296">
        <w:rPr>
          <w:rFonts w:ascii="Arial" w:hAnsi="Arial" w:cs="Arial"/>
        </w:rPr>
        <w:t xml:space="preserve"> </w:t>
      </w:r>
      <w:r w:rsidRPr="7B9AA84E">
        <w:rPr>
          <w:rFonts w:ascii="Arial" w:hAnsi="Arial" w:cs="Arial"/>
        </w:rPr>
        <w:t xml:space="preserve">Transparency </w:t>
      </w:r>
      <w:proofErr w:type="gramStart"/>
      <w:r w:rsidRPr="7B9AA84E">
        <w:rPr>
          <w:rFonts w:ascii="Arial" w:hAnsi="Arial" w:cs="Arial"/>
        </w:rPr>
        <w:t>on</w:t>
      </w:r>
      <w:proofErr w:type="gramEnd"/>
      <w:r w:rsidRPr="7B9AA84E">
        <w:rPr>
          <w:rFonts w:ascii="Arial" w:hAnsi="Arial" w:cs="Arial"/>
        </w:rPr>
        <w:t xml:space="preserve"> price by use of mobile applications facilitates shopping. The corporate customers bargaining in bulk deals have great bargaining power. Nevertheless, the location convenience and speed of charge distinguish the services and balance the buyer power within a particular location.</w:t>
      </w:r>
    </w:p>
    <w:p w14:paraId="282C078E" w14:textId="78E8E0C2" w:rsidR="00E527D6" w:rsidRPr="00E527D6" w:rsidRDefault="00E527D6" w:rsidP="00E527D6">
      <w:pPr>
        <w:spacing w:line="360" w:lineRule="auto"/>
        <w:jc w:val="both"/>
        <w:rPr>
          <w:rFonts w:ascii="Arial" w:hAnsi="Arial" w:cs="Arial"/>
        </w:rPr>
      </w:pPr>
      <w:r w:rsidRPr="7B9AA84E">
        <w:rPr>
          <w:rFonts w:ascii="Arial" w:hAnsi="Arial" w:cs="Arial"/>
          <w:b/>
          <w:bCs/>
        </w:rPr>
        <w:t>Threat of Substitutes (Medium):</w:t>
      </w:r>
      <w:r w:rsidRPr="7B9AA84E">
        <w:rPr>
          <w:rFonts w:ascii="Arial" w:hAnsi="Arial" w:cs="Arial"/>
        </w:rPr>
        <w:t xml:space="preserve"> Home charging is the most common substitute especially to EV owners who have off-street parking (around 60% of households in the UK) (RAC Foundation, 2025). Threats of substitution can be seen with alternative public transport, traditional petrol stations with quick EV chargers, and finally new wireless technologies of charging.</w:t>
      </w:r>
      <w:r w:rsidR="00A11708" w:rsidRPr="00A11708">
        <w:rPr>
          <w:rFonts w:ascii="Arial" w:hAnsi="Arial" w:cs="Arial"/>
        </w:rPr>
        <w:t xml:space="preserve"> </w:t>
      </w:r>
      <w:r w:rsidR="00A11708">
        <w:rPr>
          <w:rFonts w:ascii="Arial" w:hAnsi="Arial" w:cs="Arial"/>
        </w:rPr>
        <w:t>K</w:t>
      </w:r>
      <w:r w:rsidR="00A11708" w:rsidRPr="00A11708">
        <w:rPr>
          <w:rFonts w:ascii="Arial" w:hAnsi="Arial" w:cs="Arial"/>
        </w:rPr>
        <w:t xml:space="preserve">ey players in the retail sector such as Tesco are heightening competitive pressure with new loyalty benefits available through their partnerships with charging providers such as Pod offering the ability to earn Clubcard points on each pound </w:t>
      </w:r>
      <w:r w:rsidR="00A11708" w:rsidRPr="00A11708">
        <w:rPr>
          <w:rFonts w:ascii="Arial" w:hAnsi="Arial" w:cs="Arial"/>
        </w:rPr>
        <w:lastRenderedPageBreak/>
        <w:t>spent charging further improving the competitiveness of substitute charging solutions (Tesco, 2025)</w:t>
      </w:r>
      <w:r w:rsidR="00A11708">
        <w:rPr>
          <w:rFonts w:ascii="Arial" w:hAnsi="Arial" w:cs="Arial"/>
        </w:rPr>
        <w:t xml:space="preserve">. </w:t>
      </w:r>
      <w:r w:rsidRPr="7B9AA84E">
        <w:rPr>
          <w:rFonts w:ascii="Arial" w:hAnsi="Arial" w:cs="Arial"/>
        </w:rPr>
        <w:t>Nonetheless, destination charging is convenient, and the experience provided to customers is high, which neutralizes the threat of substitution.</w:t>
      </w:r>
    </w:p>
    <w:p w14:paraId="5FA74972" w14:textId="77777777" w:rsidR="00C765D8" w:rsidRDefault="00E527D6" w:rsidP="00E527D6">
      <w:pPr>
        <w:spacing w:line="360" w:lineRule="auto"/>
        <w:jc w:val="both"/>
        <w:rPr>
          <w:rFonts w:ascii="Arial" w:hAnsi="Arial" w:cs="Arial"/>
        </w:rPr>
      </w:pPr>
      <w:r w:rsidRPr="00E527D6">
        <w:rPr>
          <w:rFonts w:ascii="Arial" w:hAnsi="Arial" w:cs="Arial"/>
          <w:b/>
          <w:bCs/>
        </w:rPr>
        <w:t>Rivalry (High):</w:t>
      </w:r>
      <w:r w:rsidRPr="00E527D6">
        <w:rPr>
          <w:rFonts w:ascii="Arial" w:hAnsi="Arial" w:cs="Arial"/>
        </w:rPr>
        <w:t xml:space="preserve"> The rivalry in the UK charging infrastructure market is characterized by high competition between established players such as BP Pulse, Shell Recharge, </w:t>
      </w:r>
      <w:proofErr w:type="spellStart"/>
      <w:r w:rsidRPr="00E527D6">
        <w:rPr>
          <w:rFonts w:ascii="Arial" w:hAnsi="Arial" w:cs="Arial"/>
        </w:rPr>
        <w:t>Ionity</w:t>
      </w:r>
      <w:proofErr w:type="spellEnd"/>
      <w:r w:rsidRPr="00E527D6">
        <w:rPr>
          <w:rFonts w:ascii="Arial" w:hAnsi="Arial" w:cs="Arial"/>
        </w:rPr>
        <w:t xml:space="preserve">, and </w:t>
      </w:r>
      <w:proofErr w:type="spellStart"/>
      <w:r w:rsidRPr="00E527D6">
        <w:rPr>
          <w:rFonts w:ascii="Arial" w:hAnsi="Arial" w:cs="Arial"/>
        </w:rPr>
        <w:t>InstaVolt</w:t>
      </w:r>
      <w:proofErr w:type="spellEnd"/>
      <w:r w:rsidRPr="00E527D6">
        <w:rPr>
          <w:rFonts w:ascii="Arial" w:hAnsi="Arial" w:cs="Arial"/>
        </w:rPr>
        <w:t xml:space="preserve"> (</w:t>
      </w:r>
      <w:proofErr w:type="spellStart"/>
      <w:r w:rsidRPr="00E527D6">
        <w:rPr>
          <w:rFonts w:ascii="Arial" w:hAnsi="Arial" w:cs="Arial"/>
        </w:rPr>
        <w:t>Zapmap</w:t>
      </w:r>
      <w:proofErr w:type="spellEnd"/>
      <w:r w:rsidRPr="00E527D6">
        <w:rPr>
          <w:rFonts w:ascii="Arial" w:hAnsi="Arial" w:cs="Arial"/>
        </w:rPr>
        <w:t xml:space="preserve">, 2023). Competitive markets are heightened by mergers and acquisitions which consolidate the market. Competition over </w:t>
      </w:r>
      <w:proofErr w:type="gramStart"/>
      <w:r w:rsidRPr="00E527D6">
        <w:rPr>
          <w:rFonts w:ascii="Arial" w:hAnsi="Arial" w:cs="Arial"/>
        </w:rPr>
        <w:t>prices</w:t>
      </w:r>
      <w:proofErr w:type="gramEnd"/>
      <w:r w:rsidRPr="00E527D6">
        <w:rPr>
          <w:rFonts w:ascii="Arial" w:hAnsi="Arial" w:cs="Arial"/>
        </w:rPr>
        <w:t xml:space="preserve"> especially in urban </w:t>
      </w:r>
      <w:proofErr w:type="spellStart"/>
      <w:proofErr w:type="gramStart"/>
      <w:r w:rsidRPr="00E527D6">
        <w:rPr>
          <w:rFonts w:ascii="Arial" w:hAnsi="Arial" w:cs="Arial"/>
        </w:rPr>
        <w:t>centres</w:t>
      </w:r>
      <w:proofErr w:type="spellEnd"/>
      <w:proofErr w:type="gramEnd"/>
      <w:r w:rsidRPr="00E527D6">
        <w:rPr>
          <w:rFonts w:ascii="Arial" w:hAnsi="Arial" w:cs="Arial"/>
        </w:rPr>
        <w:t xml:space="preserve"> puts pressure on the profit margins. Nevertheless, the growing market and opportunity of geographical differentiation soften the intensity of rivalry within the </w:t>
      </w:r>
      <w:proofErr w:type="gramStart"/>
      <w:r w:rsidRPr="00E527D6">
        <w:rPr>
          <w:rFonts w:ascii="Arial" w:hAnsi="Arial" w:cs="Arial"/>
        </w:rPr>
        <w:t>particular segments</w:t>
      </w:r>
      <w:proofErr w:type="gramEnd"/>
      <w:r w:rsidRPr="00E527D6">
        <w:rPr>
          <w:rFonts w:ascii="Arial" w:hAnsi="Arial" w:cs="Arial"/>
        </w:rPr>
        <w:t>.</w:t>
      </w:r>
    </w:p>
    <w:p w14:paraId="64FF138D" w14:textId="7D8A5B49" w:rsidR="00AC45F8" w:rsidRDefault="00C765D8" w:rsidP="00C765D8">
      <w:pPr>
        <w:spacing w:line="360" w:lineRule="auto"/>
        <w:jc w:val="center"/>
        <w:rPr>
          <w:rFonts w:ascii="Arial" w:hAnsi="Arial" w:cs="Arial"/>
        </w:rPr>
      </w:pPr>
      <w:r>
        <w:rPr>
          <w:rFonts w:ascii="Arial" w:hAnsi="Arial" w:cs="Arial"/>
          <w:noProof/>
        </w:rPr>
        <w:lastRenderedPageBreak/>
        <w:drawing>
          <wp:inline distT="0" distB="0" distL="0" distR="0" wp14:anchorId="3FDCEB91" wp14:editId="66D18950">
            <wp:extent cx="4019550" cy="6029325"/>
            <wp:effectExtent l="152400" t="152400" r="361950" b="371475"/>
            <wp:docPr id="7560829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082959" name="Picture 756082959"/>
                    <pic:cNvPicPr/>
                  </pic:nvPicPr>
                  <pic:blipFill>
                    <a:blip r:embed="rId10"/>
                    <a:stretch>
                      <a:fillRect/>
                    </a:stretch>
                  </pic:blipFill>
                  <pic:spPr>
                    <a:xfrm>
                      <a:off x="0" y="0"/>
                      <a:ext cx="4019550" cy="6029325"/>
                    </a:xfrm>
                    <a:prstGeom prst="rect">
                      <a:avLst/>
                    </a:prstGeom>
                    <a:ln>
                      <a:noFill/>
                    </a:ln>
                    <a:effectLst>
                      <a:outerShdw blurRad="292100" dist="139700" dir="2700000" algn="tl" rotWithShape="0">
                        <a:srgbClr val="333333">
                          <a:alpha val="65000"/>
                        </a:srgbClr>
                      </a:outerShdw>
                    </a:effectLst>
                  </pic:spPr>
                </pic:pic>
              </a:graphicData>
            </a:graphic>
          </wp:inline>
        </w:drawing>
      </w:r>
      <w:r w:rsidR="00AC45F8">
        <w:rPr>
          <w:rFonts w:ascii="Arial" w:hAnsi="Arial" w:cs="Arial"/>
        </w:rPr>
        <w:br w:type="page"/>
      </w:r>
    </w:p>
    <w:p w14:paraId="1BA8463C" w14:textId="77777777" w:rsidR="00AC45F8" w:rsidRPr="006630F8" w:rsidRDefault="00AC45F8" w:rsidP="006630F8">
      <w:pPr>
        <w:pStyle w:val="Heading1"/>
        <w:spacing w:line="360" w:lineRule="auto"/>
        <w:rPr>
          <w:rFonts w:ascii="Arial" w:hAnsi="Arial" w:cs="Arial"/>
          <w:b/>
          <w:bCs/>
          <w:color w:val="000000" w:themeColor="text1"/>
          <w:sz w:val="24"/>
          <w:szCs w:val="24"/>
        </w:rPr>
      </w:pPr>
      <w:bookmarkStart w:id="8" w:name="_Toc213636398"/>
      <w:r w:rsidRPr="006630F8">
        <w:rPr>
          <w:rFonts w:ascii="Arial" w:hAnsi="Arial" w:cs="Arial"/>
          <w:b/>
          <w:bCs/>
          <w:color w:val="000000" w:themeColor="text1"/>
          <w:sz w:val="24"/>
          <w:szCs w:val="24"/>
        </w:rPr>
        <w:lastRenderedPageBreak/>
        <w:t>Element 3: 4Ps, Market Segmentation &amp; Marketing Strategies</w:t>
      </w:r>
      <w:bookmarkEnd w:id="8"/>
    </w:p>
    <w:p w14:paraId="219B3B73" w14:textId="77777777" w:rsidR="00AC45F8" w:rsidRPr="006630F8" w:rsidRDefault="00AC45F8" w:rsidP="006630F8">
      <w:pPr>
        <w:pStyle w:val="Heading2"/>
        <w:spacing w:line="360" w:lineRule="auto"/>
        <w:rPr>
          <w:rFonts w:ascii="Arial" w:hAnsi="Arial" w:cs="Arial"/>
          <w:b/>
          <w:bCs/>
          <w:color w:val="000000" w:themeColor="text1"/>
          <w:sz w:val="24"/>
          <w:szCs w:val="24"/>
        </w:rPr>
      </w:pPr>
      <w:bookmarkStart w:id="9" w:name="_Toc213636399"/>
      <w:r w:rsidRPr="006630F8">
        <w:rPr>
          <w:rFonts w:ascii="Arial" w:hAnsi="Arial" w:cs="Arial"/>
          <w:b/>
          <w:bCs/>
          <w:color w:val="000000" w:themeColor="text1"/>
          <w:sz w:val="24"/>
          <w:szCs w:val="24"/>
        </w:rPr>
        <w:t>Market Segmentation and Target Customers</w:t>
      </w:r>
      <w:bookmarkEnd w:id="9"/>
    </w:p>
    <w:p w14:paraId="66271CE6" w14:textId="77777777" w:rsidR="00E527D6" w:rsidRPr="00E527D6" w:rsidRDefault="00E527D6" w:rsidP="00E527D6">
      <w:pPr>
        <w:spacing w:line="360" w:lineRule="auto"/>
        <w:jc w:val="both"/>
        <w:rPr>
          <w:rFonts w:ascii="Arial" w:hAnsi="Arial" w:cs="Arial"/>
        </w:rPr>
      </w:pPr>
      <w:proofErr w:type="spellStart"/>
      <w:r w:rsidRPr="00E527D6">
        <w:rPr>
          <w:rFonts w:ascii="Arial" w:hAnsi="Arial" w:cs="Arial"/>
        </w:rPr>
        <w:t>EcoCharge</w:t>
      </w:r>
      <w:proofErr w:type="spellEnd"/>
      <w:r w:rsidRPr="00E527D6">
        <w:rPr>
          <w:rFonts w:ascii="Arial" w:hAnsi="Arial" w:cs="Arial"/>
        </w:rPr>
        <w:t xml:space="preserve"> Solutions has adopted </w:t>
      </w:r>
      <w:proofErr w:type="gramStart"/>
      <w:r w:rsidRPr="00E527D6">
        <w:rPr>
          <w:rFonts w:ascii="Arial" w:hAnsi="Arial" w:cs="Arial"/>
        </w:rPr>
        <w:t>the</w:t>
      </w:r>
      <w:proofErr w:type="gramEnd"/>
      <w:r w:rsidRPr="00E527D6">
        <w:rPr>
          <w:rFonts w:ascii="Arial" w:hAnsi="Arial" w:cs="Arial"/>
        </w:rPr>
        <w:t xml:space="preserve"> multi-segment targeting approach to cater to the needs of different customers in UK electric vehicle charging market. The market segmentation analysis brings out four main primary segments </w:t>
      </w:r>
      <w:proofErr w:type="gramStart"/>
      <w:r w:rsidRPr="00E527D6">
        <w:rPr>
          <w:rFonts w:ascii="Arial" w:hAnsi="Arial" w:cs="Arial"/>
        </w:rPr>
        <w:t>on the basis of</w:t>
      </w:r>
      <w:proofErr w:type="gramEnd"/>
      <w:r w:rsidRPr="00E527D6">
        <w:rPr>
          <w:rFonts w:ascii="Arial" w:hAnsi="Arial" w:cs="Arial"/>
        </w:rPr>
        <w:t xml:space="preserve"> demographic, geographic, psychographic and </w:t>
      </w:r>
      <w:proofErr w:type="spellStart"/>
      <w:r w:rsidRPr="00E527D6">
        <w:rPr>
          <w:rFonts w:ascii="Arial" w:hAnsi="Arial" w:cs="Arial"/>
        </w:rPr>
        <w:t>behavioural</w:t>
      </w:r>
      <w:proofErr w:type="spellEnd"/>
      <w:r w:rsidRPr="00E527D6">
        <w:rPr>
          <w:rFonts w:ascii="Arial" w:hAnsi="Arial" w:cs="Arial"/>
        </w:rPr>
        <w:t xml:space="preserve"> (Kotler and Armstrong, 2010).</w:t>
      </w:r>
    </w:p>
    <w:p w14:paraId="058C9513" w14:textId="224B7830" w:rsidR="00E527D6" w:rsidRPr="00E527D6" w:rsidRDefault="00E527D6" w:rsidP="00E527D6">
      <w:pPr>
        <w:spacing w:line="360" w:lineRule="auto"/>
        <w:jc w:val="both"/>
        <w:rPr>
          <w:rFonts w:ascii="Arial" w:hAnsi="Arial" w:cs="Arial"/>
        </w:rPr>
      </w:pPr>
      <w:r w:rsidRPr="00E527D6">
        <w:rPr>
          <w:rFonts w:ascii="Arial" w:hAnsi="Arial" w:cs="Arial"/>
        </w:rPr>
        <w:t>The Environmental Enthusiasts are the ultimate target market, which consists of 35-55-year-old professionals who earn above-average income (</w:t>
      </w:r>
      <w:r w:rsidR="00F01F82">
        <w:rPr>
          <w:rFonts w:ascii="Arial" w:hAnsi="Arial" w:cs="Arial"/>
        </w:rPr>
        <w:t xml:space="preserve">£ </w:t>
      </w:r>
      <w:r w:rsidRPr="00E527D6">
        <w:rPr>
          <w:rFonts w:ascii="Arial" w:hAnsi="Arial" w:cs="Arial"/>
        </w:rPr>
        <w:t>40,000+) and are conscious about sustainability and environmental friendliness. It has been found that 64 percent of EV adopters in the UK mention environmental issues as their top purchase reason (Rezvani et al., 2015). This segment is highly brand-loyal, ready to pay a high price on sustainable services and participates in eco-friendly brands on social media platforms.</w:t>
      </w:r>
    </w:p>
    <w:p w14:paraId="7D3FB47E" w14:textId="77777777" w:rsidR="00E527D6" w:rsidRPr="00E527D6" w:rsidRDefault="00E527D6" w:rsidP="00E527D6">
      <w:pPr>
        <w:spacing w:line="360" w:lineRule="auto"/>
        <w:jc w:val="both"/>
        <w:rPr>
          <w:rFonts w:ascii="Arial" w:hAnsi="Arial" w:cs="Arial"/>
        </w:rPr>
      </w:pPr>
      <w:r w:rsidRPr="00E527D6">
        <w:rPr>
          <w:rFonts w:ascii="Arial" w:hAnsi="Arial" w:cs="Arial"/>
        </w:rPr>
        <w:t>Corporate Fleet Managers are a high-value B2B group that manages fleets of company vehicles that are moving towards electric mobility. This market has a massive revenue opportunity with long-term contracts and regular use trends as 38% of all UK businesses intend to electrify their fleet by 2030 (BVRLA, 2022). These decision-makers are cost-efficient, reliable, and able to provide sustainability compliance through comprehensive reporting.</w:t>
      </w:r>
    </w:p>
    <w:p w14:paraId="0FFC47A1" w14:textId="77777777" w:rsidR="00E527D6" w:rsidRPr="00E527D6" w:rsidRDefault="00E527D6" w:rsidP="00E527D6">
      <w:pPr>
        <w:spacing w:line="360" w:lineRule="auto"/>
        <w:jc w:val="both"/>
        <w:rPr>
          <w:rFonts w:ascii="Arial" w:hAnsi="Arial" w:cs="Arial"/>
        </w:rPr>
      </w:pPr>
      <w:r w:rsidRPr="00E527D6">
        <w:rPr>
          <w:rFonts w:ascii="Arial" w:hAnsi="Arial" w:cs="Arial"/>
        </w:rPr>
        <w:t xml:space="preserve">Urban Commuters Without Home Charging are those who live in apartments, terraced </w:t>
      </w:r>
      <w:proofErr w:type="gramStart"/>
      <w:r w:rsidRPr="00E527D6">
        <w:rPr>
          <w:rFonts w:ascii="Arial" w:hAnsi="Arial" w:cs="Arial"/>
        </w:rPr>
        <w:t>housings</w:t>
      </w:r>
      <w:proofErr w:type="gramEnd"/>
      <w:r w:rsidRPr="00E527D6">
        <w:rPr>
          <w:rFonts w:ascii="Arial" w:hAnsi="Arial" w:cs="Arial"/>
        </w:rPr>
        <w:t xml:space="preserve"> or those areas that do not have off-street parking facilities. About 40 percent of households in the UK are unable to have home charging infrastructure installed, and this poses a considerable pressure on the availability of the public charging solutions (Department of Transport, 2022). The segment is conscious of convenience, speed of charging, and competitive pricing patterns.</w:t>
      </w:r>
    </w:p>
    <w:p w14:paraId="5C5496B8" w14:textId="77777777" w:rsidR="00E527D6" w:rsidRPr="00E527D6" w:rsidRDefault="00E527D6" w:rsidP="00E527D6">
      <w:pPr>
        <w:spacing w:line="360" w:lineRule="auto"/>
        <w:jc w:val="both"/>
        <w:rPr>
          <w:rFonts w:ascii="Arial" w:hAnsi="Arial" w:cs="Arial"/>
        </w:rPr>
      </w:pPr>
      <w:r w:rsidRPr="00E527D6">
        <w:rPr>
          <w:rFonts w:ascii="Arial" w:hAnsi="Arial" w:cs="Arial"/>
        </w:rPr>
        <w:t>Early Technology Adopters are younger (25-40 years) populations that have interest and excitement in new technology and smooth digital experiences. This group anticipates advanced mobile apps, touchless payments and connectivity with smart home systems (Rogers, 2003). They do not hesitate when it comes to the exchange of experiences online in online reviews and social media; this offers a good word of mouth marketing.</w:t>
      </w:r>
    </w:p>
    <w:p w14:paraId="2E85412C" w14:textId="342709A1" w:rsidR="00AC45F8" w:rsidRPr="00AC45F8" w:rsidRDefault="00E527D6" w:rsidP="00E527D6">
      <w:pPr>
        <w:spacing w:line="360" w:lineRule="auto"/>
        <w:jc w:val="both"/>
        <w:rPr>
          <w:rFonts w:ascii="Arial" w:hAnsi="Arial" w:cs="Arial"/>
        </w:rPr>
      </w:pPr>
      <w:r w:rsidRPr="00E527D6">
        <w:rPr>
          <w:rFonts w:ascii="Arial" w:hAnsi="Arial" w:cs="Arial"/>
        </w:rPr>
        <w:lastRenderedPageBreak/>
        <w:t>Geographic segmentation focuses on initially underserved and suburban and peri-urban areas in Southeast England, the Midlands and Northwest where the charge infrastructure is currently limited relative to EV ownership density (</w:t>
      </w:r>
      <w:proofErr w:type="spellStart"/>
      <w:r w:rsidRPr="00E527D6">
        <w:rPr>
          <w:rFonts w:ascii="Arial" w:hAnsi="Arial" w:cs="Arial"/>
        </w:rPr>
        <w:t>Zapmap</w:t>
      </w:r>
      <w:proofErr w:type="spellEnd"/>
      <w:r w:rsidRPr="00E527D6">
        <w:rPr>
          <w:rFonts w:ascii="Arial" w:hAnsi="Arial" w:cs="Arial"/>
        </w:rPr>
        <w:t>, 2023).</w:t>
      </w:r>
    </w:p>
    <w:tbl>
      <w:tblPr>
        <w:tblStyle w:val="TableGrid"/>
        <w:tblW w:w="0" w:type="auto"/>
        <w:tblLook w:val="04A0" w:firstRow="1" w:lastRow="0" w:firstColumn="1" w:lastColumn="0" w:noHBand="0" w:noVBand="1"/>
      </w:tblPr>
      <w:tblGrid>
        <w:gridCol w:w="1435"/>
        <w:gridCol w:w="3780"/>
        <w:gridCol w:w="4135"/>
      </w:tblGrid>
      <w:tr w:rsidR="006A01F9" w14:paraId="51268123" w14:textId="77777777" w:rsidTr="00207033">
        <w:tc>
          <w:tcPr>
            <w:tcW w:w="1435" w:type="dxa"/>
            <w:shd w:val="clear" w:color="auto" w:fill="002060"/>
            <w:vAlign w:val="center"/>
          </w:tcPr>
          <w:p w14:paraId="48EF6194" w14:textId="2A84253D" w:rsidR="006A01F9" w:rsidRPr="00207033" w:rsidRDefault="006A01F9" w:rsidP="00207033">
            <w:pPr>
              <w:spacing w:line="360" w:lineRule="auto"/>
              <w:jc w:val="center"/>
              <w:rPr>
                <w:rFonts w:ascii="Arial" w:hAnsi="Arial" w:cs="Arial"/>
                <w:b/>
                <w:bCs/>
              </w:rPr>
            </w:pPr>
            <w:r w:rsidRPr="00207033">
              <w:rPr>
                <w:rFonts w:ascii="Arial" w:hAnsi="Arial" w:cs="Arial"/>
                <w:b/>
                <w:bCs/>
              </w:rPr>
              <w:t>Element</w:t>
            </w:r>
          </w:p>
        </w:tc>
        <w:tc>
          <w:tcPr>
            <w:tcW w:w="3780" w:type="dxa"/>
            <w:shd w:val="clear" w:color="auto" w:fill="002060"/>
            <w:vAlign w:val="center"/>
          </w:tcPr>
          <w:p w14:paraId="227F44E8" w14:textId="56FE1453" w:rsidR="006A01F9" w:rsidRPr="00207033" w:rsidRDefault="006A01F9" w:rsidP="00207033">
            <w:pPr>
              <w:spacing w:line="360" w:lineRule="auto"/>
              <w:jc w:val="center"/>
              <w:rPr>
                <w:rFonts w:ascii="Arial" w:hAnsi="Arial" w:cs="Arial"/>
                <w:b/>
                <w:bCs/>
              </w:rPr>
            </w:pPr>
            <w:r w:rsidRPr="00207033">
              <w:rPr>
                <w:rFonts w:ascii="Arial" w:hAnsi="Arial" w:cs="Arial"/>
                <w:b/>
                <w:bCs/>
              </w:rPr>
              <w:t>Strategy</w:t>
            </w:r>
          </w:p>
        </w:tc>
        <w:tc>
          <w:tcPr>
            <w:tcW w:w="4135" w:type="dxa"/>
            <w:shd w:val="clear" w:color="auto" w:fill="002060"/>
            <w:vAlign w:val="center"/>
          </w:tcPr>
          <w:p w14:paraId="07833F78" w14:textId="65E144B7" w:rsidR="006A01F9" w:rsidRPr="00207033" w:rsidRDefault="006A01F9" w:rsidP="00207033">
            <w:pPr>
              <w:spacing w:line="360" w:lineRule="auto"/>
              <w:jc w:val="center"/>
              <w:rPr>
                <w:rFonts w:ascii="Arial" w:hAnsi="Arial" w:cs="Arial"/>
                <w:b/>
                <w:bCs/>
              </w:rPr>
            </w:pPr>
            <w:r w:rsidRPr="00207033">
              <w:rPr>
                <w:rFonts w:ascii="Arial" w:hAnsi="Arial" w:cs="Arial"/>
                <w:b/>
                <w:bCs/>
              </w:rPr>
              <w:t>Rationale</w:t>
            </w:r>
          </w:p>
        </w:tc>
      </w:tr>
      <w:tr w:rsidR="006A01F9" w14:paraId="06D8AC02" w14:textId="77777777" w:rsidTr="00207033">
        <w:trPr>
          <w:trHeight w:val="4049"/>
        </w:trPr>
        <w:tc>
          <w:tcPr>
            <w:tcW w:w="1435" w:type="dxa"/>
            <w:shd w:val="clear" w:color="auto" w:fill="FFD395" w:themeFill="accent3" w:themeFillTint="66"/>
            <w:vAlign w:val="center"/>
          </w:tcPr>
          <w:p w14:paraId="4D34EB70" w14:textId="783C0058" w:rsidR="006A01F9" w:rsidRPr="00207033" w:rsidRDefault="006A01F9" w:rsidP="00207033">
            <w:pPr>
              <w:spacing w:line="360" w:lineRule="auto"/>
              <w:jc w:val="center"/>
              <w:rPr>
                <w:rFonts w:ascii="Arial" w:hAnsi="Arial" w:cs="Arial"/>
                <w:b/>
                <w:bCs/>
              </w:rPr>
            </w:pPr>
            <w:r w:rsidRPr="00207033">
              <w:rPr>
                <w:rFonts w:ascii="Arial" w:hAnsi="Arial" w:cs="Arial"/>
                <w:b/>
                <w:bCs/>
              </w:rPr>
              <w:t>Product</w:t>
            </w:r>
          </w:p>
        </w:tc>
        <w:tc>
          <w:tcPr>
            <w:tcW w:w="3780" w:type="dxa"/>
            <w:vAlign w:val="center"/>
          </w:tcPr>
          <w:p w14:paraId="04445FC6" w14:textId="77777777" w:rsidR="00207033" w:rsidRPr="00207033" w:rsidRDefault="006A01F9" w:rsidP="00207033">
            <w:pPr>
              <w:pStyle w:val="ListParagraph"/>
              <w:numPr>
                <w:ilvl w:val="0"/>
                <w:numId w:val="3"/>
              </w:numPr>
              <w:spacing w:line="360" w:lineRule="auto"/>
              <w:ind w:left="338" w:hanging="270"/>
              <w:jc w:val="both"/>
              <w:rPr>
                <w:rFonts w:ascii="Arial" w:hAnsi="Arial" w:cs="Arial"/>
              </w:rPr>
            </w:pPr>
            <w:r w:rsidRPr="00207033">
              <w:rPr>
                <w:rFonts w:ascii="Arial" w:hAnsi="Arial" w:cs="Arial"/>
              </w:rPr>
              <w:t>Rapid charging stations (150kW+) with solar canopies</w:t>
            </w:r>
          </w:p>
          <w:p w14:paraId="734BC009" w14:textId="77777777" w:rsidR="00207033" w:rsidRPr="00207033" w:rsidRDefault="006A01F9" w:rsidP="00207033">
            <w:pPr>
              <w:pStyle w:val="ListParagraph"/>
              <w:numPr>
                <w:ilvl w:val="0"/>
                <w:numId w:val="3"/>
              </w:numPr>
              <w:spacing w:line="360" w:lineRule="auto"/>
              <w:ind w:left="338" w:hanging="270"/>
              <w:jc w:val="both"/>
              <w:rPr>
                <w:rFonts w:ascii="Arial" w:hAnsi="Arial" w:cs="Arial"/>
              </w:rPr>
            </w:pPr>
            <w:r w:rsidRPr="00207033">
              <w:rPr>
                <w:rFonts w:ascii="Arial" w:hAnsi="Arial" w:cs="Arial"/>
              </w:rPr>
              <w:t>Mobile app with real-time availability and reservation</w:t>
            </w:r>
          </w:p>
          <w:p w14:paraId="7CF7C416" w14:textId="77777777" w:rsidR="00207033" w:rsidRPr="00207033" w:rsidRDefault="006A01F9" w:rsidP="00207033">
            <w:pPr>
              <w:pStyle w:val="ListParagraph"/>
              <w:numPr>
                <w:ilvl w:val="0"/>
                <w:numId w:val="3"/>
              </w:numPr>
              <w:spacing w:line="360" w:lineRule="auto"/>
              <w:ind w:left="338" w:hanging="270"/>
              <w:jc w:val="both"/>
              <w:rPr>
                <w:rFonts w:ascii="Arial" w:hAnsi="Arial" w:cs="Arial"/>
              </w:rPr>
            </w:pPr>
            <w:r w:rsidRPr="00207033">
              <w:rPr>
                <w:rFonts w:ascii="Arial" w:hAnsi="Arial" w:cs="Arial"/>
              </w:rPr>
              <w:t>Tiered membership packages (Basic, Premium, Corporate)</w:t>
            </w:r>
          </w:p>
          <w:p w14:paraId="02390BB9" w14:textId="06BABFB6" w:rsidR="006A01F9" w:rsidRPr="00207033" w:rsidRDefault="006A01F9" w:rsidP="00207033">
            <w:pPr>
              <w:pStyle w:val="ListParagraph"/>
              <w:numPr>
                <w:ilvl w:val="0"/>
                <w:numId w:val="3"/>
              </w:numPr>
              <w:spacing w:line="360" w:lineRule="auto"/>
              <w:ind w:left="338" w:hanging="270"/>
              <w:jc w:val="both"/>
              <w:rPr>
                <w:rFonts w:ascii="Arial" w:hAnsi="Arial" w:cs="Arial"/>
              </w:rPr>
            </w:pPr>
            <w:r w:rsidRPr="00207033">
              <w:rPr>
                <w:rFonts w:ascii="Arial" w:hAnsi="Arial" w:cs="Arial"/>
              </w:rPr>
              <w:t xml:space="preserve">24/7 customer support and loyalty rewards </w:t>
            </w:r>
            <w:proofErr w:type="spellStart"/>
            <w:r w:rsidRPr="00207033">
              <w:rPr>
                <w:rFonts w:ascii="Arial" w:hAnsi="Arial" w:cs="Arial"/>
              </w:rPr>
              <w:t>programme</w:t>
            </w:r>
            <w:proofErr w:type="spellEnd"/>
          </w:p>
        </w:tc>
        <w:tc>
          <w:tcPr>
            <w:tcW w:w="4135" w:type="dxa"/>
            <w:vAlign w:val="center"/>
          </w:tcPr>
          <w:p w14:paraId="61835820" w14:textId="7EE19ABA" w:rsidR="006A01F9" w:rsidRDefault="006A01F9" w:rsidP="00207033">
            <w:pPr>
              <w:spacing w:line="360" w:lineRule="auto"/>
              <w:jc w:val="both"/>
              <w:rPr>
                <w:rFonts w:ascii="Arial" w:hAnsi="Arial" w:cs="Arial"/>
              </w:rPr>
            </w:pPr>
            <w:r w:rsidRPr="006A01F9">
              <w:rPr>
                <w:rFonts w:ascii="Arial" w:hAnsi="Arial" w:cs="Arial"/>
              </w:rPr>
              <w:t>Product differentiation through sustainability credentials and superior customer experience addresses identified market gaps. The subscription model encourages customer retention whilst mobile app functionality reduces range anxiety—a significant adoption barrier (Noel et al., 2019).</w:t>
            </w:r>
          </w:p>
        </w:tc>
      </w:tr>
      <w:tr w:rsidR="006A01F9" w14:paraId="6B4F21AF" w14:textId="77777777" w:rsidTr="00207033">
        <w:trPr>
          <w:trHeight w:val="4472"/>
        </w:trPr>
        <w:tc>
          <w:tcPr>
            <w:tcW w:w="1435" w:type="dxa"/>
            <w:shd w:val="clear" w:color="auto" w:fill="F2B9A8" w:themeFill="accent6" w:themeFillTint="66"/>
            <w:vAlign w:val="center"/>
          </w:tcPr>
          <w:p w14:paraId="414B6DD1" w14:textId="51A38EBE" w:rsidR="006A01F9" w:rsidRPr="00207033" w:rsidRDefault="006A01F9" w:rsidP="00207033">
            <w:pPr>
              <w:spacing w:line="360" w:lineRule="auto"/>
              <w:jc w:val="center"/>
              <w:rPr>
                <w:rFonts w:ascii="Arial" w:hAnsi="Arial" w:cs="Arial"/>
                <w:b/>
                <w:bCs/>
              </w:rPr>
            </w:pPr>
            <w:r w:rsidRPr="00207033">
              <w:rPr>
                <w:rFonts w:ascii="Arial" w:hAnsi="Arial" w:cs="Arial"/>
                <w:b/>
                <w:bCs/>
              </w:rPr>
              <w:t>Price</w:t>
            </w:r>
          </w:p>
        </w:tc>
        <w:tc>
          <w:tcPr>
            <w:tcW w:w="3780" w:type="dxa"/>
            <w:vAlign w:val="center"/>
          </w:tcPr>
          <w:p w14:paraId="0A38F8E7" w14:textId="77777777" w:rsidR="00207033" w:rsidRPr="00207033" w:rsidRDefault="006A01F9" w:rsidP="00207033">
            <w:pPr>
              <w:pStyle w:val="ListParagraph"/>
              <w:numPr>
                <w:ilvl w:val="0"/>
                <w:numId w:val="3"/>
              </w:numPr>
              <w:spacing w:line="360" w:lineRule="auto"/>
              <w:ind w:left="338" w:hanging="270"/>
              <w:jc w:val="both"/>
              <w:rPr>
                <w:rFonts w:ascii="Arial" w:hAnsi="Arial" w:cs="Arial"/>
              </w:rPr>
            </w:pPr>
            <w:r w:rsidRPr="00207033">
              <w:rPr>
                <w:rFonts w:ascii="Arial" w:hAnsi="Arial" w:cs="Arial"/>
              </w:rPr>
              <w:t>Competitive pay-as-you-go: £0.45/kWh (rapid charging)</w:t>
            </w:r>
          </w:p>
          <w:p w14:paraId="23B54DE5" w14:textId="77777777" w:rsidR="00207033" w:rsidRPr="00207033" w:rsidRDefault="006A01F9" w:rsidP="00207033">
            <w:pPr>
              <w:pStyle w:val="ListParagraph"/>
              <w:numPr>
                <w:ilvl w:val="0"/>
                <w:numId w:val="3"/>
              </w:numPr>
              <w:spacing w:line="360" w:lineRule="auto"/>
              <w:ind w:left="338" w:hanging="270"/>
              <w:jc w:val="both"/>
              <w:rPr>
                <w:rFonts w:ascii="Arial" w:hAnsi="Arial" w:cs="Arial"/>
              </w:rPr>
            </w:pPr>
            <w:r w:rsidRPr="00207033">
              <w:rPr>
                <w:rFonts w:ascii="Arial" w:hAnsi="Arial" w:cs="Arial"/>
              </w:rPr>
              <w:t>Premium membership: £12.99/month (15% discount)</w:t>
            </w:r>
          </w:p>
          <w:p w14:paraId="663E02AE" w14:textId="77777777" w:rsidR="00207033" w:rsidRPr="00207033" w:rsidRDefault="006A01F9" w:rsidP="00207033">
            <w:pPr>
              <w:pStyle w:val="ListParagraph"/>
              <w:numPr>
                <w:ilvl w:val="0"/>
                <w:numId w:val="3"/>
              </w:numPr>
              <w:spacing w:line="360" w:lineRule="auto"/>
              <w:ind w:left="338" w:hanging="270"/>
              <w:jc w:val="both"/>
              <w:rPr>
                <w:rFonts w:ascii="Arial" w:hAnsi="Arial" w:cs="Arial"/>
              </w:rPr>
            </w:pPr>
            <w:r w:rsidRPr="00207033">
              <w:rPr>
                <w:rFonts w:ascii="Arial" w:hAnsi="Arial" w:cs="Arial"/>
              </w:rPr>
              <w:t>Corporate packages: Custom pricing with volume discounts</w:t>
            </w:r>
          </w:p>
          <w:p w14:paraId="05C0C166" w14:textId="502CEAF1" w:rsidR="006A01F9" w:rsidRPr="00207033" w:rsidRDefault="006A01F9" w:rsidP="00207033">
            <w:pPr>
              <w:pStyle w:val="ListParagraph"/>
              <w:numPr>
                <w:ilvl w:val="0"/>
                <w:numId w:val="3"/>
              </w:numPr>
              <w:spacing w:line="360" w:lineRule="auto"/>
              <w:ind w:left="338" w:hanging="270"/>
              <w:jc w:val="both"/>
              <w:rPr>
                <w:rFonts w:ascii="Arial" w:hAnsi="Arial" w:cs="Arial"/>
              </w:rPr>
            </w:pPr>
            <w:r w:rsidRPr="00207033">
              <w:rPr>
                <w:rFonts w:ascii="Arial" w:hAnsi="Arial" w:cs="Arial"/>
              </w:rPr>
              <w:t>Transparent pricing with no hidden connection fees</w:t>
            </w:r>
          </w:p>
        </w:tc>
        <w:tc>
          <w:tcPr>
            <w:tcW w:w="4135" w:type="dxa"/>
            <w:vAlign w:val="center"/>
          </w:tcPr>
          <w:p w14:paraId="4EC80AB2" w14:textId="3CC785EF" w:rsidR="006A01F9" w:rsidRDefault="006A01F9" w:rsidP="00207033">
            <w:pPr>
              <w:spacing w:line="360" w:lineRule="auto"/>
              <w:jc w:val="both"/>
              <w:rPr>
                <w:rFonts w:ascii="Arial" w:hAnsi="Arial" w:cs="Arial"/>
              </w:rPr>
            </w:pPr>
            <w:r w:rsidRPr="006A01F9">
              <w:rPr>
                <w:rFonts w:ascii="Arial" w:hAnsi="Arial" w:cs="Arial"/>
              </w:rPr>
              <w:t xml:space="preserve">Penetration pricing strategy positions </w:t>
            </w:r>
            <w:proofErr w:type="spellStart"/>
            <w:r w:rsidRPr="006A01F9">
              <w:rPr>
                <w:rFonts w:ascii="Arial" w:hAnsi="Arial" w:cs="Arial"/>
              </w:rPr>
              <w:t>EcoCharge</w:t>
            </w:r>
            <w:proofErr w:type="spellEnd"/>
            <w:r w:rsidRPr="006A01F9">
              <w:rPr>
                <w:rFonts w:ascii="Arial" w:hAnsi="Arial" w:cs="Arial"/>
              </w:rPr>
              <w:t xml:space="preserve"> competitively against established operators (£0.48-£0.65/kWh) whilst maintaining profitability through membership conversions. Psychological pricing (£12.99 vs £13.00) enhances perceived value (Nagle and Holden, 2002). Corporate discounts secure long-term revenue streams.</w:t>
            </w:r>
          </w:p>
        </w:tc>
      </w:tr>
      <w:tr w:rsidR="006A01F9" w14:paraId="10FA2254" w14:textId="77777777" w:rsidTr="00207033">
        <w:trPr>
          <w:trHeight w:val="1430"/>
        </w:trPr>
        <w:tc>
          <w:tcPr>
            <w:tcW w:w="1435" w:type="dxa"/>
            <w:shd w:val="clear" w:color="auto" w:fill="E1EA9F" w:themeFill="accent2" w:themeFillTint="66"/>
            <w:vAlign w:val="center"/>
          </w:tcPr>
          <w:p w14:paraId="55CC1A4E" w14:textId="60E97A93" w:rsidR="006A01F9" w:rsidRPr="00207033" w:rsidRDefault="006A01F9" w:rsidP="00207033">
            <w:pPr>
              <w:spacing w:line="360" w:lineRule="auto"/>
              <w:jc w:val="center"/>
              <w:rPr>
                <w:rFonts w:ascii="Arial" w:hAnsi="Arial" w:cs="Arial"/>
                <w:b/>
                <w:bCs/>
              </w:rPr>
            </w:pPr>
            <w:r w:rsidRPr="00207033">
              <w:rPr>
                <w:rFonts w:ascii="Arial" w:hAnsi="Arial" w:cs="Arial"/>
                <w:b/>
                <w:bCs/>
              </w:rPr>
              <w:t>Place</w:t>
            </w:r>
          </w:p>
        </w:tc>
        <w:tc>
          <w:tcPr>
            <w:tcW w:w="3780" w:type="dxa"/>
            <w:vAlign w:val="center"/>
          </w:tcPr>
          <w:p w14:paraId="169C13C6" w14:textId="77777777" w:rsidR="00207033" w:rsidRPr="00207033" w:rsidRDefault="006A01F9" w:rsidP="00207033">
            <w:pPr>
              <w:pStyle w:val="ListParagraph"/>
              <w:numPr>
                <w:ilvl w:val="0"/>
                <w:numId w:val="3"/>
              </w:numPr>
              <w:spacing w:line="360" w:lineRule="auto"/>
              <w:ind w:left="338" w:hanging="270"/>
              <w:jc w:val="both"/>
              <w:rPr>
                <w:rFonts w:ascii="Arial" w:hAnsi="Arial" w:cs="Arial"/>
              </w:rPr>
            </w:pPr>
            <w:r w:rsidRPr="00207033">
              <w:rPr>
                <w:rFonts w:ascii="Arial" w:hAnsi="Arial" w:cs="Arial"/>
              </w:rPr>
              <w:t>Strategic locations: retail parks, workplace car parks, suburban hubs</w:t>
            </w:r>
          </w:p>
          <w:p w14:paraId="7536F863" w14:textId="77777777" w:rsidR="00207033" w:rsidRPr="00207033" w:rsidRDefault="006A01F9" w:rsidP="00207033">
            <w:pPr>
              <w:pStyle w:val="ListParagraph"/>
              <w:numPr>
                <w:ilvl w:val="0"/>
                <w:numId w:val="3"/>
              </w:numPr>
              <w:spacing w:line="360" w:lineRule="auto"/>
              <w:ind w:left="338" w:hanging="270"/>
              <w:jc w:val="both"/>
              <w:rPr>
                <w:rFonts w:ascii="Arial" w:hAnsi="Arial" w:cs="Arial"/>
              </w:rPr>
            </w:pPr>
            <w:r w:rsidRPr="00207033">
              <w:rPr>
                <w:rFonts w:ascii="Arial" w:hAnsi="Arial" w:cs="Arial"/>
              </w:rPr>
              <w:t>Partnership sites with major retailers (negotiated agreements)</w:t>
            </w:r>
          </w:p>
          <w:p w14:paraId="010A31DB" w14:textId="77777777" w:rsidR="00207033" w:rsidRPr="00207033" w:rsidRDefault="006A01F9" w:rsidP="00207033">
            <w:pPr>
              <w:pStyle w:val="ListParagraph"/>
              <w:numPr>
                <w:ilvl w:val="0"/>
                <w:numId w:val="3"/>
              </w:numPr>
              <w:spacing w:line="360" w:lineRule="auto"/>
              <w:ind w:left="338" w:hanging="270"/>
              <w:jc w:val="both"/>
              <w:rPr>
                <w:rFonts w:ascii="Arial" w:hAnsi="Arial" w:cs="Arial"/>
              </w:rPr>
            </w:pPr>
            <w:r w:rsidRPr="00207033">
              <w:rPr>
                <w:rFonts w:ascii="Arial" w:hAnsi="Arial" w:cs="Arial"/>
              </w:rPr>
              <w:lastRenderedPageBreak/>
              <w:t>Priority installation in underserved geographic areas</w:t>
            </w:r>
          </w:p>
          <w:p w14:paraId="1219F330" w14:textId="37DEFFDA" w:rsidR="006A01F9" w:rsidRPr="00207033" w:rsidRDefault="006A01F9" w:rsidP="00207033">
            <w:pPr>
              <w:pStyle w:val="ListParagraph"/>
              <w:numPr>
                <w:ilvl w:val="0"/>
                <w:numId w:val="3"/>
              </w:numPr>
              <w:spacing w:line="360" w:lineRule="auto"/>
              <w:ind w:left="338" w:hanging="270"/>
              <w:jc w:val="both"/>
              <w:rPr>
                <w:rFonts w:ascii="Arial" w:hAnsi="Arial" w:cs="Arial"/>
              </w:rPr>
            </w:pPr>
            <w:r w:rsidRPr="00207033">
              <w:rPr>
                <w:rFonts w:ascii="Arial" w:hAnsi="Arial" w:cs="Arial"/>
              </w:rPr>
              <w:t>Franchise model for accelerated expansion (Year 3+)</w:t>
            </w:r>
          </w:p>
        </w:tc>
        <w:tc>
          <w:tcPr>
            <w:tcW w:w="4135" w:type="dxa"/>
            <w:vAlign w:val="center"/>
          </w:tcPr>
          <w:p w14:paraId="08932B8B" w14:textId="64E79D1B" w:rsidR="006A01F9" w:rsidRDefault="006A01F9" w:rsidP="00207033">
            <w:pPr>
              <w:spacing w:line="360" w:lineRule="auto"/>
              <w:jc w:val="both"/>
              <w:rPr>
                <w:rFonts w:ascii="Arial" w:hAnsi="Arial" w:cs="Arial"/>
              </w:rPr>
            </w:pPr>
            <w:r w:rsidRPr="006A01F9">
              <w:rPr>
                <w:rFonts w:ascii="Arial" w:hAnsi="Arial" w:cs="Arial"/>
              </w:rPr>
              <w:lastRenderedPageBreak/>
              <w:t xml:space="preserve">Distribution strategy focuses on convenience and accessibility. Partnerships with retail destinations create natural charging opportunities during shopping activities, averaging 45-90 minutes—ideal for rapid </w:t>
            </w:r>
            <w:r w:rsidRPr="006A01F9">
              <w:rPr>
                <w:rFonts w:ascii="Arial" w:hAnsi="Arial" w:cs="Arial"/>
              </w:rPr>
              <w:lastRenderedPageBreak/>
              <w:t>charging sessions (Morrissey et al., 2016). Suburban focus avoids saturated urban markets.</w:t>
            </w:r>
          </w:p>
        </w:tc>
      </w:tr>
      <w:tr w:rsidR="006A01F9" w14:paraId="3AE8261B" w14:textId="77777777" w:rsidTr="00207033">
        <w:trPr>
          <w:trHeight w:val="5030"/>
        </w:trPr>
        <w:tc>
          <w:tcPr>
            <w:tcW w:w="1435" w:type="dxa"/>
            <w:shd w:val="clear" w:color="auto" w:fill="B0D0E2" w:themeFill="accent1" w:themeFillTint="66"/>
            <w:vAlign w:val="center"/>
          </w:tcPr>
          <w:p w14:paraId="6703B825" w14:textId="713995C2" w:rsidR="006A01F9" w:rsidRPr="00207033" w:rsidRDefault="006A01F9" w:rsidP="00207033">
            <w:pPr>
              <w:spacing w:line="360" w:lineRule="auto"/>
              <w:jc w:val="center"/>
              <w:rPr>
                <w:rFonts w:ascii="Arial" w:hAnsi="Arial" w:cs="Arial"/>
                <w:b/>
                <w:bCs/>
              </w:rPr>
            </w:pPr>
            <w:r w:rsidRPr="00207033">
              <w:rPr>
                <w:rFonts w:ascii="Arial" w:hAnsi="Arial" w:cs="Arial"/>
                <w:b/>
                <w:bCs/>
              </w:rPr>
              <w:lastRenderedPageBreak/>
              <w:t>Promotion</w:t>
            </w:r>
          </w:p>
        </w:tc>
        <w:tc>
          <w:tcPr>
            <w:tcW w:w="3780" w:type="dxa"/>
            <w:vAlign w:val="center"/>
          </w:tcPr>
          <w:p w14:paraId="661F21E0" w14:textId="77777777" w:rsidR="00207033" w:rsidRPr="00207033" w:rsidRDefault="006A01F9" w:rsidP="00207033">
            <w:pPr>
              <w:pStyle w:val="ListParagraph"/>
              <w:numPr>
                <w:ilvl w:val="0"/>
                <w:numId w:val="3"/>
              </w:numPr>
              <w:spacing w:line="360" w:lineRule="auto"/>
              <w:ind w:left="338" w:hanging="270"/>
              <w:jc w:val="both"/>
              <w:rPr>
                <w:rFonts w:ascii="Arial" w:hAnsi="Arial" w:cs="Arial"/>
              </w:rPr>
            </w:pPr>
            <w:r w:rsidRPr="00207033">
              <w:rPr>
                <w:rFonts w:ascii="Arial" w:hAnsi="Arial" w:cs="Arial"/>
              </w:rPr>
              <w:t>Digital-first marketing: SEO, PPC, social media advertising</w:t>
            </w:r>
          </w:p>
          <w:p w14:paraId="768BD495" w14:textId="77777777" w:rsidR="00207033" w:rsidRPr="00207033" w:rsidRDefault="006A01F9" w:rsidP="00207033">
            <w:pPr>
              <w:pStyle w:val="ListParagraph"/>
              <w:numPr>
                <w:ilvl w:val="0"/>
                <w:numId w:val="3"/>
              </w:numPr>
              <w:spacing w:line="360" w:lineRule="auto"/>
              <w:ind w:left="338" w:hanging="270"/>
              <w:jc w:val="both"/>
              <w:rPr>
                <w:rFonts w:ascii="Arial" w:hAnsi="Arial" w:cs="Arial"/>
              </w:rPr>
            </w:pPr>
            <w:r w:rsidRPr="00207033">
              <w:rPr>
                <w:rFonts w:ascii="Arial" w:hAnsi="Arial" w:cs="Arial"/>
              </w:rPr>
              <w:t>Influencer partnerships with sustainability advocates</w:t>
            </w:r>
          </w:p>
          <w:p w14:paraId="5BF45314" w14:textId="77777777" w:rsidR="00207033" w:rsidRPr="00207033" w:rsidRDefault="006A01F9" w:rsidP="00207033">
            <w:pPr>
              <w:pStyle w:val="ListParagraph"/>
              <w:numPr>
                <w:ilvl w:val="0"/>
                <w:numId w:val="3"/>
              </w:numPr>
              <w:spacing w:line="360" w:lineRule="auto"/>
              <w:ind w:left="338" w:hanging="270"/>
              <w:jc w:val="both"/>
              <w:rPr>
                <w:rFonts w:ascii="Arial" w:hAnsi="Arial" w:cs="Arial"/>
              </w:rPr>
            </w:pPr>
            <w:r w:rsidRPr="00207033">
              <w:rPr>
                <w:rFonts w:ascii="Arial" w:hAnsi="Arial" w:cs="Arial"/>
              </w:rPr>
              <w:t>Launch promotions: first month free for Premium members</w:t>
            </w:r>
          </w:p>
          <w:p w14:paraId="7150788A" w14:textId="77777777" w:rsidR="00207033" w:rsidRPr="00207033" w:rsidRDefault="006A01F9" w:rsidP="00207033">
            <w:pPr>
              <w:pStyle w:val="ListParagraph"/>
              <w:numPr>
                <w:ilvl w:val="0"/>
                <w:numId w:val="3"/>
              </w:numPr>
              <w:spacing w:line="360" w:lineRule="auto"/>
              <w:ind w:left="338" w:hanging="270"/>
              <w:jc w:val="both"/>
              <w:rPr>
                <w:rFonts w:ascii="Arial" w:hAnsi="Arial" w:cs="Arial"/>
              </w:rPr>
            </w:pPr>
            <w:r w:rsidRPr="00207033">
              <w:rPr>
                <w:rFonts w:ascii="Arial" w:hAnsi="Arial" w:cs="Arial"/>
              </w:rPr>
              <w:t>Corporate sustainability partnerships and co-branding</w:t>
            </w:r>
          </w:p>
          <w:p w14:paraId="14BC5629" w14:textId="4F830B2C" w:rsidR="006A01F9" w:rsidRPr="00207033" w:rsidRDefault="006A01F9" w:rsidP="00207033">
            <w:pPr>
              <w:pStyle w:val="ListParagraph"/>
              <w:numPr>
                <w:ilvl w:val="0"/>
                <w:numId w:val="3"/>
              </w:numPr>
              <w:spacing w:line="360" w:lineRule="auto"/>
              <w:ind w:left="338" w:hanging="270"/>
              <w:jc w:val="both"/>
              <w:rPr>
                <w:rFonts w:ascii="Arial" w:hAnsi="Arial" w:cs="Arial"/>
              </w:rPr>
            </w:pPr>
            <w:r w:rsidRPr="00207033">
              <w:rPr>
                <w:rFonts w:ascii="Arial" w:hAnsi="Arial" w:cs="Arial"/>
              </w:rPr>
              <w:t>PR campaigns highlighting environmental impact metrics</w:t>
            </w:r>
          </w:p>
        </w:tc>
        <w:tc>
          <w:tcPr>
            <w:tcW w:w="4135" w:type="dxa"/>
            <w:vAlign w:val="center"/>
          </w:tcPr>
          <w:p w14:paraId="184219E5" w14:textId="45D07D7C" w:rsidR="006A01F9" w:rsidRDefault="006A01F9" w:rsidP="00207033">
            <w:pPr>
              <w:spacing w:line="360" w:lineRule="auto"/>
              <w:jc w:val="both"/>
              <w:rPr>
                <w:rFonts w:ascii="Arial" w:hAnsi="Arial" w:cs="Arial"/>
              </w:rPr>
            </w:pPr>
            <w:r w:rsidRPr="006A01F9">
              <w:rPr>
                <w:rFonts w:ascii="Arial" w:hAnsi="Arial" w:cs="Arial"/>
              </w:rPr>
              <w:t>Integrated marketing communications leverage digital channels where target segments actively engage. Environmental storytelling resonates with primary customer values whilst corporate partnerships enhance credibility (</w:t>
            </w:r>
            <w:r w:rsidR="00CF248D" w:rsidRPr="00EC5048">
              <w:rPr>
                <w:rFonts w:ascii="Arial" w:hAnsi="Arial" w:cs="Arial"/>
              </w:rPr>
              <w:t>Ellis-Chadwick</w:t>
            </w:r>
            <w:r w:rsidR="00CF248D">
              <w:rPr>
                <w:rFonts w:ascii="Arial" w:hAnsi="Arial" w:cs="Arial"/>
              </w:rPr>
              <w:t xml:space="preserve"> </w:t>
            </w:r>
            <w:r w:rsidR="00CF248D" w:rsidRPr="00EC5048">
              <w:rPr>
                <w:rFonts w:ascii="Arial" w:hAnsi="Arial" w:cs="Arial"/>
              </w:rPr>
              <w:t>and Chaffey</w:t>
            </w:r>
            <w:r w:rsidRPr="006A01F9">
              <w:rPr>
                <w:rFonts w:ascii="Arial" w:hAnsi="Arial" w:cs="Arial"/>
              </w:rPr>
              <w:t>, 201</w:t>
            </w:r>
            <w:r w:rsidR="00CF248D">
              <w:rPr>
                <w:rFonts w:ascii="Arial" w:hAnsi="Arial" w:cs="Arial"/>
              </w:rPr>
              <w:t>2</w:t>
            </w:r>
            <w:r w:rsidRPr="006A01F9">
              <w:rPr>
                <w:rFonts w:ascii="Arial" w:hAnsi="Arial" w:cs="Arial"/>
              </w:rPr>
              <w:t>).</w:t>
            </w:r>
          </w:p>
        </w:tc>
      </w:tr>
    </w:tbl>
    <w:p w14:paraId="1035D640" w14:textId="77777777" w:rsidR="00270231" w:rsidRDefault="00270231" w:rsidP="00270231">
      <w:pPr>
        <w:spacing w:line="360" w:lineRule="auto"/>
        <w:jc w:val="both"/>
        <w:rPr>
          <w:rFonts w:ascii="Arial" w:hAnsi="Arial" w:cs="Arial"/>
        </w:rPr>
      </w:pPr>
    </w:p>
    <w:p w14:paraId="2ABE1D96" w14:textId="77777777" w:rsidR="00E527D6" w:rsidRPr="006630F8" w:rsidRDefault="00E527D6" w:rsidP="006630F8">
      <w:pPr>
        <w:pStyle w:val="Heading2"/>
        <w:spacing w:line="360" w:lineRule="auto"/>
        <w:rPr>
          <w:rFonts w:ascii="Arial" w:hAnsi="Arial" w:cs="Arial"/>
          <w:b/>
          <w:bCs/>
          <w:color w:val="000000" w:themeColor="text1"/>
          <w:sz w:val="24"/>
          <w:szCs w:val="24"/>
        </w:rPr>
      </w:pPr>
      <w:bookmarkStart w:id="10" w:name="_Toc213636400"/>
      <w:r w:rsidRPr="006630F8">
        <w:rPr>
          <w:rFonts w:ascii="Arial" w:hAnsi="Arial" w:cs="Arial"/>
          <w:b/>
          <w:bCs/>
          <w:color w:val="000000" w:themeColor="text1"/>
          <w:sz w:val="24"/>
          <w:szCs w:val="24"/>
        </w:rPr>
        <w:t>Internet Marketing Strategies.</w:t>
      </w:r>
      <w:bookmarkEnd w:id="10"/>
    </w:p>
    <w:p w14:paraId="5A81D34A" w14:textId="77777777" w:rsidR="00E527D6" w:rsidRPr="00E527D6" w:rsidRDefault="00E527D6" w:rsidP="00E527D6">
      <w:pPr>
        <w:spacing w:line="360" w:lineRule="auto"/>
        <w:jc w:val="both"/>
        <w:rPr>
          <w:rFonts w:ascii="Arial" w:hAnsi="Arial" w:cs="Arial"/>
        </w:rPr>
      </w:pPr>
      <w:proofErr w:type="spellStart"/>
      <w:r w:rsidRPr="00E527D6">
        <w:rPr>
          <w:rFonts w:ascii="Arial" w:hAnsi="Arial" w:cs="Arial"/>
        </w:rPr>
        <w:t>EcoCharge</w:t>
      </w:r>
      <w:proofErr w:type="spellEnd"/>
      <w:r w:rsidRPr="00E527D6">
        <w:rPr>
          <w:rFonts w:ascii="Arial" w:hAnsi="Arial" w:cs="Arial"/>
        </w:rPr>
        <w:t xml:space="preserve"> Solutions will adopt an all-encompassing digital marketing ecosystem that will help in attracting, converting, and retaining the customers via online integrated channels.</w:t>
      </w:r>
    </w:p>
    <w:p w14:paraId="4193A8E1" w14:textId="77777777" w:rsidR="00E527D6" w:rsidRPr="00E527D6" w:rsidRDefault="00E527D6" w:rsidP="00E527D6">
      <w:pPr>
        <w:spacing w:line="360" w:lineRule="auto"/>
        <w:jc w:val="both"/>
        <w:rPr>
          <w:rFonts w:ascii="Arial" w:hAnsi="Arial" w:cs="Arial"/>
        </w:rPr>
      </w:pPr>
      <w:r w:rsidRPr="00E527D6">
        <w:rPr>
          <w:rFonts w:ascii="Arial" w:hAnsi="Arial" w:cs="Arial"/>
        </w:rPr>
        <w:t xml:space="preserve">The staples to organic visibility are Search Engine </w:t>
      </w:r>
      <w:proofErr w:type="spellStart"/>
      <w:r w:rsidRPr="00E527D6">
        <w:rPr>
          <w:rFonts w:ascii="Arial" w:hAnsi="Arial" w:cs="Arial"/>
        </w:rPr>
        <w:t>Optimisation</w:t>
      </w:r>
      <w:proofErr w:type="spellEnd"/>
      <w:r w:rsidRPr="00E527D6">
        <w:rPr>
          <w:rFonts w:ascii="Arial" w:hAnsi="Arial" w:cs="Arial"/>
        </w:rPr>
        <w:t xml:space="preserve"> (SEO) and Content Marketing. High-intent keywords will be addressed with a content hub with blog articles, guides, and resources on the topics of charging costs of EVs comparisons, sustainable transport solutions, and range anxiety solutions. Studies indicate that more than three-quarters of online interactions start with search engines, and therefore SEO is very important in the acquisition of customers (BrightEdge, 2019). Educational content in the form of long-form content builds thought leadership as well as enhances search results on competitive keywords such as solar EV charging UK and sustainable charging stations near me.</w:t>
      </w:r>
    </w:p>
    <w:p w14:paraId="58C2A843" w14:textId="77777777" w:rsidR="00E527D6" w:rsidRDefault="00E527D6" w:rsidP="00E527D6">
      <w:pPr>
        <w:spacing w:line="360" w:lineRule="auto"/>
        <w:jc w:val="both"/>
        <w:rPr>
          <w:rFonts w:ascii="Arial" w:hAnsi="Arial" w:cs="Arial"/>
        </w:rPr>
      </w:pPr>
      <w:r w:rsidRPr="00E527D6">
        <w:rPr>
          <w:rFonts w:ascii="Arial" w:hAnsi="Arial" w:cs="Arial"/>
        </w:rPr>
        <w:lastRenderedPageBreak/>
        <w:t xml:space="preserve">Google Ads and social media with Pay-Per-Click (PPC) Advertising allow focusing on the identified segments of customers. The geo-targeted campaigns will target the regions where the density of EV ownership is </w:t>
      </w:r>
      <w:proofErr w:type="gramStart"/>
      <w:r w:rsidRPr="00E527D6">
        <w:rPr>
          <w:rFonts w:ascii="Arial" w:hAnsi="Arial" w:cs="Arial"/>
        </w:rPr>
        <w:t>high</w:t>
      </w:r>
      <w:proofErr w:type="gramEnd"/>
      <w:r w:rsidRPr="00E527D6">
        <w:rPr>
          <w:rFonts w:ascii="Arial" w:hAnsi="Arial" w:cs="Arial"/>
        </w:rPr>
        <w:t xml:space="preserve"> but insufficient charging infrastructure is present. The retargeting campaigns will re-sell website visitors who have viewed membership opportunities but failed to convert, which will counter a 98 per cent average bounce rate by first-time visitors (Ellis-Chadwick and Chaffey, 2012).</w:t>
      </w:r>
    </w:p>
    <w:p w14:paraId="7F8C637C" w14:textId="07686A0B" w:rsidR="00C765D8" w:rsidRPr="00E527D6" w:rsidRDefault="00C765D8" w:rsidP="00C765D8">
      <w:pPr>
        <w:spacing w:line="360" w:lineRule="auto"/>
        <w:jc w:val="center"/>
        <w:rPr>
          <w:rFonts w:ascii="Arial" w:hAnsi="Arial" w:cs="Arial"/>
        </w:rPr>
      </w:pPr>
      <w:r>
        <w:rPr>
          <w:rFonts w:ascii="Arial" w:hAnsi="Arial" w:cs="Arial"/>
          <w:noProof/>
        </w:rPr>
        <w:drawing>
          <wp:inline distT="0" distB="0" distL="0" distR="0" wp14:anchorId="4BB8D866" wp14:editId="657FB75E">
            <wp:extent cx="3162300" cy="4743450"/>
            <wp:effectExtent l="152400" t="152400" r="361950" b="361950"/>
            <wp:docPr id="821015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015959" name="Picture 821015959"/>
                    <pic:cNvPicPr/>
                  </pic:nvPicPr>
                  <pic:blipFill>
                    <a:blip r:embed="rId11"/>
                    <a:stretch>
                      <a:fillRect/>
                    </a:stretch>
                  </pic:blipFill>
                  <pic:spPr>
                    <a:xfrm>
                      <a:off x="0" y="0"/>
                      <a:ext cx="3162300" cy="4743450"/>
                    </a:xfrm>
                    <a:prstGeom prst="rect">
                      <a:avLst/>
                    </a:prstGeom>
                    <a:ln>
                      <a:noFill/>
                    </a:ln>
                    <a:effectLst>
                      <a:outerShdw blurRad="292100" dist="139700" dir="2700000" algn="tl" rotWithShape="0">
                        <a:srgbClr val="333333">
                          <a:alpha val="65000"/>
                        </a:srgbClr>
                      </a:outerShdw>
                    </a:effectLst>
                  </pic:spPr>
                </pic:pic>
              </a:graphicData>
            </a:graphic>
          </wp:inline>
        </w:drawing>
      </w:r>
    </w:p>
    <w:p w14:paraId="3EBDFB17" w14:textId="09FBA1F1" w:rsidR="00E527D6" w:rsidRPr="00E527D6" w:rsidRDefault="00E527D6" w:rsidP="00E527D6">
      <w:pPr>
        <w:spacing w:line="360" w:lineRule="auto"/>
        <w:jc w:val="both"/>
        <w:rPr>
          <w:rFonts w:ascii="Arial" w:hAnsi="Arial" w:cs="Arial"/>
        </w:rPr>
      </w:pPr>
      <w:r w:rsidRPr="7B9AA84E">
        <w:rPr>
          <w:rFonts w:ascii="Arial" w:hAnsi="Arial" w:cs="Arial"/>
        </w:rPr>
        <w:t xml:space="preserve">The community building and customer engagement are made possible through Social Media Marketing in LinkedIn (business segment), Instagram (green lovers), and Facebook (metro users). Customer-generated content marketing directing customers to provide charging feedback using branded </w:t>
      </w:r>
      <w:proofErr w:type="gramStart"/>
      <w:r w:rsidRPr="7B9AA84E">
        <w:rPr>
          <w:rFonts w:ascii="Arial" w:hAnsi="Arial" w:cs="Arial"/>
        </w:rPr>
        <w:t xml:space="preserve">hashtags (#ChargeGreen, </w:t>
      </w:r>
      <w:r w:rsidRPr="7B9AA84E">
        <w:rPr>
          <w:rFonts w:ascii="Arial" w:hAnsi="Arial" w:cs="Arial"/>
        </w:rPr>
        <w:lastRenderedPageBreak/>
        <w:t>#</w:t>
      </w:r>
      <w:proofErr w:type="gramEnd"/>
      <w:r w:rsidRPr="7B9AA84E">
        <w:rPr>
          <w:rFonts w:ascii="Arial" w:hAnsi="Arial" w:cs="Arial"/>
        </w:rPr>
        <w:t xml:space="preserve">EcoChargeCommunity) utilizes the concept of social proof, which is a strong principle of persuasion and where 92 percent of consumers believe peer-to-peer word of mouth (Nielsen, 2021). Regular updates that show the measures of the environmental impact (i.e., Our community saved 50 </w:t>
      </w:r>
      <w:proofErr w:type="spellStart"/>
      <w:r w:rsidRPr="7B9AA84E">
        <w:rPr>
          <w:rFonts w:ascii="Arial" w:hAnsi="Arial" w:cs="Arial"/>
        </w:rPr>
        <w:t>tonnes</w:t>
      </w:r>
      <w:proofErr w:type="spellEnd"/>
      <w:r w:rsidRPr="7B9AA84E">
        <w:rPr>
          <w:rFonts w:ascii="Arial" w:hAnsi="Arial" w:cs="Arial"/>
        </w:rPr>
        <w:t xml:space="preserve"> of CO2 this month) strengthen brand values and customer contribution.</w:t>
      </w:r>
      <w:r w:rsidR="00A457E7">
        <w:rPr>
          <w:rFonts w:ascii="Arial" w:hAnsi="Arial" w:cs="Arial"/>
        </w:rPr>
        <w:t xml:space="preserve"> </w:t>
      </w:r>
      <w:r w:rsidR="00A457E7" w:rsidRPr="00A457E7">
        <w:rPr>
          <w:rFonts w:ascii="Arial" w:hAnsi="Arial" w:cs="Arial"/>
        </w:rPr>
        <w:t xml:space="preserve">By continually showcasing tangible environmental impact and engaging the community, </w:t>
      </w:r>
      <w:proofErr w:type="spellStart"/>
      <w:r w:rsidR="00A457E7" w:rsidRPr="00A457E7">
        <w:rPr>
          <w:rFonts w:ascii="Arial" w:hAnsi="Arial" w:cs="Arial"/>
        </w:rPr>
        <w:t>EcoCharge</w:t>
      </w:r>
      <w:proofErr w:type="spellEnd"/>
      <w:r w:rsidR="00A457E7" w:rsidRPr="00A457E7">
        <w:rPr>
          <w:rFonts w:ascii="Arial" w:hAnsi="Arial" w:cs="Arial"/>
        </w:rPr>
        <w:t xml:space="preserve"> creates customer emotional brand attachment and loyalty based on values which makes customers less sensitive to price and less likely to switch to competitors which also establishes demand inelasticity based on common sustainability commitments.</w:t>
      </w:r>
    </w:p>
    <w:p w14:paraId="195678A6" w14:textId="77777777" w:rsidR="00E527D6" w:rsidRPr="00E527D6" w:rsidRDefault="00E527D6" w:rsidP="00E527D6">
      <w:pPr>
        <w:spacing w:line="360" w:lineRule="auto"/>
        <w:jc w:val="both"/>
        <w:rPr>
          <w:rFonts w:ascii="Arial" w:hAnsi="Arial" w:cs="Arial"/>
        </w:rPr>
      </w:pPr>
      <w:r w:rsidRPr="00E527D6">
        <w:rPr>
          <w:rFonts w:ascii="Arial" w:hAnsi="Arial" w:cs="Arial"/>
        </w:rPr>
        <w:t xml:space="preserve">Email Marketing Automation develops leads by creating individual customer experiences. Segmented campaigns provide </w:t>
      </w:r>
      <w:proofErr w:type="spellStart"/>
      <w:r w:rsidRPr="00E527D6">
        <w:rPr>
          <w:rFonts w:ascii="Arial" w:hAnsi="Arial" w:cs="Arial"/>
        </w:rPr>
        <w:t>personalised</w:t>
      </w:r>
      <w:proofErr w:type="spellEnd"/>
      <w:r w:rsidRPr="00E527D6">
        <w:rPr>
          <w:rFonts w:ascii="Arial" w:hAnsi="Arial" w:cs="Arial"/>
        </w:rPr>
        <w:t xml:space="preserve"> content depending on user </w:t>
      </w:r>
      <w:proofErr w:type="spellStart"/>
      <w:r w:rsidRPr="00E527D6">
        <w:rPr>
          <w:rFonts w:ascii="Arial" w:hAnsi="Arial" w:cs="Arial"/>
        </w:rPr>
        <w:t>behaviour</w:t>
      </w:r>
      <w:proofErr w:type="spellEnd"/>
      <w:r w:rsidRPr="00E527D6">
        <w:rPr>
          <w:rFonts w:ascii="Arial" w:hAnsi="Arial" w:cs="Arial"/>
        </w:rPr>
        <w:t xml:space="preserve">; welcome series with new subscribers, tips on how to </w:t>
      </w:r>
      <w:proofErr w:type="spellStart"/>
      <w:r w:rsidRPr="00E527D6">
        <w:rPr>
          <w:rFonts w:ascii="Arial" w:hAnsi="Arial" w:cs="Arial"/>
        </w:rPr>
        <w:t>optimise</w:t>
      </w:r>
      <w:proofErr w:type="spellEnd"/>
      <w:r w:rsidRPr="00E527D6">
        <w:rPr>
          <w:rFonts w:ascii="Arial" w:hAnsi="Arial" w:cs="Arial"/>
        </w:rPr>
        <w:t xml:space="preserve"> their use with active users, and a re-engagement campaign with inactive accounts. Marketing automation will open rates </w:t>
      </w:r>
      <w:proofErr w:type="gramStart"/>
      <w:r w:rsidRPr="00E527D6">
        <w:rPr>
          <w:rFonts w:ascii="Arial" w:hAnsi="Arial" w:cs="Arial"/>
        </w:rPr>
        <w:t>by</w:t>
      </w:r>
      <w:proofErr w:type="gramEnd"/>
      <w:r w:rsidRPr="00E527D6">
        <w:rPr>
          <w:rFonts w:ascii="Arial" w:hAnsi="Arial" w:cs="Arial"/>
        </w:rPr>
        <w:t xml:space="preserve"> 14.5% and increase the click-through rates by 100% than generic broadcasts (Marketo, 2022).</w:t>
      </w:r>
    </w:p>
    <w:p w14:paraId="255F433C" w14:textId="77777777" w:rsidR="00E527D6" w:rsidRPr="00E527D6" w:rsidRDefault="00E527D6" w:rsidP="00E527D6">
      <w:pPr>
        <w:spacing w:line="360" w:lineRule="auto"/>
        <w:jc w:val="both"/>
        <w:rPr>
          <w:rFonts w:ascii="Arial" w:hAnsi="Arial" w:cs="Arial"/>
        </w:rPr>
      </w:pPr>
      <w:r w:rsidRPr="00E527D6">
        <w:rPr>
          <w:rFonts w:ascii="Arial" w:hAnsi="Arial" w:cs="Arial"/>
        </w:rPr>
        <w:t xml:space="preserve">Mobile App as Marketing Channel changes the product into </w:t>
      </w:r>
      <w:proofErr w:type="gramStart"/>
      <w:r w:rsidRPr="00E527D6">
        <w:rPr>
          <w:rFonts w:ascii="Arial" w:hAnsi="Arial" w:cs="Arial"/>
        </w:rPr>
        <w:t>a promotional</w:t>
      </w:r>
      <w:proofErr w:type="gramEnd"/>
      <w:r w:rsidRPr="00E527D6">
        <w:rPr>
          <w:rFonts w:ascii="Arial" w:hAnsi="Arial" w:cs="Arial"/>
        </w:rPr>
        <w:t xml:space="preserve"> equipment. Push notifications alert the users to the presence of a charge, promotional offers, and loyalty rewards. Customer advocacy is encouraged through in-app referral </w:t>
      </w:r>
      <w:proofErr w:type="spellStart"/>
      <w:r w:rsidRPr="00E527D6">
        <w:rPr>
          <w:rFonts w:ascii="Arial" w:hAnsi="Arial" w:cs="Arial"/>
        </w:rPr>
        <w:t>programmes</w:t>
      </w:r>
      <w:proofErr w:type="spellEnd"/>
      <w:r w:rsidRPr="00E527D6">
        <w:rPr>
          <w:rFonts w:ascii="Arial" w:hAnsi="Arial" w:cs="Arial"/>
        </w:rPr>
        <w:t xml:space="preserve"> that </w:t>
      </w:r>
      <w:proofErr w:type="gramStart"/>
      <w:r w:rsidRPr="00E527D6">
        <w:rPr>
          <w:rFonts w:ascii="Arial" w:hAnsi="Arial" w:cs="Arial"/>
        </w:rPr>
        <w:t>provides</w:t>
      </w:r>
      <w:proofErr w:type="gramEnd"/>
      <w:r w:rsidRPr="00E527D6">
        <w:rPr>
          <w:rFonts w:ascii="Arial" w:hAnsi="Arial" w:cs="Arial"/>
        </w:rPr>
        <w:t xml:space="preserve"> charging credits at 54% lower than what is spent </w:t>
      </w:r>
      <w:proofErr w:type="gramStart"/>
      <w:r w:rsidRPr="00E527D6">
        <w:rPr>
          <w:rFonts w:ascii="Arial" w:hAnsi="Arial" w:cs="Arial"/>
        </w:rPr>
        <w:t>in</w:t>
      </w:r>
      <w:proofErr w:type="gramEnd"/>
      <w:r w:rsidRPr="00E527D6">
        <w:rPr>
          <w:rFonts w:ascii="Arial" w:hAnsi="Arial" w:cs="Arial"/>
        </w:rPr>
        <w:t xml:space="preserve"> the traditional channels (Kumar et al., 2013).</w:t>
      </w:r>
    </w:p>
    <w:p w14:paraId="2A694647" w14:textId="52A320D9" w:rsidR="00B65134" w:rsidRDefault="00E527D6" w:rsidP="00E527D6">
      <w:pPr>
        <w:spacing w:line="360" w:lineRule="auto"/>
        <w:jc w:val="both"/>
        <w:rPr>
          <w:rFonts w:ascii="Arial" w:hAnsi="Arial" w:cs="Arial"/>
        </w:rPr>
      </w:pPr>
      <w:r w:rsidRPr="00E527D6">
        <w:rPr>
          <w:rFonts w:ascii="Arial" w:hAnsi="Arial" w:cs="Arial"/>
        </w:rPr>
        <w:t xml:space="preserve">A critical analysis helps to see that digital marketing, despite being cost-efficient in terms of targeting and ROI, requires </w:t>
      </w:r>
      <w:proofErr w:type="gramStart"/>
      <w:r w:rsidRPr="00E527D6">
        <w:rPr>
          <w:rFonts w:ascii="Arial" w:hAnsi="Arial" w:cs="Arial"/>
        </w:rPr>
        <w:t>the continuous</w:t>
      </w:r>
      <w:proofErr w:type="gramEnd"/>
      <w:r w:rsidRPr="00E527D6">
        <w:rPr>
          <w:rFonts w:ascii="Arial" w:hAnsi="Arial" w:cs="Arial"/>
        </w:rPr>
        <w:t xml:space="preserve"> </w:t>
      </w:r>
      <w:proofErr w:type="spellStart"/>
      <w:r w:rsidRPr="00E527D6">
        <w:rPr>
          <w:rFonts w:ascii="Arial" w:hAnsi="Arial" w:cs="Arial"/>
        </w:rPr>
        <w:t>optimisation</w:t>
      </w:r>
      <w:proofErr w:type="spellEnd"/>
      <w:r w:rsidRPr="00E527D6">
        <w:rPr>
          <w:rFonts w:ascii="Arial" w:hAnsi="Arial" w:cs="Arial"/>
        </w:rPr>
        <w:t xml:space="preserve"> and adaptation to be a success. Privacy laws (GDPR) demand open data policies, and the modifications of algorithms in the online sphere demand the diversified channel policy to reduce the risks of dependency.</w:t>
      </w:r>
      <w:r w:rsidR="00B65134">
        <w:rPr>
          <w:rFonts w:ascii="Arial" w:hAnsi="Arial" w:cs="Arial"/>
        </w:rPr>
        <w:br w:type="page"/>
      </w:r>
    </w:p>
    <w:p w14:paraId="23606867" w14:textId="77777777" w:rsidR="00B65134" w:rsidRPr="006630F8" w:rsidRDefault="00B65134" w:rsidP="006630F8">
      <w:pPr>
        <w:pStyle w:val="Heading1"/>
        <w:spacing w:line="360" w:lineRule="auto"/>
        <w:rPr>
          <w:rFonts w:ascii="Arial" w:hAnsi="Arial" w:cs="Arial"/>
          <w:b/>
          <w:bCs/>
          <w:color w:val="000000" w:themeColor="text1"/>
          <w:sz w:val="24"/>
          <w:szCs w:val="24"/>
        </w:rPr>
      </w:pPr>
      <w:bookmarkStart w:id="11" w:name="_Toc213636401"/>
      <w:r w:rsidRPr="006630F8">
        <w:rPr>
          <w:rFonts w:ascii="Arial" w:hAnsi="Arial" w:cs="Arial"/>
          <w:b/>
          <w:bCs/>
          <w:color w:val="000000" w:themeColor="text1"/>
          <w:sz w:val="24"/>
          <w:szCs w:val="24"/>
        </w:rPr>
        <w:lastRenderedPageBreak/>
        <w:t>Element 4: Legal, Management, and Financial Planning</w:t>
      </w:r>
      <w:bookmarkEnd w:id="11"/>
    </w:p>
    <w:p w14:paraId="44920C76" w14:textId="77777777" w:rsidR="00B65134" w:rsidRPr="006630F8" w:rsidRDefault="00B65134" w:rsidP="006630F8">
      <w:pPr>
        <w:pStyle w:val="Heading2"/>
        <w:spacing w:line="360" w:lineRule="auto"/>
        <w:rPr>
          <w:rFonts w:ascii="Arial" w:hAnsi="Arial" w:cs="Arial"/>
          <w:b/>
          <w:bCs/>
          <w:color w:val="000000" w:themeColor="text1"/>
          <w:sz w:val="24"/>
          <w:szCs w:val="24"/>
        </w:rPr>
      </w:pPr>
      <w:bookmarkStart w:id="12" w:name="_Toc213636402"/>
      <w:r w:rsidRPr="006630F8">
        <w:rPr>
          <w:rFonts w:ascii="Arial" w:hAnsi="Arial" w:cs="Arial"/>
          <w:b/>
          <w:bCs/>
          <w:color w:val="000000" w:themeColor="text1"/>
          <w:sz w:val="24"/>
          <w:szCs w:val="24"/>
        </w:rPr>
        <w:t>Legal Structure</w:t>
      </w:r>
      <w:bookmarkEnd w:id="12"/>
    </w:p>
    <w:p w14:paraId="743A6ACB" w14:textId="5DF61AD1" w:rsidR="00330CDC" w:rsidRDefault="002A17F6" w:rsidP="00B65134">
      <w:pPr>
        <w:spacing w:line="360" w:lineRule="auto"/>
        <w:jc w:val="both"/>
        <w:rPr>
          <w:rFonts w:ascii="Arial" w:hAnsi="Arial" w:cs="Arial"/>
        </w:rPr>
      </w:pPr>
      <w:proofErr w:type="spellStart"/>
      <w:r w:rsidRPr="002A17F6">
        <w:rPr>
          <w:rFonts w:ascii="Arial" w:hAnsi="Arial" w:cs="Arial"/>
        </w:rPr>
        <w:t>EcoCharge</w:t>
      </w:r>
      <w:proofErr w:type="spellEnd"/>
      <w:r w:rsidRPr="002A17F6">
        <w:rPr>
          <w:rFonts w:ascii="Arial" w:hAnsi="Arial" w:cs="Arial"/>
        </w:rPr>
        <w:t xml:space="preserve"> Solutions will be established as a Private Limited Company (Ltd) which represents the optimal legal structure for this </w:t>
      </w:r>
      <w:proofErr w:type="gramStart"/>
      <w:r w:rsidRPr="002A17F6">
        <w:rPr>
          <w:rFonts w:ascii="Arial" w:hAnsi="Arial" w:cs="Arial"/>
        </w:rPr>
        <w:t>capital</w:t>
      </w:r>
      <w:r>
        <w:rPr>
          <w:rFonts w:ascii="Arial" w:hAnsi="Arial" w:cs="Arial"/>
        </w:rPr>
        <w:t xml:space="preserve"> </w:t>
      </w:r>
      <w:r w:rsidRPr="002A17F6">
        <w:rPr>
          <w:rFonts w:ascii="Arial" w:hAnsi="Arial" w:cs="Arial"/>
        </w:rPr>
        <w:t>intensive</w:t>
      </w:r>
      <w:proofErr w:type="gramEnd"/>
      <w:r w:rsidRPr="002A17F6">
        <w:rPr>
          <w:rFonts w:ascii="Arial" w:hAnsi="Arial" w:cs="Arial"/>
        </w:rPr>
        <w:t xml:space="preserve"> infrastructure business</w:t>
      </w:r>
      <w:r>
        <w:rPr>
          <w:rFonts w:ascii="Arial" w:hAnsi="Arial" w:cs="Arial"/>
        </w:rPr>
        <w:t xml:space="preserve">. </w:t>
      </w:r>
      <w:r w:rsidR="00330CDC" w:rsidRPr="7B9AA84E">
        <w:rPr>
          <w:rFonts w:ascii="Arial" w:hAnsi="Arial" w:cs="Arial"/>
        </w:rPr>
        <w:t xml:space="preserve">The structure has some essential benefits: there should be </w:t>
      </w:r>
      <w:proofErr w:type="gramStart"/>
      <w:r w:rsidR="00330CDC" w:rsidRPr="7B9AA84E">
        <w:rPr>
          <w:rFonts w:ascii="Arial" w:hAnsi="Arial" w:cs="Arial"/>
        </w:rPr>
        <w:t>a limited</w:t>
      </w:r>
      <w:proofErr w:type="gramEnd"/>
      <w:r w:rsidR="00330CDC" w:rsidRPr="7B9AA84E">
        <w:rPr>
          <w:rFonts w:ascii="Arial" w:hAnsi="Arial" w:cs="Arial"/>
        </w:rPr>
        <w:t xml:space="preserve"> liability protection, which serves to protect personal assets against business debts, improved prospect of conducting business due to the increased value of credibility when negotiating corporate partnerships and raising investment than income tax rates (Gov.uk, 2023). Quite in contrast to the status of a sole trader, a limited company allows fundraising by means of the issuance of equity which is necessary to expand the infrastructure deployment (Bridge et al., 1998). The distinct legal entity, and continuity of a business after individuals directors are guaranteed by perpetual succession, enable the establishment of contracts with their property owners and retail partners on a long-term basis, which is essential in 20-year charging station investments (Blackburn et al., 2013).</w:t>
      </w:r>
    </w:p>
    <w:p w14:paraId="5AD3C97C" w14:textId="42148337" w:rsidR="008A5E5A" w:rsidRDefault="008A5E5A" w:rsidP="008A5E5A">
      <w:pPr>
        <w:spacing w:line="360" w:lineRule="auto"/>
        <w:jc w:val="center"/>
        <w:rPr>
          <w:rFonts w:ascii="Arial" w:hAnsi="Arial" w:cs="Arial"/>
        </w:rPr>
      </w:pPr>
      <w:r>
        <w:rPr>
          <w:rFonts w:ascii="Arial" w:hAnsi="Arial" w:cs="Arial"/>
          <w:noProof/>
        </w:rPr>
        <w:drawing>
          <wp:inline distT="0" distB="0" distL="0" distR="0" wp14:anchorId="27FAB03F" wp14:editId="17288E40">
            <wp:extent cx="5495925" cy="2586355"/>
            <wp:effectExtent l="0" t="0" r="9525" b="4445"/>
            <wp:docPr id="994538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538433" name="Picture 994538433"/>
                    <pic:cNvPicPr/>
                  </pic:nvPicPr>
                  <pic:blipFill rotWithShape="1">
                    <a:blip r:embed="rId12">
                      <a:extLst>
                        <a:ext uri="{28A0092B-C50C-407E-A947-70E740481C1C}">
                          <a14:useLocalDpi xmlns:a14="http://schemas.microsoft.com/office/drawing/2010/main" val="0"/>
                        </a:ext>
                      </a:extLst>
                    </a:blip>
                    <a:srcRect l="3526" r="4007"/>
                    <a:stretch>
                      <a:fillRect/>
                    </a:stretch>
                  </pic:blipFill>
                  <pic:spPr bwMode="auto">
                    <a:xfrm>
                      <a:off x="0" y="0"/>
                      <a:ext cx="5495925" cy="2586355"/>
                    </a:xfrm>
                    <a:prstGeom prst="rect">
                      <a:avLst/>
                    </a:prstGeom>
                    <a:ln>
                      <a:noFill/>
                    </a:ln>
                    <a:extLst>
                      <a:ext uri="{53640926-AAD7-44D8-BBD7-CCE9431645EC}">
                        <a14:shadowObscured xmlns:a14="http://schemas.microsoft.com/office/drawing/2010/main"/>
                      </a:ext>
                    </a:extLst>
                  </pic:spPr>
                </pic:pic>
              </a:graphicData>
            </a:graphic>
          </wp:inline>
        </w:drawing>
      </w:r>
    </w:p>
    <w:p w14:paraId="7B02E142" w14:textId="0CFD0FDE" w:rsidR="00330CDC" w:rsidRDefault="00330CDC" w:rsidP="006A01F9">
      <w:pPr>
        <w:spacing w:line="360" w:lineRule="auto"/>
        <w:jc w:val="both"/>
        <w:rPr>
          <w:rFonts w:ascii="Arial" w:hAnsi="Arial" w:cs="Arial"/>
        </w:rPr>
      </w:pPr>
      <w:r w:rsidRPr="00330CDC">
        <w:rPr>
          <w:rFonts w:ascii="Arial" w:hAnsi="Arial" w:cs="Arial"/>
        </w:rPr>
        <w:t xml:space="preserve">The lean management system reduces the overhead </w:t>
      </w:r>
      <w:proofErr w:type="gramStart"/>
      <w:r w:rsidRPr="00330CDC">
        <w:rPr>
          <w:rFonts w:ascii="Arial" w:hAnsi="Arial" w:cs="Arial"/>
        </w:rPr>
        <w:t>expenditures</w:t>
      </w:r>
      <w:proofErr w:type="gramEnd"/>
      <w:r w:rsidRPr="00330CDC">
        <w:rPr>
          <w:rFonts w:ascii="Arial" w:hAnsi="Arial" w:cs="Arial"/>
        </w:rPr>
        <w:t xml:space="preserve"> and it also ensures efficiency in the operations. The Managing Director manages </w:t>
      </w:r>
      <w:proofErr w:type="gramStart"/>
      <w:r w:rsidRPr="00330CDC">
        <w:rPr>
          <w:rFonts w:ascii="Arial" w:hAnsi="Arial" w:cs="Arial"/>
        </w:rPr>
        <w:t>the strategic</w:t>
      </w:r>
      <w:proofErr w:type="gramEnd"/>
      <w:r w:rsidRPr="00330CDC">
        <w:rPr>
          <w:rFonts w:ascii="Arial" w:hAnsi="Arial" w:cs="Arial"/>
        </w:rPr>
        <w:t xml:space="preserve"> direction and relationships. The Operations Manager will organize the installation projects, maintenance plans, and technical support. The Marketing/ Sales Manager is the one that will spearhead customer acquisition and corporate partnerships. Finance Manager takes care of cash flow, funding applications and financial compliance (Handy, 1993).</w:t>
      </w:r>
    </w:p>
    <w:p w14:paraId="70D4D7E0" w14:textId="1E8FB30E" w:rsidR="00B65134" w:rsidRPr="006630F8" w:rsidRDefault="00B65134" w:rsidP="006630F8">
      <w:pPr>
        <w:pStyle w:val="Heading2"/>
        <w:spacing w:line="360" w:lineRule="auto"/>
        <w:rPr>
          <w:rFonts w:ascii="Arial" w:hAnsi="Arial" w:cs="Arial"/>
          <w:b/>
          <w:bCs/>
          <w:color w:val="000000" w:themeColor="text1"/>
          <w:sz w:val="24"/>
          <w:szCs w:val="24"/>
        </w:rPr>
      </w:pPr>
      <w:bookmarkStart w:id="13" w:name="_Toc213636403"/>
      <w:r w:rsidRPr="006630F8">
        <w:rPr>
          <w:rFonts w:ascii="Arial" w:hAnsi="Arial" w:cs="Arial"/>
          <w:b/>
          <w:bCs/>
          <w:color w:val="000000" w:themeColor="text1"/>
          <w:sz w:val="24"/>
          <w:szCs w:val="24"/>
        </w:rPr>
        <w:lastRenderedPageBreak/>
        <w:t>Start-up Funding Requirements</w:t>
      </w:r>
      <w:bookmarkEnd w:id="13"/>
    </w:p>
    <w:tbl>
      <w:tblPr>
        <w:tblStyle w:val="TableGrid"/>
        <w:tblW w:w="0" w:type="auto"/>
        <w:tblLook w:val="04A0" w:firstRow="1" w:lastRow="0" w:firstColumn="1" w:lastColumn="0" w:noHBand="0" w:noVBand="1"/>
      </w:tblPr>
      <w:tblGrid>
        <w:gridCol w:w="3415"/>
        <w:gridCol w:w="1620"/>
        <w:gridCol w:w="4315"/>
      </w:tblGrid>
      <w:tr w:rsidR="00B65134" w:rsidRPr="00B65134" w14:paraId="2912B9F1" w14:textId="77777777" w:rsidTr="000D74BF">
        <w:trPr>
          <w:trHeight w:val="503"/>
        </w:trPr>
        <w:tc>
          <w:tcPr>
            <w:tcW w:w="3415" w:type="dxa"/>
            <w:shd w:val="clear" w:color="auto" w:fill="002060"/>
            <w:vAlign w:val="center"/>
          </w:tcPr>
          <w:p w14:paraId="21AE7F39" w14:textId="5B5903FE" w:rsidR="00B65134" w:rsidRPr="000D74BF" w:rsidRDefault="00B65134" w:rsidP="00B65134">
            <w:pPr>
              <w:spacing w:line="360" w:lineRule="auto"/>
              <w:jc w:val="center"/>
              <w:rPr>
                <w:rFonts w:ascii="Arial" w:hAnsi="Arial" w:cs="Arial"/>
                <w:b/>
                <w:bCs/>
              </w:rPr>
            </w:pPr>
            <w:r w:rsidRPr="000D74BF">
              <w:rPr>
                <w:rFonts w:ascii="Arial" w:hAnsi="Arial" w:cs="Arial"/>
                <w:b/>
                <w:bCs/>
              </w:rPr>
              <w:t>Category</w:t>
            </w:r>
          </w:p>
        </w:tc>
        <w:tc>
          <w:tcPr>
            <w:tcW w:w="1620" w:type="dxa"/>
            <w:shd w:val="clear" w:color="auto" w:fill="002060"/>
            <w:vAlign w:val="center"/>
          </w:tcPr>
          <w:p w14:paraId="3E537184" w14:textId="3A39BCB9" w:rsidR="00B65134" w:rsidRPr="000D74BF" w:rsidRDefault="00B65134" w:rsidP="00B65134">
            <w:pPr>
              <w:spacing w:line="360" w:lineRule="auto"/>
              <w:jc w:val="center"/>
              <w:rPr>
                <w:rFonts w:ascii="Arial" w:hAnsi="Arial" w:cs="Arial"/>
                <w:b/>
                <w:bCs/>
              </w:rPr>
            </w:pPr>
            <w:r w:rsidRPr="000D74BF">
              <w:rPr>
                <w:rFonts w:ascii="Arial" w:hAnsi="Arial" w:cs="Arial"/>
                <w:b/>
                <w:bCs/>
              </w:rPr>
              <w:t>Amount (£)</w:t>
            </w:r>
          </w:p>
        </w:tc>
        <w:tc>
          <w:tcPr>
            <w:tcW w:w="4315" w:type="dxa"/>
            <w:shd w:val="clear" w:color="auto" w:fill="002060"/>
            <w:vAlign w:val="center"/>
          </w:tcPr>
          <w:p w14:paraId="2236BD8E" w14:textId="1E1C973E" w:rsidR="00B65134" w:rsidRPr="000D74BF" w:rsidRDefault="00B65134" w:rsidP="00B65134">
            <w:pPr>
              <w:spacing w:line="360" w:lineRule="auto"/>
              <w:jc w:val="center"/>
              <w:rPr>
                <w:rFonts w:ascii="Arial" w:hAnsi="Arial" w:cs="Arial"/>
                <w:b/>
                <w:bCs/>
              </w:rPr>
            </w:pPr>
            <w:r w:rsidRPr="000D74BF">
              <w:rPr>
                <w:rFonts w:ascii="Arial" w:hAnsi="Arial" w:cs="Arial"/>
                <w:b/>
                <w:bCs/>
              </w:rPr>
              <w:t>Details</w:t>
            </w:r>
          </w:p>
        </w:tc>
      </w:tr>
      <w:tr w:rsidR="00B65134" w:rsidRPr="00B65134" w14:paraId="42045782" w14:textId="77777777" w:rsidTr="000D74BF">
        <w:trPr>
          <w:trHeight w:val="971"/>
        </w:trPr>
        <w:tc>
          <w:tcPr>
            <w:tcW w:w="3415" w:type="dxa"/>
            <w:vAlign w:val="center"/>
          </w:tcPr>
          <w:p w14:paraId="4E7425B8" w14:textId="0D01DE4C" w:rsidR="00B65134" w:rsidRPr="00B65134" w:rsidRDefault="00B65134" w:rsidP="000D74BF">
            <w:pPr>
              <w:spacing w:line="360" w:lineRule="auto"/>
              <w:jc w:val="both"/>
              <w:rPr>
                <w:rFonts w:ascii="Arial" w:hAnsi="Arial" w:cs="Arial"/>
              </w:rPr>
            </w:pPr>
            <w:r w:rsidRPr="00B65134">
              <w:rPr>
                <w:rFonts w:ascii="Arial" w:hAnsi="Arial" w:cs="Arial"/>
              </w:rPr>
              <w:t>Infrastructure &amp; Equipment</w:t>
            </w:r>
          </w:p>
        </w:tc>
        <w:tc>
          <w:tcPr>
            <w:tcW w:w="1620" w:type="dxa"/>
            <w:vAlign w:val="center"/>
          </w:tcPr>
          <w:p w14:paraId="58D7F582" w14:textId="54348E46" w:rsidR="00B65134" w:rsidRPr="00B65134" w:rsidRDefault="00B65134" w:rsidP="00B65134">
            <w:pPr>
              <w:spacing w:line="360" w:lineRule="auto"/>
              <w:jc w:val="center"/>
              <w:rPr>
                <w:rFonts w:ascii="Arial" w:hAnsi="Arial" w:cs="Arial"/>
              </w:rPr>
            </w:pPr>
            <w:r w:rsidRPr="00B65134">
              <w:rPr>
                <w:rFonts w:ascii="Arial" w:hAnsi="Arial" w:cs="Arial"/>
              </w:rPr>
              <w:t>625,000</w:t>
            </w:r>
          </w:p>
        </w:tc>
        <w:tc>
          <w:tcPr>
            <w:tcW w:w="4315" w:type="dxa"/>
            <w:vAlign w:val="center"/>
          </w:tcPr>
          <w:p w14:paraId="6FF26B1E" w14:textId="7FD06535" w:rsidR="00B65134" w:rsidRPr="00B65134" w:rsidRDefault="00B65134" w:rsidP="00B65134">
            <w:pPr>
              <w:spacing w:line="360" w:lineRule="auto"/>
              <w:jc w:val="both"/>
              <w:rPr>
                <w:rFonts w:ascii="Arial" w:hAnsi="Arial" w:cs="Arial"/>
              </w:rPr>
            </w:pPr>
            <w:r w:rsidRPr="00B65134">
              <w:rPr>
                <w:rFonts w:ascii="Arial" w:hAnsi="Arial" w:cs="Arial"/>
              </w:rPr>
              <w:t xml:space="preserve">10 charging </w:t>
            </w:r>
            <w:proofErr w:type="gramStart"/>
            <w:r w:rsidRPr="00B65134">
              <w:rPr>
                <w:rFonts w:ascii="Arial" w:hAnsi="Arial" w:cs="Arial"/>
              </w:rPr>
              <w:t>stations @</w:t>
            </w:r>
            <w:proofErr w:type="gramEnd"/>
            <w:r w:rsidRPr="00B65134">
              <w:rPr>
                <w:rFonts w:ascii="Arial" w:hAnsi="Arial" w:cs="Arial"/>
              </w:rPr>
              <w:t xml:space="preserve"> £50,000 each; solar panels and battery storage</w:t>
            </w:r>
          </w:p>
        </w:tc>
      </w:tr>
      <w:tr w:rsidR="00B65134" w:rsidRPr="00B65134" w14:paraId="4403DFA8" w14:textId="77777777" w:rsidTr="000D74BF">
        <w:trPr>
          <w:trHeight w:val="926"/>
        </w:trPr>
        <w:tc>
          <w:tcPr>
            <w:tcW w:w="3415" w:type="dxa"/>
            <w:vAlign w:val="center"/>
          </w:tcPr>
          <w:p w14:paraId="3B9DE893" w14:textId="1DC0B25C" w:rsidR="00B65134" w:rsidRPr="00B65134" w:rsidRDefault="00B65134" w:rsidP="000D74BF">
            <w:pPr>
              <w:spacing w:line="360" w:lineRule="auto"/>
              <w:jc w:val="both"/>
              <w:rPr>
                <w:rFonts w:ascii="Arial" w:hAnsi="Arial" w:cs="Arial"/>
              </w:rPr>
            </w:pPr>
            <w:r w:rsidRPr="00B65134">
              <w:rPr>
                <w:rFonts w:ascii="Arial" w:hAnsi="Arial" w:cs="Arial"/>
              </w:rPr>
              <w:t>Property Leases &amp; Installation</w:t>
            </w:r>
          </w:p>
        </w:tc>
        <w:tc>
          <w:tcPr>
            <w:tcW w:w="1620" w:type="dxa"/>
            <w:vAlign w:val="center"/>
          </w:tcPr>
          <w:p w14:paraId="33F01AC8" w14:textId="2373EF2A" w:rsidR="00B65134" w:rsidRPr="00B65134" w:rsidRDefault="00B65134" w:rsidP="00B65134">
            <w:pPr>
              <w:spacing w:line="360" w:lineRule="auto"/>
              <w:jc w:val="center"/>
              <w:rPr>
                <w:rFonts w:ascii="Arial" w:hAnsi="Arial" w:cs="Arial"/>
              </w:rPr>
            </w:pPr>
            <w:r w:rsidRPr="00B65134">
              <w:rPr>
                <w:rFonts w:ascii="Arial" w:hAnsi="Arial" w:cs="Arial"/>
              </w:rPr>
              <w:t>120,000</w:t>
            </w:r>
          </w:p>
        </w:tc>
        <w:tc>
          <w:tcPr>
            <w:tcW w:w="4315" w:type="dxa"/>
            <w:vAlign w:val="center"/>
          </w:tcPr>
          <w:p w14:paraId="1D403A28" w14:textId="767D8EA4" w:rsidR="00B65134" w:rsidRPr="00B65134" w:rsidRDefault="00B65134" w:rsidP="00B65134">
            <w:pPr>
              <w:spacing w:line="360" w:lineRule="auto"/>
              <w:jc w:val="both"/>
              <w:rPr>
                <w:rFonts w:ascii="Arial" w:hAnsi="Arial" w:cs="Arial"/>
              </w:rPr>
            </w:pPr>
            <w:r w:rsidRPr="00B65134">
              <w:rPr>
                <w:rFonts w:ascii="Arial" w:hAnsi="Arial" w:cs="Arial"/>
              </w:rPr>
              <w:t>Site leases, groundworks, electrical connections</w:t>
            </w:r>
          </w:p>
        </w:tc>
      </w:tr>
      <w:tr w:rsidR="00B65134" w:rsidRPr="00B65134" w14:paraId="6A5A917D" w14:textId="77777777" w:rsidTr="000D74BF">
        <w:trPr>
          <w:trHeight w:val="1340"/>
        </w:trPr>
        <w:tc>
          <w:tcPr>
            <w:tcW w:w="3415" w:type="dxa"/>
            <w:vAlign w:val="center"/>
          </w:tcPr>
          <w:p w14:paraId="63A802AD" w14:textId="30E1FF1C" w:rsidR="00B65134" w:rsidRPr="00B65134" w:rsidRDefault="00B65134" w:rsidP="000D74BF">
            <w:pPr>
              <w:spacing w:line="360" w:lineRule="auto"/>
              <w:jc w:val="both"/>
              <w:rPr>
                <w:rFonts w:ascii="Arial" w:hAnsi="Arial" w:cs="Arial"/>
              </w:rPr>
            </w:pPr>
            <w:r w:rsidRPr="00B65134">
              <w:rPr>
                <w:rFonts w:ascii="Arial" w:hAnsi="Arial" w:cs="Arial"/>
              </w:rPr>
              <w:t>Technology Development</w:t>
            </w:r>
          </w:p>
        </w:tc>
        <w:tc>
          <w:tcPr>
            <w:tcW w:w="1620" w:type="dxa"/>
            <w:vAlign w:val="center"/>
          </w:tcPr>
          <w:p w14:paraId="3F7B8E19" w14:textId="2D192C32" w:rsidR="00B65134" w:rsidRPr="00B65134" w:rsidRDefault="00B65134" w:rsidP="00B65134">
            <w:pPr>
              <w:spacing w:line="360" w:lineRule="auto"/>
              <w:jc w:val="center"/>
              <w:rPr>
                <w:rFonts w:ascii="Arial" w:hAnsi="Arial" w:cs="Arial"/>
              </w:rPr>
            </w:pPr>
            <w:r w:rsidRPr="00B65134">
              <w:rPr>
                <w:rFonts w:ascii="Arial" w:hAnsi="Arial" w:cs="Arial"/>
              </w:rPr>
              <w:t>85,000</w:t>
            </w:r>
          </w:p>
        </w:tc>
        <w:tc>
          <w:tcPr>
            <w:tcW w:w="4315" w:type="dxa"/>
            <w:vAlign w:val="center"/>
          </w:tcPr>
          <w:p w14:paraId="02073A77" w14:textId="510C756A" w:rsidR="00B65134" w:rsidRPr="00B65134" w:rsidRDefault="00B65134" w:rsidP="00B65134">
            <w:pPr>
              <w:spacing w:line="360" w:lineRule="auto"/>
              <w:jc w:val="both"/>
              <w:rPr>
                <w:rFonts w:ascii="Arial" w:hAnsi="Arial" w:cs="Arial"/>
              </w:rPr>
            </w:pPr>
            <w:r w:rsidRPr="00B65134">
              <w:rPr>
                <w:rFonts w:ascii="Arial" w:hAnsi="Arial" w:cs="Arial"/>
              </w:rPr>
              <w:t>Mobile application development, payment systems, backend infrastructure</w:t>
            </w:r>
          </w:p>
        </w:tc>
      </w:tr>
      <w:tr w:rsidR="00B65134" w:rsidRPr="00B65134" w14:paraId="20D4F184" w14:textId="77777777" w:rsidTr="000D74BF">
        <w:trPr>
          <w:trHeight w:val="989"/>
        </w:trPr>
        <w:tc>
          <w:tcPr>
            <w:tcW w:w="3415" w:type="dxa"/>
            <w:vAlign w:val="center"/>
          </w:tcPr>
          <w:p w14:paraId="2F8C5356" w14:textId="28E97745" w:rsidR="00B65134" w:rsidRPr="00B65134" w:rsidRDefault="00B65134" w:rsidP="000D74BF">
            <w:pPr>
              <w:spacing w:line="360" w:lineRule="auto"/>
              <w:jc w:val="both"/>
              <w:rPr>
                <w:rFonts w:ascii="Arial" w:hAnsi="Arial" w:cs="Arial"/>
              </w:rPr>
            </w:pPr>
            <w:r w:rsidRPr="00B65134">
              <w:rPr>
                <w:rFonts w:ascii="Arial" w:hAnsi="Arial" w:cs="Arial"/>
              </w:rPr>
              <w:t>Marketing &amp; Branding</w:t>
            </w:r>
          </w:p>
        </w:tc>
        <w:tc>
          <w:tcPr>
            <w:tcW w:w="1620" w:type="dxa"/>
            <w:vAlign w:val="center"/>
          </w:tcPr>
          <w:p w14:paraId="3565DC71" w14:textId="6179CEDA" w:rsidR="00B65134" w:rsidRPr="00B65134" w:rsidRDefault="00B65134" w:rsidP="00B65134">
            <w:pPr>
              <w:spacing w:line="360" w:lineRule="auto"/>
              <w:jc w:val="center"/>
              <w:rPr>
                <w:rFonts w:ascii="Arial" w:hAnsi="Arial" w:cs="Arial"/>
              </w:rPr>
            </w:pPr>
            <w:r w:rsidRPr="00B65134">
              <w:rPr>
                <w:rFonts w:ascii="Arial" w:hAnsi="Arial" w:cs="Arial"/>
              </w:rPr>
              <w:t>40,000</w:t>
            </w:r>
          </w:p>
        </w:tc>
        <w:tc>
          <w:tcPr>
            <w:tcW w:w="4315" w:type="dxa"/>
            <w:vAlign w:val="center"/>
          </w:tcPr>
          <w:p w14:paraId="1FC6987F" w14:textId="4767E6BB" w:rsidR="00B65134" w:rsidRPr="00B65134" w:rsidRDefault="00B65134" w:rsidP="00B65134">
            <w:pPr>
              <w:spacing w:line="360" w:lineRule="auto"/>
              <w:jc w:val="both"/>
              <w:rPr>
                <w:rFonts w:ascii="Arial" w:hAnsi="Arial" w:cs="Arial"/>
              </w:rPr>
            </w:pPr>
            <w:r w:rsidRPr="00B65134">
              <w:rPr>
                <w:rFonts w:ascii="Arial" w:hAnsi="Arial" w:cs="Arial"/>
              </w:rPr>
              <w:t>Website, brand identity, launch campaigns, initial advertising</w:t>
            </w:r>
          </w:p>
        </w:tc>
      </w:tr>
      <w:tr w:rsidR="00B65134" w:rsidRPr="00B65134" w14:paraId="5CBBCE8A" w14:textId="77777777" w:rsidTr="000D74BF">
        <w:trPr>
          <w:trHeight w:val="962"/>
        </w:trPr>
        <w:tc>
          <w:tcPr>
            <w:tcW w:w="3415" w:type="dxa"/>
            <w:vAlign w:val="center"/>
          </w:tcPr>
          <w:p w14:paraId="24422355" w14:textId="04FE66EE" w:rsidR="00B65134" w:rsidRPr="00B65134" w:rsidRDefault="00B65134" w:rsidP="000D74BF">
            <w:pPr>
              <w:spacing w:line="360" w:lineRule="auto"/>
              <w:jc w:val="both"/>
              <w:rPr>
                <w:rFonts w:ascii="Arial" w:hAnsi="Arial" w:cs="Arial"/>
              </w:rPr>
            </w:pPr>
            <w:r w:rsidRPr="00B65134">
              <w:rPr>
                <w:rFonts w:ascii="Arial" w:hAnsi="Arial" w:cs="Arial"/>
              </w:rPr>
              <w:t>Legal &amp; Professional Fees</w:t>
            </w:r>
          </w:p>
        </w:tc>
        <w:tc>
          <w:tcPr>
            <w:tcW w:w="1620" w:type="dxa"/>
            <w:vAlign w:val="center"/>
          </w:tcPr>
          <w:p w14:paraId="02D00E84" w14:textId="77777777" w:rsidR="00B65134" w:rsidRPr="00B65134" w:rsidRDefault="00B65134" w:rsidP="00B65134">
            <w:pPr>
              <w:spacing w:line="360" w:lineRule="auto"/>
              <w:jc w:val="center"/>
              <w:rPr>
                <w:rFonts w:ascii="Arial" w:hAnsi="Arial" w:cs="Arial"/>
              </w:rPr>
            </w:pPr>
            <w:r w:rsidRPr="00B65134">
              <w:rPr>
                <w:rFonts w:ascii="Arial" w:hAnsi="Arial" w:cs="Arial"/>
              </w:rPr>
              <w:t>25,000</w:t>
            </w:r>
          </w:p>
          <w:p w14:paraId="18522735" w14:textId="77777777" w:rsidR="00B65134" w:rsidRPr="00B65134" w:rsidRDefault="00B65134" w:rsidP="00B65134">
            <w:pPr>
              <w:spacing w:line="360" w:lineRule="auto"/>
              <w:jc w:val="center"/>
              <w:rPr>
                <w:rFonts w:ascii="Arial" w:hAnsi="Arial" w:cs="Arial"/>
              </w:rPr>
            </w:pPr>
          </w:p>
        </w:tc>
        <w:tc>
          <w:tcPr>
            <w:tcW w:w="4315" w:type="dxa"/>
            <w:vAlign w:val="center"/>
          </w:tcPr>
          <w:p w14:paraId="22B6DFFE" w14:textId="0E4E06BB" w:rsidR="00B65134" w:rsidRPr="00B65134" w:rsidRDefault="00B65134" w:rsidP="00B65134">
            <w:pPr>
              <w:spacing w:line="360" w:lineRule="auto"/>
              <w:jc w:val="both"/>
              <w:rPr>
                <w:rFonts w:ascii="Arial" w:hAnsi="Arial" w:cs="Arial"/>
              </w:rPr>
            </w:pPr>
            <w:r w:rsidRPr="00B65134">
              <w:rPr>
                <w:rFonts w:ascii="Arial" w:hAnsi="Arial" w:cs="Arial"/>
              </w:rPr>
              <w:t>Company registration, contracts, permits, insurance</w:t>
            </w:r>
          </w:p>
        </w:tc>
      </w:tr>
      <w:tr w:rsidR="00B65134" w:rsidRPr="00B65134" w14:paraId="4BF04FD3" w14:textId="77777777" w:rsidTr="000D74BF">
        <w:trPr>
          <w:trHeight w:val="980"/>
        </w:trPr>
        <w:tc>
          <w:tcPr>
            <w:tcW w:w="3415" w:type="dxa"/>
            <w:vAlign w:val="center"/>
          </w:tcPr>
          <w:p w14:paraId="2BEF77F9" w14:textId="71C5F45A" w:rsidR="00B65134" w:rsidRPr="00B65134" w:rsidRDefault="00B65134" w:rsidP="000D74BF">
            <w:pPr>
              <w:spacing w:line="360" w:lineRule="auto"/>
              <w:jc w:val="both"/>
              <w:rPr>
                <w:rFonts w:ascii="Arial" w:hAnsi="Arial" w:cs="Arial"/>
              </w:rPr>
            </w:pPr>
            <w:r w:rsidRPr="00B65134">
              <w:rPr>
                <w:rFonts w:ascii="Arial" w:hAnsi="Arial" w:cs="Arial"/>
              </w:rPr>
              <w:t>Working Capital</w:t>
            </w:r>
          </w:p>
        </w:tc>
        <w:tc>
          <w:tcPr>
            <w:tcW w:w="1620" w:type="dxa"/>
            <w:vAlign w:val="center"/>
          </w:tcPr>
          <w:p w14:paraId="1CDA5E41" w14:textId="7EA38DDB" w:rsidR="00B65134" w:rsidRPr="00B65134" w:rsidRDefault="00B65134" w:rsidP="00B65134">
            <w:pPr>
              <w:spacing w:line="360" w:lineRule="auto"/>
              <w:jc w:val="center"/>
              <w:rPr>
                <w:rFonts w:ascii="Arial" w:hAnsi="Arial" w:cs="Arial"/>
              </w:rPr>
            </w:pPr>
            <w:r w:rsidRPr="00B65134">
              <w:rPr>
                <w:rFonts w:ascii="Arial" w:hAnsi="Arial" w:cs="Arial"/>
              </w:rPr>
              <w:t>105,000</w:t>
            </w:r>
          </w:p>
        </w:tc>
        <w:tc>
          <w:tcPr>
            <w:tcW w:w="4315" w:type="dxa"/>
            <w:vAlign w:val="center"/>
          </w:tcPr>
          <w:p w14:paraId="005EB271" w14:textId="0E883186" w:rsidR="00B65134" w:rsidRPr="00B65134" w:rsidRDefault="00B65134" w:rsidP="00B65134">
            <w:pPr>
              <w:spacing w:line="360" w:lineRule="auto"/>
              <w:jc w:val="both"/>
              <w:rPr>
                <w:rFonts w:ascii="Arial" w:hAnsi="Arial" w:cs="Arial"/>
              </w:rPr>
            </w:pPr>
            <w:r w:rsidRPr="00B65134">
              <w:rPr>
                <w:rFonts w:ascii="Arial" w:hAnsi="Arial" w:cs="Arial"/>
              </w:rPr>
              <w:t xml:space="preserve">6 </w:t>
            </w:r>
            <w:proofErr w:type="gramStart"/>
            <w:r w:rsidRPr="00B65134">
              <w:rPr>
                <w:rFonts w:ascii="Arial" w:hAnsi="Arial" w:cs="Arial"/>
              </w:rPr>
              <w:t>months</w:t>
            </w:r>
            <w:proofErr w:type="gramEnd"/>
            <w:r w:rsidRPr="00B65134">
              <w:rPr>
                <w:rFonts w:ascii="Arial" w:hAnsi="Arial" w:cs="Arial"/>
              </w:rPr>
              <w:t xml:space="preserve"> operational expenses (salaries, utilities, maintenance)</w:t>
            </w:r>
          </w:p>
        </w:tc>
      </w:tr>
      <w:tr w:rsidR="00B65134" w:rsidRPr="00B65134" w14:paraId="23218928" w14:textId="77777777" w:rsidTr="000D74BF">
        <w:trPr>
          <w:trHeight w:val="575"/>
        </w:trPr>
        <w:tc>
          <w:tcPr>
            <w:tcW w:w="3415" w:type="dxa"/>
            <w:shd w:val="clear" w:color="auto" w:fill="EB977D" w:themeFill="accent6" w:themeFillTint="99"/>
            <w:vAlign w:val="center"/>
          </w:tcPr>
          <w:p w14:paraId="5D332306" w14:textId="3337BDD1" w:rsidR="00B65134" w:rsidRPr="000D74BF" w:rsidRDefault="00B65134" w:rsidP="000D74BF">
            <w:pPr>
              <w:spacing w:line="360" w:lineRule="auto"/>
              <w:jc w:val="center"/>
              <w:rPr>
                <w:rFonts w:ascii="Arial" w:hAnsi="Arial" w:cs="Arial"/>
                <w:b/>
                <w:bCs/>
              </w:rPr>
            </w:pPr>
            <w:r w:rsidRPr="000D74BF">
              <w:rPr>
                <w:rFonts w:ascii="Arial" w:hAnsi="Arial" w:cs="Arial"/>
                <w:b/>
                <w:bCs/>
              </w:rPr>
              <w:t>Total Start-up Funding</w:t>
            </w:r>
          </w:p>
        </w:tc>
        <w:tc>
          <w:tcPr>
            <w:tcW w:w="5935" w:type="dxa"/>
            <w:gridSpan w:val="2"/>
            <w:shd w:val="clear" w:color="auto" w:fill="F8DCD3" w:themeFill="accent6" w:themeFillTint="33"/>
            <w:vAlign w:val="center"/>
          </w:tcPr>
          <w:p w14:paraId="0832E255" w14:textId="232B8C1C" w:rsidR="00B65134" w:rsidRPr="000D74BF" w:rsidRDefault="00B65134" w:rsidP="00B65134">
            <w:pPr>
              <w:spacing w:line="360" w:lineRule="auto"/>
              <w:jc w:val="center"/>
              <w:rPr>
                <w:rFonts w:ascii="Arial" w:hAnsi="Arial" w:cs="Arial"/>
                <w:b/>
                <w:bCs/>
              </w:rPr>
            </w:pPr>
            <w:r w:rsidRPr="000D74BF">
              <w:rPr>
                <w:rFonts w:ascii="Arial" w:hAnsi="Arial" w:cs="Arial"/>
                <w:b/>
                <w:bCs/>
              </w:rPr>
              <w:t>£1,000,000</w:t>
            </w:r>
          </w:p>
        </w:tc>
      </w:tr>
    </w:tbl>
    <w:p w14:paraId="076A17FB" w14:textId="77777777" w:rsidR="00B65134" w:rsidRDefault="00B65134" w:rsidP="00270231">
      <w:pPr>
        <w:spacing w:line="360" w:lineRule="auto"/>
        <w:jc w:val="both"/>
        <w:rPr>
          <w:rFonts w:ascii="Arial" w:hAnsi="Arial" w:cs="Arial"/>
          <w:b/>
          <w:bCs/>
        </w:rPr>
      </w:pPr>
    </w:p>
    <w:p w14:paraId="3BB8CEA8" w14:textId="77777777" w:rsidR="00B65134" w:rsidRPr="006630F8" w:rsidRDefault="00B65134" w:rsidP="006630F8">
      <w:pPr>
        <w:pStyle w:val="Heading2"/>
        <w:spacing w:line="360" w:lineRule="auto"/>
        <w:rPr>
          <w:rFonts w:ascii="Arial" w:hAnsi="Arial" w:cs="Arial"/>
          <w:b/>
          <w:bCs/>
          <w:color w:val="000000" w:themeColor="text1"/>
          <w:sz w:val="24"/>
          <w:szCs w:val="24"/>
        </w:rPr>
      </w:pPr>
      <w:bookmarkStart w:id="14" w:name="_Toc213636404"/>
      <w:r w:rsidRPr="006630F8">
        <w:rPr>
          <w:rFonts w:ascii="Arial" w:hAnsi="Arial" w:cs="Arial"/>
          <w:b/>
          <w:bCs/>
          <w:color w:val="000000" w:themeColor="text1"/>
          <w:sz w:val="24"/>
          <w:szCs w:val="24"/>
        </w:rPr>
        <w:t>Proposed Funding Sources:</w:t>
      </w:r>
      <w:bookmarkEnd w:id="14"/>
    </w:p>
    <w:p w14:paraId="3BDCD8D3" w14:textId="77777777" w:rsidR="00B65134" w:rsidRPr="00B65134" w:rsidRDefault="00B65134" w:rsidP="00B65134">
      <w:pPr>
        <w:numPr>
          <w:ilvl w:val="0"/>
          <w:numId w:val="4"/>
        </w:numPr>
        <w:spacing w:line="360" w:lineRule="auto"/>
        <w:jc w:val="both"/>
        <w:rPr>
          <w:rFonts w:ascii="Arial" w:hAnsi="Arial" w:cs="Arial"/>
        </w:rPr>
      </w:pPr>
      <w:r w:rsidRPr="00B65134">
        <w:rPr>
          <w:rFonts w:ascii="Arial" w:hAnsi="Arial" w:cs="Arial"/>
        </w:rPr>
        <w:t>Equity Investment (£600,000): Angel investors and venture capital focused on sustainable infrastructure, offering 40% equity stake</w:t>
      </w:r>
    </w:p>
    <w:p w14:paraId="2276EFAB" w14:textId="77777777" w:rsidR="00B65134" w:rsidRPr="00B65134" w:rsidRDefault="00B65134" w:rsidP="00B65134">
      <w:pPr>
        <w:numPr>
          <w:ilvl w:val="0"/>
          <w:numId w:val="4"/>
        </w:numPr>
        <w:spacing w:line="360" w:lineRule="auto"/>
        <w:jc w:val="both"/>
        <w:rPr>
          <w:rFonts w:ascii="Arial" w:hAnsi="Arial" w:cs="Arial"/>
        </w:rPr>
      </w:pPr>
      <w:r w:rsidRPr="00B65134">
        <w:rPr>
          <w:rFonts w:ascii="Arial" w:hAnsi="Arial" w:cs="Arial"/>
        </w:rPr>
        <w:t>Government Grants (£200,000): Office for Zero Emission Vehicles (OZEV) grants covering up to 75% of installation costs (OZEV, 2023)</w:t>
      </w:r>
    </w:p>
    <w:p w14:paraId="47D544DE" w14:textId="77777777" w:rsidR="00B65134" w:rsidRPr="00B65134" w:rsidRDefault="00B65134" w:rsidP="00B65134">
      <w:pPr>
        <w:numPr>
          <w:ilvl w:val="0"/>
          <w:numId w:val="4"/>
        </w:numPr>
        <w:spacing w:line="360" w:lineRule="auto"/>
        <w:jc w:val="both"/>
        <w:rPr>
          <w:rFonts w:ascii="Arial" w:hAnsi="Arial" w:cs="Arial"/>
        </w:rPr>
      </w:pPr>
      <w:r w:rsidRPr="00B65134">
        <w:rPr>
          <w:rFonts w:ascii="Arial" w:hAnsi="Arial" w:cs="Arial"/>
        </w:rPr>
        <w:t>Bank Loan (£150,000): Commercial loan secured against equipment assets at 6.5% interest over 5 years</w:t>
      </w:r>
    </w:p>
    <w:p w14:paraId="5BBFD901" w14:textId="77777777" w:rsidR="00B65134" w:rsidRPr="00B65134" w:rsidRDefault="00B65134" w:rsidP="00B65134">
      <w:pPr>
        <w:numPr>
          <w:ilvl w:val="0"/>
          <w:numId w:val="4"/>
        </w:numPr>
        <w:spacing w:line="360" w:lineRule="auto"/>
        <w:jc w:val="both"/>
        <w:rPr>
          <w:rFonts w:ascii="Arial" w:hAnsi="Arial" w:cs="Arial"/>
        </w:rPr>
      </w:pPr>
      <w:r w:rsidRPr="00B65134">
        <w:rPr>
          <w:rFonts w:ascii="Arial" w:hAnsi="Arial" w:cs="Arial"/>
        </w:rPr>
        <w:t>Founder Investment (£50,000): Personal capital demonstrating commitment to investors</w:t>
      </w:r>
    </w:p>
    <w:p w14:paraId="5787B705" w14:textId="417E81E7" w:rsidR="00B65134" w:rsidRPr="006630F8" w:rsidRDefault="00B65134" w:rsidP="006630F8">
      <w:pPr>
        <w:pStyle w:val="Heading2"/>
        <w:spacing w:line="360" w:lineRule="auto"/>
        <w:rPr>
          <w:rFonts w:ascii="Arial" w:hAnsi="Arial" w:cs="Arial"/>
          <w:b/>
          <w:bCs/>
          <w:color w:val="000000" w:themeColor="text1"/>
          <w:sz w:val="24"/>
          <w:szCs w:val="24"/>
        </w:rPr>
      </w:pPr>
      <w:bookmarkStart w:id="15" w:name="_Toc213636405"/>
      <w:r w:rsidRPr="006630F8">
        <w:rPr>
          <w:rFonts w:ascii="Arial" w:hAnsi="Arial" w:cs="Arial"/>
          <w:b/>
          <w:bCs/>
          <w:color w:val="000000" w:themeColor="text1"/>
          <w:sz w:val="24"/>
          <w:szCs w:val="24"/>
        </w:rPr>
        <w:lastRenderedPageBreak/>
        <w:t>12-Month Cash Flow Forecast</w:t>
      </w:r>
      <w:bookmarkEnd w:id="15"/>
    </w:p>
    <w:tbl>
      <w:tblPr>
        <w:tblStyle w:val="TableGrid"/>
        <w:tblW w:w="0" w:type="auto"/>
        <w:tblLook w:val="04A0" w:firstRow="1" w:lastRow="0" w:firstColumn="1" w:lastColumn="0" w:noHBand="0" w:noVBand="1"/>
      </w:tblPr>
      <w:tblGrid>
        <w:gridCol w:w="1558"/>
        <w:gridCol w:w="1558"/>
        <w:gridCol w:w="1558"/>
        <w:gridCol w:w="1558"/>
        <w:gridCol w:w="1559"/>
        <w:gridCol w:w="1559"/>
      </w:tblGrid>
      <w:tr w:rsidR="000D74BF" w14:paraId="6346C934" w14:textId="77777777" w:rsidTr="000D74BF">
        <w:trPr>
          <w:trHeight w:val="1106"/>
        </w:trPr>
        <w:tc>
          <w:tcPr>
            <w:tcW w:w="1558" w:type="dxa"/>
            <w:shd w:val="clear" w:color="auto" w:fill="002060"/>
            <w:vAlign w:val="center"/>
          </w:tcPr>
          <w:p w14:paraId="422AFE9B" w14:textId="2B60876E" w:rsidR="000D74BF" w:rsidRPr="000D74BF" w:rsidRDefault="000D74BF" w:rsidP="000D74BF">
            <w:pPr>
              <w:spacing w:line="360" w:lineRule="auto"/>
              <w:jc w:val="center"/>
              <w:rPr>
                <w:rFonts w:ascii="Arial" w:hAnsi="Arial" w:cs="Arial"/>
                <w:b/>
                <w:bCs/>
              </w:rPr>
            </w:pPr>
            <w:r w:rsidRPr="000D74BF">
              <w:rPr>
                <w:b/>
                <w:bCs/>
              </w:rPr>
              <w:t>Month</w:t>
            </w:r>
          </w:p>
        </w:tc>
        <w:tc>
          <w:tcPr>
            <w:tcW w:w="1558" w:type="dxa"/>
            <w:shd w:val="clear" w:color="auto" w:fill="002060"/>
            <w:vAlign w:val="center"/>
          </w:tcPr>
          <w:p w14:paraId="06766577" w14:textId="31384CB8" w:rsidR="000D74BF" w:rsidRPr="000D74BF" w:rsidRDefault="000D74BF" w:rsidP="000D74BF">
            <w:pPr>
              <w:spacing w:line="360" w:lineRule="auto"/>
              <w:jc w:val="center"/>
              <w:rPr>
                <w:rFonts w:ascii="Arial" w:hAnsi="Arial" w:cs="Arial"/>
                <w:b/>
                <w:bCs/>
              </w:rPr>
            </w:pPr>
            <w:r w:rsidRPr="000D74BF">
              <w:rPr>
                <w:b/>
                <w:bCs/>
              </w:rPr>
              <w:t>Starting Balance (£)</w:t>
            </w:r>
          </w:p>
        </w:tc>
        <w:tc>
          <w:tcPr>
            <w:tcW w:w="1558" w:type="dxa"/>
            <w:shd w:val="clear" w:color="auto" w:fill="002060"/>
            <w:vAlign w:val="center"/>
          </w:tcPr>
          <w:p w14:paraId="071F41F4" w14:textId="57E40CCD" w:rsidR="000D74BF" w:rsidRPr="000D74BF" w:rsidRDefault="000D74BF" w:rsidP="000D74BF">
            <w:pPr>
              <w:spacing w:line="360" w:lineRule="auto"/>
              <w:jc w:val="center"/>
              <w:rPr>
                <w:rFonts w:ascii="Arial" w:hAnsi="Arial" w:cs="Arial"/>
                <w:b/>
                <w:bCs/>
              </w:rPr>
            </w:pPr>
            <w:r w:rsidRPr="000D74BF">
              <w:rPr>
                <w:b/>
                <w:bCs/>
              </w:rPr>
              <w:t>Cash Inflows (£)</w:t>
            </w:r>
          </w:p>
        </w:tc>
        <w:tc>
          <w:tcPr>
            <w:tcW w:w="1558" w:type="dxa"/>
            <w:shd w:val="clear" w:color="auto" w:fill="002060"/>
            <w:vAlign w:val="center"/>
          </w:tcPr>
          <w:p w14:paraId="5531D833" w14:textId="62CC0C22" w:rsidR="000D74BF" w:rsidRPr="000D74BF" w:rsidRDefault="000D74BF" w:rsidP="000D74BF">
            <w:pPr>
              <w:spacing w:line="360" w:lineRule="auto"/>
              <w:jc w:val="center"/>
              <w:rPr>
                <w:rFonts w:ascii="Arial" w:hAnsi="Arial" w:cs="Arial"/>
                <w:b/>
                <w:bCs/>
              </w:rPr>
            </w:pPr>
            <w:r w:rsidRPr="000D74BF">
              <w:rPr>
                <w:b/>
                <w:bCs/>
              </w:rPr>
              <w:t>Cash Outflows (£)</w:t>
            </w:r>
          </w:p>
        </w:tc>
        <w:tc>
          <w:tcPr>
            <w:tcW w:w="1559" w:type="dxa"/>
            <w:shd w:val="clear" w:color="auto" w:fill="002060"/>
            <w:vAlign w:val="center"/>
          </w:tcPr>
          <w:p w14:paraId="743FFCF5" w14:textId="48FA5143" w:rsidR="000D74BF" w:rsidRPr="000D74BF" w:rsidRDefault="000D74BF" w:rsidP="000D74BF">
            <w:pPr>
              <w:spacing w:line="360" w:lineRule="auto"/>
              <w:jc w:val="center"/>
              <w:rPr>
                <w:rFonts w:ascii="Arial" w:hAnsi="Arial" w:cs="Arial"/>
                <w:b/>
                <w:bCs/>
              </w:rPr>
            </w:pPr>
            <w:r w:rsidRPr="000D74BF">
              <w:rPr>
                <w:b/>
                <w:bCs/>
              </w:rPr>
              <w:t>Net Cash Flow (£)</w:t>
            </w:r>
          </w:p>
        </w:tc>
        <w:tc>
          <w:tcPr>
            <w:tcW w:w="1559" w:type="dxa"/>
            <w:shd w:val="clear" w:color="auto" w:fill="002060"/>
            <w:vAlign w:val="center"/>
          </w:tcPr>
          <w:p w14:paraId="55D83A70" w14:textId="460C5A2C" w:rsidR="000D74BF" w:rsidRPr="000D74BF" w:rsidRDefault="000D74BF" w:rsidP="000D74BF">
            <w:pPr>
              <w:spacing w:line="360" w:lineRule="auto"/>
              <w:jc w:val="center"/>
              <w:rPr>
                <w:rFonts w:ascii="Arial" w:hAnsi="Arial" w:cs="Arial"/>
                <w:b/>
                <w:bCs/>
              </w:rPr>
            </w:pPr>
            <w:r w:rsidRPr="000D74BF">
              <w:rPr>
                <w:b/>
                <w:bCs/>
              </w:rPr>
              <w:t>Ending Balance (£)</w:t>
            </w:r>
          </w:p>
        </w:tc>
      </w:tr>
      <w:tr w:rsidR="000D74BF" w14:paraId="1FD91442" w14:textId="77777777" w:rsidTr="000D74BF">
        <w:tc>
          <w:tcPr>
            <w:tcW w:w="1558" w:type="dxa"/>
          </w:tcPr>
          <w:p w14:paraId="2DA1CD06" w14:textId="62EC13DD" w:rsidR="000D74BF" w:rsidRDefault="000D74BF" w:rsidP="000D74BF">
            <w:pPr>
              <w:spacing w:line="360" w:lineRule="auto"/>
              <w:jc w:val="both"/>
              <w:rPr>
                <w:rFonts w:ascii="Arial" w:hAnsi="Arial" w:cs="Arial"/>
                <w:b/>
                <w:bCs/>
              </w:rPr>
            </w:pPr>
            <w:r w:rsidRPr="00A778E0">
              <w:t>January</w:t>
            </w:r>
          </w:p>
        </w:tc>
        <w:tc>
          <w:tcPr>
            <w:tcW w:w="1558" w:type="dxa"/>
          </w:tcPr>
          <w:p w14:paraId="33431FB2" w14:textId="15C2E2E0" w:rsidR="000D74BF" w:rsidRDefault="000D74BF" w:rsidP="000D74BF">
            <w:pPr>
              <w:spacing w:line="360" w:lineRule="auto"/>
              <w:jc w:val="both"/>
              <w:rPr>
                <w:rFonts w:ascii="Arial" w:hAnsi="Arial" w:cs="Arial"/>
                <w:b/>
                <w:bCs/>
              </w:rPr>
            </w:pPr>
            <w:r w:rsidRPr="00A778E0">
              <w:t>1,000,000</w:t>
            </w:r>
          </w:p>
        </w:tc>
        <w:tc>
          <w:tcPr>
            <w:tcW w:w="1558" w:type="dxa"/>
          </w:tcPr>
          <w:p w14:paraId="3123B234" w14:textId="708659D4" w:rsidR="000D74BF" w:rsidRDefault="000D74BF" w:rsidP="000D74BF">
            <w:pPr>
              <w:spacing w:line="360" w:lineRule="auto"/>
              <w:jc w:val="both"/>
              <w:rPr>
                <w:rFonts w:ascii="Arial" w:hAnsi="Arial" w:cs="Arial"/>
                <w:b/>
                <w:bCs/>
              </w:rPr>
            </w:pPr>
            <w:r w:rsidRPr="00A778E0">
              <w:t>8,500</w:t>
            </w:r>
          </w:p>
        </w:tc>
        <w:tc>
          <w:tcPr>
            <w:tcW w:w="1558" w:type="dxa"/>
          </w:tcPr>
          <w:p w14:paraId="417833C1" w14:textId="6D310B88" w:rsidR="000D74BF" w:rsidRDefault="000D74BF" w:rsidP="000D74BF">
            <w:pPr>
              <w:spacing w:line="360" w:lineRule="auto"/>
              <w:jc w:val="both"/>
              <w:rPr>
                <w:rFonts w:ascii="Arial" w:hAnsi="Arial" w:cs="Arial"/>
                <w:b/>
                <w:bCs/>
              </w:rPr>
            </w:pPr>
            <w:r w:rsidRPr="00A778E0">
              <w:t>185,000</w:t>
            </w:r>
          </w:p>
        </w:tc>
        <w:tc>
          <w:tcPr>
            <w:tcW w:w="1559" w:type="dxa"/>
          </w:tcPr>
          <w:p w14:paraId="3B665C2A" w14:textId="0D944171" w:rsidR="000D74BF" w:rsidRDefault="000D74BF" w:rsidP="000D74BF">
            <w:pPr>
              <w:spacing w:line="360" w:lineRule="auto"/>
              <w:jc w:val="both"/>
              <w:rPr>
                <w:rFonts w:ascii="Arial" w:hAnsi="Arial" w:cs="Arial"/>
                <w:b/>
                <w:bCs/>
              </w:rPr>
            </w:pPr>
            <w:r w:rsidRPr="00A778E0">
              <w:t>-176,500</w:t>
            </w:r>
          </w:p>
        </w:tc>
        <w:tc>
          <w:tcPr>
            <w:tcW w:w="1559" w:type="dxa"/>
          </w:tcPr>
          <w:p w14:paraId="60EA840F" w14:textId="0B9F4839" w:rsidR="000D74BF" w:rsidRDefault="000D74BF" w:rsidP="000D74BF">
            <w:pPr>
              <w:spacing w:line="360" w:lineRule="auto"/>
              <w:jc w:val="both"/>
              <w:rPr>
                <w:rFonts w:ascii="Arial" w:hAnsi="Arial" w:cs="Arial"/>
                <w:b/>
                <w:bCs/>
              </w:rPr>
            </w:pPr>
            <w:r w:rsidRPr="00A778E0">
              <w:t>823,500</w:t>
            </w:r>
          </w:p>
        </w:tc>
      </w:tr>
      <w:tr w:rsidR="000D74BF" w14:paraId="73FAE8C1" w14:textId="77777777" w:rsidTr="000D74BF">
        <w:tc>
          <w:tcPr>
            <w:tcW w:w="1558" w:type="dxa"/>
            <w:shd w:val="clear" w:color="auto" w:fill="D7E7F0" w:themeFill="accent1" w:themeFillTint="33"/>
          </w:tcPr>
          <w:p w14:paraId="65EAF586" w14:textId="78A260B6" w:rsidR="000D74BF" w:rsidRDefault="000D74BF" w:rsidP="000D74BF">
            <w:pPr>
              <w:spacing w:line="360" w:lineRule="auto"/>
              <w:jc w:val="both"/>
              <w:rPr>
                <w:rFonts w:ascii="Arial" w:hAnsi="Arial" w:cs="Arial"/>
                <w:b/>
                <w:bCs/>
              </w:rPr>
            </w:pPr>
            <w:r w:rsidRPr="00A778E0">
              <w:t>February</w:t>
            </w:r>
          </w:p>
        </w:tc>
        <w:tc>
          <w:tcPr>
            <w:tcW w:w="1558" w:type="dxa"/>
            <w:shd w:val="clear" w:color="auto" w:fill="D7E7F0" w:themeFill="accent1" w:themeFillTint="33"/>
          </w:tcPr>
          <w:p w14:paraId="01DA15D0" w14:textId="08651431" w:rsidR="000D74BF" w:rsidRDefault="000D74BF" w:rsidP="000D74BF">
            <w:pPr>
              <w:spacing w:line="360" w:lineRule="auto"/>
              <w:jc w:val="both"/>
              <w:rPr>
                <w:rFonts w:ascii="Arial" w:hAnsi="Arial" w:cs="Arial"/>
                <w:b/>
                <w:bCs/>
              </w:rPr>
            </w:pPr>
            <w:r w:rsidRPr="00A778E0">
              <w:t>823,500</w:t>
            </w:r>
          </w:p>
        </w:tc>
        <w:tc>
          <w:tcPr>
            <w:tcW w:w="1558" w:type="dxa"/>
            <w:shd w:val="clear" w:color="auto" w:fill="D7E7F0" w:themeFill="accent1" w:themeFillTint="33"/>
          </w:tcPr>
          <w:p w14:paraId="268370E8" w14:textId="28C448D6" w:rsidR="000D74BF" w:rsidRDefault="000D74BF" w:rsidP="000D74BF">
            <w:pPr>
              <w:spacing w:line="360" w:lineRule="auto"/>
              <w:jc w:val="both"/>
              <w:rPr>
                <w:rFonts w:ascii="Arial" w:hAnsi="Arial" w:cs="Arial"/>
                <w:b/>
                <w:bCs/>
              </w:rPr>
            </w:pPr>
            <w:r w:rsidRPr="00A778E0">
              <w:t>12,400</w:t>
            </w:r>
          </w:p>
        </w:tc>
        <w:tc>
          <w:tcPr>
            <w:tcW w:w="1558" w:type="dxa"/>
            <w:shd w:val="clear" w:color="auto" w:fill="D7E7F0" w:themeFill="accent1" w:themeFillTint="33"/>
          </w:tcPr>
          <w:p w14:paraId="1B8F2B6F" w14:textId="0D2AF397" w:rsidR="000D74BF" w:rsidRDefault="000D74BF" w:rsidP="000D74BF">
            <w:pPr>
              <w:spacing w:line="360" w:lineRule="auto"/>
              <w:jc w:val="both"/>
              <w:rPr>
                <w:rFonts w:ascii="Arial" w:hAnsi="Arial" w:cs="Arial"/>
                <w:b/>
                <w:bCs/>
              </w:rPr>
            </w:pPr>
            <w:r w:rsidRPr="00A778E0">
              <w:t>168,000</w:t>
            </w:r>
          </w:p>
        </w:tc>
        <w:tc>
          <w:tcPr>
            <w:tcW w:w="1559" w:type="dxa"/>
            <w:shd w:val="clear" w:color="auto" w:fill="D7E7F0" w:themeFill="accent1" w:themeFillTint="33"/>
          </w:tcPr>
          <w:p w14:paraId="5E81FFD0" w14:textId="43CFA406" w:rsidR="000D74BF" w:rsidRDefault="000D74BF" w:rsidP="000D74BF">
            <w:pPr>
              <w:spacing w:line="360" w:lineRule="auto"/>
              <w:jc w:val="both"/>
              <w:rPr>
                <w:rFonts w:ascii="Arial" w:hAnsi="Arial" w:cs="Arial"/>
                <w:b/>
                <w:bCs/>
              </w:rPr>
            </w:pPr>
            <w:r w:rsidRPr="00A778E0">
              <w:t>-155,600</w:t>
            </w:r>
          </w:p>
        </w:tc>
        <w:tc>
          <w:tcPr>
            <w:tcW w:w="1559" w:type="dxa"/>
            <w:shd w:val="clear" w:color="auto" w:fill="D7E7F0" w:themeFill="accent1" w:themeFillTint="33"/>
          </w:tcPr>
          <w:p w14:paraId="3C3FBB22" w14:textId="0FD44E8D" w:rsidR="000D74BF" w:rsidRDefault="000D74BF" w:rsidP="000D74BF">
            <w:pPr>
              <w:spacing w:line="360" w:lineRule="auto"/>
              <w:jc w:val="both"/>
              <w:rPr>
                <w:rFonts w:ascii="Arial" w:hAnsi="Arial" w:cs="Arial"/>
                <w:b/>
                <w:bCs/>
              </w:rPr>
            </w:pPr>
            <w:r w:rsidRPr="00A778E0">
              <w:t>667,900</w:t>
            </w:r>
          </w:p>
        </w:tc>
      </w:tr>
      <w:tr w:rsidR="000D74BF" w14:paraId="26B918F0" w14:textId="77777777" w:rsidTr="000D74BF">
        <w:tc>
          <w:tcPr>
            <w:tcW w:w="1558" w:type="dxa"/>
          </w:tcPr>
          <w:p w14:paraId="7BC03968" w14:textId="5ED63EED" w:rsidR="000D74BF" w:rsidRDefault="000D74BF" w:rsidP="000D74BF">
            <w:pPr>
              <w:spacing w:line="360" w:lineRule="auto"/>
              <w:jc w:val="both"/>
              <w:rPr>
                <w:rFonts w:ascii="Arial" w:hAnsi="Arial" w:cs="Arial"/>
                <w:b/>
                <w:bCs/>
              </w:rPr>
            </w:pPr>
            <w:r w:rsidRPr="00A778E0">
              <w:t>March</w:t>
            </w:r>
          </w:p>
        </w:tc>
        <w:tc>
          <w:tcPr>
            <w:tcW w:w="1558" w:type="dxa"/>
          </w:tcPr>
          <w:p w14:paraId="18675062" w14:textId="5C3903C8" w:rsidR="000D74BF" w:rsidRDefault="000D74BF" w:rsidP="000D74BF">
            <w:pPr>
              <w:spacing w:line="360" w:lineRule="auto"/>
              <w:jc w:val="both"/>
              <w:rPr>
                <w:rFonts w:ascii="Arial" w:hAnsi="Arial" w:cs="Arial"/>
                <w:b/>
                <w:bCs/>
              </w:rPr>
            </w:pPr>
            <w:r w:rsidRPr="00A778E0">
              <w:t>667,900</w:t>
            </w:r>
          </w:p>
        </w:tc>
        <w:tc>
          <w:tcPr>
            <w:tcW w:w="1558" w:type="dxa"/>
          </w:tcPr>
          <w:p w14:paraId="4E836DFB" w14:textId="1252E8E6" w:rsidR="000D74BF" w:rsidRDefault="000D74BF" w:rsidP="000D74BF">
            <w:pPr>
              <w:spacing w:line="360" w:lineRule="auto"/>
              <w:jc w:val="both"/>
              <w:rPr>
                <w:rFonts w:ascii="Arial" w:hAnsi="Arial" w:cs="Arial"/>
                <w:b/>
                <w:bCs/>
              </w:rPr>
            </w:pPr>
            <w:r w:rsidRPr="00A778E0">
              <w:t>15,800</w:t>
            </w:r>
          </w:p>
        </w:tc>
        <w:tc>
          <w:tcPr>
            <w:tcW w:w="1558" w:type="dxa"/>
          </w:tcPr>
          <w:p w14:paraId="231F20BC" w14:textId="11BD7FD9" w:rsidR="000D74BF" w:rsidRDefault="000D74BF" w:rsidP="000D74BF">
            <w:pPr>
              <w:spacing w:line="360" w:lineRule="auto"/>
              <w:jc w:val="both"/>
              <w:rPr>
                <w:rFonts w:ascii="Arial" w:hAnsi="Arial" w:cs="Arial"/>
                <w:b/>
                <w:bCs/>
              </w:rPr>
            </w:pPr>
            <w:r w:rsidRPr="00A778E0">
              <w:t>172,000</w:t>
            </w:r>
          </w:p>
        </w:tc>
        <w:tc>
          <w:tcPr>
            <w:tcW w:w="1559" w:type="dxa"/>
          </w:tcPr>
          <w:p w14:paraId="7C378B02" w14:textId="2DDE5577" w:rsidR="000D74BF" w:rsidRDefault="000D74BF" w:rsidP="000D74BF">
            <w:pPr>
              <w:spacing w:line="360" w:lineRule="auto"/>
              <w:jc w:val="both"/>
              <w:rPr>
                <w:rFonts w:ascii="Arial" w:hAnsi="Arial" w:cs="Arial"/>
                <w:b/>
                <w:bCs/>
              </w:rPr>
            </w:pPr>
            <w:r w:rsidRPr="00A778E0">
              <w:t>-156,200</w:t>
            </w:r>
          </w:p>
        </w:tc>
        <w:tc>
          <w:tcPr>
            <w:tcW w:w="1559" w:type="dxa"/>
          </w:tcPr>
          <w:p w14:paraId="79DCCD33" w14:textId="45818175" w:rsidR="000D74BF" w:rsidRDefault="000D74BF" w:rsidP="000D74BF">
            <w:pPr>
              <w:spacing w:line="360" w:lineRule="auto"/>
              <w:jc w:val="both"/>
              <w:rPr>
                <w:rFonts w:ascii="Arial" w:hAnsi="Arial" w:cs="Arial"/>
                <w:b/>
                <w:bCs/>
              </w:rPr>
            </w:pPr>
            <w:r w:rsidRPr="00A778E0">
              <w:t>511,700</w:t>
            </w:r>
          </w:p>
        </w:tc>
      </w:tr>
      <w:tr w:rsidR="000D74BF" w14:paraId="2EF5D7D3" w14:textId="77777777" w:rsidTr="000D74BF">
        <w:tc>
          <w:tcPr>
            <w:tcW w:w="1558" w:type="dxa"/>
            <w:shd w:val="clear" w:color="auto" w:fill="D7E7F0" w:themeFill="accent1" w:themeFillTint="33"/>
          </w:tcPr>
          <w:p w14:paraId="25FE68F6" w14:textId="14504D6F" w:rsidR="000D74BF" w:rsidRDefault="000D74BF" w:rsidP="000D74BF">
            <w:pPr>
              <w:spacing w:line="360" w:lineRule="auto"/>
              <w:jc w:val="both"/>
              <w:rPr>
                <w:rFonts w:ascii="Arial" w:hAnsi="Arial" w:cs="Arial"/>
                <w:b/>
                <w:bCs/>
              </w:rPr>
            </w:pPr>
            <w:r w:rsidRPr="00A778E0">
              <w:t>April</w:t>
            </w:r>
          </w:p>
        </w:tc>
        <w:tc>
          <w:tcPr>
            <w:tcW w:w="1558" w:type="dxa"/>
            <w:shd w:val="clear" w:color="auto" w:fill="D7E7F0" w:themeFill="accent1" w:themeFillTint="33"/>
          </w:tcPr>
          <w:p w14:paraId="2C0D5A91" w14:textId="67B74C53" w:rsidR="000D74BF" w:rsidRDefault="000D74BF" w:rsidP="000D74BF">
            <w:pPr>
              <w:spacing w:line="360" w:lineRule="auto"/>
              <w:jc w:val="both"/>
              <w:rPr>
                <w:rFonts w:ascii="Arial" w:hAnsi="Arial" w:cs="Arial"/>
                <w:b/>
                <w:bCs/>
              </w:rPr>
            </w:pPr>
            <w:r w:rsidRPr="00A778E0">
              <w:t>511,700</w:t>
            </w:r>
          </w:p>
        </w:tc>
        <w:tc>
          <w:tcPr>
            <w:tcW w:w="1558" w:type="dxa"/>
            <w:shd w:val="clear" w:color="auto" w:fill="D7E7F0" w:themeFill="accent1" w:themeFillTint="33"/>
          </w:tcPr>
          <w:p w14:paraId="1758452B" w14:textId="7DF80469" w:rsidR="000D74BF" w:rsidRDefault="000D74BF" w:rsidP="000D74BF">
            <w:pPr>
              <w:spacing w:line="360" w:lineRule="auto"/>
              <w:jc w:val="both"/>
              <w:rPr>
                <w:rFonts w:ascii="Arial" w:hAnsi="Arial" w:cs="Arial"/>
                <w:b/>
                <w:bCs/>
              </w:rPr>
            </w:pPr>
            <w:r w:rsidRPr="00A778E0">
              <w:t>19,200</w:t>
            </w:r>
          </w:p>
        </w:tc>
        <w:tc>
          <w:tcPr>
            <w:tcW w:w="1558" w:type="dxa"/>
            <w:shd w:val="clear" w:color="auto" w:fill="D7E7F0" w:themeFill="accent1" w:themeFillTint="33"/>
          </w:tcPr>
          <w:p w14:paraId="306249F4" w14:textId="2ECE1E71" w:rsidR="000D74BF" w:rsidRDefault="000D74BF" w:rsidP="000D74BF">
            <w:pPr>
              <w:spacing w:line="360" w:lineRule="auto"/>
              <w:jc w:val="both"/>
              <w:rPr>
                <w:rFonts w:ascii="Arial" w:hAnsi="Arial" w:cs="Arial"/>
                <w:b/>
                <w:bCs/>
              </w:rPr>
            </w:pPr>
            <w:r w:rsidRPr="00A778E0">
              <w:t>156,000</w:t>
            </w:r>
          </w:p>
        </w:tc>
        <w:tc>
          <w:tcPr>
            <w:tcW w:w="1559" w:type="dxa"/>
            <w:shd w:val="clear" w:color="auto" w:fill="D7E7F0" w:themeFill="accent1" w:themeFillTint="33"/>
          </w:tcPr>
          <w:p w14:paraId="45BBEC7C" w14:textId="347296EA" w:rsidR="000D74BF" w:rsidRDefault="000D74BF" w:rsidP="000D74BF">
            <w:pPr>
              <w:spacing w:line="360" w:lineRule="auto"/>
              <w:jc w:val="both"/>
              <w:rPr>
                <w:rFonts w:ascii="Arial" w:hAnsi="Arial" w:cs="Arial"/>
                <w:b/>
                <w:bCs/>
              </w:rPr>
            </w:pPr>
            <w:r w:rsidRPr="00A778E0">
              <w:t>-136,800</w:t>
            </w:r>
          </w:p>
        </w:tc>
        <w:tc>
          <w:tcPr>
            <w:tcW w:w="1559" w:type="dxa"/>
            <w:shd w:val="clear" w:color="auto" w:fill="D7E7F0" w:themeFill="accent1" w:themeFillTint="33"/>
          </w:tcPr>
          <w:p w14:paraId="556C1887" w14:textId="2B145BE3" w:rsidR="000D74BF" w:rsidRDefault="000D74BF" w:rsidP="000D74BF">
            <w:pPr>
              <w:spacing w:line="360" w:lineRule="auto"/>
              <w:jc w:val="both"/>
              <w:rPr>
                <w:rFonts w:ascii="Arial" w:hAnsi="Arial" w:cs="Arial"/>
                <w:b/>
                <w:bCs/>
              </w:rPr>
            </w:pPr>
            <w:r w:rsidRPr="00A778E0">
              <w:t>374,900</w:t>
            </w:r>
          </w:p>
        </w:tc>
      </w:tr>
      <w:tr w:rsidR="000D74BF" w14:paraId="004458B9" w14:textId="77777777" w:rsidTr="000D74BF">
        <w:tc>
          <w:tcPr>
            <w:tcW w:w="1558" w:type="dxa"/>
          </w:tcPr>
          <w:p w14:paraId="286578E5" w14:textId="4715D4E1" w:rsidR="000D74BF" w:rsidRDefault="000D74BF" w:rsidP="000D74BF">
            <w:pPr>
              <w:spacing w:line="360" w:lineRule="auto"/>
              <w:jc w:val="both"/>
              <w:rPr>
                <w:rFonts w:ascii="Arial" w:hAnsi="Arial" w:cs="Arial"/>
                <w:b/>
                <w:bCs/>
              </w:rPr>
            </w:pPr>
            <w:r w:rsidRPr="00A778E0">
              <w:t>May</w:t>
            </w:r>
          </w:p>
        </w:tc>
        <w:tc>
          <w:tcPr>
            <w:tcW w:w="1558" w:type="dxa"/>
          </w:tcPr>
          <w:p w14:paraId="57DBA85B" w14:textId="2B94852B" w:rsidR="000D74BF" w:rsidRDefault="000D74BF" w:rsidP="000D74BF">
            <w:pPr>
              <w:spacing w:line="360" w:lineRule="auto"/>
              <w:jc w:val="both"/>
              <w:rPr>
                <w:rFonts w:ascii="Arial" w:hAnsi="Arial" w:cs="Arial"/>
                <w:b/>
                <w:bCs/>
              </w:rPr>
            </w:pPr>
            <w:r w:rsidRPr="00A778E0">
              <w:t>374,900</w:t>
            </w:r>
          </w:p>
        </w:tc>
        <w:tc>
          <w:tcPr>
            <w:tcW w:w="1558" w:type="dxa"/>
          </w:tcPr>
          <w:p w14:paraId="20D6899F" w14:textId="7BC59CC2" w:rsidR="000D74BF" w:rsidRDefault="000D74BF" w:rsidP="000D74BF">
            <w:pPr>
              <w:spacing w:line="360" w:lineRule="auto"/>
              <w:jc w:val="both"/>
              <w:rPr>
                <w:rFonts w:ascii="Arial" w:hAnsi="Arial" w:cs="Arial"/>
                <w:b/>
                <w:bCs/>
              </w:rPr>
            </w:pPr>
            <w:r w:rsidRPr="00A778E0">
              <w:t>23,600</w:t>
            </w:r>
          </w:p>
        </w:tc>
        <w:tc>
          <w:tcPr>
            <w:tcW w:w="1558" w:type="dxa"/>
          </w:tcPr>
          <w:p w14:paraId="616A5514" w14:textId="671BAC05" w:rsidR="000D74BF" w:rsidRDefault="000D74BF" w:rsidP="000D74BF">
            <w:pPr>
              <w:spacing w:line="360" w:lineRule="auto"/>
              <w:jc w:val="both"/>
              <w:rPr>
                <w:rFonts w:ascii="Arial" w:hAnsi="Arial" w:cs="Arial"/>
                <w:b/>
                <w:bCs/>
              </w:rPr>
            </w:pPr>
            <w:r w:rsidRPr="00A778E0">
              <w:t>145,000</w:t>
            </w:r>
          </w:p>
        </w:tc>
        <w:tc>
          <w:tcPr>
            <w:tcW w:w="1559" w:type="dxa"/>
          </w:tcPr>
          <w:p w14:paraId="474EC292" w14:textId="2BA32B3D" w:rsidR="000D74BF" w:rsidRDefault="000D74BF" w:rsidP="000D74BF">
            <w:pPr>
              <w:spacing w:line="360" w:lineRule="auto"/>
              <w:jc w:val="both"/>
              <w:rPr>
                <w:rFonts w:ascii="Arial" w:hAnsi="Arial" w:cs="Arial"/>
                <w:b/>
                <w:bCs/>
              </w:rPr>
            </w:pPr>
            <w:r w:rsidRPr="00A778E0">
              <w:t>-121,400</w:t>
            </w:r>
          </w:p>
        </w:tc>
        <w:tc>
          <w:tcPr>
            <w:tcW w:w="1559" w:type="dxa"/>
          </w:tcPr>
          <w:p w14:paraId="338B40DE" w14:textId="2DBE7A75" w:rsidR="000D74BF" w:rsidRDefault="000D74BF" w:rsidP="000D74BF">
            <w:pPr>
              <w:spacing w:line="360" w:lineRule="auto"/>
              <w:jc w:val="both"/>
              <w:rPr>
                <w:rFonts w:ascii="Arial" w:hAnsi="Arial" w:cs="Arial"/>
                <w:b/>
                <w:bCs/>
              </w:rPr>
            </w:pPr>
            <w:r w:rsidRPr="00A778E0">
              <w:t>253,500</w:t>
            </w:r>
          </w:p>
        </w:tc>
      </w:tr>
      <w:tr w:rsidR="000D74BF" w14:paraId="2346EB99" w14:textId="77777777" w:rsidTr="000D74BF">
        <w:tc>
          <w:tcPr>
            <w:tcW w:w="1558" w:type="dxa"/>
            <w:shd w:val="clear" w:color="auto" w:fill="D7E7F0" w:themeFill="accent1" w:themeFillTint="33"/>
          </w:tcPr>
          <w:p w14:paraId="590C5D0A" w14:textId="7F6CB64A" w:rsidR="000D74BF" w:rsidRDefault="000D74BF" w:rsidP="000D74BF">
            <w:pPr>
              <w:spacing w:line="360" w:lineRule="auto"/>
              <w:jc w:val="both"/>
              <w:rPr>
                <w:rFonts w:ascii="Arial" w:hAnsi="Arial" w:cs="Arial"/>
                <w:b/>
                <w:bCs/>
              </w:rPr>
            </w:pPr>
            <w:r w:rsidRPr="00A778E0">
              <w:t>June</w:t>
            </w:r>
          </w:p>
        </w:tc>
        <w:tc>
          <w:tcPr>
            <w:tcW w:w="1558" w:type="dxa"/>
            <w:shd w:val="clear" w:color="auto" w:fill="D7E7F0" w:themeFill="accent1" w:themeFillTint="33"/>
          </w:tcPr>
          <w:p w14:paraId="4A5A2C70" w14:textId="089A2248" w:rsidR="000D74BF" w:rsidRDefault="000D74BF" w:rsidP="000D74BF">
            <w:pPr>
              <w:spacing w:line="360" w:lineRule="auto"/>
              <w:jc w:val="both"/>
              <w:rPr>
                <w:rFonts w:ascii="Arial" w:hAnsi="Arial" w:cs="Arial"/>
                <w:b/>
                <w:bCs/>
              </w:rPr>
            </w:pPr>
            <w:r w:rsidRPr="00A778E0">
              <w:t>253,500</w:t>
            </w:r>
          </w:p>
        </w:tc>
        <w:tc>
          <w:tcPr>
            <w:tcW w:w="1558" w:type="dxa"/>
            <w:shd w:val="clear" w:color="auto" w:fill="D7E7F0" w:themeFill="accent1" w:themeFillTint="33"/>
          </w:tcPr>
          <w:p w14:paraId="0067AAD2" w14:textId="1C21DF21" w:rsidR="000D74BF" w:rsidRDefault="000D74BF" w:rsidP="000D74BF">
            <w:pPr>
              <w:spacing w:line="360" w:lineRule="auto"/>
              <w:jc w:val="both"/>
              <w:rPr>
                <w:rFonts w:ascii="Arial" w:hAnsi="Arial" w:cs="Arial"/>
                <w:b/>
                <w:bCs/>
              </w:rPr>
            </w:pPr>
            <w:r w:rsidRPr="00A778E0">
              <w:t>28,100</w:t>
            </w:r>
          </w:p>
        </w:tc>
        <w:tc>
          <w:tcPr>
            <w:tcW w:w="1558" w:type="dxa"/>
            <w:shd w:val="clear" w:color="auto" w:fill="D7E7F0" w:themeFill="accent1" w:themeFillTint="33"/>
          </w:tcPr>
          <w:p w14:paraId="2410DD82" w14:textId="5A79A697" w:rsidR="000D74BF" w:rsidRDefault="000D74BF" w:rsidP="000D74BF">
            <w:pPr>
              <w:spacing w:line="360" w:lineRule="auto"/>
              <w:jc w:val="both"/>
              <w:rPr>
                <w:rFonts w:ascii="Arial" w:hAnsi="Arial" w:cs="Arial"/>
                <w:b/>
                <w:bCs/>
              </w:rPr>
            </w:pPr>
            <w:r w:rsidRPr="00A778E0">
              <w:t>138,000</w:t>
            </w:r>
          </w:p>
        </w:tc>
        <w:tc>
          <w:tcPr>
            <w:tcW w:w="1559" w:type="dxa"/>
            <w:shd w:val="clear" w:color="auto" w:fill="D7E7F0" w:themeFill="accent1" w:themeFillTint="33"/>
          </w:tcPr>
          <w:p w14:paraId="360E85F1" w14:textId="07F8D224" w:rsidR="000D74BF" w:rsidRDefault="000D74BF" w:rsidP="000D74BF">
            <w:pPr>
              <w:spacing w:line="360" w:lineRule="auto"/>
              <w:jc w:val="both"/>
              <w:rPr>
                <w:rFonts w:ascii="Arial" w:hAnsi="Arial" w:cs="Arial"/>
                <w:b/>
                <w:bCs/>
              </w:rPr>
            </w:pPr>
            <w:r w:rsidRPr="00A778E0">
              <w:t>-109,900</w:t>
            </w:r>
          </w:p>
        </w:tc>
        <w:tc>
          <w:tcPr>
            <w:tcW w:w="1559" w:type="dxa"/>
            <w:shd w:val="clear" w:color="auto" w:fill="D7E7F0" w:themeFill="accent1" w:themeFillTint="33"/>
          </w:tcPr>
          <w:p w14:paraId="66353BE0" w14:textId="6FA2560A" w:rsidR="000D74BF" w:rsidRDefault="000D74BF" w:rsidP="000D74BF">
            <w:pPr>
              <w:spacing w:line="360" w:lineRule="auto"/>
              <w:jc w:val="both"/>
              <w:rPr>
                <w:rFonts w:ascii="Arial" w:hAnsi="Arial" w:cs="Arial"/>
                <w:b/>
                <w:bCs/>
              </w:rPr>
            </w:pPr>
            <w:r w:rsidRPr="00A778E0">
              <w:t>143,600</w:t>
            </w:r>
          </w:p>
        </w:tc>
      </w:tr>
      <w:tr w:rsidR="000D74BF" w14:paraId="136F7A52" w14:textId="77777777" w:rsidTr="000D74BF">
        <w:tc>
          <w:tcPr>
            <w:tcW w:w="1558" w:type="dxa"/>
          </w:tcPr>
          <w:p w14:paraId="72C923A5" w14:textId="41CBA8DB" w:rsidR="000D74BF" w:rsidRDefault="000D74BF" w:rsidP="000D74BF">
            <w:pPr>
              <w:spacing w:line="360" w:lineRule="auto"/>
              <w:jc w:val="both"/>
              <w:rPr>
                <w:rFonts w:ascii="Arial" w:hAnsi="Arial" w:cs="Arial"/>
                <w:b/>
                <w:bCs/>
              </w:rPr>
            </w:pPr>
            <w:r w:rsidRPr="00A778E0">
              <w:t>July</w:t>
            </w:r>
          </w:p>
        </w:tc>
        <w:tc>
          <w:tcPr>
            <w:tcW w:w="1558" w:type="dxa"/>
          </w:tcPr>
          <w:p w14:paraId="296973B1" w14:textId="3D19B0B3" w:rsidR="000D74BF" w:rsidRDefault="000D74BF" w:rsidP="000D74BF">
            <w:pPr>
              <w:spacing w:line="360" w:lineRule="auto"/>
              <w:jc w:val="both"/>
              <w:rPr>
                <w:rFonts w:ascii="Arial" w:hAnsi="Arial" w:cs="Arial"/>
                <w:b/>
                <w:bCs/>
              </w:rPr>
            </w:pPr>
            <w:r w:rsidRPr="00A778E0">
              <w:t>143,600</w:t>
            </w:r>
          </w:p>
        </w:tc>
        <w:tc>
          <w:tcPr>
            <w:tcW w:w="1558" w:type="dxa"/>
          </w:tcPr>
          <w:p w14:paraId="4D8825CA" w14:textId="1D9CA662" w:rsidR="000D74BF" w:rsidRDefault="000D74BF" w:rsidP="000D74BF">
            <w:pPr>
              <w:spacing w:line="360" w:lineRule="auto"/>
              <w:jc w:val="both"/>
              <w:rPr>
                <w:rFonts w:ascii="Arial" w:hAnsi="Arial" w:cs="Arial"/>
                <w:b/>
                <w:bCs/>
              </w:rPr>
            </w:pPr>
            <w:r w:rsidRPr="00A778E0">
              <w:t>32,800</w:t>
            </w:r>
          </w:p>
        </w:tc>
        <w:tc>
          <w:tcPr>
            <w:tcW w:w="1558" w:type="dxa"/>
          </w:tcPr>
          <w:p w14:paraId="7B1EA413" w14:textId="1DA7D1E6" w:rsidR="000D74BF" w:rsidRDefault="000D74BF" w:rsidP="000D74BF">
            <w:pPr>
              <w:spacing w:line="360" w:lineRule="auto"/>
              <w:jc w:val="both"/>
              <w:rPr>
                <w:rFonts w:ascii="Arial" w:hAnsi="Arial" w:cs="Arial"/>
                <w:b/>
                <w:bCs/>
              </w:rPr>
            </w:pPr>
            <w:r w:rsidRPr="00A778E0">
              <w:t>135,000</w:t>
            </w:r>
          </w:p>
        </w:tc>
        <w:tc>
          <w:tcPr>
            <w:tcW w:w="1559" w:type="dxa"/>
          </w:tcPr>
          <w:p w14:paraId="61896A1B" w14:textId="4A2C254B" w:rsidR="000D74BF" w:rsidRDefault="000D74BF" w:rsidP="000D74BF">
            <w:pPr>
              <w:spacing w:line="360" w:lineRule="auto"/>
              <w:jc w:val="both"/>
              <w:rPr>
                <w:rFonts w:ascii="Arial" w:hAnsi="Arial" w:cs="Arial"/>
                <w:b/>
                <w:bCs/>
              </w:rPr>
            </w:pPr>
            <w:r w:rsidRPr="00A778E0">
              <w:t>-102,200</w:t>
            </w:r>
          </w:p>
        </w:tc>
        <w:tc>
          <w:tcPr>
            <w:tcW w:w="1559" w:type="dxa"/>
          </w:tcPr>
          <w:p w14:paraId="6FB87BBA" w14:textId="1A9F85B1" w:rsidR="000D74BF" w:rsidRDefault="000D74BF" w:rsidP="000D74BF">
            <w:pPr>
              <w:spacing w:line="360" w:lineRule="auto"/>
              <w:jc w:val="both"/>
              <w:rPr>
                <w:rFonts w:ascii="Arial" w:hAnsi="Arial" w:cs="Arial"/>
                <w:b/>
                <w:bCs/>
              </w:rPr>
            </w:pPr>
            <w:r w:rsidRPr="00A778E0">
              <w:t>41,400</w:t>
            </w:r>
          </w:p>
        </w:tc>
      </w:tr>
      <w:tr w:rsidR="000D74BF" w14:paraId="62981619" w14:textId="77777777" w:rsidTr="000D74BF">
        <w:tc>
          <w:tcPr>
            <w:tcW w:w="1558" w:type="dxa"/>
            <w:shd w:val="clear" w:color="auto" w:fill="D7E7F0" w:themeFill="accent1" w:themeFillTint="33"/>
          </w:tcPr>
          <w:p w14:paraId="36B4570F" w14:textId="74D889CD" w:rsidR="000D74BF" w:rsidRDefault="000D74BF" w:rsidP="000D74BF">
            <w:pPr>
              <w:spacing w:line="360" w:lineRule="auto"/>
              <w:jc w:val="both"/>
              <w:rPr>
                <w:rFonts w:ascii="Arial" w:hAnsi="Arial" w:cs="Arial"/>
                <w:b/>
                <w:bCs/>
              </w:rPr>
            </w:pPr>
            <w:r w:rsidRPr="00A778E0">
              <w:t>August</w:t>
            </w:r>
          </w:p>
        </w:tc>
        <w:tc>
          <w:tcPr>
            <w:tcW w:w="1558" w:type="dxa"/>
            <w:shd w:val="clear" w:color="auto" w:fill="D7E7F0" w:themeFill="accent1" w:themeFillTint="33"/>
          </w:tcPr>
          <w:p w14:paraId="3F7CA7ED" w14:textId="322B67A6" w:rsidR="000D74BF" w:rsidRDefault="000D74BF" w:rsidP="000D74BF">
            <w:pPr>
              <w:spacing w:line="360" w:lineRule="auto"/>
              <w:jc w:val="both"/>
              <w:rPr>
                <w:rFonts w:ascii="Arial" w:hAnsi="Arial" w:cs="Arial"/>
                <w:b/>
                <w:bCs/>
              </w:rPr>
            </w:pPr>
            <w:r w:rsidRPr="00A778E0">
              <w:t>41,400</w:t>
            </w:r>
          </w:p>
        </w:tc>
        <w:tc>
          <w:tcPr>
            <w:tcW w:w="1558" w:type="dxa"/>
            <w:shd w:val="clear" w:color="auto" w:fill="D7E7F0" w:themeFill="accent1" w:themeFillTint="33"/>
          </w:tcPr>
          <w:p w14:paraId="2C4301E5" w14:textId="46340D9E" w:rsidR="000D74BF" w:rsidRDefault="000D74BF" w:rsidP="000D74BF">
            <w:pPr>
              <w:spacing w:line="360" w:lineRule="auto"/>
              <w:jc w:val="both"/>
              <w:rPr>
                <w:rFonts w:ascii="Arial" w:hAnsi="Arial" w:cs="Arial"/>
                <w:b/>
                <w:bCs/>
              </w:rPr>
            </w:pPr>
            <w:r w:rsidRPr="00A778E0">
              <w:t>38,500</w:t>
            </w:r>
          </w:p>
        </w:tc>
        <w:tc>
          <w:tcPr>
            <w:tcW w:w="1558" w:type="dxa"/>
            <w:shd w:val="clear" w:color="auto" w:fill="D7E7F0" w:themeFill="accent1" w:themeFillTint="33"/>
          </w:tcPr>
          <w:p w14:paraId="21AC7D05" w14:textId="55FB36B8" w:rsidR="000D74BF" w:rsidRDefault="000D74BF" w:rsidP="000D74BF">
            <w:pPr>
              <w:spacing w:line="360" w:lineRule="auto"/>
              <w:jc w:val="both"/>
              <w:rPr>
                <w:rFonts w:ascii="Arial" w:hAnsi="Arial" w:cs="Arial"/>
                <w:b/>
                <w:bCs/>
              </w:rPr>
            </w:pPr>
            <w:r w:rsidRPr="00A778E0">
              <w:t>132,000</w:t>
            </w:r>
          </w:p>
        </w:tc>
        <w:tc>
          <w:tcPr>
            <w:tcW w:w="1559" w:type="dxa"/>
            <w:shd w:val="clear" w:color="auto" w:fill="D7E7F0" w:themeFill="accent1" w:themeFillTint="33"/>
          </w:tcPr>
          <w:p w14:paraId="7144DF96" w14:textId="216F2642" w:rsidR="000D74BF" w:rsidRDefault="000D74BF" w:rsidP="000D74BF">
            <w:pPr>
              <w:spacing w:line="360" w:lineRule="auto"/>
              <w:jc w:val="both"/>
              <w:rPr>
                <w:rFonts w:ascii="Arial" w:hAnsi="Arial" w:cs="Arial"/>
                <w:b/>
                <w:bCs/>
              </w:rPr>
            </w:pPr>
            <w:r w:rsidRPr="00A778E0">
              <w:t>-93,500</w:t>
            </w:r>
          </w:p>
        </w:tc>
        <w:tc>
          <w:tcPr>
            <w:tcW w:w="1559" w:type="dxa"/>
            <w:shd w:val="clear" w:color="auto" w:fill="D7E7F0" w:themeFill="accent1" w:themeFillTint="33"/>
          </w:tcPr>
          <w:p w14:paraId="7A427539" w14:textId="401B7DA8" w:rsidR="000D74BF" w:rsidRDefault="000D74BF" w:rsidP="000D74BF">
            <w:pPr>
              <w:spacing w:line="360" w:lineRule="auto"/>
              <w:jc w:val="both"/>
              <w:rPr>
                <w:rFonts w:ascii="Arial" w:hAnsi="Arial" w:cs="Arial"/>
                <w:b/>
                <w:bCs/>
              </w:rPr>
            </w:pPr>
            <w:r w:rsidRPr="00A778E0">
              <w:t>-52,100</w:t>
            </w:r>
          </w:p>
        </w:tc>
      </w:tr>
      <w:tr w:rsidR="000D74BF" w14:paraId="66CD2EBC" w14:textId="77777777" w:rsidTr="000D74BF">
        <w:tc>
          <w:tcPr>
            <w:tcW w:w="1558" w:type="dxa"/>
          </w:tcPr>
          <w:p w14:paraId="7F94A9CD" w14:textId="79B05B09" w:rsidR="000D74BF" w:rsidRDefault="000D74BF" w:rsidP="000D74BF">
            <w:pPr>
              <w:spacing w:line="360" w:lineRule="auto"/>
              <w:jc w:val="both"/>
              <w:rPr>
                <w:rFonts w:ascii="Arial" w:hAnsi="Arial" w:cs="Arial"/>
                <w:b/>
                <w:bCs/>
              </w:rPr>
            </w:pPr>
            <w:r w:rsidRPr="00A778E0">
              <w:t>September</w:t>
            </w:r>
          </w:p>
        </w:tc>
        <w:tc>
          <w:tcPr>
            <w:tcW w:w="1558" w:type="dxa"/>
          </w:tcPr>
          <w:p w14:paraId="05430CD2" w14:textId="7DA173A2" w:rsidR="000D74BF" w:rsidRDefault="000D74BF" w:rsidP="000D74BF">
            <w:pPr>
              <w:spacing w:line="360" w:lineRule="auto"/>
              <w:jc w:val="both"/>
              <w:rPr>
                <w:rFonts w:ascii="Arial" w:hAnsi="Arial" w:cs="Arial"/>
                <w:b/>
                <w:bCs/>
              </w:rPr>
            </w:pPr>
            <w:r w:rsidRPr="00A778E0">
              <w:t>-52,100</w:t>
            </w:r>
          </w:p>
        </w:tc>
        <w:tc>
          <w:tcPr>
            <w:tcW w:w="1558" w:type="dxa"/>
          </w:tcPr>
          <w:p w14:paraId="784F84C4" w14:textId="35DE085C" w:rsidR="000D74BF" w:rsidRDefault="000D74BF" w:rsidP="000D74BF">
            <w:pPr>
              <w:spacing w:line="360" w:lineRule="auto"/>
              <w:jc w:val="both"/>
              <w:rPr>
                <w:rFonts w:ascii="Arial" w:hAnsi="Arial" w:cs="Arial"/>
                <w:b/>
                <w:bCs/>
              </w:rPr>
            </w:pPr>
            <w:r w:rsidRPr="00A778E0">
              <w:t>44,200</w:t>
            </w:r>
          </w:p>
        </w:tc>
        <w:tc>
          <w:tcPr>
            <w:tcW w:w="1558" w:type="dxa"/>
          </w:tcPr>
          <w:p w14:paraId="1DA5410D" w14:textId="21F38AAA" w:rsidR="000D74BF" w:rsidRDefault="000D74BF" w:rsidP="000D74BF">
            <w:pPr>
              <w:spacing w:line="360" w:lineRule="auto"/>
              <w:jc w:val="both"/>
              <w:rPr>
                <w:rFonts w:ascii="Arial" w:hAnsi="Arial" w:cs="Arial"/>
                <w:b/>
                <w:bCs/>
              </w:rPr>
            </w:pPr>
            <w:r w:rsidRPr="00A778E0">
              <w:t>128,000</w:t>
            </w:r>
          </w:p>
        </w:tc>
        <w:tc>
          <w:tcPr>
            <w:tcW w:w="1559" w:type="dxa"/>
          </w:tcPr>
          <w:p w14:paraId="67BD4E49" w14:textId="171B5C0D" w:rsidR="000D74BF" w:rsidRDefault="000D74BF" w:rsidP="000D74BF">
            <w:pPr>
              <w:spacing w:line="360" w:lineRule="auto"/>
              <w:jc w:val="both"/>
              <w:rPr>
                <w:rFonts w:ascii="Arial" w:hAnsi="Arial" w:cs="Arial"/>
                <w:b/>
                <w:bCs/>
              </w:rPr>
            </w:pPr>
            <w:r w:rsidRPr="00A778E0">
              <w:t>-83,800</w:t>
            </w:r>
          </w:p>
        </w:tc>
        <w:tc>
          <w:tcPr>
            <w:tcW w:w="1559" w:type="dxa"/>
          </w:tcPr>
          <w:p w14:paraId="64713A0F" w14:textId="0FA70C5B" w:rsidR="000D74BF" w:rsidRDefault="000D74BF" w:rsidP="000D74BF">
            <w:pPr>
              <w:spacing w:line="360" w:lineRule="auto"/>
              <w:jc w:val="both"/>
              <w:rPr>
                <w:rFonts w:ascii="Arial" w:hAnsi="Arial" w:cs="Arial"/>
                <w:b/>
                <w:bCs/>
              </w:rPr>
            </w:pPr>
            <w:r w:rsidRPr="00A778E0">
              <w:t>-135,900</w:t>
            </w:r>
          </w:p>
        </w:tc>
      </w:tr>
      <w:tr w:rsidR="000D74BF" w14:paraId="14F1A304" w14:textId="77777777" w:rsidTr="000D74BF">
        <w:tc>
          <w:tcPr>
            <w:tcW w:w="1558" w:type="dxa"/>
            <w:shd w:val="clear" w:color="auto" w:fill="D7E7F0" w:themeFill="accent1" w:themeFillTint="33"/>
          </w:tcPr>
          <w:p w14:paraId="6886C19A" w14:textId="1691CA4A" w:rsidR="000D74BF" w:rsidRDefault="000D74BF" w:rsidP="000D74BF">
            <w:pPr>
              <w:spacing w:line="360" w:lineRule="auto"/>
              <w:jc w:val="both"/>
              <w:rPr>
                <w:rFonts w:ascii="Arial" w:hAnsi="Arial" w:cs="Arial"/>
                <w:b/>
                <w:bCs/>
              </w:rPr>
            </w:pPr>
            <w:r w:rsidRPr="00A778E0">
              <w:t>October</w:t>
            </w:r>
          </w:p>
        </w:tc>
        <w:tc>
          <w:tcPr>
            <w:tcW w:w="1558" w:type="dxa"/>
            <w:shd w:val="clear" w:color="auto" w:fill="D7E7F0" w:themeFill="accent1" w:themeFillTint="33"/>
          </w:tcPr>
          <w:p w14:paraId="14BE32F3" w14:textId="720A3A71" w:rsidR="000D74BF" w:rsidRDefault="000D74BF" w:rsidP="000D74BF">
            <w:pPr>
              <w:spacing w:line="360" w:lineRule="auto"/>
              <w:jc w:val="both"/>
              <w:rPr>
                <w:rFonts w:ascii="Arial" w:hAnsi="Arial" w:cs="Arial"/>
                <w:b/>
                <w:bCs/>
              </w:rPr>
            </w:pPr>
            <w:r w:rsidRPr="00A778E0">
              <w:t>-135,900</w:t>
            </w:r>
          </w:p>
        </w:tc>
        <w:tc>
          <w:tcPr>
            <w:tcW w:w="1558" w:type="dxa"/>
            <w:shd w:val="clear" w:color="auto" w:fill="D7E7F0" w:themeFill="accent1" w:themeFillTint="33"/>
          </w:tcPr>
          <w:p w14:paraId="5FB54D5F" w14:textId="0D70FEC9" w:rsidR="000D74BF" w:rsidRDefault="000D74BF" w:rsidP="000D74BF">
            <w:pPr>
              <w:spacing w:line="360" w:lineRule="auto"/>
              <w:jc w:val="both"/>
              <w:rPr>
                <w:rFonts w:ascii="Arial" w:hAnsi="Arial" w:cs="Arial"/>
                <w:b/>
                <w:bCs/>
              </w:rPr>
            </w:pPr>
            <w:r w:rsidRPr="00A778E0">
              <w:t>51,300</w:t>
            </w:r>
          </w:p>
        </w:tc>
        <w:tc>
          <w:tcPr>
            <w:tcW w:w="1558" w:type="dxa"/>
            <w:shd w:val="clear" w:color="auto" w:fill="D7E7F0" w:themeFill="accent1" w:themeFillTint="33"/>
          </w:tcPr>
          <w:p w14:paraId="49661F16" w14:textId="42EB10B4" w:rsidR="000D74BF" w:rsidRDefault="000D74BF" w:rsidP="000D74BF">
            <w:pPr>
              <w:spacing w:line="360" w:lineRule="auto"/>
              <w:jc w:val="both"/>
              <w:rPr>
                <w:rFonts w:ascii="Arial" w:hAnsi="Arial" w:cs="Arial"/>
                <w:b/>
                <w:bCs/>
              </w:rPr>
            </w:pPr>
            <w:r w:rsidRPr="00A778E0">
              <w:t>125,000</w:t>
            </w:r>
          </w:p>
        </w:tc>
        <w:tc>
          <w:tcPr>
            <w:tcW w:w="1559" w:type="dxa"/>
            <w:shd w:val="clear" w:color="auto" w:fill="D7E7F0" w:themeFill="accent1" w:themeFillTint="33"/>
          </w:tcPr>
          <w:p w14:paraId="6DC36635" w14:textId="4EEC9F42" w:rsidR="000D74BF" w:rsidRDefault="000D74BF" w:rsidP="000D74BF">
            <w:pPr>
              <w:spacing w:line="360" w:lineRule="auto"/>
              <w:jc w:val="both"/>
              <w:rPr>
                <w:rFonts w:ascii="Arial" w:hAnsi="Arial" w:cs="Arial"/>
                <w:b/>
                <w:bCs/>
              </w:rPr>
            </w:pPr>
            <w:r w:rsidRPr="00A778E0">
              <w:t>-73,700</w:t>
            </w:r>
          </w:p>
        </w:tc>
        <w:tc>
          <w:tcPr>
            <w:tcW w:w="1559" w:type="dxa"/>
            <w:shd w:val="clear" w:color="auto" w:fill="D7E7F0" w:themeFill="accent1" w:themeFillTint="33"/>
          </w:tcPr>
          <w:p w14:paraId="7C34E993" w14:textId="66A686F5" w:rsidR="000D74BF" w:rsidRDefault="000D74BF" w:rsidP="000D74BF">
            <w:pPr>
              <w:spacing w:line="360" w:lineRule="auto"/>
              <w:jc w:val="both"/>
              <w:rPr>
                <w:rFonts w:ascii="Arial" w:hAnsi="Arial" w:cs="Arial"/>
                <w:b/>
                <w:bCs/>
              </w:rPr>
            </w:pPr>
            <w:r w:rsidRPr="00A778E0">
              <w:t>-209,600</w:t>
            </w:r>
          </w:p>
        </w:tc>
      </w:tr>
      <w:tr w:rsidR="000D74BF" w14:paraId="39C5751E" w14:textId="77777777" w:rsidTr="000D74BF">
        <w:tc>
          <w:tcPr>
            <w:tcW w:w="1558" w:type="dxa"/>
          </w:tcPr>
          <w:p w14:paraId="1507989D" w14:textId="1D9458FF" w:rsidR="000D74BF" w:rsidRDefault="000D74BF" w:rsidP="000D74BF">
            <w:pPr>
              <w:spacing w:line="360" w:lineRule="auto"/>
              <w:jc w:val="both"/>
              <w:rPr>
                <w:rFonts w:ascii="Arial" w:hAnsi="Arial" w:cs="Arial"/>
                <w:b/>
                <w:bCs/>
              </w:rPr>
            </w:pPr>
            <w:r w:rsidRPr="00A778E0">
              <w:t>November</w:t>
            </w:r>
          </w:p>
        </w:tc>
        <w:tc>
          <w:tcPr>
            <w:tcW w:w="1558" w:type="dxa"/>
          </w:tcPr>
          <w:p w14:paraId="5F766F70" w14:textId="5F26E901" w:rsidR="000D74BF" w:rsidRDefault="000D74BF" w:rsidP="000D74BF">
            <w:pPr>
              <w:spacing w:line="360" w:lineRule="auto"/>
              <w:jc w:val="both"/>
              <w:rPr>
                <w:rFonts w:ascii="Arial" w:hAnsi="Arial" w:cs="Arial"/>
                <w:b/>
                <w:bCs/>
              </w:rPr>
            </w:pPr>
            <w:r w:rsidRPr="00A778E0">
              <w:t>-209,600</w:t>
            </w:r>
          </w:p>
        </w:tc>
        <w:tc>
          <w:tcPr>
            <w:tcW w:w="1558" w:type="dxa"/>
          </w:tcPr>
          <w:p w14:paraId="5D9E0290" w14:textId="72C5B84E" w:rsidR="000D74BF" w:rsidRDefault="000D74BF" w:rsidP="000D74BF">
            <w:pPr>
              <w:spacing w:line="360" w:lineRule="auto"/>
              <w:jc w:val="both"/>
              <w:rPr>
                <w:rFonts w:ascii="Arial" w:hAnsi="Arial" w:cs="Arial"/>
                <w:b/>
                <w:bCs/>
              </w:rPr>
            </w:pPr>
            <w:r w:rsidRPr="00A778E0">
              <w:t>58,900</w:t>
            </w:r>
          </w:p>
        </w:tc>
        <w:tc>
          <w:tcPr>
            <w:tcW w:w="1558" w:type="dxa"/>
          </w:tcPr>
          <w:p w14:paraId="11D53737" w14:textId="263C8C96" w:rsidR="000D74BF" w:rsidRDefault="000D74BF" w:rsidP="000D74BF">
            <w:pPr>
              <w:spacing w:line="360" w:lineRule="auto"/>
              <w:jc w:val="both"/>
              <w:rPr>
                <w:rFonts w:ascii="Arial" w:hAnsi="Arial" w:cs="Arial"/>
                <w:b/>
                <w:bCs/>
              </w:rPr>
            </w:pPr>
            <w:r w:rsidRPr="00A778E0">
              <w:t>122,000</w:t>
            </w:r>
          </w:p>
        </w:tc>
        <w:tc>
          <w:tcPr>
            <w:tcW w:w="1559" w:type="dxa"/>
          </w:tcPr>
          <w:p w14:paraId="3BB3F7D9" w14:textId="7BEA20E5" w:rsidR="000D74BF" w:rsidRDefault="000D74BF" w:rsidP="000D74BF">
            <w:pPr>
              <w:spacing w:line="360" w:lineRule="auto"/>
              <w:jc w:val="both"/>
              <w:rPr>
                <w:rFonts w:ascii="Arial" w:hAnsi="Arial" w:cs="Arial"/>
                <w:b/>
                <w:bCs/>
              </w:rPr>
            </w:pPr>
            <w:r w:rsidRPr="00A778E0">
              <w:t>-63,100</w:t>
            </w:r>
          </w:p>
        </w:tc>
        <w:tc>
          <w:tcPr>
            <w:tcW w:w="1559" w:type="dxa"/>
          </w:tcPr>
          <w:p w14:paraId="02380286" w14:textId="5FFCD931" w:rsidR="000D74BF" w:rsidRDefault="000D74BF" w:rsidP="000D74BF">
            <w:pPr>
              <w:spacing w:line="360" w:lineRule="auto"/>
              <w:jc w:val="both"/>
              <w:rPr>
                <w:rFonts w:ascii="Arial" w:hAnsi="Arial" w:cs="Arial"/>
                <w:b/>
                <w:bCs/>
              </w:rPr>
            </w:pPr>
            <w:r w:rsidRPr="00A778E0">
              <w:t>-272,700</w:t>
            </w:r>
          </w:p>
        </w:tc>
      </w:tr>
      <w:tr w:rsidR="000D74BF" w14:paraId="5795368C" w14:textId="77777777" w:rsidTr="000D74BF">
        <w:tc>
          <w:tcPr>
            <w:tcW w:w="1558" w:type="dxa"/>
            <w:shd w:val="clear" w:color="auto" w:fill="D7E7F0" w:themeFill="accent1" w:themeFillTint="33"/>
          </w:tcPr>
          <w:p w14:paraId="672AE0B5" w14:textId="02250B24" w:rsidR="000D74BF" w:rsidRDefault="000D74BF" w:rsidP="000D74BF">
            <w:pPr>
              <w:spacing w:line="360" w:lineRule="auto"/>
              <w:jc w:val="both"/>
              <w:rPr>
                <w:rFonts w:ascii="Arial" w:hAnsi="Arial" w:cs="Arial"/>
                <w:b/>
                <w:bCs/>
              </w:rPr>
            </w:pPr>
            <w:r w:rsidRPr="00A778E0">
              <w:t>December</w:t>
            </w:r>
          </w:p>
        </w:tc>
        <w:tc>
          <w:tcPr>
            <w:tcW w:w="1558" w:type="dxa"/>
            <w:shd w:val="clear" w:color="auto" w:fill="D7E7F0" w:themeFill="accent1" w:themeFillTint="33"/>
          </w:tcPr>
          <w:p w14:paraId="72FB644E" w14:textId="62290B7D" w:rsidR="000D74BF" w:rsidRDefault="000D74BF" w:rsidP="000D74BF">
            <w:pPr>
              <w:spacing w:line="360" w:lineRule="auto"/>
              <w:jc w:val="both"/>
              <w:rPr>
                <w:rFonts w:ascii="Arial" w:hAnsi="Arial" w:cs="Arial"/>
                <w:b/>
                <w:bCs/>
              </w:rPr>
            </w:pPr>
            <w:r w:rsidRPr="00A778E0">
              <w:t>-272,700</w:t>
            </w:r>
          </w:p>
        </w:tc>
        <w:tc>
          <w:tcPr>
            <w:tcW w:w="1558" w:type="dxa"/>
            <w:shd w:val="clear" w:color="auto" w:fill="D7E7F0" w:themeFill="accent1" w:themeFillTint="33"/>
          </w:tcPr>
          <w:p w14:paraId="3143FB66" w14:textId="5BAAA915" w:rsidR="000D74BF" w:rsidRDefault="000D74BF" w:rsidP="000D74BF">
            <w:pPr>
              <w:spacing w:line="360" w:lineRule="auto"/>
              <w:jc w:val="both"/>
              <w:rPr>
                <w:rFonts w:ascii="Arial" w:hAnsi="Arial" w:cs="Arial"/>
                <w:b/>
                <w:bCs/>
              </w:rPr>
            </w:pPr>
            <w:r w:rsidRPr="00A778E0">
              <w:t>67,400</w:t>
            </w:r>
          </w:p>
        </w:tc>
        <w:tc>
          <w:tcPr>
            <w:tcW w:w="1558" w:type="dxa"/>
            <w:shd w:val="clear" w:color="auto" w:fill="D7E7F0" w:themeFill="accent1" w:themeFillTint="33"/>
          </w:tcPr>
          <w:p w14:paraId="181043A9" w14:textId="3D255FF9" w:rsidR="000D74BF" w:rsidRDefault="000D74BF" w:rsidP="000D74BF">
            <w:pPr>
              <w:spacing w:line="360" w:lineRule="auto"/>
              <w:jc w:val="both"/>
              <w:rPr>
                <w:rFonts w:ascii="Arial" w:hAnsi="Arial" w:cs="Arial"/>
                <w:b/>
                <w:bCs/>
              </w:rPr>
            </w:pPr>
            <w:r w:rsidRPr="00A778E0">
              <w:t>118,000</w:t>
            </w:r>
          </w:p>
        </w:tc>
        <w:tc>
          <w:tcPr>
            <w:tcW w:w="1559" w:type="dxa"/>
            <w:shd w:val="clear" w:color="auto" w:fill="D7E7F0" w:themeFill="accent1" w:themeFillTint="33"/>
          </w:tcPr>
          <w:p w14:paraId="4300686F" w14:textId="5DDFA906" w:rsidR="000D74BF" w:rsidRDefault="000D74BF" w:rsidP="000D74BF">
            <w:pPr>
              <w:spacing w:line="360" w:lineRule="auto"/>
              <w:jc w:val="both"/>
              <w:rPr>
                <w:rFonts w:ascii="Arial" w:hAnsi="Arial" w:cs="Arial"/>
                <w:b/>
                <w:bCs/>
              </w:rPr>
            </w:pPr>
            <w:r w:rsidRPr="00A778E0">
              <w:t>-50,600</w:t>
            </w:r>
          </w:p>
        </w:tc>
        <w:tc>
          <w:tcPr>
            <w:tcW w:w="1559" w:type="dxa"/>
            <w:shd w:val="clear" w:color="auto" w:fill="D7E7F0" w:themeFill="accent1" w:themeFillTint="33"/>
          </w:tcPr>
          <w:p w14:paraId="01B35374" w14:textId="686435A7" w:rsidR="000D74BF" w:rsidRDefault="000D74BF" w:rsidP="000D74BF">
            <w:pPr>
              <w:spacing w:line="360" w:lineRule="auto"/>
              <w:jc w:val="both"/>
              <w:rPr>
                <w:rFonts w:ascii="Arial" w:hAnsi="Arial" w:cs="Arial"/>
                <w:b/>
                <w:bCs/>
              </w:rPr>
            </w:pPr>
            <w:r w:rsidRPr="00A778E0">
              <w:t>-323,300</w:t>
            </w:r>
          </w:p>
        </w:tc>
      </w:tr>
    </w:tbl>
    <w:p w14:paraId="18B65BBC" w14:textId="5CEE85E5" w:rsidR="00CD24EF" w:rsidRDefault="00CD24EF" w:rsidP="00270231">
      <w:pPr>
        <w:spacing w:line="360" w:lineRule="auto"/>
        <w:jc w:val="both"/>
        <w:rPr>
          <w:rFonts w:ascii="Arial" w:hAnsi="Arial" w:cs="Arial"/>
          <w:b/>
          <w:bCs/>
        </w:rPr>
      </w:pPr>
    </w:p>
    <w:p w14:paraId="34334744" w14:textId="47A7CCFF" w:rsidR="006630F8" w:rsidRDefault="00CD24EF" w:rsidP="00CD24EF">
      <w:pPr>
        <w:spacing w:line="360" w:lineRule="auto"/>
        <w:jc w:val="both"/>
        <w:rPr>
          <w:rFonts w:ascii="Arial" w:hAnsi="Arial" w:cs="Arial"/>
        </w:rPr>
      </w:pPr>
      <w:r w:rsidRPr="00CD24EF">
        <w:rPr>
          <w:rFonts w:ascii="Arial" w:hAnsi="Arial" w:cs="Arial"/>
          <w:b/>
          <w:bCs/>
        </w:rPr>
        <w:t xml:space="preserve">Key Assumptions: </w:t>
      </w:r>
      <w:r w:rsidR="00330CDC" w:rsidRPr="00330CDC">
        <w:rPr>
          <w:rFonts w:ascii="Arial" w:hAnsi="Arial" w:cs="Arial"/>
        </w:rPr>
        <w:t>Cash inflows give a reflection of slow customer acquisition (170 charges/month with a growth of 15% every month). The outflows are deployment of infrastructure (months 1-6), monthly salaries (</w:t>
      </w:r>
      <w:r w:rsidR="00F01F82">
        <w:rPr>
          <w:rFonts w:ascii="Arial" w:hAnsi="Arial" w:cs="Arial"/>
        </w:rPr>
        <w:t xml:space="preserve">£ </w:t>
      </w:r>
      <w:r w:rsidR="00330CDC" w:rsidRPr="00330CDC">
        <w:rPr>
          <w:rFonts w:ascii="Arial" w:hAnsi="Arial" w:cs="Arial"/>
        </w:rPr>
        <w:t>45,000), lease payments (</w:t>
      </w:r>
      <w:r w:rsidR="00F01F82">
        <w:rPr>
          <w:rFonts w:ascii="Arial" w:hAnsi="Arial" w:cs="Arial"/>
        </w:rPr>
        <w:t xml:space="preserve">£ </w:t>
      </w:r>
      <w:r w:rsidR="00330CDC" w:rsidRPr="00330CDC">
        <w:rPr>
          <w:rFonts w:ascii="Arial" w:hAnsi="Arial" w:cs="Arial"/>
        </w:rPr>
        <w:t>15,000), utilities and maintenance (</w:t>
      </w:r>
      <w:r w:rsidR="00F01F82">
        <w:rPr>
          <w:rFonts w:ascii="Arial" w:hAnsi="Arial" w:cs="Arial"/>
        </w:rPr>
        <w:t xml:space="preserve">£ </w:t>
      </w:r>
      <w:r w:rsidR="00330CDC" w:rsidRPr="00330CDC">
        <w:rPr>
          <w:rFonts w:ascii="Arial" w:hAnsi="Arial" w:cs="Arial"/>
        </w:rPr>
        <w:t>8,000), and marketing expenses (</w:t>
      </w:r>
      <w:r w:rsidR="00F01F82">
        <w:rPr>
          <w:rFonts w:ascii="Arial" w:hAnsi="Arial" w:cs="Arial"/>
        </w:rPr>
        <w:t xml:space="preserve">£ </w:t>
      </w:r>
      <w:r w:rsidR="00330CDC" w:rsidRPr="00330CDC">
        <w:rPr>
          <w:rFonts w:ascii="Arial" w:hAnsi="Arial" w:cs="Arial"/>
        </w:rPr>
        <w:t>12,000). This will require more working capital facility (</w:t>
      </w:r>
      <w:r w:rsidR="00F01F82">
        <w:rPr>
          <w:rFonts w:ascii="Arial" w:hAnsi="Arial" w:cs="Arial"/>
        </w:rPr>
        <w:t xml:space="preserve">£ </w:t>
      </w:r>
      <w:r w:rsidR="00330CDC" w:rsidRPr="00330CDC">
        <w:rPr>
          <w:rFonts w:ascii="Arial" w:hAnsi="Arial" w:cs="Arial"/>
        </w:rPr>
        <w:t xml:space="preserve">350,000 overdraft) or faster increase in revenues by corporate contracts to cover the negative cash position as </w:t>
      </w:r>
      <w:proofErr w:type="gramStart"/>
      <w:r w:rsidR="00330CDC" w:rsidRPr="00330CDC">
        <w:rPr>
          <w:rFonts w:ascii="Arial" w:hAnsi="Arial" w:cs="Arial"/>
        </w:rPr>
        <w:t>at</w:t>
      </w:r>
      <w:proofErr w:type="gramEnd"/>
      <w:r w:rsidR="00330CDC" w:rsidRPr="00330CDC">
        <w:rPr>
          <w:rFonts w:ascii="Arial" w:hAnsi="Arial" w:cs="Arial"/>
        </w:rPr>
        <w:t xml:space="preserve"> August (Burns and Dewhurst, 1996).</w:t>
      </w:r>
    </w:p>
    <w:p w14:paraId="1F4D393C" w14:textId="77777777" w:rsidR="006630F8" w:rsidRDefault="006630F8">
      <w:pPr>
        <w:rPr>
          <w:rFonts w:ascii="Arial" w:hAnsi="Arial" w:cs="Arial"/>
        </w:rPr>
      </w:pPr>
      <w:r>
        <w:rPr>
          <w:rFonts w:ascii="Arial" w:hAnsi="Arial" w:cs="Arial"/>
        </w:rPr>
        <w:br w:type="page"/>
      </w:r>
    </w:p>
    <w:p w14:paraId="6D118433" w14:textId="101B1F9F" w:rsidR="006630F8" w:rsidRPr="006630F8" w:rsidRDefault="006630F8" w:rsidP="006630F8">
      <w:pPr>
        <w:pStyle w:val="Heading1"/>
        <w:spacing w:line="360" w:lineRule="auto"/>
        <w:jc w:val="center"/>
        <w:rPr>
          <w:rFonts w:ascii="Arial" w:hAnsi="Arial" w:cs="Arial"/>
          <w:b/>
          <w:bCs/>
          <w:color w:val="000000" w:themeColor="text1"/>
          <w:sz w:val="24"/>
          <w:szCs w:val="24"/>
        </w:rPr>
      </w:pPr>
      <w:bookmarkStart w:id="16" w:name="_Toc213636406"/>
      <w:r w:rsidRPr="006630F8">
        <w:rPr>
          <w:rFonts w:ascii="Arial" w:hAnsi="Arial" w:cs="Arial"/>
          <w:b/>
          <w:bCs/>
          <w:color w:val="000000" w:themeColor="text1"/>
          <w:sz w:val="24"/>
          <w:szCs w:val="24"/>
        </w:rPr>
        <w:lastRenderedPageBreak/>
        <w:t>REFERENCES</w:t>
      </w:r>
      <w:bookmarkEnd w:id="16"/>
    </w:p>
    <w:p w14:paraId="70998703" w14:textId="59174727" w:rsidR="006630F8" w:rsidRPr="00EC5048" w:rsidRDefault="006630F8" w:rsidP="006630F8">
      <w:pPr>
        <w:spacing w:line="360" w:lineRule="auto"/>
        <w:ind w:left="1260" w:hanging="1260"/>
        <w:jc w:val="both"/>
        <w:rPr>
          <w:rFonts w:ascii="Arial" w:hAnsi="Arial" w:cs="Arial"/>
        </w:rPr>
      </w:pPr>
      <w:r w:rsidRPr="00EC5048">
        <w:rPr>
          <w:rFonts w:ascii="Arial" w:hAnsi="Arial" w:cs="Arial"/>
        </w:rPr>
        <w:t>Bank of England</w:t>
      </w:r>
      <w:r>
        <w:rPr>
          <w:rFonts w:ascii="Arial" w:hAnsi="Arial" w:cs="Arial"/>
        </w:rPr>
        <w:t>.,</w:t>
      </w:r>
      <w:r w:rsidRPr="00EC5048">
        <w:rPr>
          <w:rFonts w:ascii="Arial" w:hAnsi="Arial" w:cs="Arial"/>
        </w:rPr>
        <w:t xml:space="preserve"> 2023</w:t>
      </w:r>
      <w:r>
        <w:rPr>
          <w:rFonts w:ascii="Arial" w:hAnsi="Arial" w:cs="Arial"/>
        </w:rPr>
        <w:t>.</w:t>
      </w:r>
      <w:r w:rsidRPr="00EC5048">
        <w:rPr>
          <w:rFonts w:ascii="Arial" w:hAnsi="Arial" w:cs="Arial"/>
        </w:rPr>
        <w:t xml:space="preserve"> Monetary Policy Report - November 2023. London: Bank of England.</w:t>
      </w:r>
      <w:r>
        <w:rPr>
          <w:rFonts w:ascii="Arial" w:hAnsi="Arial" w:cs="Arial"/>
        </w:rPr>
        <w:t xml:space="preserve"> Available Online. Retrieved from: </w:t>
      </w:r>
      <w:hyperlink r:id="rId13" w:history="1">
        <w:r w:rsidRPr="008334E0">
          <w:rPr>
            <w:rStyle w:val="Hyperlink"/>
            <w:rFonts w:ascii="Arial" w:hAnsi="Arial" w:cs="Arial"/>
          </w:rPr>
          <w:t>https://www.bankofengland.co.uk/monetary-policy-report/2023/november-2023</w:t>
        </w:r>
      </w:hyperlink>
      <w:r>
        <w:rPr>
          <w:rFonts w:ascii="Arial" w:hAnsi="Arial" w:cs="Arial"/>
        </w:rPr>
        <w:t xml:space="preserve"> (Accessed: 9 November 2025).</w:t>
      </w:r>
    </w:p>
    <w:p w14:paraId="4CDD8496" w14:textId="77777777" w:rsidR="006630F8" w:rsidRPr="00EC5048" w:rsidRDefault="006630F8" w:rsidP="006630F8">
      <w:pPr>
        <w:spacing w:line="360" w:lineRule="auto"/>
        <w:ind w:left="1260" w:hanging="1260"/>
        <w:jc w:val="both"/>
        <w:rPr>
          <w:rFonts w:ascii="Arial" w:hAnsi="Arial" w:cs="Arial"/>
        </w:rPr>
      </w:pPr>
      <w:r w:rsidRPr="00EC5048">
        <w:rPr>
          <w:rFonts w:ascii="Arial" w:hAnsi="Arial" w:cs="Arial"/>
        </w:rPr>
        <w:t>Blackburn, R.A., Hart, M. and Wainwright, T., 2013. Small business performance: business, strategy and owner</w:t>
      </w:r>
      <w:r w:rsidRPr="00EC5048">
        <w:rPr>
          <w:rFonts w:ascii="Cambria Math" w:hAnsi="Cambria Math" w:cs="Cambria Math"/>
        </w:rPr>
        <w:t>‐</w:t>
      </w:r>
      <w:r w:rsidRPr="00EC5048">
        <w:rPr>
          <w:rFonts w:ascii="Arial" w:hAnsi="Arial" w:cs="Arial"/>
        </w:rPr>
        <w:t xml:space="preserve">manager characteristics. </w:t>
      </w:r>
      <w:r w:rsidRPr="00EC5048">
        <w:rPr>
          <w:rFonts w:ascii="Arial" w:hAnsi="Arial" w:cs="Arial"/>
          <w:i/>
          <w:iCs/>
        </w:rPr>
        <w:t>Journal of small business and enterprise development</w:t>
      </w:r>
      <w:r w:rsidRPr="00EC5048">
        <w:rPr>
          <w:rFonts w:ascii="Arial" w:hAnsi="Arial" w:cs="Arial"/>
        </w:rPr>
        <w:t xml:space="preserve">, </w:t>
      </w:r>
      <w:r w:rsidRPr="00EC5048">
        <w:rPr>
          <w:rFonts w:ascii="Arial" w:hAnsi="Arial" w:cs="Arial"/>
          <w:i/>
          <w:iCs/>
        </w:rPr>
        <w:t>20</w:t>
      </w:r>
      <w:r w:rsidRPr="00EC5048">
        <w:rPr>
          <w:rFonts w:ascii="Arial" w:hAnsi="Arial" w:cs="Arial"/>
        </w:rPr>
        <w:t>(1), pp.8-27.</w:t>
      </w:r>
    </w:p>
    <w:p w14:paraId="69344A21" w14:textId="77777777" w:rsidR="006630F8" w:rsidRPr="00EC5048" w:rsidRDefault="006630F8" w:rsidP="006630F8">
      <w:pPr>
        <w:spacing w:line="360" w:lineRule="auto"/>
        <w:ind w:left="1260" w:hanging="1260"/>
        <w:jc w:val="both"/>
        <w:rPr>
          <w:rFonts w:ascii="Arial" w:hAnsi="Arial" w:cs="Arial"/>
        </w:rPr>
      </w:pPr>
      <w:r w:rsidRPr="00EC5048">
        <w:rPr>
          <w:rFonts w:ascii="Arial" w:hAnsi="Arial" w:cs="Arial"/>
        </w:rPr>
        <w:t xml:space="preserve">Bridge, S., O'Neill, K. and Cromie, S., 1998. Understanding enterprise, entrepreneurship and small business. </w:t>
      </w:r>
      <w:r w:rsidRPr="00EC5048">
        <w:rPr>
          <w:rFonts w:ascii="Arial" w:hAnsi="Arial" w:cs="Arial"/>
          <w:i/>
          <w:iCs/>
        </w:rPr>
        <w:t>(No Title)</w:t>
      </w:r>
      <w:r w:rsidRPr="00EC5048">
        <w:rPr>
          <w:rFonts w:ascii="Arial" w:hAnsi="Arial" w:cs="Arial"/>
        </w:rPr>
        <w:t>.</w:t>
      </w:r>
    </w:p>
    <w:p w14:paraId="160CB373" w14:textId="77777777" w:rsidR="006630F8" w:rsidRPr="00EC5048" w:rsidRDefault="006630F8" w:rsidP="006630F8">
      <w:pPr>
        <w:spacing w:line="360" w:lineRule="auto"/>
        <w:ind w:left="1260" w:hanging="1260"/>
        <w:jc w:val="both"/>
        <w:rPr>
          <w:rFonts w:ascii="Arial" w:hAnsi="Arial" w:cs="Arial"/>
        </w:rPr>
      </w:pPr>
      <w:r w:rsidRPr="00EC5048">
        <w:rPr>
          <w:rFonts w:ascii="Arial" w:hAnsi="Arial" w:cs="Arial"/>
        </w:rPr>
        <w:t>BrightEdge</w:t>
      </w:r>
      <w:r>
        <w:rPr>
          <w:rFonts w:ascii="Arial" w:hAnsi="Arial" w:cs="Arial"/>
        </w:rPr>
        <w:t>.,</w:t>
      </w:r>
      <w:r w:rsidRPr="00EC5048">
        <w:rPr>
          <w:rFonts w:ascii="Arial" w:hAnsi="Arial" w:cs="Arial"/>
        </w:rPr>
        <w:t xml:space="preserve"> 2019</w:t>
      </w:r>
      <w:r>
        <w:rPr>
          <w:rFonts w:ascii="Arial" w:hAnsi="Arial" w:cs="Arial"/>
        </w:rPr>
        <w:t>.</w:t>
      </w:r>
      <w:r w:rsidRPr="00EC5048">
        <w:rPr>
          <w:rFonts w:ascii="Arial" w:hAnsi="Arial" w:cs="Arial"/>
        </w:rPr>
        <w:t xml:space="preserve"> Organic </w:t>
      </w:r>
      <w:r>
        <w:rPr>
          <w:rFonts w:ascii="Arial" w:hAnsi="Arial" w:cs="Arial"/>
        </w:rPr>
        <w:t>Share of Traffic Increases to 53%</w:t>
      </w:r>
      <w:r w:rsidRPr="00EC5048">
        <w:rPr>
          <w:rFonts w:ascii="Arial" w:hAnsi="Arial" w:cs="Arial"/>
        </w:rPr>
        <w:t>. San Mateo: BrightEdge Technologies.</w:t>
      </w:r>
      <w:r>
        <w:rPr>
          <w:rFonts w:ascii="Arial" w:hAnsi="Arial" w:cs="Arial"/>
        </w:rPr>
        <w:t xml:space="preserve"> Available Online. Retrieved from: </w:t>
      </w:r>
      <w:hyperlink r:id="rId14" w:history="1">
        <w:r w:rsidRPr="005716C0">
          <w:rPr>
            <w:rStyle w:val="Hyperlink"/>
            <w:rFonts w:ascii="Arial" w:hAnsi="Arial" w:cs="Arial"/>
          </w:rPr>
          <w:t>https://www.brightedge.com/blog/organic-share-of-traffic-increases-to-53</w:t>
        </w:r>
      </w:hyperlink>
      <w:r>
        <w:rPr>
          <w:rFonts w:ascii="Arial" w:hAnsi="Arial" w:cs="Arial"/>
        </w:rPr>
        <w:t xml:space="preserve"> (Accessed: 9 November 2025).</w:t>
      </w:r>
    </w:p>
    <w:p w14:paraId="004D05FE" w14:textId="77777777" w:rsidR="006630F8" w:rsidRPr="00EC5048" w:rsidRDefault="006630F8" w:rsidP="006630F8">
      <w:pPr>
        <w:spacing w:line="360" w:lineRule="auto"/>
        <w:ind w:left="1260" w:hanging="1260"/>
        <w:jc w:val="both"/>
        <w:rPr>
          <w:rFonts w:ascii="Arial" w:hAnsi="Arial" w:cs="Arial"/>
        </w:rPr>
      </w:pPr>
      <w:r w:rsidRPr="00EC5048">
        <w:rPr>
          <w:rFonts w:ascii="Arial" w:hAnsi="Arial" w:cs="Arial"/>
        </w:rPr>
        <w:t>British Vehicle Rental and Leasing Association (BVRLA)</w:t>
      </w:r>
      <w:r>
        <w:rPr>
          <w:rFonts w:ascii="Arial" w:hAnsi="Arial" w:cs="Arial"/>
        </w:rPr>
        <w:t>.,</w:t>
      </w:r>
      <w:r w:rsidRPr="00EC5048">
        <w:rPr>
          <w:rFonts w:ascii="Arial" w:hAnsi="Arial" w:cs="Arial"/>
        </w:rPr>
        <w:t xml:space="preserve"> 2022</w:t>
      </w:r>
      <w:r>
        <w:rPr>
          <w:rFonts w:ascii="Arial" w:hAnsi="Arial" w:cs="Arial"/>
        </w:rPr>
        <w:t>.</w:t>
      </w:r>
      <w:r w:rsidRPr="00EC5048">
        <w:rPr>
          <w:rFonts w:ascii="Arial" w:hAnsi="Arial" w:cs="Arial"/>
        </w:rPr>
        <w:t xml:space="preserve"> Fleet technology roadmap. London: BVRLA.</w:t>
      </w:r>
      <w:r>
        <w:rPr>
          <w:rFonts w:ascii="Arial" w:hAnsi="Arial" w:cs="Arial"/>
        </w:rPr>
        <w:t xml:space="preserve"> Available Online. Retrieved from: </w:t>
      </w:r>
      <w:hyperlink r:id="rId15" w:history="1">
        <w:r w:rsidRPr="005716C0">
          <w:rPr>
            <w:rStyle w:val="Hyperlink"/>
            <w:rFonts w:ascii="Arial" w:hAnsi="Arial" w:cs="Arial"/>
          </w:rPr>
          <w:t>https://www.bvrla.co.uk/</w:t>
        </w:r>
      </w:hyperlink>
      <w:r>
        <w:rPr>
          <w:rFonts w:ascii="Arial" w:hAnsi="Arial" w:cs="Arial"/>
        </w:rPr>
        <w:t xml:space="preserve"> (Accessed: 9 November 2025).</w:t>
      </w:r>
    </w:p>
    <w:p w14:paraId="25EB9221" w14:textId="77777777" w:rsidR="006630F8" w:rsidRPr="00EC5048" w:rsidRDefault="006630F8" w:rsidP="006630F8">
      <w:pPr>
        <w:spacing w:line="360" w:lineRule="auto"/>
        <w:ind w:left="1260" w:hanging="1260"/>
        <w:jc w:val="both"/>
        <w:rPr>
          <w:rFonts w:ascii="Arial" w:hAnsi="Arial" w:cs="Arial"/>
        </w:rPr>
      </w:pPr>
      <w:r w:rsidRPr="00EC5048">
        <w:rPr>
          <w:rFonts w:ascii="Arial" w:hAnsi="Arial" w:cs="Arial"/>
        </w:rPr>
        <w:t xml:space="preserve">Burns, P. and Dewhurst, J. eds., 1996. </w:t>
      </w:r>
      <w:r w:rsidRPr="00EC5048">
        <w:rPr>
          <w:rFonts w:ascii="Arial" w:hAnsi="Arial" w:cs="Arial"/>
          <w:i/>
          <w:iCs/>
        </w:rPr>
        <w:t>Small business and entrepreneurship</w:t>
      </w:r>
      <w:r w:rsidRPr="00EC5048">
        <w:rPr>
          <w:rFonts w:ascii="Arial" w:hAnsi="Arial" w:cs="Arial"/>
        </w:rPr>
        <w:t>. London: Macmillan.</w:t>
      </w:r>
    </w:p>
    <w:p w14:paraId="5951BFF3" w14:textId="77777777" w:rsidR="006630F8" w:rsidRPr="00EC5048" w:rsidRDefault="006630F8" w:rsidP="006630F8">
      <w:pPr>
        <w:spacing w:line="360" w:lineRule="auto"/>
        <w:ind w:left="1260" w:hanging="1260"/>
        <w:jc w:val="both"/>
        <w:rPr>
          <w:rFonts w:ascii="Arial" w:hAnsi="Arial" w:cs="Arial"/>
        </w:rPr>
      </w:pPr>
      <w:r w:rsidRPr="00EC5048">
        <w:rPr>
          <w:rFonts w:ascii="Arial" w:hAnsi="Arial" w:cs="Arial"/>
        </w:rPr>
        <w:t xml:space="preserve">Ellis-Chadwick, F. and Chaffey, D., 2012. </w:t>
      </w:r>
      <w:r w:rsidRPr="00EC5048">
        <w:rPr>
          <w:rFonts w:ascii="Arial" w:hAnsi="Arial" w:cs="Arial"/>
          <w:i/>
          <w:iCs/>
        </w:rPr>
        <w:t>Digital marketing: strategy, implementation and practice</w:t>
      </w:r>
      <w:r w:rsidRPr="00EC5048">
        <w:rPr>
          <w:rFonts w:ascii="Arial" w:hAnsi="Arial" w:cs="Arial"/>
        </w:rPr>
        <w:t>. Pearson.</w:t>
      </w:r>
    </w:p>
    <w:p w14:paraId="303DABD7" w14:textId="77777777" w:rsidR="006630F8" w:rsidRPr="00EC5048" w:rsidRDefault="006630F8" w:rsidP="006630F8">
      <w:pPr>
        <w:spacing w:line="360" w:lineRule="auto"/>
        <w:ind w:left="1260" w:hanging="1260"/>
        <w:jc w:val="both"/>
        <w:rPr>
          <w:rFonts w:ascii="Arial" w:hAnsi="Arial" w:cs="Arial"/>
        </w:rPr>
      </w:pPr>
      <w:r w:rsidRPr="00EC5048">
        <w:rPr>
          <w:rFonts w:ascii="Arial" w:hAnsi="Arial" w:cs="Arial"/>
        </w:rPr>
        <w:t>Climate Change Committee</w:t>
      </w:r>
      <w:r>
        <w:rPr>
          <w:rFonts w:ascii="Arial" w:hAnsi="Arial" w:cs="Arial"/>
        </w:rPr>
        <w:t>.,</w:t>
      </w:r>
      <w:r w:rsidRPr="00EC5048">
        <w:rPr>
          <w:rFonts w:ascii="Arial" w:hAnsi="Arial" w:cs="Arial"/>
        </w:rPr>
        <w:t xml:space="preserve"> 2022</w:t>
      </w:r>
      <w:r>
        <w:rPr>
          <w:rFonts w:ascii="Arial" w:hAnsi="Arial" w:cs="Arial"/>
        </w:rPr>
        <w:t>.</w:t>
      </w:r>
      <w:r w:rsidRPr="00EC5048">
        <w:rPr>
          <w:rFonts w:ascii="Arial" w:hAnsi="Arial" w:cs="Arial"/>
        </w:rPr>
        <w:t xml:space="preserve"> Progress in reducing emissions: 2022 Report to Parliament. London: Climate Change Committee. Available </w:t>
      </w:r>
      <w:r>
        <w:rPr>
          <w:rFonts w:ascii="Arial" w:hAnsi="Arial" w:cs="Arial"/>
        </w:rPr>
        <w:t>Online. Retrieved from</w:t>
      </w:r>
      <w:r w:rsidRPr="00EC5048">
        <w:rPr>
          <w:rFonts w:ascii="Arial" w:hAnsi="Arial" w:cs="Arial"/>
        </w:rPr>
        <w:t xml:space="preserve">: </w:t>
      </w:r>
      <w:hyperlink r:id="rId16" w:history="1">
        <w:r w:rsidRPr="00EC5048">
          <w:rPr>
            <w:rStyle w:val="Hyperlink"/>
            <w:rFonts w:ascii="Arial" w:hAnsi="Arial" w:cs="Arial"/>
          </w:rPr>
          <w:t>https://www.theccc.org.uk/publication/2022-progress-report-to-parliament/</w:t>
        </w:r>
      </w:hyperlink>
      <w:r w:rsidRPr="00EC5048">
        <w:rPr>
          <w:rFonts w:ascii="Arial" w:hAnsi="Arial" w:cs="Arial"/>
        </w:rPr>
        <w:t xml:space="preserve"> (Accessed: </w:t>
      </w:r>
      <w:r>
        <w:rPr>
          <w:rFonts w:ascii="Arial" w:hAnsi="Arial" w:cs="Arial"/>
        </w:rPr>
        <w:t>9</w:t>
      </w:r>
      <w:r w:rsidRPr="00EC5048">
        <w:rPr>
          <w:rFonts w:ascii="Arial" w:hAnsi="Arial" w:cs="Arial"/>
        </w:rPr>
        <w:t xml:space="preserve"> November 2025).</w:t>
      </w:r>
    </w:p>
    <w:p w14:paraId="48F6136C" w14:textId="77777777" w:rsidR="006630F8" w:rsidRPr="00EC5048" w:rsidRDefault="006630F8" w:rsidP="006630F8">
      <w:pPr>
        <w:spacing w:line="360" w:lineRule="auto"/>
        <w:ind w:left="1260" w:hanging="1260"/>
        <w:jc w:val="both"/>
        <w:rPr>
          <w:rFonts w:ascii="Arial" w:hAnsi="Arial" w:cs="Arial"/>
        </w:rPr>
      </w:pPr>
      <w:r w:rsidRPr="00EC5048">
        <w:rPr>
          <w:rFonts w:ascii="Arial" w:hAnsi="Arial" w:cs="Arial"/>
        </w:rPr>
        <w:t>Competition and Markets Authority (CMA)</w:t>
      </w:r>
      <w:r>
        <w:rPr>
          <w:rFonts w:ascii="Arial" w:hAnsi="Arial" w:cs="Arial"/>
        </w:rPr>
        <w:t>.,</w:t>
      </w:r>
      <w:r w:rsidRPr="00EC5048">
        <w:rPr>
          <w:rFonts w:ascii="Arial" w:hAnsi="Arial" w:cs="Arial"/>
        </w:rPr>
        <w:t xml:space="preserve"> 2021</w:t>
      </w:r>
      <w:r>
        <w:rPr>
          <w:rFonts w:ascii="Arial" w:hAnsi="Arial" w:cs="Arial"/>
        </w:rPr>
        <w:t>.</w:t>
      </w:r>
      <w:r w:rsidRPr="00EC5048">
        <w:rPr>
          <w:rFonts w:ascii="Arial" w:hAnsi="Arial" w:cs="Arial"/>
        </w:rPr>
        <w:t xml:space="preserve"> Electric vehicle charging market study: Final report. London: CMA.</w:t>
      </w:r>
      <w:r>
        <w:rPr>
          <w:rFonts w:ascii="Arial" w:hAnsi="Arial" w:cs="Arial"/>
        </w:rPr>
        <w:t xml:space="preserve"> Available Online. Retrieved from: </w:t>
      </w:r>
      <w:hyperlink r:id="rId17" w:history="1">
        <w:r w:rsidRPr="005716C0">
          <w:rPr>
            <w:rStyle w:val="Hyperlink"/>
            <w:rFonts w:ascii="Arial" w:hAnsi="Arial" w:cs="Arial"/>
          </w:rPr>
          <w:t>https://www.gov.uk/cma-cases/electric-vehicle-charging-market-study</w:t>
        </w:r>
      </w:hyperlink>
      <w:r>
        <w:rPr>
          <w:rFonts w:ascii="Arial" w:hAnsi="Arial" w:cs="Arial"/>
        </w:rPr>
        <w:t xml:space="preserve"> </w:t>
      </w:r>
      <w:r w:rsidRPr="00EC5048">
        <w:rPr>
          <w:rFonts w:ascii="Arial" w:hAnsi="Arial" w:cs="Arial"/>
        </w:rPr>
        <w:t xml:space="preserve">(Accessed: </w:t>
      </w:r>
      <w:r>
        <w:rPr>
          <w:rFonts w:ascii="Arial" w:hAnsi="Arial" w:cs="Arial"/>
        </w:rPr>
        <w:t>9</w:t>
      </w:r>
      <w:r w:rsidRPr="00EC5048">
        <w:rPr>
          <w:rFonts w:ascii="Arial" w:hAnsi="Arial" w:cs="Arial"/>
        </w:rPr>
        <w:t xml:space="preserve"> November 2025).</w:t>
      </w:r>
    </w:p>
    <w:p w14:paraId="2353F88B" w14:textId="77777777" w:rsidR="006630F8" w:rsidRPr="00EC5048" w:rsidRDefault="006630F8" w:rsidP="006630F8">
      <w:pPr>
        <w:spacing w:line="360" w:lineRule="auto"/>
        <w:ind w:left="1260" w:hanging="1260"/>
        <w:jc w:val="both"/>
        <w:rPr>
          <w:rFonts w:ascii="Arial" w:hAnsi="Arial" w:cs="Arial"/>
        </w:rPr>
      </w:pPr>
      <w:r w:rsidRPr="00EC5048">
        <w:rPr>
          <w:rFonts w:ascii="Arial" w:hAnsi="Arial" w:cs="Arial"/>
        </w:rPr>
        <w:t>Deloitte (2022)</w:t>
      </w:r>
      <w:r>
        <w:rPr>
          <w:rFonts w:ascii="Arial" w:hAnsi="Arial" w:cs="Arial"/>
        </w:rPr>
        <w:t>.,</w:t>
      </w:r>
      <w:r w:rsidRPr="00EC5048">
        <w:rPr>
          <w:rFonts w:ascii="Arial" w:hAnsi="Arial" w:cs="Arial"/>
        </w:rPr>
        <w:t xml:space="preserve"> 202</w:t>
      </w:r>
      <w:r>
        <w:rPr>
          <w:rFonts w:ascii="Arial" w:hAnsi="Arial" w:cs="Arial"/>
        </w:rPr>
        <w:t>2.</w:t>
      </w:r>
      <w:r w:rsidRPr="00EC5048">
        <w:rPr>
          <w:rFonts w:ascii="Arial" w:hAnsi="Arial" w:cs="Arial"/>
        </w:rPr>
        <w:t xml:space="preserve"> Global Automotive Consumer Study. London: Deloitte UK.</w:t>
      </w:r>
      <w:r>
        <w:rPr>
          <w:rFonts w:ascii="Arial" w:hAnsi="Arial" w:cs="Arial"/>
        </w:rPr>
        <w:t xml:space="preserve"> Available Online. Retrieved from: </w:t>
      </w:r>
      <w:hyperlink r:id="rId18" w:history="1">
        <w:r w:rsidRPr="005716C0">
          <w:rPr>
            <w:rStyle w:val="Hyperlink"/>
            <w:rFonts w:ascii="Arial" w:hAnsi="Arial" w:cs="Arial"/>
          </w:rPr>
          <w:t>https://www.deloitte.com/na/en/Industries/automotive/perspectives/global-automotive-consumer-study.html</w:t>
        </w:r>
      </w:hyperlink>
      <w:r>
        <w:rPr>
          <w:rFonts w:ascii="Arial" w:hAnsi="Arial" w:cs="Arial"/>
        </w:rPr>
        <w:t xml:space="preserve"> </w:t>
      </w:r>
      <w:r w:rsidRPr="00EC5048">
        <w:rPr>
          <w:rFonts w:ascii="Arial" w:hAnsi="Arial" w:cs="Arial"/>
        </w:rPr>
        <w:t xml:space="preserve">(Accessed: </w:t>
      </w:r>
      <w:r>
        <w:rPr>
          <w:rFonts w:ascii="Arial" w:hAnsi="Arial" w:cs="Arial"/>
        </w:rPr>
        <w:t>9</w:t>
      </w:r>
      <w:r w:rsidRPr="00EC5048">
        <w:rPr>
          <w:rFonts w:ascii="Arial" w:hAnsi="Arial" w:cs="Arial"/>
        </w:rPr>
        <w:t xml:space="preserve"> November 2025).</w:t>
      </w:r>
    </w:p>
    <w:p w14:paraId="6772ABF5" w14:textId="77777777" w:rsidR="006630F8" w:rsidRPr="00EC5048" w:rsidRDefault="006630F8" w:rsidP="006630F8">
      <w:pPr>
        <w:spacing w:line="360" w:lineRule="auto"/>
        <w:ind w:left="1260" w:hanging="1260"/>
        <w:jc w:val="both"/>
        <w:rPr>
          <w:rFonts w:ascii="Arial" w:hAnsi="Arial" w:cs="Arial"/>
        </w:rPr>
      </w:pPr>
      <w:r w:rsidRPr="00EC5048">
        <w:rPr>
          <w:rFonts w:ascii="Arial" w:hAnsi="Arial" w:cs="Arial"/>
        </w:rPr>
        <w:t>Department for Transport</w:t>
      </w:r>
      <w:r>
        <w:rPr>
          <w:rFonts w:ascii="Arial" w:hAnsi="Arial" w:cs="Arial"/>
        </w:rPr>
        <w:t>.,</w:t>
      </w:r>
      <w:r w:rsidRPr="00EC5048">
        <w:rPr>
          <w:rFonts w:ascii="Arial" w:hAnsi="Arial" w:cs="Arial"/>
        </w:rPr>
        <w:t xml:space="preserve"> 2023</w:t>
      </w:r>
      <w:r>
        <w:rPr>
          <w:rFonts w:ascii="Arial" w:hAnsi="Arial" w:cs="Arial"/>
        </w:rPr>
        <w:t>.</w:t>
      </w:r>
      <w:r w:rsidRPr="00EC5048">
        <w:rPr>
          <w:rFonts w:ascii="Arial" w:hAnsi="Arial" w:cs="Arial"/>
        </w:rPr>
        <w:t xml:space="preserve"> Electric </w:t>
      </w:r>
      <w:proofErr w:type="gramStart"/>
      <w:r w:rsidRPr="00EC5048">
        <w:rPr>
          <w:rFonts w:ascii="Arial" w:hAnsi="Arial" w:cs="Arial"/>
        </w:rPr>
        <w:t>vehicle</w:t>
      </w:r>
      <w:proofErr w:type="gramEnd"/>
      <w:r w:rsidRPr="00EC5048">
        <w:rPr>
          <w:rFonts w:ascii="Arial" w:hAnsi="Arial" w:cs="Arial"/>
        </w:rPr>
        <w:t xml:space="preserve"> charging in residential and non-residential buildings. London: HM Government.</w:t>
      </w:r>
      <w:r>
        <w:rPr>
          <w:rFonts w:ascii="Arial" w:hAnsi="Arial" w:cs="Arial"/>
        </w:rPr>
        <w:t xml:space="preserve"> Available Online. Retrieved from: </w:t>
      </w:r>
      <w:hyperlink r:id="rId19" w:history="1">
        <w:r w:rsidRPr="005716C0">
          <w:rPr>
            <w:rStyle w:val="Hyperlink"/>
            <w:rFonts w:ascii="Arial" w:hAnsi="Arial" w:cs="Arial"/>
          </w:rPr>
          <w:t>https://assets.publishing.service.gov.uk/media/5d30996f40f0b64a7c3e9092/electric-vehicle-charging-in-residential-and-non-residential-buildings.pdf</w:t>
        </w:r>
      </w:hyperlink>
      <w:r>
        <w:rPr>
          <w:rFonts w:ascii="Arial" w:hAnsi="Arial" w:cs="Arial"/>
        </w:rPr>
        <w:t xml:space="preserve"> </w:t>
      </w:r>
      <w:r w:rsidRPr="00EC5048">
        <w:rPr>
          <w:rFonts w:ascii="Arial" w:hAnsi="Arial" w:cs="Arial"/>
        </w:rPr>
        <w:t xml:space="preserve">(Accessed: </w:t>
      </w:r>
      <w:r>
        <w:rPr>
          <w:rFonts w:ascii="Arial" w:hAnsi="Arial" w:cs="Arial"/>
        </w:rPr>
        <w:t>9</w:t>
      </w:r>
      <w:r w:rsidRPr="00EC5048">
        <w:rPr>
          <w:rFonts w:ascii="Arial" w:hAnsi="Arial" w:cs="Arial"/>
        </w:rPr>
        <w:t xml:space="preserve"> November 2025).</w:t>
      </w:r>
    </w:p>
    <w:p w14:paraId="353BD070" w14:textId="77777777" w:rsidR="006630F8" w:rsidRPr="00EC5048" w:rsidRDefault="006630F8" w:rsidP="006630F8">
      <w:pPr>
        <w:spacing w:line="360" w:lineRule="auto"/>
        <w:ind w:left="1260" w:hanging="1260"/>
        <w:jc w:val="both"/>
        <w:rPr>
          <w:rFonts w:ascii="Arial" w:hAnsi="Arial" w:cs="Arial"/>
        </w:rPr>
      </w:pPr>
      <w:r w:rsidRPr="00EC5048">
        <w:rPr>
          <w:rFonts w:ascii="Arial" w:hAnsi="Arial" w:cs="Arial"/>
        </w:rPr>
        <w:t>Department for Transport</w:t>
      </w:r>
      <w:r>
        <w:rPr>
          <w:rFonts w:ascii="Arial" w:hAnsi="Arial" w:cs="Arial"/>
        </w:rPr>
        <w:t>.,</w:t>
      </w:r>
      <w:r w:rsidRPr="00EC5048">
        <w:rPr>
          <w:rFonts w:ascii="Arial" w:hAnsi="Arial" w:cs="Arial"/>
        </w:rPr>
        <w:t xml:space="preserve"> 2023</w:t>
      </w:r>
      <w:r>
        <w:rPr>
          <w:rFonts w:ascii="Arial" w:hAnsi="Arial" w:cs="Arial"/>
        </w:rPr>
        <w:t>.</w:t>
      </w:r>
      <w:r w:rsidRPr="00EC5048">
        <w:rPr>
          <w:rFonts w:ascii="Arial" w:hAnsi="Arial" w:cs="Arial"/>
        </w:rPr>
        <w:t xml:space="preserve"> Taking charge: The electric vehicle infrastructure strategy. London: HM Government.</w:t>
      </w:r>
      <w:r>
        <w:rPr>
          <w:rFonts w:ascii="Arial" w:hAnsi="Arial" w:cs="Arial"/>
        </w:rPr>
        <w:t xml:space="preserve"> Available Online. Retrieved from: </w:t>
      </w:r>
      <w:hyperlink r:id="rId20" w:history="1">
        <w:r w:rsidRPr="005716C0">
          <w:rPr>
            <w:rStyle w:val="Hyperlink"/>
            <w:rFonts w:ascii="Arial" w:hAnsi="Arial" w:cs="Arial"/>
          </w:rPr>
          <w:t>https://assets.publishing.service.gov.uk/media/6245ba40e90e075f15381cf0/taking-charge-the-electric-vehicle-infrastructure-strategy.pdf</w:t>
        </w:r>
      </w:hyperlink>
      <w:r>
        <w:rPr>
          <w:rFonts w:ascii="Arial" w:hAnsi="Arial" w:cs="Arial"/>
        </w:rPr>
        <w:t xml:space="preserve"> </w:t>
      </w:r>
      <w:r w:rsidRPr="00EC5048">
        <w:rPr>
          <w:rFonts w:ascii="Arial" w:hAnsi="Arial" w:cs="Arial"/>
        </w:rPr>
        <w:t xml:space="preserve">(Accessed: </w:t>
      </w:r>
      <w:r>
        <w:rPr>
          <w:rFonts w:ascii="Arial" w:hAnsi="Arial" w:cs="Arial"/>
        </w:rPr>
        <w:t>9</w:t>
      </w:r>
      <w:r w:rsidRPr="00EC5048">
        <w:rPr>
          <w:rFonts w:ascii="Arial" w:hAnsi="Arial" w:cs="Arial"/>
        </w:rPr>
        <w:t xml:space="preserve"> November 2025).</w:t>
      </w:r>
    </w:p>
    <w:p w14:paraId="52B82AE2" w14:textId="77777777" w:rsidR="006630F8" w:rsidRPr="00EC5048" w:rsidRDefault="006630F8" w:rsidP="006630F8">
      <w:pPr>
        <w:spacing w:line="360" w:lineRule="auto"/>
        <w:ind w:left="1260" w:hanging="1260"/>
        <w:jc w:val="both"/>
        <w:rPr>
          <w:rFonts w:ascii="Arial" w:hAnsi="Arial" w:cs="Arial"/>
        </w:rPr>
      </w:pPr>
      <w:r>
        <w:rPr>
          <w:rFonts w:ascii="Arial" w:hAnsi="Arial" w:cs="Arial"/>
        </w:rPr>
        <w:t>BEUC.,</w:t>
      </w:r>
      <w:r w:rsidRPr="00EC5048">
        <w:rPr>
          <w:rFonts w:ascii="Arial" w:hAnsi="Arial" w:cs="Arial"/>
        </w:rPr>
        <w:t xml:space="preserve"> 2021</w:t>
      </w:r>
      <w:r>
        <w:rPr>
          <w:rFonts w:ascii="Arial" w:hAnsi="Arial" w:cs="Arial"/>
        </w:rPr>
        <w:t>.</w:t>
      </w:r>
      <w:r w:rsidRPr="00EC5048">
        <w:rPr>
          <w:rFonts w:ascii="Arial" w:hAnsi="Arial" w:cs="Arial"/>
        </w:rPr>
        <w:t xml:space="preserve"> Cost of ownership and charging insights. Cambridge: Element Energy Limited.</w:t>
      </w:r>
      <w:r>
        <w:rPr>
          <w:rFonts w:ascii="Arial" w:hAnsi="Arial" w:cs="Arial"/>
        </w:rPr>
        <w:t xml:space="preserve"> Available Online. Retrieved from: </w:t>
      </w:r>
      <w:hyperlink r:id="rId21" w:history="1">
        <w:r w:rsidRPr="005716C0">
          <w:rPr>
            <w:rStyle w:val="Hyperlink"/>
            <w:rFonts w:ascii="Arial" w:hAnsi="Arial" w:cs="Arial"/>
          </w:rPr>
          <w:t>https://www.beuc.eu/sites/default/files/publications/beuc-x-2021-039_electric_cars_calculating_the_total_cost_of_ownership_for_consumers.pdf</w:t>
        </w:r>
      </w:hyperlink>
      <w:r>
        <w:rPr>
          <w:rFonts w:ascii="Arial" w:hAnsi="Arial" w:cs="Arial"/>
        </w:rPr>
        <w:t xml:space="preserve"> </w:t>
      </w:r>
      <w:r w:rsidRPr="00EC5048">
        <w:rPr>
          <w:rFonts w:ascii="Arial" w:hAnsi="Arial" w:cs="Arial"/>
        </w:rPr>
        <w:t xml:space="preserve">(Accessed: </w:t>
      </w:r>
      <w:r>
        <w:rPr>
          <w:rFonts w:ascii="Arial" w:hAnsi="Arial" w:cs="Arial"/>
        </w:rPr>
        <w:t>9</w:t>
      </w:r>
      <w:r w:rsidRPr="00EC5048">
        <w:rPr>
          <w:rFonts w:ascii="Arial" w:hAnsi="Arial" w:cs="Arial"/>
        </w:rPr>
        <w:t xml:space="preserve"> November 2025).</w:t>
      </w:r>
    </w:p>
    <w:p w14:paraId="7E5203E7" w14:textId="77777777" w:rsidR="006630F8" w:rsidRPr="00EC5048" w:rsidRDefault="006630F8" w:rsidP="006630F8">
      <w:pPr>
        <w:spacing w:line="360" w:lineRule="auto"/>
        <w:ind w:left="1260" w:hanging="1260"/>
        <w:jc w:val="both"/>
        <w:rPr>
          <w:rFonts w:ascii="Arial" w:hAnsi="Arial" w:cs="Arial"/>
        </w:rPr>
      </w:pPr>
      <w:r>
        <w:rPr>
          <w:rFonts w:ascii="Arial" w:hAnsi="Arial" w:cs="Arial"/>
        </w:rPr>
        <w:t>Department of Transport.,</w:t>
      </w:r>
      <w:r w:rsidRPr="00EC5048">
        <w:rPr>
          <w:rFonts w:ascii="Arial" w:hAnsi="Arial" w:cs="Arial"/>
        </w:rPr>
        <w:t xml:space="preserve"> 202</w:t>
      </w:r>
      <w:r>
        <w:rPr>
          <w:rFonts w:ascii="Arial" w:hAnsi="Arial" w:cs="Arial"/>
        </w:rPr>
        <w:t>2.</w:t>
      </w:r>
      <w:r w:rsidRPr="00EC5048">
        <w:rPr>
          <w:rFonts w:ascii="Arial" w:hAnsi="Arial" w:cs="Arial"/>
        </w:rPr>
        <w:t xml:space="preserve"> Electric vehicles: Home charging and infrastructure. London: Energy Saving Trust.</w:t>
      </w:r>
      <w:r>
        <w:rPr>
          <w:rFonts w:ascii="Arial" w:hAnsi="Arial" w:cs="Arial"/>
        </w:rPr>
        <w:t xml:space="preserve"> Available Online. Retrieved from: </w:t>
      </w:r>
      <w:hyperlink r:id="rId22" w:history="1">
        <w:r w:rsidRPr="005716C0">
          <w:rPr>
            <w:rStyle w:val="Hyperlink"/>
            <w:rFonts w:ascii="Arial" w:hAnsi="Arial" w:cs="Arial"/>
          </w:rPr>
          <w:t>https://www.gov.uk/guidance/electric-vehicle-charging-infrastructure-help-for-local-authorities</w:t>
        </w:r>
      </w:hyperlink>
      <w:r>
        <w:rPr>
          <w:rFonts w:ascii="Arial" w:hAnsi="Arial" w:cs="Arial"/>
        </w:rPr>
        <w:t xml:space="preserve"> </w:t>
      </w:r>
      <w:r w:rsidRPr="00EC5048">
        <w:rPr>
          <w:rFonts w:ascii="Arial" w:hAnsi="Arial" w:cs="Arial"/>
        </w:rPr>
        <w:t xml:space="preserve">(Accessed: </w:t>
      </w:r>
      <w:r>
        <w:rPr>
          <w:rFonts w:ascii="Arial" w:hAnsi="Arial" w:cs="Arial"/>
        </w:rPr>
        <w:t>9</w:t>
      </w:r>
      <w:r w:rsidRPr="00EC5048">
        <w:rPr>
          <w:rFonts w:ascii="Arial" w:hAnsi="Arial" w:cs="Arial"/>
        </w:rPr>
        <w:t xml:space="preserve"> November 2025).</w:t>
      </w:r>
    </w:p>
    <w:p w14:paraId="2B6CB306" w14:textId="77777777" w:rsidR="006630F8" w:rsidRPr="00EC5048" w:rsidRDefault="006630F8" w:rsidP="006630F8">
      <w:pPr>
        <w:spacing w:line="360" w:lineRule="auto"/>
        <w:ind w:left="1260" w:hanging="1260"/>
        <w:jc w:val="both"/>
        <w:rPr>
          <w:rFonts w:ascii="Arial" w:hAnsi="Arial" w:cs="Arial"/>
        </w:rPr>
      </w:pPr>
      <w:r w:rsidRPr="00EC5048">
        <w:rPr>
          <w:rFonts w:ascii="Arial" w:hAnsi="Arial" w:cs="Arial"/>
        </w:rPr>
        <w:t>Gov.uk</w:t>
      </w:r>
      <w:r>
        <w:rPr>
          <w:rFonts w:ascii="Arial" w:hAnsi="Arial" w:cs="Arial"/>
        </w:rPr>
        <w:t>.,</w:t>
      </w:r>
      <w:r w:rsidRPr="00EC5048">
        <w:rPr>
          <w:rFonts w:ascii="Arial" w:hAnsi="Arial" w:cs="Arial"/>
        </w:rPr>
        <w:t xml:space="preserve"> 202</w:t>
      </w:r>
      <w:r>
        <w:rPr>
          <w:rFonts w:ascii="Arial" w:hAnsi="Arial" w:cs="Arial"/>
        </w:rPr>
        <w:t>3.</w:t>
      </w:r>
      <w:r w:rsidRPr="00EC5048">
        <w:rPr>
          <w:rFonts w:ascii="Arial" w:hAnsi="Arial" w:cs="Arial"/>
        </w:rPr>
        <w:t xml:space="preserve"> Corporation tax rates and reliefs. Available at: </w:t>
      </w:r>
      <w:hyperlink r:id="rId23" w:history="1">
        <w:r w:rsidRPr="00EC5048">
          <w:rPr>
            <w:rStyle w:val="Hyperlink"/>
            <w:rFonts w:ascii="Arial" w:hAnsi="Arial" w:cs="Arial"/>
          </w:rPr>
          <w:t>https://www.gov.uk/corporation-tax-rates</w:t>
        </w:r>
      </w:hyperlink>
      <w:r w:rsidRPr="00EC5048">
        <w:rPr>
          <w:rFonts w:ascii="Arial" w:hAnsi="Arial" w:cs="Arial"/>
        </w:rPr>
        <w:t xml:space="preserve"> (Accessed: 8 November 2025).</w:t>
      </w:r>
    </w:p>
    <w:p w14:paraId="041CBBA2" w14:textId="77777777" w:rsidR="006630F8" w:rsidRPr="0056325E" w:rsidRDefault="006630F8" w:rsidP="006630F8">
      <w:pPr>
        <w:spacing w:line="360" w:lineRule="auto"/>
        <w:ind w:left="1260" w:hanging="1260"/>
        <w:jc w:val="both"/>
        <w:rPr>
          <w:rFonts w:ascii="Arial" w:hAnsi="Arial" w:cs="Arial"/>
        </w:rPr>
      </w:pPr>
      <w:r w:rsidRPr="0056325E">
        <w:rPr>
          <w:rFonts w:ascii="Arial" w:hAnsi="Arial" w:cs="Arial"/>
        </w:rPr>
        <w:lastRenderedPageBreak/>
        <w:t xml:space="preserve">Handy, C., 1993. </w:t>
      </w:r>
      <w:r w:rsidRPr="0056325E">
        <w:rPr>
          <w:rFonts w:ascii="Arial" w:hAnsi="Arial" w:cs="Arial"/>
          <w:i/>
          <w:iCs/>
        </w:rPr>
        <w:t>Understanding organizations</w:t>
      </w:r>
      <w:r w:rsidRPr="0056325E">
        <w:rPr>
          <w:rFonts w:ascii="Arial" w:hAnsi="Arial" w:cs="Arial"/>
        </w:rPr>
        <w:t>. Penguin Uk.</w:t>
      </w:r>
    </w:p>
    <w:p w14:paraId="5D56F025" w14:textId="77777777" w:rsidR="006630F8" w:rsidRPr="0056325E" w:rsidRDefault="006630F8" w:rsidP="006630F8">
      <w:pPr>
        <w:spacing w:line="360" w:lineRule="auto"/>
        <w:ind w:left="1260" w:hanging="1260"/>
        <w:jc w:val="both"/>
        <w:rPr>
          <w:rFonts w:ascii="Arial" w:hAnsi="Arial" w:cs="Arial"/>
        </w:rPr>
      </w:pPr>
      <w:r w:rsidRPr="0056325E">
        <w:rPr>
          <w:rFonts w:ascii="Arial" w:hAnsi="Arial" w:cs="Arial"/>
        </w:rPr>
        <w:t xml:space="preserve">Hardman, S., Jenn, A., Tal, G., Axsen, J., Beard, G., Daina, N., </w:t>
      </w:r>
      <w:proofErr w:type="spellStart"/>
      <w:r w:rsidRPr="0056325E">
        <w:rPr>
          <w:rFonts w:ascii="Arial" w:hAnsi="Arial" w:cs="Arial"/>
        </w:rPr>
        <w:t>Figenbaum</w:t>
      </w:r>
      <w:proofErr w:type="spellEnd"/>
      <w:r w:rsidRPr="0056325E">
        <w:rPr>
          <w:rFonts w:ascii="Arial" w:hAnsi="Arial" w:cs="Arial"/>
        </w:rPr>
        <w:t xml:space="preserve">, E., Jakobsson, N., Jochem, P., Kinnear, N. and </w:t>
      </w:r>
      <w:proofErr w:type="spellStart"/>
      <w:r w:rsidRPr="0056325E">
        <w:rPr>
          <w:rFonts w:ascii="Arial" w:hAnsi="Arial" w:cs="Arial"/>
        </w:rPr>
        <w:t>Plötz</w:t>
      </w:r>
      <w:proofErr w:type="spellEnd"/>
      <w:r w:rsidRPr="0056325E">
        <w:rPr>
          <w:rFonts w:ascii="Arial" w:hAnsi="Arial" w:cs="Arial"/>
        </w:rPr>
        <w:t xml:space="preserve">, P., 2018. A review of consumer preferences of and interactions with electric vehicle charging infrastructure. </w:t>
      </w:r>
      <w:r w:rsidRPr="0056325E">
        <w:rPr>
          <w:rFonts w:ascii="Arial" w:hAnsi="Arial" w:cs="Arial"/>
          <w:i/>
          <w:iCs/>
        </w:rPr>
        <w:t>Transportation Research Part D: Transport and Environment</w:t>
      </w:r>
      <w:r w:rsidRPr="0056325E">
        <w:rPr>
          <w:rFonts w:ascii="Arial" w:hAnsi="Arial" w:cs="Arial"/>
        </w:rPr>
        <w:t xml:space="preserve">, </w:t>
      </w:r>
      <w:r w:rsidRPr="0056325E">
        <w:rPr>
          <w:rFonts w:ascii="Arial" w:hAnsi="Arial" w:cs="Arial"/>
          <w:i/>
          <w:iCs/>
        </w:rPr>
        <w:t>62</w:t>
      </w:r>
      <w:r w:rsidRPr="0056325E">
        <w:rPr>
          <w:rFonts w:ascii="Arial" w:hAnsi="Arial" w:cs="Arial"/>
        </w:rPr>
        <w:t>, pp.508-523.</w:t>
      </w:r>
    </w:p>
    <w:p w14:paraId="6B47A16B" w14:textId="77777777" w:rsidR="006630F8" w:rsidRPr="00EC5048" w:rsidRDefault="006630F8" w:rsidP="006630F8">
      <w:pPr>
        <w:spacing w:line="360" w:lineRule="auto"/>
        <w:ind w:left="1260" w:hanging="1260"/>
        <w:jc w:val="both"/>
        <w:rPr>
          <w:rFonts w:ascii="Arial" w:hAnsi="Arial" w:cs="Arial"/>
        </w:rPr>
      </w:pPr>
      <w:r w:rsidRPr="00EC5048">
        <w:rPr>
          <w:rFonts w:ascii="Arial" w:hAnsi="Arial" w:cs="Arial"/>
        </w:rPr>
        <w:t>HM Government</w:t>
      </w:r>
      <w:r>
        <w:rPr>
          <w:rFonts w:ascii="Arial" w:hAnsi="Arial" w:cs="Arial"/>
        </w:rPr>
        <w:t>.,</w:t>
      </w:r>
      <w:r w:rsidRPr="00EC5048">
        <w:rPr>
          <w:rFonts w:ascii="Arial" w:hAnsi="Arial" w:cs="Arial"/>
        </w:rPr>
        <w:t xml:space="preserve"> 2021</w:t>
      </w:r>
      <w:r>
        <w:rPr>
          <w:rFonts w:ascii="Arial" w:hAnsi="Arial" w:cs="Arial"/>
        </w:rPr>
        <w:t>.</w:t>
      </w:r>
      <w:r w:rsidRPr="00EC5048">
        <w:rPr>
          <w:rFonts w:ascii="Arial" w:hAnsi="Arial" w:cs="Arial"/>
        </w:rPr>
        <w:t xml:space="preserve"> The Building Regulations 20</w:t>
      </w:r>
      <w:r>
        <w:rPr>
          <w:rFonts w:ascii="Arial" w:hAnsi="Arial" w:cs="Arial"/>
        </w:rPr>
        <w:t>21</w:t>
      </w:r>
      <w:r w:rsidRPr="00EC5048">
        <w:rPr>
          <w:rFonts w:ascii="Arial" w:hAnsi="Arial" w:cs="Arial"/>
        </w:rPr>
        <w:t>: Infrastructure for the charging of electric vehicles. London: Ministry of Housing, Communities &amp; Local Government.</w:t>
      </w:r>
      <w:r>
        <w:rPr>
          <w:rFonts w:ascii="Arial" w:hAnsi="Arial" w:cs="Arial"/>
        </w:rPr>
        <w:t xml:space="preserve"> Available Online. Retrieved from: </w:t>
      </w:r>
      <w:hyperlink r:id="rId24" w:history="1">
        <w:r w:rsidRPr="005716C0">
          <w:rPr>
            <w:rStyle w:val="Hyperlink"/>
            <w:rFonts w:ascii="Arial" w:hAnsi="Arial" w:cs="Arial"/>
          </w:rPr>
          <w:t>https://www.legislation.gov.uk/uksi/2021/1392</w:t>
        </w:r>
      </w:hyperlink>
      <w:r>
        <w:rPr>
          <w:rFonts w:ascii="Arial" w:hAnsi="Arial" w:cs="Arial"/>
        </w:rPr>
        <w:t xml:space="preserve"> </w:t>
      </w:r>
      <w:r w:rsidRPr="00EC5048">
        <w:rPr>
          <w:rFonts w:ascii="Arial" w:hAnsi="Arial" w:cs="Arial"/>
        </w:rPr>
        <w:t>(Accessed: 8 November 2025).</w:t>
      </w:r>
    </w:p>
    <w:p w14:paraId="360867E1" w14:textId="77777777" w:rsidR="006630F8" w:rsidRPr="00EC5048" w:rsidRDefault="006630F8" w:rsidP="006630F8">
      <w:pPr>
        <w:spacing w:line="360" w:lineRule="auto"/>
        <w:ind w:left="1260" w:hanging="1260"/>
        <w:jc w:val="both"/>
        <w:rPr>
          <w:rFonts w:ascii="Arial" w:hAnsi="Arial" w:cs="Arial"/>
        </w:rPr>
      </w:pPr>
      <w:r w:rsidRPr="00EC5048">
        <w:rPr>
          <w:rFonts w:ascii="Arial" w:hAnsi="Arial" w:cs="Arial"/>
        </w:rPr>
        <w:t>International Energy Agency (IEA)</w:t>
      </w:r>
      <w:r>
        <w:rPr>
          <w:rFonts w:ascii="Arial" w:hAnsi="Arial" w:cs="Arial"/>
        </w:rPr>
        <w:t>.,</w:t>
      </w:r>
      <w:r w:rsidRPr="00EC5048">
        <w:rPr>
          <w:rFonts w:ascii="Arial" w:hAnsi="Arial" w:cs="Arial"/>
        </w:rPr>
        <w:t xml:space="preserve"> 2023</w:t>
      </w:r>
      <w:r>
        <w:rPr>
          <w:rFonts w:ascii="Arial" w:hAnsi="Arial" w:cs="Arial"/>
        </w:rPr>
        <w:t>.</w:t>
      </w:r>
      <w:r w:rsidRPr="00EC5048">
        <w:rPr>
          <w:rFonts w:ascii="Arial" w:hAnsi="Arial" w:cs="Arial"/>
        </w:rPr>
        <w:t xml:space="preserve"> Global EV Outlook 2023. Paris: IEA Publications.</w:t>
      </w:r>
      <w:r>
        <w:rPr>
          <w:rFonts w:ascii="Arial" w:hAnsi="Arial" w:cs="Arial"/>
        </w:rPr>
        <w:t xml:space="preserve"> Available Online. Retrieved from: </w:t>
      </w:r>
      <w:hyperlink r:id="rId25" w:history="1">
        <w:r w:rsidRPr="005716C0">
          <w:rPr>
            <w:rStyle w:val="Hyperlink"/>
            <w:rFonts w:ascii="Arial" w:hAnsi="Arial" w:cs="Arial"/>
          </w:rPr>
          <w:t>https://www.iea.org/reports/global-ev-outlook-2023</w:t>
        </w:r>
      </w:hyperlink>
      <w:r>
        <w:rPr>
          <w:rFonts w:ascii="Arial" w:hAnsi="Arial" w:cs="Arial"/>
        </w:rPr>
        <w:t xml:space="preserve"> </w:t>
      </w:r>
      <w:r w:rsidRPr="00EC5048">
        <w:rPr>
          <w:rFonts w:ascii="Arial" w:hAnsi="Arial" w:cs="Arial"/>
        </w:rPr>
        <w:t>(Accessed: 8 November 2025).</w:t>
      </w:r>
    </w:p>
    <w:p w14:paraId="7B85ECB0" w14:textId="77777777" w:rsidR="006630F8" w:rsidRPr="0056325E" w:rsidRDefault="006630F8" w:rsidP="006630F8">
      <w:pPr>
        <w:spacing w:line="360" w:lineRule="auto"/>
        <w:ind w:left="1260" w:hanging="1260"/>
        <w:jc w:val="both"/>
        <w:rPr>
          <w:rFonts w:ascii="Arial" w:hAnsi="Arial" w:cs="Arial"/>
        </w:rPr>
      </w:pPr>
      <w:r w:rsidRPr="0056325E">
        <w:rPr>
          <w:rFonts w:ascii="Arial" w:hAnsi="Arial" w:cs="Arial"/>
        </w:rPr>
        <w:t xml:space="preserve">Khalid, M.R., Alam, M.S., Sarwar, A. and Asghar, M.J., 2019. A Comprehensive review on electric vehicles charging infrastructures and their impacts on power-quality of the utility grid. </w:t>
      </w:r>
      <w:proofErr w:type="spellStart"/>
      <w:r w:rsidRPr="0056325E">
        <w:rPr>
          <w:rFonts w:ascii="Arial" w:hAnsi="Arial" w:cs="Arial"/>
          <w:i/>
          <w:iCs/>
        </w:rPr>
        <w:t>ETransportation</w:t>
      </w:r>
      <w:proofErr w:type="spellEnd"/>
      <w:r w:rsidRPr="0056325E">
        <w:rPr>
          <w:rFonts w:ascii="Arial" w:hAnsi="Arial" w:cs="Arial"/>
        </w:rPr>
        <w:t xml:space="preserve">, </w:t>
      </w:r>
      <w:r w:rsidRPr="0056325E">
        <w:rPr>
          <w:rFonts w:ascii="Arial" w:hAnsi="Arial" w:cs="Arial"/>
          <w:i/>
          <w:iCs/>
        </w:rPr>
        <w:t>1</w:t>
      </w:r>
      <w:r w:rsidRPr="0056325E">
        <w:rPr>
          <w:rFonts w:ascii="Arial" w:hAnsi="Arial" w:cs="Arial"/>
        </w:rPr>
        <w:t>, p.100006.</w:t>
      </w:r>
    </w:p>
    <w:p w14:paraId="5BD626DA" w14:textId="77777777" w:rsidR="006630F8" w:rsidRPr="0056325E" w:rsidRDefault="006630F8" w:rsidP="006630F8">
      <w:pPr>
        <w:spacing w:line="360" w:lineRule="auto"/>
        <w:ind w:left="1260" w:hanging="1260"/>
        <w:jc w:val="both"/>
        <w:rPr>
          <w:rFonts w:ascii="Arial" w:hAnsi="Arial" w:cs="Arial"/>
        </w:rPr>
      </w:pPr>
      <w:r w:rsidRPr="0056325E">
        <w:rPr>
          <w:rFonts w:ascii="Arial" w:hAnsi="Arial" w:cs="Arial"/>
        </w:rPr>
        <w:t xml:space="preserve">Kotler, P. and Armstrong, G.M., 2010. </w:t>
      </w:r>
      <w:r w:rsidRPr="0056325E">
        <w:rPr>
          <w:rFonts w:ascii="Arial" w:hAnsi="Arial" w:cs="Arial"/>
          <w:i/>
          <w:iCs/>
        </w:rPr>
        <w:t>Principles of marketing</w:t>
      </w:r>
      <w:r w:rsidRPr="0056325E">
        <w:rPr>
          <w:rFonts w:ascii="Arial" w:hAnsi="Arial" w:cs="Arial"/>
        </w:rPr>
        <w:t>. Pearson Education India.</w:t>
      </w:r>
    </w:p>
    <w:p w14:paraId="419D7068" w14:textId="77777777" w:rsidR="006630F8" w:rsidRPr="007B33C9" w:rsidRDefault="006630F8" w:rsidP="006630F8">
      <w:pPr>
        <w:spacing w:line="360" w:lineRule="auto"/>
        <w:ind w:left="1260" w:hanging="1260"/>
        <w:jc w:val="both"/>
        <w:rPr>
          <w:rFonts w:ascii="Arial" w:hAnsi="Arial" w:cs="Arial"/>
        </w:rPr>
      </w:pPr>
      <w:r w:rsidRPr="007B33C9">
        <w:rPr>
          <w:rFonts w:ascii="Arial" w:hAnsi="Arial" w:cs="Arial"/>
        </w:rPr>
        <w:t xml:space="preserve">Kumar, V., Petersen, J.A. and Leone, R.P., 2013. Defining, measuring, and managing business reference value. </w:t>
      </w:r>
      <w:r w:rsidRPr="007B33C9">
        <w:rPr>
          <w:rFonts w:ascii="Arial" w:hAnsi="Arial" w:cs="Arial"/>
          <w:i/>
          <w:iCs/>
        </w:rPr>
        <w:t>Journal of Marketing</w:t>
      </w:r>
      <w:r w:rsidRPr="007B33C9">
        <w:rPr>
          <w:rFonts w:ascii="Arial" w:hAnsi="Arial" w:cs="Arial"/>
        </w:rPr>
        <w:t xml:space="preserve">, </w:t>
      </w:r>
      <w:r w:rsidRPr="007B33C9">
        <w:rPr>
          <w:rFonts w:ascii="Arial" w:hAnsi="Arial" w:cs="Arial"/>
          <w:i/>
          <w:iCs/>
        </w:rPr>
        <w:t>77</w:t>
      </w:r>
      <w:r w:rsidRPr="007B33C9">
        <w:rPr>
          <w:rFonts w:ascii="Arial" w:hAnsi="Arial" w:cs="Arial"/>
        </w:rPr>
        <w:t>(1), pp.68-86.</w:t>
      </w:r>
    </w:p>
    <w:p w14:paraId="4FEE1F3F" w14:textId="77777777" w:rsidR="006630F8" w:rsidRPr="00EC5048" w:rsidRDefault="006630F8" w:rsidP="006630F8">
      <w:pPr>
        <w:spacing w:line="360" w:lineRule="auto"/>
        <w:ind w:left="1260" w:hanging="1260"/>
        <w:jc w:val="both"/>
        <w:rPr>
          <w:rFonts w:ascii="Arial" w:hAnsi="Arial" w:cs="Arial"/>
        </w:rPr>
      </w:pPr>
      <w:r w:rsidRPr="00EC5048">
        <w:rPr>
          <w:rFonts w:ascii="Arial" w:hAnsi="Arial" w:cs="Arial"/>
        </w:rPr>
        <w:t>Marketo</w:t>
      </w:r>
      <w:r>
        <w:rPr>
          <w:rFonts w:ascii="Arial" w:hAnsi="Arial" w:cs="Arial"/>
        </w:rPr>
        <w:t>.,</w:t>
      </w:r>
      <w:r w:rsidRPr="00EC5048">
        <w:rPr>
          <w:rFonts w:ascii="Arial" w:hAnsi="Arial" w:cs="Arial"/>
        </w:rPr>
        <w:t xml:space="preserve"> 2022</w:t>
      </w:r>
      <w:r>
        <w:rPr>
          <w:rFonts w:ascii="Arial" w:hAnsi="Arial" w:cs="Arial"/>
        </w:rPr>
        <w:t>.</w:t>
      </w:r>
      <w:r w:rsidRPr="00EC5048">
        <w:rPr>
          <w:rFonts w:ascii="Arial" w:hAnsi="Arial" w:cs="Arial"/>
        </w:rPr>
        <w:t xml:space="preserve"> Marketing automation statistics and trends. San Jose: Adobe Inc.</w:t>
      </w:r>
      <w:r>
        <w:rPr>
          <w:rFonts w:ascii="Arial" w:hAnsi="Arial" w:cs="Arial"/>
        </w:rPr>
        <w:t xml:space="preserve"> Available Online. Retrieved from: </w:t>
      </w:r>
      <w:hyperlink r:id="rId26" w:history="1">
        <w:r w:rsidRPr="005716C0">
          <w:rPr>
            <w:rStyle w:val="Hyperlink"/>
            <w:rFonts w:ascii="Arial" w:hAnsi="Arial" w:cs="Arial"/>
          </w:rPr>
          <w:t>https://nation.marketo.com/t5/employee-blogs/marketing-automation-trends/ba-p/245233</w:t>
        </w:r>
      </w:hyperlink>
      <w:r>
        <w:rPr>
          <w:rFonts w:ascii="Arial" w:hAnsi="Arial" w:cs="Arial"/>
        </w:rPr>
        <w:t xml:space="preserve"> </w:t>
      </w:r>
      <w:r w:rsidRPr="00EC5048">
        <w:rPr>
          <w:rFonts w:ascii="Arial" w:hAnsi="Arial" w:cs="Arial"/>
        </w:rPr>
        <w:t>(Accessed: 8 November 2025).</w:t>
      </w:r>
    </w:p>
    <w:p w14:paraId="7D318914" w14:textId="77777777" w:rsidR="006630F8" w:rsidRPr="007B33C9" w:rsidRDefault="006630F8" w:rsidP="006630F8">
      <w:pPr>
        <w:spacing w:line="360" w:lineRule="auto"/>
        <w:ind w:left="1260" w:hanging="1260"/>
        <w:jc w:val="both"/>
        <w:rPr>
          <w:rFonts w:ascii="Arial" w:hAnsi="Arial" w:cs="Arial"/>
        </w:rPr>
      </w:pPr>
      <w:r w:rsidRPr="007B33C9">
        <w:rPr>
          <w:rFonts w:ascii="Arial" w:hAnsi="Arial" w:cs="Arial"/>
        </w:rPr>
        <w:t xml:space="preserve">Morrissey, P., Weldon, P. and O’Mahony, M., 2016. Future standard and fast charging infrastructure planning: An analysis of electric vehicle charging </w:t>
      </w:r>
      <w:proofErr w:type="spellStart"/>
      <w:r w:rsidRPr="007B33C9">
        <w:rPr>
          <w:rFonts w:ascii="Arial" w:hAnsi="Arial" w:cs="Arial"/>
        </w:rPr>
        <w:t>behaviour</w:t>
      </w:r>
      <w:proofErr w:type="spellEnd"/>
      <w:r w:rsidRPr="007B33C9">
        <w:rPr>
          <w:rFonts w:ascii="Arial" w:hAnsi="Arial" w:cs="Arial"/>
        </w:rPr>
        <w:t xml:space="preserve">. </w:t>
      </w:r>
      <w:r w:rsidRPr="007B33C9">
        <w:rPr>
          <w:rFonts w:ascii="Arial" w:hAnsi="Arial" w:cs="Arial"/>
          <w:i/>
          <w:iCs/>
        </w:rPr>
        <w:t>Energy policy</w:t>
      </w:r>
      <w:r w:rsidRPr="007B33C9">
        <w:rPr>
          <w:rFonts w:ascii="Arial" w:hAnsi="Arial" w:cs="Arial"/>
        </w:rPr>
        <w:t xml:space="preserve">, </w:t>
      </w:r>
      <w:r w:rsidRPr="007B33C9">
        <w:rPr>
          <w:rFonts w:ascii="Arial" w:hAnsi="Arial" w:cs="Arial"/>
          <w:i/>
          <w:iCs/>
        </w:rPr>
        <w:t>89</w:t>
      </w:r>
      <w:r w:rsidRPr="007B33C9">
        <w:rPr>
          <w:rFonts w:ascii="Arial" w:hAnsi="Arial" w:cs="Arial"/>
        </w:rPr>
        <w:t>, pp.257-270.</w:t>
      </w:r>
    </w:p>
    <w:p w14:paraId="7064B242" w14:textId="77777777" w:rsidR="006630F8" w:rsidRPr="007B33C9" w:rsidRDefault="006630F8" w:rsidP="006630F8">
      <w:pPr>
        <w:spacing w:line="360" w:lineRule="auto"/>
        <w:ind w:left="1260" w:hanging="1260"/>
        <w:jc w:val="both"/>
        <w:rPr>
          <w:rFonts w:ascii="Arial" w:hAnsi="Arial" w:cs="Arial"/>
        </w:rPr>
      </w:pPr>
      <w:r w:rsidRPr="007B33C9">
        <w:rPr>
          <w:rFonts w:ascii="Arial" w:hAnsi="Arial" w:cs="Arial"/>
        </w:rPr>
        <w:lastRenderedPageBreak/>
        <w:t xml:space="preserve">Holden, R.K., 2002. </w:t>
      </w:r>
      <w:r w:rsidRPr="007B33C9">
        <w:rPr>
          <w:rFonts w:ascii="Arial" w:hAnsi="Arial" w:cs="Arial"/>
          <w:i/>
          <w:iCs/>
        </w:rPr>
        <w:t>The strategy and tactics of pricing: a guide to profitable decision making</w:t>
      </w:r>
      <w:r w:rsidRPr="007B33C9">
        <w:rPr>
          <w:rFonts w:ascii="Arial" w:hAnsi="Arial" w:cs="Arial"/>
        </w:rPr>
        <w:t>. Prentice Hall.</w:t>
      </w:r>
    </w:p>
    <w:p w14:paraId="621780B1" w14:textId="77777777" w:rsidR="006630F8" w:rsidRPr="00EC5048" w:rsidRDefault="006630F8" w:rsidP="006630F8">
      <w:pPr>
        <w:spacing w:line="360" w:lineRule="auto"/>
        <w:ind w:left="1260" w:hanging="1260"/>
        <w:jc w:val="both"/>
        <w:rPr>
          <w:rFonts w:ascii="Arial" w:hAnsi="Arial" w:cs="Arial"/>
        </w:rPr>
      </w:pPr>
      <w:r w:rsidRPr="00EC5048">
        <w:rPr>
          <w:rFonts w:ascii="Arial" w:hAnsi="Arial" w:cs="Arial"/>
        </w:rPr>
        <w:t>Nielsen</w:t>
      </w:r>
      <w:r>
        <w:rPr>
          <w:rFonts w:ascii="Arial" w:hAnsi="Arial" w:cs="Arial"/>
        </w:rPr>
        <w:t>.,</w:t>
      </w:r>
      <w:r w:rsidRPr="00EC5048">
        <w:rPr>
          <w:rFonts w:ascii="Arial" w:hAnsi="Arial" w:cs="Arial"/>
        </w:rPr>
        <w:t xml:space="preserve"> 2021</w:t>
      </w:r>
      <w:r>
        <w:rPr>
          <w:rFonts w:ascii="Arial" w:hAnsi="Arial" w:cs="Arial"/>
        </w:rPr>
        <w:t>.</w:t>
      </w:r>
      <w:r w:rsidRPr="00EC5048">
        <w:rPr>
          <w:rFonts w:ascii="Arial" w:hAnsi="Arial" w:cs="Arial"/>
        </w:rPr>
        <w:t xml:space="preserve"> Global trust in advertising report. New York: Nielsen Holdings plc.</w:t>
      </w:r>
      <w:r>
        <w:rPr>
          <w:rFonts w:ascii="Arial" w:hAnsi="Arial" w:cs="Arial"/>
        </w:rPr>
        <w:t xml:space="preserve"> Available Online. Retrieved from: </w:t>
      </w:r>
      <w:hyperlink r:id="rId27" w:history="1">
        <w:r w:rsidRPr="005716C0">
          <w:rPr>
            <w:rStyle w:val="Hyperlink"/>
            <w:rFonts w:ascii="Arial" w:hAnsi="Arial" w:cs="Arial"/>
          </w:rPr>
          <w:t>https://www.nielsen.com/wp-content/uploads/sites/2/2021/11/2021-Nielsen-Trust-In-Advertising-Sell-Sheet.pdf</w:t>
        </w:r>
      </w:hyperlink>
      <w:r>
        <w:rPr>
          <w:rFonts w:ascii="Arial" w:hAnsi="Arial" w:cs="Arial"/>
        </w:rPr>
        <w:t xml:space="preserve"> </w:t>
      </w:r>
      <w:r w:rsidRPr="00EC5048">
        <w:rPr>
          <w:rFonts w:ascii="Arial" w:hAnsi="Arial" w:cs="Arial"/>
        </w:rPr>
        <w:t xml:space="preserve">(Accessed: </w:t>
      </w:r>
      <w:r>
        <w:rPr>
          <w:rFonts w:ascii="Arial" w:hAnsi="Arial" w:cs="Arial"/>
        </w:rPr>
        <w:t>9</w:t>
      </w:r>
      <w:r w:rsidRPr="00EC5048">
        <w:rPr>
          <w:rFonts w:ascii="Arial" w:hAnsi="Arial" w:cs="Arial"/>
        </w:rPr>
        <w:t xml:space="preserve"> November 2025).</w:t>
      </w:r>
    </w:p>
    <w:p w14:paraId="3AB0E3BD" w14:textId="77777777" w:rsidR="006630F8" w:rsidRPr="00AA6F6C" w:rsidRDefault="006630F8" w:rsidP="006630F8">
      <w:pPr>
        <w:spacing w:line="360" w:lineRule="auto"/>
        <w:ind w:left="1260" w:hanging="1260"/>
        <w:jc w:val="both"/>
        <w:rPr>
          <w:rFonts w:ascii="Arial" w:hAnsi="Arial" w:cs="Arial"/>
        </w:rPr>
      </w:pPr>
      <w:r w:rsidRPr="00AA6F6C">
        <w:rPr>
          <w:rFonts w:ascii="Arial" w:hAnsi="Arial" w:cs="Arial"/>
        </w:rPr>
        <w:t xml:space="preserve">Noel, L., De Rubens, G.Z., </w:t>
      </w:r>
      <w:proofErr w:type="spellStart"/>
      <w:r w:rsidRPr="00AA6F6C">
        <w:rPr>
          <w:rFonts w:ascii="Arial" w:hAnsi="Arial" w:cs="Arial"/>
        </w:rPr>
        <w:t>Sovacool</w:t>
      </w:r>
      <w:proofErr w:type="spellEnd"/>
      <w:r w:rsidRPr="00AA6F6C">
        <w:rPr>
          <w:rFonts w:ascii="Arial" w:hAnsi="Arial" w:cs="Arial"/>
        </w:rPr>
        <w:t xml:space="preserve">, B.K. and Kester, J., 2019. Fear and loathing of electric vehicles: The reactionary rhetoric of range anxiety. </w:t>
      </w:r>
      <w:r w:rsidRPr="00AA6F6C">
        <w:rPr>
          <w:rFonts w:ascii="Arial" w:hAnsi="Arial" w:cs="Arial"/>
          <w:i/>
          <w:iCs/>
        </w:rPr>
        <w:t>Energy research &amp; social science</w:t>
      </w:r>
      <w:r w:rsidRPr="00AA6F6C">
        <w:rPr>
          <w:rFonts w:ascii="Arial" w:hAnsi="Arial" w:cs="Arial"/>
        </w:rPr>
        <w:t xml:space="preserve">, </w:t>
      </w:r>
      <w:r w:rsidRPr="00AA6F6C">
        <w:rPr>
          <w:rFonts w:ascii="Arial" w:hAnsi="Arial" w:cs="Arial"/>
          <w:i/>
          <w:iCs/>
        </w:rPr>
        <w:t>48</w:t>
      </w:r>
      <w:r w:rsidRPr="00AA6F6C">
        <w:rPr>
          <w:rFonts w:ascii="Arial" w:hAnsi="Arial" w:cs="Arial"/>
        </w:rPr>
        <w:t>, pp.96-107.</w:t>
      </w:r>
    </w:p>
    <w:p w14:paraId="2F1D908B" w14:textId="77777777" w:rsidR="006630F8" w:rsidRPr="00EC5048" w:rsidRDefault="006630F8" w:rsidP="006630F8">
      <w:pPr>
        <w:spacing w:line="360" w:lineRule="auto"/>
        <w:ind w:left="1260" w:hanging="1260"/>
        <w:jc w:val="both"/>
        <w:rPr>
          <w:rFonts w:ascii="Arial" w:hAnsi="Arial" w:cs="Arial"/>
        </w:rPr>
      </w:pPr>
      <w:r w:rsidRPr="00EC5048">
        <w:rPr>
          <w:rFonts w:ascii="Arial" w:hAnsi="Arial" w:cs="Arial"/>
        </w:rPr>
        <w:t>Office for Zero Emission Vehicles (OZEV)</w:t>
      </w:r>
      <w:r>
        <w:rPr>
          <w:rFonts w:ascii="Arial" w:hAnsi="Arial" w:cs="Arial"/>
        </w:rPr>
        <w:t>.,</w:t>
      </w:r>
      <w:r w:rsidRPr="00EC5048">
        <w:rPr>
          <w:rFonts w:ascii="Arial" w:hAnsi="Arial" w:cs="Arial"/>
        </w:rPr>
        <w:t xml:space="preserve"> 2022</w:t>
      </w:r>
      <w:r>
        <w:rPr>
          <w:rFonts w:ascii="Arial" w:hAnsi="Arial" w:cs="Arial"/>
        </w:rPr>
        <w:t>.</w:t>
      </w:r>
      <w:r w:rsidRPr="00EC5048">
        <w:rPr>
          <w:rFonts w:ascii="Arial" w:hAnsi="Arial" w:cs="Arial"/>
        </w:rPr>
        <w:t xml:space="preserve"> EV infrastructure grants and funding. London: Department for Transport.</w:t>
      </w:r>
      <w:r>
        <w:rPr>
          <w:rFonts w:ascii="Arial" w:hAnsi="Arial" w:cs="Arial"/>
        </w:rPr>
        <w:t xml:space="preserve"> Available Online. Retrieved from: </w:t>
      </w:r>
      <w:hyperlink r:id="rId28" w:history="1">
        <w:r w:rsidRPr="005716C0">
          <w:rPr>
            <w:rStyle w:val="Hyperlink"/>
            <w:rFonts w:ascii="Arial" w:hAnsi="Arial" w:cs="Arial"/>
          </w:rPr>
          <w:t>https://www.gov.uk/guidance/approval-process-for-ev-chargepoint-manufacturers</w:t>
        </w:r>
      </w:hyperlink>
      <w:r>
        <w:rPr>
          <w:rFonts w:ascii="Arial" w:hAnsi="Arial" w:cs="Arial"/>
        </w:rPr>
        <w:t xml:space="preserve"> </w:t>
      </w:r>
      <w:r w:rsidRPr="00EC5048">
        <w:rPr>
          <w:rFonts w:ascii="Arial" w:hAnsi="Arial" w:cs="Arial"/>
        </w:rPr>
        <w:t xml:space="preserve">(Accessed: </w:t>
      </w:r>
      <w:r>
        <w:rPr>
          <w:rFonts w:ascii="Arial" w:hAnsi="Arial" w:cs="Arial"/>
        </w:rPr>
        <w:t>9</w:t>
      </w:r>
      <w:r w:rsidRPr="00EC5048">
        <w:rPr>
          <w:rFonts w:ascii="Arial" w:hAnsi="Arial" w:cs="Arial"/>
        </w:rPr>
        <w:t xml:space="preserve"> November 2025).</w:t>
      </w:r>
    </w:p>
    <w:p w14:paraId="1C3EF7E5" w14:textId="77777777" w:rsidR="006630F8" w:rsidRPr="00EC5048" w:rsidRDefault="006630F8" w:rsidP="006630F8">
      <w:pPr>
        <w:spacing w:line="360" w:lineRule="auto"/>
        <w:ind w:left="1260" w:hanging="1260"/>
        <w:jc w:val="both"/>
        <w:rPr>
          <w:rFonts w:ascii="Arial" w:hAnsi="Arial" w:cs="Arial"/>
        </w:rPr>
      </w:pPr>
      <w:r w:rsidRPr="00EC5048">
        <w:rPr>
          <w:rFonts w:ascii="Arial" w:hAnsi="Arial" w:cs="Arial"/>
        </w:rPr>
        <w:t>RAC Foundation</w:t>
      </w:r>
      <w:r>
        <w:rPr>
          <w:rFonts w:ascii="Arial" w:hAnsi="Arial" w:cs="Arial"/>
        </w:rPr>
        <w:t>.,</w:t>
      </w:r>
      <w:r w:rsidRPr="00EC5048">
        <w:rPr>
          <w:rFonts w:ascii="Arial" w:hAnsi="Arial" w:cs="Arial"/>
        </w:rPr>
        <w:t xml:space="preserve"> 202</w:t>
      </w:r>
      <w:r>
        <w:rPr>
          <w:rFonts w:ascii="Arial" w:hAnsi="Arial" w:cs="Arial"/>
        </w:rPr>
        <w:t>5.</w:t>
      </w:r>
      <w:r w:rsidRPr="00EC5048">
        <w:rPr>
          <w:rFonts w:ascii="Arial" w:hAnsi="Arial" w:cs="Arial"/>
        </w:rPr>
        <w:t xml:space="preserve"> </w:t>
      </w:r>
      <w:r w:rsidRPr="00AA6F6C">
        <w:rPr>
          <w:rFonts w:ascii="Arial" w:hAnsi="Arial" w:cs="Arial"/>
        </w:rPr>
        <w:t xml:space="preserve">At least one in twenty </w:t>
      </w:r>
      <w:proofErr w:type="gramStart"/>
      <w:r w:rsidRPr="00AA6F6C">
        <w:rPr>
          <w:rFonts w:ascii="Arial" w:hAnsi="Arial" w:cs="Arial"/>
        </w:rPr>
        <w:t>car miles driven</w:t>
      </w:r>
      <w:proofErr w:type="gramEnd"/>
      <w:r w:rsidRPr="00AA6F6C">
        <w:rPr>
          <w:rFonts w:ascii="Arial" w:hAnsi="Arial" w:cs="Arial"/>
        </w:rPr>
        <w:t xml:space="preserve"> is now zero </w:t>
      </w:r>
      <w:proofErr w:type="gramStart"/>
      <w:r w:rsidRPr="00AA6F6C">
        <w:rPr>
          <w:rFonts w:ascii="Arial" w:hAnsi="Arial" w:cs="Arial"/>
        </w:rPr>
        <w:t>emission</w:t>
      </w:r>
      <w:proofErr w:type="gramEnd"/>
      <w:r w:rsidRPr="00EC5048">
        <w:rPr>
          <w:rFonts w:ascii="Arial" w:hAnsi="Arial" w:cs="Arial"/>
        </w:rPr>
        <w:t>. London: RAC Foundation.</w:t>
      </w:r>
      <w:r>
        <w:rPr>
          <w:rFonts w:ascii="Arial" w:hAnsi="Arial" w:cs="Arial"/>
        </w:rPr>
        <w:t xml:space="preserve"> Available Online. Retrieved from: </w:t>
      </w:r>
      <w:hyperlink r:id="rId29" w:history="1">
        <w:r w:rsidRPr="005716C0">
          <w:rPr>
            <w:rStyle w:val="Hyperlink"/>
            <w:rFonts w:ascii="Arial" w:hAnsi="Arial" w:cs="Arial"/>
          </w:rPr>
          <w:t>https://www.racfoundation.org/media-centre/at-least-one-in-twenty-car-miles-driven-is-now-zero-emission</w:t>
        </w:r>
      </w:hyperlink>
      <w:r>
        <w:rPr>
          <w:rFonts w:ascii="Arial" w:hAnsi="Arial" w:cs="Arial"/>
        </w:rPr>
        <w:t xml:space="preserve"> </w:t>
      </w:r>
    </w:p>
    <w:p w14:paraId="36B8C609" w14:textId="77777777" w:rsidR="006630F8" w:rsidRPr="00E61366" w:rsidRDefault="006630F8" w:rsidP="006630F8">
      <w:pPr>
        <w:spacing w:line="360" w:lineRule="auto"/>
        <w:ind w:left="1260" w:hanging="1260"/>
        <w:jc w:val="both"/>
        <w:rPr>
          <w:rFonts w:ascii="Arial" w:hAnsi="Arial" w:cs="Arial"/>
        </w:rPr>
      </w:pPr>
      <w:r w:rsidRPr="00E61366">
        <w:rPr>
          <w:rFonts w:ascii="Arial" w:hAnsi="Arial" w:cs="Arial"/>
        </w:rPr>
        <w:t xml:space="preserve">Rezvani, Z., Jansson, J. and Bodin, J., 2015. Advances in consumer electric vehicle adoption research: A review and research agenda. </w:t>
      </w:r>
      <w:r w:rsidRPr="00E61366">
        <w:rPr>
          <w:rFonts w:ascii="Arial" w:hAnsi="Arial" w:cs="Arial"/>
          <w:i/>
          <w:iCs/>
        </w:rPr>
        <w:t>Transportation research part D: transport and environment</w:t>
      </w:r>
      <w:r w:rsidRPr="00E61366">
        <w:rPr>
          <w:rFonts w:ascii="Arial" w:hAnsi="Arial" w:cs="Arial"/>
        </w:rPr>
        <w:t xml:space="preserve">, </w:t>
      </w:r>
      <w:r w:rsidRPr="00E61366">
        <w:rPr>
          <w:rFonts w:ascii="Arial" w:hAnsi="Arial" w:cs="Arial"/>
          <w:i/>
          <w:iCs/>
        </w:rPr>
        <w:t>34</w:t>
      </w:r>
      <w:r w:rsidRPr="00E61366">
        <w:rPr>
          <w:rFonts w:ascii="Arial" w:hAnsi="Arial" w:cs="Arial"/>
        </w:rPr>
        <w:t>, pp.122-136.</w:t>
      </w:r>
    </w:p>
    <w:p w14:paraId="699229CC" w14:textId="77777777" w:rsidR="006630F8" w:rsidRDefault="006630F8" w:rsidP="006630F8">
      <w:pPr>
        <w:spacing w:line="360" w:lineRule="auto"/>
        <w:ind w:left="1260" w:hanging="1260"/>
        <w:jc w:val="both"/>
        <w:rPr>
          <w:rFonts w:ascii="Arial" w:hAnsi="Arial" w:cs="Arial"/>
        </w:rPr>
      </w:pPr>
      <w:r w:rsidRPr="00E61366">
        <w:rPr>
          <w:rFonts w:ascii="Arial" w:hAnsi="Arial" w:cs="Arial"/>
        </w:rPr>
        <w:t>Rogers, E., 2003. Diffusion of Innovations 5th.</w:t>
      </w:r>
    </w:p>
    <w:p w14:paraId="1E3549DE" w14:textId="07AF383E" w:rsidR="00846922" w:rsidRPr="00E61366" w:rsidRDefault="00846922" w:rsidP="00846922">
      <w:pPr>
        <w:spacing w:line="360" w:lineRule="auto"/>
        <w:ind w:left="1260" w:hanging="1260"/>
        <w:jc w:val="both"/>
        <w:rPr>
          <w:rFonts w:ascii="Arial" w:hAnsi="Arial" w:cs="Arial"/>
        </w:rPr>
      </w:pPr>
      <w:r>
        <w:rPr>
          <w:rFonts w:ascii="Arial" w:hAnsi="Arial" w:cs="Arial"/>
        </w:rPr>
        <w:t xml:space="preserve">Savills, 2025. </w:t>
      </w:r>
      <w:r w:rsidRPr="00846922">
        <w:rPr>
          <w:rFonts w:ascii="Arial" w:hAnsi="Arial" w:cs="Arial"/>
        </w:rPr>
        <w:t>Electric Vehicle Charging</w:t>
      </w:r>
      <w:r>
        <w:rPr>
          <w:rFonts w:ascii="Arial" w:hAnsi="Arial" w:cs="Arial"/>
        </w:rPr>
        <w:t xml:space="preserve"> </w:t>
      </w:r>
      <w:r w:rsidRPr="00846922">
        <w:rPr>
          <w:rFonts w:ascii="Arial" w:hAnsi="Arial" w:cs="Arial"/>
        </w:rPr>
        <w:t>Market Commentary</w:t>
      </w:r>
      <w:r>
        <w:rPr>
          <w:rFonts w:ascii="Arial" w:hAnsi="Arial" w:cs="Arial"/>
        </w:rPr>
        <w:t xml:space="preserve">. Available Online. Retrieved from: </w:t>
      </w:r>
      <w:hyperlink r:id="rId30" w:history="1">
        <w:r w:rsidRPr="00721DD4">
          <w:rPr>
            <w:rStyle w:val="Hyperlink"/>
            <w:rFonts w:ascii="Arial" w:hAnsi="Arial" w:cs="Arial"/>
          </w:rPr>
          <w:t>https://pdf.euro.savills.co.uk/uk/commercial---other/ev-charging-summer-2025-market-outlook.pdf</w:t>
        </w:r>
      </w:hyperlink>
      <w:r>
        <w:rPr>
          <w:rFonts w:ascii="Arial" w:hAnsi="Arial" w:cs="Arial"/>
        </w:rPr>
        <w:t xml:space="preserve"> </w:t>
      </w:r>
    </w:p>
    <w:p w14:paraId="315C711A" w14:textId="4BCEBD59" w:rsidR="00A11708" w:rsidRDefault="00A11708" w:rsidP="006630F8">
      <w:pPr>
        <w:spacing w:line="360" w:lineRule="auto"/>
        <w:ind w:left="1260" w:hanging="1260"/>
        <w:jc w:val="both"/>
        <w:rPr>
          <w:rFonts w:ascii="Arial" w:hAnsi="Arial" w:cs="Arial"/>
        </w:rPr>
      </w:pPr>
      <w:r>
        <w:rPr>
          <w:rFonts w:ascii="Arial" w:hAnsi="Arial" w:cs="Arial"/>
        </w:rPr>
        <w:t xml:space="preserve">Tesco, 2025. </w:t>
      </w:r>
      <w:r w:rsidRPr="00A11708">
        <w:rPr>
          <w:rFonts w:ascii="Arial" w:hAnsi="Arial" w:cs="Arial"/>
        </w:rPr>
        <w:t>Shoppers can now collect Clubcard points for charging electric vehicles a</w:t>
      </w:r>
      <w:r>
        <w:rPr>
          <w:rFonts w:ascii="Arial" w:hAnsi="Arial" w:cs="Arial"/>
        </w:rPr>
        <w:t xml:space="preserve">t </w:t>
      </w:r>
      <w:r w:rsidRPr="00A11708">
        <w:rPr>
          <w:rFonts w:ascii="Arial" w:hAnsi="Arial" w:cs="Arial"/>
        </w:rPr>
        <w:t>Tesco with partner Pod</w:t>
      </w:r>
      <w:r>
        <w:rPr>
          <w:rFonts w:ascii="Arial" w:hAnsi="Arial" w:cs="Arial"/>
        </w:rPr>
        <w:t xml:space="preserve">. Available Online. Retrieved from: </w:t>
      </w:r>
      <w:hyperlink r:id="rId31" w:history="1">
        <w:r w:rsidRPr="00447277">
          <w:rPr>
            <w:rStyle w:val="Hyperlink"/>
            <w:rFonts w:ascii="Arial" w:hAnsi="Arial" w:cs="Arial"/>
          </w:rPr>
          <w:t>https://www.tescoplc.com/shoppers-can-now-collect-clubcard-points-for-charging-electric-vehicles-at-tesco-with-partner-pod/</w:t>
        </w:r>
      </w:hyperlink>
      <w:r>
        <w:rPr>
          <w:rFonts w:ascii="Arial" w:hAnsi="Arial" w:cs="Arial"/>
        </w:rPr>
        <w:t xml:space="preserve"> </w:t>
      </w:r>
    </w:p>
    <w:p w14:paraId="275A71D8" w14:textId="19035EE7" w:rsidR="006630F8" w:rsidRPr="00E61366" w:rsidRDefault="006630F8" w:rsidP="006630F8">
      <w:pPr>
        <w:spacing w:line="360" w:lineRule="auto"/>
        <w:ind w:left="1260" w:hanging="1260"/>
        <w:jc w:val="both"/>
        <w:rPr>
          <w:rFonts w:ascii="Arial" w:hAnsi="Arial" w:cs="Arial"/>
        </w:rPr>
      </w:pPr>
      <w:r w:rsidRPr="00E61366">
        <w:rPr>
          <w:rFonts w:ascii="Arial" w:hAnsi="Arial" w:cs="Arial"/>
        </w:rPr>
        <w:lastRenderedPageBreak/>
        <w:t>Turrentine, T. and Kurani, K.S., 2001. The Household Market for Electric Vehicles: Testing the Hybrid Household Hypothesis--A Reflexively Designed Survey of New-Car-Buying Multi-Vehicle California Households.</w:t>
      </w:r>
    </w:p>
    <w:p w14:paraId="53CE332D" w14:textId="77777777" w:rsidR="006630F8" w:rsidRPr="00E61366" w:rsidRDefault="006630F8" w:rsidP="006630F8">
      <w:pPr>
        <w:spacing w:line="360" w:lineRule="auto"/>
        <w:ind w:left="1260" w:hanging="1260"/>
        <w:jc w:val="both"/>
        <w:rPr>
          <w:rFonts w:ascii="Arial" w:hAnsi="Arial" w:cs="Arial"/>
        </w:rPr>
      </w:pPr>
      <w:proofErr w:type="spellStart"/>
      <w:r w:rsidRPr="00E61366">
        <w:rPr>
          <w:rFonts w:ascii="Arial" w:hAnsi="Arial" w:cs="Arial"/>
        </w:rPr>
        <w:t>Wolbertus</w:t>
      </w:r>
      <w:proofErr w:type="spellEnd"/>
      <w:r w:rsidRPr="00E61366">
        <w:rPr>
          <w:rFonts w:ascii="Arial" w:hAnsi="Arial" w:cs="Arial"/>
        </w:rPr>
        <w:t xml:space="preserve">, R., Kroesen, M., Van Den Hoed, R. and Chorus, C., 2018. Fully charged: An empirical study into the factors that influence connection times at EV-charging stations. </w:t>
      </w:r>
      <w:r w:rsidRPr="00E61366">
        <w:rPr>
          <w:rFonts w:ascii="Arial" w:hAnsi="Arial" w:cs="Arial"/>
          <w:i/>
          <w:iCs/>
        </w:rPr>
        <w:t>Energy Policy</w:t>
      </w:r>
      <w:r w:rsidRPr="00E61366">
        <w:rPr>
          <w:rFonts w:ascii="Arial" w:hAnsi="Arial" w:cs="Arial"/>
        </w:rPr>
        <w:t xml:space="preserve">, </w:t>
      </w:r>
      <w:r w:rsidRPr="00E61366">
        <w:rPr>
          <w:rFonts w:ascii="Arial" w:hAnsi="Arial" w:cs="Arial"/>
          <w:i/>
          <w:iCs/>
        </w:rPr>
        <w:t>123</w:t>
      </w:r>
      <w:r w:rsidRPr="00E61366">
        <w:rPr>
          <w:rFonts w:ascii="Arial" w:hAnsi="Arial" w:cs="Arial"/>
        </w:rPr>
        <w:t>, pp.1-7.</w:t>
      </w:r>
    </w:p>
    <w:p w14:paraId="288E18AB" w14:textId="77777777" w:rsidR="006630F8" w:rsidRPr="00EC5048" w:rsidRDefault="006630F8" w:rsidP="006630F8">
      <w:pPr>
        <w:spacing w:line="360" w:lineRule="auto"/>
        <w:ind w:left="1260" w:hanging="1260"/>
        <w:jc w:val="both"/>
        <w:rPr>
          <w:rFonts w:ascii="Arial" w:hAnsi="Arial" w:cs="Arial"/>
        </w:rPr>
      </w:pPr>
      <w:proofErr w:type="spellStart"/>
      <w:r w:rsidRPr="00EC5048">
        <w:rPr>
          <w:rFonts w:ascii="Arial" w:hAnsi="Arial" w:cs="Arial"/>
        </w:rPr>
        <w:t>Zapmap</w:t>
      </w:r>
      <w:proofErr w:type="spellEnd"/>
      <w:r>
        <w:rPr>
          <w:rFonts w:ascii="Arial" w:hAnsi="Arial" w:cs="Arial"/>
        </w:rPr>
        <w:t>.,</w:t>
      </w:r>
      <w:r w:rsidRPr="00EC5048">
        <w:rPr>
          <w:rFonts w:ascii="Arial" w:hAnsi="Arial" w:cs="Arial"/>
        </w:rPr>
        <w:t xml:space="preserve"> 2023</w:t>
      </w:r>
      <w:r>
        <w:rPr>
          <w:rFonts w:ascii="Arial" w:hAnsi="Arial" w:cs="Arial"/>
        </w:rPr>
        <w:t>.</w:t>
      </w:r>
      <w:r w:rsidRPr="00EC5048">
        <w:rPr>
          <w:rFonts w:ascii="Arial" w:hAnsi="Arial" w:cs="Arial"/>
        </w:rPr>
        <w:t xml:space="preserve"> UK EV charging statistics 2023. Available</w:t>
      </w:r>
      <w:r>
        <w:rPr>
          <w:rFonts w:ascii="Arial" w:hAnsi="Arial" w:cs="Arial"/>
        </w:rPr>
        <w:t xml:space="preserve"> Online. Retrieved from</w:t>
      </w:r>
      <w:r w:rsidRPr="00EC5048">
        <w:rPr>
          <w:rFonts w:ascii="Arial" w:hAnsi="Arial" w:cs="Arial"/>
        </w:rPr>
        <w:t xml:space="preserve">: </w:t>
      </w:r>
      <w:hyperlink r:id="rId32" w:history="1">
        <w:r w:rsidRPr="00EC5048">
          <w:rPr>
            <w:rStyle w:val="Hyperlink"/>
            <w:rFonts w:ascii="Arial" w:hAnsi="Arial" w:cs="Arial"/>
          </w:rPr>
          <w:t>https://www.zap-map.com/statistics/</w:t>
        </w:r>
      </w:hyperlink>
      <w:r w:rsidRPr="00EC5048">
        <w:rPr>
          <w:rFonts w:ascii="Arial" w:hAnsi="Arial" w:cs="Arial"/>
        </w:rPr>
        <w:t xml:space="preserve"> (Accessed: 8 November 2025).</w:t>
      </w:r>
    </w:p>
    <w:p w14:paraId="6E55315C" w14:textId="77777777" w:rsidR="006630F8" w:rsidRPr="00EC5048" w:rsidRDefault="006630F8" w:rsidP="006630F8">
      <w:pPr>
        <w:spacing w:line="360" w:lineRule="auto"/>
        <w:jc w:val="both"/>
        <w:rPr>
          <w:rFonts w:ascii="Arial" w:hAnsi="Arial" w:cs="Arial"/>
        </w:rPr>
      </w:pPr>
    </w:p>
    <w:p w14:paraId="1D627C6F" w14:textId="77777777" w:rsidR="00330CDC" w:rsidRDefault="00330CDC" w:rsidP="00CD24EF">
      <w:pPr>
        <w:spacing w:line="360" w:lineRule="auto"/>
        <w:jc w:val="both"/>
        <w:rPr>
          <w:rFonts w:ascii="Arial" w:hAnsi="Arial" w:cs="Arial"/>
          <w:b/>
          <w:bCs/>
        </w:rPr>
      </w:pPr>
    </w:p>
    <w:p w14:paraId="66977EF6" w14:textId="03B44B58" w:rsidR="00B65134" w:rsidRDefault="00B65134" w:rsidP="00CD24EF">
      <w:pPr>
        <w:spacing w:line="360" w:lineRule="auto"/>
        <w:jc w:val="both"/>
        <w:rPr>
          <w:rFonts w:ascii="Arial" w:hAnsi="Arial" w:cs="Arial"/>
          <w:b/>
          <w:bCs/>
        </w:rPr>
      </w:pPr>
    </w:p>
    <w:sectPr w:rsidR="00B65134">
      <w:footerReference w:type="default" r:id="rId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06C53C" w14:textId="77777777" w:rsidR="00F27322" w:rsidRDefault="00F27322" w:rsidP="006630F8">
      <w:pPr>
        <w:spacing w:after="0" w:line="240" w:lineRule="auto"/>
      </w:pPr>
      <w:r>
        <w:separator/>
      </w:r>
    </w:p>
  </w:endnote>
  <w:endnote w:type="continuationSeparator" w:id="0">
    <w:p w14:paraId="49D320EC" w14:textId="77777777" w:rsidR="00F27322" w:rsidRDefault="00F27322" w:rsidP="006630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0721366"/>
      <w:docPartObj>
        <w:docPartGallery w:val="Page Numbers (Bottom of Page)"/>
        <w:docPartUnique/>
      </w:docPartObj>
    </w:sdtPr>
    <w:sdtEndPr>
      <w:rPr>
        <w:noProof/>
      </w:rPr>
    </w:sdtEndPr>
    <w:sdtContent>
      <w:p w14:paraId="059AB957" w14:textId="0FF4E1CB" w:rsidR="006630F8" w:rsidRDefault="006630F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935048" w14:textId="77777777" w:rsidR="006630F8" w:rsidRDefault="006630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C69C77" w14:textId="77777777" w:rsidR="00F27322" w:rsidRDefault="00F27322" w:rsidP="006630F8">
      <w:pPr>
        <w:spacing w:after="0" w:line="240" w:lineRule="auto"/>
      </w:pPr>
      <w:r>
        <w:separator/>
      </w:r>
    </w:p>
  </w:footnote>
  <w:footnote w:type="continuationSeparator" w:id="0">
    <w:p w14:paraId="7A881C00" w14:textId="77777777" w:rsidR="00F27322" w:rsidRDefault="00F27322" w:rsidP="006630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6724B4"/>
    <w:multiLevelType w:val="hybridMultilevel"/>
    <w:tmpl w:val="1E8082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88F1FA3"/>
    <w:multiLevelType w:val="hybridMultilevel"/>
    <w:tmpl w:val="E062C4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FBD2838"/>
    <w:multiLevelType w:val="hybridMultilevel"/>
    <w:tmpl w:val="A5C64B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9227E57"/>
    <w:multiLevelType w:val="multilevel"/>
    <w:tmpl w:val="4CAAA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4645564">
    <w:abstractNumId w:val="2"/>
  </w:num>
  <w:num w:numId="2" w16cid:durableId="14118336">
    <w:abstractNumId w:val="0"/>
  </w:num>
  <w:num w:numId="3" w16cid:durableId="1049257457">
    <w:abstractNumId w:val="1"/>
  </w:num>
  <w:num w:numId="4" w16cid:durableId="173284747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222"/>
    <w:rsid w:val="00014DF1"/>
    <w:rsid w:val="000D74BF"/>
    <w:rsid w:val="001E397F"/>
    <w:rsid w:val="001F1D60"/>
    <w:rsid w:val="00207033"/>
    <w:rsid w:val="00235222"/>
    <w:rsid w:val="00270231"/>
    <w:rsid w:val="002A0916"/>
    <w:rsid w:val="002A17F6"/>
    <w:rsid w:val="002E788A"/>
    <w:rsid w:val="00330CDC"/>
    <w:rsid w:val="00357FB1"/>
    <w:rsid w:val="004A1D91"/>
    <w:rsid w:val="006630F8"/>
    <w:rsid w:val="006A01F9"/>
    <w:rsid w:val="006D41D9"/>
    <w:rsid w:val="007071F5"/>
    <w:rsid w:val="007666CD"/>
    <w:rsid w:val="007A1C81"/>
    <w:rsid w:val="00842469"/>
    <w:rsid w:val="00846922"/>
    <w:rsid w:val="00856B59"/>
    <w:rsid w:val="00874EDD"/>
    <w:rsid w:val="00895A90"/>
    <w:rsid w:val="008A5E5A"/>
    <w:rsid w:val="00914172"/>
    <w:rsid w:val="00943970"/>
    <w:rsid w:val="009453BF"/>
    <w:rsid w:val="00955E87"/>
    <w:rsid w:val="00956F58"/>
    <w:rsid w:val="00963296"/>
    <w:rsid w:val="009B57F4"/>
    <w:rsid w:val="00A11708"/>
    <w:rsid w:val="00A35566"/>
    <w:rsid w:val="00A42060"/>
    <w:rsid w:val="00A457E7"/>
    <w:rsid w:val="00AA47A5"/>
    <w:rsid w:val="00AC45F8"/>
    <w:rsid w:val="00B65134"/>
    <w:rsid w:val="00BC1FCF"/>
    <w:rsid w:val="00BD477E"/>
    <w:rsid w:val="00C62CD3"/>
    <w:rsid w:val="00C765D8"/>
    <w:rsid w:val="00CD24EF"/>
    <w:rsid w:val="00CD6192"/>
    <w:rsid w:val="00CF248D"/>
    <w:rsid w:val="00D77EF9"/>
    <w:rsid w:val="00DA0694"/>
    <w:rsid w:val="00DF09F3"/>
    <w:rsid w:val="00E23B7B"/>
    <w:rsid w:val="00E527D6"/>
    <w:rsid w:val="00EA02BC"/>
    <w:rsid w:val="00ED3EE0"/>
    <w:rsid w:val="00F01F82"/>
    <w:rsid w:val="00F27322"/>
    <w:rsid w:val="00F60B09"/>
    <w:rsid w:val="00F670B9"/>
    <w:rsid w:val="22C53F79"/>
    <w:rsid w:val="297FC0E5"/>
    <w:rsid w:val="2FD29CDC"/>
    <w:rsid w:val="5091E258"/>
    <w:rsid w:val="7B9AA84E"/>
    <w:rsid w:val="7C94155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A4DF63"/>
  <w15:chartTrackingRefBased/>
  <w15:docId w15:val="{068A9C19-47AC-4B09-95C5-328A14B81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5222"/>
    <w:pPr>
      <w:keepNext/>
      <w:keepLines/>
      <w:spacing w:before="360" w:after="80"/>
      <w:outlineLvl w:val="0"/>
    </w:pPr>
    <w:rPr>
      <w:rFonts w:asciiTheme="majorHAnsi" w:eastAsiaTheme="majorEastAsia" w:hAnsiTheme="majorHAnsi" w:cstheme="majorBidi"/>
      <w:color w:val="306785" w:themeColor="accent1" w:themeShade="BF"/>
      <w:sz w:val="40"/>
      <w:szCs w:val="40"/>
    </w:rPr>
  </w:style>
  <w:style w:type="paragraph" w:styleId="Heading2">
    <w:name w:val="heading 2"/>
    <w:basedOn w:val="Normal"/>
    <w:next w:val="Normal"/>
    <w:link w:val="Heading2Char"/>
    <w:uiPriority w:val="9"/>
    <w:unhideWhenUsed/>
    <w:qFormat/>
    <w:rsid w:val="00235222"/>
    <w:pPr>
      <w:keepNext/>
      <w:keepLines/>
      <w:spacing w:before="160" w:after="80"/>
      <w:outlineLvl w:val="1"/>
    </w:pPr>
    <w:rPr>
      <w:rFonts w:asciiTheme="majorHAnsi" w:eastAsiaTheme="majorEastAsia" w:hAnsiTheme="majorHAnsi" w:cstheme="majorBidi"/>
      <w:color w:val="306785" w:themeColor="accent1" w:themeShade="BF"/>
      <w:sz w:val="32"/>
      <w:szCs w:val="32"/>
    </w:rPr>
  </w:style>
  <w:style w:type="paragraph" w:styleId="Heading3">
    <w:name w:val="heading 3"/>
    <w:basedOn w:val="Normal"/>
    <w:next w:val="Normal"/>
    <w:link w:val="Heading3Char"/>
    <w:uiPriority w:val="9"/>
    <w:semiHidden/>
    <w:unhideWhenUsed/>
    <w:qFormat/>
    <w:rsid w:val="00235222"/>
    <w:pPr>
      <w:keepNext/>
      <w:keepLines/>
      <w:spacing w:before="160" w:after="80"/>
      <w:outlineLvl w:val="2"/>
    </w:pPr>
    <w:rPr>
      <w:rFonts w:eastAsiaTheme="majorEastAsia" w:cstheme="majorBidi"/>
      <w:color w:val="306785" w:themeColor="accent1" w:themeShade="BF"/>
      <w:sz w:val="28"/>
      <w:szCs w:val="28"/>
    </w:rPr>
  </w:style>
  <w:style w:type="paragraph" w:styleId="Heading4">
    <w:name w:val="heading 4"/>
    <w:basedOn w:val="Normal"/>
    <w:next w:val="Normal"/>
    <w:link w:val="Heading4Char"/>
    <w:uiPriority w:val="9"/>
    <w:semiHidden/>
    <w:unhideWhenUsed/>
    <w:qFormat/>
    <w:rsid w:val="00235222"/>
    <w:pPr>
      <w:keepNext/>
      <w:keepLines/>
      <w:spacing w:before="80" w:after="40"/>
      <w:outlineLvl w:val="3"/>
    </w:pPr>
    <w:rPr>
      <w:rFonts w:eastAsiaTheme="majorEastAsia" w:cstheme="majorBidi"/>
      <w:i/>
      <w:iCs/>
      <w:color w:val="306785" w:themeColor="accent1" w:themeShade="BF"/>
    </w:rPr>
  </w:style>
  <w:style w:type="paragraph" w:styleId="Heading5">
    <w:name w:val="heading 5"/>
    <w:basedOn w:val="Normal"/>
    <w:next w:val="Normal"/>
    <w:link w:val="Heading5Char"/>
    <w:uiPriority w:val="9"/>
    <w:semiHidden/>
    <w:unhideWhenUsed/>
    <w:qFormat/>
    <w:rsid w:val="00235222"/>
    <w:pPr>
      <w:keepNext/>
      <w:keepLines/>
      <w:spacing w:before="80" w:after="40"/>
      <w:outlineLvl w:val="4"/>
    </w:pPr>
    <w:rPr>
      <w:rFonts w:eastAsiaTheme="majorEastAsia" w:cstheme="majorBidi"/>
      <w:color w:val="306785" w:themeColor="accent1" w:themeShade="BF"/>
    </w:rPr>
  </w:style>
  <w:style w:type="paragraph" w:styleId="Heading6">
    <w:name w:val="heading 6"/>
    <w:basedOn w:val="Normal"/>
    <w:next w:val="Normal"/>
    <w:link w:val="Heading6Char"/>
    <w:uiPriority w:val="9"/>
    <w:semiHidden/>
    <w:unhideWhenUsed/>
    <w:qFormat/>
    <w:rsid w:val="002352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52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52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52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5222"/>
    <w:rPr>
      <w:rFonts w:asciiTheme="majorHAnsi" w:eastAsiaTheme="majorEastAsia" w:hAnsiTheme="majorHAnsi" w:cstheme="majorBidi"/>
      <w:color w:val="306785" w:themeColor="accent1" w:themeShade="BF"/>
      <w:sz w:val="40"/>
      <w:szCs w:val="40"/>
    </w:rPr>
  </w:style>
  <w:style w:type="character" w:customStyle="1" w:styleId="Heading2Char">
    <w:name w:val="Heading 2 Char"/>
    <w:basedOn w:val="DefaultParagraphFont"/>
    <w:link w:val="Heading2"/>
    <w:uiPriority w:val="9"/>
    <w:rsid w:val="00235222"/>
    <w:rPr>
      <w:rFonts w:asciiTheme="majorHAnsi" w:eastAsiaTheme="majorEastAsia" w:hAnsiTheme="majorHAnsi" w:cstheme="majorBidi"/>
      <w:color w:val="306785" w:themeColor="accent1" w:themeShade="BF"/>
      <w:sz w:val="32"/>
      <w:szCs w:val="32"/>
    </w:rPr>
  </w:style>
  <w:style w:type="character" w:customStyle="1" w:styleId="Heading3Char">
    <w:name w:val="Heading 3 Char"/>
    <w:basedOn w:val="DefaultParagraphFont"/>
    <w:link w:val="Heading3"/>
    <w:uiPriority w:val="9"/>
    <w:semiHidden/>
    <w:rsid w:val="00235222"/>
    <w:rPr>
      <w:rFonts w:eastAsiaTheme="majorEastAsia" w:cstheme="majorBidi"/>
      <w:color w:val="306785" w:themeColor="accent1" w:themeShade="BF"/>
      <w:sz w:val="28"/>
      <w:szCs w:val="28"/>
    </w:rPr>
  </w:style>
  <w:style w:type="character" w:customStyle="1" w:styleId="Heading4Char">
    <w:name w:val="Heading 4 Char"/>
    <w:basedOn w:val="DefaultParagraphFont"/>
    <w:link w:val="Heading4"/>
    <w:uiPriority w:val="9"/>
    <w:semiHidden/>
    <w:rsid w:val="00235222"/>
    <w:rPr>
      <w:rFonts w:eastAsiaTheme="majorEastAsia" w:cstheme="majorBidi"/>
      <w:i/>
      <w:iCs/>
      <w:color w:val="306785" w:themeColor="accent1" w:themeShade="BF"/>
    </w:rPr>
  </w:style>
  <w:style w:type="character" w:customStyle="1" w:styleId="Heading5Char">
    <w:name w:val="Heading 5 Char"/>
    <w:basedOn w:val="DefaultParagraphFont"/>
    <w:link w:val="Heading5"/>
    <w:uiPriority w:val="9"/>
    <w:semiHidden/>
    <w:rsid w:val="00235222"/>
    <w:rPr>
      <w:rFonts w:eastAsiaTheme="majorEastAsia" w:cstheme="majorBidi"/>
      <w:color w:val="306785" w:themeColor="accent1" w:themeShade="BF"/>
    </w:rPr>
  </w:style>
  <w:style w:type="character" w:customStyle="1" w:styleId="Heading6Char">
    <w:name w:val="Heading 6 Char"/>
    <w:basedOn w:val="DefaultParagraphFont"/>
    <w:link w:val="Heading6"/>
    <w:uiPriority w:val="9"/>
    <w:semiHidden/>
    <w:rsid w:val="002352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52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52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5222"/>
    <w:rPr>
      <w:rFonts w:eastAsiaTheme="majorEastAsia" w:cstheme="majorBidi"/>
      <w:color w:val="272727" w:themeColor="text1" w:themeTint="D8"/>
    </w:rPr>
  </w:style>
  <w:style w:type="paragraph" w:styleId="Title">
    <w:name w:val="Title"/>
    <w:basedOn w:val="Normal"/>
    <w:next w:val="Normal"/>
    <w:link w:val="TitleChar"/>
    <w:uiPriority w:val="10"/>
    <w:qFormat/>
    <w:rsid w:val="002352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52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52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52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5222"/>
    <w:pPr>
      <w:spacing w:before="160"/>
      <w:jc w:val="center"/>
    </w:pPr>
    <w:rPr>
      <w:i/>
      <w:iCs/>
      <w:color w:val="404040" w:themeColor="text1" w:themeTint="BF"/>
    </w:rPr>
  </w:style>
  <w:style w:type="character" w:customStyle="1" w:styleId="QuoteChar">
    <w:name w:val="Quote Char"/>
    <w:basedOn w:val="DefaultParagraphFont"/>
    <w:link w:val="Quote"/>
    <w:uiPriority w:val="29"/>
    <w:rsid w:val="00235222"/>
    <w:rPr>
      <w:i/>
      <w:iCs/>
      <w:color w:val="404040" w:themeColor="text1" w:themeTint="BF"/>
    </w:rPr>
  </w:style>
  <w:style w:type="paragraph" w:styleId="ListParagraph">
    <w:name w:val="List Paragraph"/>
    <w:basedOn w:val="Normal"/>
    <w:uiPriority w:val="34"/>
    <w:qFormat/>
    <w:rsid w:val="00235222"/>
    <w:pPr>
      <w:ind w:left="720"/>
      <w:contextualSpacing/>
    </w:pPr>
  </w:style>
  <w:style w:type="character" w:styleId="IntenseEmphasis">
    <w:name w:val="Intense Emphasis"/>
    <w:basedOn w:val="DefaultParagraphFont"/>
    <w:uiPriority w:val="21"/>
    <w:qFormat/>
    <w:rsid w:val="00235222"/>
    <w:rPr>
      <w:i/>
      <w:iCs/>
      <w:color w:val="306785" w:themeColor="accent1" w:themeShade="BF"/>
    </w:rPr>
  </w:style>
  <w:style w:type="paragraph" w:styleId="IntenseQuote">
    <w:name w:val="Intense Quote"/>
    <w:basedOn w:val="Normal"/>
    <w:next w:val="Normal"/>
    <w:link w:val="IntenseQuoteChar"/>
    <w:uiPriority w:val="30"/>
    <w:qFormat/>
    <w:rsid w:val="00235222"/>
    <w:pPr>
      <w:pBdr>
        <w:top w:val="single" w:sz="4" w:space="10" w:color="306785" w:themeColor="accent1" w:themeShade="BF"/>
        <w:bottom w:val="single" w:sz="4" w:space="10" w:color="306785" w:themeColor="accent1" w:themeShade="BF"/>
      </w:pBdr>
      <w:spacing w:before="360" w:after="360"/>
      <w:ind w:left="864" w:right="864"/>
      <w:jc w:val="center"/>
    </w:pPr>
    <w:rPr>
      <w:i/>
      <w:iCs/>
      <w:color w:val="306785" w:themeColor="accent1" w:themeShade="BF"/>
    </w:rPr>
  </w:style>
  <w:style w:type="character" w:customStyle="1" w:styleId="IntenseQuoteChar">
    <w:name w:val="Intense Quote Char"/>
    <w:basedOn w:val="DefaultParagraphFont"/>
    <w:link w:val="IntenseQuote"/>
    <w:uiPriority w:val="30"/>
    <w:rsid w:val="00235222"/>
    <w:rPr>
      <w:i/>
      <w:iCs/>
      <w:color w:val="306785" w:themeColor="accent1" w:themeShade="BF"/>
    </w:rPr>
  </w:style>
  <w:style w:type="character" w:styleId="IntenseReference">
    <w:name w:val="Intense Reference"/>
    <w:basedOn w:val="DefaultParagraphFont"/>
    <w:uiPriority w:val="32"/>
    <w:qFormat/>
    <w:rsid w:val="00235222"/>
    <w:rPr>
      <w:b/>
      <w:bCs/>
      <w:smallCaps/>
      <w:color w:val="306785" w:themeColor="accent1" w:themeShade="BF"/>
      <w:spacing w:val="5"/>
    </w:rPr>
  </w:style>
  <w:style w:type="table" w:styleId="TableGrid">
    <w:name w:val="Table Grid"/>
    <w:basedOn w:val="TableNormal"/>
    <w:uiPriority w:val="39"/>
    <w:rsid w:val="00BD47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A01F9"/>
    <w:rPr>
      <w:b/>
      <w:bCs/>
    </w:rPr>
  </w:style>
  <w:style w:type="character" w:styleId="Hyperlink">
    <w:name w:val="Hyperlink"/>
    <w:basedOn w:val="DefaultParagraphFont"/>
    <w:uiPriority w:val="99"/>
    <w:unhideWhenUsed/>
    <w:rsid w:val="006630F8"/>
    <w:rPr>
      <w:color w:val="F59E00" w:themeColor="hyperlink"/>
      <w:u w:val="single"/>
    </w:rPr>
  </w:style>
  <w:style w:type="paragraph" w:styleId="Header">
    <w:name w:val="header"/>
    <w:basedOn w:val="Normal"/>
    <w:link w:val="HeaderChar"/>
    <w:uiPriority w:val="99"/>
    <w:unhideWhenUsed/>
    <w:rsid w:val="006630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30F8"/>
  </w:style>
  <w:style w:type="paragraph" w:styleId="Footer">
    <w:name w:val="footer"/>
    <w:basedOn w:val="Normal"/>
    <w:link w:val="FooterChar"/>
    <w:uiPriority w:val="99"/>
    <w:unhideWhenUsed/>
    <w:rsid w:val="006630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30F8"/>
  </w:style>
  <w:style w:type="paragraph" w:styleId="TOCHeading">
    <w:name w:val="TOC Heading"/>
    <w:basedOn w:val="Heading1"/>
    <w:next w:val="Normal"/>
    <w:uiPriority w:val="39"/>
    <w:unhideWhenUsed/>
    <w:qFormat/>
    <w:rsid w:val="006630F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6630F8"/>
    <w:pPr>
      <w:spacing w:after="100"/>
    </w:pPr>
  </w:style>
  <w:style w:type="paragraph" w:styleId="TOC2">
    <w:name w:val="toc 2"/>
    <w:basedOn w:val="Normal"/>
    <w:next w:val="Normal"/>
    <w:autoRedefine/>
    <w:uiPriority w:val="39"/>
    <w:unhideWhenUsed/>
    <w:rsid w:val="006630F8"/>
    <w:pPr>
      <w:spacing w:after="100"/>
      <w:ind w:left="240"/>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UnresolvedMention">
    <w:name w:val="Unresolved Mention"/>
    <w:basedOn w:val="DefaultParagraphFont"/>
    <w:uiPriority w:val="99"/>
    <w:semiHidden/>
    <w:unhideWhenUsed/>
    <w:rsid w:val="008469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ankofengland.co.uk/monetary-policy-report/2023/november-2023" TargetMode="External"/><Relationship Id="rId18" Type="http://schemas.openxmlformats.org/officeDocument/2006/relationships/hyperlink" Target="https://www.deloitte.com/na/en/Industries/automotive/perspectives/global-automotive-consumer-study.html" TargetMode="External"/><Relationship Id="rId26" Type="http://schemas.openxmlformats.org/officeDocument/2006/relationships/hyperlink" Target="https://nation.marketo.com/t5/employee-blogs/marketing-automation-trends/ba-p/245233" TargetMode="External"/><Relationship Id="rId3" Type="http://schemas.openxmlformats.org/officeDocument/2006/relationships/styles" Target="styles.xml"/><Relationship Id="rId21" Type="http://schemas.openxmlformats.org/officeDocument/2006/relationships/hyperlink" Target="https://www.beuc.eu/sites/default/files/publications/beuc-x-2021-039_electric_cars_calculating_the_total_cost_of_ownership_for_consumers.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ov.uk/cma-cases/electric-vehicle-charging-market-study" TargetMode="External"/><Relationship Id="rId25" Type="http://schemas.openxmlformats.org/officeDocument/2006/relationships/hyperlink" Target="https://www.iea.org/reports/global-ev-outlook-2023"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theccc.org.uk/publication/2022-progress-report-to-parliament/" TargetMode="External"/><Relationship Id="rId20" Type="http://schemas.openxmlformats.org/officeDocument/2006/relationships/hyperlink" Target="https://assets.publishing.service.gov.uk/media/6245ba40e90e075f15381cf0/taking-charge-the-electric-vehicle-infrastructure-strategy.pdf" TargetMode="External"/><Relationship Id="rId29" Type="http://schemas.openxmlformats.org/officeDocument/2006/relationships/hyperlink" Target="https://www.racfoundation.org/media-centre/at-least-one-in-twenty-car-miles-driven-is-now-zero-emiss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legislation.gov.uk/uksi/2021/1392" TargetMode="External"/><Relationship Id="rId32" Type="http://schemas.openxmlformats.org/officeDocument/2006/relationships/hyperlink" Target="https://www.zap-map.com/statistics/" TargetMode="External"/><Relationship Id="rId5" Type="http://schemas.openxmlformats.org/officeDocument/2006/relationships/webSettings" Target="webSettings.xml"/><Relationship Id="rId15" Type="http://schemas.openxmlformats.org/officeDocument/2006/relationships/hyperlink" Target="https://www.bvrla.co.uk/" TargetMode="External"/><Relationship Id="rId23" Type="http://schemas.openxmlformats.org/officeDocument/2006/relationships/hyperlink" Target="https://www.gov.uk/corporation-tax-rates" TargetMode="External"/><Relationship Id="rId28" Type="http://schemas.openxmlformats.org/officeDocument/2006/relationships/hyperlink" Target="https://www.gov.uk/guidance/approval-process-for-ev-chargepoint-manufacturers" TargetMode="External"/><Relationship Id="rId10" Type="http://schemas.openxmlformats.org/officeDocument/2006/relationships/image" Target="media/image3.png"/><Relationship Id="rId19" Type="http://schemas.openxmlformats.org/officeDocument/2006/relationships/hyperlink" Target="https://assets.publishing.service.gov.uk/media/5d30996f40f0b64a7c3e9092/electric-vehicle-charging-in-residential-and-non-residential-buildings.pdf" TargetMode="External"/><Relationship Id="rId31" Type="http://schemas.openxmlformats.org/officeDocument/2006/relationships/hyperlink" Target="https://www.tescoplc.com/shoppers-can-now-collect-clubcard-points-for-charging-electric-vehicles-at-tesco-with-partner-po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rightedge.com/blog/organic-share-of-traffic-increases-to-53" TargetMode="External"/><Relationship Id="rId22" Type="http://schemas.openxmlformats.org/officeDocument/2006/relationships/hyperlink" Target="https://www.gov.uk/guidance/electric-vehicle-charging-infrastructure-help-for-local-authorities" TargetMode="External"/><Relationship Id="rId27" Type="http://schemas.openxmlformats.org/officeDocument/2006/relationships/hyperlink" Target="https://www.nielsen.com/wp-content/uploads/sites/2/2021/11/2021-Nielsen-Trust-In-Advertising-Sell-Sheet.pdf" TargetMode="External"/><Relationship Id="rId30" Type="http://schemas.openxmlformats.org/officeDocument/2006/relationships/hyperlink" Target="https://pdf.euro.savills.co.uk/uk/commercial---other/ev-charging-summer-2025-market-outlook.pdf"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Marquee">
      <a:dk1>
        <a:srgbClr val="000000"/>
      </a:dk1>
      <a:lt1>
        <a:sysClr val="window" lastClr="FFFFFF"/>
      </a:lt1>
      <a:dk2>
        <a:srgbClr val="5E5E5E"/>
      </a:dk2>
      <a:lt2>
        <a:srgbClr val="DDDDDD"/>
      </a:lt2>
      <a:accent1>
        <a:srgbClr val="418AB3"/>
      </a:accent1>
      <a:accent2>
        <a:srgbClr val="A6B727"/>
      </a:accent2>
      <a:accent3>
        <a:srgbClr val="F69200"/>
      </a:accent3>
      <a:accent4>
        <a:srgbClr val="838383"/>
      </a:accent4>
      <a:accent5>
        <a:srgbClr val="FEC306"/>
      </a:accent5>
      <a:accent6>
        <a:srgbClr val="DF5327"/>
      </a:accent6>
      <a:hlink>
        <a:srgbClr val="F59E00"/>
      </a:hlink>
      <a:folHlink>
        <a:srgbClr val="B2B2B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5A5752-92ED-48E3-B615-1E0417C3DE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4803</Words>
  <Characters>31654</Characters>
  <Application>Microsoft Office Word</Application>
  <DocSecurity>0</DocSecurity>
  <Lines>736</Lines>
  <Paragraphs>334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Naila Ahsan</dc:creator>
  <cp:keywords/>
  <dc:description/>
  <cp:lastModifiedBy>Naila Ahsan</cp:lastModifiedBy>
  <cp:revision>4</cp:revision>
  <dcterms:created xsi:type="dcterms:W3CDTF">2025-11-25T19:21:00Z</dcterms:created>
  <dcterms:modified xsi:type="dcterms:W3CDTF">2025-11-25T19:22:00Z</dcterms:modified>
</cp:coreProperties>
</file>