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1C26D" w14:textId="77777777" w:rsidR="00CE3BDB" w:rsidRPr="00E75DF5" w:rsidRDefault="00000000" w:rsidP="00CE3BDB">
      <w:pPr>
        <w:jc w:val="center"/>
        <w:rPr>
          <w:rFonts w:ascii="Arial" w:hAnsi="Arial" w:cs="Arial"/>
          <w:b/>
          <w:bCs/>
          <w:szCs w:val="24"/>
        </w:rPr>
      </w:pPr>
      <w:r w:rsidRPr="00E75DF5">
        <w:rPr>
          <w:rFonts w:ascii="Arial" w:hAnsi="Arial" w:cs="Arial"/>
          <w:b/>
          <w:bCs/>
          <w:szCs w:val="24"/>
        </w:rPr>
        <w:t xml:space="preserve">Assignment </w:t>
      </w:r>
      <w:r>
        <w:rPr>
          <w:rFonts w:ascii="Arial" w:hAnsi="Arial" w:cs="Arial"/>
          <w:b/>
          <w:bCs/>
          <w:szCs w:val="24"/>
        </w:rPr>
        <w:t>2</w:t>
      </w:r>
      <w:r w:rsidRPr="00E75DF5">
        <w:rPr>
          <w:rFonts w:ascii="Arial" w:hAnsi="Arial" w:cs="Arial"/>
          <w:b/>
          <w:bCs/>
          <w:szCs w:val="24"/>
        </w:rPr>
        <w:t xml:space="preserve"> </w:t>
      </w:r>
      <w:r>
        <w:rPr>
          <w:rFonts w:ascii="Arial" w:hAnsi="Arial" w:cs="Arial"/>
          <w:b/>
          <w:bCs/>
          <w:szCs w:val="24"/>
        </w:rPr>
        <w:t>Community Engagement</w:t>
      </w:r>
      <w:r w:rsidRPr="00E75DF5">
        <w:rPr>
          <w:rFonts w:ascii="Arial" w:hAnsi="Arial" w:cs="Arial"/>
          <w:b/>
          <w:bCs/>
          <w:szCs w:val="24"/>
        </w:rPr>
        <w:t xml:space="preserve"> (Individual report)</w:t>
      </w:r>
    </w:p>
    <w:p w14:paraId="6F4CB31A" w14:textId="77777777" w:rsidR="00CE3BDB" w:rsidRPr="00E75DF5" w:rsidRDefault="00000000" w:rsidP="00CE3BDB">
      <w:pPr>
        <w:jc w:val="center"/>
      </w:pPr>
      <w:r>
        <w:rPr>
          <w:noProof/>
        </w:rPr>
        <w:drawing>
          <wp:inline distT="0" distB="0" distL="0" distR="0" wp14:anchorId="74E7FC5A" wp14:editId="02C8FF50">
            <wp:extent cx="2758440" cy="1838960"/>
            <wp:effectExtent l="0" t="0" r="3810" b="889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758440" cy="1838960"/>
                    </a:xfrm>
                    <a:prstGeom prst="rect">
                      <a:avLst/>
                    </a:prstGeom>
                    <a:noFill/>
                    <a:ln>
                      <a:noFill/>
                    </a:ln>
                  </pic:spPr>
                </pic:pic>
              </a:graphicData>
            </a:graphic>
          </wp:inline>
        </w:drawing>
      </w:r>
    </w:p>
    <w:p w14:paraId="6C7FCEAD" w14:textId="77777777" w:rsidR="00CE3BDB" w:rsidRDefault="00CE3BDB" w:rsidP="00CE3BDB">
      <w:pPr>
        <w:pStyle w:val="Default"/>
        <w:spacing w:line="360" w:lineRule="auto"/>
        <w:jc w:val="center"/>
      </w:pPr>
    </w:p>
    <w:p w14:paraId="7E28A1C7" w14:textId="77777777" w:rsidR="00CE3BDB" w:rsidRPr="00B70B3B" w:rsidRDefault="00000000" w:rsidP="00CE3BDB">
      <w:pPr>
        <w:pStyle w:val="Default"/>
        <w:spacing w:line="360" w:lineRule="auto"/>
        <w:jc w:val="center"/>
      </w:pPr>
      <w:r>
        <w:t>Course: BA Business Management</w:t>
      </w:r>
    </w:p>
    <w:p w14:paraId="77D354E3" w14:textId="77777777" w:rsidR="00CE3BDB" w:rsidRPr="00B70B3B" w:rsidRDefault="00000000" w:rsidP="00CE3BDB">
      <w:pPr>
        <w:pStyle w:val="Default"/>
        <w:spacing w:line="360" w:lineRule="auto"/>
        <w:jc w:val="center"/>
      </w:pPr>
      <w:r w:rsidRPr="00B70B3B">
        <w:t>Module</w:t>
      </w:r>
      <w:r>
        <w:t xml:space="preserve"> name</w:t>
      </w:r>
      <w:r w:rsidRPr="00B70B3B">
        <w:t xml:space="preserve">: </w:t>
      </w:r>
      <w:r>
        <w:t>Community Engagement</w:t>
      </w:r>
    </w:p>
    <w:p w14:paraId="016C8394" w14:textId="77777777" w:rsidR="00CE3BDB" w:rsidRDefault="00000000" w:rsidP="00CE3BDB">
      <w:pPr>
        <w:pStyle w:val="Default"/>
        <w:spacing w:line="360" w:lineRule="auto"/>
        <w:jc w:val="center"/>
      </w:pPr>
      <w:r w:rsidRPr="00B70B3B">
        <w:t>Module Code: LCBB400</w:t>
      </w:r>
      <w:r>
        <w:t>2</w:t>
      </w:r>
    </w:p>
    <w:p w14:paraId="3B0062AA" w14:textId="77777777" w:rsidR="00CE3BDB" w:rsidRDefault="00000000" w:rsidP="00CE3BDB">
      <w:pPr>
        <w:jc w:val="center"/>
        <w:rPr>
          <w:rFonts w:ascii="Arial" w:hAnsi="Arial" w:cs="Arial"/>
          <w:sz w:val="24"/>
          <w:szCs w:val="24"/>
        </w:rPr>
      </w:pPr>
      <w:r w:rsidRPr="00910000">
        <w:rPr>
          <w:rFonts w:ascii="Arial" w:hAnsi="Arial" w:cs="Arial"/>
          <w:szCs w:val="24"/>
        </w:rPr>
        <w:t>Lecture name:</w:t>
      </w:r>
      <w:r>
        <w:rPr>
          <w:rFonts w:ascii="Arial" w:hAnsi="Arial" w:cs="Arial"/>
          <w:szCs w:val="24"/>
        </w:rPr>
        <w:t xml:space="preserve"> </w:t>
      </w:r>
      <w:r w:rsidRPr="0055199A">
        <w:rPr>
          <w:rFonts w:ascii="Arial" w:hAnsi="Arial" w:cs="Arial"/>
          <w:sz w:val="24"/>
          <w:szCs w:val="24"/>
        </w:rPr>
        <w:t>Dr</w:t>
      </w:r>
      <w:r w:rsidR="0055199A">
        <w:rPr>
          <w:rFonts w:ascii="Arial" w:hAnsi="Arial" w:cs="Arial"/>
          <w:sz w:val="24"/>
          <w:szCs w:val="24"/>
        </w:rPr>
        <w:t>.</w:t>
      </w:r>
      <w:r w:rsidRPr="0055199A">
        <w:rPr>
          <w:rFonts w:ascii="Arial" w:hAnsi="Arial" w:cs="Arial"/>
          <w:sz w:val="24"/>
          <w:szCs w:val="24"/>
        </w:rPr>
        <w:t xml:space="preserve"> Toyin Adisa</w:t>
      </w:r>
    </w:p>
    <w:p w14:paraId="18D5D972" w14:textId="77777777" w:rsidR="00091CCE" w:rsidRPr="00CE3BDB" w:rsidRDefault="00091CCE" w:rsidP="00CE3BDB">
      <w:pPr>
        <w:jc w:val="center"/>
        <w:rPr>
          <w:rFonts w:ascii="Arial" w:hAnsi="Arial" w:cs="Arial"/>
          <w:szCs w:val="24"/>
        </w:rPr>
      </w:pPr>
    </w:p>
    <w:p w14:paraId="5F03A681" w14:textId="77777777" w:rsidR="00CE3BDB" w:rsidRPr="00091CCE" w:rsidRDefault="00000000" w:rsidP="00CE3BDB">
      <w:pPr>
        <w:pStyle w:val="Default"/>
        <w:spacing w:line="360" w:lineRule="auto"/>
        <w:jc w:val="both"/>
        <w:rPr>
          <w:b/>
          <w:bCs/>
        </w:rPr>
      </w:pPr>
      <w:r w:rsidRPr="00091CCE">
        <w:rPr>
          <w:b/>
          <w:bCs/>
        </w:rPr>
        <w:t xml:space="preserve">Title of report: Assignment 2: Reflective Evaluation </w:t>
      </w:r>
      <w:r w:rsidR="00091CCE" w:rsidRPr="00091CCE">
        <w:rPr>
          <w:b/>
          <w:bCs/>
        </w:rPr>
        <w:t>on Community Engagement Project.</w:t>
      </w:r>
    </w:p>
    <w:p w14:paraId="2A1796A1" w14:textId="77777777" w:rsidR="00091CCE" w:rsidRDefault="00091CCE" w:rsidP="00CE3BDB">
      <w:pPr>
        <w:pStyle w:val="Default"/>
        <w:spacing w:line="360" w:lineRule="auto"/>
        <w:jc w:val="center"/>
      </w:pPr>
    </w:p>
    <w:p w14:paraId="65FA6A50" w14:textId="77777777" w:rsidR="00CE3BDB" w:rsidRPr="00B70B3B" w:rsidRDefault="00000000" w:rsidP="00CE3BDB">
      <w:pPr>
        <w:pStyle w:val="Default"/>
        <w:spacing w:line="360" w:lineRule="auto"/>
        <w:jc w:val="center"/>
      </w:pPr>
      <w:r>
        <w:t xml:space="preserve">Student name: </w:t>
      </w:r>
      <w:r w:rsidRPr="00B70B3B">
        <w:t>Mariya Stefanova</w:t>
      </w:r>
    </w:p>
    <w:p w14:paraId="52CD785F" w14:textId="77777777" w:rsidR="00CE3BDB" w:rsidRPr="00B70B3B" w:rsidRDefault="00000000" w:rsidP="00CE3BDB">
      <w:pPr>
        <w:pStyle w:val="Default"/>
        <w:spacing w:line="360" w:lineRule="auto"/>
        <w:jc w:val="center"/>
      </w:pPr>
      <w:r w:rsidRPr="00B70B3B">
        <w:t>Student ID</w:t>
      </w:r>
      <w:r>
        <w:t>/ Number</w:t>
      </w:r>
      <w:r w:rsidRPr="00B70B3B">
        <w:t>: 2124725</w:t>
      </w:r>
    </w:p>
    <w:p w14:paraId="2F8FB146" w14:textId="77777777" w:rsidR="00CE3BDB" w:rsidRPr="00B70B3B" w:rsidRDefault="00000000" w:rsidP="00CE3BDB">
      <w:pPr>
        <w:pStyle w:val="Default"/>
        <w:spacing w:line="360" w:lineRule="auto"/>
        <w:jc w:val="center"/>
      </w:pPr>
      <w:r w:rsidRPr="00B70B3B">
        <w:t xml:space="preserve">Submission deadline: </w:t>
      </w:r>
      <w:r w:rsidR="00091CCE">
        <w:t>09</w:t>
      </w:r>
      <w:r w:rsidRPr="00B70B3B">
        <w:t>.0</w:t>
      </w:r>
      <w:r>
        <w:t>9</w:t>
      </w:r>
      <w:r w:rsidRPr="00B70B3B">
        <w:t>.2022</w:t>
      </w:r>
    </w:p>
    <w:p w14:paraId="36909F53" w14:textId="77777777" w:rsidR="00CE3BDB" w:rsidRPr="00C54AA7" w:rsidRDefault="00CE3BDB" w:rsidP="00CE3BDB">
      <w:pPr>
        <w:jc w:val="center"/>
        <w:rPr>
          <w:rFonts w:ascii="Arial" w:hAnsi="Arial" w:cs="Arial"/>
          <w:b/>
          <w:szCs w:val="24"/>
        </w:rPr>
      </w:pPr>
    </w:p>
    <w:p w14:paraId="653D0546" w14:textId="77777777" w:rsidR="00CE3BDB" w:rsidRPr="00C54AA7" w:rsidRDefault="00CE3BDB" w:rsidP="00CE3BDB">
      <w:pPr>
        <w:jc w:val="center"/>
        <w:rPr>
          <w:rFonts w:ascii="Arial" w:hAnsi="Arial" w:cs="Arial"/>
          <w:szCs w:val="24"/>
        </w:rPr>
      </w:pPr>
    </w:p>
    <w:p w14:paraId="71002B43" w14:textId="77777777" w:rsidR="00CE3BDB" w:rsidRPr="00C54AA7" w:rsidRDefault="00CE3BDB" w:rsidP="00CE3BDB">
      <w:pPr>
        <w:rPr>
          <w:rFonts w:ascii="Arial" w:hAnsi="Arial" w:cs="Arial"/>
          <w:szCs w:val="24"/>
        </w:rPr>
      </w:pPr>
    </w:p>
    <w:p w14:paraId="2E88AB91" w14:textId="77777777" w:rsidR="00CE3BDB" w:rsidRPr="00C54AA7" w:rsidRDefault="00CE3BDB" w:rsidP="00CE3BDB">
      <w:pPr>
        <w:rPr>
          <w:rFonts w:ascii="Arial" w:hAnsi="Arial" w:cs="Arial"/>
          <w:szCs w:val="24"/>
        </w:rPr>
      </w:pPr>
    </w:p>
    <w:p w14:paraId="4C2AA7D3" w14:textId="77777777" w:rsidR="002A417A" w:rsidRDefault="002A417A" w:rsidP="002A417A">
      <w:pPr>
        <w:spacing w:line="480" w:lineRule="auto"/>
        <w:jc w:val="center"/>
        <w:rPr>
          <w:rFonts w:ascii="Times New Roman" w:hAnsi="Times New Roman" w:cs="Times New Roman"/>
          <w:b/>
          <w:bCs/>
          <w:sz w:val="24"/>
          <w:szCs w:val="24"/>
        </w:rPr>
      </w:pPr>
    </w:p>
    <w:p w14:paraId="1B7534CD" w14:textId="77777777" w:rsidR="002A417A" w:rsidRDefault="002A417A" w:rsidP="002A417A">
      <w:pPr>
        <w:spacing w:line="480" w:lineRule="auto"/>
        <w:jc w:val="center"/>
        <w:rPr>
          <w:rFonts w:ascii="Times New Roman" w:hAnsi="Times New Roman" w:cs="Times New Roman"/>
          <w:b/>
          <w:bCs/>
          <w:sz w:val="24"/>
          <w:szCs w:val="24"/>
        </w:rPr>
      </w:pPr>
    </w:p>
    <w:p w14:paraId="7A776C91" w14:textId="77777777" w:rsidR="002A417A" w:rsidRDefault="002A417A" w:rsidP="002A417A">
      <w:pPr>
        <w:spacing w:line="480" w:lineRule="auto"/>
        <w:jc w:val="center"/>
        <w:rPr>
          <w:rFonts w:ascii="Times New Roman" w:hAnsi="Times New Roman" w:cs="Times New Roman"/>
          <w:b/>
          <w:bCs/>
          <w:sz w:val="24"/>
          <w:szCs w:val="24"/>
        </w:rPr>
      </w:pPr>
    </w:p>
    <w:p w14:paraId="528CFD8C" w14:textId="77777777" w:rsidR="002A417A" w:rsidRDefault="002A417A" w:rsidP="002A417A">
      <w:pPr>
        <w:spacing w:line="480" w:lineRule="auto"/>
        <w:jc w:val="center"/>
        <w:rPr>
          <w:rFonts w:ascii="Times New Roman" w:hAnsi="Times New Roman" w:cs="Times New Roman"/>
          <w:b/>
          <w:bCs/>
          <w:sz w:val="24"/>
          <w:szCs w:val="24"/>
        </w:rPr>
      </w:pPr>
    </w:p>
    <w:p w14:paraId="05E7BBE7" w14:textId="77777777" w:rsidR="002A417A" w:rsidRDefault="002A417A" w:rsidP="002A417A">
      <w:pPr>
        <w:spacing w:line="480" w:lineRule="auto"/>
        <w:jc w:val="center"/>
        <w:rPr>
          <w:rFonts w:ascii="Times New Roman" w:hAnsi="Times New Roman" w:cs="Times New Roman"/>
          <w:b/>
          <w:bCs/>
          <w:sz w:val="24"/>
          <w:szCs w:val="24"/>
        </w:rPr>
      </w:pPr>
    </w:p>
    <w:p w14:paraId="262050CE" w14:textId="77777777" w:rsidR="002A417A" w:rsidRDefault="002A417A" w:rsidP="002A417A">
      <w:pPr>
        <w:spacing w:line="480" w:lineRule="auto"/>
        <w:jc w:val="center"/>
        <w:rPr>
          <w:rFonts w:ascii="Times New Roman" w:hAnsi="Times New Roman" w:cs="Times New Roman"/>
          <w:b/>
          <w:bCs/>
          <w:sz w:val="24"/>
          <w:szCs w:val="24"/>
        </w:rPr>
      </w:pPr>
    </w:p>
    <w:sdt>
      <w:sdtPr>
        <w:rPr>
          <w:rFonts w:asciiTheme="minorHAnsi" w:eastAsiaTheme="minorHAnsi" w:hAnsiTheme="minorHAnsi" w:cstheme="minorBidi"/>
          <w:color w:val="auto"/>
          <w:sz w:val="22"/>
          <w:szCs w:val="22"/>
          <w:lang w:val="en-GB"/>
        </w:rPr>
        <w:id w:val="1402250935"/>
        <w:docPartObj>
          <w:docPartGallery w:val="Table of Contents"/>
          <w:docPartUnique/>
        </w:docPartObj>
      </w:sdtPr>
      <w:sdtEndPr>
        <w:rPr>
          <w:b/>
          <w:bCs/>
          <w:noProof/>
        </w:rPr>
      </w:sdtEndPr>
      <w:sdtContent>
        <w:p w14:paraId="40C8B80B" w14:textId="77777777" w:rsidR="00A13390" w:rsidRPr="00E5027F" w:rsidRDefault="00000000" w:rsidP="00A13390">
          <w:pPr>
            <w:pStyle w:val="TOCHeading"/>
            <w:jc w:val="center"/>
            <w:rPr>
              <w:b/>
              <w:bCs/>
              <w:color w:val="auto"/>
            </w:rPr>
          </w:pPr>
          <w:r w:rsidRPr="00E5027F">
            <w:rPr>
              <w:b/>
              <w:bCs/>
              <w:color w:val="auto"/>
            </w:rPr>
            <w:t>Table of Contents</w:t>
          </w:r>
        </w:p>
        <w:p w14:paraId="6F49433A" w14:textId="77777777" w:rsidR="00A13390" w:rsidRPr="00A13390" w:rsidRDefault="00A13390" w:rsidP="00A13390">
          <w:pPr>
            <w:rPr>
              <w:lang w:val="en-US"/>
            </w:rPr>
          </w:pPr>
        </w:p>
        <w:p w14:paraId="3F70E626" w14:textId="42746C62" w:rsidR="00E5027F"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617360" w:history="1">
            <w:r w:rsidR="00E5027F" w:rsidRPr="008B2E87">
              <w:rPr>
                <w:rStyle w:val="Hyperlink"/>
                <w:rFonts w:ascii="Arial" w:hAnsi="Arial" w:cs="Arial"/>
                <w:b/>
                <w:bCs/>
                <w:noProof/>
                <w:lang w:val="en-US"/>
              </w:rPr>
              <w:t>Abstract</w:t>
            </w:r>
            <w:r w:rsidR="00E5027F">
              <w:rPr>
                <w:noProof/>
                <w:webHidden/>
              </w:rPr>
              <w:tab/>
            </w:r>
            <w:r w:rsidR="00E5027F">
              <w:rPr>
                <w:noProof/>
                <w:webHidden/>
              </w:rPr>
              <w:fldChar w:fldCharType="begin"/>
            </w:r>
            <w:r w:rsidR="00E5027F">
              <w:rPr>
                <w:noProof/>
                <w:webHidden/>
              </w:rPr>
              <w:instrText xml:space="preserve"> PAGEREF _Toc112617360 \h </w:instrText>
            </w:r>
            <w:r w:rsidR="00E5027F">
              <w:rPr>
                <w:noProof/>
                <w:webHidden/>
              </w:rPr>
            </w:r>
            <w:r w:rsidR="00E5027F">
              <w:rPr>
                <w:noProof/>
                <w:webHidden/>
              </w:rPr>
              <w:fldChar w:fldCharType="separate"/>
            </w:r>
            <w:r w:rsidR="00E5027F">
              <w:rPr>
                <w:noProof/>
                <w:webHidden/>
              </w:rPr>
              <w:t>3</w:t>
            </w:r>
            <w:r w:rsidR="00E5027F">
              <w:rPr>
                <w:noProof/>
                <w:webHidden/>
              </w:rPr>
              <w:fldChar w:fldCharType="end"/>
            </w:r>
          </w:hyperlink>
        </w:p>
        <w:p w14:paraId="693A0C3B" w14:textId="7BDC50AF" w:rsidR="00E5027F" w:rsidRDefault="00E5027F">
          <w:pPr>
            <w:pStyle w:val="TOC1"/>
            <w:tabs>
              <w:tab w:val="right" w:leader="dot" w:pos="9016"/>
            </w:tabs>
            <w:rPr>
              <w:rFonts w:eastAsiaTheme="minorEastAsia"/>
              <w:noProof/>
              <w:lang w:eastAsia="en-GB"/>
            </w:rPr>
          </w:pPr>
          <w:hyperlink w:anchor="_Toc112617361" w:history="1">
            <w:r w:rsidRPr="008B2E87">
              <w:rPr>
                <w:rStyle w:val="Hyperlink"/>
                <w:rFonts w:ascii="Arial" w:hAnsi="Arial" w:cs="Arial"/>
                <w:b/>
                <w:bCs/>
                <w:noProof/>
                <w:lang w:val="en-US"/>
              </w:rPr>
              <w:t>1. Introduction</w:t>
            </w:r>
            <w:r>
              <w:rPr>
                <w:noProof/>
                <w:webHidden/>
              </w:rPr>
              <w:tab/>
            </w:r>
            <w:r>
              <w:rPr>
                <w:noProof/>
                <w:webHidden/>
              </w:rPr>
              <w:fldChar w:fldCharType="begin"/>
            </w:r>
            <w:r>
              <w:rPr>
                <w:noProof/>
                <w:webHidden/>
              </w:rPr>
              <w:instrText xml:space="preserve"> PAGEREF _Toc112617361 \h </w:instrText>
            </w:r>
            <w:r>
              <w:rPr>
                <w:noProof/>
                <w:webHidden/>
              </w:rPr>
            </w:r>
            <w:r>
              <w:rPr>
                <w:noProof/>
                <w:webHidden/>
              </w:rPr>
              <w:fldChar w:fldCharType="separate"/>
            </w:r>
            <w:r>
              <w:rPr>
                <w:noProof/>
                <w:webHidden/>
              </w:rPr>
              <w:t>4</w:t>
            </w:r>
            <w:r>
              <w:rPr>
                <w:noProof/>
                <w:webHidden/>
              </w:rPr>
              <w:fldChar w:fldCharType="end"/>
            </w:r>
          </w:hyperlink>
        </w:p>
        <w:p w14:paraId="72F417C3" w14:textId="59E185BC" w:rsidR="00E5027F" w:rsidRDefault="00E5027F">
          <w:pPr>
            <w:pStyle w:val="TOC1"/>
            <w:tabs>
              <w:tab w:val="right" w:leader="dot" w:pos="9016"/>
            </w:tabs>
            <w:rPr>
              <w:rFonts w:eastAsiaTheme="minorEastAsia"/>
              <w:noProof/>
              <w:lang w:eastAsia="en-GB"/>
            </w:rPr>
          </w:pPr>
          <w:hyperlink w:anchor="_Toc112617362" w:history="1">
            <w:r w:rsidRPr="008B2E87">
              <w:rPr>
                <w:rStyle w:val="Hyperlink"/>
                <w:rFonts w:ascii="Arial" w:hAnsi="Arial" w:cs="Arial"/>
                <w:b/>
                <w:bCs/>
                <w:noProof/>
                <w:lang w:val="en-US"/>
              </w:rPr>
              <w:t>2. Perspectives of Community Engagement</w:t>
            </w:r>
            <w:r>
              <w:rPr>
                <w:noProof/>
                <w:webHidden/>
              </w:rPr>
              <w:tab/>
            </w:r>
            <w:r>
              <w:rPr>
                <w:noProof/>
                <w:webHidden/>
              </w:rPr>
              <w:fldChar w:fldCharType="begin"/>
            </w:r>
            <w:r>
              <w:rPr>
                <w:noProof/>
                <w:webHidden/>
              </w:rPr>
              <w:instrText xml:space="preserve"> PAGEREF _Toc112617362 \h </w:instrText>
            </w:r>
            <w:r>
              <w:rPr>
                <w:noProof/>
                <w:webHidden/>
              </w:rPr>
            </w:r>
            <w:r>
              <w:rPr>
                <w:noProof/>
                <w:webHidden/>
              </w:rPr>
              <w:fldChar w:fldCharType="separate"/>
            </w:r>
            <w:r>
              <w:rPr>
                <w:noProof/>
                <w:webHidden/>
              </w:rPr>
              <w:t>4</w:t>
            </w:r>
            <w:r>
              <w:rPr>
                <w:noProof/>
                <w:webHidden/>
              </w:rPr>
              <w:fldChar w:fldCharType="end"/>
            </w:r>
          </w:hyperlink>
        </w:p>
        <w:p w14:paraId="19407600" w14:textId="23B2784E" w:rsidR="00E5027F" w:rsidRDefault="00E5027F">
          <w:pPr>
            <w:pStyle w:val="TOC1"/>
            <w:tabs>
              <w:tab w:val="right" w:leader="dot" w:pos="9016"/>
            </w:tabs>
            <w:rPr>
              <w:rFonts w:eastAsiaTheme="minorEastAsia"/>
              <w:noProof/>
              <w:lang w:eastAsia="en-GB"/>
            </w:rPr>
          </w:pPr>
          <w:hyperlink w:anchor="_Toc112617363" w:history="1">
            <w:r w:rsidRPr="008B2E87">
              <w:rPr>
                <w:rStyle w:val="Hyperlink"/>
                <w:rFonts w:ascii="Arial" w:hAnsi="Arial" w:cs="Arial"/>
                <w:b/>
                <w:bCs/>
                <w:noProof/>
                <w:lang w:val="en-US"/>
              </w:rPr>
              <w:t>3. Benefits of Community Engagement</w:t>
            </w:r>
            <w:r>
              <w:rPr>
                <w:noProof/>
                <w:webHidden/>
              </w:rPr>
              <w:tab/>
            </w:r>
            <w:r>
              <w:rPr>
                <w:noProof/>
                <w:webHidden/>
              </w:rPr>
              <w:fldChar w:fldCharType="begin"/>
            </w:r>
            <w:r>
              <w:rPr>
                <w:noProof/>
                <w:webHidden/>
              </w:rPr>
              <w:instrText xml:space="preserve"> PAGEREF _Toc112617363 \h </w:instrText>
            </w:r>
            <w:r>
              <w:rPr>
                <w:noProof/>
                <w:webHidden/>
              </w:rPr>
            </w:r>
            <w:r>
              <w:rPr>
                <w:noProof/>
                <w:webHidden/>
              </w:rPr>
              <w:fldChar w:fldCharType="separate"/>
            </w:r>
            <w:r>
              <w:rPr>
                <w:noProof/>
                <w:webHidden/>
              </w:rPr>
              <w:t>5</w:t>
            </w:r>
            <w:r>
              <w:rPr>
                <w:noProof/>
                <w:webHidden/>
              </w:rPr>
              <w:fldChar w:fldCharType="end"/>
            </w:r>
          </w:hyperlink>
        </w:p>
        <w:p w14:paraId="58FB8FAD" w14:textId="4DE8A4B3" w:rsidR="00E5027F" w:rsidRDefault="00E5027F">
          <w:pPr>
            <w:pStyle w:val="TOC1"/>
            <w:tabs>
              <w:tab w:val="right" w:leader="dot" w:pos="9016"/>
            </w:tabs>
            <w:rPr>
              <w:rFonts w:eastAsiaTheme="minorEastAsia"/>
              <w:noProof/>
              <w:lang w:eastAsia="en-GB"/>
            </w:rPr>
          </w:pPr>
          <w:hyperlink w:anchor="_Toc112617364" w:history="1">
            <w:r w:rsidRPr="008B2E87">
              <w:rPr>
                <w:rStyle w:val="Hyperlink"/>
                <w:rFonts w:ascii="Arial" w:hAnsi="Arial" w:cs="Arial"/>
                <w:b/>
                <w:bCs/>
                <w:noProof/>
                <w:lang w:val="en-US"/>
              </w:rPr>
              <w:t>4. Challenges of Community Engagement</w:t>
            </w:r>
            <w:r>
              <w:rPr>
                <w:noProof/>
                <w:webHidden/>
              </w:rPr>
              <w:tab/>
            </w:r>
            <w:r>
              <w:rPr>
                <w:noProof/>
                <w:webHidden/>
              </w:rPr>
              <w:fldChar w:fldCharType="begin"/>
            </w:r>
            <w:r>
              <w:rPr>
                <w:noProof/>
                <w:webHidden/>
              </w:rPr>
              <w:instrText xml:space="preserve"> PAGEREF _Toc112617364 \h </w:instrText>
            </w:r>
            <w:r>
              <w:rPr>
                <w:noProof/>
                <w:webHidden/>
              </w:rPr>
            </w:r>
            <w:r>
              <w:rPr>
                <w:noProof/>
                <w:webHidden/>
              </w:rPr>
              <w:fldChar w:fldCharType="separate"/>
            </w:r>
            <w:r>
              <w:rPr>
                <w:noProof/>
                <w:webHidden/>
              </w:rPr>
              <w:t>6</w:t>
            </w:r>
            <w:r>
              <w:rPr>
                <w:noProof/>
                <w:webHidden/>
              </w:rPr>
              <w:fldChar w:fldCharType="end"/>
            </w:r>
          </w:hyperlink>
        </w:p>
        <w:p w14:paraId="45C3CA19" w14:textId="0A583163" w:rsidR="00E5027F" w:rsidRDefault="00E5027F">
          <w:pPr>
            <w:pStyle w:val="TOC1"/>
            <w:tabs>
              <w:tab w:val="right" w:leader="dot" w:pos="9016"/>
            </w:tabs>
            <w:rPr>
              <w:rFonts w:eastAsiaTheme="minorEastAsia"/>
              <w:noProof/>
              <w:lang w:eastAsia="en-GB"/>
            </w:rPr>
          </w:pPr>
          <w:hyperlink w:anchor="_Toc112617365" w:history="1">
            <w:r w:rsidRPr="008B2E87">
              <w:rPr>
                <w:rStyle w:val="Hyperlink"/>
                <w:rFonts w:ascii="Arial" w:hAnsi="Arial" w:cs="Arial"/>
                <w:b/>
                <w:bCs/>
                <w:noProof/>
                <w:lang w:val="en-US"/>
              </w:rPr>
              <w:t>5. Analysis of the Challenges</w:t>
            </w:r>
            <w:r>
              <w:rPr>
                <w:noProof/>
                <w:webHidden/>
              </w:rPr>
              <w:tab/>
            </w:r>
            <w:r>
              <w:rPr>
                <w:noProof/>
                <w:webHidden/>
              </w:rPr>
              <w:fldChar w:fldCharType="begin"/>
            </w:r>
            <w:r>
              <w:rPr>
                <w:noProof/>
                <w:webHidden/>
              </w:rPr>
              <w:instrText xml:space="preserve"> PAGEREF _Toc112617365 \h </w:instrText>
            </w:r>
            <w:r>
              <w:rPr>
                <w:noProof/>
                <w:webHidden/>
              </w:rPr>
            </w:r>
            <w:r>
              <w:rPr>
                <w:noProof/>
                <w:webHidden/>
              </w:rPr>
              <w:fldChar w:fldCharType="separate"/>
            </w:r>
            <w:r>
              <w:rPr>
                <w:noProof/>
                <w:webHidden/>
              </w:rPr>
              <w:t>7</w:t>
            </w:r>
            <w:r>
              <w:rPr>
                <w:noProof/>
                <w:webHidden/>
              </w:rPr>
              <w:fldChar w:fldCharType="end"/>
            </w:r>
          </w:hyperlink>
        </w:p>
        <w:p w14:paraId="032CEA4A" w14:textId="2B0517B1" w:rsidR="00E5027F" w:rsidRDefault="00E5027F">
          <w:pPr>
            <w:pStyle w:val="TOC1"/>
            <w:tabs>
              <w:tab w:val="right" w:leader="dot" w:pos="9016"/>
            </w:tabs>
            <w:rPr>
              <w:rFonts w:eastAsiaTheme="minorEastAsia"/>
              <w:noProof/>
              <w:lang w:eastAsia="en-GB"/>
            </w:rPr>
          </w:pPr>
          <w:hyperlink w:anchor="_Toc112617366" w:history="1">
            <w:r w:rsidRPr="008B2E87">
              <w:rPr>
                <w:rStyle w:val="Hyperlink"/>
                <w:rFonts w:ascii="Arial" w:hAnsi="Arial" w:cs="Arial"/>
                <w:b/>
                <w:bCs/>
                <w:noProof/>
                <w:lang w:val="en-US"/>
              </w:rPr>
              <w:t>6. Strategies to Engage the Stakeholders</w:t>
            </w:r>
            <w:r>
              <w:rPr>
                <w:noProof/>
                <w:webHidden/>
              </w:rPr>
              <w:tab/>
            </w:r>
            <w:r>
              <w:rPr>
                <w:noProof/>
                <w:webHidden/>
              </w:rPr>
              <w:fldChar w:fldCharType="begin"/>
            </w:r>
            <w:r>
              <w:rPr>
                <w:noProof/>
                <w:webHidden/>
              </w:rPr>
              <w:instrText xml:space="preserve"> PAGEREF _Toc112617366 \h </w:instrText>
            </w:r>
            <w:r>
              <w:rPr>
                <w:noProof/>
                <w:webHidden/>
              </w:rPr>
            </w:r>
            <w:r>
              <w:rPr>
                <w:noProof/>
                <w:webHidden/>
              </w:rPr>
              <w:fldChar w:fldCharType="separate"/>
            </w:r>
            <w:r>
              <w:rPr>
                <w:noProof/>
                <w:webHidden/>
              </w:rPr>
              <w:t>8</w:t>
            </w:r>
            <w:r>
              <w:rPr>
                <w:noProof/>
                <w:webHidden/>
              </w:rPr>
              <w:fldChar w:fldCharType="end"/>
            </w:r>
          </w:hyperlink>
        </w:p>
        <w:p w14:paraId="6D24DE1D" w14:textId="7C08C756" w:rsidR="00E5027F" w:rsidRDefault="00E5027F">
          <w:pPr>
            <w:pStyle w:val="TOC1"/>
            <w:tabs>
              <w:tab w:val="right" w:leader="dot" w:pos="9016"/>
            </w:tabs>
            <w:rPr>
              <w:rFonts w:eastAsiaTheme="minorEastAsia"/>
              <w:noProof/>
              <w:lang w:eastAsia="en-GB"/>
            </w:rPr>
          </w:pPr>
          <w:hyperlink w:anchor="_Toc112617367" w:history="1">
            <w:r w:rsidRPr="008B2E87">
              <w:rPr>
                <w:rStyle w:val="Hyperlink"/>
                <w:rFonts w:ascii="Arial" w:hAnsi="Arial" w:cs="Arial"/>
                <w:b/>
                <w:bCs/>
                <w:noProof/>
                <w:lang w:val="en-US"/>
              </w:rPr>
              <w:t>7. Media Tools Used to Engage Stakeholders</w:t>
            </w:r>
            <w:r>
              <w:rPr>
                <w:noProof/>
                <w:webHidden/>
              </w:rPr>
              <w:tab/>
            </w:r>
            <w:r>
              <w:rPr>
                <w:noProof/>
                <w:webHidden/>
              </w:rPr>
              <w:fldChar w:fldCharType="begin"/>
            </w:r>
            <w:r>
              <w:rPr>
                <w:noProof/>
                <w:webHidden/>
              </w:rPr>
              <w:instrText xml:space="preserve"> PAGEREF _Toc112617367 \h </w:instrText>
            </w:r>
            <w:r>
              <w:rPr>
                <w:noProof/>
                <w:webHidden/>
              </w:rPr>
            </w:r>
            <w:r>
              <w:rPr>
                <w:noProof/>
                <w:webHidden/>
              </w:rPr>
              <w:fldChar w:fldCharType="separate"/>
            </w:r>
            <w:r>
              <w:rPr>
                <w:noProof/>
                <w:webHidden/>
              </w:rPr>
              <w:t>8</w:t>
            </w:r>
            <w:r>
              <w:rPr>
                <w:noProof/>
                <w:webHidden/>
              </w:rPr>
              <w:fldChar w:fldCharType="end"/>
            </w:r>
          </w:hyperlink>
        </w:p>
        <w:p w14:paraId="3A69F872" w14:textId="3C960DF2" w:rsidR="00E5027F" w:rsidRDefault="00E5027F">
          <w:pPr>
            <w:pStyle w:val="TOC1"/>
            <w:tabs>
              <w:tab w:val="right" w:leader="dot" w:pos="9016"/>
            </w:tabs>
            <w:rPr>
              <w:rFonts w:eastAsiaTheme="minorEastAsia"/>
              <w:noProof/>
              <w:lang w:eastAsia="en-GB"/>
            </w:rPr>
          </w:pPr>
          <w:hyperlink w:anchor="_Toc112617368" w:history="1">
            <w:r w:rsidRPr="008B2E87">
              <w:rPr>
                <w:rStyle w:val="Hyperlink"/>
                <w:rFonts w:ascii="Arial" w:hAnsi="Arial" w:cs="Arial"/>
                <w:b/>
                <w:bCs/>
                <w:noProof/>
                <w:lang w:val="en-US"/>
              </w:rPr>
              <w:t>8. Conclusion</w:t>
            </w:r>
            <w:r>
              <w:rPr>
                <w:noProof/>
                <w:webHidden/>
              </w:rPr>
              <w:tab/>
            </w:r>
            <w:r>
              <w:rPr>
                <w:noProof/>
                <w:webHidden/>
              </w:rPr>
              <w:fldChar w:fldCharType="begin"/>
            </w:r>
            <w:r>
              <w:rPr>
                <w:noProof/>
                <w:webHidden/>
              </w:rPr>
              <w:instrText xml:space="preserve"> PAGEREF _Toc112617368 \h </w:instrText>
            </w:r>
            <w:r>
              <w:rPr>
                <w:noProof/>
                <w:webHidden/>
              </w:rPr>
            </w:r>
            <w:r>
              <w:rPr>
                <w:noProof/>
                <w:webHidden/>
              </w:rPr>
              <w:fldChar w:fldCharType="separate"/>
            </w:r>
            <w:r>
              <w:rPr>
                <w:noProof/>
                <w:webHidden/>
              </w:rPr>
              <w:t>9</w:t>
            </w:r>
            <w:r>
              <w:rPr>
                <w:noProof/>
                <w:webHidden/>
              </w:rPr>
              <w:fldChar w:fldCharType="end"/>
            </w:r>
          </w:hyperlink>
        </w:p>
        <w:p w14:paraId="0E6D0C34" w14:textId="2D83F385" w:rsidR="00E5027F" w:rsidRDefault="00E5027F">
          <w:pPr>
            <w:pStyle w:val="TOC1"/>
            <w:tabs>
              <w:tab w:val="right" w:leader="dot" w:pos="9016"/>
            </w:tabs>
            <w:rPr>
              <w:rFonts w:eastAsiaTheme="minorEastAsia"/>
              <w:noProof/>
              <w:lang w:eastAsia="en-GB"/>
            </w:rPr>
          </w:pPr>
          <w:hyperlink w:anchor="_Toc112617369" w:history="1">
            <w:r w:rsidRPr="008B2E87">
              <w:rPr>
                <w:rStyle w:val="Hyperlink"/>
                <w:rFonts w:ascii="Arial" w:hAnsi="Arial" w:cs="Arial"/>
                <w:b/>
                <w:bCs/>
                <w:noProof/>
                <w:lang w:val="en-US"/>
              </w:rPr>
              <w:t>9. Recommendations</w:t>
            </w:r>
            <w:r>
              <w:rPr>
                <w:noProof/>
                <w:webHidden/>
              </w:rPr>
              <w:tab/>
            </w:r>
            <w:r>
              <w:rPr>
                <w:noProof/>
                <w:webHidden/>
              </w:rPr>
              <w:fldChar w:fldCharType="begin"/>
            </w:r>
            <w:r>
              <w:rPr>
                <w:noProof/>
                <w:webHidden/>
              </w:rPr>
              <w:instrText xml:space="preserve"> PAGEREF _Toc112617369 \h </w:instrText>
            </w:r>
            <w:r>
              <w:rPr>
                <w:noProof/>
                <w:webHidden/>
              </w:rPr>
            </w:r>
            <w:r>
              <w:rPr>
                <w:noProof/>
                <w:webHidden/>
              </w:rPr>
              <w:fldChar w:fldCharType="separate"/>
            </w:r>
            <w:r>
              <w:rPr>
                <w:noProof/>
                <w:webHidden/>
              </w:rPr>
              <w:t>9</w:t>
            </w:r>
            <w:r>
              <w:rPr>
                <w:noProof/>
                <w:webHidden/>
              </w:rPr>
              <w:fldChar w:fldCharType="end"/>
            </w:r>
          </w:hyperlink>
        </w:p>
        <w:p w14:paraId="0879D1C1" w14:textId="07CC99BD" w:rsidR="00E5027F" w:rsidRDefault="00E5027F">
          <w:pPr>
            <w:pStyle w:val="TOC1"/>
            <w:tabs>
              <w:tab w:val="right" w:leader="dot" w:pos="9016"/>
            </w:tabs>
            <w:rPr>
              <w:rFonts w:eastAsiaTheme="minorEastAsia"/>
              <w:noProof/>
              <w:lang w:eastAsia="en-GB"/>
            </w:rPr>
          </w:pPr>
          <w:hyperlink w:anchor="_Toc112617370" w:history="1">
            <w:r w:rsidRPr="008B2E87">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_Toc112617370 \h </w:instrText>
            </w:r>
            <w:r>
              <w:rPr>
                <w:noProof/>
                <w:webHidden/>
              </w:rPr>
            </w:r>
            <w:r>
              <w:rPr>
                <w:noProof/>
                <w:webHidden/>
              </w:rPr>
              <w:fldChar w:fldCharType="separate"/>
            </w:r>
            <w:r>
              <w:rPr>
                <w:noProof/>
                <w:webHidden/>
              </w:rPr>
              <w:t>10</w:t>
            </w:r>
            <w:r>
              <w:rPr>
                <w:noProof/>
                <w:webHidden/>
              </w:rPr>
              <w:fldChar w:fldCharType="end"/>
            </w:r>
          </w:hyperlink>
        </w:p>
        <w:p w14:paraId="64E5D206" w14:textId="447088B1" w:rsidR="00A13390" w:rsidRDefault="00000000">
          <w:r>
            <w:rPr>
              <w:b/>
              <w:bCs/>
              <w:noProof/>
            </w:rPr>
            <w:fldChar w:fldCharType="end"/>
          </w:r>
        </w:p>
      </w:sdtContent>
    </w:sdt>
    <w:p w14:paraId="5FB72571" w14:textId="77777777" w:rsidR="002A417A" w:rsidRDefault="00000000" w:rsidP="002A417A">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10244429" w14:textId="77777777" w:rsidR="002A417A" w:rsidRPr="00E5027F" w:rsidRDefault="00000000" w:rsidP="00695BD1">
      <w:pPr>
        <w:pStyle w:val="Heading1"/>
        <w:spacing w:line="360" w:lineRule="auto"/>
        <w:jc w:val="center"/>
        <w:rPr>
          <w:rFonts w:ascii="Arial" w:hAnsi="Arial" w:cs="Arial"/>
          <w:b/>
          <w:bCs/>
          <w:color w:val="auto"/>
          <w:sz w:val="24"/>
          <w:szCs w:val="24"/>
          <w:lang w:val="en-US"/>
        </w:rPr>
      </w:pPr>
      <w:bookmarkStart w:id="0" w:name="_Toc112617360"/>
      <w:r w:rsidRPr="00E5027F">
        <w:rPr>
          <w:rFonts w:ascii="Arial" w:hAnsi="Arial" w:cs="Arial"/>
          <w:b/>
          <w:bCs/>
          <w:color w:val="auto"/>
          <w:sz w:val="24"/>
          <w:szCs w:val="24"/>
          <w:lang w:val="en-US"/>
        </w:rPr>
        <w:lastRenderedPageBreak/>
        <w:t>Abstract</w:t>
      </w:r>
      <w:bookmarkEnd w:id="0"/>
    </w:p>
    <w:p w14:paraId="5A577FC8" w14:textId="77777777" w:rsidR="002A417A"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Community engagement is a strategy of partnering with community members to active a purpose and has become a necessity in modern society. This discussion has </w:t>
      </w:r>
      <w:r w:rsidR="00444354" w:rsidRPr="00A13390">
        <w:rPr>
          <w:rFonts w:ascii="Arial" w:hAnsi="Arial" w:cs="Arial"/>
          <w:sz w:val="24"/>
          <w:szCs w:val="24"/>
          <w:lang w:val="en-US"/>
        </w:rPr>
        <w:t xml:space="preserve">explored </w:t>
      </w:r>
      <w:r w:rsidRPr="00A13390">
        <w:rPr>
          <w:rFonts w:ascii="Arial" w:hAnsi="Arial" w:cs="Arial"/>
          <w:sz w:val="24"/>
          <w:szCs w:val="24"/>
          <w:lang w:val="en-US"/>
        </w:rPr>
        <w:t>stakeholders' engagement through various media,</w:t>
      </w:r>
      <w:r w:rsidR="00444354" w:rsidRPr="00A13390">
        <w:rPr>
          <w:rFonts w:ascii="Arial" w:hAnsi="Arial" w:cs="Arial"/>
          <w:sz w:val="24"/>
          <w:szCs w:val="24"/>
          <w:lang w:val="en-US"/>
        </w:rPr>
        <w:t>' perspectives on community engagement, benefits, and challenges. Stakeholder engagement strategies were also identified and established as part of this process. The report also included a narrative that explained how various social media platforms could  be leveraged to support the proje</w:t>
      </w:r>
      <w:r w:rsidR="00D770C2" w:rsidRPr="00A13390">
        <w:rPr>
          <w:rFonts w:ascii="Arial" w:hAnsi="Arial" w:cs="Arial"/>
          <w:sz w:val="24"/>
          <w:szCs w:val="24"/>
          <w:lang w:val="en-US"/>
        </w:rPr>
        <w:t>ct's outreach. Lastly, various challenges</w:t>
      </w:r>
      <w:r w:rsidR="00444354" w:rsidRPr="00A13390">
        <w:rPr>
          <w:rFonts w:ascii="Arial" w:hAnsi="Arial" w:cs="Arial"/>
          <w:sz w:val="24"/>
          <w:szCs w:val="24"/>
          <w:lang w:val="en-US"/>
        </w:rPr>
        <w:t xml:space="preserve"> impact the possibility of engaging with stakehol</w:t>
      </w:r>
      <w:r w:rsidR="00D770C2" w:rsidRPr="00A13390">
        <w:rPr>
          <w:rFonts w:ascii="Arial" w:hAnsi="Arial" w:cs="Arial"/>
          <w:sz w:val="24"/>
          <w:szCs w:val="24"/>
          <w:lang w:val="en-US"/>
        </w:rPr>
        <w:t xml:space="preserve">ders in a community engagement, but </w:t>
      </w:r>
      <w:r w:rsidR="00444354" w:rsidRPr="00A13390">
        <w:rPr>
          <w:rFonts w:ascii="Arial" w:hAnsi="Arial" w:cs="Arial"/>
          <w:sz w:val="24"/>
          <w:szCs w:val="24"/>
          <w:lang w:val="en-US"/>
        </w:rPr>
        <w:t>possible ways to engage with community members effectively</w:t>
      </w:r>
      <w:r w:rsidR="00D770C2" w:rsidRPr="00A13390">
        <w:rPr>
          <w:rFonts w:ascii="Arial" w:hAnsi="Arial" w:cs="Arial"/>
          <w:sz w:val="24"/>
          <w:szCs w:val="24"/>
          <w:lang w:val="en-US"/>
        </w:rPr>
        <w:t xml:space="preserve"> can be formulated.</w:t>
      </w:r>
      <w:r w:rsidR="00444354" w:rsidRPr="00A13390">
        <w:rPr>
          <w:rFonts w:ascii="Arial" w:hAnsi="Arial" w:cs="Arial"/>
          <w:sz w:val="24"/>
          <w:szCs w:val="24"/>
          <w:lang w:val="en-US"/>
        </w:rPr>
        <w:br w:type="page"/>
      </w:r>
    </w:p>
    <w:p w14:paraId="69CDFFE8" w14:textId="77777777" w:rsidR="00EB6EB5" w:rsidRPr="00E5027F" w:rsidRDefault="00000000" w:rsidP="00A13390">
      <w:pPr>
        <w:pStyle w:val="Heading1"/>
        <w:spacing w:line="360" w:lineRule="auto"/>
        <w:jc w:val="both"/>
        <w:rPr>
          <w:rFonts w:ascii="Arial" w:hAnsi="Arial" w:cs="Arial"/>
          <w:b/>
          <w:bCs/>
          <w:color w:val="auto"/>
          <w:sz w:val="24"/>
          <w:szCs w:val="24"/>
          <w:lang w:val="en-US"/>
        </w:rPr>
      </w:pPr>
      <w:bookmarkStart w:id="1" w:name="_Toc112617361"/>
      <w:r w:rsidRPr="00E5027F">
        <w:rPr>
          <w:rFonts w:ascii="Arial" w:hAnsi="Arial" w:cs="Arial"/>
          <w:b/>
          <w:bCs/>
          <w:color w:val="auto"/>
          <w:sz w:val="24"/>
          <w:szCs w:val="24"/>
          <w:lang w:val="en-US"/>
        </w:rPr>
        <w:lastRenderedPageBreak/>
        <w:t xml:space="preserve">1. </w:t>
      </w:r>
      <w:r w:rsidR="00444354" w:rsidRPr="00E5027F">
        <w:rPr>
          <w:rFonts w:ascii="Arial" w:hAnsi="Arial" w:cs="Arial"/>
          <w:b/>
          <w:bCs/>
          <w:color w:val="auto"/>
          <w:sz w:val="24"/>
          <w:szCs w:val="24"/>
          <w:lang w:val="en-US"/>
        </w:rPr>
        <w:t>Introduction</w:t>
      </w:r>
      <w:bookmarkEnd w:id="1"/>
    </w:p>
    <w:p w14:paraId="1EDF68D6" w14:textId="77777777" w:rsidR="00AF429B"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rPr>
        <w:t xml:space="preserve">Participation in local community affairs is taking on a more significant significance as people and locations all over the world become increasingly interconnected and globalized. </w:t>
      </w:r>
      <w:r w:rsidR="009147BA" w:rsidRPr="00A13390">
        <w:rPr>
          <w:rFonts w:ascii="Arial" w:hAnsi="Arial" w:cs="Arial"/>
          <w:sz w:val="24"/>
          <w:szCs w:val="24"/>
          <w:lang w:val="en-US"/>
        </w:rPr>
        <w:t>Community engagement is a term used to describe the various ways in which community members can get involved in that community's life (</w:t>
      </w:r>
      <w:r w:rsidR="009147BA" w:rsidRPr="00A13390">
        <w:rPr>
          <w:rFonts w:ascii="Arial" w:hAnsi="Arial" w:cs="Arial"/>
          <w:sz w:val="24"/>
          <w:szCs w:val="24"/>
        </w:rPr>
        <w:t>Wray</w:t>
      </w:r>
      <w:r w:rsidR="009147BA" w:rsidRPr="00A13390">
        <w:rPr>
          <w:rFonts w:ascii="Cambria Math" w:hAnsi="Cambria Math" w:cs="Cambria Math"/>
          <w:sz w:val="24"/>
          <w:szCs w:val="24"/>
        </w:rPr>
        <w:t>‐</w:t>
      </w:r>
      <w:r w:rsidR="009147BA" w:rsidRPr="00A13390">
        <w:rPr>
          <w:rFonts w:ascii="Arial" w:hAnsi="Arial" w:cs="Arial"/>
          <w:sz w:val="24"/>
          <w:szCs w:val="24"/>
        </w:rPr>
        <w:t>Lake and Abrams, 2020</w:t>
      </w:r>
      <w:r w:rsidR="009147BA" w:rsidRPr="00A13390">
        <w:rPr>
          <w:rFonts w:ascii="Arial" w:hAnsi="Arial" w:cs="Arial"/>
          <w:sz w:val="24"/>
          <w:szCs w:val="24"/>
          <w:lang w:val="en-US"/>
        </w:rPr>
        <w:t xml:space="preserve">). </w:t>
      </w:r>
      <w:r w:rsidRPr="00A13390">
        <w:rPr>
          <w:rFonts w:ascii="Arial" w:hAnsi="Arial" w:cs="Arial"/>
          <w:sz w:val="24"/>
          <w:szCs w:val="24"/>
        </w:rPr>
        <w:t>When it comes to the positives and negatives of being actively involved in one's community, there are a significant number of divergent points of view. In this essay, we will study the perspectives of various stakeholders, advantages, and the challenges linked with community engagement. In the next stage of this procedure, the identification and establishment of strategies for stakeholder engagement will occur. In addition to this, the report will include a narrative that will provide an explanation of the various social media channels that could be leveraged to boost the project's outreach efforts</w:t>
      </w:r>
      <w:r w:rsidR="00084A54" w:rsidRPr="00A13390">
        <w:rPr>
          <w:rFonts w:ascii="Arial" w:hAnsi="Arial" w:cs="Arial"/>
          <w:sz w:val="24"/>
          <w:szCs w:val="24"/>
          <w:lang w:val="en-US"/>
        </w:rPr>
        <w:t xml:space="preserve">. An </w:t>
      </w:r>
      <w:r w:rsidR="00084A54" w:rsidRPr="00A13390">
        <w:rPr>
          <w:rFonts w:ascii="Arial" w:hAnsi="Arial" w:cs="Arial"/>
          <w:sz w:val="24"/>
          <w:szCs w:val="24"/>
        </w:rPr>
        <w:t>in</w:t>
      </w:r>
      <w:r w:rsidRPr="00A13390">
        <w:rPr>
          <w:rFonts w:ascii="Arial" w:hAnsi="Arial" w:cs="Arial"/>
          <w:sz w:val="24"/>
          <w:szCs w:val="24"/>
        </w:rPr>
        <w:t>-depth critical analysis of how the challenges impact the possibility of interacting with stakeholders in a community engagement, investigate possible approaches to connect with members of the community effectively, and make recommendations that are pertinent to the topic</w:t>
      </w:r>
      <w:r w:rsidR="009147BA" w:rsidRPr="00A13390">
        <w:rPr>
          <w:rFonts w:ascii="Arial" w:hAnsi="Arial" w:cs="Arial"/>
          <w:sz w:val="24"/>
          <w:szCs w:val="24"/>
          <w:lang w:val="en-US"/>
        </w:rPr>
        <w:t>.</w:t>
      </w:r>
      <w:r w:rsidRPr="00A13390">
        <w:rPr>
          <w:rFonts w:ascii="Arial" w:hAnsi="Arial" w:cs="Arial"/>
          <w:sz w:val="24"/>
          <w:szCs w:val="24"/>
          <w:lang w:val="en-US"/>
        </w:rPr>
        <w:t xml:space="preserve"> </w:t>
      </w:r>
      <w:r w:rsidR="00084A54" w:rsidRPr="00A13390">
        <w:rPr>
          <w:rFonts w:ascii="Arial" w:hAnsi="Arial" w:cs="Arial"/>
          <w:sz w:val="24"/>
          <w:szCs w:val="24"/>
          <w:lang w:val="en-US"/>
        </w:rPr>
        <w:t>Therefore, community engagement improves society's welfare and should be integrated into crucial community activities.</w:t>
      </w:r>
    </w:p>
    <w:p w14:paraId="7BC58F63" w14:textId="77777777" w:rsidR="00EB6EB5" w:rsidRPr="00E5027F" w:rsidRDefault="00000000" w:rsidP="00A13390">
      <w:pPr>
        <w:pStyle w:val="Heading1"/>
        <w:spacing w:line="360" w:lineRule="auto"/>
        <w:jc w:val="both"/>
        <w:rPr>
          <w:rFonts w:ascii="Arial" w:hAnsi="Arial" w:cs="Arial"/>
          <w:b/>
          <w:bCs/>
          <w:color w:val="auto"/>
          <w:sz w:val="24"/>
          <w:szCs w:val="24"/>
          <w:lang w:val="en-US"/>
        </w:rPr>
      </w:pPr>
      <w:bookmarkStart w:id="2" w:name="_Toc112617362"/>
      <w:r w:rsidRPr="00E5027F">
        <w:rPr>
          <w:rFonts w:ascii="Arial" w:hAnsi="Arial" w:cs="Arial"/>
          <w:b/>
          <w:bCs/>
          <w:color w:val="auto"/>
          <w:sz w:val="24"/>
          <w:szCs w:val="24"/>
          <w:lang w:val="en-US"/>
        </w:rPr>
        <w:t xml:space="preserve">2. </w:t>
      </w:r>
      <w:r w:rsidR="00444354" w:rsidRPr="00E5027F">
        <w:rPr>
          <w:rFonts w:ascii="Arial" w:hAnsi="Arial" w:cs="Arial"/>
          <w:b/>
          <w:bCs/>
          <w:color w:val="auto"/>
          <w:sz w:val="24"/>
          <w:szCs w:val="24"/>
          <w:lang w:val="en-US"/>
        </w:rPr>
        <w:t>Perspectives of Community Engagement</w:t>
      </w:r>
      <w:bookmarkEnd w:id="2"/>
    </w:p>
    <w:p w14:paraId="651ACB43" w14:textId="77777777" w:rsidR="00AE7224"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Involvement in community service can take various forms. Volunteering your time or participating in community activities are other options for those living in a given area. </w:t>
      </w:r>
      <w:r w:rsidR="00444354" w:rsidRPr="00A13390">
        <w:rPr>
          <w:rFonts w:ascii="Arial" w:hAnsi="Arial" w:cs="Arial"/>
          <w:sz w:val="24"/>
          <w:szCs w:val="24"/>
          <w:lang w:val="en-US"/>
        </w:rPr>
        <w:t>Others may make an effort to get to know their neighbors better. Whatever the approach, the important thing is that community engagement is something everyone can do and benefit from.</w:t>
      </w:r>
    </w:p>
    <w:p w14:paraId="4FF4C4BF" w14:textId="77777777" w:rsidR="00B146D8"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Firstly, c</w:t>
      </w:r>
      <w:r w:rsidR="00444354" w:rsidRPr="00A13390">
        <w:rPr>
          <w:rFonts w:ascii="Arial" w:hAnsi="Arial" w:cs="Arial"/>
          <w:sz w:val="24"/>
          <w:szCs w:val="24"/>
          <w:lang w:val="en-US"/>
        </w:rPr>
        <w:t xml:space="preserve">ommunity engagement can be done to bring community development. </w:t>
      </w:r>
      <w:r w:rsidR="00A3653B" w:rsidRPr="00A13390">
        <w:rPr>
          <w:rFonts w:ascii="Arial" w:hAnsi="Arial" w:cs="Arial"/>
          <w:sz w:val="24"/>
          <w:szCs w:val="24"/>
          <w:lang w:val="en-US"/>
        </w:rPr>
        <w:t xml:space="preserve">Participatory community development highlights the significance of incorporating residents in the conceptualization and execution of new development initiatives </w:t>
      </w:r>
      <w:r w:rsidR="00A33F00" w:rsidRPr="00A13390">
        <w:rPr>
          <w:rFonts w:ascii="Arial" w:hAnsi="Arial" w:cs="Arial"/>
          <w:sz w:val="24"/>
          <w:szCs w:val="24"/>
          <w:lang w:val="en-US"/>
        </w:rPr>
        <w:t>(Banks et al., 2018)</w:t>
      </w:r>
      <w:r w:rsidR="00444354" w:rsidRPr="00A13390">
        <w:rPr>
          <w:rFonts w:ascii="Arial" w:hAnsi="Arial" w:cs="Arial"/>
          <w:sz w:val="24"/>
          <w:szCs w:val="24"/>
          <w:lang w:val="en-US"/>
        </w:rPr>
        <w:t>. This strategy is supported by the idea that community members are best positioned to identify their community's needs and that their participation can lead to more effective and sustainable development outcomes</w:t>
      </w:r>
      <w:r w:rsidR="0046375D" w:rsidRPr="00A13390">
        <w:rPr>
          <w:rFonts w:ascii="Arial" w:hAnsi="Arial" w:cs="Arial"/>
          <w:sz w:val="24"/>
          <w:szCs w:val="24"/>
          <w:lang w:val="en-US"/>
        </w:rPr>
        <w:t xml:space="preserve">. For example, </w:t>
      </w:r>
      <w:r w:rsidR="00444354" w:rsidRPr="00A13390">
        <w:rPr>
          <w:rFonts w:ascii="Arial" w:hAnsi="Arial" w:cs="Arial"/>
          <w:sz w:val="24"/>
          <w:szCs w:val="24"/>
          <w:lang w:val="en-US"/>
        </w:rPr>
        <w:t xml:space="preserve">I have personally been involved in community engagement projects focusing on improving access to healthcare, education, and economic opportunities in underserved </w:t>
      </w:r>
      <w:r w:rsidR="00444354" w:rsidRPr="00A13390">
        <w:rPr>
          <w:rFonts w:ascii="Arial" w:hAnsi="Arial" w:cs="Arial"/>
          <w:sz w:val="24"/>
          <w:szCs w:val="24"/>
          <w:lang w:val="en-US"/>
        </w:rPr>
        <w:lastRenderedPageBreak/>
        <w:t>communities. These projects have successfully mobilized community members to work together to identify and address the needs of their community.</w:t>
      </w:r>
    </w:p>
    <w:p w14:paraId="7C2CB371" w14:textId="77777777" w:rsidR="00CF6467" w:rsidRPr="00A13390" w:rsidRDefault="00000000" w:rsidP="00A13390">
      <w:pPr>
        <w:spacing w:line="360" w:lineRule="auto"/>
        <w:ind w:firstLine="720"/>
        <w:jc w:val="both"/>
        <w:rPr>
          <w:rFonts w:ascii="Arial" w:hAnsi="Arial" w:cs="Arial"/>
          <w:sz w:val="24"/>
          <w:szCs w:val="24"/>
        </w:rPr>
      </w:pPr>
      <w:r w:rsidRPr="00A13390">
        <w:rPr>
          <w:rFonts w:ascii="Arial" w:hAnsi="Arial" w:cs="Arial"/>
          <w:sz w:val="24"/>
          <w:szCs w:val="24"/>
          <w:lang w:val="en-US"/>
        </w:rPr>
        <w:t xml:space="preserve">In addition, community engagement can </w:t>
      </w:r>
      <w:r w:rsidR="00A3653B" w:rsidRPr="00A13390">
        <w:rPr>
          <w:rFonts w:ascii="Arial" w:hAnsi="Arial" w:cs="Arial"/>
          <w:sz w:val="24"/>
          <w:szCs w:val="24"/>
          <w:lang w:val="en-US"/>
        </w:rPr>
        <w:t>include</w:t>
      </w:r>
      <w:r w:rsidRPr="00A13390">
        <w:rPr>
          <w:rFonts w:ascii="Arial" w:hAnsi="Arial" w:cs="Arial"/>
          <w:sz w:val="24"/>
          <w:szCs w:val="24"/>
          <w:lang w:val="en-US"/>
        </w:rPr>
        <w:t xml:space="preserve"> the community members in the decision-making process (public participation)</w:t>
      </w:r>
      <w:r w:rsidR="00896EC6" w:rsidRPr="00A13390">
        <w:rPr>
          <w:rFonts w:ascii="Arial" w:hAnsi="Arial" w:cs="Arial"/>
          <w:sz w:val="24"/>
          <w:szCs w:val="24"/>
          <w:lang w:val="en-US"/>
        </w:rPr>
        <w:t xml:space="preserve"> (</w:t>
      </w:r>
      <w:r w:rsidR="00896EC6" w:rsidRPr="00A13390">
        <w:rPr>
          <w:rFonts w:ascii="Arial" w:hAnsi="Arial" w:cs="Arial"/>
          <w:sz w:val="24"/>
          <w:szCs w:val="24"/>
        </w:rPr>
        <w:t>Boivin</w:t>
      </w:r>
      <w:r w:rsidR="00896EC6" w:rsidRPr="00A13390">
        <w:rPr>
          <w:rFonts w:ascii="Arial" w:hAnsi="Arial" w:cs="Arial"/>
          <w:sz w:val="24"/>
          <w:szCs w:val="24"/>
          <w:lang w:val="en-US"/>
        </w:rPr>
        <w:t xml:space="preserve"> et al., 2018)</w:t>
      </w:r>
      <w:r w:rsidRPr="00A13390">
        <w:rPr>
          <w:rFonts w:ascii="Arial" w:hAnsi="Arial" w:cs="Arial"/>
          <w:sz w:val="24"/>
          <w:szCs w:val="24"/>
          <w:lang w:val="en-US"/>
        </w:rPr>
        <w:t>.</w:t>
      </w:r>
      <w:r w:rsidR="00B545BD" w:rsidRPr="00A13390">
        <w:rPr>
          <w:rFonts w:ascii="Arial" w:hAnsi="Arial" w:cs="Arial"/>
          <w:sz w:val="24"/>
          <w:szCs w:val="24"/>
          <w:lang w:val="en-US"/>
        </w:rPr>
        <w:t xml:space="preserve"> </w:t>
      </w:r>
      <w:r w:rsidRPr="00A13390">
        <w:rPr>
          <w:rFonts w:ascii="Arial" w:hAnsi="Arial" w:cs="Arial"/>
          <w:sz w:val="24"/>
          <w:szCs w:val="24"/>
          <w:lang w:val="en-US"/>
        </w:rPr>
        <w:t>The Community Engagement perspective of Community participation in consultation and decision-making is that Community members should be actively in</w:t>
      </w:r>
      <w:r w:rsidR="00A3653B" w:rsidRPr="00A13390">
        <w:rPr>
          <w:rFonts w:ascii="Arial" w:hAnsi="Arial" w:cs="Arial"/>
          <w:sz w:val="24"/>
          <w:szCs w:val="24"/>
          <w:lang w:val="en-US"/>
        </w:rPr>
        <w:t>cluded</w:t>
      </w:r>
      <w:r w:rsidRPr="00A13390">
        <w:rPr>
          <w:rFonts w:ascii="Arial" w:hAnsi="Arial" w:cs="Arial"/>
          <w:sz w:val="24"/>
          <w:szCs w:val="24"/>
          <w:lang w:val="en-US"/>
        </w:rPr>
        <w:t xml:space="preserve"> in the decision-making process to ensure that the decisions align with the community's best interests. However can be done through consultation with community members and allowing </w:t>
      </w:r>
      <w:r w:rsidR="00A3653B" w:rsidRPr="00A13390">
        <w:rPr>
          <w:rFonts w:ascii="Arial" w:hAnsi="Arial" w:cs="Arial"/>
          <w:sz w:val="24"/>
          <w:szCs w:val="24"/>
          <w:lang w:val="en-US"/>
        </w:rPr>
        <w:t>c</w:t>
      </w:r>
      <w:r w:rsidRPr="00A13390">
        <w:rPr>
          <w:rFonts w:ascii="Arial" w:hAnsi="Arial" w:cs="Arial"/>
          <w:sz w:val="24"/>
          <w:szCs w:val="24"/>
          <w:lang w:val="en-US"/>
        </w:rPr>
        <w:t>ommunity members to have a</w:t>
      </w:r>
      <w:r w:rsidR="00A3653B" w:rsidRPr="00A13390">
        <w:rPr>
          <w:rFonts w:ascii="Arial" w:hAnsi="Arial" w:cs="Arial"/>
          <w:sz w:val="24"/>
          <w:szCs w:val="24"/>
          <w:lang w:val="en-US"/>
        </w:rPr>
        <w:t xml:space="preserve"> voice</w:t>
      </w:r>
      <w:r w:rsidRPr="00A13390">
        <w:rPr>
          <w:rFonts w:ascii="Arial" w:hAnsi="Arial" w:cs="Arial"/>
          <w:sz w:val="24"/>
          <w:szCs w:val="24"/>
          <w:lang w:val="en-US"/>
        </w:rPr>
        <w:t xml:space="preserve"> in the decision-making process</w:t>
      </w:r>
      <w:r w:rsidR="00684CCD" w:rsidRPr="00A13390">
        <w:rPr>
          <w:rFonts w:ascii="Arial" w:hAnsi="Arial" w:cs="Arial"/>
          <w:sz w:val="24"/>
          <w:szCs w:val="24"/>
          <w:lang w:val="en-US"/>
        </w:rPr>
        <w:t xml:space="preserve">. </w:t>
      </w:r>
      <w:r w:rsidRPr="00A13390">
        <w:rPr>
          <w:rFonts w:ascii="Arial" w:hAnsi="Arial" w:cs="Arial"/>
          <w:sz w:val="24"/>
          <w:szCs w:val="24"/>
        </w:rPr>
        <w:t>One example is when a local government plans to make changes to a community, they will often hold public consultations to get input from residents. This allows Community members to have a direct say in how their community is run and ensures that the decisions made are ones that the community is happy with.</w:t>
      </w:r>
    </w:p>
    <w:p w14:paraId="59ECF102" w14:textId="77777777" w:rsidR="00B545BD"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Community engagement can be held to improve the business or organizational service delivery or achieve market goals. The process of involving individuals in the community activities that address their needs and concerns. It can solve problems, improve communication, and build relationships </w:t>
      </w:r>
      <w:r w:rsidR="00632284" w:rsidRPr="00A13390">
        <w:rPr>
          <w:rFonts w:ascii="Arial" w:hAnsi="Arial" w:cs="Arial"/>
          <w:sz w:val="24"/>
          <w:szCs w:val="24"/>
          <w:lang w:val="en-US"/>
        </w:rPr>
        <w:t>(</w:t>
      </w:r>
      <w:r w:rsidR="00DC0941" w:rsidRPr="00A13390">
        <w:rPr>
          <w:rFonts w:ascii="Arial" w:hAnsi="Arial" w:cs="Arial"/>
          <w:sz w:val="24"/>
          <w:szCs w:val="24"/>
        </w:rPr>
        <w:t>Powell, Gillett</w:t>
      </w:r>
      <w:r w:rsidR="00DC0941" w:rsidRPr="00A13390">
        <w:rPr>
          <w:rFonts w:ascii="Arial" w:hAnsi="Arial" w:cs="Arial"/>
          <w:sz w:val="24"/>
          <w:szCs w:val="24"/>
          <w:lang w:val="en-US"/>
        </w:rPr>
        <w:t xml:space="preserve">, </w:t>
      </w:r>
      <w:r w:rsidR="00DC0941" w:rsidRPr="00A13390">
        <w:rPr>
          <w:rFonts w:ascii="Arial" w:hAnsi="Arial" w:cs="Arial"/>
          <w:sz w:val="24"/>
          <w:szCs w:val="24"/>
        </w:rPr>
        <w:t>and Doherty, 2019</w:t>
      </w:r>
      <w:r w:rsidR="00632284" w:rsidRPr="00A13390">
        <w:rPr>
          <w:rFonts w:ascii="Arial" w:hAnsi="Arial" w:cs="Arial"/>
          <w:sz w:val="24"/>
          <w:szCs w:val="24"/>
          <w:lang w:val="en-US"/>
        </w:rPr>
        <w:t>)</w:t>
      </w:r>
      <w:r w:rsidR="00AE7224" w:rsidRPr="00A13390">
        <w:rPr>
          <w:rFonts w:ascii="Arial" w:hAnsi="Arial" w:cs="Arial"/>
          <w:sz w:val="24"/>
          <w:szCs w:val="24"/>
          <w:lang w:val="en-US"/>
        </w:rPr>
        <w:t>.</w:t>
      </w:r>
      <w:r w:rsidR="006B2CFD" w:rsidRPr="00A13390">
        <w:rPr>
          <w:rFonts w:ascii="Arial" w:hAnsi="Arial" w:cs="Arial"/>
          <w:sz w:val="24"/>
          <w:szCs w:val="24"/>
          <w:lang w:val="en-US"/>
        </w:rPr>
        <w:t xml:space="preserve"> </w:t>
      </w:r>
      <w:r w:rsidRPr="00A13390">
        <w:rPr>
          <w:rFonts w:ascii="Arial" w:hAnsi="Arial" w:cs="Arial"/>
          <w:sz w:val="24"/>
          <w:szCs w:val="24"/>
          <w:lang w:val="en-US"/>
        </w:rPr>
        <w:t>For example, a business might use community engagement to determine customers' wants and needs. A community group might use engagement to get input on a proposed project. An organization might use engagement to build support for its work.</w:t>
      </w:r>
    </w:p>
    <w:p w14:paraId="71E6B669" w14:textId="77777777" w:rsidR="00A3653B"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Lastly, </w:t>
      </w:r>
      <w:r w:rsidR="006569D5" w:rsidRPr="00A13390">
        <w:rPr>
          <w:rFonts w:ascii="Arial" w:hAnsi="Arial" w:cs="Arial"/>
          <w:sz w:val="24"/>
          <w:szCs w:val="24"/>
          <w:lang w:val="en-US"/>
        </w:rPr>
        <w:t xml:space="preserve">it can be held to bring social change to the community. Social change movements are a community engagement perspective that seeks to bring about social, economic, and political </w:t>
      </w:r>
      <w:r w:rsidRPr="00A13390">
        <w:rPr>
          <w:rFonts w:ascii="Arial" w:hAnsi="Arial" w:cs="Arial"/>
          <w:sz w:val="24"/>
          <w:szCs w:val="24"/>
          <w:lang w:val="en-US"/>
        </w:rPr>
        <w:t>revolution</w:t>
      </w:r>
      <w:r w:rsidR="006569D5" w:rsidRPr="00A13390">
        <w:rPr>
          <w:rFonts w:ascii="Arial" w:hAnsi="Arial" w:cs="Arial"/>
          <w:sz w:val="24"/>
          <w:szCs w:val="24"/>
          <w:lang w:val="en-US"/>
        </w:rPr>
        <w:t xml:space="preserve">. </w:t>
      </w:r>
      <w:r w:rsidRPr="00A13390">
        <w:rPr>
          <w:rFonts w:ascii="Arial" w:hAnsi="Arial" w:cs="Arial"/>
          <w:sz w:val="24"/>
          <w:szCs w:val="24"/>
          <w:lang w:val="en-US"/>
        </w:rPr>
        <w:t>Instances</w:t>
      </w:r>
      <w:r w:rsidR="006569D5" w:rsidRPr="00A13390">
        <w:rPr>
          <w:rFonts w:ascii="Arial" w:hAnsi="Arial" w:cs="Arial"/>
          <w:sz w:val="24"/>
          <w:szCs w:val="24"/>
          <w:lang w:val="en-US"/>
        </w:rPr>
        <w:t xml:space="preserve"> of social change movements include the civil rights movement, the women's rights movement, and the environmental justice movement. </w:t>
      </w:r>
      <w:r w:rsidRPr="00A13390">
        <w:rPr>
          <w:rFonts w:ascii="Arial" w:hAnsi="Arial" w:cs="Arial"/>
          <w:sz w:val="24"/>
          <w:szCs w:val="24"/>
          <w:lang w:val="en-US"/>
        </w:rPr>
        <w:t>This movement aims to reduce pollution's impact on low-income neighborhoods and communities of color.</w:t>
      </w:r>
    </w:p>
    <w:p w14:paraId="3AF0CE6F" w14:textId="77777777" w:rsidR="00C06D24" w:rsidRPr="00E5027F" w:rsidRDefault="00000000" w:rsidP="00A13390">
      <w:pPr>
        <w:pStyle w:val="Heading1"/>
        <w:spacing w:line="360" w:lineRule="auto"/>
        <w:jc w:val="both"/>
        <w:rPr>
          <w:rFonts w:ascii="Arial" w:hAnsi="Arial" w:cs="Arial"/>
          <w:b/>
          <w:bCs/>
          <w:color w:val="auto"/>
          <w:sz w:val="24"/>
          <w:szCs w:val="24"/>
          <w:lang w:val="en-US"/>
        </w:rPr>
      </w:pPr>
      <w:bookmarkStart w:id="3" w:name="_Toc112617363"/>
      <w:r w:rsidRPr="00E5027F">
        <w:rPr>
          <w:rFonts w:ascii="Arial" w:hAnsi="Arial" w:cs="Arial"/>
          <w:b/>
          <w:bCs/>
          <w:color w:val="auto"/>
          <w:sz w:val="24"/>
          <w:szCs w:val="24"/>
          <w:lang w:val="en-US"/>
        </w:rPr>
        <w:t xml:space="preserve">3. </w:t>
      </w:r>
      <w:r w:rsidR="00444354" w:rsidRPr="00E5027F">
        <w:rPr>
          <w:rFonts w:ascii="Arial" w:hAnsi="Arial" w:cs="Arial"/>
          <w:b/>
          <w:bCs/>
          <w:color w:val="auto"/>
          <w:sz w:val="24"/>
          <w:szCs w:val="24"/>
          <w:lang w:val="en-US"/>
        </w:rPr>
        <w:t>Benefits of Community Engagement</w:t>
      </w:r>
      <w:bookmarkEnd w:id="3"/>
    </w:p>
    <w:p w14:paraId="432C4E91" w14:textId="77777777" w:rsidR="00BF03A0"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Some of the benefits of community engagement include the following.</w:t>
      </w:r>
    </w:p>
    <w:p w14:paraId="15CEED24" w14:textId="77777777" w:rsidR="00A3653B"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First, </w:t>
      </w:r>
      <w:r w:rsidR="00F312B6" w:rsidRPr="00A13390">
        <w:rPr>
          <w:rFonts w:ascii="Arial" w:hAnsi="Arial" w:cs="Arial"/>
          <w:sz w:val="24"/>
          <w:szCs w:val="24"/>
          <w:lang w:val="en-US"/>
        </w:rPr>
        <w:t xml:space="preserve">when community members are </w:t>
      </w:r>
      <w:r w:rsidRPr="00A13390">
        <w:rPr>
          <w:rFonts w:ascii="Arial" w:hAnsi="Arial" w:cs="Arial"/>
          <w:sz w:val="24"/>
          <w:szCs w:val="24"/>
          <w:lang w:val="en-US"/>
        </w:rPr>
        <w:t>part of</w:t>
      </w:r>
      <w:r w:rsidR="00F312B6" w:rsidRPr="00A13390">
        <w:rPr>
          <w:rFonts w:ascii="Arial" w:hAnsi="Arial" w:cs="Arial"/>
          <w:sz w:val="24"/>
          <w:szCs w:val="24"/>
          <w:lang w:val="en-US"/>
        </w:rPr>
        <w:t xml:space="preserve"> the decision-making process, they see how their input has affected the outcome. This can build trust between the community and the decision-makers and encourage community members to </w:t>
      </w:r>
      <w:r w:rsidR="00F312B6" w:rsidRPr="00A13390">
        <w:rPr>
          <w:rFonts w:ascii="Arial" w:hAnsi="Arial" w:cs="Arial"/>
          <w:sz w:val="24"/>
          <w:szCs w:val="24"/>
          <w:lang w:val="en-US"/>
        </w:rPr>
        <w:lastRenderedPageBreak/>
        <w:t>participate in future decisions</w:t>
      </w:r>
      <w:r w:rsidR="00DC0941" w:rsidRPr="00A13390">
        <w:rPr>
          <w:rFonts w:ascii="Arial" w:hAnsi="Arial" w:cs="Arial"/>
          <w:sz w:val="24"/>
          <w:szCs w:val="24"/>
          <w:lang w:val="en-US"/>
        </w:rPr>
        <w:t xml:space="preserve"> (</w:t>
      </w:r>
      <w:r w:rsidR="00DC0941" w:rsidRPr="00A13390">
        <w:rPr>
          <w:rFonts w:ascii="Arial" w:hAnsi="Arial" w:cs="Arial"/>
          <w:sz w:val="24"/>
          <w:szCs w:val="24"/>
        </w:rPr>
        <w:t>Wiebe, 2020</w:t>
      </w:r>
      <w:r w:rsidR="00DC0941" w:rsidRPr="00A13390">
        <w:rPr>
          <w:rFonts w:ascii="Arial" w:hAnsi="Arial" w:cs="Arial"/>
          <w:sz w:val="24"/>
          <w:szCs w:val="24"/>
          <w:lang w:val="en-US"/>
        </w:rPr>
        <w:t>)</w:t>
      </w:r>
      <w:r w:rsidR="00F312B6" w:rsidRPr="00A13390">
        <w:rPr>
          <w:rFonts w:ascii="Arial" w:hAnsi="Arial" w:cs="Arial"/>
          <w:sz w:val="24"/>
          <w:szCs w:val="24"/>
          <w:lang w:val="en-US"/>
        </w:rPr>
        <w:t xml:space="preserve">. </w:t>
      </w:r>
      <w:r w:rsidRPr="00A13390">
        <w:rPr>
          <w:rFonts w:ascii="Arial" w:hAnsi="Arial" w:cs="Arial"/>
          <w:sz w:val="24"/>
          <w:szCs w:val="24"/>
          <w:lang w:val="en-US"/>
        </w:rPr>
        <w:t>In addition, because community members are the ones who know their needs and wants best, involving them in decision-making can help ensure that decisions are made in the community's best interest.</w:t>
      </w:r>
    </w:p>
    <w:p w14:paraId="3E6C3719" w14:textId="77777777" w:rsidR="00BF03A0"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Second, </w:t>
      </w:r>
      <w:r w:rsidR="00F312B6" w:rsidRPr="00A13390">
        <w:rPr>
          <w:rFonts w:ascii="Arial" w:hAnsi="Arial" w:cs="Arial"/>
          <w:sz w:val="24"/>
          <w:szCs w:val="24"/>
          <w:lang w:val="en-US"/>
        </w:rPr>
        <w:t xml:space="preserve">community engagement ensures that participants have the information they need to participate in a given activity in a significant </w:t>
      </w:r>
      <w:r w:rsidR="00870692" w:rsidRPr="00A13390">
        <w:rPr>
          <w:rFonts w:ascii="Arial" w:hAnsi="Arial" w:cs="Arial"/>
          <w:sz w:val="24"/>
          <w:szCs w:val="24"/>
          <w:lang w:val="en-US"/>
        </w:rPr>
        <w:t>way (</w:t>
      </w:r>
      <w:r w:rsidR="00870692" w:rsidRPr="00A13390">
        <w:rPr>
          <w:rFonts w:ascii="Arial" w:hAnsi="Arial" w:cs="Arial"/>
          <w:sz w:val="24"/>
          <w:szCs w:val="24"/>
        </w:rPr>
        <w:t>Reynolds</w:t>
      </w:r>
      <w:r w:rsidR="00870692" w:rsidRPr="00A13390">
        <w:rPr>
          <w:rFonts w:ascii="Arial" w:hAnsi="Arial" w:cs="Arial"/>
          <w:sz w:val="24"/>
          <w:szCs w:val="24"/>
          <w:lang w:val="en-US"/>
        </w:rPr>
        <w:t xml:space="preserve"> </w:t>
      </w:r>
      <w:r w:rsidR="00870692" w:rsidRPr="00A13390">
        <w:rPr>
          <w:rFonts w:ascii="Arial" w:hAnsi="Arial" w:cs="Arial"/>
          <w:sz w:val="24"/>
          <w:szCs w:val="24"/>
        </w:rPr>
        <w:t>and Sariola, 2018</w:t>
      </w:r>
      <w:r w:rsidR="00870692" w:rsidRPr="00A13390">
        <w:rPr>
          <w:rFonts w:ascii="Arial" w:hAnsi="Arial" w:cs="Arial"/>
          <w:sz w:val="24"/>
          <w:szCs w:val="24"/>
          <w:lang w:val="en-US"/>
        </w:rPr>
        <w:t>)</w:t>
      </w:r>
      <w:r w:rsidR="00F312B6" w:rsidRPr="00A13390">
        <w:rPr>
          <w:rFonts w:ascii="Arial" w:hAnsi="Arial" w:cs="Arial"/>
          <w:sz w:val="24"/>
          <w:szCs w:val="24"/>
          <w:lang w:val="en-US"/>
        </w:rPr>
        <w:t>. It can take many forms, such as providing educational materials, offering support and guidance, or facilitating communication between different groups. Community engagement can help create more cohesive, effective, and enjoyable community experiences</w:t>
      </w:r>
      <w:r w:rsidRPr="00A13390">
        <w:rPr>
          <w:rFonts w:ascii="Arial" w:hAnsi="Arial" w:cs="Arial"/>
          <w:sz w:val="24"/>
          <w:szCs w:val="24"/>
          <w:lang w:val="en-US"/>
        </w:rPr>
        <w:t xml:space="preserve"> by ensuring participants have the necessary information to be meaningfully engaged. </w:t>
      </w:r>
    </w:p>
    <w:p w14:paraId="588A9CB0" w14:textId="77777777" w:rsidR="00BF03A0"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Third, b</w:t>
      </w:r>
      <w:r w:rsidR="00F312B6" w:rsidRPr="00A13390">
        <w:rPr>
          <w:rFonts w:ascii="Arial" w:hAnsi="Arial" w:cs="Arial"/>
          <w:sz w:val="24"/>
          <w:szCs w:val="24"/>
          <w:lang w:val="en-US"/>
        </w:rPr>
        <w:t>y engaging with the community, decision-makers can better understand the needs and concerns of those affected by their decisions. Additionally, community engagement can help build trust between decision-makers and the community and create a space for dialogue and collaboration</w:t>
      </w:r>
      <w:r w:rsidR="00870692" w:rsidRPr="00A13390">
        <w:rPr>
          <w:rFonts w:ascii="Arial" w:hAnsi="Arial" w:cs="Arial"/>
          <w:sz w:val="24"/>
          <w:szCs w:val="24"/>
          <w:lang w:val="en-US"/>
        </w:rPr>
        <w:t xml:space="preserve"> (</w:t>
      </w:r>
      <w:r w:rsidR="00870692" w:rsidRPr="00A13390">
        <w:rPr>
          <w:rFonts w:ascii="Arial" w:hAnsi="Arial" w:cs="Arial"/>
          <w:sz w:val="24"/>
          <w:szCs w:val="24"/>
        </w:rPr>
        <w:t>Dutta</w:t>
      </w:r>
      <w:r w:rsidR="00870692" w:rsidRPr="00A13390">
        <w:rPr>
          <w:rFonts w:ascii="Arial" w:hAnsi="Arial" w:cs="Arial"/>
          <w:sz w:val="24"/>
          <w:szCs w:val="24"/>
          <w:lang w:val="en-US"/>
        </w:rPr>
        <w:t xml:space="preserve"> et al., 2020)</w:t>
      </w:r>
      <w:r w:rsidR="00F312B6" w:rsidRPr="00A13390">
        <w:rPr>
          <w:rFonts w:ascii="Arial" w:hAnsi="Arial" w:cs="Arial"/>
          <w:sz w:val="24"/>
          <w:szCs w:val="24"/>
          <w:lang w:val="en-US"/>
        </w:rPr>
        <w:t>. Ultimately, community engagement can help create better, more informed decisions that consider the needs of all stakeholders</w:t>
      </w:r>
      <w:r w:rsidRPr="00A13390">
        <w:rPr>
          <w:rFonts w:ascii="Arial" w:hAnsi="Arial" w:cs="Arial"/>
          <w:sz w:val="24"/>
          <w:szCs w:val="24"/>
          <w:lang w:val="en-US"/>
        </w:rPr>
        <w:t xml:space="preserve">. </w:t>
      </w:r>
    </w:p>
    <w:p w14:paraId="58A9E746" w14:textId="77777777" w:rsidR="00C06D24"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Lastly</w:t>
      </w:r>
      <w:r w:rsidR="004838D2" w:rsidRPr="00A13390">
        <w:rPr>
          <w:rFonts w:ascii="Arial" w:hAnsi="Arial" w:cs="Arial"/>
          <w:sz w:val="24"/>
          <w:szCs w:val="24"/>
          <w:lang w:val="en-US"/>
        </w:rPr>
        <w:t>, community participation is helpful because it recognizes and communicates the needs and interests of all participants, including those who make the final decisions</w:t>
      </w:r>
      <w:r w:rsidR="00F51BE7" w:rsidRPr="00A13390">
        <w:rPr>
          <w:rFonts w:ascii="Arial" w:hAnsi="Arial" w:cs="Arial"/>
          <w:sz w:val="24"/>
          <w:szCs w:val="24"/>
          <w:lang w:val="en-US"/>
        </w:rPr>
        <w:t>. In away allows for a more holistic and inclusive approach to decision-making, ultimately leading to better outcomes for the community. Additionally, community engagement can help build trust between decision-makers and the community and improve communication and understanding between all parties involved.</w:t>
      </w:r>
    </w:p>
    <w:p w14:paraId="091A5262" w14:textId="77777777" w:rsidR="00BF03A0" w:rsidRPr="00E5027F" w:rsidRDefault="00000000" w:rsidP="00A13390">
      <w:pPr>
        <w:pStyle w:val="Heading1"/>
        <w:spacing w:line="360" w:lineRule="auto"/>
        <w:jc w:val="both"/>
        <w:rPr>
          <w:rFonts w:ascii="Arial" w:hAnsi="Arial" w:cs="Arial"/>
          <w:b/>
          <w:bCs/>
          <w:color w:val="auto"/>
          <w:sz w:val="24"/>
          <w:szCs w:val="24"/>
          <w:lang w:val="en-US"/>
        </w:rPr>
      </w:pPr>
      <w:bookmarkStart w:id="4" w:name="_Toc112617364"/>
      <w:r w:rsidRPr="00E5027F">
        <w:rPr>
          <w:rFonts w:ascii="Arial" w:hAnsi="Arial" w:cs="Arial"/>
          <w:b/>
          <w:bCs/>
          <w:color w:val="auto"/>
          <w:sz w:val="24"/>
          <w:szCs w:val="24"/>
          <w:lang w:val="en-US"/>
        </w:rPr>
        <w:t xml:space="preserve">4. </w:t>
      </w:r>
      <w:r w:rsidR="00444354" w:rsidRPr="00E5027F">
        <w:rPr>
          <w:rFonts w:ascii="Arial" w:hAnsi="Arial" w:cs="Arial"/>
          <w:b/>
          <w:bCs/>
          <w:color w:val="auto"/>
          <w:sz w:val="24"/>
          <w:szCs w:val="24"/>
          <w:lang w:val="en-US"/>
        </w:rPr>
        <w:t>Challenges of Community Engagement</w:t>
      </w:r>
      <w:bookmarkEnd w:id="4"/>
    </w:p>
    <w:p w14:paraId="51D726EF" w14:textId="77777777" w:rsidR="00CD3758"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The challenges of community engagement can be divided into three main categories: communication, capacity, and resources.</w:t>
      </w:r>
    </w:p>
    <w:p w14:paraId="45FD748B" w14:textId="77777777" w:rsidR="00CD3758"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One of the challenges of community engagement is effective communication. ThisThis includes communicating with community members to identify their needs and concerns and with other organizations and individuals who may be able to help address those needs</w:t>
      </w:r>
      <w:r w:rsidR="00157B07" w:rsidRPr="00A13390">
        <w:rPr>
          <w:rFonts w:ascii="Arial" w:hAnsi="Arial" w:cs="Arial"/>
          <w:sz w:val="24"/>
          <w:szCs w:val="24"/>
          <w:lang w:val="en-US"/>
        </w:rPr>
        <w:t xml:space="preserve"> (</w:t>
      </w:r>
      <w:r w:rsidR="00157B07" w:rsidRPr="00A13390">
        <w:rPr>
          <w:rFonts w:ascii="Arial" w:hAnsi="Arial" w:cs="Arial"/>
          <w:sz w:val="24"/>
          <w:szCs w:val="24"/>
        </w:rPr>
        <w:t>Hyland-Wood</w:t>
      </w:r>
      <w:r w:rsidR="00157B07" w:rsidRPr="00A13390">
        <w:rPr>
          <w:rFonts w:ascii="Arial" w:hAnsi="Arial" w:cs="Arial"/>
          <w:sz w:val="24"/>
          <w:szCs w:val="24"/>
          <w:lang w:val="en-US"/>
        </w:rPr>
        <w:t xml:space="preserve"> et al., 2021)</w:t>
      </w:r>
      <w:r w:rsidRPr="00A13390">
        <w:rPr>
          <w:rFonts w:ascii="Arial" w:hAnsi="Arial" w:cs="Arial"/>
          <w:sz w:val="24"/>
          <w:szCs w:val="24"/>
          <w:lang w:val="en-US"/>
        </w:rPr>
        <w:t xml:space="preserve">. It can be difficult to get community </w:t>
      </w:r>
      <w:r w:rsidRPr="00A13390">
        <w:rPr>
          <w:rFonts w:ascii="Arial" w:hAnsi="Arial" w:cs="Arial"/>
          <w:sz w:val="24"/>
          <w:szCs w:val="24"/>
          <w:lang w:val="en-US"/>
        </w:rPr>
        <w:lastRenderedPageBreak/>
        <w:t>members to participate in the process and trust that their issues and views will be heardwill, and  addressed.</w:t>
      </w:r>
      <w:r w:rsidR="00CF2712" w:rsidRPr="00A13390">
        <w:rPr>
          <w:rFonts w:ascii="Arial" w:hAnsi="Arial" w:cs="Arial"/>
          <w:sz w:val="24"/>
          <w:szCs w:val="24"/>
          <w:lang w:val="en-US"/>
        </w:rPr>
        <w:t xml:space="preserve"> For instance, I have experienced the challenge of effective communication in community engagement. I was collaborating with some local residents to identify their needs and concerns and develop a plan to address those needs. It wasn't easy to get the community members to participate in the process and to trustthought their opinions would be taken seriously and their concerns would be addressed. However, I overcame this challenge by communicating effectively with the community members and developing a good relationship with them.</w:t>
      </w:r>
    </w:p>
    <w:p w14:paraId="276CCA8B" w14:textId="77777777" w:rsidR="00CD3758"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Another challenge of community engagement is capacity. In awaya refers to the ability of organizations and individuals to effectively work together to identify and address community needs</w:t>
      </w:r>
      <w:r w:rsidR="00920965" w:rsidRPr="00A13390">
        <w:rPr>
          <w:rFonts w:ascii="Arial" w:hAnsi="Arial" w:cs="Arial"/>
          <w:sz w:val="24"/>
          <w:szCs w:val="24"/>
          <w:lang w:val="en-US"/>
        </w:rPr>
        <w:t xml:space="preserve"> (</w:t>
      </w:r>
      <w:r w:rsidR="00920965" w:rsidRPr="00A13390">
        <w:rPr>
          <w:rFonts w:ascii="Arial" w:hAnsi="Arial" w:cs="Arial"/>
          <w:sz w:val="24"/>
          <w:szCs w:val="24"/>
        </w:rPr>
        <w:t>Chung</w:t>
      </w:r>
      <w:r w:rsidR="00920965" w:rsidRPr="00A13390">
        <w:rPr>
          <w:rFonts w:ascii="Arial" w:hAnsi="Arial" w:cs="Arial"/>
          <w:sz w:val="24"/>
          <w:szCs w:val="24"/>
          <w:lang w:val="en-US"/>
        </w:rPr>
        <w:t xml:space="preserve"> et al., 2022)</w:t>
      </w:r>
      <w:r w:rsidRPr="00A13390">
        <w:rPr>
          <w:rFonts w:ascii="Arial" w:hAnsi="Arial" w:cs="Arial"/>
          <w:sz w:val="24"/>
          <w:szCs w:val="24"/>
          <w:lang w:val="en-US"/>
        </w:rPr>
        <w:t>. Finding the time and resources to participate in community engagement activities and coordinate and collaborate with other organizations and individuals can be difficult.</w:t>
      </w:r>
    </w:p>
    <w:p w14:paraId="13A30C5E" w14:textId="77777777" w:rsidR="0046375D"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The third challenge of community engagement is resources, including the financial resources needed to support community engagement activities and the human resources needed to carry out those activities</w:t>
      </w:r>
      <w:r w:rsidR="00A23706" w:rsidRPr="00A13390">
        <w:rPr>
          <w:rFonts w:ascii="Arial" w:hAnsi="Arial" w:cs="Arial"/>
          <w:sz w:val="24"/>
          <w:szCs w:val="24"/>
          <w:lang w:val="en-US"/>
        </w:rPr>
        <w:t xml:space="preserve"> (</w:t>
      </w:r>
      <w:r w:rsidR="00A23706" w:rsidRPr="00A13390">
        <w:rPr>
          <w:rFonts w:ascii="Arial" w:hAnsi="Arial" w:cs="Arial"/>
          <w:sz w:val="24"/>
          <w:szCs w:val="24"/>
        </w:rPr>
        <w:t>Vitale</w:t>
      </w:r>
      <w:r w:rsidR="00A23706" w:rsidRPr="00A13390">
        <w:rPr>
          <w:rFonts w:ascii="Arial" w:hAnsi="Arial" w:cs="Arial"/>
          <w:sz w:val="24"/>
          <w:szCs w:val="24"/>
          <w:lang w:val="en-US"/>
        </w:rPr>
        <w:t xml:space="preserve"> et al., 2018)</w:t>
      </w:r>
      <w:r w:rsidRPr="00A13390">
        <w:rPr>
          <w:rFonts w:ascii="Arial" w:hAnsi="Arial" w:cs="Arial"/>
          <w:sz w:val="24"/>
          <w:szCs w:val="24"/>
          <w:lang w:val="en-US"/>
        </w:rPr>
        <w:t>. Community engagement can be costly, and it can be challenging to find the funding to support it. Additionally, it can be difficult to find trained and experienced staff who can effectively engage with community members.</w:t>
      </w:r>
    </w:p>
    <w:p w14:paraId="711E2BC4" w14:textId="77777777" w:rsidR="00A27EE3" w:rsidRPr="00E5027F" w:rsidRDefault="00000000" w:rsidP="00A13390">
      <w:pPr>
        <w:pStyle w:val="Heading1"/>
        <w:spacing w:line="360" w:lineRule="auto"/>
        <w:jc w:val="both"/>
        <w:rPr>
          <w:rFonts w:ascii="Arial" w:hAnsi="Arial" w:cs="Arial"/>
          <w:b/>
          <w:bCs/>
          <w:color w:val="auto"/>
          <w:sz w:val="24"/>
          <w:szCs w:val="24"/>
          <w:lang w:val="en-US"/>
        </w:rPr>
      </w:pPr>
      <w:bookmarkStart w:id="5" w:name="_Toc112617365"/>
      <w:r w:rsidRPr="00E5027F">
        <w:rPr>
          <w:rFonts w:ascii="Arial" w:hAnsi="Arial" w:cs="Arial"/>
          <w:b/>
          <w:bCs/>
          <w:color w:val="auto"/>
          <w:sz w:val="24"/>
          <w:szCs w:val="24"/>
          <w:lang w:val="en-US"/>
        </w:rPr>
        <w:t xml:space="preserve">5. </w:t>
      </w:r>
      <w:r w:rsidR="00444354" w:rsidRPr="00E5027F">
        <w:rPr>
          <w:rFonts w:ascii="Arial" w:hAnsi="Arial" w:cs="Arial"/>
          <w:b/>
          <w:bCs/>
          <w:color w:val="auto"/>
          <w:sz w:val="24"/>
          <w:szCs w:val="24"/>
          <w:lang w:val="en-US"/>
        </w:rPr>
        <w:t>Analysis of the Challenges</w:t>
      </w:r>
      <w:bookmarkEnd w:id="5"/>
    </w:p>
    <w:p w14:paraId="2D81F232" w14:textId="6BA39A1F" w:rsidR="00A27EE3"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The challenge of effective communication impacted the possibility of engaging with the stakeholders in a community engagement because it made it difficult to get the community members to participate in the process and trust that their voices would be heard and their concerns would be addressed. However, I overcame this challenge by communicating effectively with the community members and developing good </w:t>
      </w:r>
      <w:r w:rsidR="00E5027F">
        <w:rPr>
          <w:rFonts w:ascii="Arial" w:hAnsi="Arial" w:cs="Arial"/>
          <w:sz w:val="24"/>
          <w:szCs w:val="24"/>
          <w:lang w:val="en-US"/>
        </w:rPr>
        <w:t>relationships</w:t>
      </w:r>
      <w:r w:rsidRPr="00A13390">
        <w:rPr>
          <w:rFonts w:ascii="Arial" w:hAnsi="Arial" w:cs="Arial"/>
          <w:sz w:val="24"/>
          <w:szCs w:val="24"/>
          <w:lang w:val="en-US"/>
        </w:rPr>
        <w:t xml:space="preserve"> with them.</w:t>
      </w:r>
    </w:p>
    <w:p w14:paraId="6D352288" w14:textId="77777777" w:rsidR="0086364D"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The challenge of capacity can impact community engagement in several ways. For example, finding the time and resources to participate in community engagement can be difficult. In addition, coordinating and collaborating with other organizations and individuals can make it difficult. Additionally, capacity can also refer to the ability of organizations and individuals to work together to identify and address community </w:t>
      </w:r>
      <w:r w:rsidRPr="00A13390">
        <w:rPr>
          <w:rFonts w:ascii="Arial" w:hAnsi="Arial" w:cs="Arial"/>
          <w:sz w:val="24"/>
          <w:szCs w:val="24"/>
          <w:lang w:val="en-US"/>
        </w:rPr>
        <w:lastRenderedPageBreak/>
        <w:t>needs effectively. This can be challenging if organizations and individuals cannot effectively communicate and work together.</w:t>
      </w:r>
    </w:p>
    <w:p w14:paraId="2A7AA85B" w14:textId="77777777" w:rsidR="00F91EE7"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The lack of resources is a significant challenge regarding community engagement. This includes the financial resources needed to support community engagement activities and the human resources needed to carry out those activities. Community engagement can be costly, and it can be challenging to find the funding to support it. Additionally, it can be difficult to find trained and experienced staff who can effectively engage with community members. This can make it difficult to effectively engage with stakeholders in a community engagement.</w:t>
      </w:r>
    </w:p>
    <w:p w14:paraId="3E9962BB" w14:textId="77777777" w:rsidR="0058774F" w:rsidRPr="00E5027F" w:rsidRDefault="00000000" w:rsidP="00A13390">
      <w:pPr>
        <w:pStyle w:val="Heading1"/>
        <w:spacing w:line="360" w:lineRule="auto"/>
        <w:jc w:val="both"/>
        <w:rPr>
          <w:rFonts w:ascii="Arial" w:hAnsi="Arial" w:cs="Arial"/>
          <w:b/>
          <w:bCs/>
          <w:color w:val="auto"/>
          <w:sz w:val="24"/>
          <w:szCs w:val="24"/>
          <w:lang w:val="en-US"/>
        </w:rPr>
      </w:pPr>
      <w:bookmarkStart w:id="6" w:name="_Toc112617366"/>
      <w:r w:rsidRPr="00E5027F">
        <w:rPr>
          <w:rFonts w:ascii="Arial" w:hAnsi="Arial" w:cs="Arial"/>
          <w:b/>
          <w:bCs/>
          <w:color w:val="auto"/>
          <w:sz w:val="24"/>
          <w:szCs w:val="24"/>
          <w:lang w:val="en-US"/>
        </w:rPr>
        <w:t xml:space="preserve">6. </w:t>
      </w:r>
      <w:r w:rsidR="00444354" w:rsidRPr="00E5027F">
        <w:rPr>
          <w:rFonts w:ascii="Arial" w:hAnsi="Arial" w:cs="Arial"/>
          <w:b/>
          <w:bCs/>
          <w:color w:val="auto"/>
          <w:sz w:val="24"/>
          <w:szCs w:val="24"/>
          <w:lang w:val="en-US"/>
        </w:rPr>
        <w:t>Strategies to Engage the Stakeholders</w:t>
      </w:r>
      <w:bookmarkEnd w:id="6"/>
    </w:p>
    <w:p w14:paraId="1D6D7834" w14:textId="77777777" w:rsidR="00C07194"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The first step in any community engagement strategy is to identify the stakeholders. In this case, the stakeholders are the people who will be affected by the project, that is, community engagement. </w:t>
      </w:r>
      <w:r w:rsidR="00684CCD" w:rsidRPr="00A13390">
        <w:rPr>
          <w:rFonts w:ascii="Arial" w:hAnsi="Arial" w:cs="Arial"/>
          <w:sz w:val="24"/>
          <w:szCs w:val="24"/>
          <w:lang w:val="en-US"/>
        </w:rPr>
        <w:t>After identifying a project and its stakeholders, a relationship is necessary. The most effective means of involving stakeholders will depend on their relationship with the project.</w:t>
      </w:r>
    </w:p>
    <w:p w14:paraId="0BA91552" w14:textId="77777777" w:rsidR="00C07194" w:rsidRPr="00E5027F" w:rsidRDefault="00000000" w:rsidP="00A13390">
      <w:pPr>
        <w:pStyle w:val="Heading1"/>
        <w:spacing w:line="360" w:lineRule="auto"/>
        <w:jc w:val="both"/>
        <w:rPr>
          <w:rFonts w:ascii="Arial" w:hAnsi="Arial" w:cs="Arial"/>
          <w:b/>
          <w:bCs/>
          <w:color w:val="auto"/>
          <w:sz w:val="24"/>
          <w:szCs w:val="24"/>
          <w:lang w:val="en-US"/>
        </w:rPr>
      </w:pPr>
      <w:bookmarkStart w:id="7" w:name="_Toc112617367"/>
      <w:r w:rsidRPr="00E5027F">
        <w:rPr>
          <w:rFonts w:ascii="Arial" w:hAnsi="Arial" w:cs="Arial"/>
          <w:b/>
          <w:bCs/>
          <w:color w:val="auto"/>
          <w:sz w:val="24"/>
          <w:szCs w:val="24"/>
          <w:lang w:val="en-US"/>
        </w:rPr>
        <w:t>7.</w:t>
      </w:r>
      <w:r w:rsidR="00444354" w:rsidRPr="00E5027F">
        <w:rPr>
          <w:rFonts w:ascii="Arial" w:hAnsi="Arial" w:cs="Arial"/>
          <w:b/>
          <w:bCs/>
          <w:color w:val="auto"/>
          <w:sz w:val="24"/>
          <w:szCs w:val="24"/>
          <w:lang w:val="en-US"/>
        </w:rPr>
        <w:t xml:space="preserve"> Media Tools Used to Engage Stakeholders</w:t>
      </w:r>
      <w:bookmarkEnd w:id="7"/>
    </w:p>
    <w:p w14:paraId="70A3A7A1" w14:textId="77777777" w:rsidR="002D205F"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Many different social media platforms can be used to engage stakeholders. Social networking networks such as Facebook, Twitter, and LinkedIn are the most popular. Various features specific to each social media platform are available for attracting and retaining users.</w:t>
      </w:r>
    </w:p>
    <w:p w14:paraId="5162B835" w14:textId="77777777" w:rsidR="00C07194"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Facebook is a great platform for engaging stakeholders because it allows you to create a page for your project. This page can post updates about the project, share photos, and engage with the community. Facebook also has groups that can be used to engage with stakeholders. Groups are a great way to start a conversation and get feedback from stakeholders.</w:t>
      </w:r>
    </w:p>
    <w:p w14:paraId="5341B8AC" w14:textId="77777777" w:rsidR="00C07194"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Twitter is another great platform for engaging stakeholders. Twitter allows you to share updates about the project, engage with the community, and start conversations. Twitter is also a great platform for promoting events. Finally, LinkedIn is an excellent platform for connecting with stakeholders and building relationships. LinkedIn also has groups that can be used to engage with stakeholders.</w:t>
      </w:r>
    </w:p>
    <w:p w14:paraId="1B567C26" w14:textId="77777777" w:rsidR="00A42830" w:rsidRPr="00E5027F" w:rsidRDefault="00000000" w:rsidP="00A13390">
      <w:pPr>
        <w:pStyle w:val="Heading1"/>
        <w:spacing w:line="360" w:lineRule="auto"/>
        <w:jc w:val="both"/>
        <w:rPr>
          <w:rFonts w:ascii="Arial" w:hAnsi="Arial" w:cs="Arial"/>
          <w:b/>
          <w:bCs/>
          <w:color w:val="auto"/>
          <w:sz w:val="24"/>
          <w:szCs w:val="24"/>
          <w:lang w:val="en-US"/>
        </w:rPr>
      </w:pPr>
      <w:bookmarkStart w:id="8" w:name="_Toc112617368"/>
      <w:r w:rsidRPr="00E5027F">
        <w:rPr>
          <w:rFonts w:ascii="Arial" w:hAnsi="Arial" w:cs="Arial"/>
          <w:b/>
          <w:bCs/>
          <w:color w:val="auto"/>
          <w:sz w:val="24"/>
          <w:szCs w:val="24"/>
          <w:lang w:val="en-US"/>
        </w:rPr>
        <w:lastRenderedPageBreak/>
        <w:t xml:space="preserve">8. </w:t>
      </w:r>
      <w:r w:rsidR="00444354" w:rsidRPr="00E5027F">
        <w:rPr>
          <w:rFonts w:ascii="Arial" w:hAnsi="Arial" w:cs="Arial"/>
          <w:b/>
          <w:bCs/>
          <w:color w:val="auto"/>
          <w:sz w:val="24"/>
          <w:szCs w:val="24"/>
          <w:lang w:val="en-US"/>
        </w:rPr>
        <w:t>Conclusion</w:t>
      </w:r>
      <w:bookmarkEnd w:id="8"/>
    </w:p>
    <w:p w14:paraId="5FE5733A" w14:textId="77777777" w:rsidR="00A42830"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In conclusion, community engagement is a powerful tool that can be used to improve the lives of those in the community. Many stakeholders are involved in community engagement, and it is vital to engage with them effectively. There are many challenges involved in community engagement, but many strategies can be used to overcome those challenges. Social media is an excellent platform for engaging stakeholders and promoting community engagement.</w:t>
      </w:r>
    </w:p>
    <w:p w14:paraId="00826578" w14:textId="77777777" w:rsidR="00A42830" w:rsidRPr="00E5027F" w:rsidRDefault="00000000" w:rsidP="00A13390">
      <w:pPr>
        <w:pStyle w:val="Heading1"/>
        <w:spacing w:line="360" w:lineRule="auto"/>
        <w:jc w:val="both"/>
        <w:rPr>
          <w:rFonts w:ascii="Arial" w:hAnsi="Arial" w:cs="Arial"/>
          <w:b/>
          <w:bCs/>
          <w:color w:val="auto"/>
          <w:sz w:val="24"/>
          <w:szCs w:val="24"/>
          <w:lang w:val="en-US"/>
        </w:rPr>
      </w:pPr>
      <w:bookmarkStart w:id="9" w:name="_Toc112617369"/>
      <w:r w:rsidRPr="00E5027F">
        <w:rPr>
          <w:rFonts w:ascii="Arial" w:hAnsi="Arial" w:cs="Arial"/>
          <w:b/>
          <w:bCs/>
          <w:color w:val="auto"/>
          <w:sz w:val="24"/>
          <w:szCs w:val="24"/>
          <w:lang w:val="en-US"/>
        </w:rPr>
        <w:t xml:space="preserve">9. </w:t>
      </w:r>
      <w:r w:rsidR="00444354" w:rsidRPr="00E5027F">
        <w:rPr>
          <w:rFonts w:ascii="Arial" w:hAnsi="Arial" w:cs="Arial"/>
          <w:b/>
          <w:bCs/>
          <w:color w:val="auto"/>
          <w:sz w:val="24"/>
          <w:szCs w:val="24"/>
          <w:lang w:val="en-US"/>
        </w:rPr>
        <w:t>Recommendations</w:t>
      </w:r>
      <w:bookmarkEnd w:id="9"/>
    </w:p>
    <w:p w14:paraId="257B6790" w14:textId="77777777" w:rsidR="006476EB"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Improving communication with community members is vital to engage them effectively in community engagement. This can be done by communicating effectively with the community members and developing a good relationship with them. Some ways to communicate effectively with the community members are by holding meetings, sending out newsletters, and using social media. It is also essential to develop a good relationship with the community members. This can be done by attending community events, getting to know the community members, and being friendly and helpful.</w:t>
      </w:r>
    </w:p>
    <w:p w14:paraId="0A40D748" w14:textId="77777777" w:rsidR="006476EB" w:rsidRPr="00A13390" w:rsidRDefault="00000000" w:rsidP="00A13390">
      <w:pPr>
        <w:spacing w:line="360" w:lineRule="auto"/>
        <w:ind w:firstLine="720"/>
        <w:jc w:val="both"/>
        <w:rPr>
          <w:rFonts w:ascii="Arial" w:hAnsi="Arial" w:cs="Arial"/>
          <w:sz w:val="24"/>
          <w:szCs w:val="24"/>
        </w:rPr>
      </w:pPr>
      <w:r w:rsidRPr="00A13390">
        <w:rPr>
          <w:rFonts w:ascii="Arial" w:hAnsi="Arial" w:cs="Arial"/>
          <w:sz w:val="24"/>
          <w:szCs w:val="24"/>
        </w:rPr>
        <w:t xml:space="preserve">Building relationships with community members is central to engaging them effectively in community engagement. This can be done by working with the community members and developing a good relationship with them. Developing a good relationship with the community is essential to work together effectively with the community. Regular communication with them can help you achieve this. regularly, respecting their opinions and needs, and working together to find solutions to problems. </w:t>
      </w:r>
    </w:p>
    <w:p w14:paraId="748FAD92" w14:textId="77777777" w:rsidR="006476EB"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One way to increase capacity for community engagement is to find the time and resources to participate in community engagement activities. This can be done by coordinating and collaborating with other organizations and individuals. Additionally, capacity can be increased by training experienced staff who can effectively engage with community members.</w:t>
      </w:r>
    </w:p>
    <w:p w14:paraId="4702BC60" w14:textId="77777777" w:rsidR="00460054" w:rsidRPr="00A13390" w:rsidRDefault="00000000" w:rsidP="00A13390">
      <w:pPr>
        <w:spacing w:line="360" w:lineRule="auto"/>
        <w:ind w:firstLine="720"/>
        <w:jc w:val="both"/>
        <w:rPr>
          <w:rFonts w:ascii="Arial" w:hAnsi="Arial" w:cs="Arial"/>
          <w:sz w:val="24"/>
          <w:szCs w:val="24"/>
          <w:lang w:val="en-US"/>
        </w:rPr>
      </w:pPr>
      <w:r w:rsidRPr="00A13390">
        <w:rPr>
          <w:rFonts w:ascii="Arial" w:hAnsi="Arial" w:cs="Arial"/>
          <w:sz w:val="24"/>
          <w:szCs w:val="24"/>
          <w:lang w:val="en-US"/>
        </w:rPr>
        <w:t xml:space="preserve">It is </w:t>
      </w:r>
      <w:r w:rsidR="009C124C" w:rsidRPr="00A13390">
        <w:rPr>
          <w:rFonts w:ascii="Arial" w:hAnsi="Arial" w:cs="Arial"/>
          <w:sz w:val="24"/>
          <w:szCs w:val="24"/>
          <w:lang w:val="en-US"/>
        </w:rPr>
        <w:t>vital</w:t>
      </w:r>
      <w:r w:rsidRPr="00A13390">
        <w:rPr>
          <w:rFonts w:ascii="Arial" w:hAnsi="Arial" w:cs="Arial"/>
          <w:sz w:val="24"/>
          <w:szCs w:val="24"/>
          <w:lang w:val="en-US"/>
        </w:rPr>
        <w:t xml:space="preserve"> to increase resources for </w:t>
      </w:r>
      <w:r w:rsidR="009C124C" w:rsidRPr="00A13390">
        <w:rPr>
          <w:rFonts w:ascii="Arial" w:hAnsi="Arial" w:cs="Arial"/>
          <w:sz w:val="24"/>
          <w:szCs w:val="24"/>
          <w:lang w:val="en-US"/>
        </w:rPr>
        <w:t>civic</w:t>
      </w:r>
      <w:r w:rsidRPr="00A13390">
        <w:rPr>
          <w:rFonts w:ascii="Arial" w:hAnsi="Arial" w:cs="Arial"/>
          <w:sz w:val="24"/>
          <w:szCs w:val="24"/>
          <w:lang w:val="en-US"/>
        </w:rPr>
        <w:t xml:space="preserve"> engagement to engage stakeholders effectively. This can be done by finding the funding to support community engagement activities and finding trained and experienced staff who can effectively engage with community members.</w:t>
      </w:r>
    </w:p>
    <w:p w14:paraId="4F019A8C" w14:textId="77777777" w:rsidR="00A42830" w:rsidRPr="00E5027F" w:rsidRDefault="00000000" w:rsidP="00A13390">
      <w:pPr>
        <w:pStyle w:val="Heading1"/>
        <w:spacing w:line="360" w:lineRule="auto"/>
        <w:jc w:val="both"/>
        <w:rPr>
          <w:rFonts w:ascii="Arial" w:hAnsi="Arial" w:cs="Arial"/>
          <w:b/>
          <w:bCs/>
          <w:color w:val="auto"/>
          <w:sz w:val="24"/>
          <w:szCs w:val="24"/>
          <w:lang w:val="en-US"/>
        </w:rPr>
      </w:pPr>
      <w:r w:rsidRPr="00A13390">
        <w:rPr>
          <w:rFonts w:ascii="Arial" w:hAnsi="Arial" w:cs="Arial"/>
          <w:color w:val="auto"/>
          <w:sz w:val="24"/>
          <w:szCs w:val="24"/>
          <w:lang w:val="en-US"/>
        </w:rPr>
        <w:br w:type="page"/>
      </w:r>
      <w:bookmarkStart w:id="10" w:name="_Toc112617370"/>
      <w:r w:rsidRPr="00E5027F">
        <w:rPr>
          <w:rFonts w:ascii="Arial" w:hAnsi="Arial" w:cs="Arial"/>
          <w:b/>
          <w:bCs/>
          <w:color w:val="auto"/>
          <w:sz w:val="24"/>
          <w:szCs w:val="24"/>
          <w:lang w:val="en-US"/>
        </w:rPr>
        <w:lastRenderedPageBreak/>
        <w:t>References</w:t>
      </w:r>
      <w:bookmarkEnd w:id="10"/>
    </w:p>
    <w:p w14:paraId="0B92C760" w14:textId="77777777" w:rsidR="00695BD1" w:rsidRPr="00695BD1" w:rsidRDefault="00695BD1" w:rsidP="00695BD1">
      <w:pPr>
        <w:rPr>
          <w:lang w:val="en-US"/>
        </w:rPr>
      </w:pPr>
    </w:p>
    <w:p w14:paraId="18F7718A"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t>Banks, S., Hart, A., Pahl, K. and Ward, P., 2018. Co-producing research: A community development approach. In Co-producing Research (pp. 1-18). Policy Press.</w:t>
      </w:r>
    </w:p>
    <w:p w14:paraId="67CB6F6E"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t>Boivin, A., L'Espérance, A., Gauvin, F.P., Dumez, V., Macaulay, A.C., Lehoux, P. and Abelson, J., 2018. Patient and public engagement in research and health system decision making: a systematic review of evaluation tools. Health Expectations, 21(6), pp.1075-1084.</w:t>
      </w:r>
    </w:p>
    <w:p w14:paraId="027EC6ED"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t>Chung, A.M., Love, E., Neidel, J., Mendai, I., Nairenge, S., van Wyk, L.A., Rossi, S., Larson, E., Case, P., Gosling, J. and Viljoen, G., 2022. Strengthening Management, Community Engagement, and Sustainability of the Subnational Response to Accelerate Malaria Elimination in Namibia. The American Journal of Tropical Medicine and Hygiene, 106(6), p.1646.</w:t>
      </w:r>
    </w:p>
    <w:p w14:paraId="54A21E28"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t>Dutta, T., Meyerson, B.E., Agley, J., Barnes, P.A., Sherwood-Laughlin, C. and Nicholson-Crotty, J., 2020. A qualitative analysis of vaccine decision makers’ conceptualization and fostering of ‘community engagement in India. International journal for equity in health, 19(1), pp.1-14.</w:t>
      </w:r>
    </w:p>
    <w:p w14:paraId="6A6BB6E1"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t>Hyland-Wood, B., Gardner, J., Leask, J. and Ecker, U.K., 2021. Toward effective government communication strategies in the era of COVID-19. Humanities and Social Sciences Communications, 8(1), pp.1-11.</w:t>
      </w:r>
    </w:p>
    <w:p w14:paraId="4153B81F"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t>Powell, M., Gillett, A., and Doherty, B., 2019. Sustainability in social enterprise: hybrid organizing in public services. Public Management Review, 21(2), pp.159-186.</w:t>
      </w:r>
    </w:p>
    <w:p w14:paraId="43CB43B2"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t>Reynolds, L. and Sariola, S., 2018. The ethics and politics of community engagement in global health research. Critical Public Health, 28(3), pp.257-268.</w:t>
      </w:r>
    </w:p>
    <w:p w14:paraId="67F0D39C"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t>Vitale, K., Newton, G.L., Abraido-Lanza, A.F., Aguirre, A.N., Ahmed, S., Esmond, S.L., Evans, J., Gelmon, S.B., Hart, C., Hendricks, D. and McClinton-Brown, R., 2018. Community engagement in academic health centers: A model for capturing and advancing our successes. Journal of community engagement and scholarship, 10(1), p.81.</w:t>
      </w:r>
    </w:p>
    <w:p w14:paraId="1CF3009C" w14:textId="77777777" w:rsidR="00555262" w:rsidRPr="00695BD1" w:rsidRDefault="00000000" w:rsidP="00695BD1">
      <w:pPr>
        <w:spacing w:line="360" w:lineRule="auto"/>
        <w:ind w:left="720" w:hanging="720"/>
        <w:jc w:val="both"/>
        <w:rPr>
          <w:rFonts w:ascii="Arial" w:hAnsi="Arial" w:cs="Arial"/>
          <w:sz w:val="24"/>
          <w:szCs w:val="24"/>
        </w:rPr>
      </w:pPr>
      <w:r w:rsidRPr="00695BD1">
        <w:rPr>
          <w:rFonts w:ascii="Arial" w:hAnsi="Arial" w:cs="Arial"/>
          <w:sz w:val="24"/>
          <w:szCs w:val="24"/>
        </w:rPr>
        <w:lastRenderedPageBreak/>
        <w:t>Wiebe, S.M., 2020. Sensing policy: engaging affected communities at the intersections of environmental justice and decolonial futures. Politics, Groups, and Identities, 8(1), pp.181-193.</w:t>
      </w:r>
    </w:p>
    <w:p w14:paraId="316B1A98" w14:textId="77777777" w:rsidR="00460054" w:rsidRPr="00695BD1" w:rsidRDefault="00000000" w:rsidP="00695BD1">
      <w:pPr>
        <w:spacing w:line="360" w:lineRule="auto"/>
        <w:ind w:left="720" w:hanging="720"/>
        <w:jc w:val="both"/>
        <w:rPr>
          <w:rFonts w:ascii="Arial" w:hAnsi="Arial" w:cs="Arial"/>
          <w:sz w:val="24"/>
          <w:szCs w:val="24"/>
          <w:lang w:val="en-US"/>
        </w:rPr>
      </w:pPr>
      <w:r w:rsidRPr="00695BD1">
        <w:rPr>
          <w:rFonts w:ascii="Arial" w:hAnsi="Arial" w:cs="Arial"/>
          <w:sz w:val="24"/>
          <w:szCs w:val="24"/>
        </w:rPr>
        <w:t>Wray</w:t>
      </w:r>
      <w:r w:rsidRPr="00695BD1">
        <w:rPr>
          <w:rFonts w:ascii="Cambria Math" w:hAnsi="Cambria Math" w:cs="Cambria Math"/>
          <w:sz w:val="24"/>
          <w:szCs w:val="24"/>
        </w:rPr>
        <w:t>‐</w:t>
      </w:r>
      <w:r w:rsidRPr="00695BD1">
        <w:rPr>
          <w:rFonts w:ascii="Arial" w:hAnsi="Arial" w:cs="Arial"/>
          <w:sz w:val="24"/>
          <w:szCs w:val="24"/>
        </w:rPr>
        <w:t>Lake, L. and Abrams, L.S., 2020. Pathways to civic engagement among the urban youth of color. Monographs of the Society for Research in Child Development, 85(2), pp.7-154.</w:t>
      </w:r>
    </w:p>
    <w:sectPr w:rsidR="00460054" w:rsidRPr="00695BD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CD76F" w14:textId="77777777" w:rsidR="00CF4841" w:rsidRDefault="00CF4841">
      <w:pPr>
        <w:spacing w:after="0" w:line="240" w:lineRule="auto"/>
      </w:pPr>
      <w:r>
        <w:separator/>
      </w:r>
    </w:p>
  </w:endnote>
  <w:endnote w:type="continuationSeparator" w:id="0">
    <w:p w14:paraId="65ED80B9" w14:textId="77777777" w:rsidR="00CF4841" w:rsidRDefault="00CF4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68451"/>
      <w:docPartObj>
        <w:docPartGallery w:val="Page Numbers (Bottom of Page)"/>
        <w:docPartUnique/>
      </w:docPartObj>
    </w:sdtPr>
    <w:sdtEndPr>
      <w:rPr>
        <w:noProof/>
      </w:rPr>
    </w:sdtEndPr>
    <w:sdtContent>
      <w:p w14:paraId="33C65868" w14:textId="77777777" w:rsidR="00695BD1"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3A5B55" w14:textId="77777777" w:rsidR="00695BD1" w:rsidRDefault="00695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4EA0A" w14:textId="77777777" w:rsidR="00CF4841" w:rsidRDefault="00CF4841">
      <w:pPr>
        <w:spacing w:after="0" w:line="240" w:lineRule="auto"/>
      </w:pPr>
      <w:r>
        <w:separator/>
      </w:r>
    </w:p>
  </w:footnote>
  <w:footnote w:type="continuationSeparator" w:id="0">
    <w:p w14:paraId="636224C5" w14:textId="77777777" w:rsidR="00CF4841" w:rsidRDefault="00CF4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E4D5B"/>
    <w:multiLevelType w:val="hybridMultilevel"/>
    <w:tmpl w:val="E5DEF8BA"/>
    <w:lvl w:ilvl="0" w:tplc="AE1622F6">
      <w:start w:val="1"/>
      <w:numFmt w:val="decimal"/>
      <w:lvlText w:val="%1."/>
      <w:lvlJc w:val="left"/>
      <w:pPr>
        <w:ind w:left="720" w:hanging="360"/>
      </w:pPr>
    </w:lvl>
    <w:lvl w:ilvl="1" w:tplc="BD666584" w:tentative="1">
      <w:start w:val="1"/>
      <w:numFmt w:val="lowerLetter"/>
      <w:lvlText w:val="%2."/>
      <w:lvlJc w:val="left"/>
      <w:pPr>
        <w:ind w:left="1440" w:hanging="360"/>
      </w:pPr>
    </w:lvl>
    <w:lvl w:ilvl="2" w:tplc="DB1EA624" w:tentative="1">
      <w:start w:val="1"/>
      <w:numFmt w:val="lowerRoman"/>
      <w:lvlText w:val="%3."/>
      <w:lvlJc w:val="right"/>
      <w:pPr>
        <w:ind w:left="2160" w:hanging="180"/>
      </w:pPr>
    </w:lvl>
    <w:lvl w:ilvl="3" w:tplc="5F709E82" w:tentative="1">
      <w:start w:val="1"/>
      <w:numFmt w:val="decimal"/>
      <w:lvlText w:val="%4."/>
      <w:lvlJc w:val="left"/>
      <w:pPr>
        <w:ind w:left="2880" w:hanging="360"/>
      </w:pPr>
    </w:lvl>
    <w:lvl w:ilvl="4" w:tplc="69D80FB4" w:tentative="1">
      <w:start w:val="1"/>
      <w:numFmt w:val="lowerLetter"/>
      <w:lvlText w:val="%5."/>
      <w:lvlJc w:val="left"/>
      <w:pPr>
        <w:ind w:left="3600" w:hanging="360"/>
      </w:pPr>
    </w:lvl>
    <w:lvl w:ilvl="5" w:tplc="EC5659EE" w:tentative="1">
      <w:start w:val="1"/>
      <w:numFmt w:val="lowerRoman"/>
      <w:lvlText w:val="%6."/>
      <w:lvlJc w:val="right"/>
      <w:pPr>
        <w:ind w:left="4320" w:hanging="180"/>
      </w:pPr>
    </w:lvl>
    <w:lvl w:ilvl="6" w:tplc="5DA6037A" w:tentative="1">
      <w:start w:val="1"/>
      <w:numFmt w:val="decimal"/>
      <w:lvlText w:val="%7."/>
      <w:lvlJc w:val="left"/>
      <w:pPr>
        <w:ind w:left="5040" w:hanging="360"/>
      </w:pPr>
    </w:lvl>
    <w:lvl w:ilvl="7" w:tplc="A64089BC" w:tentative="1">
      <w:start w:val="1"/>
      <w:numFmt w:val="lowerLetter"/>
      <w:lvlText w:val="%8."/>
      <w:lvlJc w:val="left"/>
      <w:pPr>
        <w:ind w:left="5760" w:hanging="360"/>
      </w:pPr>
    </w:lvl>
    <w:lvl w:ilvl="8" w:tplc="5456E870" w:tentative="1">
      <w:start w:val="1"/>
      <w:numFmt w:val="lowerRoman"/>
      <w:lvlText w:val="%9."/>
      <w:lvlJc w:val="right"/>
      <w:pPr>
        <w:ind w:left="6480" w:hanging="180"/>
      </w:pPr>
    </w:lvl>
  </w:abstractNum>
  <w:abstractNum w:abstractNumId="1" w15:restartNumberingAfterBreak="0">
    <w:nsid w:val="25E453BF"/>
    <w:multiLevelType w:val="hybridMultilevel"/>
    <w:tmpl w:val="4F8072B2"/>
    <w:lvl w:ilvl="0" w:tplc="4F0607B8">
      <w:start w:val="1"/>
      <w:numFmt w:val="decimal"/>
      <w:lvlText w:val="%1."/>
      <w:lvlJc w:val="left"/>
      <w:pPr>
        <w:ind w:left="1080" w:hanging="720"/>
      </w:pPr>
      <w:rPr>
        <w:rFonts w:hint="default"/>
      </w:rPr>
    </w:lvl>
    <w:lvl w:ilvl="1" w:tplc="6C0EB008" w:tentative="1">
      <w:start w:val="1"/>
      <w:numFmt w:val="lowerLetter"/>
      <w:lvlText w:val="%2."/>
      <w:lvlJc w:val="left"/>
      <w:pPr>
        <w:ind w:left="1440" w:hanging="360"/>
      </w:pPr>
    </w:lvl>
    <w:lvl w:ilvl="2" w:tplc="A4C21EEE" w:tentative="1">
      <w:start w:val="1"/>
      <w:numFmt w:val="lowerRoman"/>
      <w:lvlText w:val="%3."/>
      <w:lvlJc w:val="right"/>
      <w:pPr>
        <w:ind w:left="2160" w:hanging="180"/>
      </w:pPr>
    </w:lvl>
    <w:lvl w:ilvl="3" w:tplc="D952DFF0" w:tentative="1">
      <w:start w:val="1"/>
      <w:numFmt w:val="decimal"/>
      <w:lvlText w:val="%4."/>
      <w:lvlJc w:val="left"/>
      <w:pPr>
        <w:ind w:left="2880" w:hanging="360"/>
      </w:pPr>
    </w:lvl>
    <w:lvl w:ilvl="4" w:tplc="A2FC21C6" w:tentative="1">
      <w:start w:val="1"/>
      <w:numFmt w:val="lowerLetter"/>
      <w:lvlText w:val="%5."/>
      <w:lvlJc w:val="left"/>
      <w:pPr>
        <w:ind w:left="3600" w:hanging="360"/>
      </w:pPr>
    </w:lvl>
    <w:lvl w:ilvl="5" w:tplc="F39E9978" w:tentative="1">
      <w:start w:val="1"/>
      <w:numFmt w:val="lowerRoman"/>
      <w:lvlText w:val="%6."/>
      <w:lvlJc w:val="right"/>
      <w:pPr>
        <w:ind w:left="4320" w:hanging="180"/>
      </w:pPr>
    </w:lvl>
    <w:lvl w:ilvl="6" w:tplc="12F0F94C" w:tentative="1">
      <w:start w:val="1"/>
      <w:numFmt w:val="decimal"/>
      <w:lvlText w:val="%7."/>
      <w:lvlJc w:val="left"/>
      <w:pPr>
        <w:ind w:left="5040" w:hanging="360"/>
      </w:pPr>
    </w:lvl>
    <w:lvl w:ilvl="7" w:tplc="8C7E3E96" w:tentative="1">
      <w:start w:val="1"/>
      <w:numFmt w:val="lowerLetter"/>
      <w:lvlText w:val="%8."/>
      <w:lvlJc w:val="left"/>
      <w:pPr>
        <w:ind w:left="5760" w:hanging="360"/>
      </w:pPr>
    </w:lvl>
    <w:lvl w:ilvl="8" w:tplc="6910E9E6" w:tentative="1">
      <w:start w:val="1"/>
      <w:numFmt w:val="lowerRoman"/>
      <w:lvlText w:val="%9."/>
      <w:lvlJc w:val="right"/>
      <w:pPr>
        <w:ind w:left="6480" w:hanging="180"/>
      </w:pPr>
    </w:lvl>
  </w:abstractNum>
  <w:abstractNum w:abstractNumId="2" w15:restartNumberingAfterBreak="0">
    <w:nsid w:val="619E46F3"/>
    <w:multiLevelType w:val="hybridMultilevel"/>
    <w:tmpl w:val="49EAEA10"/>
    <w:lvl w:ilvl="0" w:tplc="504036C0">
      <w:start w:val="1"/>
      <w:numFmt w:val="decimal"/>
      <w:lvlText w:val="%1."/>
      <w:lvlJc w:val="left"/>
      <w:pPr>
        <w:ind w:left="720" w:hanging="360"/>
      </w:pPr>
    </w:lvl>
    <w:lvl w:ilvl="1" w:tplc="AD2269C8" w:tentative="1">
      <w:start w:val="1"/>
      <w:numFmt w:val="lowerLetter"/>
      <w:lvlText w:val="%2."/>
      <w:lvlJc w:val="left"/>
      <w:pPr>
        <w:ind w:left="1440" w:hanging="360"/>
      </w:pPr>
    </w:lvl>
    <w:lvl w:ilvl="2" w:tplc="B2D4E07C" w:tentative="1">
      <w:start w:val="1"/>
      <w:numFmt w:val="lowerRoman"/>
      <w:lvlText w:val="%3."/>
      <w:lvlJc w:val="right"/>
      <w:pPr>
        <w:ind w:left="2160" w:hanging="180"/>
      </w:pPr>
    </w:lvl>
    <w:lvl w:ilvl="3" w:tplc="8C369096" w:tentative="1">
      <w:start w:val="1"/>
      <w:numFmt w:val="decimal"/>
      <w:lvlText w:val="%4."/>
      <w:lvlJc w:val="left"/>
      <w:pPr>
        <w:ind w:left="2880" w:hanging="360"/>
      </w:pPr>
    </w:lvl>
    <w:lvl w:ilvl="4" w:tplc="46405764" w:tentative="1">
      <w:start w:val="1"/>
      <w:numFmt w:val="lowerLetter"/>
      <w:lvlText w:val="%5."/>
      <w:lvlJc w:val="left"/>
      <w:pPr>
        <w:ind w:left="3600" w:hanging="360"/>
      </w:pPr>
    </w:lvl>
    <w:lvl w:ilvl="5" w:tplc="2456452C" w:tentative="1">
      <w:start w:val="1"/>
      <w:numFmt w:val="lowerRoman"/>
      <w:lvlText w:val="%6."/>
      <w:lvlJc w:val="right"/>
      <w:pPr>
        <w:ind w:left="4320" w:hanging="180"/>
      </w:pPr>
    </w:lvl>
    <w:lvl w:ilvl="6" w:tplc="2A428CE0" w:tentative="1">
      <w:start w:val="1"/>
      <w:numFmt w:val="decimal"/>
      <w:lvlText w:val="%7."/>
      <w:lvlJc w:val="left"/>
      <w:pPr>
        <w:ind w:left="5040" w:hanging="360"/>
      </w:pPr>
    </w:lvl>
    <w:lvl w:ilvl="7" w:tplc="D28280A8" w:tentative="1">
      <w:start w:val="1"/>
      <w:numFmt w:val="lowerLetter"/>
      <w:lvlText w:val="%8."/>
      <w:lvlJc w:val="left"/>
      <w:pPr>
        <w:ind w:left="5760" w:hanging="360"/>
      </w:pPr>
    </w:lvl>
    <w:lvl w:ilvl="8" w:tplc="55F4DCF6" w:tentative="1">
      <w:start w:val="1"/>
      <w:numFmt w:val="lowerRoman"/>
      <w:lvlText w:val="%9."/>
      <w:lvlJc w:val="right"/>
      <w:pPr>
        <w:ind w:left="6480" w:hanging="180"/>
      </w:pPr>
    </w:lvl>
  </w:abstractNum>
  <w:num w:numId="1" w16cid:durableId="712509643">
    <w:abstractNumId w:val="2"/>
  </w:num>
  <w:num w:numId="2" w16cid:durableId="691034971">
    <w:abstractNumId w:val="0"/>
  </w:num>
  <w:num w:numId="3" w16cid:durableId="1267807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EB5"/>
    <w:rsid w:val="00084A54"/>
    <w:rsid w:val="00091CCE"/>
    <w:rsid w:val="00157B07"/>
    <w:rsid w:val="001A3D15"/>
    <w:rsid w:val="001C6761"/>
    <w:rsid w:val="002125FF"/>
    <w:rsid w:val="0024472A"/>
    <w:rsid w:val="002A417A"/>
    <w:rsid w:val="002C094F"/>
    <w:rsid w:val="002D205F"/>
    <w:rsid w:val="003935C9"/>
    <w:rsid w:val="00397B12"/>
    <w:rsid w:val="003B716D"/>
    <w:rsid w:val="003C3EE6"/>
    <w:rsid w:val="00430443"/>
    <w:rsid w:val="00444354"/>
    <w:rsid w:val="00460054"/>
    <w:rsid w:val="0046375D"/>
    <w:rsid w:val="004838D2"/>
    <w:rsid w:val="00490C4B"/>
    <w:rsid w:val="004B0034"/>
    <w:rsid w:val="0055199A"/>
    <w:rsid w:val="00555262"/>
    <w:rsid w:val="00571518"/>
    <w:rsid w:val="0058774F"/>
    <w:rsid w:val="0059403F"/>
    <w:rsid w:val="005E35AE"/>
    <w:rsid w:val="00627F85"/>
    <w:rsid w:val="00632284"/>
    <w:rsid w:val="006476EB"/>
    <w:rsid w:val="006569D5"/>
    <w:rsid w:val="00684CCD"/>
    <w:rsid w:val="00695BD1"/>
    <w:rsid w:val="00697E8B"/>
    <w:rsid w:val="006B2CFD"/>
    <w:rsid w:val="00707ACC"/>
    <w:rsid w:val="008579EC"/>
    <w:rsid w:val="0086364D"/>
    <w:rsid w:val="00870692"/>
    <w:rsid w:val="00877A69"/>
    <w:rsid w:val="00896EC6"/>
    <w:rsid w:val="008A14B8"/>
    <w:rsid w:val="008E5E04"/>
    <w:rsid w:val="008E5FE2"/>
    <w:rsid w:val="00910000"/>
    <w:rsid w:val="009147BA"/>
    <w:rsid w:val="00920965"/>
    <w:rsid w:val="00997C3F"/>
    <w:rsid w:val="009B2AF1"/>
    <w:rsid w:val="009C124C"/>
    <w:rsid w:val="00A13390"/>
    <w:rsid w:val="00A23706"/>
    <w:rsid w:val="00A27EE3"/>
    <w:rsid w:val="00A33F00"/>
    <w:rsid w:val="00A3653B"/>
    <w:rsid w:val="00A42830"/>
    <w:rsid w:val="00A51040"/>
    <w:rsid w:val="00A74AE0"/>
    <w:rsid w:val="00A92641"/>
    <w:rsid w:val="00AE7224"/>
    <w:rsid w:val="00AF429B"/>
    <w:rsid w:val="00B146D8"/>
    <w:rsid w:val="00B15E12"/>
    <w:rsid w:val="00B4537F"/>
    <w:rsid w:val="00B545BD"/>
    <w:rsid w:val="00B70B3B"/>
    <w:rsid w:val="00BF03A0"/>
    <w:rsid w:val="00C06D24"/>
    <w:rsid w:val="00C07194"/>
    <w:rsid w:val="00C54AA7"/>
    <w:rsid w:val="00C6340C"/>
    <w:rsid w:val="00CD3758"/>
    <w:rsid w:val="00CE3BDB"/>
    <w:rsid w:val="00CE7BD4"/>
    <w:rsid w:val="00CF2712"/>
    <w:rsid w:val="00CF4841"/>
    <w:rsid w:val="00CF6467"/>
    <w:rsid w:val="00D770C2"/>
    <w:rsid w:val="00DA7FB1"/>
    <w:rsid w:val="00DC0941"/>
    <w:rsid w:val="00DE4C9D"/>
    <w:rsid w:val="00DF272B"/>
    <w:rsid w:val="00E5027F"/>
    <w:rsid w:val="00E75DF5"/>
    <w:rsid w:val="00EB6EB5"/>
    <w:rsid w:val="00F312B6"/>
    <w:rsid w:val="00F3431B"/>
    <w:rsid w:val="00F51BE7"/>
    <w:rsid w:val="00F91EE7"/>
    <w:rsid w:val="00F94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9E7FF"/>
  <w15:chartTrackingRefBased/>
  <w15:docId w15:val="{41F1C766-B1B1-4E51-BD94-2484F9119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133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0054"/>
    <w:pPr>
      <w:ind w:left="720"/>
      <w:contextualSpacing/>
    </w:pPr>
  </w:style>
  <w:style w:type="paragraph" w:styleId="Header">
    <w:name w:val="header"/>
    <w:basedOn w:val="Normal"/>
    <w:link w:val="HeaderChar"/>
    <w:uiPriority w:val="99"/>
    <w:unhideWhenUsed/>
    <w:rsid w:val="002A4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17A"/>
  </w:style>
  <w:style w:type="paragraph" w:styleId="Footer">
    <w:name w:val="footer"/>
    <w:basedOn w:val="Normal"/>
    <w:link w:val="FooterChar"/>
    <w:uiPriority w:val="99"/>
    <w:unhideWhenUsed/>
    <w:rsid w:val="002A4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17A"/>
  </w:style>
  <w:style w:type="paragraph" w:customStyle="1" w:styleId="Default">
    <w:name w:val="Default"/>
    <w:rsid w:val="00CE3BDB"/>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A133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3390"/>
    <w:pPr>
      <w:outlineLvl w:val="9"/>
    </w:pPr>
    <w:rPr>
      <w:lang w:val="en-US"/>
    </w:rPr>
  </w:style>
  <w:style w:type="paragraph" w:styleId="TOC1">
    <w:name w:val="toc 1"/>
    <w:basedOn w:val="Normal"/>
    <w:next w:val="Normal"/>
    <w:autoRedefine/>
    <w:uiPriority w:val="39"/>
    <w:unhideWhenUsed/>
    <w:rsid w:val="00A13390"/>
    <w:pPr>
      <w:spacing w:after="100"/>
    </w:pPr>
  </w:style>
  <w:style w:type="character" w:styleId="Hyperlink">
    <w:name w:val="Hyperlink"/>
    <w:basedOn w:val="DefaultParagraphFont"/>
    <w:uiPriority w:val="99"/>
    <w:unhideWhenUsed/>
    <w:rsid w:val="00A133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3F505-4B6C-4384-81AC-455E28D19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ISAAC AMON</dc:creator>
  <cp:lastModifiedBy>Mariya Stefanova</cp:lastModifiedBy>
  <cp:revision>2</cp:revision>
  <dcterms:created xsi:type="dcterms:W3CDTF">2022-08-28T21:16:00Z</dcterms:created>
  <dcterms:modified xsi:type="dcterms:W3CDTF">2022-08-28T21:16:00Z</dcterms:modified>
</cp:coreProperties>
</file>