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7870194"/>
        <w:docPartObj>
          <w:docPartGallery w:val="Cover Pages"/>
          <w:docPartUnique/>
        </w:docPartObj>
      </w:sdtPr>
      <w:sdtEndPr>
        <w:rPr>
          <w:rFonts w:ascii="Times New Roman" w:hAnsi="Times New Roman" w:cs="Times New Roman"/>
          <w:b/>
          <w:bCs/>
          <w:sz w:val="24"/>
          <w:szCs w:val="24"/>
        </w:rPr>
      </w:sdtEndPr>
      <w:sdtContent>
        <w:p w14:paraId="11B13FF1" w14:textId="4C7C2AEC" w:rsidR="00A510D4" w:rsidRDefault="00A510D4">
          <w:r>
            <w:rPr>
              <w:noProof/>
            </w:rPr>
            <mc:AlternateContent>
              <mc:Choice Requires="wpg">
                <w:drawing>
                  <wp:anchor distT="0" distB="0" distL="114300" distR="114300" simplePos="0" relativeHeight="251662336" behindDoc="0" locked="0" layoutInCell="1" allowOverlap="1" wp14:anchorId="57EECD93" wp14:editId="7F51761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2D643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32D1E15" wp14:editId="24E80D08">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0A3D037" w14:textId="447899C7" w:rsidR="00A510D4" w:rsidRDefault="000952F8" w:rsidP="000952F8">
                                    <w:pPr>
                                      <w:pStyle w:val="NoSpacing"/>
                                      <w:jc w:val="center"/>
                                      <w:rPr>
                                        <w:color w:val="595959" w:themeColor="text1" w:themeTint="A6"/>
                                        <w:sz w:val="28"/>
                                        <w:szCs w:val="28"/>
                                      </w:rPr>
                                    </w:pPr>
                                    <w:r>
                                      <w:rPr>
                                        <w:color w:val="595959" w:themeColor="text1" w:themeTint="A6"/>
                                        <w:sz w:val="28"/>
                                        <w:szCs w:val="28"/>
                                      </w:rPr>
                                      <w:t>COMPLETED BY:   NAZIM AMIN</w:t>
                                    </w:r>
                                  </w:p>
                                </w:sdtContent>
                              </w:sdt>
                              <w:p w14:paraId="47778654" w14:textId="6A5CCD33" w:rsidR="00A510D4" w:rsidRDefault="006752C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007D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32D1E1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0A3D037" w14:textId="447899C7" w:rsidR="00A510D4" w:rsidRDefault="000952F8" w:rsidP="000952F8">
                              <w:pPr>
                                <w:pStyle w:val="NoSpacing"/>
                                <w:jc w:val="center"/>
                                <w:rPr>
                                  <w:color w:val="595959" w:themeColor="text1" w:themeTint="A6"/>
                                  <w:sz w:val="28"/>
                                  <w:szCs w:val="28"/>
                                </w:rPr>
                              </w:pPr>
                              <w:r>
                                <w:rPr>
                                  <w:color w:val="595959" w:themeColor="text1" w:themeTint="A6"/>
                                  <w:sz w:val="28"/>
                                  <w:szCs w:val="28"/>
                                </w:rPr>
                                <w:t>COMPLETED BY:   NAZIM AMIN</w:t>
                              </w:r>
                            </w:p>
                          </w:sdtContent>
                        </w:sdt>
                        <w:p w14:paraId="47778654" w14:textId="6A5CCD33" w:rsidR="00A510D4" w:rsidRDefault="006752C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007D8">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78E4C0C" wp14:editId="528782A4">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8DB73D" w14:textId="07E3E89C" w:rsidR="00A510D4" w:rsidRPr="000952F8" w:rsidRDefault="006752CB" w:rsidP="000952F8">
                                <w:pPr>
                                  <w:jc w:val="center"/>
                                  <w:rPr>
                                    <w:rFonts w:ascii="Arial" w:hAnsi="Arial" w:cs="Arial"/>
                                    <w:sz w:val="40"/>
                                    <w:szCs w:val="40"/>
                                  </w:rPr>
                                </w:pPr>
                                <w:sdt>
                                  <w:sdtPr>
                                    <w:rPr>
                                      <w:rFonts w:ascii="Arial" w:hAnsi="Arial" w:cs="Arial"/>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52F8" w:rsidRPr="000952F8">
                                      <w:rPr>
                                        <w:rFonts w:ascii="Arial" w:hAnsi="Arial" w:cs="Arial"/>
                                        <w:caps/>
                                        <w:sz w:val="40"/>
                                        <w:szCs w:val="40"/>
                                      </w:rPr>
                                      <w:t xml:space="preserve">criminal </w:t>
                                    </w:r>
                                    <w:proofErr w:type="gramStart"/>
                                    <w:r w:rsidR="000952F8" w:rsidRPr="000952F8">
                                      <w:rPr>
                                        <w:rFonts w:ascii="Arial" w:hAnsi="Arial" w:cs="Arial"/>
                                        <w:caps/>
                                        <w:sz w:val="40"/>
                                        <w:szCs w:val="40"/>
                                      </w:rPr>
                                      <w:t>law:bmpl</w:t>
                                    </w:r>
                                    <w:proofErr w:type="gramEnd"/>
                                    <w:r w:rsidR="000952F8" w:rsidRPr="000952F8">
                                      <w:rPr>
                                        <w:rFonts w:ascii="Arial" w:hAnsi="Arial" w:cs="Arial"/>
                                        <w:caps/>
                                        <w:sz w:val="40"/>
                                        <w:szCs w:val="40"/>
                                      </w:rPr>
                                      <w:t>4009</w:t>
                                    </w:r>
                                  </w:sdtContent>
                                </w:sdt>
                              </w:p>
                              <w:sdt>
                                <w:sdtPr>
                                  <w:rPr>
                                    <w:rFonts w:ascii="Arial" w:hAnsi="Arial" w:cs="Arial"/>
                                    <w:color w:val="404040" w:themeColor="text1" w:themeTint="BF"/>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DBB86B5" w14:textId="7670E020" w:rsidR="00A510D4" w:rsidRPr="000952F8" w:rsidRDefault="000952F8">
                                    <w:pPr>
                                      <w:jc w:val="right"/>
                                      <w:rPr>
                                        <w:rFonts w:ascii="Arial" w:hAnsi="Arial" w:cs="Arial"/>
                                        <w:smallCaps/>
                                        <w:color w:val="404040" w:themeColor="text1" w:themeTint="BF"/>
                                        <w:sz w:val="24"/>
                                        <w:szCs w:val="24"/>
                                      </w:rPr>
                                    </w:pPr>
                                    <w:r w:rsidRPr="000952F8">
                                      <w:rPr>
                                        <w:rFonts w:ascii="Arial" w:hAnsi="Arial" w:cs="Arial"/>
                                        <w:color w:val="404040" w:themeColor="text1" w:themeTint="BF"/>
                                        <w:sz w:val="24"/>
                                        <w:szCs w:val="24"/>
                                      </w:rPr>
                                      <w:t>REFORM OF NON-FATAL OFFENCES AGAINST THE PERSON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78E4C0C"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E8DB73D" w14:textId="07E3E89C" w:rsidR="00A510D4" w:rsidRPr="000952F8" w:rsidRDefault="006752CB" w:rsidP="000952F8">
                          <w:pPr>
                            <w:jc w:val="center"/>
                            <w:rPr>
                              <w:rFonts w:ascii="Arial" w:hAnsi="Arial" w:cs="Arial"/>
                              <w:sz w:val="40"/>
                              <w:szCs w:val="40"/>
                            </w:rPr>
                          </w:pPr>
                          <w:sdt>
                            <w:sdtPr>
                              <w:rPr>
                                <w:rFonts w:ascii="Arial" w:hAnsi="Arial" w:cs="Arial"/>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52F8" w:rsidRPr="000952F8">
                                <w:rPr>
                                  <w:rFonts w:ascii="Arial" w:hAnsi="Arial" w:cs="Arial"/>
                                  <w:caps/>
                                  <w:sz w:val="40"/>
                                  <w:szCs w:val="40"/>
                                </w:rPr>
                                <w:t xml:space="preserve">criminal </w:t>
                              </w:r>
                              <w:proofErr w:type="gramStart"/>
                              <w:r w:rsidR="000952F8" w:rsidRPr="000952F8">
                                <w:rPr>
                                  <w:rFonts w:ascii="Arial" w:hAnsi="Arial" w:cs="Arial"/>
                                  <w:caps/>
                                  <w:sz w:val="40"/>
                                  <w:szCs w:val="40"/>
                                </w:rPr>
                                <w:t>law:bmpl</w:t>
                              </w:r>
                              <w:proofErr w:type="gramEnd"/>
                              <w:r w:rsidR="000952F8" w:rsidRPr="000952F8">
                                <w:rPr>
                                  <w:rFonts w:ascii="Arial" w:hAnsi="Arial" w:cs="Arial"/>
                                  <w:caps/>
                                  <w:sz w:val="40"/>
                                  <w:szCs w:val="40"/>
                                </w:rPr>
                                <w:t>4009</w:t>
                              </w:r>
                            </w:sdtContent>
                          </w:sdt>
                        </w:p>
                        <w:sdt>
                          <w:sdtPr>
                            <w:rPr>
                              <w:rFonts w:ascii="Arial" w:hAnsi="Arial" w:cs="Arial"/>
                              <w:color w:val="404040" w:themeColor="text1" w:themeTint="BF"/>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DBB86B5" w14:textId="7670E020" w:rsidR="00A510D4" w:rsidRPr="000952F8" w:rsidRDefault="000952F8">
                              <w:pPr>
                                <w:jc w:val="right"/>
                                <w:rPr>
                                  <w:rFonts w:ascii="Arial" w:hAnsi="Arial" w:cs="Arial"/>
                                  <w:smallCaps/>
                                  <w:color w:val="404040" w:themeColor="text1" w:themeTint="BF"/>
                                  <w:sz w:val="24"/>
                                  <w:szCs w:val="24"/>
                                </w:rPr>
                              </w:pPr>
                              <w:r w:rsidRPr="000952F8">
                                <w:rPr>
                                  <w:rFonts w:ascii="Arial" w:hAnsi="Arial" w:cs="Arial"/>
                                  <w:color w:val="404040" w:themeColor="text1" w:themeTint="BF"/>
                                  <w:sz w:val="24"/>
                                  <w:szCs w:val="24"/>
                                </w:rPr>
                                <w:t>REFORM OF NON-FATAL OFFENCES AGAINST THE PERSON</w:t>
                              </w:r>
                            </w:p>
                          </w:sdtContent>
                        </w:sdt>
                      </w:txbxContent>
                    </v:textbox>
                    <w10:wrap type="square" anchorx="page" anchory="page"/>
                  </v:shape>
                </w:pict>
              </mc:Fallback>
            </mc:AlternateContent>
          </w:r>
        </w:p>
        <w:p w14:paraId="4DEA244A" w14:textId="7A3745D9" w:rsidR="00A510D4" w:rsidRDefault="00A510D4">
          <w:pPr>
            <w:rPr>
              <w:rFonts w:ascii="Times New Roman" w:hAnsi="Times New Roman" w:cs="Times New Roman"/>
              <w:b/>
              <w:bCs/>
              <w:sz w:val="24"/>
              <w:szCs w:val="24"/>
            </w:rPr>
          </w:pPr>
          <w:r>
            <w:rPr>
              <w:rFonts w:ascii="Times New Roman" w:hAnsi="Times New Roman" w:cs="Times New Roman"/>
              <w:b/>
              <w:bCs/>
              <w:sz w:val="24"/>
              <w:szCs w:val="24"/>
            </w:rPr>
            <w:br w:type="page"/>
          </w:r>
        </w:p>
      </w:sdtContent>
    </w:sdt>
    <w:p w14:paraId="1453AD43" w14:textId="77777777" w:rsidR="00A74CE5" w:rsidRDefault="00A74CE5" w:rsidP="006A015C">
      <w:pPr>
        <w:spacing w:line="480" w:lineRule="auto"/>
        <w:jc w:val="center"/>
        <w:rPr>
          <w:rFonts w:ascii="Times New Roman" w:hAnsi="Times New Roman" w:cs="Times New Roman"/>
          <w:b/>
          <w:bCs/>
          <w:sz w:val="24"/>
          <w:szCs w:val="24"/>
        </w:rPr>
      </w:pPr>
    </w:p>
    <w:p w14:paraId="676C87E6" w14:textId="77777777" w:rsidR="00157B46" w:rsidRPr="006A015C" w:rsidRDefault="00157B46" w:rsidP="006A015C">
      <w:pPr>
        <w:spacing w:line="480" w:lineRule="auto"/>
        <w:jc w:val="center"/>
        <w:rPr>
          <w:rFonts w:ascii="Times New Roman" w:hAnsi="Times New Roman" w:cs="Times New Roman"/>
          <w:b/>
          <w:bCs/>
          <w:sz w:val="24"/>
          <w:szCs w:val="24"/>
        </w:rPr>
      </w:pPr>
    </w:p>
    <w:p w14:paraId="692F38FC" w14:textId="77777777" w:rsidR="00A74CE5" w:rsidRPr="006A015C" w:rsidRDefault="00A74CE5" w:rsidP="006A015C">
      <w:pPr>
        <w:spacing w:line="480" w:lineRule="auto"/>
        <w:jc w:val="center"/>
        <w:rPr>
          <w:rFonts w:ascii="Times New Roman" w:hAnsi="Times New Roman" w:cs="Times New Roman"/>
          <w:b/>
          <w:bCs/>
          <w:sz w:val="24"/>
          <w:szCs w:val="24"/>
        </w:rPr>
      </w:pPr>
    </w:p>
    <w:p w14:paraId="3D2BA6A0" w14:textId="77777777" w:rsidR="00A74CE5" w:rsidRPr="006A015C" w:rsidRDefault="00A74CE5" w:rsidP="006A015C">
      <w:pPr>
        <w:spacing w:line="480" w:lineRule="auto"/>
        <w:jc w:val="center"/>
        <w:rPr>
          <w:rFonts w:ascii="Times New Roman" w:hAnsi="Times New Roman" w:cs="Times New Roman"/>
          <w:b/>
          <w:bCs/>
          <w:sz w:val="24"/>
          <w:szCs w:val="24"/>
        </w:rPr>
      </w:pPr>
    </w:p>
    <w:p w14:paraId="0833C3DD" w14:textId="77777777" w:rsidR="00A74CE5" w:rsidRPr="006A015C" w:rsidRDefault="00A74CE5" w:rsidP="006A015C">
      <w:pPr>
        <w:spacing w:line="480" w:lineRule="auto"/>
        <w:jc w:val="center"/>
        <w:rPr>
          <w:rFonts w:ascii="Times New Roman" w:hAnsi="Times New Roman" w:cs="Times New Roman"/>
          <w:b/>
          <w:bCs/>
          <w:sz w:val="24"/>
          <w:szCs w:val="24"/>
        </w:rPr>
      </w:pPr>
    </w:p>
    <w:p w14:paraId="6F41920C" w14:textId="77777777" w:rsidR="00A74CE5" w:rsidRPr="006A015C" w:rsidRDefault="00A74CE5" w:rsidP="006A015C">
      <w:pPr>
        <w:spacing w:line="480" w:lineRule="auto"/>
        <w:jc w:val="center"/>
        <w:rPr>
          <w:rFonts w:ascii="Times New Roman" w:hAnsi="Times New Roman" w:cs="Times New Roman"/>
          <w:b/>
          <w:bCs/>
          <w:sz w:val="24"/>
          <w:szCs w:val="24"/>
        </w:rPr>
      </w:pPr>
    </w:p>
    <w:p w14:paraId="76FFF29E" w14:textId="7B9BE714" w:rsidR="00A74CE5" w:rsidRPr="006A015C" w:rsidRDefault="00A74CE5" w:rsidP="006A015C">
      <w:pPr>
        <w:spacing w:line="480" w:lineRule="auto"/>
        <w:rPr>
          <w:rFonts w:ascii="Times New Roman" w:hAnsi="Times New Roman" w:cs="Times New Roman"/>
          <w:b/>
          <w:bCs/>
          <w:sz w:val="24"/>
          <w:szCs w:val="24"/>
        </w:rPr>
      </w:pPr>
      <w:r w:rsidRPr="006A015C">
        <w:rPr>
          <w:rFonts w:ascii="Times New Roman" w:hAnsi="Times New Roman" w:cs="Times New Roman"/>
          <w:b/>
          <w:bCs/>
          <w:sz w:val="24"/>
          <w:szCs w:val="24"/>
        </w:rPr>
        <w:br w:type="page"/>
      </w:r>
    </w:p>
    <w:p w14:paraId="5D6B560B" w14:textId="77777777" w:rsidR="00A74CE5" w:rsidRPr="006A015C" w:rsidRDefault="00A74CE5" w:rsidP="006A015C">
      <w:pPr>
        <w:spacing w:line="480" w:lineRule="auto"/>
        <w:rPr>
          <w:rFonts w:ascii="Times New Roman" w:hAnsi="Times New Roman" w:cs="Times New Roman"/>
          <w:sz w:val="24"/>
          <w:szCs w:val="24"/>
        </w:rPr>
      </w:pPr>
    </w:p>
    <w:p w14:paraId="50407FF6" w14:textId="603DDB66" w:rsidR="006A015C" w:rsidRPr="00B36C1E" w:rsidRDefault="00E55822" w:rsidP="00B36C1E">
      <w:pPr>
        <w:spacing w:line="480" w:lineRule="auto"/>
        <w:rPr>
          <w:rFonts w:ascii="Arial" w:hAnsi="Arial" w:cs="Arial"/>
        </w:rPr>
      </w:pPr>
      <w:bookmarkStart w:id="0" w:name="_Hlk109422144"/>
      <w:r w:rsidRPr="00B36C1E">
        <w:rPr>
          <w:rFonts w:ascii="Arial" w:hAnsi="Arial" w:cs="Arial"/>
        </w:rPr>
        <w:t xml:space="preserve">There has been a lot of </w:t>
      </w:r>
      <w:r w:rsidR="00A74CE5" w:rsidRPr="00B36C1E">
        <w:rPr>
          <w:rFonts w:ascii="Arial" w:hAnsi="Arial" w:cs="Arial"/>
        </w:rPr>
        <w:t>pushbacks</w:t>
      </w:r>
      <w:r w:rsidRPr="00B36C1E">
        <w:rPr>
          <w:rFonts w:ascii="Arial" w:hAnsi="Arial" w:cs="Arial"/>
        </w:rPr>
        <w:t xml:space="preserve"> against the Offences Against Person Act 1861 (OAPA), claiming it is archaic and in desperate need of modernization. We're trying to figure out whether the existing non-fatal crime statute is enough</w:t>
      </w:r>
      <w:r w:rsidR="00365092" w:rsidRPr="00B36C1E">
        <w:rPr>
          <w:rStyle w:val="FootnoteReference"/>
          <w:rFonts w:ascii="Arial" w:hAnsi="Arial" w:cs="Arial"/>
        </w:rPr>
        <w:footnoteReference w:id="1"/>
      </w:r>
      <w:r w:rsidRPr="00B36C1E">
        <w:rPr>
          <w:rFonts w:ascii="Arial" w:hAnsi="Arial" w:cs="Arial"/>
        </w:rPr>
        <w:t xml:space="preserve">. According to Professor JC Smith, the OAPA is a 'rag bag of offenses gathered together from several sources'. There are individuals who disagree with the assertion that they believe the existing legislation is adequate, </w:t>
      </w:r>
      <w:proofErr w:type="gramStart"/>
      <w:r w:rsidRPr="00B36C1E">
        <w:rPr>
          <w:rFonts w:ascii="Arial" w:hAnsi="Arial" w:cs="Arial"/>
        </w:rPr>
        <w:t>in spite of</w:t>
      </w:r>
      <w:proofErr w:type="gramEnd"/>
      <w:r w:rsidRPr="00B36C1E">
        <w:rPr>
          <w:rFonts w:ascii="Arial" w:hAnsi="Arial" w:cs="Arial"/>
        </w:rPr>
        <w:t xml:space="preserve"> this widely held belief</w:t>
      </w:r>
      <w:r w:rsidR="00365092" w:rsidRPr="00B36C1E">
        <w:rPr>
          <w:rStyle w:val="FootnoteReference"/>
          <w:rFonts w:ascii="Arial" w:hAnsi="Arial" w:cs="Arial"/>
        </w:rPr>
        <w:footnoteReference w:id="2"/>
      </w:r>
      <w:r w:rsidRPr="00B36C1E">
        <w:rPr>
          <w:rFonts w:ascii="Arial" w:hAnsi="Arial" w:cs="Arial"/>
        </w:rPr>
        <w:t xml:space="preserve">. Non-fatal offenses, such as assault, battery, assault occasioning real bodily injury under section 47, malicious </w:t>
      </w:r>
      <w:proofErr w:type="gramStart"/>
      <w:r w:rsidRPr="00B36C1E">
        <w:rPr>
          <w:rFonts w:ascii="Arial" w:hAnsi="Arial" w:cs="Arial"/>
        </w:rPr>
        <w:t>wounding</w:t>
      </w:r>
      <w:proofErr w:type="gramEnd"/>
      <w:r w:rsidRPr="00B36C1E">
        <w:rPr>
          <w:rFonts w:ascii="Arial" w:hAnsi="Arial" w:cs="Arial"/>
        </w:rPr>
        <w:t xml:space="preserve"> or infliction of severe bodily harm under section 20, and wounding or inflicting grievous bodily harm with purpose under section 18, will be explained in this article. The effectiveness of this legislation will be debated, but in the end, the conclusion will be that the existing law on non-fatal offenses is antiquated, ambiguous, structurally ineffectual, and in need of modification. To begin, we'll go through the offenses that do not result in death. If a person believes they are in danger of imminent illegal violence, they have committed an assault. The act of causing another person to fear imminent and illegal harm, whether purposefully or negligently, is an assault. Because the criminal and victim had no physical touch, this is the least severe non-fatal offense. </w:t>
      </w:r>
      <w:proofErr w:type="spellStart"/>
      <w:r w:rsidRPr="00B36C1E">
        <w:rPr>
          <w:rFonts w:ascii="Arial" w:hAnsi="Arial" w:cs="Arial"/>
        </w:rPr>
        <w:t>Logdon</w:t>
      </w:r>
      <w:proofErr w:type="spellEnd"/>
      <w:r w:rsidRPr="00B36C1E">
        <w:rPr>
          <w:rFonts w:ascii="Arial" w:hAnsi="Arial" w:cs="Arial"/>
        </w:rPr>
        <w:t xml:space="preserve"> v DPP is a case in point, where an attack was shown. In joke, the defendant had waved a dummy pistol at the victim, implying violence. </w:t>
      </w:r>
      <w:bookmarkStart w:id="1" w:name="_Hlk109422296"/>
      <w:bookmarkEnd w:id="0"/>
      <w:r w:rsidRPr="00B36C1E">
        <w:rPr>
          <w:rFonts w:ascii="Arial" w:hAnsi="Arial" w:cs="Arial"/>
        </w:rPr>
        <w:t>As a result of the defendant's careless behavior, the victim perceived imminent and illegal personal harm and reported the incident as an attack. A battery is another common law offense. Unlike an assault, the offender and victim must come into physical contact for this offense to be</w:t>
      </w:r>
      <w:r w:rsidRPr="006A015C">
        <w:rPr>
          <w:rFonts w:ascii="Times New Roman" w:hAnsi="Times New Roman" w:cs="Times New Roman"/>
          <w:sz w:val="24"/>
          <w:szCs w:val="24"/>
        </w:rPr>
        <w:t xml:space="preserve"> committed, but there is no physical harm. Unlawful touching is the legal term for </w:t>
      </w:r>
      <w:r w:rsidRPr="00B36C1E">
        <w:rPr>
          <w:rFonts w:ascii="Arial" w:hAnsi="Arial" w:cs="Arial"/>
        </w:rPr>
        <w:lastRenderedPageBreak/>
        <w:t>this kind of crime. The maximum penalty for both offenses is six months. On to the next topic: Assault Causing Actual Bodily Harm (ABH), as defined by Section 47 of the Penal Code</w:t>
      </w:r>
      <w:r w:rsidR="00365092" w:rsidRPr="00B36C1E">
        <w:rPr>
          <w:rStyle w:val="FootnoteReference"/>
          <w:rFonts w:ascii="Arial" w:hAnsi="Arial" w:cs="Arial"/>
        </w:rPr>
        <w:footnoteReference w:id="3"/>
      </w:r>
      <w:r w:rsidRPr="00B36C1E">
        <w:rPr>
          <w:rFonts w:ascii="Arial" w:hAnsi="Arial" w:cs="Arial"/>
        </w:rPr>
        <w:t xml:space="preserve">. Anyone who is guilty of an attack resulting from real bodily injury may be imprisoned for up to five years, according to this clause. When the defendant conducts an assault or battery that results in real physical injury to the victim, this offense is committed. Section 20 of the OAPA deals with the more severe offense of causing great bodily injury by means of deliberate wounding or infliction of pain and suffering. In accordance with the provisions of this section, it is an offense to illegally and deliberately hurt or inflict great bodily damage on another person, with or without the use of a weapon or device. </w:t>
      </w:r>
      <w:r w:rsidR="00067DF7" w:rsidRPr="00B36C1E">
        <w:rPr>
          <w:rFonts w:ascii="Arial" w:hAnsi="Arial" w:cs="Arial"/>
        </w:rPr>
        <w:t xml:space="preserve">There has been a lot of </w:t>
      </w:r>
      <w:r w:rsidR="001B7D80" w:rsidRPr="00B36C1E">
        <w:rPr>
          <w:rFonts w:ascii="Arial" w:hAnsi="Arial" w:cs="Arial"/>
        </w:rPr>
        <w:t>pushbacks against</w:t>
      </w:r>
      <w:r w:rsidR="00067DF7" w:rsidRPr="00B36C1E">
        <w:rPr>
          <w:rFonts w:ascii="Arial" w:hAnsi="Arial" w:cs="Arial"/>
        </w:rPr>
        <w:t xml:space="preserve"> the Offenses Against Persons Act of 1861 (OAPA), claiming it is archaic and in in need of updating. An important question is whether the existing legislation on non-fatal offenses is sufficient. OAPA is "a rag bag of offenses gathered together from many sources," according to Professor JC Smith</w:t>
      </w:r>
      <w:r w:rsidR="00365092" w:rsidRPr="00B36C1E">
        <w:rPr>
          <w:rStyle w:val="FootnoteReference"/>
          <w:rFonts w:ascii="Arial" w:hAnsi="Arial" w:cs="Arial"/>
        </w:rPr>
        <w:footnoteReference w:id="4"/>
      </w:r>
      <w:r w:rsidR="00067DF7" w:rsidRPr="00B36C1E">
        <w:rPr>
          <w:rFonts w:ascii="Arial" w:hAnsi="Arial" w:cs="Arial"/>
        </w:rPr>
        <w:t>. However, there are those who disagree with this remark, believing that the present legislation is enough.</w:t>
      </w:r>
      <w:r w:rsidR="00067DF7" w:rsidRPr="006A015C">
        <w:rPr>
          <w:rFonts w:ascii="Times New Roman" w:hAnsi="Times New Roman" w:cs="Times New Roman"/>
          <w:sz w:val="24"/>
          <w:szCs w:val="24"/>
        </w:rPr>
        <w:t xml:space="preserve"> </w:t>
      </w:r>
      <w:bookmarkStart w:id="2" w:name="_Hlk109422698"/>
      <w:r w:rsidR="00067DF7" w:rsidRPr="00B36C1E">
        <w:rPr>
          <w:rFonts w:ascii="Arial" w:hAnsi="Arial" w:cs="Arial"/>
        </w:rPr>
        <w:t xml:space="preserve">Non-fatal offenses, such as assault, battery, and assault occasioning real bodily injury under section 47, grievous bodily </w:t>
      </w:r>
      <w:proofErr w:type="gramStart"/>
      <w:r w:rsidR="00067DF7" w:rsidRPr="00B36C1E">
        <w:rPr>
          <w:rFonts w:ascii="Arial" w:hAnsi="Arial" w:cs="Arial"/>
        </w:rPr>
        <w:t>harm</w:t>
      </w:r>
      <w:proofErr w:type="gramEnd"/>
      <w:r w:rsidR="00067DF7" w:rsidRPr="00B36C1E">
        <w:rPr>
          <w:rFonts w:ascii="Arial" w:hAnsi="Arial" w:cs="Arial"/>
        </w:rPr>
        <w:t xml:space="preserve"> or infliction of severe bodily harm under section 20 and wounding or inflicting grievous bodily harm with purpose under section 18 will be explained in </w:t>
      </w:r>
      <w:bookmarkStart w:id="3" w:name="_Hlk109422757"/>
      <w:bookmarkEnd w:id="1"/>
      <w:bookmarkEnd w:id="2"/>
      <w:r w:rsidR="00067DF7" w:rsidRPr="00B36C1E">
        <w:rPr>
          <w:rFonts w:ascii="Arial" w:hAnsi="Arial" w:cs="Arial"/>
        </w:rPr>
        <w:t>this article</w:t>
      </w:r>
      <w:r w:rsidR="00365092" w:rsidRPr="00B36C1E">
        <w:rPr>
          <w:rStyle w:val="FootnoteReference"/>
          <w:rFonts w:ascii="Arial" w:hAnsi="Arial" w:cs="Arial"/>
        </w:rPr>
        <w:footnoteReference w:id="5"/>
      </w:r>
      <w:r w:rsidR="00067DF7" w:rsidRPr="00B36C1E">
        <w:rPr>
          <w:rFonts w:ascii="Arial" w:hAnsi="Arial" w:cs="Arial"/>
        </w:rPr>
        <w:t>. However, the conclusion will be that non-fatal offenses are outmoded, ambiguous, structurally unproductive and in need of revision, which will be described in this article</w:t>
      </w:r>
      <w:r w:rsidR="00365092" w:rsidRPr="00B36C1E">
        <w:rPr>
          <w:rStyle w:val="FootnoteReference"/>
          <w:rFonts w:ascii="Arial" w:hAnsi="Arial" w:cs="Arial"/>
        </w:rPr>
        <w:footnoteReference w:id="6"/>
      </w:r>
      <w:r w:rsidR="00067DF7" w:rsidRPr="00B36C1E">
        <w:rPr>
          <w:rFonts w:ascii="Arial" w:hAnsi="Arial" w:cs="Arial"/>
        </w:rPr>
        <w:t xml:space="preserve">. Let us begin with an explanation of the non-fatal offenses. Any conduct that leads someone to fear </w:t>
      </w:r>
      <w:r w:rsidR="00067DF7" w:rsidRPr="006A015C">
        <w:rPr>
          <w:rFonts w:ascii="Times New Roman" w:hAnsi="Times New Roman" w:cs="Times New Roman"/>
          <w:sz w:val="24"/>
          <w:szCs w:val="24"/>
        </w:rPr>
        <w:t xml:space="preserve">imminent illegal violence is an assault under common law. For example, if someone knowingly or carelessly causes another person to fear imminent illegal violence, they </w:t>
      </w:r>
      <w:r w:rsidR="00067DF7" w:rsidRPr="00B36C1E">
        <w:rPr>
          <w:rFonts w:ascii="Arial" w:hAnsi="Arial" w:cs="Arial"/>
        </w:rPr>
        <w:lastRenderedPageBreak/>
        <w:t xml:space="preserve">will be guilty of an assault. It's the least severe non-fatal offense since the criminal and victim don't come into physical touch with one other. </w:t>
      </w:r>
      <w:proofErr w:type="spellStart"/>
      <w:r w:rsidR="00067DF7" w:rsidRPr="00B36C1E">
        <w:rPr>
          <w:rFonts w:ascii="Arial" w:hAnsi="Arial" w:cs="Arial"/>
        </w:rPr>
        <w:t>Logdon</w:t>
      </w:r>
      <w:proofErr w:type="spellEnd"/>
      <w:r w:rsidR="00067DF7" w:rsidRPr="00B36C1E">
        <w:rPr>
          <w:rFonts w:ascii="Arial" w:hAnsi="Arial" w:cs="Arial"/>
        </w:rPr>
        <w:t xml:space="preserve"> v </w:t>
      </w:r>
      <w:proofErr w:type="spellStart"/>
      <w:r w:rsidR="00365092" w:rsidRPr="00B36C1E">
        <w:rPr>
          <w:rFonts w:ascii="Arial" w:hAnsi="Arial" w:cs="Arial"/>
          <w:color w:val="222222"/>
          <w:shd w:val="clear" w:color="auto" w:fill="FFFFFF"/>
        </w:rPr>
        <w:t>Charleton</w:t>
      </w:r>
      <w:proofErr w:type="spellEnd"/>
      <w:r w:rsidR="00365092" w:rsidRPr="00B36C1E">
        <w:rPr>
          <w:rFonts w:ascii="Arial" w:hAnsi="Arial" w:cs="Arial"/>
          <w:color w:val="222222"/>
          <w:shd w:val="clear" w:color="auto" w:fill="FFFFFF"/>
        </w:rPr>
        <w:t>, P., 1992. </w:t>
      </w:r>
      <w:r w:rsidR="00365092" w:rsidRPr="00B36C1E">
        <w:rPr>
          <w:rFonts w:ascii="Arial" w:hAnsi="Arial" w:cs="Arial"/>
          <w:i/>
          <w:iCs/>
        </w:rPr>
        <w:t>Offences against the Person</w:t>
      </w:r>
      <w:r w:rsidR="00365092" w:rsidRPr="00B36C1E">
        <w:rPr>
          <w:rFonts w:ascii="Arial" w:hAnsi="Arial" w:cs="Arial"/>
        </w:rPr>
        <w:t>. Round Hall Press.</w:t>
      </w:r>
      <w:r w:rsidR="00067DF7" w:rsidRPr="00B36C1E">
        <w:rPr>
          <w:rFonts w:ascii="Arial" w:hAnsi="Arial" w:cs="Arial"/>
        </w:rPr>
        <w:t xml:space="preserve"> is an illustration of an attack. It was a joke in which the defendant aimed a fake gun at the victim, and the victim mistook it for a real weapon. As a result of the defendant's careless behavior, the victim perceived imminent and illegal personal harm and reported the incident as an attack. Another common law offense is a battery, which is punishable by up to a year in jail. Unlike an assault, the offender and victim must come into physical contact for this offense to be committed, but there is no physical harm. 'Unlawful touching' is the term for this crime. Both offenses have a maximum penalty of six months in prison. </w:t>
      </w:r>
      <w:bookmarkStart w:id="4" w:name="_Hlk109422862"/>
      <w:bookmarkEnd w:id="3"/>
      <w:r w:rsidR="00067DF7" w:rsidRPr="00B36C1E">
        <w:rPr>
          <w:rFonts w:ascii="Arial" w:hAnsi="Arial" w:cs="Arial"/>
        </w:rPr>
        <w:t xml:space="preserve">Section 47's Assault Occurring Actual Bodily Harm (ABH) is the next offense to be considered. Anyone who is guilty of an assault resulting from real bodily injury is subject to a sentence of up to five years in prison, according to this clause. When the defendant conducts an assault or battery that results in real physical injury to the victim, this offense is committed. Section 20 of the OAPA deals with the more severe offense of causing great bodily injury by means of deliberate wounding or infliction of pain and suffering. An offence is committed </w:t>
      </w:r>
      <w:bookmarkStart w:id="5" w:name="_Hlk109422921"/>
      <w:bookmarkEnd w:id="4"/>
      <w:r w:rsidR="00067DF7" w:rsidRPr="00B36C1E">
        <w:rPr>
          <w:rFonts w:ascii="Arial" w:hAnsi="Arial" w:cs="Arial"/>
        </w:rPr>
        <w:t>whenever someone illegally and deliberately wounds or injures another person, whether with or without the use of a weapon or tool. According to R v Saunders, the phrase "grievous bodily injury" (GBH) refers to substantial damage. Two separate offenses are created by this offense. Both malicious wounding and serious bodily harm are included in this category. The offender must inflict substantial bodily or mental injury on the victim. If the defendant is heedless about the possibility of injury, he or she must be acting with malice</w:t>
      </w:r>
      <w:r w:rsidR="00365092" w:rsidRPr="00B36C1E">
        <w:rPr>
          <w:rStyle w:val="FootnoteReference"/>
          <w:rFonts w:ascii="Arial" w:hAnsi="Arial" w:cs="Arial"/>
        </w:rPr>
        <w:footnoteReference w:id="7"/>
      </w:r>
      <w:r w:rsidR="00067DF7" w:rsidRPr="00B36C1E">
        <w:rPr>
          <w:rFonts w:ascii="Arial" w:hAnsi="Arial" w:cs="Arial"/>
        </w:rPr>
        <w:t>. Awareness of any amount of</w:t>
      </w:r>
      <w:r w:rsidR="00067DF7" w:rsidRPr="006A015C">
        <w:rPr>
          <w:rFonts w:ascii="Times New Roman" w:hAnsi="Times New Roman" w:cs="Times New Roman"/>
          <w:sz w:val="24"/>
          <w:szCs w:val="24"/>
        </w:rPr>
        <w:t xml:space="preserve"> bodily pain is adequate for this purpose: The defendant does not need to have foreseen the severity of the plaintiff's injuries. The maximum penalty is five years in jail. Section 18 of the </w:t>
      </w:r>
      <w:r w:rsidR="00067DF7" w:rsidRPr="00F060FE">
        <w:rPr>
          <w:rFonts w:ascii="Arial" w:hAnsi="Arial" w:cs="Arial"/>
        </w:rPr>
        <w:t xml:space="preserve">Penal Code deals with the most severe crimes, such as intentional infliction of great bodily </w:t>
      </w:r>
      <w:r w:rsidR="00067DF7" w:rsidRPr="00F060FE">
        <w:rPr>
          <w:rFonts w:ascii="Arial" w:hAnsi="Arial" w:cs="Arial"/>
        </w:rPr>
        <w:lastRenderedPageBreak/>
        <w:t>injury. The defendant inflicts substantial bodily and mental suffering on the victim, either by shooting them or by torturing them</w:t>
      </w:r>
      <w:r w:rsidR="00365092" w:rsidRPr="00F060FE">
        <w:rPr>
          <w:rStyle w:val="FootnoteReference"/>
          <w:rFonts w:ascii="Arial" w:hAnsi="Arial" w:cs="Arial"/>
        </w:rPr>
        <w:footnoteReference w:id="8"/>
      </w:r>
      <w:r w:rsidR="00067DF7" w:rsidRPr="00F060FE">
        <w:rPr>
          <w:rFonts w:ascii="Arial" w:hAnsi="Arial" w:cs="Arial"/>
        </w:rPr>
        <w:t>. Victims must be harmed to an extreme degree by the perpetrator</w:t>
      </w:r>
      <w:r w:rsidR="00365092" w:rsidRPr="00F060FE">
        <w:rPr>
          <w:rStyle w:val="FootnoteReference"/>
          <w:rFonts w:ascii="Arial" w:hAnsi="Arial" w:cs="Arial"/>
        </w:rPr>
        <w:footnoteReference w:id="9"/>
      </w:r>
      <w:r w:rsidR="00067DF7" w:rsidRPr="00F060FE">
        <w:rPr>
          <w:rFonts w:ascii="Arial" w:hAnsi="Arial" w:cs="Arial"/>
        </w:rPr>
        <w:t xml:space="preserve">. For this crime, the maximum penalty is life in prison. The law on non-fatal offenses will be examined now that the existing legislation has been created. As a first step, however, the OAPA employs terminology that is ancient and outmoded. According to this statute, which </w:t>
      </w:r>
      <w:proofErr w:type="gramStart"/>
      <w:r w:rsidR="00067DF7" w:rsidRPr="00F060FE">
        <w:rPr>
          <w:rFonts w:ascii="Arial" w:hAnsi="Arial" w:cs="Arial"/>
        </w:rPr>
        <w:t>dates back to</w:t>
      </w:r>
      <w:proofErr w:type="gramEnd"/>
      <w:r w:rsidR="00067DF7" w:rsidRPr="00F060FE">
        <w:rPr>
          <w:rFonts w:ascii="Arial" w:hAnsi="Arial" w:cs="Arial"/>
        </w:rPr>
        <w:t xml:space="preserve"> 1861, terminology employed in the act may be obsolete</w:t>
      </w:r>
      <w:r w:rsidR="00365092" w:rsidRPr="00F060FE">
        <w:rPr>
          <w:rStyle w:val="FootnoteReference"/>
          <w:rFonts w:ascii="Arial" w:hAnsi="Arial" w:cs="Arial"/>
        </w:rPr>
        <w:footnoteReference w:id="10"/>
      </w:r>
      <w:r w:rsidR="00067DF7" w:rsidRPr="00F060FE">
        <w:rPr>
          <w:rFonts w:ascii="Arial" w:hAnsi="Arial" w:cs="Arial"/>
        </w:rPr>
        <w:t>.</w:t>
      </w:r>
      <w:r w:rsidR="00067DF7" w:rsidRPr="006A015C">
        <w:rPr>
          <w:rFonts w:ascii="Times New Roman" w:hAnsi="Times New Roman" w:cs="Times New Roman"/>
          <w:sz w:val="24"/>
          <w:szCs w:val="24"/>
        </w:rPr>
        <w:t xml:space="preserve"> </w:t>
      </w:r>
    </w:p>
    <w:p w14:paraId="009DE8CF" w14:textId="20D8A89F" w:rsidR="00067DF7" w:rsidRPr="006A015C" w:rsidRDefault="00067DF7" w:rsidP="006A015C">
      <w:pPr>
        <w:spacing w:line="480" w:lineRule="auto"/>
        <w:rPr>
          <w:rFonts w:ascii="Times New Roman" w:hAnsi="Times New Roman" w:cs="Times New Roman"/>
          <w:sz w:val="24"/>
          <w:szCs w:val="24"/>
        </w:rPr>
      </w:pPr>
      <w:r w:rsidRPr="00F060FE">
        <w:rPr>
          <w:rFonts w:ascii="Arial" w:hAnsi="Arial" w:cs="Arial"/>
        </w:rPr>
        <w:t xml:space="preserve">According to the Law Commission Report, the phrase "bodily" is a term that is "outdated." When it comes to medical language, the word 'disease' is used in sections 47, 20 and 18, although it had not been recognized that fear may cause psychological damage. As illustrated </w:t>
      </w:r>
      <w:bookmarkStart w:id="6" w:name="_Hlk109423329"/>
      <w:bookmarkEnd w:id="5"/>
      <w:r w:rsidRPr="00F060FE">
        <w:rPr>
          <w:rFonts w:ascii="Arial" w:hAnsi="Arial" w:cs="Arial"/>
        </w:rPr>
        <w:t>in R v Ireland, courts have built case law by using cutting-edge medical information</w:t>
      </w:r>
      <w:r w:rsidR="00365092" w:rsidRPr="00F060FE">
        <w:rPr>
          <w:rStyle w:val="FootnoteReference"/>
          <w:rFonts w:ascii="Arial" w:hAnsi="Arial" w:cs="Arial"/>
        </w:rPr>
        <w:footnoteReference w:id="11"/>
      </w:r>
      <w:r w:rsidRPr="00F060FE">
        <w:rPr>
          <w:rFonts w:ascii="Arial" w:hAnsi="Arial" w:cs="Arial"/>
        </w:rPr>
        <w:t>. Lord Steyn, in Burstow, emphasized the point that 'the Victorian legislator would not have in mind mental disorder' to further buttress this case. As the Victorian method is no longer relevant, this shows that the legislation does not reflect the development of mental health concerns in society. In addition, the terminology used in this obsolete regulation may not be appropriate for today's society</w:t>
      </w:r>
      <w:r w:rsidR="006A015C" w:rsidRPr="00F060FE">
        <w:rPr>
          <w:rStyle w:val="FootnoteReference"/>
          <w:rFonts w:ascii="Arial" w:hAnsi="Arial" w:cs="Arial"/>
        </w:rPr>
        <w:footnoteReference w:id="12"/>
      </w:r>
      <w:r w:rsidRPr="00F060FE">
        <w:rPr>
          <w:rFonts w:ascii="Arial" w:hAnsi="Arial" w:cs="Arial"/>
        </w:rPr>
        <w:t xml:space="preserve">. As contrast to its correct meaning, the phrase "maliciously" was construed in Cunningham to imply "carelessly," which might lead to a muddle among other terms used in the act. As </w:t>
      </w:r>
      <w:proofErr w:type="spellStart"/>
      <w:r w:rsidRPr="00F060FE">
        <w:rPr>
          <w:rFonts w:ascii="Arial" w:hAnsi="Arial" w:cs="Arial"/>
        </w:rPr>
        <w:t>Eugencios</w:t>
      </w:r>
      <w:proofErr w:type="spellEnd"/>
      <w:r w:rsidRPr="00F060FE">
        <w:rPr>
          <w:rFonts w:ascii="Arial" w:hAnsi="Arial" w:cs="Arial"/>
        </w:rPr>
        <w:t xml:space="preserve"> points out, the OAPA has a "distorted and confusing hierarchy" when it comes to the offenses of section 20 and 47. Section 20 is a more severe offense, with a potential</w:t>
      </w:r>
      <w:r w:rsidRPr="006A015C">
        <w:rPr>
          <w:rFonts w:ascii="Times New Roman" w:hAnsi="Times New Roman" w:cs="Times New Roman"/>
          <w:sz w:val="24"/>
          <w:szCs w:val="24"/>
        </w:rPr>
        <w:t xml:space="preserve"> punishment of five years, yet both crimes have the same </w:t>
      </w:r>
      <w:proofErr w:type="spellStart"/>
      <w:r w:rsidRPr="006A015C">
        <w:rPr>
          <w:rFonts w:ascii="Times New Roman" w:hAnsi="Times New Roman" w:cs="Times New Roman"/>
          <w:sz w:val="24"/>
          <w:szCs w:val="24"/>
        </w:rPr>
        <w:t>mens</w:t>
      </w:r>
      <w:proofErr w:type="spellEnd"/>
      <w:r w:rsidRPr="006A015C">
        <w:rPr>
          <w:rFonts w:ascii="Times New Roman" w:hAnsi="Times New Roman" w:cs="Times New Roman"/>
          <w:sz w:val="24"/>
          <w:szCs w:val="24"/>
        </w:rPr>
        <w:t xml:space="preserve"> rea. "Judges and juries </w:t>
      </w:r>
      <w:r w:rsidRPr="00F060FE">
        <w:rPr>
          <w:rFonts w:ascii="Arial" w:hAnsi="Arial" w:cs="Arial"/>
        </w:rPr>
        <w:lastRenderedPageBreak/>
        <w:t xml:space="preserve">must regularly struggle with the challenges of contemporary law contained in a legislation that is now 154 years old," said HHJ </w:t>
      </w:r>
      <w:proofErr w:type="spellStart"/>
      <w:r w:rsidRPr="00F060FE">
        <w:rPr>
          <w:rFonts w:ascii="Arial" w:hAnsi="Arial" w:cs="Arial"/>
        </w:rPr>
        <w:t>Goymer</w:t>
      </w:r>
      <w:proofErr w:type="spellEnd"/>
      <w:r w:rsidRPr="00F060FE">
        <w:rPr>
          <w:rFonts w:ascii="Arial" w:hAnsi="Arial" w:cs="Arial"/>
        </w:rPr>
        <w:t xml:space="preserve"> of the Council of HM Circuit Judges. </w:t>
      </w:r>
      <w:proofErr w:type="gramStart"/>
      <w:r w:rsidRPr="00F060FE">
        <w:rPr>
          <w:rFonts w:ascii="Arial" w:hAnsi="Arial" w:cs="Arial"/>
        </w:rPr>
        <w:t>It is clear that these</w:t>
      </w:r>
      <w:proofErr w:type="gramEnd"/>
      <w:r w:rsidRPr="00F060FE">
        <w:rPr>
          <w:rFonts w:ascii="Arial" w:hAnsi="Arial" w:cs="Arial"/>
        </w:rPr>
        <w:t xml:space="preserve"> offenses are not rationally grouped together. </w:t>
      </w:r>
      <w:proofErr w:type="gramStart"/>
      <w:r w:rsidRPr="00F060FE">
        <w:rPr>
          <w:rFonts w:ascii="Arial" w:hAnsi="Arial" w:cs="Arial"/>
        </w:rPr>
        <w:t>In spite of</w:t>
      </w:r>
      <w:proofErr w:type="gramEnd"/>
      <w:r w:rsidRPr="00F060FE">
        <w:rPr>
          <w:rFonts w:ascii="Arial" w:hAnsi="Arial" w:cs="Arial"/>
        </w:rPr>
        <w:t xml:space="preserve"> the obvious flaws in the Act's present state, there may still be some persons and organizations who oppose the reformation of the Act. Case law has demonstrated that these faults are merely theoretical, according to the Bar Council's and the Criminal Bar's interpretations of the statute.</w:t>
      </w:r>
      <w:r w:rsidRPr="006A015C">
        <w:rPr>
          <w:rFonts w:ascii="Times New Roman" w:hAnsi="Times New Roman" w:cs="Times New Roman"/>
          <w:sz w:val="24"/>
          <w:szCs w:val="24"/>
        </w:rPr>
        <w:t xml:space="preserve"> </w:t>
      </w:r>
      <w:bookmarkEnd w:id="6"/>
      <w:r w:rsidRPr="00F060FE">
        <w:rPr>
          <w:rFonts w:ascii="Arial" w:hAnsi="Arial" w:cs="Arial"/>
        </w:rPr>
        <w:t xml:space="preserve">Because of judges' interpretation of previous cases, some claim that existing legislation works well. Furthermore, this legislation is still chaotic </w:t>
      </w:r>
      <w:proofErr w:type="gramStart"/>
      <w:r w:rsidRPr="00F060FE">
        <w:rPr>
          <w:rFonts w:ascii="Arial" w:hAnsi="Arial" w:cs="Arial"/>
        </w:rPr>
        <w:t>as a result of</w:t>
      </w:r>
      <w:proofErr w:type="gramEnd"/>
      <w:r w:rsidRPr="00F060FE">
        <w:rPr>
          <w:rFonts w:ascii="Arial" w:hAnsi="Arial" w:cs="Arial"/>
        </w:rPr>
        <w:t xml:space="preserve"> its muddled form. For example, since assault and battery are not defined by statute, there is a lack of codification. "The current appeal... is of no practical consequence whatsoever but is another illustration of how poor laws waste money and clutter courts with better things to do," said Lord Justice Henry in the earlier case of Lynsey [1995] 3 All ER 654</w:t>
      </w:r>
      <w:r w:rsidR="006A015C" w:rsidRPr="00F060FE">
        <w:rPr>
          <w:rStyle w:val="FootnoteReference"/>
          <w:rFonts w:ascii="Arial" w:hAnsi="Arial" w:cs="Arial"/>
        </w:rPr>
        <w:footnoteReference w:id="13"/>
      </w:r>
      <w:r w:rsidRPr="00F060FE">
        <w:rPr>
          <w:rFonts w:ascii="Arial" w:hAnsi="Arial" w:cs="Arial"/>
        </w:rPr>
        <w:t>. The Act might be reformed as a possible answer to the problems that have been raised. Violence: Reforming the Offences Against the Person Act 1861 contains the 1998 Draft Bill in a Home Office consultation document. The offenses are laid forth in a more logical order and in clear English in this Bill</w:t>
      </w:r>
      <w:r w:rsidR="006A015C" w:rsidRPr="00F060FE">
        <w:rPr>
          <w:rStyle w:val="FootnoteReference"/>
          <w:rFonts w:ascii="Arial" w:hAnsi="Arial" w:cs="Arial"/>
        </w:rPr>
        <w:footnoteReference w:id="14"/>
      </w:r>
      <w:r w:rsidRPr="00F060FE">
        <w:rPr>
          <w:rFonts w:ascii="Arial" w:hAnsi="Arial" w:cs="Arial"/>
        </w:rPr>
        <w:t>. The Criminal Law Revision Committee's report in 1980 through the Home Office's 1998 draft Bill all advocate a hierarchy of offenses. Intentionally or recklessly injuring someone is a kind of purposeful or reckless harm</w:t>
      </w:r>
      <w:r w:rsidR="006A015C" w:rsidRPr="00F060FE">
        <w:rPr>
          <w:rStyle w:val="FootnoteReference"/>
          <w:rFonts w:ascii="Arial" w:hAnsi="Arial" w:cs="Arial"/>
        </w:rPr>
        <w:footnoteReference w:id="15"/>
      </w:r>
      <w:r w:rsidRPr="00F060FE">
        <w:rPr>
          <w:rFonts w:ascii="Arial" w:hAnsi="Arial" w:cs="Arial"/>
        </w:rPr>
        <w:t xml:space="preserve">. Assault and battery have likewise been replaced with a single offense. Despite the bill's clarity, there was still a lack of movement in its introduction because of the criticism it </w:t>
      </w:r>
      <w:r w:rsidRPr="006A015C">
        <w:rPr>
          <w:rFonts w:ascii="Times New Roman" w:hAnsi="Times New Roman" w:cs="Times New Roman"/>
          <w:sz w:val="24"/>
          <w:szCs w:val="24"/>
        </w:rPr>
        <w:t>received</w:t>
      </w:r>
      <w:r w:rsidR="006A015C" w:rsidRPr="006A015C">
        <w:rPr>
          <w:rStyle w:val="FootnoteReference"/>
          <w:rFonts w:ascii="Times New Roman" w:hAnsi="Times New Roman" w:cs="Times New Roman"/>
          <w:sz w:val="24"/>
          <w:szCs w:val="24"/>
        </w:rPr>
        <w:footnoteReference w:id="16"/>
      </w:r>
      <w:r w:rsidRPr="006A015C">
        <w:rPr>
          <w:rFonts w:ascii="Times New Roman" w:hAnsi="Times New Roman" w:cs="Times New Roman"/>
          <w:sz w:val="24"/>
          <w:szCs w:val="24"/>
        </w:rPr>
        <w:t xml:space="preserve">. It had not been enacted at that time. For </w:t>
      </w:r>
      <w:r w:rsidRPr="00F060FE">
        <w:rPr>
          <w:rFonts w:ascii="Arial" w:hAnsi="Arial" w:cs="Arial"/>
        </w:rPr>
        <w:t xml:space="preserve">these reasons, the OAPA is manifestly inadequate in support of the Law Commission's </w:t>
      </w:r>
      <w:r w:rsidRPr="00F060FE">
        <w:rPr>
          <w:rFonts w:ascii="Arial" w:hAnsi="Arial" w:cs="Arial"/>
        </w:rPr>
        <w:lastRenderedPageBreak/>
        <w:t>assertions, since it is vague, employs outdated terminology, and has structural flaws</w:t>
      </w:r>
      <w:r w:rsidR="006A015C" w:rsidRPr="00F060FE">
        <w:rPr>
          <w:rStyle w:val="FootnoteReference"/>
          <w:rFonts w:ascii="Arial" w:hAnsi="Arial" w:cs="Arial"/>
        </w:rPr>
        <w:footnoteReference w:id="17"/>
      </w:r>
      <w:r w:rsidRPr="00F060FE">
        <w:rPr>
          <w:rFonts w:ascii="Arial" w:hAnsi="Arial" w:cs="Arial"/>
        </w:rPr>
        <w:t>. The OAPA should be repealed and replaced with new legislation that corrects the following flaws</w:t>
      </w:r>
      <w:r w:rsidRPr="006A015C">
        <w:rPr>
          <w:rFonts w:ascii="Times New Roman" w:hAnsi="Times New Roman" w:cs="Times New Roman"/>
          <w:sz w:val="24"/>
          <w:szCs w:val="24"/>
        </w:rPr>
        <w:br w:type="page"/>
      </w:r>
    </w:p>
    <w:p w14:paraId="2E88AF4A" w14:textId="3C4D17BB" w:rsidR="005959BB" w:rsidRPr="00F060FE" w:rsidRDefault="00F060FE" w:rsidP="006A015C">
      <w:pPr>
        <w:spacing w:line="480" w:lineRule="auto"/>
        <w:rPr>
          <w:rFonts w:ascii="Arial" w:hAnsi="Arial" w:cs="Arial"/>
          <w:b/>
          <w:bCs/>
          <w:sz w:val="28"/>
          <w:szCs w:val="28"/>
          <w:u w:val="single"/>
        </w:rPr>
      </w:pPr>
      <w:r w:rsidRPr="00F060FE">
        <w:rPr>
          <w:rFonts w:ascii="Arial" w:hAnsi="Arial" w:cs="Arial"/>
          <w:b/>
          <w:bCs/>
          <w:sz w:val="28"/>
          <w:szCs w:val="28"/>
          <w:u w:val="single"/>
        </w:rPr>
        <w:lastRenderedPageBreak/>
        <w:t>References</w:t>
      </w:r>
    </w:p>
    <w:p w14:paraId="5ED10CC4" w14:textId="77777777" w:rsidR="006A015C" w:rsidRPr="00A510D4" w:rsidRDefault="006A015C" w:rsidP="006A015C">
      <w:pPr>
        <w:spacing w:line="480" w:lineRule="auto"/>
        <w:ind w:left="720" w:hanging="720"/>
        <w:rPr>
          <w:rFonts w:ascii="Arial" w:hAnsi="Arial" w:cs="Arial"/>
          <w:color w:val="222222"/>
          <w:sz w:val="24"/>
          <w:szCs w:val="24"/>
          <w:shd w:val="clear" w:color="auto" w:fill="FFFFFF"/>
        </w:rPr>
      </w:pPr>
      <w:proofErr w:type="spellStart"/>
      <w:r w:rsidRPr="00A510D4">
        <w:rPr>
          <w:rFonts w:ascii="Arial" w:hAnsi="Arial" w:cs="Arial"/>
          <w:color w:val="222222"/>
          <w:sz w:val="24"/>
          <w:szCs w:val="24"/>
          <w:shd w:val="clear" w:color="auto" w:fill="FFFFFF"/>
        </w:rPr>
        <w:t>Atoki</w:t>
      </w:r>
      <w:proofErr w:type="spellEnd"/>
      <w:r w:rsidRPr="00A510D4">
        <w:rPr>
          <w:rFonts w:ascii="Arial" w:hAnsi="Arial" w:cs="Arial"/>
          <w:color w:val="222222"/>
          <w:sz w:val="24"/>
          <w:szCs w:val="24"/>
          <w:shd w:val="clear" w:color="auto" w:fill="FFFFFF"/>
        </w:rPr>
        <w:t>, M., 1995. Assault and S 47 of the Offences against the Person Act 1861. </w:t>
      </w:r>
      <w:r w:rsidRPr="00A510D4">
        <w:rPr>
          <w:rFonts w:ascii="Arial" w:hAnsi="Arial" w:cs="Arial"/>
          <w:i/>
          <w:iCs/>
          <w:color w:val="222222"/>
          <w:sz w:val="24"/>
          <w:szCs w:val="24"/>
          <w:shd w:val="clear" w:color="auto" w:fill="FFFFFF"/>
        </w:rPr>
        <w:t>The Journal of Criminal Law</w:t>
      </w:r>
      <w:r w:rsidRPr="00A510D4">
        <w:rPr>
          <w:rFonts w:ascii="Arial" w:hAnsi="Arial" w:cs="Arial"/>
          <w:color w:val="222222"/>
          <w:sz w:val="24"/>
          <w:szCs w:val="24"/>
          <w:shd w:val="clear" w:color="auto" w:fill="FFFFFF"/>
        </w:rPr>
        <w:t>, </w:t>
      </w:r>
      <w:r w:rsidRPr="00A510D4">
        <w:rPr>
          <w:rFonts w:ascii="Arial" w:hAnsi="Arial" w:cs="Arial"/>
          <w:i/>
          <w:iCs/>
          <w:color w:val="222222"/>
          <w:sz w:val="24"/>
          <w:szCs w:val="24"/>
          <w:shd w:val="clear" w:color="auto" w:fill="FFFFFF"/>
        </w:rPr>
        <w:t>59</w:t>
      </w:r>
      <w:r w:rsidRPr="00A510D4">
        <w:rPr>
          <w:rFonts w:ascii="Arial" w:hAnsi="Arial" w:cs="Arial"/>
          <w:color w:val="222222"/>
          <w:sz w:val="24"/>
          <w:szCs w:val="24"/>
          <w:shd w:val="clear" w:color="auto" w:fill="FFFFFF"/>
        </w:rPr>
        <w:t>(3), pp.299-304.</w:t>
      </w:r>
    </w:p>
    <w:p w14:paraId="14E3A8D3" w14:textId="77777777" w:rsidR="006A015C" w:rsidRPr="00A510D4" w:rsidRDefault="006A015C" w:rsidP="006A015C">
      <w:pPr>
        <w:spacing w:line="480" w:lineRule="auto"/>
        <w:ind w:left="720" w:hanging="720"/>
        <w:rPr>
          <w:rFonts w:ascii="Arial" w:hAnsi="Arial" w:cs="Arial"/>
          <w:color w:val="222222"/>
          <w:sz w:val="24"/>
          <w:szCs w:val="24"/>
          <w:shd w:val="clear" w:color="auto" w:fill="FFFFFF"/>
        </w:rPr>
      </w:pPr>
      <w:proofErr w:type="spellStart"/>
      <w:r w:rsidRPr="00A510D4">
        <w:rPr>
          <w:rFonts w:ascii="Arial" w:hAnsi="Arial" w:cs="Arial"/>
          <w:color w:val="222222"/>
          <w:sz w:val="24"/>
          <w:szCs w:val="24"/>
          <w:shd w:val="clear" w:color="auto" w:fill="FFFFFF"/>
        </w:rPr>
        <w:t>Bibbings</w:t>
      </w:r>
      <w:proofErr w:type="spellEnd"/>
      <w:r w:rsidRPr="00A510D4">
        <w:rPr>
          <w:rFonts w:ascii="Arial" w:hAnsi="Arial" w:cs="Arial"/>
          <w:color w:val="222222"/>
          <w:sz w:val="24"/>
          <w:szCs w:val="24"/>
          <w:shd w:val="clear" w:color="auto" w:fill="FFFFFF"/>
        </w:rPr>
        <w:t>, L., 2013. Boys will be boys: Masculinity and offences against the person. In </w:t>
      </w:r>
      <w:r w:rsidRPr="00A510D4">
        <w:rPr>
          <w:rFonts w:ascii="Arial" w:hAnsi="Arial" w:cs="Arial"/>
          <w:i/>
          <w:iCs/>
          <w:color w:val="222222"/>
          <w:sz w:val="24"/>
          <w:szCs w:val="24"/>
          <w:shd w:val="clear" w:color="auto" w:fill="FFFFFF"/>
        </w:rPr>
        <w:t>Feminist perspectives on criminal law</w:t>
      </w:r>
      <w:r w:rsidRPr="00A510D4">
        <w:rPr>
          <w:rFonts w:ascii="Arial" w:hAnsi="Arial" w:cs="Arial"/>
          <w:color w:val="222222"/>
          <w:sz w:val="24"/>
          <w:szCs w:val="24"/>
          <w:shd w:val="clear" w:color="auto" w:fill="FFFFFF"/>
        </w:rPr>
        <w:t> (pp. 261-273). Routledge-Cavendish.</w:t>
      </w:r>
    </w:p>
    <w:p w14:paraId="7CD07686" w14:textId="77777777" w:rsidR="006A015C" w:rsidRPr="00A510D4" w:rsidRDefault="006A015C" w:rsidP="006A015C">
      <w:pPr>
        <w:spacing w:line="480" w:lineRule="auto"/>
        <w:ind w:left="720" w:hanging="720"/>
        <w:rPr>
          <w:rFonts w:ascii="Arial" w:hAnsi="Arial" w:cs="Arial"/>
          <w:color w:val="222222"/>
          <w:sz w:val="24"/>
          <w:szCs w:val="24"/>
          <w:shd w:val="clear" w:color="auto" w:fill="FFFFFF"/>
        </w:rPr>
      </w:pPr>
      <w:proofErr w:type="spellStart"/>
      <w:r w:rsidRPr="00A510D4">
        <w:rPr>
          <w:rFonts w:ascii="Arial" w:hAnsi="Arial" w:cs="Arial"/>
          <w:color w:val="222222"/>
          <w:sz w:val="24"/>
          <w:szCs w:val="24"/>
          <w:shd w:val="clear" w:color="auto" w:fill="FFFFFF"/>
        </w:rPr>
        <w:t>Charleton</w:t>
      </w:r>
      <w:proofErr w:type="spellEnd"/>
      <w:r w:rsidRPr="00A510D4">
        <w:rPr>
          <w:rFonts w:ascii="Arial" w:hAnsi="Arial" w:cs="Arial"/>
          <w:color w:val="222222"/>
          <w:sz w:val="24"/>
          <w:szCs w:val="24"/>
          <w:shd w:val="clear" w:color="auto" w:fill="FFFFFF"/>
        </w:rPr>
        <w:t>, P., 1992. </w:t>
      </w:r>
      <w:r w:rsidRPr="00A510D4">
        <w:rPr>
          <w:rFonts w:ascii="Arial" w:hAnsi="Arial" w:cs="Arial"/>
          <w:i/>
          <w:iCs/>
          <w:color w:val="222222"/>
          <w:sz w:val="24"/>
          <w:szCs w:val="24"/>
          <w:shd w:val="clear" w:color="auto" w:fill="FFFFFF"/>
        </w:rPr>
        <w:t>Offences against the Person</w:t>
      </w:r>
      <w:r w:rsidRPr="00A510D4">
        <w:rPr>
          <w:rFonts w:ascii="Arial" w:hAnsi="Arial" w:cs="Arial"/>
          <w:color w:val="222222"/>
          <w:sz w:val="24"/>
          <w:szCs w:val="24"/>
          <w:shd w:val="clear" w:color="auto" w:fill="FFFFFF"/>
        </w:rPr>
        <w:t>. Round Hall Press.</w:t>
      </w:r>
    </w:p>
    <w:p w14:paraId="645FE4A5" w14:textId="77777777" w:rsidR="006A015C" w:rsidRPr="00A510D4" w:rsidRDefault="006A015C" w:rsidP="006A015C">
      <w:pPr>
        <w:spacing w:line="480" w:lineRule="auto"/>
        <w:ind w:left="720" w:hanging="720"/>
        <w:rPr>
          <w:rFonts w:ascii="Arial" w:hAnsi="Arial" w:cs="Arial"/>
          <w:color w:val="222222"/>
          <w:sz w:val="24"/>
          <w:szCs w:val="24"/>
          <w:shd w:val="clear" w:color="auto" w:fill="FFFFFF"/>
        </w:rPr>
      </w:pPr>
      <w:proofErr w:type="spellStart"/>
      <w:r w:rsidRPr="00A510D4">
        <w:rPr>
          <w:rFonts w:ascii="Arial" w:hAnsi="Arial" w:cs="Arial"/>
          <w:color w:val="222222"/>
          <w:sz w:val="24"/>
          <w:szCs w:val="24"/>
          <w:shd w:val="clear" w:color="auto" w:fill="FFFFFF"/>
        </w:rPr>
        <w:t>Dodds</w:t>
      </w:r>
      <w:proofErr w:type="spellEnd"/>
      <w:r w:rsidRPr="00A510D4">
        <w:rPr>
          <w:rFonts w:ascii="Arial" w:hAnsi="Arial" w:cs="Arial"/>
          <w:color w:val="222222"/>
          <w:sz w:val="24"/>
          <w:szCs w:val="24"/>
          <w:shd w:val="clear" w:color="auto" w:fill="FFFFFF"/>
        </w:rPr>
        <w:t xml:space="preserve">, C., </w:t>
      </w:r>
      <w:proofErr w:type="spellStart"/>
      <w:r w:rsidRPr="00A510D4">
        <w:rPr>
          <w:rFonts w:ascii="Arial" w:hAnsi="Arial" w:cs="Arial"/>
          <w:color w:val="222222"/>
          <w:sz w:val="24"/>
          <w:szCs w:val="24"/>
          <w:shd w:val="clear" w:color="auto" w:fill="FFFFFF"/>
        </w:rPr>
        <w:t>Weatherburn</w:t>
      </w:r>
      <w:proofErr w:type="spellEnd"/>
      <w:r w:rsidRPr="00A510D4">
        <w:rPr>
          <w:rFonts w:ascii="Arial" w:hAnsi="Arial" w:cs="Arial"/>
          <w:color w:val="222222"/>
          <w:sz w:val="24"/>
          <w:szCs w:val="24"/>
          <w:shd w:val="clear" w:color="auto" w:fill="FFFFFF"/>
        </w:rPr>
        <w:t xml:space="preserve">, P., Hickson, F., Keogh, P. and </w:t>
      </w:r>
      <w:proofErr w:type="spellStart"/>
      <w:r w:rsidRPr="00A510D4">
        <w:rPr>
          <w:rFonts w:ascii="Arial" w:hAnsi="Arial" w:cs="Arial"/>
          <w:color w:val="222222"/>
          <w:sz w:val="24"/>
          <w:szCs w:val="24"/>
          <w:shd w:val="clear" w:color="auto" w:fill="FFFFFF"/>
        </w:rPr>
        <w:t>Nutland</w:t>
      </w:r>
      <w:proofErr w:type="spellEnd"/>
      <w:r w:rsidRPr="00A510D4">
        <w:rPr>
          <w:rFonts w:ascii="Arial" w:hAnsi="Arial" w:cs="Arial"/>
          <w:color w:val="222222"/>
          <w:sz w:val="24"/>
          <w:szCs w:val="24"/>
          <w:shd w:val="clear" w:color="auto" w:fill="FFFFFF"/>
        </w:rPr>
        <w:t>, W., 2005. Grievous harm: Use of the Offences against the Person Act 1861 for sexual transmission of HIV.</w:t>
      </w:r>
    </w:p>
    <w:p w14:paraId="4DD3726B" w14:textId="77777777" w:rsidR="006A015C" w:rsidRPr="00A510D4" w:rsidRDefault="006A015C" w:rsidP="006A015C">
      <w:pPr>
        <w:spacing w:line="480" w:lineRule="auto"/>
        <w:ind w:left="720" w:hanging="720"/>
        <w:rPr>
          <w:rFonts w:ascii="Arial" w:hAnsi="Arial" w:cs="Arial"/>
          <w:color w:val="222222"/>
          <w:sz w:val="24"/>
          <w:szCs w:val="24"/>
          <w:shd w:val="clear" w:color="auto" w:fill="FFFFFF"/>
        </w:rPr>
      </w:pPr>
      <w:proofErr w:type="spellStart"/>
      <w:r w:rsidRPr="00A510D4">
        <w:rPr>
          <w:rFonts w:ascii="Arial" w:hAnsi="Arial" w:cs="Arial"/>
          <w:color w:val="222222"/>
          <w:sz w:val="24"/>
          <w:szCs w:val="24"/>
          <w:shd w:val="clear" w:color="auto" w:fill="FFFFFF"/>
        </w:rPr>
        <w:t>Eugenicos</w:t>
      </w:r>
      <w:proofErr w:type="spellEnd"/>
      <w:r w:rsidRPr="00A510D4">
        <w:rPr>
          <w:rFonts w:ascii="Arial" w:hAnsi="Arial" w:cs="Arial"/>
          <w:color w:val="222222"/>
          <w:sz w:val="24"/>
          <w:szCs w:val="24"/>
          <w:shd w:val="clear" w:color="auto" w:fill="FFFFFF"/>
        </w:rPr>
        <w:t xml:space="preserve">, A.M., 2017. Should We Reform the Offences Against the Person Act </w:t>
      </w:r>
      <w:proofErr w:type="gramStart"/>
      <w:r w:rsidRPr="00A510D4">
        <w:rPr>
          <w:rFonts w:ascii="Arial" w:hAnsi="Arial" w:cs="Arial"/>
          <w:color w:val="222222"/>
          <w:sz w:val="24"/>
          <w:szCs w:val="24"/>
          <w:shd w:val="clear" w:color="auto" w:fill="FFFFFF"/>
        </w:rPr>
        <w:t>1861?.</w:t>
      </w:r>
      <w:proofErr w:type="gramEnd"/>
      <w:r w:rsidRPr="00A510D4">
        <w:rPr>
          <w:rFonts w:ascii="Arial" w:hAnsi="Arial" w:cs="Arial"/>
          <w:color w:val="222222"/>
          <w:sz w:val="24"/>
          <w:szCs w:val="24"/>
          <w:shd w:val="clear" w:color="auto" w:fill="FFFFFF"/>
        </w:rPr>
        <w:t> </w:t>
      </w:r>
      <w:r w:rsidRPr="00A510D4">
        <w:rPr>
          <w:rFonts w:ascii="Arial" w:hAnsi="Arial" w:cs="Arial"/>
          <w:i/>
          <w:iCs/>
          <w:color w:val="222222"/>
          <w:sz w:val="24"/>
          <w:szCs w:val="24"/>
          <w:shd w:val="clear" w:color="auto" w:fill="FFFFFF"/>
        </w:rPr>
        <w:t>The Journal of Criminal Law</w:t>
      </w:r>
      <w:r w:rsidRPr="00A510D4">
        <w:rPr>
          <w:rFonts w:ascii="Arial" w:hAnsi="Arial" w:cs="Arial"/>
          <w:color w:val="222222"/>
          <w:sz w:val="24"/>
          <w:szCs w:val="24"/>
          <w:shd w:val="clear" w:color="auto" w:fill="FFFFFF"/>
        </w:rPr>
        <w:t>, </w:t>
      </w:r>
      <w:r w:rsidRPr="00A510D4">
        <w:rPr>
          <w:rFonts w:ascii="Arial" w:hAnsi="Arial" w:cs="Arial"/>
          <w:i/>
          <w:iCs/>
          <w:color w:val="222222"/>
          <w:sz w:val="24"/>
          <w:szCs w:val="24"/>
          <w:shd w:val="clear" w:color="auto" w:fill="FFFFFF"/>
        </w:rPr>
        <w:t>81</w:t>
      </w:r>
      <w:r w:rsidRPr="00A510D4">
        <w:rPr>
          <w:rFonts w:ascii="Arial" w:hAnsi="Arial" w:cs="Arial"/>
          <w:color w:val="222222"/>
          <w:sz w:val="24"/>
          <w:szCs w:val="24"/>
          <w:shd w:val="clear" w:color="auto" w:fill="FFFFFF"/>
        </w:rPr>
        <w:t>(1), pp.26-32.</w:t>
      </w:r>
    </w:p>
    <w:p w14:paraId="43D962F7" w14:textId="77777777" w:rsidR="006A015C" w:rsidRPr="00A510D4" w:rsidRDefault="006A015C" w:rsidP="006A015C">
      <w:pPr>
        <w:spacing w:line="480" w:lineRule="auto"/>
        <w:ind w:left="720" w:hanging="720"/>
        <w:rPr>
          <w:rFonts w:ascii="Arial" w:hAnsi="Arial" w:cs="Arial"/>
          <w:color w:val="222222"/>
          <w:sz w:val="24"/>
          <w:szCs w:val="24"/>
          <w:shd w:val="clear" w:color="auto" w:fill="FFFFFF"/>
        </w:rPr>
      </w:pPr>
      <w:proofErr w:type="spellStart"/>
      <w:r w:rsidRPr="00A510D4">
        <w:rPr>
          <w:rFonts w:ascii="Arial" w:hAnsi="Arial" w:cs="Arial"/>
          <w:color w:val="222222"/>
          <w:sz w:val="24"/>
          <w:szCs w:val="24"/>
          <w:shd w:val="clear" w:color="auto" w:fill="FFFFFF"/>
        </w:rPr>
        <w:t>Fewtrell</w:t>
      </w:r>
      <w:proofErr w:type="spellEnd"/>
      <w:r w:rsidRPr="00A510D4">
        <w:rPr>
          <w:rFonts w:ascii="Arial" w:hAnsi="Arial" w:cs="Arial"/>
          <w:color w:val="222222"/>
          <w:sz w:val="24"/>
          <w:szCs w:val="24"/>
          <w:shd w:val="clear" w:color="auto" w:fill="FFFFFF"/>
        </w:rPr>
        <w:t>, E.M., 1948. Offences against the Person Act, 1861, Sections 18 &amp; 20. </w:t>
      </w:r>
      <w:r w:rsidRPr="00A510D4">
        <w:rPr>
          <w:rFonts w:ascii="Arial" w:hAnsi="Arial" w:cs="Arial"/>
          <w:i/>
          <w:iCs/>
          <w:color w:val="222222"/>
          <w:sz w:val="24"/>
          <w:szCs w:val="24"/>
          <w:shd w:val="clear" w:color="auto" w:fill="FFFFFF"/>
        </w:rPr>
        <w:t>The Police Journal</w:t>
      </w:r>
      <w:r w:rsidRPr="00A510D4">
        <w:rPr>
          <w:rFonts w:ascii="Arial" w:hAnsi="Arial" w:cs="Arial"/>
          <w:color w:val="222222"/>
          <w:sz w:val="24"/>
          <w:szCs w:val="24"/>
          <w:shd w:val="clear" w:color="auto" w:fill="FFFFFF"/>
        </w:rPr>
        <w:t>, </w:t>
      </w:r>
      <w:r w:rsidRPr="00A510D4">
        <w:rPr>
          <w:rFonts w:ascii="Arial" w:hAnsi="Arial" w:cs="Arial"/>
          <w:i/>
          <w:iCs/>
          <w:color w:val="222222"/>
          <w:sz w:val="24"/>
          <w:szCs w:val="24"/>
          <w:shd w:val="clear" w:color="auto" w:fill="FFFFFF"/>
        </w:rPr>
        <w:t>21</w:t>
      </w:r>
      <w:r w:rsidRPr="00A510D4">
        <w:rPr>
          <w:rFonts w:ascii="Arial" w:hAnsi="Arial" w:cs="Arial"/>
          <w:color w:val="222222"/>
          <w:sz w:val="24"/>
          <w:szCs w:val="24"/>
          <w:shd w:val="clear" w:color="auto" w:fill="FFFFFF"/>
        </w:rPr>
        <w:t>(2), pp.148-151.</w:t>
      </w:r>
    </w:p>
    <w:p w14:paraId="05B66D62" w14:textId="77777777" w:rsidR="006A015C" w:rsidRPr="00A510D4" w:rsidRDefault="006A015C" w:rsidP="006A015C">
      <w:pPr>
        <w:spacing w:line="480" w:lineRule="auto"/>
        <w:ind w:left="720" w:hanging="720"/>
        <w:rPr>
          <w:rFonts w:ascii="Arial" w:hAnsi="Arial" w:cs="Arial"/>
          <w:b/>
          <w:bCs/>
          <w:sz w:val="24"/>
          <w:szCs w:val="24"/>
        </w:rPr>
      </w:pPr>
      <w:r w:rsidRPr="00A510D4">
        <w:rPr>
          <w:rFonts w:ascii="Arial" w:hAnsi="Arial" w:cs="Arial"/>
          <w:color w:val="222222"/>
          <w:sz w:val="24"/>
          <w:szCs w:val="24"/>
          <w:shd w:val="clear" w:color="auto" w:fill="FFFFFF"/>
        </w:rPr>
        <w:t>Gardner, J., 1994. Rationality and the rule of law in offences against the person. </w:t>
      </w:r>
      <w:r w:rsidRPr="00A510D4">
        <w:rPr>
          <w:rFonts w:ascii="Arial" w:hAnsi="Arial" w:cs="Arial"/>
          <w:i/>
          <w:iCs/>
          <w:color w:val="222222"/>
          <w:sz w:val="24"/>
          <w:szCs w:val="24"/>
          <w:shd w:val="clear" w:color="auto" w:fill="FFFFFF"/>
        </w:rPr>
        <w:t>The Cambridge Law Journal</w:t>
      </w:r>
      <w:r w:rsidRPr="00A510D4">
        <w:rPr>
          <w:rFonts w:ascii="Arial" w:hAnsi="Arial" w:cs="Arial"/>
          <w:color w:val="222222"/>
          <w:sz w:val="24"/>
          <w:szCs w:val="24"/>
          <w:shd w:val="clear" w:color="auto" w:fill="FFFFFF"/>
        </w:rPr>
        <w:t>, </w:t>
      </w:r>
      <w:r w:rsidRPr="00A510D4">
        <w:rPr>
          <w:rFonts w:ascii="Arial" w:hAnsi="Arial" w:cs="Arial"/>
          <w:i/>
          <w:iCs/>
          <w:color w:val="222222"/>
          <w:sz w:val="24"/>
          <w:szCs w:val="24"/>
          <w:shd w:val="clear" w:color="auto" w:fill="FFFFFF"/>
        </w:rPr>
        <w:t>53</w:t>
      </w:r>
      <w:r w:rsidRPr="00A510D4">
        <w:rPr>
          <w:rFonts w:ascii="Arial" w:hAnsi="Arial" w:cs="Arial"/>
          <w:color w:val="222222"/>
          <w:sz w:val="24"/>
          <w:szCs w:val="24"/>
          <w:shd w:val="clear" w:color="auto" w:fill="FFFFFF"/>
        </w:rPr>
        <w:t>(3), pp.502-523.</w:t>
      </w:r>
    </w:p>
    <w:p w14:paraId="428EFF4D" w14:textId="77777777" w:rsidR="006A015C" w:rsidRPr="00A510D4" w:rsidRDefault="006A015C" w:rsidP="006A015C">
      <w:pPr>
        <w:spacing w:line="480" w:lineRule="auto"/>
        <w:ind w:left="720" w:hanging="720"/>
        <w:rPr>
          <w:rFonts w:ascii="Arial" w:hAnsi="Arial" w:cs="Arial"/>
          <w:color w:val="222222"/>
          <w:sz w:val="24"/>
          <w:szCs w:val="24"/>
          <w:shd w:val="clear" w:color="auto" w:fill="FFFFFF"/>
        </w:rPr>
      </w:pPr>
      <w:r w:rsidRPr="00A510D4">
        <w:rPr>
          <w:rFonts w:ascii="Arial" w:hAnsi="Arial" w:cs="Arial"/>
          <w:color w:val="222222"/>
          <w:sz w:val="24"/>
          <w:szCs w:val="24"/>
          <w:shd w:val="clear" w:color="auto" w:fill="FFFFFF"/>
        </w:rPr>
        <w:t>Genders, E., 1999. Reform of the Offences against the Person Act: Lessons from the Law in Action. </w:t>
      </w:r>
      <w:r w:rsidRPr="00A510D4">
        <w:rPr>
          <w:rFonts w:ascii="Arial" w:hAnsi="Arial" w:cs="Arial"/>
          <w:i/>
          <w:iCs/>
          <w:color w:val="222222"/>
          <w:sz w:val="24"/>
          <w:szCs w:val="24"/>
          <w:shd w:val="clear" w:color="auto" w:fill="FFFFFF"/>
        </w:rPr>
        <w:t>CRIM LAW REV</w:t>
      </w:r>
      <w:r w:rsidRPr="00A510D4">
        <w:rPr>
          <w:rFonts w:ascii="Arial" w:hAnsi="Arial" w:cs="Arial"/>
          <w:color w:val="222222"/>
          <w:sz w:val="24"/>
          <w:szCs w:val="24"/>
          <w:shd w:val="clear" w:color="auto" w:fill="FFFFFF"/>
        </w:rPr>
        <w:t>, pp.689-701.</w:t>
      </w:r>
    </w:p>
    <w:p w14:paraId="02E4F761" w14:textId="77777777" w:rsidR="006A015C" w:rsidRPr="00A510D4" w:rsidRDefault="006A015C" w:rsidP="006A015C">
      <w:pPr>
        <w:spacing w:line="480" w:lineRule="auto"/>
        <w:ind w:left="720" w:hanging="720"/>
        <w:rPr>
          <w:rFonts w:ascii="Arial" w:hAnsi="Arial" w:cs="Arial"/>
          <w:color w:val="222222"/>
          <w:sz w:val="24"/>
          <w:szCs w:val="24"/>
          <w:shd w:val="clear" w:color="auto" w:fill="FFFFFF"/>
        </w:rPr>
      </w:pPr>
      <w:proofErr w:type="spellStart"/>
      <w:r w:rsidRPr="00A510D4">
        <w:rPr>
          <w:rFonts w:ascii="Arial" w:hAnsi="Arial" w:cs="Arial"/>
          <w:color w:val="222222"/>
          <w:sz w:val="24"/>
          <w:szCs w:val="24"/>
          <w:shd w:val="clear" w:color="auto" w:fill="FFFFFF"/>
        </w:rPr>
        <w:t>Horder</w:t>
      </w:r>
      <w:proofErr w:type="spellEnd"/>
      <w:r w:rsidRPr="00A510D4">
        <w:rPr>
          <w:rFonts w:ascii="Arial" w:hAnsi="Arial" w:cs="Arial"/>
          <w:color w:val="222222"/>
          <w:sz w:val="24"/>
          <w:szCs w:val="24"/>
          <w:shd w:val="clear" w:color="auto" w:fill="FFFFFF"/>
        </w:rPr>
        <w:t>, J., 1994. Rethinking non-fatal offences against the person. </w:t>
      </w:r>
      <w:r w:rsidRPr="00A510D4">
        <w:rPr>
          <w:rFonts w:ascii="Arial" w:hAnsi="Arial" w:cs="Arial"/>
          <w:i/>
          <w:iCs/>
          <w:color w:val="222222"/>
          <w:sz w:val="24"/>
          <w:szCs w:val="24"/>
          <w:shd w:val="clear" w:color="auto" w:fill="FFFFFF"/>
        </w:rPr>
        <w:t>Oxford Journal of Legal Studies</w:t>
      </w:r>
      <w:r w:rsidRPr="00A510D4">
        <w:rPr>
          <w:rFonts w:ascii="Arial" w:hAnsi="Arial" w:cs="Arial"/>
          <w:color w:val="222222"/>
          <w:sz w:val="24"/>
          <w:szCs w:val="24"/>
          <w:shd w:val="clear" w:color="auto" w:fill="FFFFFF"/>
        </w:rPr>
        <w:t>, </w:t>
      </w:r>
      <w:r w:rsidRPr="00A510D4">
        <w:rPr>
          <w:rFonts w:ascii="Arial" w:hAnsi="Arial" w:cs="Arial"/>
          <w:i/>
          <w:iCs/>
          <w:color w:val="222222"/>
          <w:sz w:val="24"/>
          <w:szCs w:val="24"/>
          <w:shd w:val="clear" w:color="auto" w:fill="FFFFFF"/>
        </w:rPr>
        <w:t>14</w:t>
      </w:r>
      <w:r w:rsidRPr="00A510D4">
        <w:rPr>
          <w:rFonts w:ascii="Arial" w:hAnsi="Arial" w:cs="Arial"/>
          <w:color w:val="222222"/>
          <w:sz w:val="24"/>
          <w:szCs w:val="24"/>
          <w:shd w:val="clear" w:color="auto" w:fill="FFFFFF"/>
        </w:rPr>
        <w:t>(3), pp.335-351.</w:t>
      </w:r>
    </w:p>
    <w:p w14:paraId="24F305E1" w14:textId="77777777" w:rsidR="006A015C" w:rsidRPr="00A510D4" w:rsidRDefault="006A015C" w:rsidP="006A015C">
      <w:pPr>
        <w:spacing w:line="480" w:lineRule="auto"/>
        <w:ind w:left="720" w:hanging="720"/>
        <w:rPr>
          <w:rFonts w:ascii="Arial" w:hAnsi="Arial" w:cs="Arial"/>
          <w:color w:val="222222"/>
          <w:sz w:val="24"/>
          <w:szCs w:val="24"/>
          <w:shd w:val="clear" w:color="auto" w:fill="FFFFFF"/>
        </w:rPr>
      </w:pPr>
      <w:r w:rsidRPr="00A510D4">
        <w:rPr>
          <w:rFonts w:ascii="Arial" w:hAnsi="Arial" w:cs="Arial"/>
          <w:color w:val="222222"/>
          <w:sz w:val="24"/>
          <w:szCs w:val="24"/>
          <w:shd w:val="clear" w:color="auto" w:fill="FFFFFF"/>
        </w:rPr>
        <w:lastRenderedPageBreak/>
        <w:t>Jefferson, M., 2012. Offences against the Person: Into the 21st century. </w:t>
      </w:r>
      <w:r w:rsidRPr="00A510D4">
        <w:rPr>
          <w:rFonts w:ascii="Arial" w:hAnsi="Arial" w:cs="Arial"/>
          <w:i/>
          <w:iCs/>
          <w:color w:val="222222"/>
          <w:sz w:val="24"/>
          <w:szCs w:val="24"/>
          <w:shd w:val="clear" w:color="auto" w:fill="FFFFFF"/>
        </w:rPr>
        <w:t>The Journal of Criminal Law</w:t>
      </w:r>
      <w:r w:rsidRPr="00A510D4">
        <w:rPr>
          <w:rFonts w:ascii="Arial" w:hAnsi="Arial" w:cs="Arial"/>
          <w:color w:val="222222"/>
          <w:sz w:val="24"/>
          <w:szCs w:val="24"/>
          <w:shd w:val="clear" w:color="auto" w:fill="FFFFFF"/>
        </w:rPr>
        <w:t>, </w:t>
      </w:r>
      <w:r w:rsidRPr="00A510D4">
        <w:rPr>
          <w:rFonts w:ascii="Arial" w:hAnsi="Arial" w:cs="Arial"/>
          <w:i/>
          <w:iCs/>
          <w:color w:val="222222"/>
          <w:sz w:val="24"/>
          <w:szCs w:val="24"/>
          <w:shd w:val="clear" w:color="auto" w:fill="FFFFFF"/>
        </w:rPr>
        <w:t>76</w:t>
      </w:r>
      <w:r w:rsidRPr="00A510D4">
        <w:rPr>
          <w:rFonts w:ascii="Arial" w:hAnsi="Arial" w:cs="Arial"/>
          <w:color w:val="222222"/>
          <w:sz w:val="24"/>
          <w:szCs w:val="24"/>
          <w:shd w:val="clear" w:color="auto" w:fill="FFFFFF"/>
        </w:rPr>
        <w:t>(6), pp.472-492.</w:t>
      </w:r>
    </w:p>
    <w:p w14:paraId="1A3540B7" w14:textId="77777777" w:rsidR="006A015C" w:rsidRPr="00A510D4" w:rsidRDefault="006A015C" w:rsidP="006A015C">
      <w:pPr>
        <w:spacing w:line="480" w:lineRule="auto"/>
        <w:ind w:left="720" w:hanging="720"/>
        <w:rPr>
          <w:rFonts w:ascii="Arial" w:hAnsi="Arial" w:cs="Arial"/>
          <w:color w:val="222222"/>
          <w:sz w:val="24"/>
          <w:szCs w:val="24"/>
          <w:shd w:val="clear" w:color="auto" w:fill="FFFFFF"/>
        </w:rPr>
      </w:pPr>
      <w:r w:rsidRPr="00A510D4">
        <w:rPr>
          <w:rFonts w:ascii="Arial" w:hAnsi="Arial" w:cs="Arial"/>
          <w:color w:val="222222"/>
          <w:sz w:val="24"/>
          <w:szCs w:val="24"/>
          <w:shd w:val="clear" w:color="auto" w:fill="FFFFFF"/>
        </w:rPr>
        <w:t>Jefferson, M., 2013. </w:t>
      </w:r>
      <w:r w:rsidRPr="00A510D4">
        <w:rPr>
          <w:rFonts w:ascii="Arial" w:hAnsi="Arial" w:cs="Arial"/>
          <w:i/>
          <w:iCs/>
          <w:color w:val="222222"/>
          <w:sz w:val="24"/>
          <w:szCs w:val="24"/>
          <w:shd w:val="clear" w:color="auto" w:fill="FFFFFF"/>
        </w:rPr>
        <w:t>Criminal law</w:t>
      </w:r>
      <w:r w:rsidRPr="00A510D4">
        <w:rPr>
          <w:rFonts w:ascii="Arial" w:hAnsi="Arial" w:cs="Arial"/>
          <w:color w:val="222222"/>
          <w:sz w:val="24"/>
          <w:szCs w:val="24"/>
          <w:shd w:val="clear" w:color="auto" w:fill="FFFFFF"/>
        </w:rPr>
        <w:t>. Pearson Education.</w:t>
      </w:r>
    </w:p>
    <w:p w14:paraId="08006AE6" w14:textId="77777777" w:rsidR="006A015C" w:rsidRPr="00A510D4" w:rsidRDefault="006A015C" w:rsidP="006A015C">
      <w:pPr>
        <w:spacing w:line="480" w:lineRule="auto"/>
        <w:ind w:left="720" w:hanging="720"/>
        <w:rPr>
          <w:rFonts w:ascii="Arial" w:hAnsi="Arial" w:cs="Arial"/>
          <w:color w:val="222222"/>
          <w:sz w:val="24"/>
          <w:szCs w:val="24"/>
          <w:shd w:val="clear" w:color="auto" w:fill="FFFFFF"/>
        </w:rPr>
      </w:pPr>
      <w:r w:rsidRPr="00A510D4">
        <w:rPr>
          <w:rFonts w:ascii="Arial" w:hAnsi="Arial" w:cs="Arial"/>
          <w:color w:val="222222"/>
          <w:sz w:val="24"/>
          <w:szCs w:val="24"/>
          <w:shd w:val="clear" w:color="auto" w:fill="FFFFFF"/>
        </w:rPr>
        <w:t>Ormerod, D., 1994. Consent and Offenses against the Person: Law Commission Consultation Paper no. 134. </w:t>
      </w:r>
      <w:r w:rsidRPr="00A510D4">
        <w:rPr>
          <w:rFonts w:ascii="Arial" w:hAnsi="Arial" w:cs="Arial"/>
          <w:i/>
          <w:iCs/>
          <w:color w:val="222222"/>
          <w:sz w:val="24"/>
          <w:szCs w:val="24"/>
          <w:shd w:val="clear" w:color="auto" w:fill="FFFFFF"/>
        </w:rPr>
        <w:t>Mod. L. Rev.</w:t>
      </w:r>
      <w:r w:rsidRPr="00A510D4">
        <w:rPr>
          <w:rFonts w:ascii="Arial" w:hAnsi="Arial" w:cs="Arial"/>
          <w:color w:val="222222"/>
          <w:sz w:val="24"/>
          <w:szCs w:val="24"/>
          <w:shd w:val="clear" w:color="auto" w:fill="FFFFFF"/>
        </w:rPr>
        <w:t>, </w:t>
      </w:r>
      <w:r w:rsidRPr="00A510D4">
        <w:rPr>
          <w:rFonts w:ascii="Arial" w:hAnsi="Arial" w:cs="Arial"/>
          <w:i/>
          <w:iCs/>
          <w:color w:val="222222"/>
          <w:sz w:val="24"/>
          <w:szCs w:val="24"/>
          <w:shd w:val="clear" w:color="auto" w:fill="FFFFFF"/>
        </w:rPr>
        <w:t>57</w:t>
      </w:r>
      <w:r w:rsidRPr="00A510D4">
        <w:rPr>
          <w:rFonts w:ascii="Arial" w:hAnsi="Arial" w:cs="Arial"/>
          <w:color w:val="222222"/>
          <w:sz w:val="24"/>
          <w:szCs w:val="24"/>
          <w:shd w:val="clear" w:color="auto" w:fill="FFFFFF"/>
        </w:rPr>
        <w:t>, p.928.</w:t>
      </w:r>
    </w:p>
    <w:p w14:paraId="1311B8CC" w14:textId="77777777" w:rsidR="006A015C" w:rsidRPr="00A510D4" w:rsidRDefault="006A015C" w:rsidP="006A015C">
      <w:pPr>
        <w:spacing w:line="480" w:lineRule="auto"/>
        <w:ind w:left="720" w:hanging="720"/>
        <w:rPr>
          <w:rFonts w:ascii="Arial" w:hAnsi="Arial" w:cs="Arial"/>
          <w:color w:val="222222"/>
          <w:sz w:val="24"/>
          <w:szCs w:val="24"/>
          <w:shd w:val="clear" w:color="auto" w:fill="FFFFFF"/>
        </w:rPr>
      </w:pPr>
      <w:r w:rsidRPr="00A510D4">
        <w:rPr>
          <w:rFonts w:ascii="Arial" w:hAnsi="Arial" w:cs="Arial"/>
          <w:color w:val="222222"/>
          <w:sz w:val="24"/>
          <w:szCs w:val="24"/>
          <w:shd w:val="clear" w:color="auto" w:fill="FFFFFF"/>
        </w:rPr>
        <w:t>Reed, A., 2005. Offences against the Person Act 1861, S. 20: Footballing Injury: R v Barnes [2005] EWCA Crim 3246, The Times (10 January 2005). </w:t>
      </w:r>
      <w:r w:rsidRPr="00A510D4">
        <w:rPr>
          <w:rFonts w:ascii="Arial" w:hAnsi="Arial" w:cs="Arial"/>
          <w:i/>
          <w:iCs/>
          <w:color w:val="222222"/>
          <w:sz w:val="24"/>
          <w:szCs w:val="24"/>
          <w:shd w:val="clear" w:color="auto" w:fill="FFFFFF"/>
        </w:rPr>
        <w:t>The Journal of Criminal Law</w:t>
      </w:r>
      <w:r w:rsidRPr="00A510D4">
        <w:rPr>
          <w:rFonts w:ascii="Arial" w:hAnsi="Arial" w:cs="Arial"/>
          <w:color w:val="222222"/>
          <w:sz w:val="24"/>
          <w:szCs w:val="24"/>
          <w:shd w:val="clear" w:color="auto" w:fill="FFFFFF"/>
        </w:rPr>
        <w:t>, </w:t>
      </w:r>
      <w:r w:rsidRPr="00A510D4">
        <w:rPr>
          <w:rFonts w:ascii="Arial" w:hAnsi="Arial" w:cs="Arial"/>
          <w:i/>
          <w:iCs/>
          <w:color w:val="222222"/>
          <w:sz w:val="24"/>
          <w:szCs w:val="24"/>
          <w:shd w:val="clear" w:color="auto" w:fill="FFFFFF"/>
        </w:rPr>
        <w:t>69</w:t>
      </w:r>
      <w:r w:rsidRPr="00A510D4">
        <w:rPr>
          <w:rFonts w:ascii="Arial" w:hAnsi="Arial" w:cs="Arial"/>
          <w:color w:val="222222"/>
          <w:sz w:val="24"/>
          <w:szCs w:val="24"/>
          <w:shd w:val="clear" w:color="auto" w:fill="FFFFFF"/>
        </w:rPr>
        <w:t>(3), pp.201-205.</w:t>
      </w:r>
    </w:p>
    <w:p w14:paraId="29EB2947" w14:textId="77777777" w:rsidR="006A015C" w:rsidRPr="00A510D4" w:rsidRDefault="006A015C" w:rsidP="006A015C">
      <w:pPr>
        <w:spacing w:line="480" w:lineRule="auto"/>
        <w:ind w:left="720" w:hanging="720"/>
        <w:rPr>
          <w:rFonts w:ascii="Arial" w:hAnsi="Arial" w:cs="Arial"/>
          <w:color w:val="222222"/>
          <w:sz w:val="24"/>
          <w:szCs w:val="24"/>
          <w:shd w:val="clear" w:color="auto" w:fill="FFFFFF"/>
        </w:rPr>
      </w:pPr>
      <w:r w:rsidRPr="00A510D4">
        <w:rPr>
          <w:rFonts w:ascii="Arial" w:hAnsi="Arial" w:cs="Arial"/>
          <w:color w:val="222222"/>
          <w:sz w:val="24"/>
          <w:szCs w:val="24"/>
          <w:shd w:val="clear" w:color="auto" w:fill="FFFFFF"/>
        </w:rPr>
        <w:t>Rosen, E., 1999. </w:t>
      </w:r>
      <w:r w:rsidRPr="00A510D4">
        <w:rPr>
          <w:rFonts w:ascii="Arial" w:hAnsi="Arial" w:cs="Arial"/>
          <w:i/>
          <w:iCs/>
          <w:color w:val="222222"/>
          <w:sz w:val="24"/>
          <w:szCs w:val="24"/>
          <w:shd w:val="clear" w:color="auto" w:fill="FFFFFF"/>
        </w:rPr>
        <w:t>Offences against the Person</w:t>
      </w:r>
      <w:r w:rsidRPr="00A510D4">
        <w:rPr>
          <w:rFonts w:ascii="Arial" w:hAnsi="Arial" w:cs="Arial"/>
          <w:color w:val="222222"/>
          <w:sz w:val="24"/>
          <w:szCs w:val="24"/>
          <w:shd w:val="clear" w:color="auto" w:fill="FFFFFF"/>
        </w:rPr>
        <w:t>. Routledge-Cavendish.</w:t>
      </w:r>
    </w:p>
    <w:p w14:paraId="3D9B40FD" w14:textId="77777777" w:rsidR="006A015C" w:rsidRPr="00A510D4" w:rsidRDefault="006A015C" w:rsidP="006A015C">
      <w:pPr>
        <w:spacing w:line="480" w:lineRule="auto"/>
        <w:ind w:left="720" w:hanging="720"/>
        <w:rPr>
          <w:rFonts w:ascii="Arial" w:hAnsi="Arial" w:cs="Arial"/>
          <w:color w:val="222222"/>
          <w:sz w:val="24"/>
          <w:szCs w:val="24"/>
          <w:shd w:val="clear" w:color="auto" w:fill="FFFFFF"/>
        </w:rPr>
      </w:pPr>
      <w:proofErr w:type="spellStart"/>
      <w:r w:rsidRPr="00A510D4">
        <w:rPr>
          <w:rFonts w:ascii="Arial" w:hAnsi="Arial" w:cs="Arial"/>
          <w:color w:val="222222"/>
          <w:sz w:val="24"/>
          <w:szCs w:val="24"/>
          <w:shd w:val="clear" w:color="auto" w:fill="FFFFFF"/>
        </w:rPr>
        <w:t>Rv</w:t>
      </w:r>
      <w:proofErr w:type="spellEnd"/>
      <w:r w:rsidRPr="00A510D4">
        <w:rPr>
          <w:rFonts w:ascii="Arial" w:hAnsi="Arial" w:cs="Arial"/>
          <w:color w:val="222222"/>
          <w:sz w:val="24"/>
          <w:szCs w:val="24"/>
          <w:shd w:val="clear" w:color="auto" w:fill="FFFFFF"/>
        </w:rPr>
        <w:t>, U.K., 1994. On 19 September 1990 the applicant was charged with rape, contrary to section 1 (1) of the Sexual Offences Act 1956, threatening to kill, contrary to section 16 of the Offences against the Person Act 1861, and assault occasioning actual bodily harm, contrary to section 47 of the latter Act. On 19 April 1991 the applicant was convicted of all three offences and sentenced to a total of 5 years' imprisonment.</w:t>
      </w:r>
    </w:p>
    <w:p w14:paraId="3133813D" w14:textId="77777777" w:rsidR="00067DF7" w:rsidRPr="00A510D4" w:rsidRDefault="00067DF7" w:rsidP="006A015C">
      <w:pPr>
        <w:spacing w:line="480" w:lineRule="auto"/>
        <w:ind w:left="720" w:hanging="720"/>
        <w:rPr>
          <w:rFonts w:ascii="Arial" w:hAnsi="Arial" w:cs="Arial"/>
          <w:b/>
          <w:bCs/>
          <w:sz w:val="24"/>
          <w:szCs w:val="24"/>
        </w:rPr>
      </w:pPr>
    </w:p>
    <w:p w14:paraId="267CED6A" w14:textId="77777777" w:rsidR="00E55822" w:rsidRPr="006A015C" w:rsidRDefault="00E55822" w:rsidP="006A015C">
      <w:pPr>
        <w:spacing w:line="480" w:lineRule="auto"/>
        <w:rPr>
          <w:rFonts w:ascii="Times New Roman" w:hAnsi="Times New Roman" w:cs="Times New Roman"/>
          <w:sz w:val="24"/>
          <w:szCs w:val="24"/>
        </w:rPr>
      </w:pPr>
    </w:p>
    <w:sectPr w:rsidR="00E55822" w:rsidRPr="006A015C" w:rsidSect="00A510D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14FB2" w14:textId="77777777" w:rsidR="00837D03" w:rsidRDefault="00837D03" w:rsidP="00365092">
      <w:pPr>
        <w:spacing w:after="0" w:line="240" w:lineRule="auto"/>
      </w:pPr>
      <w:r>
        <w:separator/>
      </w:r>
    </w:p>
  </w:endnote>
  <w:endnote w:type="continuationSeparator" w:id="0">
    <w:p w14:paraId="17EED42F" w14:textId="77777777" w:rsidR="00837D03" w:rsidRDefault="00837D03" w:rsidP="00365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ABC30" w14:textId="77777777" w:rsidR="00837D03" w:rsidRDefault="00837D03" w:rsidP="00365092">
      <w:pPr>
        <w:spacing w:after="0" w:line="240" w:lineRule="auto"/>
      </w:pPr>
      <w:r>
        <w:separator/>
      </w:r>
    </w:p>
  </w:footnote>
  <w:footnote w:type="continuationSeparator" w:id="0">
    <w:p w14:paraId="37284B8D" w14:textId="77777777" w:rsidR="00837D03" w:rsidRDefault="00837D03" w:rsidP="00365092">
      <w:pPr>
        <w:spacing w:after="0" w:line="240" w:lineRule="auto"/>
      </w:pPr>
      <w:r>
        <w:continuationSeparator/>
      </w:r>
    </w:p>
  </w:footnote>
  <w:footnote w:id="1">
    <w:p w14:paraId="673E7337" w14:textId="127AA6F2" w:rsidR="00365092" w:rsidRPr="00A510D4" w:rsidRDefault="00365092">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Rv, U.K., 1994. On 19 September 1990 the applicant was charged with rape, contrary to section 1 (1) of the Sexual Offences Act 1956, threatening to kill, contrary to section 16 of the Offences against the Person Act 1861, and assault occasioning actual bodily harm, contrary to section 47 of the latter Act. On 19 April 1991 the applicant was convicted of all three offences and sentenced to a total of 5 years' imprisonment.</w:t>
      </w:r>
    </w:p>
  </w:footnote>
  <w:footnote w:id="2">
    <w:p w14:paraId="32665BCA" w14:textId="6AFB594C" w:rsidR="00365092" w:rsidRPr="00A510D4" w:rsidRDefault="00365092">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Atoki, M., 1995. Assault and S 47 of the Offences against the Person Act 1861. </w:t>
      </w:r>
      <w:r w:rsidRPr="00A510D4">
        <w:rPr>
          <w:rFonts w:ascii="Arial" w:hAnsi="Arial" w:cs="Arial"/>
          <w:i/>
          <w:iCs/>
          <w:sz w:val="24"/>
          <w:szCs w:val="24"/>
        </w:rPr>
        <w:t>The Journal of Criminal Law</w:t>
      </w:r>
      <w:r w:rsidRPr="00A510D4">
        <w:rPr>
          <w:rFonts w:ascii="Arial" w:hAnsi="Arial" w:cs="Arial"/>
          <w:sz w:val="24"/>
          <w:szCs w:val="24"/>
        </w:rPr>
        <w:t>, </w:t>
      </w:r>
      <w:r w:rsidRPr="00A510D4">
        <w:rPr>
          <w:rFonts w:ascii="Arial" w:hAnsi="Arial" w:cs="Arial"/>
          <w:i/>
          <w:iCs/>
          <w:sz w:val="24"/>
          <w:szCs w:val="24"/>
        </w:rPr>
        <w:t>59</w:t>
      </w:r>
      <w:r w:rsidRPr="00A510D4">
        <w:rPr>
          <w:rFonts w:ascii="Arial" w:hAnsi="Arial" w:cs="Arial"/>
          <w:sz w:val="24"/>
          <w:szCs w:val="24"/>
        </w:rPr>
        <w:t>(3), pp.299-304</w:t>
      </w:r>
    </w:p>
  </w:footnote>
  <w:footnote w:id="3">
    <w:p w14:paraId="48B54D5F" w14:textId="63AAEC54" w:rsidR="00365092" w:rsidRPr="00A510D4" w:rsidRDefault="00365092">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Charleton, P., 1992. </w:t>
      </w:r>
      <w:r w:rsidRPr="00A510D4">
        <w:rPr>
          <w:rFonts w:ascii="Arial" w:hAnsi="Arial" w:cs="Arial"/>
          <w:i/>
          <w:iCs/>
          <w:sz w:val="24"/>
          <w:szCs w:val="24"/>
        </w:rPr>
        <w:t>Offences against the Person</w:t>
      </w:r>
      <w:r w:rsidRPr="00A510D4">
        <w:rPr>
          <w:rFonts w:ascii="Arial" w:hAnsi="Arial" w:cs="Arial"/>
          <w:sz w:val="24"/>
          <w:szCs w:val="24"/>
        </w:rPr>
        <w:t>. Round Hall Press.</w:t>
      </w:r>
    </w:p>
  </w:footnote>
  <w:footnote w:id="4">
    <w:p w14:paraId="5612B990" w14:textId="3B7719A7" w:rsidR="00365092" w:rsidRPr="00A510D4" w:rsidRDefault="00365092">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Rosen, E., 1999. </w:t>
      </w:r>
      <w:r w:rsidRPr="00A510D4">
        <w:rPr>
          <w:rFonts w:ascii="Arial" w:hAnsi="Arial" w:cs="Arial"/>
          <w:i/>
          <w:iCs/>
          <w:sz w:val="24"/>
          <w:szCs w:val="24"/>
        </w:rPr>
        <w:t>Offences against the Person</w:t>
      </w:r>
      <w:r w:rsidRPr="00A510D4">
        <w:rPr>
          <w:rFonts w:ascii="Arial" w:hAnsi="Arial" w:cs="Arial"/>
          <w:sz w:val="24"/>
          <w:szCs w:val="24"/>
        </w:rPr>
        <w:t>. Routledge-Cavendish.</w:t>
      </w:r>
    </w:p>
  </w:footnote>
  <w:footnote w:id="5">
    <w:p w14:paraId="63452A91" w14:textId="249F9C8D" w:rsidR="00365092" w:rsidRPr="00A510D4" w:rsidRDefault="00365092">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Ormerod, D., 1994. Consent and Offenses against the Person: Law Commission Consultation Paper no. 134. </w:t>
      </w:r>
      <w:r w:rsidRPr="00A510D4">
        <w:rPr>
          <w:rFonts w:ascii="Arial" w:hAnsi="Arial" w:cs="Arial"/>
          <w:i/>
          <w:iCs/>
          <w:sz w:val="24"/>
          <w:szCs w:val="24"/>
        </w:rPr>
        <w:t>Mod. L. Rev.</w:t>
      </w:r>
      <w:r w:rsidRPr="00A510D4">
        <w:rPr>
          <w:rFonts w:ascii="Arial" w:hAnsi="Arial" w:cs="Arial"/>
          <w:sz w:val="24"/>
          <w:szCs w:val="24"/>
        </w:rPr>
        <w:t>, </w:t>
      </w:r>
      <w:r w:rsidRPr="00A510D4">
        <w:rPr>
          <w:rFonts w:ascii="Arial" w:hAnsi="Arial" w:cs="Arial"/>
          <w:i/>
          <w:iCs/>
          <w:sz w:val="24"/>
          <w:szCs w:val="24"/>
        </w:rPr>
        <w:t>57</w:t>
      </w:r>
      <w:r w:rsidRPr="00A510D4">
        <w:rPr>
          <w:rFonts w:ascii="Arial" w:hAnsi="Arial" w:cs="Arial"/>
          <w:sz w:val="24"/>
          <w:szCs w:val="24"/>
        </w:rPr>
        <w:t>, p.928</w:t>
      </w:r>
    </w:p>
  </w:footnote>
  <w:footnote w:id="6">
    <w:p w14:paraId="3BECA0E8" w14:textId="39CF87F9" w:rsidR="00365092" w:rsidRPr="00A510D4" w:rsidRDefault="00365092">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Genders, E., 1999. Reform of the Offences against the Person Act: Lessons from the Law in Action. </w:t>
      </w:r>
      <w:r w:rsidRPr="00A510D4">
        <w:rPr>
          <w:rFonts w:ascii="Arial" w:hAnsi="Arial" w:cs="Arial"/>
          <w:i/>
          <w:iCs/>
          <w:sz w:val="24"/>
          <w:szCs w:val="24"/>
        </w:rPr>
        <w:t>CRIM LAW REV</w:t>
      </w:r>
      <w:r w:rsidRPr="00A510D4">
        <w:rPr>
          <w:rFonts w:ascii="Arial" w:hAnsi="Arial" w:cs="Arial"/>
          <w:sz w:val="24"/>
          <w:szCs w:val="24"/>
        </w:rPr>
        <w:t>, pp.689-701</w:t>
      </w:r>
    </w:p>
  </w:footnote>
  <w:footnote w:id="7">
    <w:p w14:paraId="298F08DA" w14:textId="3548F8C9" w:rsidR="00365092" w:rsidRPr="00A510D4" w:rsidRDefault="00365092">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Dodds, C., Weatherburn, P., Hickson, F., Keogh, P. and Nutland, W., 2005. Grievous harm: Use of the Offences against the Person Act 1861 for sexual transmission of HIV</w:t>
      </w:r>
    </w:p>
  </w:footnote>
  <w:footnote w:id="8">
    <w:p w14:paraId="7C6B2547" w14:textId="30B0EC43" w:rsidR="00365092" w:rsidRPr="00A510D4" w:rsidRDefault="00365092">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 xml:space="preserve">Eugenicos, A.M., 2017. Should We Reform the Offences Against the Person Act </w:t>
      </w:r>
      <w:r w:rsidRPr="00A510D4">
        <w:rPr>
          <w:rFonts w:ascii="Arial" w:hAnsi="Arial" w:cs="Arial"/>
          <w:color w:val="222222"/>
          <w:sz w:val="18"/>
          <w:szCs w:val="18"/>
          <w:shd w:val="clear" w:color="auto" w:fill="FFFFFF"/>
        </w:rPr>
        <w:t>1861?. </w:t>
      </w:r>
      <w:r w:rsidRPr="00A510D4">
        <w:rPr>
          <w:rFonts w:ascii="Arial" w:hAnsi="Arial" w:cs="Arial"/>
          <w:i/>
          <w:iCs/>
          <w:sz w:val="24"/>
          <w:szCs w:val="24"/>
        </w:rPr>
        <w:t>The Journal of Criminal Law</w:t>
      </w:r>
      <w:r w:rsidRPr="00A510D4">
        <w:rPr>
          <w:rFonts w:ascii="Arial" w:hAnsi="Arial" w:cs="Arial"/>
          <w:sz w:val="24"/>
          <w:szCs w:val="24"/>
        </w:rPr>
        <w:t>, </w:t>
      </w:r>
      <w:r w:rsidRPr="00A510D4">
        <w:rPr>
          <w:rFonts w:ascii="Arial" w:hAnsi="Arial" w:cs="Arial"/>
          <w:i/>
          <w:iCs/>
          <w:sz w:val="24"/>
          <w:szCs w:val="24"/>
        </w:rPr>
        <w:t>81</w:t>
      </w:r>
      <w:r w:rsidRPr="00A510D4">
        <w:rPr>
          <w:rFonts w:ascii="Arial" w:hAnsi="Arial" w:cs="Arial"/>
          <w:sz w:val="24"/>
          <w:szCs w:val="24"/>
        </w:rPr>
        <w:t>(1), pp.26-32</w:t>
      </w:r>
    </w:p>
  </w:footnote>
  <w:footnote w:id="9">
    <w:p w14:paraId="31B98F89" w14:textId="73C2A9C6" w:rsidR="00365092" w:rsidRPr="00A510D4" w:rsidRDefault="00365092">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Jefferson, M., 2012. Offences against the Person: Into the 21st century. </w:t>
      </w:r>
      <w:r w:rsidRPr="00A510D4">
        <w:rPr>
          <w:rFonts w:ascii="Arial" w:hAnsi="Arial" w:cs="Arial"/>
          <w:i/>
          <w:iCs/>
          <w:sz w:val="24"/>
          <w:szCs w:val="24"/>
        </w:rPr>
        <w:t>The Journal of Criminal Law</w:t>
      </w:r>
      <w:r w:rsidRPr="00A510D4">
        <w:rPr>
          <w:rFonts w:ascii="Arial" w:hAnsi="Arial" w:cs="Arial"/>
          <w:sz w:val="24"/>
          <w:szCs w:val="24"/>
        </w:rPr>
        <w:t>, </w:t>
      </w:r>
      <w:r w:rsidRPr="00A510D4">
        <w:rPr>
          <w:rFonts w:ascii="Arial" w:hAnsi="Arial" w:cs="Arial"/>
          <w:i/>
          <w:iCs/>
          <w:sz w:val="24"/>
          <w:szCs w:val="24"/>
        </w:rPr>
        <w:t>76</w:t>
      </w:r>
      <w:r w:rsidRPr="00A510D4">
        <w:rPr>
          <w:rFonts w:ascii="Arial" w:hAnsi="Arial" w:cs="Arial"/>
          <w:sz w:val="24"/>
          <w:szCs w:val="24"/>
        </w:rPr>
        <w:t>(6), pp.472-492</w:t>
      </w:r>
    </w:p>
  </w:footnote>
  <w:footnote w:id="10">
    <w:p w14:paraId="0311CD67" w14:textId="1ED077F2" w:rsidR="00365092" w:rsidRPr="00A510D4" w:rsidRDefault="00365092">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Fewtrell, E.M., 1948. Offences against the Person Act, 1861, Sections 18 &amp; 20. </w:t>
      </w:r>
      <w:r w:rsidRPr="00A510D4">
        <w:rPr>
          <w:rFonts w:ascii="Arial" w:hAnsi="Arial" w:cs="Arial"/>
          <w:i/>
          <w:iCs/>
          <w:sz w:val="24"/>
          <w:szCs w:val="24"/>
        </w:rPr>
        <w:t>The Police Journal</w:t>
      </w:r>
      <w:r w:rsidRPr="00A510D4">
        <w:rPr>
          <w:rFonts w:ascii="Arial" w:hAnsi="Arial" w:cs="Arial"/>
          <w:sz w:val="24"/>
          <w:szCs w:val="24"/>
        </w:rPr>
        <w:t>, </w:t>
      </w:r>
      <w:r w:rsidRPr="00A510D4">
        <w:rPr>
          <w:rFonts w:ascii="Arial" w:hAnsi="Arial" w:cs="Arial"/>
          <w:i/>
          <w:iCs/>
          <w:sz w:val="24"/>
          <w:szCs w:val="24"/>
        </w:rPr>
        <w:t>21</w:t>
      </w:r>
      <w:r w:rsidRPr="00A510D4">
        <w:rPr>
          <w:rFonts w:ascii="Arial" w:hAnsi="Arial" w:cs="Arial"/>
          <w:sz w:val="24"/>
          <w:szCs w:val="24"/>
        </w:rPr>
        <w:t>(2), pp.148-151</w:t>
      </w:r>
    </w:p>
  </w:footnote>
  <w:footnote w:id="11">
    <w:p w14:paraId="747678C2" w14:textId="43DA39B7" w:rsidR="00365092" w:rsidRPr="00A510D4" w:rsidRDefault="00365092">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Horder, J., 1994. Rethinking non-fatal offences against the person. </w:t>
      </w:r>
      <w:r w:rsidRPr="00A510D4">
        <w:rPr>
          <w:rFonts w:ascii="Arial" w:hAnsi="Arial" w:cs="Arial"/>
          <w:i/>
          <w:iCs/>
          <w:sz w:val="24"/>
          <w:szCs w:val="24"/>
        </w:rPr>
        <w:t>Oxford Journal of Legal Studies</w:t>
      </w:r>
      <w:r w:rsidRPr="00A510D4">
        <w:rPr>
          <w:rFonts w:ascii="Arial" w:hAnsi="Arial" w:cs="Arial"/>
          <w:sz w:val="24"/>
          <w:szCs w:val="24"/>
        </w:rPr>
        <w:t>, </w:t>
      </w:r>
      <w:r w:rsidRPr="00A510D4">
        <w:rPr>
          <w:rFonts w:ascii="Arial" w:hAnsi="Arial" w:cs="Arial"/>
          <w:i/>
          <w:iCs/>
          <w:sz w:val="24"/>
          <w:szCs w:val="24"/>
        </w:rPr>
        <w:t>14</w:t>
      </w:r>
      <w:r w:rsidRPr="00A510D4">
        <w:rPr>
          <w:rFonts w:ascii="Arial" w:hAnsi="Arial" w:cs="Arial"/>
          <w:sz w:val="24"/>
          <w:szCs w:val="24"/>
        </w:rPr>
        <w:t>(3), pp.335-351</w:t>
      </w:r>
    </w:p>
  </w:footnote>
  <w:footnote w:id="12">
    <w:p w14:paraId="7D189996" w14:textId="60FBE155" w:rsidR="006A015C" w:rsidRPr="00A510D4" w:rsidRDefault="006A015C">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Reed, A., 2005. Offences against the Person Act 1861, S. 20: Footballing Injury: R v Barnes [2005] EWCA Crim 3246, The Times (10 January 2005). </w:t>
      </w:r>
      <w:r w:rsidRPr="00A510D4">
        <w:rPr>
          <w:rFonts w:ascii="Arial" w:hAnsi="Arial" w:cs="Arial"/>
          <w:i/>
          <w:iCs/>
          <w:sz w:val="24"/>
          <w:szCs w:val="24"/>
        </w:rPr>
        <w:t>The Journal of Criminal Law</w:t>
      </w:r>
      <w:r w:rsidRPr="00A510D4">
        <w:rPr>
          <w:rFonts w:ascii="Arial" w:hAnsi="Arial" w:cs="Arial"/>
          <w:sz w:val="24"/>
          <w:szCs w:val="24"/>
        </w:rPr>
        <w:t>, </w:t>
      </w:r>
      <w:r w:rsidRPr="00A510D4">
        <w:rPr>
          <w:rFonts w:ascii="Arial" w:hAnsi="Arial" w:cs="Arial"/>
          <w:i/>
          <w:iCs/>
          <w:sz w:val="24"/>
          <w:szCs w:val="24"/>
        </w:rPr>
        <w:t>69</w:t>
      </w:r>
      <w:r w:rsidRPr="00A510D4">
        <w:rPr>
          <w:rFonts w:ascii="Arial" w:hAnsi="Arial" w:cs="Arial"/>
          <w:sz w:val="24"/>
          <w:szCs w:val="24"/>
        </w:rPr>
        <w:t>(3), pp.201-205</w:t>
      </w:r>
    </w:p>
  </w:footnote>
  <w:footnote w:id="13">
    <w:p w14:paraId="0C578926" w14:textId="6FABE4DC" w:rsidR="006A015C" w:rsidRPr="00A510D4" w:rsidRDefault="006A015C">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Bibbings, L., 2013. Boys will be boys: Masculinity and offences against the person. In </w:t>
      </w:r>
      <w:r w:rsidRPr="00A510D4">
        <w:rPr>
          <w:rFonts w:ascii="Arial" w:hAnsi="Arial" w:cs="Arial"/>
          <w:i/>
          <w:iCs/>
          <w:sz w:val="24"/>
          <w:szCs w:val="24"/>
        </w:rPr>
        <w:t>Feminist perspectives on criminal law</w:t>
      </w:r>
      <w:r w:rsidRPr="00A510D4">
        <w:rPr>
          <w:rFonts w:ascii="Arial" w:hAnsi="Arial" w:cs="Arial"/>
          <w:sz w:val="24"/>
          <w:szCs w:val="24"/>
        </w:rPr>
        <w:t> (pp. 261-273). Routledge-Cavendish.</w:t>
      </w:r>
    </w:p>
  </w:footnote>
  <w:footnote w:id="14">
    <w:p w14:paraId="2F3A1028" w14:textId="2A5C30D8" w:rsidR="006A015C" w:rsidRPr="00A510D4" w:rsidRDefault="006A015C">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Gardner, J., 1994. Rationality and the rule of law in offences against the person. </w:t>
      </w:r>
      <w:r w:rsidRPr="00A510D4">
        <w:rPr>
          <w:rFonts w:ascii="Arial" w:hAnsi="Arial" w:cs="Arial"/>
          <w:i/>
          <w:iCs/>
          <w:sz w:val="24"/>
          <w:szCs w:val="24"/>
        </w:rPr>
        <w:t>The Cambridge Law Journal</w:t>
      </w:r>
      <w:r w:rsidRPr="00A510D4">
        <w:rPr>
          <w:rFonts w:ascii="Arial" w:hAnsi="Arial" w:cs="Arial"/>
          <w:sz w:val="24"/>
          <w:szCs w:val="24"/>
        </w:rPr>
        <w:t>, </w:t>
      </w:r>
      <w:r w:rsidRPr="00A510D4">
        <w:rPr>
          <w:rFonts w:ascii="Arial" w:hAnsi="Arial" w:cs="Arial"/>
          <w:i/>
          <w:iCs/>
          <w:sz w:val="24"/>
          <w:szCs w:val="24"/>
        </w:rPr>
        <w:t>53</w:t>
      </w:r>
      <w:r w:rsidRPr="00A510D4">
        <w:rPr>
          <w:rFonts w:ascii="Arial" w:hAnsi="Arial" w:cs="Arial"/>
          <w:sz w:val="24"/>
          <w:szCs w:val="24"/>
        </w:rPr>
        <w:t>(3), pp.502-523.</w:t>
      </w:r>
    </w:p>
  </w:footnote>
  <w:footnote w:id="15">
    <w:p w14:paraId="125E6F52" w14:textId="5C81C3F8" w:rsidR="006A015C" w:rsidRPr="00A510D4" w:rsidRDefault="006A015C">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Rv, U.K., 1994. On 19 September 1990 the applicant was charged with rape, contrary to section 1 (1) of the Sexual Offences Act 1956, threatening to kill, contrary to section 16 of the Offences against the Person Act 1861, and assault occasioning actual bodily harm, contrary to section 47 of the latter Act. On 19 April 1991 the applicant was convicted of all three offences and sentenced to a total of 5 years' imprisonment.</w:t>
      </w:r>
    </w:p>
  </w:footnote>
  <w:footnote w:id="16">
    <w:p w14:paraId="18CB8437" w14:textId="1B797AEF" w:rsidR="006A015C" w:rsidRPr="00A510D4" w:rsidRDefault="006A015C">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Atoki, M., 1995. Assault and S 47 of the Offences against the Person Act 1861. </w:t>
      </w:r>
      <w:r w:rsidRPr="00A510D4">
        <w:rPr>
          <w:rFonts w:ascii="Arial" w:hAnsi="Arial" w:cs="Arial"/>
          <w:i/>
          <w:iCs/>
          <w:sz w:val="24"/>
          <w:szCs w:val="24"/>
        </w:rPr>
        <w:t>The Journal of Criminal Law</w:t>
      </w:r>
      <w:r w:rsidRPr="00A510D4">
        <w:rPr>
          <w:rFonts w:ascii="Arial" w:hAnsi="Arial" w:cs="Arial"/>
          <w:sz w:val="24"/>
          <w:szCs w:val="24"/>
        </w:rPr>
        <w:t>, </w:t>
      </w:r>
      <w:r w:rsidRPr="00A510D4">
        <w:rPr>
          <w:rFonts w:ascii="Arial" w:hAnsi="Arial" w:cs="Arial"/>
          <w:i/>
          <w:iCs/>
          <w:sz w:val="24"/>
          <w:szCs w:val="24"/>
        </w:rPr>
        <w:t>59</w:t>
      </w:r>
      <w:r w:rsidRPr="00A510D4">
        <w:rPr>
          <w:rFonts w:ascii="Arial" w:hAnsi="Arial" w:cs="Arial"/>
          <w:sz w:val="24"/>
          <w:szCs w:val="24"/>
        </w:rPr>
        <w:t>(3), pp.299-304</w:t>
      </w:r>
    </w:p>
  </w:footnote>
  <w:footnote w:id="17">
    <w:p w14:paraId="0217FA3F" w14:textId="13D7377B" w:rsidR="006A015C" w:rsidRPr="00A510D4" w:rsidRDefault="006A015C">
      <w:pPr>
        <w:pStyle w:val="FootnoteText"/>
        <w:rPr>
          <w:rFonts w:ascii="Arial" w:hAnsi="Arial" w:cs="Arial"/>
        </w:rPr>
      </w:pPr>
      <w:r w:rsidRPr="00A510D4">
        <w:rPr>
          <w:rStyle w:val="FootnoteReference"/>
          <w:rFonts w:ascii="Arial" w:hAnsi="Arial" w:cs="Arial"/>
        </w:rPr>
        <w:footnoteRef/>
      </w:r>
      <w:r w:rsidRPr="00A510D4">
        <w:rPr>
          <w:rFonts w:ascii="Arial" w:hAnsi="Arial" w:cs="Arial"/>
        </w:rPr>
        <w:t xml:space="preserve"> </w:t>
      </w:r>
      <w:r w:rsidRPr="00A510D4">
        <w:rPr>
          <w:rFonts w:ascii="Arial" w:hAnsi="Arial" w:cs="Arial"/>
          <w:color w:val="222222"/>
          <w:sz w:val="18"/>
          <w:szCs w:val="18"/>
          <w:shd w:val="clear" w:color="auto" w:fill="FFFFFF"/>
        </w:rPr>
        <w:t>Charleton, P., 1992. </w:t>
      </w:r>
      <w:r w:rsidRPr="00A510D4">
        <w:rPr>
          <w:rFonts w:ascii="Arial" w:hAnsi="Arial" w:cs="Arial"/>
          <w:i/>
          <w:iCs/>
          <w:sz w:val="24"/>
          <w:szCs w:val="24"/>
        </w:rPr>
        <w:t>Offences against the Person</w:t>
      </w:r>
      <w:r w:rsidRPr="00A510D4">
        <w:rPr>
          <w:rFonts w:ascii="Arial" w:hAnsi="Arial" w:cs="Arial"/>
          <w:sz w:val="24"/>
          <w:szCs w:val="24"/>
        </w:rPr>
        <w:t>. Round Hall Press.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822"/>
    <w:rsid w:val="00067DF7"/>
    <w:rsid w:val="000952F8"/>
    <w:rsid w:val="00157B46"/>
    <w:rsid w:val="001A7031"/>
    <w:rsid w:val="001B7D80"/>
    <w:rsid w:val="00274906"/>
    <w:rsid w:val="00365092"/>
    <w:rsid w:val="003B2C4C"/>
    <w:rsid w:val="003C0C5B"/>
    <w:rsid w:val="00455748"/>
    <w:rsid w:val="00481319"/>
    <w:rsid w:val="005959BB"/>
    <w:rsid w:val="006566E7"/>
    <w:rsid w:val="006752CB"/>
    <w:rsid w:val="006A015C"/>
    <w:rsid w:val="0075575D"/>
    <w:rsid w:val="00837D03"/>
    <w:rsid w:val="009968C2"/>
    <w:rsid w:val="00A510D4"/>
    <w:rsid w:val="00A74CE5"/>
    <w:rsid w:val="00B203FD"/>
    <w:rsid w:val="00B36C1E"/>
    <w:rsid w:val="00BC6511"/>
    <w:rsid w:val="00C007D8"/>
    <w:rsid w:val="00CD0D61"/>
    <w:rsid w:val="00CD6893"/>
    <w:rsid w:val="00E55822"/>
    <w:rsid w:val="00EC434F"/>
    <w:rsid w:val="00F060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52D7C"/>
  <w15:chartTrackingRefBased/>
  <w15:docId w15:val="{40BA4C7E-DDE0-4CC0-AD85-0E8AE14F8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55748"/>
    <w:pPr>
      <w:keepNext/>
      <w:keepLines/>
      <w:spacing w:before="240" w:after="0"/>
      <w:outlineLvl w:val="0"/>
    </w:pPr>
    <w:rPr>
      <w:rFonts w:ascii="Times New Roman" w:eastAsiaTheme="majorEastAsia" w:hAnsi="Times New Roman" w:cstheme="majorBidi"/>
      <w:b/>
      <w:i/>
      <w:color w:val="000000" w:themeColor="text1"/>
      <w:sz w:val="24"/>
      <w:szCs w:val="32"/>
    </w:rPr>
  </w:style>
  <w:style w:type="paragraph" w:styleId="Heading2">
    <w:name w:val="heading 2"/>
    <w:basedOn w:val="Normal"/>
    <w:next w:val="Normal"/>
    <w:link w:val="Heading2Char"/>
    <w:autoRedefine/>
    <w:uiPriority w:val="9"/>
    <w:unhideWhenUsed/>
    <w:qFormat/>
    <w:rsid w:val="00455748"/>
    <w:pPr>
      <w:keepNext/>
      <w:keepLines/>
      <w:spacing w:before="40" w:beforeAutospacing="1" w:after="0" w:line="256" w:lineRule="auto"/>
      <w:outlineLvl w:val="1"/>
    </w:pPr>
    <w:rPr>
      <w:rFonts w:ascii="Times New Roman" w:eastAsiaTheme="majorEastAsia" w:hAnsi="Times New Roman" w:cstheme="majorBidi"/>
      <w:i/>
      <w:color w:val="000000" w:themeColor="text1"/>
      <w:kern w:val="2"/>
      <w:sz w:val="24"/>
      <w:szCs w:val="26"/>
    </w:rPr>
  </w:style>
  <w:style w:type="paragraph" w:styleId="Heading3">
    <w:name w:val="heading 3"/>
    <w:basedOn w:val="Normal"/>
    <w:next w:val="Normal"/>
    <w:link w:val="Heading3Char"/>
    <w:autoRedefine/>
    <w:uiPriority w:val="9"/>
    <w:unhideWhenUsed/>
    <w:qFormat/>
    <w:rsid w:val="00EC434F"/>
    <w:pPr>
      <w:keepNext/>
      <w:keepLines/>
      <w:spacing w:before="40" w:after="0"/>
      <w:jc w:val="center"/>
      <w:outlineLvl w:val="2"/>
    </w:pPr>
    <w:rPr>
      <w:rFonts w:ascii="Times New Roman" w:eastAsiaTheme="majorEastAsia" w:hAnsi="Times New Roman" w:cstheme="majorBidi"/>
      <w:color w:val="000000" w:themeColor="text1"/>
      <w:sz w:val="24"/>
      <w:szCs w:val="24"/>
    </w:rPr>
  </w:style>
  <w:style w:type="paragraph" w:styleId="Heading4">
    <w:name w:val="heading 4"/>
    <w:basedOn w:val="Normal"/>
    <w:next w:val="Normal"/>
    <w:link w:val="Heading4Char"/>
    <w:autoRedefine/>
    <w:uiPriority w:val="9"/>
    <w:semiHidden/>
    <w:unhideWhenUsed/>
    <w:qFormat/>
    <w:rsid w:val="009968C2"/>
    <w:pPr>
      <w:keepNext/>
      <w:keepLines/>
      <w:spacing w:before="40" w:after="0"/>
      <w:outlineLvl w:val="3"/>
    </w:pPr>
    <w:rPr>
      <w:rFonts w:ascii="Times New Roman" w:eastAsiaTheme="majorEastAsia" w:hAnsi="Times New Roman" w:cstheme="majorBidi"/>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455748"/>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qFormat/>
    <w:rsid w:val="00455748"/>
    <w:rPr>
      <w:rFonts w:ascii="Times New Roman" w:eastAsiaTheme="majorEastAsia" w:hAnsi="Times New Roman" w:cstheme="majorBidi"/>
      <w:i/>
      <w:color w:val="000000" w:themeColor="text1"/>
      <w:kern w:val="2"/>
      <w:sz w:val="24"/>
      <w:szCs w:val="26"/>
    </w:rPr>
  </w:style>
  <w:style w:type="character" w:customStyle="1" w:styleId="Heading3Char">
    <w:name w:val="Heading 3 Char"/>
    <w:basedOn w:val="DefaultParagraphFont"/>
    <w:link w:val="Heading3"/>
    <w:uiPriority w:val="9"/>
    <w:rsid w:val="00EC434F"/>
    <w:rPr>
      <w:rFonts w:ascii="Times New Roman" w:eastAsiaTheme="majorEastAsia" w:hAnsi="Times New Roman" w:cstheme="majorBidi"/>
      <w:color w:val="000000" w:themeColor="text1"/>
      <w:sz w:val="24"/>
      <w:szCs w:val="24"/>
    </w:rPr>
  </w:style>
  <w:style w:type="character" w:customStyle="1" w:styleId="Heading4Char">
    <w:name w:val="Heading 4 Char"/>
    <w:basedOn w:val="DefaultParagraphFont"/>
    <w:link w:val="Heading4"/>
    <w:uiPriority w:val="9"/>
    <w:semiHidden/>
    <w:rsid w:val="009968C2"/>
    <w:rPr>
      <w:rFonts w:ascii="Times New Roman" w:eastAsiaTheme="majorEastAsia" w:hAnsi="Times New Roman" w:cstheme="majorBidi"/>
      <w:i/>
      <w:iCs/>
      <w:sz w:val="24"/>
    </w:rPr>
  </w:style>
  <w:style w:type="paragraph" w:styleId="FootnoteText">
    <w:name w:val="footnote text"/>
    <w:basedOn w:val="Normal"/>
    <w:link w:val="FootnoteTextChar"/>
    <w:uiPriority w:val="99"/>
    <w:semiHidden/>
    <w:unhideWhenUsed/>
    <w:rsid w:val="003650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5092"/>
    <w:rPr>
      <w:sz w:val="20"/>
      <w:szCs w:val="20"/>
    </w:rPr>
  </w:style>
  <w:style w:type="character" w:styleId="FootnoteReference">
    <w:name w:val="footnote reference"/>
    <w:basedOn w:val="DefaultParagraphFont"/>
    <w:uiPriority w:val="99"/>
    <w:semiHidden/>
    <w:unhideWhenUsed/>
    <w:rsid w:val="00365092"/>
    <w:rPr>
      <w:vertAlign w:val="superscript"/>
    </w:rPr>
  </w:style>
  <w:style w:type="paragraph" w:styleId="EndnoteText">
    <w:name w:val="endnote text"/>
    <w:basedOn w:val="Normal"/>
    <w:link w:val="EndnoteTextChar"/>
    <w:uiPriority w:val="99"/>
    <w:semiHidden/>
    <w:unhideWhenUsed/>
    <w:rsid w:val="003650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65092"/>
    <w:rPr>
      <w:sz w:val="20"/>
      <w:szCs w:val="20"/>
    </w:rPr>
  </w:style>
  <w:style w:type="character" w:styleId="EndnoteReference">
    <w:name w:val="endnote reference"/>
    <w:basedOn w:val="DefaultParagraphFont"/>
    <w:uiPriority w:val="99"/>
    <w:semiHidden/>
    <w:unhideWhenUsed/>
    <w:rsid w:val="00365092"/>
    <w:rPr>
      <w:vertAlign w:val="superscript"/>
    </w:rPr>
  </w:style>
  <w:style w:type="paragraph" w:styleId="NoSpacing">
    <w:name w:val="No Spacing"/>
    <w:link w:val="NoSpacingChar"/>
    <w:uiPriority w:val="1"/>
    <w:qFormat/>
    <w:rsid w:val="00A510D4"/>
    <w:pPr>
      <w:spacing w:after="0" w:line="240" w:lineRule="auto"/>
    </w:pPr>
    <w:rPr>
      <w:rFonts w:eastAsiaTheme="minorEastAsia"/>
    </w:rPr>
  </w:style>
  <w:style w:type="character" w:customStyle="1" w:styleId="NoSpacingChar">
    <w:name w:val="No Spacing Char"/>
    <w:basedOn w:val="DefaultParagraphFont"/>
    <w:link w:val="NoSpacing"/>
    <w:uiPriority w:val="1"/>
    <w:rsid w:val="00A510D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21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1813</Words>
  <Characters>10336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law:bmpl4009</dc:title>
  <dc:subject>REFORM OF NON-FATAL OFFENCES AGAINST THE PERSON</dc:subject>
  <dc:creator>COMPLETED BY:   NAZIM AMIN</dc:creator>
  <cp:keywords/>
  <dc:description/>
  <cp:lastModifiedBy>na5imamin1@outlook.com</cp:lastModifiedBy>
  <cp:revision>2</cp:revision>
  <dcterms:created xsi:type="dcterms:W3CDTF">2022-07-22T22:37:00Z</dcterms:created>
  <dcterms:modified xsi:type="dcterms:W3CDTF">2022-07-22T22:37:00Z</dcterms:modified>
</cp:coreProperties>
</file>