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59303" w14:textId="77777777" w:rsidR="00513FE6" w:rsidRPr="006A0EA5" w:rsidRDefault="00513FE6" w:rsidP="00513FE6">
      <w:pPr>
        <w:jc w:val="center"/>
        <w:rPr>
          <w:rFonts w:ascii="Arial" w:hAnsi="Arial" w:cs="Arial"/>
          <w:b/>
          <w:i/>
          <w:sz w:val="52"/>
          <w:szCs w:val="52"/>
        </w:rPr>
      </w:pPr>
      <w:r w:rsidRPr="006A0EA5">
        <w:rPr>
          <w:rFonts w:ascii="Arial" w:hAnsi="Arial" w:cs="Arial"/>
          <w:b/>
          <w:i/>
          <w:sz w:val="52"/>
          <w:szCs w:val="52"/>
        </w:rPr>
        <w:t>MSc Property and Facilities Management</w:t>
      </w:r>
    </w:p>
    <w:p w14:paraId="50E5BF04" w14:textId="77777777" w:rsidR="00513FE6" w:rsidRPr="006A0EA5" w:rsidRDefault="00513FE6" w:rsidP="00513FE6">
      <w:pPr>
        <w:jc w:val="center"/>
        <w:rPr>
          <w:rFonts w:ascii="Arial" w:hAnsi="Arial" w:cs="Arial"/>
          <w:sz w:val="40"/>
          <w:szCs w:val="40"/>
        </w:rPr>
      </w:pPr>
    </w:p>
    <w:p w14:paraId="18DDEFFF" w14:textId="77777777" w:rsidR="00513FE6" w:rsidRPr="006A0EA5" w:rsidRDefault="00513FE6" w:rsidP="00513FE6">
      <w:pPr>
        <w:jc w:val="center"/>
        <w:rPr>
          <w:rFonts w:ascii="Arial" w:hAnsi="Arial" w:cs="Arial"/>
          <w:b/>
          <w:sz w:val="40"/>
          <w:szCs w:val="40"/>
          <w:u w:val="single"/>
        </w:rPr>
      </w:pPr>
    </w:p>
    <w:p w14:paraId="154CC090" w14:textId="77777777" w:rsidR="00513FE6" w:rsidRPr="006A0EA5" w:rsidRDefault="00513FE6" w:rsidP="00513FE6">
      <w:pPr>
        <w:jc w:val="center"/>
        <w:rPr>
          <w:rFonts w:ascii="Arial" w:hAnsi="Arial" w:cs="Arial"/>
          <w:b/>
          <w:i/>
          <w:sz w:val="52"/>
          <w:szCs w:val="52"/>
          <w:u w:val="single"/>
        </w:rPr>
      </w:pPr>
    </w:p>
    <w:p w14:paraId="3C840D42" w14:textId="72810A3A" w:rsidR="00513FE6" w:rsidRPr="006A0EA5" w:rsidRDefault="00513FE6" w:rsidP="00513FE6">
      <w:pPr>
        <w:jc w:val="center"/>
        <w:rPr>
          <w:rFonts w:ascii="Arial" w:hAnsi="Arial" w:cs="Arial"/>
          <w:b/>
          <w:i/>
          <w:sz w:val="52"/>
          <w:szCs w:val="52"/>
          <w:u w:val="single"/>
        </w:rPr>
      </w:pPr>
      <w:r>
        <w:rPr>
          <w:rFonts w:ascii="Arial" w:hAnsi="Arial" w:cs="Arial"/>
          <w:b/>
          <w:i/>
          <w:sz w:val="52"/>
          <w:szCs w:val="52"/>
          <w:u w:val="single"/>
        </w:rPr>
        <w:t>Property Law &amp; Practice</w:t>
      </w:r>
    </w:p>
    <w:p w14:paraId="30FD789D" w14:textId="78DCC882" w:rsidR="00513FE6" w:rsidRPr="006A0EA5" w:rsidRDefault="00513FE6" w:rsidP="00513FE6">
      <w:pPr>
        <w:jc w:val="center"/>
        <w:rPr>
          <w:rFonts w:ascii="Arial" w:hAnsi="Arial" w:cs="Arial"/>
          <w:b/>
          <w:i/>
          <w:sz w:val="52"/>
          <w:szCs w:val="52"/>
          <w:u w:val="single"/>
        </w:rPr>
      </w:pPr>
      <w:r w:rsidRPr="006A0EA5">
        <w:rPr>
          <w:rFonts w:ascii="Arial" w:hAnsi="Arial" w:cs="Arial"/>
          <w:b/>
          <w:i/>
          <w:sz w:val="52"/>
          <w:szCs w:val="52"/>
          <w:u w:val="single"/>
        </w:rPr>
        <w:t>Module Code (M7X018</w:t>
      </w:r>
      <w:r>
        <w:rPr>
          <w:rFonts w:ascii="Arial" w:hAnsi="Arial" w:cs="Arial"/>
          <w:b/>
          <w:i/>
          <w:sz w:val="52"/>
          <w:szCs w:val="52"/>
          <w:u w:val="single"/>
        </w:rPr>
        <w:t>12</w:t>
      </w:r>
      <w:r w:rsidRPr="006A0EA5">
        <w:rPr>
          <w:rFonts w:ascii="Arial" w:hAnsi="Arial" w:cs="Arial"/>
          <w:b/>
          <w:i/>
          <w:sz w:val="52"/>
          <w:szCs w:val="52"/>
          <w:u w:val="single"/>
        </w:rPr>
        <w:t>)</w:t>
      </w:r>
    </w:p>
    <w:p w14:paraId="0708FE7F" w14:textId="534A6357" w:rsidR="00513FE6" w:rsidRPr="006A0EA5" w:rsidRDefault="00513FE6" w:rsidP="00513FE6">
      <w:pPr>
        <w:jc w:val="center"/>
        <w:rPr>
          <w:rFonts w:ascii="Arial" w:hAnsi="Arial" w:cs="Arial"/>
          <w:b/>
          <w:i/>
          <w:sz w:val="52"/>
          <w:szCs w:val="52"/>
          <w:u w:val="single"/>
        </w:rPr>
      </w:pPr>
      <w:r w:rsidRPr="006A0EA5">
        <w:rPr>
          <w:rFonts w:ascii="Arial" w:hAnsi="Arial" w:cs="Arial"/>
          <w:b/>
          <w:i/>
          <w:sz w:val="52"/>
          <w:szCs w:val="52"/>
          <w:u w:val="single"/>
        </w:rPr>
        <w:t xml:space="preserve">Title: </w:t>
      </w:r>
      <w:r>
        <w:rPr>
          <w:rFonts w:ascii="Arial" w:hAnsi="Arial" w:cs="Arial"/>
          <w:b/>
          <w:i/>
          <w:sz w:val="52"/>
          <w:szCs w:val="52"/>
          <w:u w:val="single"/>
        </w:rPr>
        <w:t>Report Commercial Surveyor</w:t>
      </w:r>
    </w:p>
    <w:p w14:paraId="7F181158" w14:textId="77777777" w:rsidR="00513FE6" w:rsidRPr="006A0EA5" w:rsidRDefault="00513FE6" w:rsidP="00513FE6">
      <w:pPr>
        <w:jc w:val="center"/>
        <w:rPr>
          <w:rFonts w:ascii="Arial" w:hAnsi="Arial" w:cs="Arial"/>
          <w:sz w:val="40"/>
          <w:szCs w:val="40"/>
        </w:rPr>
      </w:pPr>
    </w:p>
    <w:p w14:paraId="595E5A8C" w14:textId="77777777" w:rsidR="00513FE6" w:rsidRPr="006A0EA5" w:rsidRDefault="00513FE6" w:rsidP="00513FE6">
      <w:pPr>
        <w:jc w:val="center"/>
        <w:rPr>
          <w:rFonts w:ascii="Arial" w:hAnsi="Arial" w:cs="Arial"/>
          <w:sz w:val="40"/>
          <w:szCs w:val="40"/>
        </w:rPr>
      </w:pPr>
    </w:p>
    <w:p w14:paraId="13C49730" w14:textId="77777777" w:rsidR="00513FE6" w:rsidRPr="006A0EA5" w:rsidRDefault="00513FE6" w:rsidP="00513FE6">
      <w:pPr>
        <w:jc w:val="center"/>
        <w:rPr>
          <w:rFonts w:ascii="Arial" w:hAnsi="Arial" w:cs="Arial"/>
          <w:sz w:val="40"/>
          <w:szCs w:val="40"/>
        </w:rPr>
      </w:pPr>
      <w:r w:rsidRPr="006A0EA5">
        <w:rPr>
          <w:rFonts w:ascii="Arial" w:hAnsi="Arial" w:cs="Arial"/>
          <w:sz w:val="40"/>
          <w:szCs w:val="40"/>
        </w:rPr>
        <w:t>Submitted By: Paul Hill (P139516)</w:t>
      </w:r>
    </w:p>
    <w:p w14:paraId="77E8B63F" w14:textId="77777777" w:rsidR="00513FE6" w:rsidRPr="006A0EA5" w:rsidRDefault="00513FE6" w:rsidP="00513FE6">
      <w:pPr>
        <w:jc w:val="center"/>
        <w:rPr>
          <w:rFonts w:ascii="Arial" w:hAnsi="Arial" w:cs="Arial"/>
          <w:sz w:val="40"/>
          <w:szCs w:val="40"/>
        </w:rPr>
      </w:pPr>
    </w:p>
    <w:p w14:paraId="35A4765D" w14:textId="77777777" w:rsidR="00513FE6" w:rsidRPr="006A0EA5" w:rsidRDefault="00513FE6" w:rsidP="00513FE6">
      <w:pPr>
        <w:jc w:val="center"/>
        <w:rPr>
          <w:rFonts w:ascii="Arial" w:hAnsi="Arial" w:cs="Arial"/>
          <w:sz w:val="40"/>
          <w:szCs w:val="40"/>
        </w:rPr>
      </w:pPr>
    </w:p>
    <w:p w14:paraId="015DA1C9" w14:textId="77777777" w:rsidR="00513FE6" w:rsidRPr="006A0EA5" w:rsidRDefault="00513FE6" w:rsidP="00513FE6">
      <w:pPr>
        <w:jc w:val="center"/>
        <w:rPr>
          <w:rFonts w:ascii="Arial" w:hAnsi="Arial" w:cs="Arial"/>
          <w:sz w:val="40"/>
          <w:szCs w:val="40"/>
        </w:rPr>
      </w:pPr>
      <w:r w:rsidRPr="006A0EA5">
        <w:rPr>
          <w:rFonts w:ascii="Arial" w:hAnsi="Arial" w:cs="Arial"/>
          <w:sz w:val="40"/>
          <w:szCs w:val="40"/>
        </w:rPr>
        <w:t>University of Wales Trinity Saint David</w:t>
      </w:r>
    </w:p>
    <w:p w14:paraId="001440E3" w14:textId="77777777" w:rsidR="00513FE6" w:rsidRPr="006A0EA5" w:rsidRDefault="00513FE6" w:rsidP="00513FE6">
      <w:pPr>
        <w:jc w:val="center"/>
        <w:rPr>
          <w:rFonts w:ascii="Arial" w:hAnsi="Arial" w:cs="Arial"/>
          <w:sz w:val="40"/>
          <w:szCs w:val="40"/>
        </w:rPr>
      </w:pPr>
    </w:p>
    <w:p w14:paraId="240A0608" w14:textId="77777777" w:rsidR="00513FE6" w:rsidRPr="006A0EA5" w:rsidRDefault="00513FE6" w:rsidP="00513FE6">
      <w:pPr>
        <w:jc w:val="center"/>
        <w:rPr>
          <w:rFonts w:ascii="Arial" w:hAnsi="Arial" w:cs="Arial"/>
          <w:sz w:val="40"/>
          <w:szCs w:val="40"/>
        </w:rPr>
      </w:pPr>
    </w:p>
    <w:p w14:paraId="2F961D69" w14:textId="5A15599B" w:rsidR="00513FE6" w:rsidRPr="006A0EA5" w:rsidRDefault="00513FE6" w:rsidP="00513FE6">
      <w:pPr>
        <w:jc w:val="center"/>
        <w:rPr>
          <w:rFonts w:ascii="Arial" w:hAnsi="Arial" w:cs="Arial"/>
          <w:sz w:val="40"/>
          <w:szCs w:val="40"/>
        </w:rPr>
      </w:pPr>
      <w:r>
        <w:rPr>
          <w:rFonts w:ascii="Arial" w:hAnsi="Arial" w:cs="Arial"/>
          <w:sz w:val="40"/>
          <w:szCs w:val="40"/>
        </w:rPr>
        <w:t>April</w:t>
      </w:r>
      <w:r w:rsidRPr="006A0EA5">
        <w:rPr>
          <w:rFonts w:ascii="Arial" w:hAnsi="Arial" w:cs="Arial"/>
          <w:sz w:val="40"/>
          <w:szCs w:val="40"/>
        </w:rPr>
        <w:t xml:space="preserve"> 1</w:t>
      </w:r>
      <w:r>
        <w:rPr>
          <w:rFonts w:ascii="Arial" w:hAnsi="Arial" w:cs="Arial"/>
          <w:sz w:val="40"/>
          <w:szCs w:val="40"/>
        </w:rPr>
        <w:t>1</w:t>
      </w:r>
      <w:r w:rsidRPr="006A0EA5">
        <w:rPr>
          <w:rFonts w:ascii="Arial" w:hAnsi="Arial" w:cs="Arial"/>
          <w:sz w:val="40"/>
          <w:szCs w:val="40"/>
          <w:vertAlign w:val="superscript"/>
        </w:rPr>
        <w:t>th</w:t>
      </w:r>
      <w:r w:rsidR="00B21D7D" w:rsidRPr="006A0EA5">
        <w:rPr>
          <w:rFonts w:ascii="Arial" w:hAnsi="Arial" w:cs="Arial"/>
          <w:sz w:val="40"/>
          <w:szCs w:val="40"/>
        </w:rPr>
        <w:t>, 2019</w:t>
      </w:r>
    </w:p>
    <w:p w14:paraId="2CF310DC" w14:textId="77777777" w:rsidR="00513FE6" w:rsidRPr="006A0EA5" w:rsidRDefault="00513FE6" w:rsidP="00513FE6">
      <w:pPr>
        <w:jc w:val="center"/>
        <w:rPr>
          <w:rFonts w:ascii="Arial" w:hAnsi="Arial" w:cs="Arial"/>
          <w:sz w:val="40"/>
          <w:szCs w:val="40"/>
        </w:rPr>
      </w:pPr>
    </w:p>
    <w:p w14:paraId="03DAA39A" w14:textId="77777777" w:rsidR="00513FE6" w:rsidRPr="006A0EA5" w:rsidRDefault="00513FE6" w:rsidP="00513FE6">
      <w:pPr>
        <w:jc w:val="center"/>
        <w:rPr>
          <w:rFonts w:ascii="Arial" w:hAnsi="Arial" w:cs="Arial"/>
          <w:sz w:val="40"/>
          <w:szCs w:val="40"/>
        </w:rPr>
      </w:pPr>
    </w:p>
    <w:p w14:paraId="75C2F457" w14:textId="77777777" w:rsidR="00513FE6" w:rsidRPr="006A0EA5" w:rsidRDefault="00513FE6" w:rsidP="00513FE6">
      <w:pPr>
        <w:jc w:val="center"/>
        <w:rPr>
          <w:rFonts w:ascii="Arial" w:hAnsi="Arial" w:cs="Arial"/>
          <w:sz w:val="40"/>
          <w:szCs w:val="40"/>
        </w:rPr>
      </w:pPr>
    </w:p>
    <w:p w14:paraId="5324A84D" w14:textId="77777777" w:rsidR="00513FE6" w:rsidRPr="006A0EA5" w:rsidRDefault="00513FE6" w:rsidP="00513FE6">
      <w:pPr>
        <w:jc w:val="center"/>
        <w:rPr>
          <w:rFonts w:ascii="Arial" w:hAnsi="Arial" w:cs="Arial"/>
          <w:sz w:val="40"/>
          <w:szCs w:val="40"/>
        </w:rPr>
      </w:pPr>
    </w:p>
    <w:p w14:paraId="4059696A" w14:textId="77777777" w:rsidR="00513FE6" w:rsidRPr="006A0EA5" w:rsidRDefault="00513FE6" w:rsidP="00513FE6">
      <w:pPr>
        <w:jc w:val="center"/>
        <w:rPr>
          <w:rFonts w:ascii="Arial" w:hAnsi="Arial" w:cs="Arial"/>
          <w:sz w:val="40"/>
          <w:szCs w:val="40"/>
        </w:rPr>
      </w:pPr>
    </w:p>
    <w:p w14:paraId="412DE05F" w14:textId="77777777" w:rsidR="00513FE6" w:rsidRPr="006A0EA5" w:rsidRDefault="00513FE6" w:rsidP="00513FE6">
      <w:pPr>
        <w:jc w:val="center"/>
        <w:rPr>
          <w:rFonts w:ascii="Arial" w:hAnsi="Arial" w:cs="Arial"/>
          <w:sz w:val="40"/>
          <w:szCs w:val="40"/>
        </w:rPr>
      </w:pPr>
    </w:p>
    <w:p w14:paraId="180586B0" w14:textId="3F710C60" w:rsidR="00513FE6" w:rsidRDefault="00513FE6" w:rsidP="00AE2CFA">
      <w:pPr>
        <w:jc w:val="center"/>
        <w:rPr>
          <w:rFonts w:ascii="Arial" w:hAnsi="Arial" w:cs="Arial"/>
          <w:i/>
          <w:sz w:val="40"/>
          <w:szCs w:val="40"/>
        </w:rPr>
      </w:pPr>
      <w:r w:rsidRPr="006A0EA5">
        <w:rPr>
          <w:rFonts w:ascii="Arial" w:hAnsi="Arial" w:cs="Arial"/>
          <w:i/>
          <w:sz w:val="40"/>
          <w:szCs w:val="40"/>
        </w:rPr>
        <w:t xml:space="preserve">Lecturer: </w:t>
      </w:r>
      <w:r>
        <w:rPr>
          <w:rFonts w:ascii="Arial" w:hAnsi="Arial" w:cs="Arial"/>
          <w:i/>
          <w:sz w:val="40"/>
          <w:szCs w:val="40"/>
        </w:rPr>
        <w:t>Mr Rokib Uddin</w:t>
      </w:r>
    </w:p>
    <w:p w14:paraId="6EF4A599" w14:textId="3A81DFE9" w:rsidR="00513FE6" w:rsidRDefault="00513FE6" w:rsidP="00513FE6">
      <w:pPr>
        <w:rPr>
          <w:rFonts w:ascii="Arial" w:hAnsi="Arial" w:cs="Arial"/>
          <w:i/>
          <w:sz w:val="40"/>
          <w:szCs w:val="40"/>
        </w:rPr>
      </w:pPr>
    </w:p>
    <w:p w14:paraId="2377B4E7" w14:textId="4263D1CB" w:rsidR="00513FE6" w:rsidRDefault="00513FE6" w:rsidP="00513FE6">
      <w:pPr>
        <w:rPr>
          <w:rFonts w:ascii="Arial" w:hAnsi="Arial" w:cs="Arial"/>
          <w:i/>
          <w:sz w:val="40"/>
          <w:szCs w:val="40"/>
        </w:rPr>
      </w:pPr>
    </w:p>
    <w:p w14:paraId="0A74245A" w14:textId="24A34EBD" w:rsidR="00513FE6" w:rsidRDefault="00513FE6" w:rsidP="00513FE6">
      <w:pPr>
        <w:rPr>
          <w:rFonts w:ascii="Arial" w:hAnsi="Arial" w:cs="Arial"/>
          <w:i/>
          <w:sz w:val="40"/>
          <w:szCs w:val="40"/>
        </w:rPr>
      </w:pPr>
    </w:p>
    <w:p w14:paraId="10CD3B8D" w14:textId="2C724653" w:rsidR="00513FE6" w:rsidRDefault="00513FE6" w:rsidP="00513FE6">
      <w:pPr>
        <w:rPr>
          <w:rFonts w:ascii="Arial" w:hAnsi="Arial" w:cs="Arial"/>
          <w:i/>
          <w:sz w:val="40"/>
          <w:szCs w:val="40"/>
        </w:rPr>
      </w:pPr>
    </w:p>
    <w:sdt>
      <w:sdtPr>
        <w:rPr>
          <w:rFonts w:ascii="Times New Roman" w:eastAsia="Times New Roman" w:hAnsi="Times New Roman" w:cs="Times New Roman"/>
          <w:b w:val="0"/>
          <w:bCs w:val="0"/>
          <w:color w:val="auto"/>
          <w:sz w:val="24"/>
          <w:szCs w:val="24"/>
          <w:lang w:val="en-GB"/>
        </w:rPr>
        <w:id w:val="-2077423520"/>
        <w:docPartObj>
          <w:docPartGallery w:val="Table of Contents"/>
          <w:docPartUnique/>
        </w:docPartObj>
      </w:sdtPr>
      <w:sdtEndPr>
        <w:rPr>
          <w:rFonts w:asciiTheme="minorHAnsi" w:hAnsiTheme="minorHAnsi" w:cstheme="minorHAnsi"/>
          <w:noProof/>
        </w:rPr>
      </w:sdtEndPr>
      <w:sdtContent>
        <w:p w14:paraId="06B8A427" w14:textId="5A13BBC2" w:rsidR="008A73DB" w:rsidRPr="002730AD" w:rsidRDefault="008A73DB">
          <w:pPr>
            <w:pStyle w:val="TOCHeading"/>
            <w:rPr>
              <w:rFonts w:asciiTheme="minorHAnsi" w:hAnsiTheme="minorHAnsi" w:cstheme="minorHAnsi"/>
            </w:rPr>
          </w:pPr>
          <w:r w:rsidRPr="002730AD">
            <w:rPr>
              <w:rFonts w:asciiTheme="minorHAnsi" w:hAnsiTheme="minorHAnsi" w:cstheme="minorHAnsi"/>
            </w:rPr>
            <w:t>Table of Contents</w:t>
          </w:r>
        </w:p>
        <w:p w14:paraId="5F478FDC" w14:textId="2B4BB142" w:rsidR="0076398C" w:rsidRDefault="008A73DB">
          <w:pPr>
            <w:pStyle w:val="TOC1"/>
            <w:tabs>
              <w:tab w:val="right" w:leader="dot" w:pos="9010"/>
            </w:tabs>
            <w:rPr>
              <w:rFonts w:eastAsiaTheme="minorEastAsia" w:cstheme="minorBidi"/>
              <w:b w:val="0"/>
              <w:bCs w:val="0"/>
              <w:i w:val="0"/>
              <w:iCs w:val="0"/>
              <w:noProof/>
            </w:rPr>
          </w:pPr>
          <w:r w:rsidRPr="002730AD">
            <w:rPr>
              <w:b w:val="0"/>
              <w:bCs w:val="0"/>
            </w:rPr>
            <w:fldChar w:fldCharType="begin"/>
          </w:r>
          <w:r w:rsidRPr="002730AD">
            <w:instrText xml:space="preserve"> TOC \o "1-3" \h \z \u </w:instrText>
          </w:r>
          <w:r w:rsidRPr="002730AD">
            <w:rPr>
              <w:b w:val="0"/>
              <w:bCs w:val="0"/>
            </w:rPr>
            <w:fldChar w:fldCharType="separate"/>
          </w:r>
          <w:hyperlink w:anchor="_Toc5734264" w:history="1">
            <w:r w:rsidR="0076398C" w:rsidRPr="00BD476A">
              <w:rPr>
                <w:rStyle w:val="Hyperlink"/>
                <w:noProof/>
              </w:rPr>
              <w:t>Introduction</w:t>
            </w:r>
            <w:r w:rsidR="0076398C">
              <w:rPr>
                <w:noProof/>
                <w:webHidden/>
              </w:rPr>
              <w:tab/>
            </w:r>
            <w:r w:rsidR="0076398C">
              <w:rPr>
                <w:noProof/>
                <w:webHidden/>
              </w:rPr>
              <w:fldChar w:fldCharType="begin"/>
            </w:r>
            <w:r w:rsidR="0076398C">
              <w:rPr>
                <w:noProof/>
                <w:webHidden/>
              </w:rPr>
              <w:instrText xml:space="preserve"> PAGEREF _Toc5734264 \h </w:instrText>
            </w:r>
            <w:r w:rsidR="0076398C">
              <w:rPr>
                <w:noProof/>
                <w:webHidden/>
              </w:rPr>
            </w:r>
            <w:r w:rsidR="0076398C">
              <w:rPr>
                <w:noProof/>
                <w:webHidden/>
              </w:rPr>
              <w:fldChar w:fldCharType="separate"/>
            </w:r>
            <w:r w:rsidR="0076398C">
              <w:rPr>
                <w:noProof/>
                <w:webHidden/>
              </w:rPr>
              <w:t>3</w:t>
            </w:r>
            <w:r w:rsidR="0076398C">
              <w:rPr>
                <w:noProof/>
                <w:webHidden/>
              </w:rPr>
              <w:fldChar w:fldCharType="end"/>
            </w:r>
          </w:hyperlink>
        </w:p>
        <w:p w14:paraId="5766E6B4" w14:textId="4E286277" w:rsidR="0076398C" w:rsidRDefault="0076398C">
          <w:pPr>
            <w:pStyle w:val="TOC1"/>
            <w:tabs>
              <w:tab w:val="right" w:leader="dot" w:pos="9010"/>
            </w:tabs>
            <w:rPr>
              <w:rFonts w:eastAsiaTheme="minorEastAsia" w:cstheme="minorBidi"/>
              <w:b w:val="0"/>
              <w:bCs w:val="0"/>
              <w:i w:val="0"/>
              <w:iCs w:val="0"/>
              <w:noProof/>
            </w:rPr>
          </w:pPr>
          <w:hyperlink w:anchor="_Toc5734265" w:history="1">
            <w:r w:rsidRPr="00BD476A">
              <w:rPr>
                <w:rStyle w:val="Hyperlink"/>
                <w:noProof/>
              </w:rPr>
              <w:t>The Relevant Law</w:t>
            </w:r>
            <w:r>
              <w:rPr>
                <w:noProof/>
                <w:webHidden/>
              </w:rPr>
              <w:tab/>
            </w:r>
            <w:r>
              <w:rPr>
                <w:noProof/>
                <w:webHidden/>
              </w:rPr>
              <w:fldChar w:fldCharType="begin"/>
            </w:r>
            <w:r>
              <w:rPr>
                <w:noProof/>
                <w:webHidden/>
              </w:rPr>
              <w:instrText xml:space="preserve"> PAGEREF _Toc5734265 \h </w:instrText>
            </w:r>
            <w:r>
              <w:rPr>
                <w:noProof/>
                <w:webHidden/>
              </w:rPr>
            </w:r>
            <w:r>
              <w:rPr>
                <w:noProof/>
                <w:webHidden/>
              </w:rPr>
              <w:fldChar w:fldCharType="separate"/>
            </w:r>
            <w:r>
              <w:rPr>
                <w:noProof/>
                <w:webHidden/>
              </w:rPr>
              <w:t>3</w:t>
            </w:r>
            <w:r>
              <w:rPr>
                <w:noProof/>
                <w:webHidden/>
              </w:rPr>
              <w:fldChar w:fldCharType="end"/>
            </w:r>
          </w:hyperlink>
        </w:p>
        <w:p w14:paraId="21AD63EE" w14:textId="3C391822" w:rsidR="0076398C" w:rsidRDefault="0076398C">
          <w:pPr>
            <w:pStyle w:val="TOC1"/>
            <w:tabs>
              <w:tab w:val="right" w:leader="dot" w:pos="9010"/>
            </w:tabs>
            <w:rPr>
              <w:rFonts w:eastAsiaTheme="minorEastAsia" w:cstheme="minorBidi"/>
              <w:b w:val="0"/>
              <w:bCs w:val="0"/>
              <w:i w:val="0"/>
              <w:iCs w:val="0"/>
              <w:noProof/>
            </w:rPr>
          </w:pPr>
          <w:hyperlink w:anchor="_Toc5734266" w:history="1">
            <w:r w:rsidRPr="00BD476A">
              <w:rPr>
                <w:rStyle w:val="Hyperlink"/>
                <w:noProof/>
              </w:rPr>
              <w:t>Serving of Notices</w:t>
            </w:r>
            <w:r>
              <w:rPr>
                <w:noProof/>
                <w:webHidden/>
              </w:rPr>
              <w:tab/>
            </w:r>
            <w:r>
              <w:rPr>
                <w:noProof/>
                <w:webHidden/>
              </w:rPr>
              <w:fldChar w:fldCharType="begin"/>
            </w:r>
            <w:r>
              <w:rPr>
                <w:noProof/>
                <w:webHidden/>
              </w:rPr>
              <w:instrText xml:space="preserve"> PAGEREF _Toc5734266 \h </w:instrText>
            </w:r>
            <w:r>
              <w:rPr>
                <w:noProof/>
                <w:webHidden/>
              </w:rPr>
            </w:r>
            <w:r>
              <w:rPr>
                <w:noProof/>
                <w:webHidden/>
              </w:rPr>
              <w:fldChar w:fldCharType="separate"/>
            </w:r>
            <w:r>
              <w:rPr>
                <w:noProof/>
                <w:webHidden/>
              </w:rPr>
              <w:t>5</w:t>
            </w:r>
            <w:r>
              <w:rPr>
                <w:noProof/>
                <w:webHidden/>
              </w:rPr>
              <w:fldChar w:fldCharType="end"/>
            </w:r>
          </w:hyperlink>
        </w:p>
        <w:p w14:paraId="13DF6174" w14:textId="6C10A1F0" w:rsidR="0076398C" w:rsidRDefault="0076398C">
          <w:pPr>
            <w:pStyle w:val="TOC1"/>
            <w:tabs>
              <w:tab w:val="right" w:leader="dot" w:pos="9010"/>
            </w:tabs>
            <w:rPr>
              <w:rFonts w:eastAsiaTheme="minorEastAsia" w:cstheme="minorBidi"/>
              <w:b w:val="0"/>
              <w:bCs w:val="0"/>
              <w:i w:val="0"/>
              <w:iCs w:val="0"/>
              <w:noProof/>
            </w:rPr>
          </w:pPr>
          <w:hyperlink w:anchor="_Toc5734267" w:history="1">
            <w:r w:rsidRPr="00BD476A">
              <w:rPr>
                <w:rStyle w:val="Hyperlink"/>
                <w:noProof/>
              </w:rPr>
              <w:t>Renewing the Lease</w:t>
            </w:r>
            <w:r>
              <w:rPr>
                <w:noProof/>
                <w:webHidden/>
              </w:rPr>
              <w:tab/>
            </w:r>
            <w:r>
              <w:rPr>
                <w:noProof/>
                <w:webHidden/>
              </w:rPr>
              <w:fldChar w:fldCharType="begin"/>
            </w:r>
            <w:r>
              <w:rPr>
                <w:noProof/>
                <w:webHidden/>
              </w:rPr>
              <w:instrText xml:space="preserve"> PAGEREF _Toc5734267 \h </w:instrText>
            </w:r>
            <w:r>
              <w:rPr>
                <w:noProof/>
                <w:webHidden/>
              </w:rPr>
            </w:r>
            <w:r>
              <w:rPr>
                <w:noProof/>
                <w:webHidden/>
              </w:rPr>
              <w:fldChar w:fldCharType="separate"/>
            </w:r>
            <w:r>
              <w:rPr>
                <w:noProof/>
                <w:webHidden/>
              </w:rPr>
              <w:t>6</w:t>
            </w:r>
            <w:r>
              <w:rPr>
                <w:noProof/>
                <w:webHidden/>
              </w:rPr>
              <w:fldChar w:fldCharType="end"/>
            </w:r>
          </w:hyperlink>
        </w:p>
        <w:p w14:paraId="7BAA5742" w14:textId="19366F6E" w:rsidR="0076398C" w:rsidRDefault="0076398C">
          <w:pPr>
            <w:pStyle w:val="TOC1"/>
            <w:tabs>
              <w:tab w:val="right" w:leader="dot" w:pos="9010"/>
            </w:tabs>
            <w:rPr>
              <w:rFonts w:eastAsiaTheme="minorEastAsia" w:cstheme="minorBidi"/>
              <w:b w:val="0"/>
              <w:bCs w:val="0"/>
              <w:i w:val="0"/>
              <w:iCs w:val="0"/>
              <w:noProof/>
            </w:rPr>
          </w:pPr>
          <w:hyperlink w:anchor="_Toc5734268" w:history="1">
            <w:r w:rsidRPr="00BD476A">
              <w:rPr>
                <w:rStyle w:val="Hyperlink"/>
                <w:noProof/>
              </w:rPr>
              <w:t>Compensation</w:t>
            </w:r>
            <w:r>
              <w:rPr>
                <w:noProof/>
                <w:webHidden/>
              </w:rPr>
              <w:tab/>
            </w:r>
            <w:r>
              <w:rPr>
                <w:noProof/>
                <w:webHidden/>
              </w:rPr>
              <w:fldChar w:fldCharType="begin"/>
            </w:r>
            <w:r>
              <w:rPr>
                <w:noProof/>
                <w:webHidden/>
              </w:rPr>
              <w:instrText xml:space="preserve"> PAGEREF _Toc5734268 \h </w:instrText>
            </w:r>
            <w:r>
              <w:rPr>
                <w:noProof/>
                <w:webHidden/>
              </w:rPr>
            </w:r>
            <w:r>
              <w:rPr>
                <w:noProof/>
                <w:webHidden/>
              </w:rPr>
              <w:fldChar w:fldCharType="separate"/>
            </w:r>
            <w:r>
              <w:rPr>
                <w:noProof/>
                <w:webHidden/>
              </w:rPr>
              <w:t>9</w:t>
            </w:r>
            <w:r>
              <w:rPr>
                <w:noProof/>
                <w:webHidden/>
              </w:rPr>
              <w:fldChar w:fldCharType="end"/>
            </w:r>
          </w:hyperlink>
        </w:p>
        <w:p w14:paraId="50E2810D" w14:textId="5DC6C433" w:rsidR="0076398C" w:rsidRDefault="0076398C">
          <w:pPr>
            <w:pStyle w:val="TOC1"/>
            <w:tabs>
              <w:tab w:val="right" w:leader="dot" w:pos="9010"/>
            </w:tabs>
            <w:rPr>
              <w:rFonts w:eastAsiaTheme="minorEastAsia" w:cstheme="minorBidi"/>
              <w:b w:val="0"/>
              <w:bCs w:val="0"/>
              <w:i w:val="0"/>
              <w:iCs w:val="0"/>
              <w:noProof/>
            </w:rPr>
          </w:pPr>
          <w:hyperlink w:anchor="_Toc5734269" w:history="1">
            <w:r w:rsidRPr="00BD476A">
              <w:rPr>
                <w:rStyle w:val="Hyperlink"/>
                <w:noProof/>
              </w:rPr>
              <w:t>Recommendations</w:t>
            </w:r>
            <w:r>
              <w:rPr>
                <w:noProof/>
                <w:webHidden/>
              </w:rPr>
              <w:tab/>
            </w:r>
            <w:r>
              <w:rPr>
                <w:noProof/>
                <w:webHidden/>
              </w:rPr>
              <w:fldChar w:fldCharType="begin"/>
            </w:r>
            <w:r>
              <w:rPr>
                <w:noProof/>
                <w:webHidden/>
              </w:rPr>
              <w:instrText xml:space="preserve"> PAGEREF _Toc5734269 \h </w:instrText>
            </w:r>
            <w:r>
              <w:rPr>
                <w:noProof/>
                <w:webHidden/>
              </w:rPr>
            </w:r>
            <w:r>
              <w:rPr>
                <w:noProof/>
                <w:webHidden/>
              </w:rPr>
              <w:fldChar w:fldCharType="separate"/>
            </w:r>
            <w:r>
              <w:rPr>
                <w:noProof/>
                <w:webHidden/>
              </w:rPr>
              <w:t>9</w:t>
            </w:r>
            <w:r>
              <w:rPr>
                <w:noProof/>
                <w:webHidden/>
              </w:rPr>
              <w:fldChar w:fldCharType="end"/>
            </w:r>
          </w:hyperlink>
        </w:p>
        <w:p w14:paraId="1C7DB627" w14:textId="2FEA9390" w:rsidR="0076398C" w:rsidRDefault="0076398C">
          <w:pPr>
            <w:pStyle w:val="TOC1"/>
            <w:tabs>
              <w:tab w:val="right" w:leader="dot" w:pos="9010"/>
            </w:tabs>
            <w:rPr>
              <w:rFonts w:eastAsiaTheme="minorEastAsia" w:cstheme="minorBidi"/>
              <w:b w:val="0"/>
              <w:bCs w:val="0"/>
              <w:i w:val="0"/>
              <w:iCs w:val="0"/>
              <w:noProof/>
            </w:rPr>
          </w:pPr>
          <w:hyperlink w:anchor="_Toc5734270" w:history="1">
            <w:r w:rsidRPr="00BD476A">
              <w:rPr>
                <w:rStyle w:val="Hyperlink"/>
                <w:noProof/>
              </w:rPr>
              <w:t>Conclusion</w:t>
            </w:r>
            <w:r>
              <w:rPr>
                <w:noProof/>
                <w:webHidden/>
              </w:rPr>
              <w:tab/>
            </w:r>
            <w:r>
              <w:rPr>
                <w:noProof/>
                <w:webHidden/>
              </w:rPr>
              <w:fldChar w:fldCharType="begin"/>
            </w:r>
            <w:r>
              <w:rPr>
                <w:noProof/>
                <w:webHidden/>
              </w:rPr>
              <w:instrText xml:space="preserve"> PAGEREF _Toc5734270 \h </w:instrText>
            </w:r>
            <w:r>
              <w:rPr>
                <w:noProof/>
                <w:webHidden/>
              </w:rPr>
            </w:r>
            <w:r>
              <w:rPr>
                <w:noProof/>
                <w:webHidden/>
              </w:rPr>
              <w:fldChar w:fldCharType="separate"/>
            </w:r>
            <w:r>
              <w:rPr>
                <w:noProof/>
                <w:webHidden/>
              </w:rPr>
              <w:t>11</w:t>
            </w:r>
            <w:r>
              <w:rPr>
                <w:noProof/>
                <w:webHidden/>
              </w:rPr>
              <w:fldChar w:fldCharType="end"/>
            </w:r>
          </w:hyperlink>
        </w:p>
        <w:p w14:paraId="1DC1B543" w14:textId="7DB62BEE" w:rsidR="0076398C" w:rsidRDefault="0076398C">
          <w:pPr>
            <w:pStyle w:val="TOC1"/>
            <w:tabs>
              <w:tab w:val="right" w:leader="dot" w:pos="9010"/>
            </w:tabs>
            <w:rPr>
              <w:rFonts w:eastAsiaTheme="minorEastAsia" w:cstheme="minorBidi"/>
              <w:b w:val="0"/>
              <w:bCs w:val="0"/>
              <w:i w:val="0"/>
              <w:iCs w:val="0"/>
              <w:noProof/>
            </w:rPr>
          </w:pPr>
          <w:hyperlink w:anchor="_Toc5734271" w:history="1">
            <w:r w:rsidRPr="00BD476A">
              <w:rPr>
                <w:rStyle w:val="Hyperlink"/>
                <w:noProof/>
              </w:rPr>
              <w:t>References</w:t>
            </w:r>
            <w:r>
              <w:rPr>
                <w:noProof/>
                <w:webHidden/>
              </w:rPr>
              <w:tab/>
            </w:r>
            <w:r>
              <w:rPr>
                <w:noProof/>
                <w:webHidden/>
              </w:rPr>
              <w:fldChar w:fldCharType="begin"/>
            </w:r>
            <w:r>
              <w:rPr>
                <w:noProof/>
                <w:webHidden/>
              </w:rPr>
              <w:instrText xml:space="preserve"> PAGEREF _Toc5734271 \h </w:instrText>
            </w:r>
            <w:r>
              <w:rPr>
                <w:noProof/>
                <w:webHidden/>
              </w:rPr>
            </w:r>
            <w:r>
              <w:rPr>
                <w:noProof/>
                <w:webHidden/>
              </w:rPr>
              <w:fldChar w:fldCharType="separate"/>
            </w:r>
            <w:r>
              <w:rPr>
                <w:noProof/>
                <w:webHidden/>
              </w:rPr>
              <w:t>12</w:t>
            </w:r>
            <w:r>
              <w:rPr>
                <w:noProof/>
                <w:webHidden/>
              </w:rPr>
              <w:fldChar w:fldCharType="end"/>
            </w:r>
          </w:hyperlink>
        </w:p>
        <w:p w14:paraId="747E2629" w14:textId="46CA706B" w:rsidR="008A73DB" w:rsidRPr="002730AD" w:rsidRDefault="008A73DB">
          <w:pPr>
            <w:rPr>
              <w:rFonts w:asciiTheme="minorHAnsi" w:hAnsiTheme="minorHAnsi" w:cstheme="minorHAnsi"/>
            </w:rPr>
          </w:pPr>
          <w:r w:rsidRPr="002730AD">
            <w:rPr>
              <w:rFonts w:asciiTheme="minorHAnsi" w:hAnsiTheme="minorHAnsi" w:cstheme="minorHAnsi"/>
              <w:b/>
              <w:bCs/>
              <w:noProof/>
            </w:rPr>
            <w:fldChar w:fldCharType="end"/>
          </w:r>
        </w:p>
      </w:sdtContent>
    </w:sdt>
    <w:p w14:paraId="293D6558" w14:textId="3365BABC" w:rsidR="008A73DB" w:rsidRPr="002730AD" w:rsidRDefault="008A73DB" w:rsidP="00513FE6">
      <w:pPr>
        <w:rPr>
          <w:rFonts w:asciiTheme="minorHAnsi" w:hAnsiTheme="minorHAnsi" w:cstheme="minorHAnsi"/>
          <w:sz w:val="40"/>
          <w:szCs w:val="40"/>
        </w:rPr>
      </w:pPr>
    </w:p>
    <w:p w14:paraId="60B98900" w14:textId="48C9A283" w:rsidR="008A73DB" w:rsidRPr="002730AD" w:rsidRDefault="008A73DB" w:rsidP="00513FE6">
      <w:pPr>
        <w:rPr>
          <w:rFonts w:asciiTheme="minorHAnsi" w:hAnsiTheme="minorHAnsi" w:cstheme="minorHAnsi"/>
          <w:sz w:val="40"/>
          <w:szCs w:val="40"/>
        </w:rPr>
      </w:pPr>
    </w:p>
    <w:p w14:paraId="7A6C4970" w14:textId="274A4354" w:rsidR="008A73DB" w:rsidRPr="002730AD" w:rsidRDefault="008A73DB" w:rsidP="00513FE6">
      <w:pPr>
        <w:rPr>
          <w:rFonts w:asciiTheme="minorHAnsi" w:hAnsiTheme="minorHAnsi" w:cstheme="minorHAnsi"/>
          <w:sz w:val="40"/>
          <w:szCs w:val="40"/>
        </w:rPr>
      </w:pPr>
    </w:p>
    <w:p w14:paraId="6705A7E2" w14:textId="5F06760C" w:rsidR="008A73DB" w:rsidRPr="002730AD" w:rsidRDefault="008A73DB" w:rsidP="00513FE6">
      <w:pPr>
        <w:rPr>
          <w:rFonts w:asciiTheme="minorHAnsi" w:hAnsiTheme="minorHAnsi" w:cstheme="minorHAnsi"/>
          <w:sz w:val="40"/>
          <w:szCs w:val="40"/>
        </w:rPr>
      </w:pPr>
    </w:p>
    <w:p w14:paraId="15EB883F" w14:textId="07D6A338" w:rsidR="008A73DB" w:rsidRPr="002730AD" w:rsidRDefault="008A73DB" w:rsidP="00513FE6">
      <w:pPr>
        <w:rPr>
          <w:rFonts w:asciiTheme="minorHAnsi" w:hAnsiTheme="minorHAnsi" w:cstheme="minorHAnsi"/>
          <w:sz w:val="40"/>
          <w:szCs w:val="40"/>
        </w:rPr>
      </w:pPr>
    </w:p>
    <w:p w14:paraId="50405603" w14:textId="4F30938C" w:rsidR="008A73DB" w:rsidRPr="002730AD" w:rsidRDefault="008A73DB" w:rsidP="00513FE6">
      <w:pPr>
        <w:rPr>
          <w:rFonts w:asciiTheme="minorHAnsi" w:hAnsiTheme="minorHAnsi" w:cstheme="minorHAnsi"/>
          <w:sz w:val="40"/>
          <w:szCs w:val="40"/>
        </w:rPr>
      </w:pPr>
    </w:p>
    <w:p w14:paraId="15992F43" w14:textId="30B6E92B" w:rsidR="008A73DB" w:rsidRPr="002730AD" w:rsidRDefault="008A73DB" w:rsidP="00513FE6">
      <w:pPr>
        <w:rPr>
          <w:rFonts w:asciiTheme="minorHAnsi" w:hAnsiTheme="minorHAnsi" w:cstheme="minorHAnsi"/>
          <w:sz w:val="40"/>
          <w:szCs w:val="40"/>
        </w:rPr>
      </w:pPr>
    </w:p>
    <w:p w14:paraId="741BE990" w14:textId="6DDC3C6F" w:rsidR="008A73DB" w:rsidRPr="002730AD" w:rsidRDefault="008A73DB" w:rsidP="00513FE6">
      <w:pPr>
        <w:rPr>
          <w:rFonts w:asciiTheme="minorHAnsi" w:hAnsiTheme="minorHAnsi" w:cstheme="minorHAnsi"/>
          <w:sz w:val="40"/>
          <w:szCs w:val="40"/>
        </w:rPr>
      </w:pPr>
    </w:p>
    <w:p w14:paraId="350769BB" w14:textId="78700B10" w:rsidR="008A73DB" w:rsidRPr="002730AD" w:rsidRDefault="008A73DB" w:rsidP="00513FE6">
      <w:pPr>
        <w:rPr>
          <w:rFonts w:asciiTheme="minorHAnsi" w:hAnsiTheme="minorHAnsi" w:cstheme="minorHAnsi"/>
          <w:sz w:val="40"/>
          <w:szCs w:val="40"/>
        </w:rPr>
      </w:pPr>
    </w:p>
    <w:p w14:paraId="7D6566BC" w14:textId="3623394D" w:rsidR="008A73DB" w:rsidRPr="002730AD" w:rsidRDefault="008A73DB" w:rsidP="00513FE6">
      <w:pPr>
        <w:rPr>
          <w:rFonts w:asciiTheme="minorHAnsi" w:hAnsiTheme="minorHAnsi" w:cstheme="minorHAnsi"/>
          <w:sz w:val="40"/>
          <w:szCs w:val="40"/>
        </w:rPr>
      </w:pPr>
    </w:p>
    <w:p w14:paraId="005A1452" w14:textId="1ACA3CFF" w:rsidR="008A73DB" w:rsidRPr="002730AD" w:rsidRDefault="008A73DB" w:rsidP="00513FE6">
      <w:pPr>
        <w:rPr>
          <w:rFonts w:asciiTheme="minorHAnsi" w:hAnsiTheme="minorHAnsi" w:cstheme="minorHAnsi"/>
          <w:sz w:val="40"/>
          <w:szCs w:val="40"/>
        </w:rPr>
      </w:pPr>
    </w:p>
    <w:p w14:paraId="5B92C6BF" w14:textId="28DF79E2" w:rsidR="008A73DB" w:rsidRPr="002730AD" w:rsidRDefault="008A73DB" w:rsidP="00513FE6">
      <w:pPr>
        <w:rPr>
          <w:rFonts w:asciiTheme="minorHAnsi" w:hAnsiTheme="minorHAnsi" w:cstheme="minorHAnsi"/>
          <w:sz w:val="40"/>
          <w:szCs w:val="40"/>
        </w:rPr>
      </w:pPr>
    </w:p>
    <w:p w14:paraId="2053AD8B" w14:textId="45356A30" w:rsidR="008A73DB" w:rsidRPr="002730AD" w:rsidRDefault="008A73DB" w:rsidP="00513FE6">
      <w:pPr>
        <w:rPr>
          <w:rFonts w:asciiTheme="minorHAnsi" w:hAnsiTheme="minorHAnsi" w:cstheme="minorHAnsi"/>
          <w:sz w:val="40"/>
          <w:szCs w:val="40"/>
        </w:rPr>
      </w:pPr>
    </w:p>
    <w:p w14:paraId="2D379239" w14:textId="47F165EE" w:rsidR="008A73DB" w:rsidRPr="002730AD" w:rsidRDefault="008A73DB" w:rsidP="00513FE6">
      <w:pPr>
        <w:rPr>
          <w:rFonts w:asciiTheme="minorHAnsi" w:hAnsiTheme="minorHAnsi" w:cstheme="minorHAnsi"/>
          <w:sz w:val="40"/>
          <w:szCs w:val="40"/>
        </w:rPr>
      </w:pPr>
    </w:p>
    <w:p w14:paraId="12E03168" w14:textId="3DD4235F" w:rsidR="008A73DB" w:rsidRPr="002730AD" w:rsidRDefault="008A73DB" w:rsidP="00513FE6">
      <w:pPr>
        <w:rPr>
          <w:rFonts w:asciiTheme="minorHAnsi" w:hAnsiTheme="minorHAnsi" w:cstheme="minorHAnsi"/>
          <w:sz w:val="40"/>
          <w:szCs w:val="40"/>
        </w:rPr>
      </w:pPr>
    </w:p>
    <w:p w14:paraId="0E5DBD05" w14:textId="3D292390" w:rsidR="008A73DB" w:rsidRPr="002730AD" w:rsidRDefault="008A73DB" w:rsidP="00513FE6">
      <w:pPr>
        <w:rPr>
          <w:rFonts w:asciiTheme="minorHAnsi" w:hAnsiTheme="minorHAnsi" w:cstheme="minorHAnsi"/>
          <w:sz w:val="40"/>
          <w:szCs w:val="40"/>
        </w:rPr>
      </w:pPr>
    </w:p>
    <w:p w14:paraId="6E460E5F" w14:textId="10A24228" w:rsidR="008A73DB" w:rsidRPr="002730AD" w:rsidRDefault="008A73DB" w:rsidP="00513FE6">
      <w:pPr>
        <w:rPr>
          <w:rFonts w:asciiTheme="minorHAnsi" w:hAnsiTheme="minorHAnsi" w:cstheme="minorHAnsi"/>
          <w:sz w:val="40"/>
          <w:szCs w:val="40"/>
        </w:rPr>
      </w:pPr>
    </w:p>
    <w:p w14:paraId="3BD0C4E2" w14:textId="531DEF76" w:rsidR="008A73DB" w:rsidRPr="002730AD" w:rsidRDefault="008A73DB" w:rsidP="00513FE6">
      <w:pPr>
        <w:rPr>
          <w:rFonts w:asciiTheme="minorHAnsi" w:hAnsiTheme="minorHAnsi" w:cstheme="minorHAnsi"/>
          <w:sz w:val="40"/>
          <w:szCs w:val="40"/>
        </w:rPr>
      </w:pPr>
    </w:p>
    <w:p w14:paraId="3E786825" w14:textId="2C402AF6" w:rsidR="008A73DB" w:rsidRPr="002730AD" w:rsidRDefault="008A73DB" w:rsidP="00513FE6">
      <w:pPr>
        <w:rPr>
          <w:rFonts w:asciiTheme="minorHAnsi" w:hAnsiTheme="minorHAnsi" w:cstheme="minorHAnsi"/>
          <w:sz w:val="40"/>
          <w:szCs w:val="40"/>
        </w:rPr>
      </w:pPr>
    </w:p>
    <w:p w14:paraId="37C75FEC" w14:textId="482BFD57" w:rsidR="008A73DB" w:rsidRPr="002730AD" w:rsidRDefault="008A73DB" w:rsidP="008A73DB">
      <w:pPr>
        <w:pStyle w:val="Heading1"/>
        <w:rPr>
          <w:rFonts w:asciiTheme="minorHAnsi" w:hAnsiTheme="minorHAnsi" w:cstheme="minorHAnsi"/>
        </w:rPr>
      </w:pPr>
      <w:bookmarkStart w:id="0" w:name="_Toc5734264"/>
      <w:r w:rsidRPr="002730AD">
        <w:rPr>
          <w:rFonts w:asciiTheme="minorHAnsi" w:hAnsiTheme="minorHAnsi" w:cstheme="minorHAnsi"/>
        </w:rPr>
        <w:lastRenderedPageBreak/>
        <w:t>Introduction</w:t>
      </w:r>
      <w:bookmarkEnd w:id="0"/>
    </w:p>
    <w:p w14:paraId="547C4CB8" w14:textId="79080E30" w:rsidR="008A73DB" w:rsidRPr="002730AD" w:rsidRDefault="008A73DB" w:rsidP="008A73DB">
      <w:pPr>
        <w:spacing w:line="480" w:lineRule="auto"/>
        <w:jc w:val="both"/>
        <w:rPr>
          <w:rFonts w:asciiTheme="minorHAnsi" w:hAnsiTheme="minorHAnsi" w:cstheme="minorHAnsi"/>
        </w:rPr>
      </w:pPr>
      <w:r w:rsidRPr="002730AD">
        <w:rPr>
          <w:rFonts w:asciiTheme="minorHAnsi" w:hAnsiTheme="minorHAnsi" w:cstheme="minorHAnsi"/>
        </w:rPr>
        <w:t>The aim of this assignment is to act as a commercial surveyor and offer advice and guidance on the relevant statutory procedures to a corporate landlord in order to end a business tenancy. The business tenancy in question relates to a tenant known as Fashion Retail Lt who have been in occupation for ten years and are now nearing the end of their lease. Rental in the area has increased since their last rent review which was conducted approximately five years ago, therefore the landlord would like to redevelop the property in order to exploit the rising rents. However, to redevelop the property the tenant would need to vacate for the works to be undertaken. Fashion Retail Lt has been a very good tenant and based on their history the landlord would ideally like to retain them. This assignment will look to set out the relevant law and advise how it can be applied to this case,</w:t>
      </w:r>
      <w:bookmarkStart w:id="1" w:name="_GoBack"/>
      <w:bookmarkEnd w:id="1"/>
      <w:r w:rsidRPr="002730AD">
        <w:rPr>
          <w:rFonts w:asciiTheme="minorHAnsi" w:hAnsiTheme="minorHAnsi" w:cstheme="minorHAnsi"/>
        </w:rPr>
        <w:t xml:space="preserve"> and provide a conclusion to the landlord and managing director on the best way forward. </w:t>
      </w:r>
    </w:p>
    <w:p w14:paraId="216655F3" w14:textId="0B6EEAC4" w:rsidR="008A73DB" w:rsidRPr="002730AD" w:rsidRDefault="008A73DB" w:rsidP="008A73DB">
      <w:pPr>
        <w:pStyle w:val="Heading1"/>
        <w:rPr>
          <w:rFonts w:asciiTheme="minorHAnsi" w:hAnsiTheme="minorHAnsi" w:cstheme="minorHAnsi"/>
        </w:rPr>
      </w:pPr>
      <w:bookmarkStart w:id="2" w:name="_Toc5734265"/>
      <w:r w:rsidRPr="002730AD">
        <w:rPr>
          <w:rFonts w:asciiTheme="minorHAnsi" w:hAnsiTheme="minorHAnsi" w:cstheme="minorHAnsi"/>
        </w:rPr>
        <w:t>The Relevant Law</w:t>
      </w:r>
      <w:bookmarkEnd w:id="2"/>
    </w:p>
    <w:p w14:paraId="2143EBEC" w14:textId="19F0CB44" w:rsidR="008A73DB" w:rsidRPr="002730AD" w:rsidRDefault="008A73DB" w:rsidP="008A73DB">
      <w:pPr>
        <w:spacing w:line="480" w:lineRule="auto"/>
        <w:jc w:val="both"/>
        <w:rPr>
          <w:rFonts w:asciiTheme="minorHAnsi" w:hAnsiTheme="minorHAnsi" w:cstheme="minorHAnsi"/>
        </w:rPr>
      </w:pPr>
      <w:r w:rsidRPr="002730AD">
        <w:rPr>
          <w:rFonts w:asciiTheme="minorHAnsi" w:hAnsiTheme="minorHAnsi" w:cstheme="minorHAnsi"/>
        </w:rPr>
        <w:t>The Landlord and Tenant Act 1985 (LTA 1985) is a UK Act of parliament introduced under Margaret Thatcher’s Government. The aim of the Act is to set out the rights and responsibilities of the landlord and tenant. The Act is made up of two parts</w:t>
      </w:r>
      <w:r w:rsidR="0074027B">
        <w:rPr>
          <w:rFonts w:asciiTheme="minorHAnsi" w:hAnsiTheme="minorHAnsi" w:cstheme="minorHAnsi"/>
        </w:rPr>
        <w:t xml:space="preserve">; </w:t>
      </w:r>
      <w:r w:rsidRPr="002730AD">
        <w:rPr>
          <w:rFonts w:asciiTheme="minorHAnsi" w:hAnsiTheme="minorHAnsi" w:cstheme="minorHAnsi"/>
        </w:rPr>
        <w:t xml:space="preserve">Part I, governs security of tenure for residential tenants, and Part II which governs security of tenure for business, professional and other tenants </w:t>
      </w:r>
      <w:r w:rsidRPr="002730AD">
        <w:rPr>
          <w:rFonts w:asciiTheme="minorHAnsi" w:hAnsiTheme="minorHAnsi" w:cstheme="minorHAnsi"/>
          <w:color w:val="000000" w:themeColor="text1"/>
        </w:rPr>
        <w:t xml:space="preserve">(Legislation.Gov, </w:t>
      </w:r>
      <w:r w:rsidR="0074027B">
        <w:rPr>
          <w:rFonts w:asciiTheme="minorHAnsi" w:hAnsiTheme="minorHAnsi" w:cstheme="minorHAnsi"/>
          <w:color w:val="000000" w:themeColor="text1"/>
        </w:rPr>
        <w:t>2019</w:t>
      </w:r>
      <w:r w:rsidRPr="002730AD">
        <w:rPr>
          <w:rFonts w:asciiTheme="minorHAnsi" w:hAnsiTheme="minorHAnsi" w:cstheme="minorHAnsi"/>
          <w:color w:val="000000" w:themeColor="text1"/>
        </w:rPr>
        <w:t xml:space="preserve">). </w:t>
      </w:r>
      <w:r w:rsidRPr="002730AD">
        <w:rPr>
          <w:rFonts w:asciiTheme="minorHAnsi" w:hAnsiTheme="minorHAnsi" w:cstheme="minorHAnsi"/>
        </w:rPr>
        <w:t xml:space="preserve">This assignment will be concentrating on Part II of the Act as the case scenario relates to a commercial lease. </w:t>
      </w:r>
    </w:p>
    <w:p w14:paraId="45BE6DE3" w14:textId="77777777" w:rsidR="008A73DB" w:rsidRPr="002730AD" w:rsidRDefault="008A73DB" w:rsidP="008A73DB">
      <w:pPr>
        <w:spacing w:line="480" w:lineRule="auto"/>
        <w:jc w:val="both"/>
        <w:rPr>
          <w:rFonts w:asciiTheme="minorHAnsi" w:hAnsiTheme="minorHAnsi" w:cstheme="minorHAnsi"/>
        </w:rPr>
      </w:pPr>
    </w:p>
    <w:p w14:paraId="358A7D4D" w14:textId="55B4C056" w:rsidR="008A73DB" w:rsidRPr="002730AD" w:rsidRDefault="008A73DB" w:rsidP="008A73DB">
      <w:pPr>
        <w:spacing w:line="480" w:lineRule="auto"/>
        <w:jc w:val="both"/>
        <w:rPr>
          <w:rFonts w:asciiTheme="minorHAnsi" w:hAnsiTheme="minorHAnsi" w:cstheme="minorHAnsi"/>
        </w:rPr>
      </w:pPr>
      <w:r w:rsidRPr="002730AD">
        <w:rPr>
          <w:rFonts w:asciiTheme="minorHAnsi" w:hAnsiTheme="minorHAnsi" w:cstheme="minorHAnsi"/>
        </w:rPr>
        <w:t xml:space="preserve">The Landlord and Tenant Act 1985 Part II pertains to business tenants and provides safety otherwise known as security of tenure. Security of tenure is the statutory right of a business tenant to renew their lease, either through statutory continuation or right to renew. Statutory continuation dictates that at the end of a protected tenancy the lease will automatically </w:t>
      </w:r>
      <w:r w:rsidRPr="002730AD">
        <w:rPr>
          <w:rFonts w:asciiTheme="minorHAnsi" w:hAnsiTheme="minorHAnsi" w:cstheme="minorHAnsi"/>
        </w:rPr>
        <w:lastRenderedPageBreak/>
        <w:t>renew on the same terms until such time</w:t>
      </w:r>
      <w:r w:rsidR="0074027B">
        <w:rPr>
          <w:rFonts w:asciiTheme="minorHAnsi" w:hAnsiTheme="minorHAnsi" w:cstheme="minorHAnsi"/>
        </w:rPr>
        <w:t xml:space="preserve"> that</w:t>
      </w:r>
      <w:r w:rsidRPr="002730AD">
        <w:rPr>
          <w:rFonts w:asciiTheme="minorHAnsi" w:hAnsiTheme="minorHAnsi" w:cstheme="minorHAnsi"/>
        </w:rPr>
        <w:t xml:space="preserve"> it is terminated in concurrence with the Act. If neither landlord or tenant are in agreement with the terms of a new </w:t>
      </w:r>
      <w:proofErr w:type="gramStart"/>
      <w:r w:rsidRPr="002730AD">
        <w:rPr>
          <w:rFonts w:asciiTheme="minorHAnsi" w:hAnsiTheme="minorHAnsi" w:cstheme="minorHAnsi"/>
        </w:rPr>
        <w:t>lease</w:t>
      </w:r>
      <w:proofErr w:type="gramEnd"/>
      <w:r w:rsidRPr="002730AD">
        <w:rPr>
          <w:rFonts w:asciiTheme="minorHAnsi" w:hAnsiTheme="minorHAnsi" w:cstheme="minorHAnsi"/>
        </w:rPr>
        <w:t xml:space="preserve"> then either</w:t>
      </w:r>
      <w:r w:rsidR="0074027B">
        <w:rPr>
          <w:rFonts w:asciiTheme="minorHAnsi" w:hAnsiTheme="minorHAnsi" w:cstheme="minorHAnsi"/>
        </w:rPr>
        <w:t xml:space="preserve"> party</w:t>
      </w:r>
      <w:r w:rsidRPr="002730AD">
        <w:rPr>
          <w:rFonts w:asciiTheme="minorHAnsi" w:hAnsiTheme="minorHAnsi" w:cstheme="minorHAnsi"/>
        </w:rPr>
        <w:t xml:space="preserve"> can apply to the court to decide the terms</w:t>
      </w:r>
      <w:r w:rsidR="0074027B">
        <w:rPr>
          <w:rFonts w:asciiTheme="minorHAnsi" w:hAnsiTheme="minorHAnsi" w:cstheme="minorHAnsi"/>
        </w:rPr>
        <w:t>; this is</w:t>
      </w:r>
      <w:r w:rsidRPr="002730AD">
        <w:rPr>
          <w:rFonts w:asciiTheme="minorHAnsi" w:hAnsiTheme="minorHAnsi" w:cstheme="minorHAnsi"/>
        </w:rPr>
        <w:t xml:space="preserve"> known as right to renew. The renewals are categorised into ‘opposed renewals’</w:t>
      </w:r>
      <w:r w:rsidR="0074027B">
        <w:rPr>
          <w:rFonts w:asciiTheme="minorHAnsi" w:hAnsiTheme="minorHAnsi" w:cstheme="minorHAnsi"/>
        </w:rPr>
        <w:t>,</w:t>
      </w:r>
      <w:r w:rsidRPr="002730AD">
        <w:rPr>
          <w:rFonts w:asciiTheme="minorHAnsi" w:hAnsiTheme="minorHAnsi" w:cstheme="minorHAnsi"/>
        </w:rPr>
        <w:t xml:space="preserve"> whereby the landlord wishes to oppose the renewal with the view to obtaining possession, and ‘unopposed renewals’, where the landlord agrees with the renewals but argues the terms of the new lease (Lewis Silkin, 2017.)     </w:t>
      </w:r>
    </w:p>
    <w:p w14:paraId="7D5215AE" w14:textId="77777777" w:rsidR="006B10A4" w:rsidRDefault="006B10A4" w:rsidP="008A73DB">
      <w:pPr>
        <w:spacing w:line="480" w:lineRule="auto"/>
        <w:jc w:val="both"/>
        <w:rPr>
          <w:rFonts w:asciiTheme="minorHAnsi" w:hAnsiTheme="minorHAnsi" w:cstheme="minorHAnsi"/>
        </w:rPr>
      </w:pPr>
    </w:p>
    <w:p w14:paraId="18D3E65F" w14:textId="03C024D8" w:rsidR="008A73DB" w:rsidRPr="002730AD" w:rsidRDefault="008A73DB" w:rsidP="008A73DB">
      <w:pPr>
        <w:spacing w:line="480" w:lineRule="auto"/>
        <w:jc w:val="both"/>
        <w:rPr>
          <w:rFonts w:asciiTheme="minorHAnsi" w:hAnsiTheme="minorHAnsi" w:cstheme="minorHAnsi"/>
        </w:rPr>
      </w:pPr>
      <w:r w:rsidRPr="002730AD">
        <w:rPr>
          <w:rFonts w:asciiTheme="minorHAnsi" w:hAnsiTheme="minorHAnsi" w:cstheme="minorHAnsi"/>
        </w:rPr>
        <w:t xml:space="preserve">There are a variety of ways in which a lease can be terminated outside of the Act. Firstly, the landlord and tenant can agree to ‘contract out’, but this agreement must be made at the start of discussions and should be recorded in the property heads of terms. If no agreement is made to ‘contract out’ then the tenant will have security of tenure (Practical Law, 2019). </w:t>
      </w:r>
    </w:p>
    <w:p w14:paraId="14399059" w14:textId="77777777" w:rsidR="008A73DB" w:rsidRPr="002730AD" w:rsidRDefault="008A73DB" w:rsidP="008A73DB">
      <w:pPr>
        <w:spacing w:line="480" w:lineRule="auto"/>
        <w:jc w:val="both"/>
        <w:rPr>
          <w:rFonts w:asciiTheme="minorHAnsi" w:hAnsiTheme="minorHAnsi" w:cstheme="minorHAnsi"/>
        </w:rPr>
      </w:pPr>
      <w:r w:rsidRPr="002730AD">
        <w:rPr>
          <w:rFonts w:asciiTheme="minorHAnsi" w:hAnsiTheme="minorHAnsi" w:cstheme="minorHAnsi"/>
        </w:rPr>
        <w:t xml:space="preserve"> </w:t>
      </w:r>
    </w:p>
    <w:p w14:paraId="7F6364E5" w14:textId="52054588" w:rsidR="008A73DB" w:rsidRPr="002730AD" w:rsidRDefault="008A73DB" w:rsidP="008A73DB">
      <w:pPr>
        <w:spacing w:line="480" w:lineRule="auto"/>
        <w:jc w:val="both"/>
        <w:rPr>
          <w:rFonts w:asciiTheme="minorHAnsi" w:hAnsiTheme="minorHAnsi" w:cstheme="minorHAnsi"/>
        </w:rPr>
      </w:pPr>
      <w:r w:rsidRPr="002730AD">
        <w:rPr>
          <w:rFonts w:asciiTheme="minorHAnsi" w:hAnsiTheme="minorHAnsi" w:cstheme="minorHAnsi"/>
        </w:rPr>
        <w:t xml:space="preserve">The second method of terminating outside of the Act is by forfeiture. This is where the landlord can regain control of their property due to a breach by the tenant thus terminating the lease. Depending on the reasoning and severity of the breach termination can occur immediately or following a period of notice. In all cases the landlord should seek professional advice to ensure the tenant has breached a condition set out in the lease, otherwise the landlord find themselves in breach. When forfeiture takes </w:t>
      </w:r>
      <w:r w:rsidR="00EB523A" w:rsidRPr="002730AD">
        <w:rPr>
          <w:rFonts w:asciiTheme="minorHAnsi" w:hAnsiTheme="minorHAnsi" w:cstheme="minorHAnsi"/>
        </w:rPr>
        <w:t>place,</w:t>
      </w:r>
      <w:r w:rsidRPr="002730AD">
        <w:rPr>
          <w:rFonts w:asciiTheme="minorHAnsi" w:hAnsiTheme="minorHAnsi" w:cstheme="minorHAnsi"/>
        </w:rPr>
        <w:t xml:space="preserve"> the landlord must issue the tenant with a S146[1] notice and must provide adequate time to rectify the breach. However, it is worth mentioning that this notice does not apply to non-payment of rent. The notice sets out the breach which has been contravened, and stipulates how the breach is to be corrected, be it through repair or financial reimbursement. If the tenant fails to comply with the notice only then can the landlord exercise the right to forfeiture (Walker Morris, 201</w:t>
      </w:r>
      <w:r w:rsidR="00DB7555">
        <w:rPr>
          <w:rFonts w:asciiTheme="minorHAnsi" w:hAnsiTheme="minorHAnsi" w:cstheme="minorHAnsi"/>
        </w:rPr>
        <w:t>4</w:t>
      </w:r>
      <w:r w:rsidRPr="002730AD">
        <w:rPr>
          <w:rFonts w:asciiTheme="minorHAnsi" w:hAnsiTheme="minorHAnsi" w:cstheme="minorHAnsi"/>
        </w:rPr>
        <w:t xml:space="preserve">).  </w:t>
      </w:r>
    </w:p>
    <w:p w14:paraId="232298BC" w14:textId="77777777" w:rsidR="008A73DB" w:rsidRPr="002730AD" w:rsidRDefault="008A73DB" w:rsidP="008A73DB">
      <w:pPr>
        <w:spacing w:line="480" w:lineRule="auto"/>
        <w:jc w:val="both"/>
        <w:rPr>
          <w:rFonts w:asciiTheme="minorHAnsi" w:hAnsiTheme="minorHAnsi" w:cstheme="minorHAnsi"/>
        </w:rPr>
      </w:pPr>
    </w:p>
    <w:p w14:paraId="39312517" w14:textId="547C4016" w:rsidR="008A73DB" w:rsidRPr="002730AD" w:rsidRDefault="008A73DB" w:rsidP="008A73DB">
      <w:pPr>
        <w:spacing w:line="480" w:lineRule="auto"/>
        <w:rPr>
          <w:rFonts w:asciiTheme="minorHAnsi" w:hAnsiTheme="minorHAnsi" w:cstheme="minorHAnsi"/>
        </w:rPr>
      </w:pPr>
      <w:r w:rsidRPr="002730AD">
        <w:rPr>
          <w:rFonts w:asciiTheme="minorHAnsi" w:hAnsiTheme="minorHAnsi" w:cstheme="minorHAnsi"/>
        </w:rPr>
        <w:lastRenderedPageBreak/>
        <w:t>The final way in which a lease can be terminated outside of the Act is by surrendering the tenancy. Surrendering is where both the landlord and tenant agree to end the tenancy agreement therefore ending all of the obligations and rights. The tenant can also end the lease early if the tenancy agreement contains a break clause which stipulates that either party can end the tenancy early e.g. a break option in the lease every five years. There are two methods of surrender namely ‘Express Surrender’ and ‘Implied Surrender’. Express surrender is a written agreement between both parties to end the tenancy. Implied surrender occurs when unmistakeable acts by the tenant and landlord are inconsistent with the continuance of the tenancy. In this instance the tenant will surrender the property to the landlord and remove all of their belongings. The tenant must continue to pay rent until the landlord has accepted the surrender (Shelter Legal, 2018).</w:t>
      </w:r>
    </w:p>
    <w:p w14:paraId="3DB377B4" w14:textId="643A90F0" w:rsidR="008A73DB" w:rsidRPr="002730AD" w:rsidRDefault="008A73DB" w:rsidP="008A73DB">
      <w:pPr>
        <w:pStyle w:val="Heading1"/>
        <w:rPr>
          <w:rFonts w:asciiTheme="minorHAnsi" w:hAnsiTheme="minorHAnsi" w:cstheme="minorHAnsi"/>
        </w:rPr>
      </w:pPr>
      <w:bookmarkStart w:id="3" w:name="_Toc5734266"/>
      <w:r w:rsidRPr="002730AD">
        <w:rPr>
          <w:rFonts w:asciiTheme="minorHAnsi" w:hAnsiTheme="minorHAnsi" w:cstheme="minorHAnsi"/>
        </w:rPr>
        <w:t>Serving of Notices</w:t>
      </w:r>
      <w:bookmarkEnd w:id="3"/>
    </w:p>
    <w:p w14:paraId="422F1192" w14:textId="34D98216" w:rsidR="008A73DB" w:rsidRPr="002730AD" w:rsidRDefault="008A73DB" w:rsidP="008A73DB">
      <w:pPr>
        <w:spacing w:line="480" w:lineRule="auto"/>
        <w:jc w:val="both"/>
        <w:rPr>
          <w:rFonts w:asciiTheme="minorHAnsi" w:hAnsiTheme="minorHAnsi" w:cstheme="minorHAnsi"/>
        </w:rPr>
      </w:pPr>
      <w:r w:rsidRPr="002730AD">
        <w:rPr>
          <w:rFonts w:asciiTheme="minorHAnsi" w:hAnsiTheme="minorHAnsi" w:cstheme="minorHAnsi"/>
        </w:rPr>
        <w:t>Service of all notices under the Landlord and Tenant Act 1954 are administered under section 23, which specifies that (I) the notice may be directed by registered post or special delivery to the last known place of residence or business in England and Wales. (II) Can be left at the last known place of business in England and Wales, or (III) can be served in person. However, the notice cannot be served by anyone, it must be served by the landlord or tenant who are the individual</w:t>
      </w:r>
      <w:r w:rsidR="006B10A4">
        <w:rPr>
          <w:rFonts w:asciiTheme="minorHAnsi" w:hAnsiTheme="minorHAnsi" w:cstheme="minorHAnsi"/>
        </w:rPr>
        <w:t>(s)</w:t>
      </w:r>
      <w:r w:rsidRPr="002730AD">
        <w:rPr>
          <w:rFonts w:asciiTheme="minorHAnsi" w:hAnsiTheme="minorHAnsi" w:cstheme="minorHAnsi"/>
        </w:rPr>
        <w:t xml:space="preserve"> legally assigned to the estate. The notice can also be issued by an agent e.g. solicitor, providing they are authorised; authorisation should always be evidenced to ensure the notice is valid. Where there are more than one tenant or landlord then notice must be served on each, however in instances of partnerships only the individuals who continue to occupy need notifying (</w:t>
      </w:r>
      <w:proofErr w:type="spellStart"/>
      <w:r w:rsidRPr="002730AD">
        <w:rPr>
          <w:rFonts w:asciiTheme="minorHAnsi" w:hAnsiTheme="minorHAnsi" w:cstheme="minorHAnsi"/>
        </w:rPr>
        <w:t>Ebdon</w:t>
      </w:r>
      <w:proofErr w:type="spellEnd"/>
      <w:r w:rsidRPr="002730AD">
        <w:rPr>
          <w:rFonts w:asciiTheme="minorHAnsi" w:hAnsiTheme="minorHAnsi" w:cstheme="minorHAnsi"/>
        </w:rPr>
        <w:t xml:space="preserve">, 2010). </w:t>
      </w:r>
    </w:p>
    <w:p w14:paraId="22C1DCB7" w14:textId="77777777" w:rsidR="008A73DB" w:rsidRPr="002730AD" w:rsidRDefault="008A73DB" w:rsidP="008A73DB">
      <w:pPr>
        <w:spacing w:line="480" w:lineRule="auto"/>
        <w:jc w:val="both"/>
        <w:rPr>
          <w:rFonts w:asciiTheme="minorHAnsi" w:hAnsiTheme="minorHAnsi" w:cstheme="minorHAnsi"/>
        </w:rPr>
      </w:pPr>
    </w:p>
    <w:p w14:paraId="35D735C8" w14:textId="4026DCC9" w:rsidR="008A73DB" w:rsidRPr="002730AD" w:rsidRDefault="008A73DB" w:rsidP="008A73DB">
      <w:pPr>
        <w:spacing w:line="480" w:lineRule="auto"/>
        <w:rPr>
          <w:rFonts w:asciiTheme="minorHAnsi" w:hAnsiTheme="minorHAnsi" w:cstheme="minorHAnsi"/>
        </w:rPr>
      </w:pPr>
      <w:r w:rsidRPr="002730AD">
        <w:rPr>
          <w:rFonts w:asciiTheme="minorHAnsi" w:hAnsiTheme="minorHAnsi" w:cstheme="minorHAnsi"/>
        </w:rPr>
        <w:lastRenderedPageBreak/>
        <w:t>Leaving a notice at the last known place of residence is accepted in a number of ways. Firstly, the notice can be issued to an individual at the address on the assumption that the individual will ensure the recipient receives the notice. Secondly, notices can be left secured to the door of the property even if the property is damaged and the receiver is not likely to access it. If the notice is intentionally hidden, then the issuer has not acted in good faith. Thirdly, notices can be left at the furthest point of the property to which members of the public can access, and finally notices can be placed under the door of the property. It is worth noting that section 23 does not specify when delivery of the notice has occurred therefore reliance on case law is necessary (</w:t>
      </w:r>
      <w:proofErr w:type="spellStart"/>
      <w:r w:rsidRPr="002730AD">
        <w:rPr>
          <w:rFonts w:asciiTheme="minorHAnsi" w:hAnsiTheme="minorHAnsi" w:cstheme="minorHAnsi"/>
        </w:rPr>
        <w:t>Ebdon</w:t>
      </w:r>
      <w:proofErr w:type="spellEnd"/>
      <w:r w:rsidRPr="002730AD">
        <w:rPr>
          <w:rFonts w:asciiTheme="minorHAnsi" w:hAnsiTheme="minorHAnsi" w:cstheme="minorHAnsi"/>
        </w:rPr>
        <w:t>, 2010).</w:t>
      </w:r>
    </w:p>
    <w:p w14:paraId="2DF0E16A" w14:textId="40AD26E0" w:rsidR="008A73DB" w:rsidRPr="002730AD" w:rsidRDefault="008A73DB" w:rsidP="008A73DB">
      <w:pPr>
        <w:pStyle w:val="Heading1"/>
        <w:rPr>
          <w:rFonts w:asciiTheme="minorHAnsi" w:hAnsiTheme="minorHAnsi" w:cstheme="minorHAnsi"/>
        </w:rPr>
      </w:pPr>
      <w:bookmarkStart w:id="4" w:name="_Toc5734267"/>
      <w:r w:rsidRPr="002730AD">
        <w:rPr>
          <w:rFonts w:asciiTheme="minorHAnsi" w:hAnsiTheme="minorHAnsi" w:cstheme="minorHAnsi"/>
        </w:rPr>
        <w:t>Renewing the Lease</w:t>
      </w:r>
      <w:bookmarkEnd w:id="4"/>
    </w:p>
    <w:p w14:paraId="5519ED0F" w14:textId="77777777" w:rsidR="00C13BF6" w:rsidRPr="002730AD" w:rsidRDefault="00C13BF6" w:rsidP="00C13BF6">
      <w:pPr>
        <w:spacing w:line="480" w:lineRule="auto"/>
        <w:jc w:val="both"/>
        <w:rPr>
          <w:rFonts w:asciiTheme="minorHAnsi" w:hAnsiTheme="minorHAnsi" w:cstheme="minorHAnsi"/>
        </w:rPr>
      </w:pPr>
      <w:r w:rsidRPr="002730AD">
        <w:rPr>
          <w:rFonts w:asciiTheme="minorHAnsi" w:hAnsiTheme="minorHAnsi" w:cstheme="minorHAnsi"/>
        </w:rPr>
        <w:t xml:space="preserve">The Landlord and Tenant Act 1954 provides stringent processes for renewing and terminating lease agreements. The Act enforces timescales which are critical to the outcome of the case and the court has no power to extend them (Lewis Silkin, 2017). A Section 25 notice is issued to a tenant when a landlord wishes to oppose a new tenancy agreement, or in instances where the landlord is happy to renew the lease but wishes to alter the terms of the new tenancy. The Section 25 notice classifies the end date of the lease and it cannot be served more than twelve months or less than six months before the stated date. If the landlord refuses to grant a new tenancy, then the Section 25 notice must identify the ground(s) of refusal (A-G) and these cannot be amended at a later date. It is worth noting that a Section 25 notice cannot be issued to a tenant if the tenant has already served a Section 26 notice. Equally, if the landlord has issued a Section 25 notice then the tenant cannot issue a section 26 notice, in this instance the tenant is required to respond on the landlord’s form (Practical Law, 2019). Following receipt of a Section 25 notice if the tenant wishes to renew their lease then negotiations will need to take place with the landlord. If both parties fail to reach an </w:t>
      </w:r>
      <w:r w:rsidRPr="002730AD">
        <w:rPr>
          <w:rFonts w:asciiTheme="minorHAnsi" w:hAnsiTheme="minorHAnsi" w:cstheme="minorHAnsi"/>
        </w:rPr>
        <w:lastRenderedPageBreak/>
        <w:t>agreement by the registered date, then both will need to agree an extension of time or apply to the courts. Landlords can also issue a single Section 25 notice to more than one tenancy, for example, on a tenant and subtenant (</w:t>
      </w:r>
      <w:proofErr w:type="spellStart"/>
      <w:r w:rsidRPr="002730AD">
        <w:rPr>
          <w:rFonts w:asciiTheme="minorHAnsi" w:hAnsiTheme="minorHAnsi" w:cstheme="minorHAnsi"/>
        </w:rPr>
        <w:t>Ebdon</w:t>
      </w:r>
      <w:proofErr w:type="spellEnd"/>
      <w:r w:rsidRPr="002730AD">
        <w:rPr>
          <w:rFonts w:asciiTheme="minorHAnsi" w:hAnsiTheme="minorHAnsi" w:cstheme="minorHAnsi"/>
        </w:rPr>
        <w:t xml:space="preserve">, 2010).  </w:t>
      </w:r>
    </w:p>
    <w:p w14:paraId="5EA8312A" w14:textId="77777777" w:rsidR="00C13BF6" w:rsidRPr="002730AD" w:rsidRDefault="00C13BF6" w:rsidP="00C13BF6">
      <w:pPr>
        <w:spacing w:line="480" w:lineRule="auto"/>
        <w:jc w:val="both"/>
        <w:rPr>
          <w:rFonts w:asciiTheme="minorHAnsi" w:hAnsiTheme="minorHAnsi" w:cstheme="minorHAnsi"/>
        </w:rPr>
      </w:pPr>
    </w:p>
    <w:p w14:paraId="7572F47E" w14:textId="77777777" w:rsidR="00C13BF6" w:rsidRPr="002730AD" w:rsidRDefault="00C13BF6" w:rsidP="00C13BF6">
      <w:pPr>
        <w:spacing w:line="480" w:lineRule="auto"/>
        <w:jc w:val="both"/>
        <w:rPr>
          <w:rFonts w:asciiTheme="minorHAnsi" w:hAnsiTheme="minorHAnsi" w:cstheme="minorHAnsi"/>
        </w:rPr>
      </w:pPr>
      <w:r w:rsidRPr="002730AD">
        <w:rPr>
          <w:rFonts w:asciiTheme="minorHAnsi" w:hAnsiTheme="minorHAnsi" w:cstheme="minorHAnsi"/>
        </w:rPr>
        <w:t xml:space="preserve">As stated above the tenant can begin proceedings by issuing a Section 26 notice on the landlord. The notice will set out the date of termination and the timescales for this are the same as above, no more than twelve or less than six months. The notice will also specify the new proposed terms of the tenancy e.g. is the proposed lease for all or part of the property. The tenant is not obliged to specify the duration of the new tenancy at this stage. If the landlord is unhappy with the proposed terms and wishes to object, he must serve a counter notice on the tenant within two months, along with the grounds for objection (A-G). If the landlord fails to issue a counter notice within the agreed timescale then he will lose the ability to oppose the tenants request, however he will still be able to dispute the terms of the proposed tenancy.  If the landlord is happy with the proposed new tenancy agreement then he does not need to do anything at all (Lewis Silkin, 2017).  </w:t>
      </w:r>
    </w:p>
    <w:p w14:paraId="561A769D" w14:textId="77777777" w:rsidR="00C13BF6" w:rsidRPr="002730AD" w:rsidRDefault="00C13BF6" w:rsidP="00C13BF6">
      <w:pPr>
        <w:spacing w:line="480" w:lineRule="auto"/>
        <w:jc w:val="both"/>
        <w:rPr>
          <w:rFonts w:asciiTheme="minorHAnsi" w:hAnsiTheme="minorHAnsi" w:cstheme="minorHAnsi"/>
        </w:rPr>
      </w:pPr>
    </w:p>
    <w:p w14:paraId="50455427" w14:textId="35BADE1A" w:rsidR="00C13BF6" w:rsidRPr="002730AD" w:rsidRDefault="00C13BF6" w:rsidP="00C13BF6">
      <w:pPr>
        <w:spacing w:line="480" w:lineRule="auto"/>
        <w:jc w:val="both"/>
        <w:rPr>
          <w:rFonts w:asciiTheme="minorHAnsi" w:hAnsiTheme="minorHAnsi" w:cstheme="minorHAnsi"/>
        </w:rPr>
      </w:pPr>
      <w:r w:rsidRPr="002730AD">
        <w:rPr>
          <w:rFonts w:asciiTheme="minorHAnsi" w:hAnsiTheme="minorHAnsi" w:cstheme="minorHAnsi"/>
        </w:rPr>
        <w:t xml:space="preserve">A landlord can only oppose the renewal of a new lease on one or more of the grounds </w:t>
      </w:r>
      <w:r w:rsidR="006B10A4">
        <w:rPr>
          <w:rFonts w:asciiTheme="minorHAnsi" w:hAnsiTheme="minorHAnsi" w:cstheme="minorHAnsi"/>
        </w:rPr>
        <w:t>(</w:t>
      </w:r>
      <w:r w:rsidRPr="002730AD">
        <w:rPr>
          <w:rFonts w:asciiTheme="minorHAnsi" w:hAnsiTheme="minorHAnsi" w:cstheme="minorHAnsi"/>
        </w:rPr>
        <w:t>A-G</w:t>
      </w:r>
      <w:r w:rsidR="006B10A4">
        <w:rPr>
          <w:rFonts w:asciiTheme="minorHAnsi" w:hAnsiTheme="minorHAnsi" w:cstheme="minorHAnsi"/>
        </w:rPr>
        <w:t>)</w:t>
      </w:r>
      <w:r w:rsidRPr="002730AD">
        <w:rPr>
          <w:rFonts w:asciiTheme="minorHAnsi" w:hAnsiTheme="minorHAnsi" w:cstheme="minorHAnsi"/>
        </w:rPr>
        <w:t xml:space="preserve"> as set out in Section 30. Ground A states that a tenancy can be declined if the tenant has failed to keep the property in a good state of repair, thus inferring the tenant has not met their obligations. Ground B pertains to the tenant persistently failing to pay rent on time. Ground C refers to the tenant carrying out substantial breaches or the tenants use and management of the property. Ground D is where the landlord has made efforts to provide alternative accommodation for the tenant, however the alternative accommodation must be reasonable and relevant to the tenant’s requirements. Ground E refers to sub tenancies where the </w:t>
      </w:r>
      <w:r w:rsidRPr="002730AD">
        <w:rPr>
          <w:rFonts w:asciiTheme="minorHAnsi" w:hAnsiTheme="minorHAnsi" w:cstheme="minorHAnsi"/>
        </w:rPr>
        <w:lastRenderedPageBreak/>
        <w:t xml:space="preserve">landlord can obtain a greater rental income by renting the premises as part of a larger unit, however this ground is seldom used due to its difficulty to satisfy the requirements. Ground F is where the landlord intends to demolish or redevelop the property on termination of the tenancy and cannot reasonably complete the works with the tenant in situ. This is the most commonly used ground and the landlord must be able to show evidence and </w:t>
      </w:r>
      <w:r w:rsidR="00EC6710">
        <w:rPr>
          <w:rFonts w:asciiTheme="minorHAnsi" w:hAnsiTheme="minorHAnsi" w:cstheme="minorHAnsi"/>
        </w:rPr>
        <w:t>legitimate</w:t>
      </w:r>
      <w:r w:rsidRPr="002730AD">
        <w:rPr>
          <w:rFonts w:asciiTheme="minorHAnsi" w:hAnsiTheme="minorHAnsi" w:cstheme="minorHAnsi"/>
        </w:rPr>
        <w:t xml:space="preserve"> intent that the works </w:t>
      </w:r>
      <w:r w:rsidR="00EC6710">
        <w:rPr>
          <w:rFonts w:asciiTheme="minorHAnsi" w:hAnsiTheme="minorHAnsi" w:cstheme="minorHAnsi"/>
        </w:rPr>
        <w:t>are</w:t>
      </w:r>
      <w:r w:rsidRPr="002730AD">
        <w:rPr>
          <w:rFonts w:asciiTheme="minorHAnsi" w:hAnsiTheme="minorHAnsi" w:cstheme="minorHAnsi"/>
        </w:rPr>
        <w:t xml:space="preserve"> to be carried out</w:t>
      </w:r>
      <w:r w:rsidR="00027893">
        <w:rPr>
          <w:rFonts w:asciiTheme="minorHAnsi" w:hAnsiTheme="minorHAnsi" w:cstheme="minorHAnsi"/>
        </w:rPr>
        <w:t>;</w:t>
      </w:r>
      <w:r w:rsidRPr="002730AD">
        <w:rPr>
          <w:rFonts w:asciiTheme="minorHAnsi" w:hAnsiTheme="minorHAnsi" w:cstheme="minorHAnsi"/>
        </w:rPr>
        <w:t xml:space="preserve"> intention on its own is not enough. Examples of this include approved plans, planning permission along with the financial capability to be able to undertake the works. Lastly Ground G applies if the landlord intends to occupy the premises for his or her own business or residence, however the landlord must have been acting in that capacity for at least five years before being able to rely on Ground G (Landlord and Tenant Act, 1954).    </w:t>
      </w:r>
    </w:p>
    <w:p w14:paraId="0EBA4452" w14:textId="77777777" w:rsidR="00C13BF6" w:rsidRPr="002730AD" w:rsidRDefault="00C13BF6" w:rsidP="00C13BF6">
      <w:pPr>
        <w:spacing w:line="480" w:lineRule="auto"/>
        <w:jc w:val="both"/>
        <w:rPr>
          <w:rFonts w:asciiTheme="minorHAnsi" w:hAnsiTheme="minorHAnsi" w:cstheme="minorHAnsi"/>
        </w:rPr>
      </w:pPr>
    </w:p>
    <w:p w14:paraId="4DB93458" w14:textId="291F6132" w:rsidR="00C13BF6" w:rsidRPr="002730AD" w:rsidRDefault="00C13BF6" w:rsidP="00C13BF6">
      <w:pPr>
        <w:spacing w:line="480" w:lineRule="auto"/>
        <w:rPr>
          <w:rFonts w:asciiTheme="minorHAnsi" w:hAnsiTheme="minorHAnsi" w:cstheme="minorHAnsi"/>
        </w:rPr>
      </w:pPr>
      <w:r w:rsidRPr="002730AD">
        <w:rPr>
          <w:rFonts w:asciiTheme="minorHAnsi" w:hAnsiTheme="minorHAnsi" w:cstheme="minorHAnsi"/>
        </w:rPr>
        <w:t xml:space="preserve">In recent case law [S Franses Ltd V </w:t>
      </w:r>
      <w:proofErr w:type="gramStart"/>
      <w:r w:rsidRPr="002730AD">
        <w:rPr>
          <w:rFonts w:asciiTheme="minorHAnsi" w:hAnsiTheme="minorHAnsi" w:cstheme="minorHAnsi"/>
        </w:rPr>
        <w:t>The</w:t>
      </w:r>
      <w:proofErr w:type="gramEnd"/>
      <w:r w:rsidRPr="002730AD">
        <w:rPr>
          <w:rFonts w:asciiTheme="minorHAnsi" w:hAnsiTheme="minorHAnsi" w:cstheme="minorHAnsi"/>
        </w:rPr>
        <w:t xml:space="preserve"> Cavendish Hotel (London) Ltd 2018] the tenant (S Franses) issued a Section 26 notice to renew the lease. The landlord (Cavendish Hotel) opposed the tenant’s application on Section 30 Ground F of the LTA 1985. The landlord formulated a plan in order to obtain possession of the property. The plan consisted of converting the premises into two retail units by lowering the basement floor for no apparent reason and demolishing an internal wall, only for it to be replaced by a similar wall. The landlord planned to proceed regardless of planning permission. The property in question </w:t>
      </w:r>
      <w:r w:rsidR="00027893">
        <w:rPr>
          <w:rFonts w:asciiTheme="minorHAnsi" w:hAnsiTheme="minorHAnsi" w:cstheme="minorHAnsi"/>
        </w:rPr>
        <w:t>was</w:t>
      </w:r>
      <w:r w:rsidRPr="002730AD">
        <w:rPr>
          <w:rFonts w:asciiTheme="minorHAnsi" w:hAnsiTheme="minorHAnsi" w:cstheme="minorHAnsi"/>
        </w:rPr>
        <w:t xml:space="preserve"> clearly highly desirable and in a prime location, and the works appeared unnecessary and would likely have been reversed shortly after. On appeal to the Supreme Court it was collectively decided that Ground F could not be used as the landlord did not intend to carry out the works (The Supreme Court, 201</w:t>
      </w:r>
      <w:r w:rsidR="00685FAD">
        <w:rPr>
          <w:rFonts w:asciiTheme="minorHAnsi" w:hAnsiTheme="minorHAnsi" w:cstheme="minorHAnsi"/>
        </w:rPr>
        <w:t>8</w:t>
      </w:r>
      <w:r w:rsidRPr="002730AD">
        <w:rPr>
          <w:rFonts w:asciiTheme="minorHAnsi" w:hAnsiTheme="minorHAnsi" w:cstheme="minorHAnsi"/>
        </w:rPr>
        <w:t>).</w:t>
      </w:r>
    </w:p>
    <w:p w14:paraId="7555E3E1" w14:textId="175CC000" w:rsidR="00C13BF6" w:rsidRPr="002730AD" w:rsidRDefault="00C13BF6" w:rsidP="00C13BF6">
      <w:pPr>
        <w:pStyle w:val="Heading1"/>
        <w:rPr>
          <w:rFonts w:asciiTheme="minorHAnsi" w:hAnsiTheme="minorHAnsi" w:cstheme="minorHAnsi"/>
        </w:rPr>
      </w:pPr>
      <w:bookmarkStart w:id="5" w:name="_Toc5734268"/>
      <w:r w:rsidRPr="002730AD">
        <w:rPr>
          <w:rFonts w:asciiTheme="minorHAnsi" w:hAnsiTheme="minorHAnsi" w:cstheme="minorHAnsi"/>
        </w:rPr>
        <w:lastRenderedPageBreak/>
        <w:t>Compensation</w:t>
      </w:r>
      <w:bookmarkEnd w:id="5"/>
    </w:p>
    <w:p w14:paraId="5C3E7F03" w14:textId="53DC4C83" w:rsidR="00C13BF6" w:rsidRPr="002730AD" w:rsidRDefault="00C13BF6" w:rsidP="00C13BF6">
      <w:pPr>
        <w:spacing w:line="480" w:lineRule="auto"/>
        <w:rPr>
          <w:rFonts w:asciiTheme="minorHAnsi" w:hAnsiTheme="minorHAnsi" w:cstheme="minorHAnsi"/>
        </w:rPr>
      </w:pPr>
      <w:r w:rsidRPr="002730AD">
        <w:rPr>
          <w:rFonts w:asciiTheme="minorHAnsi" w:hAnsiTheme="minorHAnsi" w:cstheme="minorHAnsi"/>
        </w:rPr>
        <w:t xml:space="preserve">Under Section 37 a tenant may be entitled to compensation if the tenancy has been declined on grounds (E), (F), or (G). The tenant cannot claim compensation under Section 37 if the court has refused the tenancy on other grounds, regardless </w:t>
      </w:r>
      <w:r w:rsidR="006D0AB1">
        <w:rPr>
          <w:rFonts w:asciiTheme="minorHAnsi" w:hAnsiTheme="minorHAnsi" w:cstheme="minorHAnsi"/>
        </w:rPr>
        <w:t>of whether</w:t>
      </w:r>
      <w:r w:rsidRPr="002730AD">
        <w:rPr>
          <w:rFonts w:asciiTheme="minorHAnsi" w:hAnsiTheme="minorHAnsi" w:cstheme="minorHAnsi"/>
        </w:rPr>
        <w:t xml:space="preserve"> grounds (E), (F), or (G) apply. If the landlord is an authority e.g. local council, who possess compulsory purchase powers then the tenant may be entitled to a disturbance payment under Part 3 of the Land Compensation Act 1973 (Landlord and Tenant Act, 1954). Compensation is calculated at 1x rateable value or when the tenant has been in occupation for fourteen years or more at 2x the rateable value of the property. Compensation is usually due upon the tenant vacating the premises</w:t>
      </w:r>
      <w:r w:rsidR="006D0AB1">
        <w:rPr>
          <w:rFonts w:asciiTheme="minorHAnsi" w:hAnsiTheme="minorHAnsi" w:cstheme="minorHAnsi"/>
        </w:rPr>
        <w:t>;</w:t>
      </w:r>
      <w:r w:rsidRPr="002730AD">
        <w:rPr>
          <w:rFonts w:asciiTheme="minorHAnsi" w:hAnsiTheme="minorHAnsi" w:cstheme="minorHAnsi"/>
        </w:rPr>
        <w:t xml:space="preserve"> leases frequently include clauses rejecting the right to compensation, however such clauses will not apply if the tenant has been in occupation for the last five years (Lewis Silkin, 2017).</w:t>
      </w:r>
    </w:p>
    <w:p w14:paraId="2C9D06F3" w14:textId="48D729B4" w:rsidR="00C13BF6" w:rsidRPr="002730AD" w:rsidRDefault="00C13BF6" w:rsidP="00C13BF6">
      <w:pPr>
        <w:pStyle w:val="Heading1"/>
        <w:rPr>
          <w:rFonts w:asciiTheme="minorHAnsi" w:hAnsiTheme="minorHAnsi" w:cstheme="minorHAnsi"/>
        </w:rPr>
      </w:pPr>
      <w:bookmarkStart w:id="6" w:name="_Toc5734269"/>
      <w:r w:rsidRPr="002730AD">
        <w:rPr>
          <w:rFonts w:asciiTheme="minorHAnsi" w:hAnsiTheme="minorHAnsi" w:cstheme="minorHAnsi"/>
        </w:rPr>
        <w:t>Recommendations</w:t>
      </w:r>
      <w:bookmarkEnd w:id="6"/>
      <w:r w:rsidRPr="002730AD">
        <w:rPr>
          <w:rFonts w:asciiTheme="minorHAnsi" w:hAnsiTheme="minorHAnsi" w:cstheme="minorHAnsi"/>
        </w:rPr>
        <w:t xml:space="preserve"> </w:t>
      </w:r>
    </w:p>
    <w:p w14:paraId="5F2AF077" w14:textId="77777777" w:rsidR="00C13BF6" w:rsidRPr="002730AD" w:rsidRDefault="00C13BF6" w:rsidP="00C13BF6">
      <w:pPr>
        <w:spacing w:line="480" w:lineRule="auto"/>
        <w:jc w:val="both"/>
        <w:rPr>
          <w:rFonts w:asciiTheme="minorHAnsi" w:hAnsiTheme="minorHAnsi" w:cstheme="minorHAnsi"/>
        </w:rPr>
      </w:pPr>
      <w:r w:rsidRPr="002730AD">
        <w:rPr>
          <w:rFonts w:asciiTheme="minorHAnsi" w:hAnsiTheme="minorHAnsi" w:cstheme="minorHAnsi"/>
        </w:rPr>
        <w:t xml:space="preserve">Having described the relevant law and its application, my recommendations to the managing director would be as follows. Fashion Retail Lt are a very good tenant and therefore all efforts should be made to negotiate in order to retain them. The first step would be to activate the procedure by issuing a Section 25 notice under the Landlord and Tenant Act 1954. The notice should state that the landlord opposes the grant of a new tenancy on Ground F, the intention to redevelop or demolish the property. Important attention should be placed on the case of [S Franses Ltd V </w:t>
      </w:r>
      <w:proofErr w:type="gramStart"/>
      <w:r w:rsidRPr="002730AD">
        <w:rPr>
          <w:rFonts w:asciiTheme="minorHAnsi" w:hAnsiTheme="minorHAnsi" w:cstheme="minorHAnsi"/>
        </w:rPr>
        <w:t>The</w:t>
      </w:r>
      <w:proofErr w:type="gramEnd"/>
      <w:r w:rsidRPr="002730AD">
        <w:rPr>
          <w:rFonts w:asciiTheme="minorHAnsi" w:hAnsiTheme="minorHAnsi" w:cstheme="minorHAnsi"/>
        </w:rPr>
        <w:t xml:space="preserve"> Cavendish Hotel (London) Ltd 2018] whereby I recommend that the corporate landlord is able to provide Fashion Retail Lt with evidence that the intention to re-develop the property is sincere and achievable, and is not practically feasible with Fashion Retail Lt in situ. Being a legal document, I would strongly advise that the corporate landlord appoints a solicitor to deal with this case. I discourage dealing with this case in-house due to </w:t>
      </w:r>
      <w:r w:rsidRPr="002730AD">
        <w:rPr>
          <w:rFonts w:asciiTheme="minorHAnsi" w:hAnsiTheme="minorHAnsi" w:cstheme="minorHAnsi"/>
        </w:rPr>
        <w:lastRenderedPageBreak/>
        <w:t xml:space="preserve">the fact that if errors are made there is no means of remuneration, where as if errors are made on behalf of a solicitor then the landlord has a means of compensation via their professional indemnity.     </w:t>
      </w:r>
    </w:p>
    <w:p w14:paraId="0D57EA63" w14:textId="77777777" w:rsidR="00C13BF6" w:rsidRPr="002730AD" w:rsidRDefault="00C13BF6" w:rsidP="00C13BF6">
      <w:pPr>
        <w:spacing w:line="480" w:lineRule="auto"/>
        <w:jc w:val="both"/>
        <w:rPr>
          <w:rFonts w:asciiTheme="minorHAnsi" w:hAnsiTheme="minorHAnsi" w:cstheme="minorHAnsi"/>
        </w:rPr>
      </w:pPr>
    </w:p>
    <w:p w14:paraId="00C793B0" w14:textId="05088ACD" w:rsidR="00C13BF6" w:rsidRPr="002730AD" w:rsidRDefault="00C13BF6" w:rsidP="00C13BF6">
      <w:pPr>
        <w:spacing w:line="480" w:lineRule="auto"/>
        <w:jc w:val="both"/>
        <w:rPr>
          <w:rFonts w:asciiTheme="minorHAnsi" w:hAnsiTheme="minorHAnsi" w:cstheme="minorHAnsi"/>
        </w:rPr>
      </w:pPr>
      <w:r w:rsidRPr="002730AD">
        <w:rPr>
          <w:rFonts w:asciiTheme="minorHAnsi" w:hAnsiTheme="minorHAnsi" w:cstheme="minorHAnsi"/>
        </w:rPr>
        <w:t xml:space="preserve">Whilst the above process shows the legal steps which need to be triggered and followed, in the real word negotiations and discussions occur outside of this. As stated, Fashion Retail Lt have been a very good tenant so negotiations should take place in order to retain them. My advice to the landlord would be to arrange a face to face meeting with them as soon as possible, this can be informal, for example over a cup of coffee or lunch. During the meeting acknowledge that they have been good tenants and explain that you want to give them as much notice as possible. Notify the tenant that you have issued a Section 25 notice on ground F and explain the reasoning for the notice. This </w:t>
      </w:r>
      <w:r w:rsidR="00656D2D">
        <w:rPr>
          <w:rFonts w:asciiTheme="minorHAnsi" w:hAnsiTheme="minorHAnsi" w:cstheme="minorHAnsi"/>
        </w:rPr>
        <w:t>tenancy</w:t>
      </w:r>
      <w:r w:rsidRPr="002730AD">
        <w:rPr>
          <w:rFonts w:asciiTheme="minorHAnsi" w:hAnsiTheme="minorHAnsi" w:cstheme="minorHAnsi"/>
        </w:rPr>
        <w:t xml:space="preserve"> is an apposed renewal, </w:t>
      </w:r>
      <w:r w:rsidR="006D0AB1">
        <w:rPr>
          <w:rFonts w:asciiTheme="minorHAnsi" w:hAnsiTheme="minorHAnsi" w:cstheme="minorHAnsi"/>
        </w:rPr>
        <w:t>and therefore</w:t>
      </w:r>
      <w:r w:rsidR="00F31325">
        <w:rPr>
          <w:rFonts w:asciiTheme="minorHAnsi" w:hAnsiTheme="minorHAnsi" w:cstheme="minorHAnsi"/>
        </w:rPr>
        <w:t xml:space="preserve"> when negotiating with the tenant</w:t>
      </w:r>
      <w:r w:rsidR="006D0AB1">
        <w:rPr>
          <w:rFonts w:asciiTheme="minorHAnsi" w:hAnsiTheme="minorHAnsi" w:cstheme="minorHAnsi"/>
        </w:rPr>
        <w:t xml:space="preserve"> care should be taken </w:t>
      </w:r>
      <w:r w:rsidRPr="002730AD">
        <w:rPr>
          <w:rFonts w:asciiTheme="minorHAnsi" w:hAnsiTheme="minorHAnsi" w:cstheme="minorHAnsi"/>
        </w:rPr>
        <w:t>to make it a non-hostile situation. Explain that the market in the area has moved on since the last rent review five years ago, and you feel that redeveloping the property will enable you to capitalise on the rising rents and bring the property in line with others in the area. The tenant will want to see evidence of this and will not appreciate only your word, therefore be forearmed with up to date valuations in order to confirm your statements. Explain to the tenant that it would not be reasonably practicable for the redevelopment works to take place whilst they are in occupation</w:t>
      </w:r>
      <w:r w:rsidR="00675D89">
        <w:rPr>
          <w:rFonts w:asciiTheme="minorHAnsi" w:hAnsiTheme="minorHAnsi" w:cstheme="minorHAnsi"/>
        </w:rPr>
        <w:t>.</w:t>
      </w:r>
      <w:r w:rsidRPr="002730AD">
        <w:rPr>
          <w:rFonts w:asciiTheme="minorHAnsi" w:hAnsiTheme="minorHAnsi" w:cstheme="minorHAnsi"/>
        </w:rPr>
        <w:t xml:space="preserve"> </w:t>
      </w:r>
      <w:r w:rsidR="00675D89">
        <w:rPr>
          <w:rFonts w:asciiTheme="minorHAnsi" w:hAnsiTheme="minorHAnsi" w:cstheme="minorHAnsi"/>
        </w:rPr>
        <w:t>T</w:t>
      </w:r>
      <w:r w:rsidRPr="002730AD">
        <w:rPr>
          <w:rFonts w:asciiTheme="minorHAnsi" w:hAnsiTheme="minorHAnsi" w:cstheme="minorHAnsi"/>
        </w:rPr>
        <w:t>his can be further backed up by showing them construction plans or planning permission. As previously identified intention on its own is not enough so</w:t>
      </w:r>
      <w:r w:rsidR="00675D89">
        <w:rPr>
          <w:rFonts w:asciiTheme="minorHAnsi" w:hAnsiTheme="minorHAnsi" w:cstheme="minorHAnsi"/>
        </w:rPr>
        <w:t xml:space="preserve"> it is paramount </w:t>
      </w:r>
      <w:proofErr w:type="gramStart"/>
      <w:r w:rsidR="00675D89">
        <w:rPr>
          <w:rFonts w:asciiTheme="minorHAnsi" w:hAnsiTheme="minorHAnsi" w:cstheme="minorHAnsi"/>
        </w:rPr>
        <w:t xml:space="preserve">that </w:t>
      </w:r>
      <w:r w:rsidRPr="002730AD">
        <w:rPr>
          <w:rFonts w:asciiTheme="minorHAnsi" w:hAnsiTheme="minorHAnsi" w:cstheme="minorHAnsi"/>
        </w:rPr>
        <w:t xml:space="preserve"> the</w:t>
      </w:r>
      <w:proofErr w:type="gramEnd"/>
      <w:r w:rsidRPr="002730AD">
        <w:rPr>
          <w:rFonts w:asciiTheme="minorHAnsi" w:hAnsiTheme="minorHAnsi" w:cstheme="minorHAnsi"/>
        </w:rPr>
        <w:t xml:space="preserve"> relevant proof of the redevelopment</w:t>
      </w:r>
      <w:r w:rsidR="00675D89">
        <w:rPr>
          <w:rFonts w:asciiTheme="minorHAnsi" w:hAnsiTheme="minorHAnsi" w:cstheme="minorHAnsi"/>
        </w:rPr>
        <w:t xml:space="preserve"> is available</w:t>
      </w:r>
      <w:r w:rsidRPr="002730AD">
        <w:rPr>
          <w:rFonts w:asciiTheme="minorHAnsi" w:hAnsiTheme="minorHAnsi" w:cstheme="minorHAnsi"/>
        </w:rPr>
        <w:t xml:space="preserve">. </w:t>
      </w:r>
    </w:p>
    <w:p w14:paraId="03797180" w14:textId="77777777" w:rsidR="00C13BF6" w:rsidRPr="002730AD" w:rsidRDefault="00C13BF6" w:rsidP="00C13BF6">
      <w:pPr>
        <w:spacing w:line="480" w:lineRule="auto"/>
        <w:jc w:val="both"/>
        <w:rPr>
          <w:rFonts w:asciiTheme="minorHAnsi" w:hAnsiTheme="minorHAnsi" w:cstheme="minorHAnsi"/>
        </w:rPr>
      </w:pPr>
    </w:p>
    <w:p w14:paraId="6EF041DA" w14:textId="77777777" w:rsidR="00EB2B4A" w:rsidRDefault="00C13BF6" w:rsidP="00C13BF6">
      <w:pPr>
        <w:spacing w:line="480" w:lineRule="auto"/>
        <w:jc w:val="both"/>
        <w:rPr>
          <w:rFonts w:asciiTheme="minorHAnsi" w:hAnsiTheme="minorHAnsi" w:cstheme="minorHAnsi"/>
        </w:rPr>
      </w:pPr>
      <w:r w:rsidRPr="002730AD">
        <w:rPr>
          <w:rFonts w:asciiTheme="minorHAnsi" w:hAnsiTheme="minorHAnsi" w:cstheme="minorHAnsi"/>
        </w:rPr>
        <w:lastRenderedPageBreak/>
        <w:t>During the negotiations with the tenant the landlord may wish to offer Fashion Retail Lt an element of space back following the redevelopment at a slightly reduced cost as a reward for being good tenants to date. Gestures such as these can go a long way with tenants and it further shows that you as a landlord appreciate their custom and wish to remain doing business with them. Furthermore, if negotiations are becoming laboured the landlord may wish to offer the tenant alternative accommodation whilst the redevelopment works are being carried out. The accommodation would need to be suitable and convenient for the tenant, for example it would</w:t>
      </w:r>
      <w:r w:rsidR="00EB2B4A">
        <w:rPr>
          <w:rFonts w:asciiTheme="minorHAnsi" w:hAnsiTheme="minorHAnsi" w:cstheme="minorHAnsi"/>
        </w:rPr>
        <w:t xml:space="preserve"> not</w:t>
      </w:r>
      <w:r w:rsidRPr="002730AD">
        <w:rPr>
          <w:rFonts w:asciiTheme="minorHAnsi" w:hAnsiTheme="minorHAnsi" w:cstheme="minorHAnsi"/>
        </w:rPr>
        <w:t xml:space="preserve"> be acceptable if the accommodation resulted in a dramatic reduction in revenue due to reduced footfall into the store. </w:t>
      </w:r>
    </w:p>
    <w:p w14:paraId="38E3C330" w14:textId="77777777" w:rsidR="00EB2B4A" w:rsidRDefault="00EB2B4A" w:rsidP="00C13BF6">
      <w:pPr>
        <w:spacing w:line="480" w:lineRule="auto"/>
        <w:jc w:val="both"/>
        <w:rPr>
          <w:rFonts w:asciiTheme="minorHAnsi" w:hAnsiTheme="minorHAnsi" w:cstheme="minorHAnsi"/>
        </w:rPr>
      </w:pPr>
    </w:p>
    <w:p w14:paraId="6503F592" w14:textId="121B3598" w:rsidR="00C13BF6" w:rsidRPr="002730AD" w:rsidRDefault="00C13BF6" w:rsidP="00C13BF6">
      <w:pPr>
        <w:spacing w:line="480" w:lineRule="auto"/>
        <w:jc w:val="both"/>
        <w:rPr>
          <w:rFonts w:asciiTheme="minorHAnsi" w:hAnsiTheme="minorHAnsi" w:cstheme="minorHAnsi"/>
        </w:rPr>
      </w:pPr>
      <w:r w:rsidRPr="002730AD">
        <w:rPr>
          <w:rFonts w:asciiTheme="minorHAnsi" w:hAnsiTheme="minorHAnsi" w:cstheme="minorHAnsi"/>
        </w:rPr>
        <w:t xml:space="preserve">As this case is a protected tenancy compensation would need to be paid. Fashion Retail Lt have been in occupation for ten years; therefore, compensation will be paid a 1x rateable value of the property. If Fashion Retail Lt are not open to negotiations and do not wish to renew the tenancy you could offer a nil premium where both parties walk away without incurring costs.  </w:t>
      </w:r>
    </w:p>
    <w:p w14:paraId="4C92C5E2" w14:textId="30831757" w:rsidR="00C13BF6" w:rsidRPr="002730AD" w:rsidRDefault="00C13BF6" w:rsidP="00C13BF6">
      <w:pPr>
        <w:pStyle w:val="Heading1"/>
        <w:rPr>
          <w:rFonts w:asciiTheme="minorHAnsi" w:hAnsiTheme="minorHAnsi" w:cstheme="minorHAnsi"/>
        </w:rPr>
      </w:pPr>
      <w:bookmarkStart w:id="7" w:name="_Toc5734270"/>
      <w:r w:rsidRPr="002730AD">
        <w:rPr>
          <w:rFonts w:asciiTheme="minorHAnsi" w:hAnsiTheme="minorHAnsi" w:cstheme="minorHAnsi"/>
        </w:rPr>
        <w:t>Conclusion</w:t>
      </w:r>
      <w:bookmarkEnd w:id="7"/>
    </w:p>
    <w:p w14:paraId="30231F6D" w14:textId="552EA645" w:rsidR="00C13BF6" w:rsidRPr="002730AD" w:rsidRDefault="00C13BF6" w:rsidP="00C13BF6">
      <w:pPr>
        <w:spacing w:line="480" w:lineRule="auto"/>
        <w:rPr>
          <w:rFonts w:asciiTheme="minorHAnsi" w:hAnsiTheme="minorHAnsi" w:cstheme="minorHAnsi"/>
        </w:rPr>
      </w:pPr>
      <w:r w:rsidRPr="002730AD">
        <w:rPr>
          <w:rFonts w:asciiTheme="minorHAnsi" w:hAnsiTheme="minorHAnsi" w:cstheme="minorHAnsi"/>
        </w:rPr>
        <w:t>Whilst this assignment has provided advice on the relevant statutory procedures to end a business tenancy, it is significant to note that I am acting in the capacity of a commercial surveyor</w:t>
      </w:r>
      <w:r w:rsidR="00EB2B4A">
        <w:rPr>
          <w:rFonts w:asciiTheme="minorHAnsi" w:hAnsiTheme="minorHAnsi" w:cstheme="minorHAnsi"/>
        </w:rPr>
        <w:t>;</w:t>
      </w:r>
      <w:r w:rsidRPr="002730AD">
        <w:rPr>
          <w:rFonts w:asciiTheme="minorHAnsi" w:hAnsiTheme="minorHAnsi" w:cstheme="minorHAnsi"/>
        </w:rPr>
        <w:t xml:space="preserve"> therefore I recommend advice</w:t>
      </w:r>
      <w:r w:rsidR="00EB2B4A">
        <w:rPr>
          <w:rFonts w:asciiTheme="minorHAnsi" w:hAnsiTheme="minorHAnsi" w:cstheme="minorHAnsi"/>
        </w:rPr>
        <w:t xml:space="preserve"> is sought</w:t>
      </w:r>
      <w:r w:rsidRPr="002730AD">
        <w:rPr>
          <w:rFonts w:asciiTheme="minorHAnsi" w:hAnsiTheme="minorHAnsi" w:cstheme="minorHAnsi"/>
        </w:rPr>
        <w:t xml:space="preserve"> from a specialist lawyer or solicitor. We have seen that the Landlord and Tenant Act 1954 imposes strict procedures and timescales and it is therefore important that proceedings are dealt with by professionals to avoid falling foul of breaches. Whilst it is always beneficial to meet and negotiate with a tenant face to face in order to reach </w:t>
      </w:r>
      <w:r w:rsidR="0073422F" w:rsidRPr="002730AD">
        <w:rPr>
          <w:rFonts w:asciiTheme="minorHAnsi" w:hAnsiTheme="minorHAnsi" w:cstheme="minorHAnsi"/>
        </w:rPr>
        <w:t>resolution</w:t>
      </w:r>
      <w:r w:rsidRPr="002730AD">
        <w:rPr>
          <w:rFonts w:asciiTheme="minorHAnsi" w:hAnsiTheme="minorHAnsi" w:cstheme="minorHAnsi"/>
        </w:rPr>
        <w:t xml:space="preserve"> and avoid friction, it is paramount to serve notice on them in line with the Act in case they go against the agreement at the last hour.</w:t>
      </w:r>
    </w:p>
    <w:p w14:paraId="1DF44948" w14:textId="329515E3" w:rsidR="00C13BF6" w:rsidRDefault="00C13BF6" w:rsidP="00C13BF6">
      <w:pPr>
        <w:pStyle w:val="Heading1"/>
        <w:rPr>
          <w:rFonts w:asciiTheme="minorHAnsi" w:hAnsiTheme="minorHAnsi" w:cstheme="minorHAnsi"/>
        </w:rPr>
      </w:pPr>
      <w:bookmarkStart w:id="8" w:name="_Toc5734271"/>
      <w:r w:rsidRPr="002730AD">
        <w:rPr>
          <w:rFonts w:asciiTheme="minorHAnsi" w:hAnsiTheme="minorHAnsi" w:cstheme="minorHAnsi"/>
        </w:rPr>
        <w:lastRenderedPageBreak/>
        <w:t>References</w:t>
      </w:r>
      <w:bookmarkEnd w:id="8"/>
    </w:p>
    <w:p w14:paraId="340D5B5C" w14:textId="4256774C" w:rsidR="004F6A74" w:rsidRPr="006F6C98" w:rsidRDefault="004F6A74" w:rsidP="001A6126">
      <w:pPr>
        <w:rPr>
          <w:rFonts w:asciiTheme="minorHAnsi" w:hAnsiTheme="minorHAnsi" w:cstheme="minorHAnsi"/>
        </w:rPr>
      </w:pPr>
      <w:proofErr w:type="spellStart"/>
      <w:r>
        <w:rPr>
          <w:rFonts w:asciiTheme="minorHAnsi" w:hAnsiTheme="minorHAnsi" w:cstheme="minorHAnsi"/>
        </w:rPr>
        <w:t>Ebdon</w:t>
      </w:r>
      <w:proofErr w:type="spellEnd"/>
      <w:r w:rsidR="006F6C98">
        <w:rPr>
          <w:rFonts w:asciiTheme="minorHAnsi" w:hAnsiTheme="minorHAnsi" w:cstheme="minorHAnsi"/>
        </w:rPr>
        <w:t xml:space="preserve">, R. (2010) </w:t>
      </w:r>
      <w:r w:rsidR="006F6C98">
        <w:rPr>
          <w:rFonts w:asciiTheme="minorHAnsi" w:hAnsiTheme="minorHAnsi" w:cstheme="minorHAnsi"/>
          <w:i/>
        </w:rPr>
        <w:t>Landlord and tenant Act 1954, Part II business tenancies</w:t>
      </w:r>
      <w:r w:rsidR="006F6C98">
        <w:rPr>
          <w:rFonts w:asciiTheme="minorHAnsi" w:hAnsiTheme="minorHAnsi" w:cstheme="minorHAnsi"/>
        </w:rPr>
        <w:t xml:space="preserve">. Oxfordshire: </w:t>
      </w:r>
      <w:proofErr w:type="spellStart"/>
      <w:r w:rsidR="006F6C98">
        <w:rPr>
          <w:rFonts w:asciiTheme="minorHAnsi" w:hAnsiTheme="minorHAnsi" w:cstheme="minorHAnsi"/>
        </w:rPr>
        <w:t>BrookStreet</w:t>
      </w:r>
      <w:proofErr w:type="spellEnd"/>
      <w:r w:rsidR="006F6C98">
        <w:rPr>
          <w:rFonts w:asciiTheme="minorHAnsi" w:hAnsiTheme="minorHAnsi" w:cstheme="minorHAnsi"/>
        </w:rPr>
        <w:t xml:space="preserve"> des Roches. </w:t>
      </w:r>
    </w:p>
    <w:p w14:paraId="08DAD7EB" w14:textId="77777777" w:rsidR="004F6A74" w:rsidRDefault="004F6A74" w:rsidP="001A6126">
      <w:pPr>
        <w:rPr>
          <w:rFonts w:asciiTheme="minorHAnsi" w:hAnsiTheme="minorHAnsi" w:cstheme="minorHAnsi"/>
        </w:rPr>
      </w:pPr>
    </w:p>
    <w:p w14:paraId="4080E26C" w14:textId="7F76BA6D" w:rsidR="00C13BF6" w:rsidRPr="002730AD" w:rsidRDefault="00003400" w:rsidP="001A6126">
      <w:pPr>
        <w:rPr>
          <w:rFonts w:asciiTheme="minorHAnsi" w:hAnsiTheme="minorHAnsi" w:cstheme="minorHAnsi"/>
        </w:rPr>
      </w:pPr>
      <w:proofErr w:type="spellStart"/>
      <w:r w:rsidRPr="00003400">
        <w:rPr>
          <w:rFonts w:asciiTheme="minorHAnsi" w:hAnsiTheme="minorHAnsi" w:cstheme="minorHAnsi"/>
        </w:rPr>
        <w:t>Kilcoyne</w:t>
      </w:r>
      <w:proofErr w:type="spellEnd"/>
      <w:r>
        <w:rPr>
          <w:rFonts w:asciiTheme="minorHAnsi" w:hAnsiTheme="minorHAnsi" w:cstheme="minorHAnsi"/>
        </w:rPr>
        <w:t xml:space="preserve">, B. (2017) </w:t>
      </w:r>
      <w:r>
        <w:rPr>
          <w:rFonts w:asciiTheme="minorHAnsi" w:hAnsiTheme="minorHAnsi" w:cstheme="minorHAnsi"/>
          <w:i/>
        </w:rPr>
        <w:t xml:space="preserve">Landlord &amp; tenant Act 1954 – the basics. </w:t>
      </w:r>
      <w:r>
        <w:rPr>
          <w:rFonts w:asciiTheme="minorHAnsi" w:hAnsiTheme="minorHAnsi" w:cstheme="minorHAnsi"/>
        </w:rPr>
        <w:t xml:space="preserve">London: Lewis Silkin.  </w:t>
      </w:r>
      <w:r w:rsidRPr="00003400">
        <w:rPr>
          <w:rFonts w:asciiTheme="minorHAnsi" w:hAnsiTheme="minorHAnsi" w:cstheme="minorHAnsi"/>
        </w:rPr>
        <w:t xml:space="preserve"> </w:t>
      </w:r>
    </w:p>
    <w:p w14:paraId="2B7B1E34" w14:textId="77777777" w:rsidR="00C13BF6" w:rsidRPr="002730AD" w:rsidRDefault="00C13BF6" w:rsidP="00C13BF6">
      <w:pPr>
        <w:spacing w:line="276" w:lineRule="auto"/>
        <w:jc w:val="both"/>
        <w:rPr>
          <w:rFonts w:asciiTheme="minorHAnsi" w:hAnsiTheme="minorHAnsi" w:cstheme="minorHAnsi"/>
        </w:rPr>
      </w:pPr>
    </w:p>
    <w:p w14:paraId="3E751929" w14:textId="1EF821D3" w:rsidR="00357F05" w:rsidRDefault="00C13BF6" w:rsidP="00357F05">
      <w:pPr>
        <w:spacing w:line="276" w:lineRule="auto"/>
        <w:rPr>
          <w:rFonts w:asciiTheme="minorHAnsi" w:hAnsiTheme="minorHAnsi" w:cstheme="minorHAnsi"/>
        </w:rPr>
      </w:pPr>
      <w:r w:rsidRPr="00357F05">
        <w:rPr>
          <w:rFonts w:asciiTheme="minorHAnsi" w:hAnsiTheme="minorHAnsi" w:cstheme="minorHAnsi"/>
          <w:i/>
        </w:rPr>
        <w:t>Landlord and Tenant Act, 1954 Part 2</w:t>
      </w:r>
      <w:r w:rsidR="00357F05">
        <w:rPr>
          <w:rFonts w:asciiTheme="minorHAnsi" w:hAnsiTheme="minorHAnsi" w:cstheme="minorHAnsi"/>
          <w:i/>
        </w:rPr>
        <w:t xml:space="preserve">, c.70. </w:t>
      </w:r>
      <w:r w:rsidR="00357F05">
        <w:rPr>
          <w:rFonts w:asciiTheme="minorHAnsi" w:hAnsiTheme="minorHAnsi" w:cstheme="minorHAnsi"/>
        </w:rPr>
        <w:t xml:space="preserve">Available at: </w:t>
      </w:r>
      <w:hyperlink r:id="rId7" w:history="1">
        <w:r w:rsidR="00357F05" w:rsidRPr="008B37D2">
          <w:rPr>
            <w:rStyle w:val="Hyperlink"/>
            <w:rFonts w:asciiTheme="minorHAnsi" w:hAnsiTheme="minorHAnsi" w:cstheme="minorHAnsi"/>
          </w:rPr>
          <w:t>https://www.legislation.gov.uk/ukpga/1985/70</w:t>
        </w:r>
      </w:hyperlink>
      <w:r w:rsidR="00357F05">
        <w:rPr>
          <w:rFonts w:asciiTheme="minorHAnsi" w:hAnsiTheme="minorHAnsi" w:cstheme="minorHAnsi"/>
        </w:rPr>
        <w:t xml:space="preserve"> (Accessed: 10</w:t>
      </w:r>
      <w:r w:rsidR="00357F05" w:rsidRPr="00357F05">
        <w:rPr>
          <w:rFonts w:asciiTheme="minorHAnsi" w:hAnsiTheme="minorHAnsi" w:cstheme="minorHAnsi"/>
          <w:vertAlign w:val="superscript"/>
        </w:rPr>
        <w:t>th</w:t>
      </w:r>
      <w:r w:rsidR="00357F05">
        <w:rPr>
          <w:rFonts w:asciiTheme="minorHAnsi" w:hAnsiTheme="minorHAnsi" w:cstheme="minorHAnsi"/>
        </w:rPr>
        <w:t xml:space="preserve"> March 2019). </w:t>
      </w:r>
    </w:p>
    <w:p w14:paraId="30366C20" w14:textId="32DEE49D" w:rsidR="0079232D" w:rsidRDefault="0079232D" w:rsidP="00357F05">
      <w:pPr>
        <w:spacing w:line="276" w:lineRule="auto"/>
        <w:rPr>
          <w:rFonts w:asciiTheme="minorHAnsi" w:hAnsiTheme="minorHAnsi" w:cstheme="minorHAnsi"/>
        </w:rPr>
      </w:pPr>
    </w:p>
    <w:p w14:paraId="2BF51E79" w14:textId="05F356D1" w:rsidR="0079232D" w:rsidRPr="00685FAD" w:rsidRDefault="0079232D" w:rsidP="00357F05">
      <w:pPr>
        <w:spacing w:line="276" w:lineRule="auto"/>
        <w:rPr>
          <w:rFonts w:asciiTheme="minorHAnsi" w:hAnsiTheme="minorHAnsi" w:cstheme="minorHAnsi"/>
        </w:rPr>
      </w:pPr>
      <w:r>
        <w:rPr>
          <w:rFonts w:asciiTheme="minorHAnsi" w:hAnsiTheme="minorHAnsi" w:cstheme="minorHAnsi"/>
          <w:i/>
        </w:rPr>
        <w:t xml:space="preserve">‘S Franses Ltd (Appellant) v The Cavendish Hotel (London) Ltd (Respondent)’ </w:t>
      </w:r>
      <w:r>
        <w:rPr>
          <w:rFonts w:asciiTheme="minorHAnsi" w:hAnsiTheme="minorHAnsi" w:cstheme="minorHAnsi"/>
        </w:rPr>
        <w:t xml:space="preserve">(2018) United Kingdom </w:t>
      </w:r>
      <w:proofErr w:type="gramStart"/>
      <w:r>
        <w:rPr>
          <w:rFonts w:asciiTheme="minorHAnsi" w:hAnsiTheme="minorHAnsi" w:cstheme="minorHAnsi"/>
        </w:rPr>
        <w:t>The</w:t>
      </w:r>
      <w:proofErr w:type="gramEnd"/>
      <w:r>
        <w:rPr>
          <w:rFonts w:asciiTheme="minorHAnsi" w:hAnsiTheme="minorHAnsi" w:cstheme="minorHAnsi"/>
        </w:rPr>
        <w:t xml:space="preserve"> Supreme Court, case 62. </w:t>
      </w:r>
      <w:r w:rsidR="00685FAD" w:rsidRPr="00685FAD">
        <w:rPr>
          <w:rFonts w:asciiTheme="minorHAnsi" w:hAnsiTheme="minorHAnsi" w:cstheme="minorHAnsi"/>
          <w:i/>
        </w:rPr>
        <w:t>Supreme Court</w:t>
      </w:r>
      <w:r w:rsidR="00685FAD">
        <w:rPr>
          <w:rFonts w:asciiTheme="minorHAnsi" w:hAnsiTheme="minorHAnsi" w:cstheme="minorHAnsi"/>
        </w:rPr>
        <w:t xml:space="preserve"> [online] Available at: </w:t>
      </w:r>
      <w:hyperlink r:id="rId8" w:history="1">
        <w:r w:rsidR="00685FAD" w:rsidRPr="008B37D2">
          <w:rPr>
            <w:rStyle w:val="Hyperlink"/>
            <w:rFonts w:asciiTheme="minorHAnsi" w:hAnsiTheme="minorHAnsi" w:cstheme="minorHAnsi"/>
          </w:rPr>
          <w:t>https://www.supremecourt.uk/cases/docs/uksc-2017-0151-judgment.pdf</w:t>
        </w:r>
      </w:hyperlink>
      <w:r w:rsidR="00685FAD">
        <w:rPr>
          <w:rFonts w:asciiTheme="minorHAnsi" w:hAnsiTheme="minorHAnsi" w:cstheme="minorHAnsi"/>
        </w:rPr>
        <w:t xml:space="preserve"> (Accessed: 15</w:t>
      </w:r>
      <w:r w:rsidR="00685FAD" w:rsidRPr="00685FAD">
        <w:rPr>
          <w:rFonts w:asciiTheme="minorHAnsi" w:hAnsiTheme="minorHAnsi" w:cstheme="minorHAnsi"/>
          <w:vertAlign w:val="superscript"/>
        </w:rPr>
        <w:t>th</w:t>
      </w:r>
      <w:r w:rsidR="00685FAD">
        <w:rPr>
          <w:rFonts w:asciiTheme="minorHAnsi" w:hAnsiTheme="minorHAnsi" w:cstheme="minorHAnsi"/>
        </w:rPr>
        <w:t xml:space="preserve"> March 2019). </w:t>
      </w:r>
    </w:p>
    <w:p w14:paraId="6B12A399" w14:textId="451B07DD" w:rsidR="001A6126" w:rsidRDefault="001A6126" w:rsidP="00357F05">
      <w:pPr>
        <w:spacing w:line="276" w:lineRule="auto"/>
        <w:rPr>
          <w:rFonts w:asciiTheme="minorHAnsi" w:hAnsiTheme="minorHAnsi" w:cstheme="minorHAnsi"/>
        </w:rPr>
      </w:pPr>
    </w:p>
    <w:p w14:paraId="390976B0" w14:textId="2E785FB2" w:rsidR="001A6126" w:rsidRPr="001A6126" w:rsidRDefault="001A6126" w:rsidP="00357F05">
      <w:pPr>
        <w:spacing w:line="276" w:lineRule="auto"/>
        <w:rPr>
          <w:rFonts w:asciiTheme="minorHAnsi" w:hAnsiTheme="minorHAnsi" w:cstheme="minorHAnsi"/>
        </w:rPr>
      </w:pPr>
      <w:r>
        <w:rPr>
          <w:rFonts w:asciiTheme="minorHAnsi" w:hAnsiTheme="minorHAnsi" w:cstheme="minorHAnsi"/>
        </w:rPr>
        <w:t xml:space="preserve">Shelter Legal England &amp; Wales (2018) </w:t>
      </w:r>
      <w:r>
        <w:rPr>
          <w:rFonts w:asciiTheme="minorHAnsi" w:hAnsiTheme="minorHAnsi" w:cstheme="minorHAnsi"/>
          <w:i/>
        </w:rPr>
        <w:t xml:space="preserve">Surrender. </w:t>
      </w:r>
      <w:r>
        <w:rPr>
          <w:rFonts w:asciiTheme="minorHAnsi" w:hAnsiTheme="minorHAnsi" w:cstheme="minorHAnsi"/>
        </w:rPr>
        <w:t xml:space="preserve"> Available at: </w:t>
      </w:r>
      <w:hyperlink r:id="rId9" w:history="1">
        <w:r w:rsidRPr="008B37D2">
          <w:rPr>
            <w:rStyle w:val="Hyperlink"/>
            <w:rFonts w:asciiTheme="minorHAnsi" w:hAnsiTheme="minorHAnsi" w:cstheme="minorHAnsi"/>
          </w:rPr>
          <w:t>http://england.shelter.org.uk/legal/security_of_tenure/notices/surrender</w:t>
        </w:r>
      </w:hyperlink>
      <w:r>
        <w:rPr>
          <w:rFonts w:asciiTheme="minorHAnsi" w:hAnsiTheme="minorHAnsi" w:cstheme="minorHAnsi"/>
        </w:rPr>
        <w:t xml:space="preserve"> (Accessed: 15</w:t>
      </w:r>
      <w:r w:rsidRPr="001A6126">
        <w:rPr>
          <w:rFonts w:asciiTheme="minorHAnsi" w:hAnsiTheme="minorHAnsi" w:cstheme="minorHAnsi"/>
          <w:vertAlign w:val="superscript"/>
        </w:rPr>
        <w:t>th</w:t>
      </w:r>
      <w:r>
        <w:rPr>
          <w:rFonts w:asciiTheme="minorHAnsi" w:hAnsiTheme="minorHAnsi" w:cstheme="minorHAnsi"/>
        </w:rPr>
        <w:t xml:space="preserve"> March 2019). </w:t>
      </w:r>
    </w:p>
    <w:p w14:paraId="6CB43AE5" w14:textId="77777777" w:rsidR="00C13BF6" w:rsidRPr="002730AD" w:rsidRDefault="00C13BF6" w:rsidP="00C13BF6">
      <w:pPr>
        <w:spacing w:line="276" w:lineRule="auto"/>
        <w:jc w:val="both"/>
        <w:rPr>
          <w:rFonts w:asciiTheme="minorHAnsi" w:hAnsiTheme="minorHAnsi" w:cstheme="minorHAnsi"/>
        </w:rPr>
      </w:pPr>
    </w:p>
    <w:p w14:paraId="73AE532A" w14:textId="7CB6B4A5" w:rsidR="00C13BF6" w:rsidRPr="002730AD" w:rsidRDefault="000030C4" w:rsidP="00685FAD">
      <w:pPr>
        <w:spacing w:line="276" w:lineRule="auto"/>
        <w:rPr>
          <w:rFonts w:asciiTheme="minorHAnsi" w:hAnsiTheme="minorHAnsi" w:cstheme="minorHAnsi"/>
        </w:rPr>
      </w:pPr>
      <w:r>
        <w:rPr>
          <w:rFonts w:asciiTheme="minorHAnsi" w:hAnsiTheme="minorHAnsi" w:cstheme="minorHAnsi"/>
        </w:rPr>
        <w:t>Thomson Reuters</w:t>
      </w:r>
      <w:r w:rsidR="005D24C8">
        <w:rPr>
          <w:rFonts w:asciiTheme="minorHAnsi" w:hAnsiTheme="minorHAnsi" w:cstheme="minorHAnsi"/>
        </w:rPr>
        <w:t xml:space="preserve"> Practical Law (2019) </w:t>
      </w:r>
      <w:r w:rsidR="005D24C8">
        <w:rPr>
          <w:rFonts w:asciiTheme="minorHAnsi" w:hAnsiTheme="minorHAnsi" w:cstheme="minorHAnsi"/>
          <w:i/>
        </w:rPr>
        <w:t xml:space="preserve">Landlords consent for dealing with a lease and the Landlord and Tenant Act 1988. </w:t>
      </w:r>
      <w:r w:rsidR="005D24C8">
        <w:rPr>
          <w:rFonts w:asciiTheme="minorHAnsi" w:hAnsiTheme="minorHAnsi" w:cstheme="minorHAnsi"/>
        </w:rPr>
        <w:t xml:space="preserve">Available at: </w:t>
      </w:r>
      <w:hyperlink r:id="rId10" w:history="1">
        <w:r w:rsidR="005D24C8" w:rsidRPr="008B37D2">
          <w:rPr>
            <w:rStyle w:val="Hyperlink"/>
            <w:rFonts w:asciiTheme="minorHAnsi" w:hAnsiTheme="minorHAnsi" w:cstheme="minorHAnsi"/>
          </w:rPr>
          <w:t>https://uk.practicallaw.thomsonreuters.com/Search/Results.html?comp=pluk&amp;query=adv%3A%20landlord%20and%20tenant%20act&amp;saveJuris=False&amp;contentType=KNOWHOW_UK&amp;querySubmissionGuid=i0ad6ad3a0000016a037313c1a74edf4b&amp;startIndex=1&amp;categoryPageUrl=Home%2FPracticalLaw&amp;scopedSearchContext=%7B%22Type%22%3A%22PracticeArea%22%2C%22hasAllContent%22%3Atrue%2C%22defaultOption%22%3A%7B%22ContentType%22%3A%22KNOWHOW_UK%22%2C%22CollectionSet%22%3A%22w_plc_uk_std_algo%22%2C%22Title%22%3A%22All%20Content%22%2C%22ViewExpression%22%3A%22%22%2C%22ScopedFacet%22%3A%22%22%7D%2C%22otherOptions%22%3A%5B%5D%7D&amp;searchId=i0ad6ad3a0000016a037313c1a74edf4b&amp;kmSearchIdRequested=False&amp;simpleSearch=False&amp;isAdvancedSearchTemplatePage=False&amp;skipSpellCheck=False&amp;navId=FEEFCA2BB9E181D5C8C0866B4E4CEB5B&amp;isTrDiscoverSearch=False&amp;thesaurusSearch=False&amp;thesaurusTermsApplied=False&amp;ancillaryChargesAccepted=False&amp;proviewEligible=False&amp;eventingTypeOfSearch=BOL&amp;transitionType=Search&amp;contextData=%28sc.Search%29#Ib55548d1e83211e398db8b09b4f043e0</w:t>
        </w:r>
      </w:hyperlink>
      <w:r w:rsidR="005D24C8">
        <w:rPr>
          <w:rFonts w:asciiTheme="minorHAnsi" w:hAnsiTheme="minorHAnsi" w:cstheme="minorHAnsi"/>
        </w:rPr>
        <w:t xml:space="preserve"> (Accessed: 13</w:t>
      </w:r>
      <w:r w:rsidR="005D24C8" w:rsidRPr="005D24C8">
        <w:rPr>
          <w:rFonts w:asciiTheme="minorHAnsi" w:hAnsiTheme="minorHAnsi" w:cstheme="minorHAnsi"/>
          <w:vertAlign w:val="superscript"/>
        </w:rPr>
        <w:t>th</w:t>
      </w:r>
      <w:r w:rsidR="005D24C8">
        <w:rPr>
          <w:rFonts w:asciiTheme="minorHAnsi" w:hAnsiTheme="minorHAnsi" w:cstheme="minorHAnsi"/>
        </w:rPr>
        <w:t xml:space="preserve"> March 2019). </w:t>
      </w:r>
    </w:p>
    <w:p w14:paraId="01B959E4" w14:textId="37596516" w:rsidR="00C13BF6" w:rsidRDefault="00C13BF6" w:rsidP="00C13BF6">
      <w:pPr>
        <w:spacing w:line="276" w:lineRule="auto"/>
        <w:jc w:val="both"/>
        <w:rPr>
          <w:rFonts w:asciiTheme="minorHAnsi" w:hAnsiTheme="minorHAnsi" w:cstheme="minorHAnsi"/>
        </w:rPr>
      </w:pPr>
    </w:p>
    <w:p w14:paraId="1012B4FB" w14:textId="62201002" w:rsidR="00496394" w:rsidRPr="00247C32" w:rsidRDefault="005D24C8" w:rsidP="00247C32">
      <w:pPr>
        <w:spacing w:line="276" w:lineRule="auto"/>
        <w:rPr>
          <w:rFonts w:asciiTheme="minorHAnsi" w:hAnsiTheme="minorHAnsi" w:cstheme="minorHAnsi"/>
        </w:rPr>
      </w:pPr>
      <w:r>
        <w:rPr>
          <w:rFonts w:asciiTheme="minorHAnsi" w:hAnsiTheme="minorHAnsi" w:cstheme="minorHAnsi"/>
        </w:rPr>
        <w:t xml:space="preserve">Walker Morris (2014) </w:t>
      </w:r>
      <w:r>
        <w:rPr>
          <w:rFonts w:asciiTheme="minorHAnsi" w:hAnsiTheme="minorHAnsi" w:cstheme="minorHAnsi"/>
          <w:i/>
        </w:rPr>
        <w:t xml:space="preserve">The basics of forfeiture explained. </w:t>
      </w:r>
      <w:r>
        <w:rPr>
          <w:rFonts w:asciiTheme="minorHAnsi" w:hAnsiTheme="minorHAnsi" w:cstheme="minorHAnsi"/>
        </w:rPr>
        <w:t xml:space="preserve">Available at: </w:t>
      </w:r>
      <w:hyperlink r:id="rId11" w:history="1">
        <w:r w:rsidRPr="008B37D2">
          <w:rPr>
            <w:rStyle w:val="Hyperlink"/>
            <w:rFonts w:asciiTheme="minorHAnsi" w:hAnsiTheme="minorHAnsi" w:cstheme="minorHAnsi"/>
          </w:rPr>
          <w:t>https://www.walkermorris.co.uk/publications/real-estate-matters-january-2014/the-basics-of-forfeiture-explained/</w:t>
        </w:r>
      </w:hyperlink>
      <w:r>
        <w:rPr>
          <w:rFonts w:asciiTheme="minorHAnsi" w:hAnsiTheme="minorHAnsi" w:cstheme="minorHAnsi"/>
        </w:rPr>
        <w:t xml:space="preserve"> (Accessed: 15</w:t>
      </w:r>
      <w:r w:rsidRPr="005D24C8">
        <w:rPr>
          <w:rFonts w:asciiTheme="minorHAnsi" w:hAnsiTheme="minorHAnsi" w:cstheme="minorHAnsi"/>
          <w:vertAlign w:val="superscript"/>
        </w:rPr>
        <w:t>th</w:t>
      </w:r>
      <w:r>
        <w:rPr>
          <w:rFonts w:asciiTheme="minorHAnsi" w:hAnsiTheme="minorHAnsi" w:cstheme="minorHAnsi"/>
        </w:rPr>
        <w:t xml:space="preserve"> March 2019).</w:t>
      </w:r>
    </w:p>
    <w:sectPr w:rsidR="00496394" w:rsidRPr="00247C32" w:rsidSect="00953FD1">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B6D682" w14:textId="77777777" w:rsidR="004F5D85" w:rsidRDefault="004F5D85" w:rsidP="005A44D6">
      <w:r>
        <w:separator/>
      </w:r>
    </w:p>
  </w:endnote>
  <w:endnote w:type="continuationSeparator" w:id="0">
    <w:p w14:paraId="5D233765" w14:textId="77777777" w:rsidR="004F5D85" w:rsidRDefault="004F5D85" w:rsidP="005A4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9617616"/>
      <w:docPartObj>
        <w:docPartGallery w:val="Page Numbers (Bottom of Page)"/>
        <w:docPartUnique/>
      </w:docPartObj>
    </w:sdtPr>
    <w:sdtEndPr>
      <w:rPr>
        <w:rStyle w:val="PageNumber"/>
      </w:rPr>
    </w:sdtEndPr>
    <w:sdtContent>
      <w:p w14:paraId="791F6DCA" w14:textId="07306761" w:rsidR="0040777C" w:rsidRDefault="0040777C" w:rsidP="008B37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3FFED0" w14:textId="77777777" w:rsidR="0040777C" w:rsidRDefault="0040777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2526979"/>
      <w:docPartObj>
        <w:docPartGallery w:val="Page Numbers (Bottom of Page)"/>
        <w:docPartUnique/>
      </w:docPartObj>
    </w:sdtPr>
    <w:sdtEndPr>
      <w:rPr>
        <w:rStyle w:val="PageNumber"/>
      </w:rPr>
    </w:sdtEndPr>
    <w:sdtContent>
      <w:p w14:paraId="419E5C5B" w14:textId="3EE8E385" w:rsidR="0040777C" w:rsidRDefault="0040777C" w:rsidP="008B37D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4506E02" w14:textId="1C98E472" w:rsidR="005A44D6" w:rsidRDefault="005A44D6">
    <w:pPr>
      <w:pStyle w:val="Footer"/>
    </w:pPr>
    <w:r>
      <w:t>Paul Hill</w:t>
    </w:r>
    <w:r>
      <w:ptab w:relativeTo="margin" w:alignment="center" w:leader="none"/>
    </w:r>
    <w:r>
      <w:ptab w:relativeTo="margin" w:alignment="right" w:leader="none"/>
    </w:r>
    <w:r>
      <w:t>Student Number: P139516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3DCF4" w14:textId="77777777" w:rsidR="004F5D85" w:rsidRDefault="004F5D85" w:rsidP="005A44D6">
      <w:r>
        <w:separator/>
      </w:r>
    </w:p>
  </w:footnote>
  <w:footnote w:type="continuationSeparator" w:id="0">
    <w:p w14:paraId="1A024432" w14:textId="77777777" w:rsidR="004F5D85" w:rsidRDefault="004F5D85" w:rsidP="005A44D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FE6"/>
    <w:rsid w:val="000030C4"/>
    <w:rsid w:val="00003400"/>
    <w:rsid w:val="00027893"/>
    <w:rsid w:val="000D512E"/>
    <w:rsid w:val="001A6126"/>
    <w:rsid w:val="00247C32"/>
    <w:rsid w:val="002730AD"/>
    <w:rsid w:val="00357F05"/>
    <w:rsid w:val="0040777C"/>
    <w:rsid w:val="00496394"/>
    <w:rsid w:val="004F5D85"/>
    <w:rsid w:val="004F6A74"/>
    <w:rsid w:val="004F7F40"/>
    <w:rsid w:val="00513FE6"/>
    <w:rsid w:val="005A44D6"/>
    <w:rsid w:val="005D24C8"/>
    <w:rsid w:val="00656D2D"/>
    <w:rsid w:val="00675D89"/>
    <w:rsid w:val="00685FAD"/>
    <w:rsid w:val="006B10A4"/>
    <w:rsid w:val="006D0AB1"/>
    <w:rsid w:val="006F6C98"/>
    <w:rsid w:val="0073422F"/>
    <w:rsid w:val="0074027B"/>
    <w:rsid w:val="0076398C"/>
    <w:rsid w:val="0079232D"/>
    <w:rsid w:val="008A73DB"/>
    <w:rsid w:val="00953FD1"/>
    <w:rsid w:val="009D5F82"/>
    <w:rsid w:val="00AE2CFA"/>
    <w:rsid w:val="00B1535E"/>
    <w:rsid w:val="00B21D7D"/>
    <w:rsid w:val="00BE21C0"/>
    <w:rsid w:val="00C13BF6"/>
    <w:rsid w:val="00DB7555"/>
    <w:rsid w:val="00EB2B4A"/>
    <w:rsid w:val="00EB523A"/>
    <w:rsid w:val="00EC6710"/>
    <w:rsid w:val="00F31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40AAD"/>
  <w15:chartTrackingRefBased/>
  <w15:docId w15:val="{1BF015CD-1753-D04E-8192-52F95AAF5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13FE6"/>
    <w:rPr>
      <w:rFonts w:ascii="Times New Roman" w:eastAsia="Times New Roman" w:hAnsi="Times New Roman" w:cs="Times New Roman"/>
    </w:rPr>
  </w:style>
  <w:style w:type="paragraph" w:styleId="Heading1">
    <w:name w:val="heading 1"/>
    <w:basedOn w:val="Normal"/>
    <w:next w:val="Normal"/>
    <w:link w:val="Heading1Char"/>
    <w:uiPriority w:val="9"/>
    <w:qFormat/>
    <w:rsid w:val="008A73D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3D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A73D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A73DB"/>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8A73DB"/>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A73DB"/>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A73DB"/>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A73DB"/>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A73DB"/>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A73DB"/>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A73DB"/>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A73DB"/>
    <w:pPr>
      <w:ind w:left="1920"/>
    </w:pPr>
    <w:rPr>
      <w:rFonts w:asciiTheme="minorHAnsi" w:hAnsiTheme="minorHAnsi" w:cstheme="minorHAnsi"/>
      <w:sz w:val="20"/>
      <w:szCs w:val="20"/>
    </w:rPr>
  </w:style>
  <w:style w:type="character" w:styleId="Hyperlink">
    <w:name w:val="Hyperlink"/>
    <w:basedOn w:val="DefaultParagraphFont"/>
    <w:uiPriority w:val="99"/>
    <w:unhideWhenUsed/>
    <w:rsid w:val="00C13BF6"/>
    <w:rPr>
      <w:color w:val="0563C1" w:themeColor="hyperlink"/>
      <w:u w:val="single"/>
    </w:rPr>
  </w:style>
  <w:style w:type="paragraph" w:styleId="Header">
    <w:name w:val="header"/>
    <w:basedOn w:val="Normal"/>
    <w:link w:val="HeaderChar"/>
    <w:uiPriority w:val="99"/>
    <w:unhideWhenUsed/>
    <w:rsid w:val="005A44D6"/>
    <w:pPr>
      <w:tabs>
        <w:tab w:val="center" w:pos="4680"/>
        <w:tab w:val="right" w:pos="9360"/>
      </w:tabs>
    </w:pPr>
  </w:style>
  <w:style w:type="character" w:customStyle="1" w:styleId="HeaderChar">
    <w:name w:val="Header Char"/>
    <w:basedOn w:val="DefaultParagraphFont"/>
    <w:link w:val="Header"/>
    <w:uiPriority w:val="99"/>
    <w:rsid w:val="005A44D6"/>
    <w:rPr>
      <w:rFonts w:ascii="Times New Roman" w:eastAsia="Times New Roman" w:hAnsi="Times New Roman" w:cs="Times New Roman"/>
    </w:rPr>
  </w:style>
  <w:style w:type="paragraph" w:styleId="Footer">
    <w:name w:val="footer"/>
    <w:basedOn w:val="Normal"/>
    <w:link w:val="FooterChar"/>
    <w:uiPriority w:val="99"/>
    <w:unhideWhenUsed/>
    <w:rsid w:val="005A44D6"/>
    <w:pPr>
      <w:tabs>
        <w:tab w:val="center" w:pos="4680"/>
        <w:tab w:val="right" w:pos="9360"/>
      </w:tabs>
    </w:pPr>
  </w:style>
  <w:style w:type="character" w:customStyle="1" w:styleId="FooterChar">
    <w:name w:val="Footer Char"/>
    <w:basedOn w:val="DefaultParagraphFont"/>
    <w:link w:val="Footer"/>
    <w:uiPriority w:val="99"/>
    <w:rsid w:val="005A44D6"/>
    <w:rPr>
      <w:rFonts w:ascii="Times New Roman" w:eastAsia="Times New Roman" w:hAnsi="Times New Roman" w:cs="Times New Roman"/>
    </w:rPr>
  </w:style>
  <w:style w:type="character" w:styleId="PageNumber">
    <w:name w:val="page number"/>
    <w:basedOn w:val="DefaultParagraphFont"/>
    <w:uiPriority w:val="99"/>
    <w:semiHidden/>
    <w:unhideWhenUsed/>
    <w:rsid w:val="0040777C"/>
  </w:style>
  <w:style w:type="character" w:styleId="FollowedHyperlink">
    <w:name w:val="FollowedHyperlink"/>
    <w:basedOn w:val="DefaultParagraphFont"/>
    <w:uiPriority w:val="99"/>
    <w:semiHidden/>
    <w:unhideWhenUsed/>
    <w:rsid w:val="00357F05"/>
    <w:rPr>
      <w:color w:val="954F72" w:themeColor="followedHyperlink"/>
      <w:u w:val="single"/>
    </w:rPr>
  </w:style>
  <w:style w:type="character" w:styleId="UnresolvedMention">
    <w:name w:val="Unresolved Mention"/>
    <w:basedOn w:val="DefaultParagraphFont"/>
    <w:uiPriority w:val="99"/>
    <w:semiHidden/>
    <w:unhideWhenUsed/>
    <w:rsid w:val="00357F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cases/docs/uksc-2017-0151-judgment.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legislation.gov.uk/ukpga/1985/70"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alkermorris.co.uk/publications/real-estate-matters-january-2014/the-basics-of-forfeiture-explain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uk.practicallaw.thomsonreuters.com/Search/Results.html?comp=pluk&amp;query=adv%3A%20landlord%20and%20tenant%20act&amp;saveJuris=False&amp;contentType=KNOWHOW_UK&amp;querySubmissionGuid=i0ad6ad3a0000016a037313c1a74edf4b&amp;startIndex=1&amp;categoryPageUrl=Home%2FPracticalLaw&amp;scopedSearchContext=%7B%22Type%22%3A%22PracticeArea%22%2C%22hasAllContent%22%3Atrue%2C%22defaultOption%22%3A%7B%22ContentType%22%3A%22KNOWHOW_UK%22%2C%22CollectionSet%22%3A%22w_plc_uk_std_algo%22%2C%22Title%22%3A%22All%20Content%22%2C%22ViewExpression%22%3A%22%22%2C%22ScopedFacet%22%3A%22%22%7D%2C%22otherOptions%22%3A%5B%5D%7D&amp;searchId=i0ad6ad3a0000016a037313c1a74edf4b&amp;kmSearchIdRequested=False&amp;simpleSearch=False&amp;isAdvancedSearchTemplatePage=False&amp;skipSpellCheck=False&amp;navId=FEEFCA2BB9E181D5C8C0866B4E4CEB5B&amp;isTrDiscoverSearch=False&amp;thesaurusSearch=False&amp;thesaurusTermsApplied=False&amp;ancillaryChargesAccepted=False&amp;proviewEligible=False&amp;eventingTypeOfSearch=BOL&amp;transitionType=Search&amp;contextData=%28sc.Search%29#Ib55548d1e83211e398db8b09b4f043e0" TargetMode="External"/><Relationship Id="rId4" Type="http://schemas.openxmlformats.org/officeDocument/2006/relationships/webSettings" Target="webSettings.xml"/><Relationship Id="rId9" Type="http://schemas.openxmlformats.org/officeDocument/2006/relationships/hyperlink" Target="http://england.shelter.org.uk/legal/security_of_tenure/notices/surrende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F7D583-D791-5148-9A1A-28920EDF91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TotalTime>
  <Pages>12</Pages>
  <Words>3247</Words>
  <Characters>18512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Hill (P139516)</dc:creator>
  <cp:keywords/>
  <dc:description/>
  <cp:lastModifiedBy>Christopher Hill (P139516)</cp:lastModifiedBy>
  <cp:revision>28</cp:revision>
  <cp:lastPrinted>2019-04-04T11:31:00Z</cp:lastPrinted>
  <dcterms:created xsi:type="dcterms:W3CDTF">2019-04-04T11:09:00Z</dcterms:created>
  <dcterms:modified xsi:type="dcterms:W3CDTF">2019-04-09T19:31:00Z</dcterms:modified>
</cp:coreProperties>
</file>