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ascii="Arial" w:hAnsi="Arial" w:cs="Arial"/>
          <w:sz w:val="22"/>
          <w:szCs w:val="22"/>
        </w:rPr>
        <w:id w:val="272907999"/>
        <w:docPartObj>
          <w:docPartGallery w:val="Cover Pages"/>
          <w:docPartUnique/>
        </w:docPartObj>
      </w:sdtPr>
      <w:sdtEndPr>
        <w:rPr>
          <w:rFonts w:eastAsia="Calibri"/>
        </w:rPr>
      </w:sdtEndPr>
      <w:sdtContent>
        <w:p w14:paraId="2177CF4F" w14:textId="1AB6A8EA" w:rsidR="003A12C8" w:rsidRPr="007D003C" w:rsidRDefault="003A12C8">
          <w:pPr>
            <w:rPr>
              <w:rFonts w:ascii="Arial" w:hAnsi="Arial" w:cs="Arial"/>
              <w:sz w:val="22"/>
              <w:szCs w:val="22"/>
            </w:rPr>
          </w:pPr>
        </w:p>
        <w:p w14:paraId="6C7AE4C2" w14:textId="550D62E5" w:rsidR="003A12C8" w:rsidRPr="007D003C" w:rsidRDefault="003A12C8">
          <w:pPr>
            <w:rPr>
              <w:rFonts w:ascii="Arial" w:hAnsi="Arial" w:cs="Arial"/>
              <w:sz w:val="22"/>
              <w:szCs w:val="22"/>
            </w:rPr>
          </w:pPr>
        </w:p>
        <w:p w14:paraId="7D97C4CD" w14:textId="17C84406" w:rsidR="003A12C8" w:rsidRPr="007D003C" w:rsidRDefault="003A12C8">
          <w:pPr>
            <w:rPr>
              <w:rFonts w:ascii="Arial" w:hAnsi="Arial" w:cs="Arial"/>
              <w:sz w:val="22"/>
              <w:szCs w:val="22"/>
            </w:rPr>
          </w:pPr>
        </w:p>
        <w:p w14:paraId="78E64602" w14:textId="3518C4E5" w:rsidR="003A12C8" w:rsidRPr="007D003C" w:rsidRDefault="003A12C8">
          <w:pPr>
            <w:rPr>
              <w:rFonts w:ascii="Arial" w:hAnsi="Arial" w:cs="Arial"/>
              <w:sz w:val="22"/>
              <w:szCs w:val="22"/>
            </w:rPr>
          </w:pPr>
        </w:p>
        <w:p w14:paraId="12465CF0" w14:textId="30680B33" w:rsidR="003A12C8" w:rsidRPr="007D003C" w:rsidRDefault="003A12C8">
          <w:pPr>
            <w:rPr>
              <w:rFonts w:ascii="Arial" w:hAnsi="Arial" w:cs="Arial"/>
              <w:sz w:val="22"/>
              <w:szCs w:val="22"/>
            </w:rPr>
          </w:pPr>
        </w:p>
        <w:p w14:paraId="22827D38" w14:textId="030A9115" w:rsidR="003A12C8" w:rsidRPr="007D003C" w:rsidRDefault="003A12C8">
          <w:pPr>
            <w:rPr>
              <w:rFonts w:ascii="Arial" w:hAnsi="Arial" w:cs="Arial"/>
              <w:sz w:val="22"/>
              <w:szCs w:val="22"/>
            </w:rPr>
          </w:pPr>
        </w:p>
        <w:p w14:paraId="476C8DE6" w14:textId="2A8C7E09" w:rsidR="003A12C8" w:rsidRPr="007D003C" w:rsidRDefault="003A12C8">
          <w:pPr>
            <w:rPr>
              <w:rFonts w:ascii="Arial" w:hAnsi="Arial" w:cs="Arial"/>
              <w:sz w:val="22"/>
              <w:szCs w:val="22"/>
            </w:rPr>
          </w:pPr>
        </w:p>
        <w:p w14:paraId="6ACBE2B4" w14:textId="628B22A0" w:rsidR="003A12C8" w:rsidRPr="007D003C" w:rsidRDefault="003A12C8">
          <w:pPr>
            <w:rPr>
              <w:rFonts w:ascii="Arial" w:hAnsi="Arial" w:cs="Arial"/>
              <w:sz w:val="22"/>
              <w:szCs w:val="22"/>
            </w:rPr>
          </w:pPr>
          <w:r w:rsidRPr="007D003C">
            <w:rPr>
              <w:rFonts w:ascii="Arial" w:hAnsi="Arial" w:cs="Arial"/>
              <w:sz w:val="22"/>
              <w:szCs w:val="22"/>
            </w:rPr>
            <w:tab/>
          </w:r>
          <w:r w:rsidRPr="007D003C">
            <w:rPr>
              <w:rFonts w:ascii="Arial" w:eastAsia="Calibri" w:hAnsi="Arial" w:cs="Arial"/>
              <w:noProof/>
              <w:sz w:val="22"/>
              <w:szCs w:val="22"/>
            </w:rPr>
            <w:drawing>
              <wp:inline distT="0" distB="0" distL="0" distR="0" wp14:anchorId="0EBC2C65" wp14:editId="35A28B9A">
                <wp:extent cx="6645910" cy="1386205"/>
                <wp:effectExtent l="0" t="0" r="2540" b="444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45910" cy="1386205"/>
                        </a:xfrm>
                        <a:prstGeom prst="rect">
                          <a:avLst/>
                        </a:prstGeom>
                      </pic:spPr>
                    </pic:pic>
                  </a:graphicData>
                </a:graphic>
              </wp:inline>
            </w:drawing>
          </w:r>
        </w:p>
        <w:p w14:paraId="19EBDB8F" w14:textId="53417683" w:rsidR="003A12C8" w:rsidRPr="007D003C" w:rsidRDefault="003A12C8">
          <w:pPr>
            <w:rPr>
              <w:rFonts w:ascii="Arial" w:eastAsia="Calibri" w:hAnsi="Arial" w:cs="Arial"/>
              <w:sz w:val="22"/>
              <w:szCs w:val="22"/>
            </w:rPr>
          </w:pPr>
          <w:r w:rsidRPr="007D003C">
            <w:rPr>
              <w:rFonts w:ascii="Arial" w:hAnsi="Arial" w:cs="Arial"/>
              <w:noProof/>
              <w:sz w:val="22"/>
              <w:szCs w:val="22"/>
            </w:rPr>
            <mc:AlternateContent>
              <mc:Choice Requires="wps">
                <w:drawing>
                  <wp:anchor distT="0" distB="0" distL="114300" distR="114300" simplePos="0" relativeHeight="251662336" behindDoc="0" locked="0" layoutInCell="1" allowOverlap="1" wp14:anchorId="4615D9B9" wp14:editId="4F4E67BF">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7365D"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1-01-13T00:00:00Z">
                                    <w:dateFormat w:val="MMMM d, yyyy"/>
                                    <w:lid w:val="en-US"/>
                                    <w:storeMappedDataAs w:val="dateTime"/>
                                    <w:calendar w:val="gregorian"/>
                                  </w:date>
                                </w:sdtPr>
                                <w:sdtEndPr/>
                                <w:sdtContent>
                                  <w:p w14:paraId="3683CEC1" w14:textId="03C5FC49" w:rsidR="001B5157" w:rsidRDefault="001B5157">
                                    <w:pPr>
                                      <w:pStyle w:val="NoSpacing"/>
                                      <w:jc w:val="right"/>
                                      <w:rPr>
                                        <w:caps/>
                                        <w:color w:val="17365D" w:themeColor="text2" w:themeShade="BF"/>
                                        <w:sz w:val="40"/>
                                        <w:szCs w:val="40"/>
                                      </w:rPr>
                                    </w:pPr>
                                    <w:r>
                                      <w:rPr>
                                        <w:caps/>
                                        <w:color w:val="17365D" w:themeColor="text2" w:themeShade="BF"/>
                                        <w:sz w:val="40"/>
                                        <w:szCs w:val="40"/>
                                      </w:rPr>
                                      <w:t>January 13, 2021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xmlns:w16="http://schemas.microsoft.com/office/word/2018/wordml" xmlns:w16cex="http://schemas.microsoft.com/office/word/2018/wordml/cex">
                <w:pict>
                  <v:shapetype w14:anchorId="4615D9B9"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17365D"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1-01-13T00:00:00Z">
                              <w:dateFormat w:val="MMMM d, yyyy"/>
                              <w:lid w:val="en-US"/>
                              <w:storeMappedDataAs w:val="dateTime"/>
                              <w:calendar w:val="gregorian"/>
                            </w:date>
                          </w:sdtPr>
                          <w:sdtContent>
                            <w:p w14:paraId="3683CEC1" w14:textId="03C5FC49" w:rsidR="001B5157" w:rsidRDefault="001B5157">
                              <w:pPr>
                                <w:pStyle w:val="NoSpacing"/>
                                <w:jc w:val="right"/>
                                <w:rPr>
                                  <w:caps/>
                                  <w:color w:val="17365D" w:themeColor="text2" w:themeShade="BF"/>
                                  <w:sz w:val="40"/>
                                  <w:szCs w:val="40"/>
                                </w:rPr>
                              </w:pPr>
                              <w:r>
                                <w:rPr>
                                  <w:caps/>
                                  <w:color w:val="17365D" w:themeColor="text2" w:themeShade="BF"/>
                                  <w:sz w:val="40"/>
                                  <w:szCs w:val="40"/>
                                </w:rPr>
                                <w:t>January 13, 2021</w:t>
                              </w:r>
                            </w:p>
                          </w:sdtContent>
                        </w:sdt>
                      </w:txbxContent>
                    </v:textbox>
                    <w10:wrap type="square" anchorx="page" anchory="page"/>
                  </v:shape>
                </w:pict>
              </mc:Fallback>
            </mc:AlternateContent>
          </w:r>
          <w:r w:rsidRPr="007D003C">
            <w:rPr>
              <w:rFonts w:ascii="Arial" w:hAnsi="Arial" w:cs="Arial"/>
              <w:noProof/>
              <w:sz w:val="22"/>
              <w:szCs w:val="22"/>
            </w:rPr>
            <mc:AlternateContent>
              <mc:Choice Requires="wps">
                <w:drawing>
                  <wp:anchor distT="0" distB="0" distL="114300" distR="114300" simplePos="0" relativeHeight="251661312" behindDoc="0" locked="0" layoutInCell="1" allowOverlap="1" wp14:anchorId="0DEEE68D" wp14:editId="210F72BC">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799F8EB0" w14:textId="6F496689" w:rsidR="001B5157" w:rsidRPr="003A12C8" w:rsidRDefault="001B5157">
                                    <w:pPr>
                                      <w:pStyle w:val="NoSpacing"/>
                                      <w:jc w:val="right"/>
                                      <w:rPr>
                                        <w:b/>
                                        <w:bCs/>
                                        <w:caps/>
                                        <w:color w:val="262626" w:themeColor="text1" w:themeTint="D9"/>
                                        <w:sz w:val="28"/>
                                        <w:szCs w:val="28"/>
                                      </w:rPr>
                                    </w:pPr>
                                    <w:r w:rsidRPr="003A12C8">
                                      <w:rPr>
                                        <w:b/>
                                        <w:bCs/>
                                        <w:caps/>
                                        <w:color w:val="262626" w:themeColor="text1" w:themeTint="D9"/>
                                        <w:sz w:val="28"/>
                                        <w:szCs w:val="28"/>
                                      </w:rPr>
                                      <w:t>LCMB 7002</w:t>
                                    </w:r>
                                  </w:p>
                                </w:sdtContent>
                              </w:sdt>
                              <w:p w14:paraId="7931E833" w14:textId="5684B956" w:rsidR="001B5157" w:rsidRPr="003A12C8" w:rsidRDefault="00446AF2">
                                <w:pPr>
                                  <w:pStyle w:val="NoSpacing"/>
                                  <w:jc w:val="right"/>
                                  <w:rPr>
                                    <w:b/>
                                    <w:bCs/>
                                    <w:caps/>
                                    <w:color w:val="262626" w:themeColor="text1" w:themeTint="D9"/>
                                    <w:sz w:val="20"/>
                                    <w:szCs w:val="20"/>
                                  </w:rPr>
                                </w:pPr>
                                <w:sdt>
                                  <w:sdtPr>
                                    <w:rPr>
                                      <w:b/>
                                      <w:bCs/>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1B5157" w:rsidRPr="003A12C8">
                                      <w:rPr>
                                        <w:b/>
                                        <w:bCs/>
                                        <w:caps/>
                                        <w:color w:val="262626" w:themeColor="text1" w:themeTint="D9"/>
                                        <w:sz w:val="20"/>
                                        <w:szCs w:val="20"/>
                                      </w:rPr>
                                      <w:t>DUDAK BEATA STUDENT NUMBER 2010697</w:t>
                                    </w:r>
                                  </w:sdtContent>
                                </w:sdt>
                              </w:p>
                              <w:p w14:paraId="0AA5ECE2" w14:textId="709FA1C8" w:rsidR="001B5157" w:rsidRDefault="00446AF2">
                                <w:pPr>
                                  <w:pStyle w:val="NoSpacing"/>
                                  <w:jc w:val="right"/>
                                  <w:rPr>
                                    <w:caps/>
                                    <w:color w:val="262626" w:themeColor="text1" w:themeTint="D9"/>
                                    <w:sz w:val="20"/>
                                    <w:szCs w:val="20"/>
                                  </w:rPr>
                                </w:pPr>
                                <w:sdt>
                                  <w:sdtPr>
                                    <w:rPr>
                                      <w:b/>
                                      <w:bCs/>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1B5157" w:rsidRPr="003A12C8">
                                      <w:rPr>
                                        <w:b/>
                                        <w:bCs/>
                                        <w:color w:val="262626" w:themeColor="text1" w:themeTint="D9"/>
                                        <w:sz w:val="20"/>
                                        <w:szCs w:val="20"/>
                                      </w:rPr>
                                      <w:t>MODULE LEADER   JIA MIAO</w:t>
                                    </w:r>
                                  </w:sdtContent>
                                </w:sdt>
                                <w:r w:rsidR="001B5157">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xmlns:w16="http://schemas.microsoft.com/office/word/2018/wordml" xmlns:w16cex="http://schemas.microsoft.com/office/word/2018/wordml/cex">
                <w:pict>
                  <v:shape w14:anchorId="0DEEE68D"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b/>
                              <w:bCs/>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799F8EB0" w14:textId="6F496689" w:rsidR="001B5157" w:rsidRPr="003A12C8" w:rsidRDefault="001B5157">
                              <w:pPr>
                                <w:pStyle w:val="NoSpacing"/>
                                <w:jc w:val="right"/>
                                <w:rPr>
                                  <w:b/>
                                  <w:bCs/>
                                  <w:caps/>
                                  <w:color w:val="262626" w:themeColor="text1" w:themeTint="D9"/>
                                  <w:sz w:val="28"/>
                                  <w:szCs w:val="28"/>
                                </w:rPr>
                              </w:pPr>
                              <w:r w:rsidRPr="003A12C8">
                                <w:rPr>
                                  <w:b/>
                                  <w:bCs/>
                                  <w:caps/>
                                  <w:color w:val="262626" w:themeColor="text1" w:themeTint="D9"/>
                                  <w:sz w:val="28"/>
                                  <w:szCs w:val="28"/>
                                </w:rPr>
                                <w:t>LCMB 7002</w:t>
                              </w:r>
                            </w:p>
                          </w:sdtContent>
                        </w:sdt>
                        <w:p w14:paraId="7931E833" w14:textId="5684B956" w:rsidR="001B5157" w:rsidRPr="003A12C8" w:rsidRDefault="001B5157">
                          <w:pPr>
                            <w:pStyle w:val="NoSpacing"/>
                            <w:jc w:val="right"/>
                            <w:rPr>
                              <w:b/>
                              <w:bCs/>
                              <w:caps/>
                              <w:color w:val="262626" w:themeColor="text1" w:themeTint="D9"/>
                              <w:sz w:val="20"/>
                              <w:szCs w:val="20"/>
                            </w:rPr>
                          </w:pPr>
                          <w:sdt>
                            <w:sdtPr>
                              <w:rPr>
                                <w:b/>
                                <w:bCs/>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Pr="003A12C8">
                                <w:rPr>
                                  <w:b/>
                                  <w:bCs/>
                                  <w:caps/>
                                  <w:color w:val="262626" w:themeColor="text1" w:themeTint="D9"/>
                                  <w:sz w:val="20"/>
                                  <w:szCs w:val="20"/>
                                </w:rPr>
                                <w:t>DUDAK BEATA STUDENT NUMBER 2010697</w:t>
                              </w:r>
                            </w:sdtContent>
                          </w:sdt>
                        </w:p>
                        <w:p w14:paraId="0AA5ECE2" w14:textId="709FA1C8" w:rsidR="001B5157" w:rsidRDefault="001B5157">
                          <w:pPr>
                            <w:pStyle w:val="NoSpacing"/>
                            <w:jc w:val="right"/>
                            <w:rPr>
                              <w:caps/>
                              <w:color w:val="262626" w:themeColor="text1" w:themeTint="D9"/>
                              <w:sz w:val="20"/>
                              <w:szCs w:val="20"/>
                            </w:rPr>
                          </w:pPr>
                          <w:sdt>
                            <w:sdtPr>
                              <w:rPr>
                                <w:b/>
                                <w:bCs/>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Pr="003A12C8">
                                <w:rPr>
                                  <w:b/>
                                  <w:bCs/>
                                  <w:color w:val="262626" w:themeColor="text1" w:themeTint="D9"/>
                                  <w:sz w:val="20"/>
                                  <w:szCs w:val="20"/>
                                </w:rPr>
                                <w:t>MODULE LEADER   JIA MIAO</w:t>
                              </w:r>
                            </w:sdtContent>
                          </w:sdt>
                          <w:r>
                            <w:rPr>
                              <w:color w:val="262626" w:themeColor="text1" w:themeTint="D9"/>
                              <w:sz w:val="20"/>
                              <w:szCs w:val="20"/>
                            </w:rPr>
                            <w:t xml:space="preserve"> </w:t>
                          </w:r>
                        </w:p>
                      </w:txbxContent>
                    </v:textbox>
                    <w10:wrap type="square" anchorx="page" anchory="page"/>
                  </v:shape>
                </w:pict>
              </mc:Fallback>
            </mc:AlternateContent>
          </w:r>
          <w:r w:rsidRPr="007D003C">
            <w:rPr>
              <w:rFonts w:ascii="Arial" w:hAnsi="Arial" w:cs="Arial"/>
              <w:noProof/>
              <w:sz w:val="22"/>
              <w:szCs w:val="22"/>
            </w:rPr>
            <mc:AlternateContent>
              <mc:Choice Requires="wps">
                <w:drawing>
                  <wp:anchor distT="0" distB="0" distL="114300" distR="114300" simplePos="0" relativeHeight="251660288" behindDoc="0" locked="0" layoutInCell="1" allowOverlap="1" wp14:anchorId="68B16305" wp14:editId="7830B704">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7D536D" w14:textId="035C6E37" w:rsidR="001B5157" w:rsidRDefault="00446AF2">
                                <w:pPr>
                                  <w:pStyle w:val="NoSpacing"/>
                                  <w:jc w:val="right"/>
                                  <w:rPr>
                                    <w:caps/>
                                    <w:color w:val="17365D" w:themeColor="text2" w:themeShade="BF"/>
                                    <w:sz w:val="52"/>
                                    <w:szCs w:val="52"/>
                                  </w:rPr>
                                </w:pPr>
                                <w:sdt>
                                  <w:sdtPr>
                                    <w:rPr>
                                      <w:caps/>
                                      <w:color w:val="17365D"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1B5157">
                                      <w:rPr>
                                        <w:caps/>
                                        <w:color w:val="17365D" w:themeColor="text2" w:themeShade="BF"/>
                                        <w:sz w:val="52"/>
                                        <w:szCs w:val="52"/>
                                      </w:rPr>
                                      <w:t>FINANCIAL MANAGEMENT</w:t>
                                    </w:r>
                                  </w:sdtContent>
                                </w:sdt>
                              </w:p>
                              <w:sdt>
                                <w:sdtPr>
                                  <w:rPr>
                                    <w:smallCaps/>
                                    <w:color w:val="1F497D"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54F62E59" w14:textId="7FE42AB0" w:rsidR="001B5157" w:rsidRDefault="001B5157">
                                    <w:pPr>
                                      <w:pStyle w:val="NoSpacing"/>
                                      <w:jc w:val="right"/>
                                      <w:rPr>
                                        <w:smallCaps/>
                                        <w:color w:val="1F497D" w:themeColor="text2"/>
                                        <w:sz w:val="36"/>
                                        <w:szCs w:val="36"/>
                                      </w:rPr>
                                    </w:pPr>
                                    <w:r>
                                      <w:rPr>
                                        <w:smallCaps/>
                                        <w:color w:val="1F497D" w:themeColor="text2"/>
                                        <w:sz w:val="36"/>
                                        <w:szCs w:val="36"/>
                                      </w:rPr>
                                      <w:t>ASSIGNMENT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xmlns:w16="http://schemas.microsoft.com/office/word/2018/wordml" xmlns:w16cex="http://schemas.microsoft.com/office/word/2018/wordml/cex">
                <w:pict>
                  <v:shape w14:anchorId="68B16305"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1A7D536D" w14:textId="035C6E37" w:rsidR="001B5157" w:rsidRDefault="001B5157">
                          <w:pPr>
                            <w:pStyle w:val="NoSpacing"/>
                            <w:jc w:val="right"/>
                            <w:rPr>
                              <w:caps/>
                              <w:color w:val="17365D" w:themeColor="text2" w:themeShade="BF"/>
                              <w:sz w:val="52"/>
                              <w:szCs w:val="52"/>
                            </w:rPr>
                          </w:pPr>
                          <w:sdt>
                            <w:sdtPr>
                              <w:rPr>
                                <w:caps/>
                                <w:color w:val="17365D"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Pr>
                                  <w:caps/>
                                  <w:color w:val="17365D" w:themeColor="text2" w:themeShade="BF"/>
                                  <w:sz w:val="52"/>
                                  <w:szCs w:val="52"/>
                                </w:rPr>
                                <w:t>FINANCIAL MANAGEMENT</w:t>
                              </w:r>
                            </w:sdtContent>
                          </w:sdt>
                        </w:p>
                        <w:sdt>
                          <w:sdtPr>
                            <w:rPr>
                              <w:smallCaps/>
                              <w:color w:val="1F497D"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54F62E59" w14:textId="7FE42AB0" w:rsidR="001B5157" w:rsidRDefault="001B5157">
                              <w:pPr>
                                <w:pStyle w:val="NoSpacing"/>
                                <w:jc w:val="right"/>
                                <w:rPr>
                                  <w:smallCaps/>
                                  <w:color w:val="1F497D" w:themeColor="text2"/>
                                  <w:sz w:val="36"/>
                                  <w:szCs w:val="36"/>
                                </w:rPr>
                              </w:pPr>
                              <w:r>
                                <w:rPr>
                                  <w:smallCaps/>
                                  <w:color w:val="1F497D" w:themeColor="text2"/>
                                  <w:sz w:val="36"/>
                                  <w:szCs w:val="36"/>
                                </w:rPr>
                                <w:t>ASSIGNMENT</w:t>
                              </w:r>
                            </w:p>
                          </w:sdtContent>
                        </w:sdt>
                      </w:txbxContent>
                    </v:textbox>
                    <w10:wrap type="square" anchorx="page" anchory="page"/>
                  </v:shape>
                </w:pict>
              </mc:Fallback>
            </mc:AlternateContent>
          </w:r>
          <w:r w:rsidRPr="007D003C">
            <w:rPr>
              <w:rFonts w:ascii="Arial" w:hAnsi="Arial" w:cs="Arial"/>
              <w:noProof/>
              <w:sz w:val="22"/>
              <w:szCs w:val="22"/>
            </w:rPr>
            <mc:AlternateContent>
              <mc:Choice Requires="wpg">
                <w:drawing>
                  <wp:anchor distT="0" distB="0" distL="114300" distR="114300" simplePos="0" relativeHeight="251659264" behindDoc="0" locked="0" layoutInCell="1" allowOverlap="1" wp14:anchorId="7FEA0C7C" wp14:editId="50EDF0F3">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http://schemas.microsoft.com/office/word/2018/wordml" xmlns:w16cex="http://schemas.microsoft.com/office/word/2018/wordml/cex">
                <w:pict>
                  <v:group w14:anchorId="3A4DD24F"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" fillcolor="#c0504d [3205]" stroked="f" strokeweight="2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" fillcolor="#4f81bd [3204]" stroked="f" strokeweight="2pt">
                      <o:lock v:ext="edit" aspectratio="t"/>
                    </v:rect>
                    <w10:wrap anchorx="page" anchory="page"/>
                  </v:group>
                </w:pict>
              </mc:Fallback>
            </mc:AlternateContent>
          </w:r>
          <w:r w:rsidRPr="007D003C">
            <w:rPr>
              <w:rFonts w:ascii="Arial" w:eastAsia="Calibri" w:hAnsi="Arial" w:cs="Arial"/>
              <w:sz w:val="22"/>
              <w:szCs w:val="22"/>
            </w:rPr>
            <w:br w:type="page"/>
          </w:r>
        </w:p>
      </w:sdtContent>
    </w:sdt>
    <w:p w14:paraId="42CC6678" w14:textId="77777777" w:rsidR="005A4268" w:rsidRPr="007D003C" w:rsidRDefault="005A4268" w:rsidP="005A4268">
      <w:pPr>
        <w:ind w:left="-709"/>
        <w:rPr>
          <w:rFonts w:ascii="Arial" w:hAnsi="Arial" w:cs="Arial"/>
          <w:sz w:val="22"/>
          <w:szCs w:val="22"/>
        </w:rPr>
      </w:pPr>
    </w:p>
    <w:p w14:paraId="3466E515" w14:textId="77777777" w:rsidR="005A4268" w:rsidRPr="007D003C" w:rsidRDefault="005A4268" w:rsidP="005A4268">
      <w:pPr>
        <w:ind w:left="-709"/>
        <w:rPr>
          <w:rFonts w:ascii="Arial" w:hAnsi="Arial" w:cs="Arial"/>
          <w:sz w:val="22"/>
          <w:szCs w:val="22"/>
        </w:rPr>
      </w:pPr>
    </w:p>
    <w:p w14:paraId="09CE732A" w14:textId="77777777" w:rsidR="005A4268" w:rsidRPr="007D003C" w:rsidRDefault="005A4268">
      <w:pPr>
        <w:rPr>
          <w:rFonts w:ascii="Arial" w:hAnsi="Arial" w:cs="Arial"/>
          <w:b/>
          <w:bCs/>
          <w:sz w:val="22"/>
          <w:szCs w:val="22"/>
        </w:rPr>
        <w:sectPr w:rsidR="005A4268" w:rsidRPr="007D003C" w:rsidSect="003A12C8">
          <w:footerReference w:type="default" r:id="rId10"/>
          <w:pgSz w:w="11906" w:h="16838"/>
          <w:pgMar w:top="0" w:right="720" w:bottom="720" w:left="720" w:header="709" w:footer="709" w:gutter="0"/>
          <w:pgNumType w:start="0"/>
          <w:cols w:space="708"/>
          <w:titlePg/>
          <w:docGrid w:linePitch="360"/>
        </w:sectPr>
      </w:pPr>
    </w:p>
    <w:p w14:paraId="7151A502" w14:textId="0B910DF5" w:rsidR="005956DC" w:rsidRPr="007D003C" w:rsidRDefault="005956DC" w:rsidP="005A4268">
      <w:pPr>
        <w:rPr>
          <w:rFonts w:ascii="Arial" w:hAnsi="Arial" w:cs="Arial"/>
          <w:b/>
          <w:bCs/>
          <w:color w:val="984806" w:themeColor="accent6" w:themeShade="80"/>
          <w:sz w:val="22"/>
          <w:szCs w:val="22"/>
        </w:rPr>
      </w:pPr>
    </w:p>
    <w:sdt>
      <w:sdtPr>
        <w:rPr>
          <w:rFonts w:ascii="Arial" w:eastAsiaTheme="minorEastAsia" w:hAnsi="Arial" w:cs="Arial"/>
          <w:color w:val="auto"/>
          <w:sz w:val="22"/>
          <w:szCs w:val="22"/>
        </w:rPr>
        <w:id w:val="1586654517"/>
        <w:docPartObj>
          <w:docPartGallery w:val="Table of Contents"/>
          <w:docPartUnique/>
        </w:docPartObj>
      </w:sdtPr>
      <w:sdtEndPr>
        <w:rPr>
          <w:b/>
          <w:bCs/>
          <w:noProof/>
        </w:rPr>
      </w:sdtEndPr>
      <w:sdtContent>
        <w:p w14:paraId="01DE8F97" w14:textId="6D95B2D3" w:rsidR="00454817" w:rsidRPr="009C3827" w:rsidRDefault="00454817">
          <w:pPr>
            <w:pStyle w:val="TOCHeading"/>
            <w:rPr>
              <w:rFonts w:ascii="Arial" w:hAnsi="Arial" w:cs="Arial"/>
            </w:rPr>
          </w:pPr>
          <w:r w:rsidRPr="009C3827">
            <w:rPr>
              <w:rFonts w:ascii="Arial" w:hAnsi="Arial" w:cs="Arial"/>
            </w:rPr>
            <w:t>Contents</w:t>
          </w:r>
        </w:p>
        <w:p w14:paraId="22FA2784" w14:textId="77777777" w:rsidR="00454817" w:rsidRPr="007D003C" w:rsidRDefault="00454817" w:rsidP="00454817">
          <w:pPr>
            <w:rPr>
              <w:rFonts w:ascii="Arial" w:hAnsi="Arial" w:cs="Arial"/>
              <w:sz w:val="22"/>
              <w:szCs w:val="22"/>
            </w:rPr>
          </w:pPr>
        </w:p>
        <w:p w14:paraId="3641E3D6" w14:textId="0DB722AF" w:rsidR="00CD131D" w:rsidRDefault="00454817" w:rsidP="00CD131D">
          <w:pPr>
            <w:pStyle w:val="TOC2"/>
            <w:tabs>
              <w:tab w:val="right" w:leader="dot" w:pos="9736"/>
            </w:tabs>
            <w:ind w:left="0"/>
            <w:rPr>
              <w:noProof/>
              <w:sz w:val="22"/>
              <w:szCs w:val="22"/>
              <w:lang w:eastAsia="en-GB"/>
            </w:rPr>
          </w:pPr>
          <w:r w:rsidRPr="007D003C">
            <w:rPr>
              <w:rFonts w:ascii="Arial" w:hAnsi="Arial" w:cs="Arial"/>
              <w:sz w:val="22"/>
              <w:szCs w:val="22"/>
            </w:rPr>
            <w:fldChar w:fldCharType="begin"/>
          </w:r>
          <w:r w:rsidRPr="007D003C">
            <w:rPr>
              <w:rFonts w:ascii="Arial" w:hAnsi="Arial" w:cs="Arial"/>
              <w:sz w:val="22"/>
              <w:szCs w:val="22"/>
            </w:rPr>
            <w:instrText xml:space="preserve"> TOC \o "1-3" \h \z \u </w:instrText>
          </w:r>
          <w:r w:rsidRPr="007D003C">
            <w:rPr>
              <w:rFonts w:ascii="Arial" w:hAnsi="Arial" w:cs="Arial"/>
              <w:sz w:val="22"/>
              <w:szCs w:val="22"/>
            </w:rPr>
            <w:fldChar w:fldCharType="separate"/>
          </w:r>
          <w:hyperlink w:anchor="_Toc61468820" w:history="1">
            <w:r w:rsidR="00CD131D" w:rsidRPr="003D1DF0">
              <w:rPr>
                <w:rStyle w:val="Hyperlink"/>
                <w:rFonts w:ascii="Arial" w:hAnsi="Arial" w:cs="Arial"/>
                <w:b/>
                <w:bCs/>
                <w:noProof/>
              </w:rPr>
              <w:t>PART A) THE BERKELEY GROUP HOLDING PLC</w:t>
            </w:r>
            <w:r w:rsidR="00CD131D">
              <w:rPr>
                <w:noProof/>
                <w:webHidden/>
              </w:rPr>
              <w:tab/>
            </w:r>
            <w:r w:rsidR="00CD131D">
              <w:rPr>
                <w:noProof/>
                <w:webHidden/>
              </w:rPr>
              <w:fldChar w:fldCharType="begin"/>
            </w:r>
            <w:r w:rsidR="00CD131D">
              <w:rPr>
                <w:noProof/>
                <w:webHidden/>
              </w:rPr>
              <w:instrText xml:space="preserve"> PAGEREF _Toc61468820 \h </w:instrText>
            </w:r>
            <w:r w:rsidR="00CD131D">
              <w:rPr>
                <w:noProof/>
                <w:webHidden/>
              </w:rPr>
            </w:r>
            <w:r w:rsidR="00CD131D">
              <w:rPr>
                <w:noProof/>
                <w:webHidden/>
              </w:rPr>
              <w:fldChar w:fldCharType="separate"/>
            </w:r>
            <w:r w:rsidR="00CD131D">
              <w:rPr>
                <w:noProof/>
                <w:webHidden/>
              </w:rPr>
              <w:t>2</w:t>
            </w:r>
            <w:r w:rsidR="00CD131D">
              <w:rPr>
                <w:noProof/>
                <w:webHidden/>
              </w:rPr>
              <w:fldChar w:fldCharType="end"/>
            </w:r>
          </w:hyperlink>
        </w:p>
        <w:p w14:paraId="18CE583E" w14:textId="66163193" w:rsidR="00CD131D" w:rsidRDefault="00446AF2">
          <w:pPr>
            <w:pStyle w:val="TOC1"/>
            <w:tabs>
              <w:tab w:val="right" w:leader="dot" w:pos="9736"/>
            </w:tabs>
            <w:rPr>
              <w:noProof/>
              <w:sz w:val="22"/>
              <w:szCs w:val="22"/>
              <w:lang w:eastAsia="en-GB"/>
            </w:rPr>
          </w:pPr>
          <w:hyperlink w:anchor="_Toc61468821" w:history="1">
            <w:r w:rsidR="00CD131D" w:rsidRPr="003D1DF0">
              <w:rPr>
                <w:rStyle w:val="Hyperlink"/>
                <w:rFonts w:ascii="Arial" w:hAnsi="Arial" w:cs="Arial"/>
                <w:b/>
                <w:bCs/>
                <w:noProof/>
              </w:rPr>
              <w:t>PART B) A CRITICAL REVIEW OF THE BERKELEY GROUP HOLDING PLC FINANCIAL PERFORMANCE FOR THE PERIOD 2015-2019</w:t>
            </w:r>
            <w:r w:rsidR="00CD131D">
              <w:rPr>
                <w:noProof/>
                <w:webHidden/>
              </w:rPr>
              <w:tab/>
            </w:r>
            <w:r w:rsidR="00CD131D">
              <w:rPr>
                <w:noProof/>
                <w:webHidden/>
              </w:rPr>
              <w:fldChar w:fldCharType="begin"/>
            </w:r>
            <w:r w:rsidR="00CD131D">
              <w:rPr>
                <w:noProof/>
                <w:webHidden/>
              </w:rPr>
              <w:instrText xml:space="preserve"> PAGEREF _Toc61468821 \h </w:instrText>
            </w:r>
            <w:r w:rsidR="00CD131D">
              <w:rPr>
                <w:noProof/>
                <w:webHidden/>
              </w:rPr>
            </w:r>
            <w:r w:rsidR="00CD131D">
              <w:rPr>
                <w:noProof/>
                <w:webHidden/>
              </w:rPr>
              <w:fldChar w:fldCharType="separate"/>
            </w:r>
            <w:r w:rsidR="00CD131D">
              <w:rPr>
                <w:noProof/>
                <w:webHidden/>
              </w:rPr>
              <w:t>3</w:t>
            </w:r>
            <w:r w:rsidR="00CD131D">
              <w:rPr>
                <w:noProof/>
                <w:webHidden/>
              </w:rPr>
              <w:fldChar w:fldCharType="end"/>
            </w:r>
          </w:hyperlink>
        </w:p>
        <w:p w14:paraId="3F1C11A6" w14:textId="7301772D" w:rsidR="00CD131D" w:rsidRDefault="00446AF2">
          <w:pPr>
            <w:pStyle w:val="TOC1"/>
            <w:tabs>
              <w:tab w:val="right" w:leader="dot" w:pos="9736"/>
            </w:tabs>
            <w:rPr>
              <w:noProof/>
              <w:sz w:val="22"/>
              <w:szCs w:val="22"/>
              <w:lang w:eastAsia="en-GB"/>
            </w:rPr>
          </w:pPr>
          <w:hyperlink w:anchor="_Toc61468822" w:history="1">
            <w:r w:rsidR="00CD131D" w:rsidRPr="003D1DF0">
              <w:rPr>
                <w:rStyle w:val="Hyperlink"/>
                <w:rFonts w:ascii="Arial" w:hAnsi="Arial" w:cs="Arial"/>
                <w:b/>
                <w:bCs/>
                <w:noProof/>
              </w:rPr>
              <w:t>PART C) INVESTMENT APPRAISAL TECHNIQUES</w:t>
            </w:r>
            <w:r w:rsidR="00CD131D">
              <w:rPr>
                <w:noProof/>
                <w:webHidden/>
              </w:rPr>
              <w:tab/>
            </w:r>
            <w:r w:rsidR="00CD131D">
              <w:rPr>
                <w:noProof/>
                <w:webHidden/>
              </w:rPr>
              <w:fldChar w:fldCharType="begin"/>
            </w:r>
            <w:r w:rsidR="00CD131D">
              <w:rPr>
                <w:noProof/>
                <w:webHidden/>
              </w:rPr>
              <w:instrText xml:space="preserve"> PAGEREF _Toc61468822 \h </w:instrText>
            </w:r>
            <w:r w:rsidR="00CD131D">
              <w:rPr>
                <w:noProof/>
                <w:webHidden/>
              </w:rPr>
            </w:r>
            <w:r w:rsidR="00CD131D">
              <w:rPr>
                <w:noProof/>
                <w:webHidden/>
              </w:rPr>
              <w:fldChar w:fldCharType="separate"/>
            </w:r>
            <w:r w:rsidR="00CD131D">
              <w:rPr>
                <w:noProof/>
                <w:webHidden/>
              </w:rPr>
              <w:t>14</w:t>
            </w:r>
            <w:r w:rsidR="00CD131D">
              <w:rPr>
                <w:noProof/>
                <w:webHidden/>
              </w:rPr>
              <w:fldChar w:fldCharType="end"/>
            </w:r>
          </w:hyperlink>
        </w:p>
        <w:p w14:paraId="32DDDFF4" w14:textId="2E67ACA5" w:rsidR="00CD131D" w:rsidRDefault="00446AF2" w:rsidP="00CD131D">
          <w:pPr>
            <w:pStyle w:val="TOC2"/>
            <w:tabs>
              <w:tab w:val="left" w:pos="880"/>
              <w:tab w:val="right" w:leader="dot" w:pos="9736"/>
            </w:tabs>
            <w:ind w:left="720" w:hanging="510"/>
            <w:rPr>
              <w:noProof/>
              <w:sz w:val="22"/>
              <w:szCs w:val="22"/>
              <w:lang w:eastAsia="en-GB"/>
            </w:rPr>
          </w:pPr>
          <w:hyperlink w:anchor="_Toc61468823" w:history="1">
            <w:r w:rsidR="00CD131D" w:rsidRPr="003D1DF0">
              <w:rPr>
                <w:rStyle w:val="Hyperlink"/>
                <w:rFonts w:ascii="Arial" w:hAnsi="Arial" w:cs="Arial"/>
                <w:b/>
                <w:bCs/>
                <w:noProof/>
              </w:rPr>
              <w:t>1.0</w:t>
            </w:r>
            <w:r w:rsidR="00CD131D">
              <w:rPr>
                <w:noProof/>
                <w:sz w:val="22"/>
                <w:szCs w:val="22"/>
                <w:lang w:eastAsia="en-GB"/>
              </w:rPr>
              <w:tab/>
            </w:r>
            <w:r w:rsidR="00CD131D" w:rsidRPr="003D1DF0">
              <w:rPr>
                <w:rStyle w:val="Hyperlink"/>
                <w:rFonts w:ascii="Arial" w:hAnsi="Arial" w:cs="Arial"/>
                <w:b/>
                <w:bCs/>
                <w:noProof/>
              </w:rPr>
              <w:t xml:space="preserve">Evaluation of Capital Investment Appraisal Techniques in context of Project A and </w:t>
            </w:r>
            <w:r w:rsidR="00CD131D">
              <w:rPr>
                <w:rStyle w:val="Hyperlink"/>
                <w:rFonts w:ascii="Arial" w:hAnsi="Arial" w:cs="Arial"/>
                <w:b/>
                <w:bCs/>
                <w:noProof/>
              </w:rPr>
              <w:t xml:space="preserve">    </w:t>
            </w:r>
            <w:r w:rsidR="00CD131D" w:rsidRPr="003D1DF0">
              <w:rPr>
                <w:rStyle w:val="Hyperlink"/>
                <w:rFonts w:ascii="Arial" w:hAnsi="Arial" w:cs="Arial"/>
                <w:b/>
                <w:bCs/>
                <w:noProof/>
              </w:rPr>
              <w:t>Project B</w:t>
            </w:r>
            <w:r w:rsidR="00CD131D">
              <w:rPr>
                <w:noProof/>
                <w:webHidden/>
              </w:rPr>
              <w:tab/>
            </w:r>
            <w:r w:rsidR="00CD131D">
              <w:rPr>
                <w:noProof/>
                <w:webHidden/>
              </w:rPr>
              <w:fldChar w:fldCharType="begin"/>
            </w:r>
            <w:r w:rsidR="00CD131D">
              <w:rPr>
                <w:noProof/>
                <w:webHidden/>
              </w:rPr>
              <w:instrText xml:space="preserve"> PAGEREF _Toc61468823 \h </w:instrText>
            </w:r>
            <w:r w:rsidR="00CD131D">
              <w:rPr>
                <w:noProof/>
                <w:webHidden/>
              </w:rPr>
            </w:r>
            <w:r w:rsidR="00CD131D">
              <w:rPr>
                <w:noProof/>
                <w:webHidden/>
              </w:rPr>
              <w:fldChar w:fldCharType="separate"/>
            </w:r>
            <w:r w:rsidR="00CD131D">
              <w:rPr>
                <w:noProof/>
                <w:webHidden/>
              </w:rPr>
              <w:t>14</w:t>
            </w:r>
            <w:r w:rsidR="00CD131D">
              <w:rPr>
                <w:noProof/>
                <w:webHidden/>
              </w:rPr>
              <w:fldChar w:fldCharType="end"/>
            </w:r>
          </w:hyperlink>
        </w:p>
        <w:p w14:paraId="04E55488" w14:textId="11E475D0" w:rsidR="00CD131D" w:rsidRDefault="00446AF2">
          <w:pPr>
            <w:pStyle w:val="TOC2"/>
            <w:tabs>
              <w:tab w:val="left" w:pos="880"/>
              <w:tab w:val="right" w:leader="dot" w:pos="9736"/>
            </w:tabs>
            <w:rPr>
              <w:noProof/>
              <w:sz w:val="22"/>
              <w:szCs w:val="22"/>
              <w:lang w:eastAsia="en-GB"/>
            </w:rPr>
          </w:pPr>
          <w:hyperlink w:anchor="_Toc61468824" w:history="1">
            <w:r w:rsidR="00CD131D" w:rsidRPr="003D1DF0">
              <w:rPr>
                <w:rStyle w:val="Hyperlink"/>
                <w:rFonts w:ascii="Arial" w:hAnsi="Arial" w:cs="Arial"/>
                <w:b/>
                <w:bCs/>
                <w:noProof/>
              </w:rPr>
              <w:t>2.0</w:t>
            </w:r>
            <w:r w:rsidR="00CD131D">
              <w:rPr>
                <w:noProof/>
                <w:sz w:val="22"/>
                <w:szCs w:val="22"/>
                <w:lang w:eastAsia="en-GB"/>
              </w:rPr>
              <w:tab/>
            </w:r>
            <w:r w:rsidR="00CD131D" w:rsidRPr="003D1DF0">
              <w:rPr>
                <w:rStyle w:val="Hyperlink"/>
                <w:rFonts w:ascii="Arial" w:hAnsi="Arial" w:cs="Arial"/>
                <w:b/>
                <w:bCs/>
                <w:noProof/>
              </w:rPr>
              <w:t>Advantages and Disadvantages of Investment Appraisal Techniques critically discussed</w:t>
            </w:r>
            <w:r w:rsidR="00CD131D">
              <w:rPr>
                <w:noProof/>
                <w:webHidden/>
              </w:rPr>
              <w:tab/>
              <w:t>…………………………………………………………………………………………………………………………………………………………….</w:t>
            </w:r>
            <w:r w:rsidR="00CD131D">
              <w:rPr>
                <w:noProof/>
                <w:webHidden/>
              </w:rPr>
              <w:fldChar w:fldCharType="begin"/>
            </w:r>
            <w:r w:rsidR="00CD131D">
              <w:rPr>
                <w:noProof/>
                <w:webHidden/>
              </w:rPr>
              <w:instrText xml:space="preserve"> PAGEREF _Toc61468824 \h </w:instrText>
            </w:r>
            <w:r w:rsidR="00CD131D">
              <w:rPr>
                <w:noProof/>
                <w:webHidden/>
              </w:rPr>
            </w:r>
            <w:r w:rsidR="00CD131D">
              <w:rPr>
                <w:noProof/>
                <w:webHidden/>
              </w:rPr>
              <w:fldChar w:fldCharType="separate"/>
            </w:r>
            <w:r w:rsidR="00CD131D">
              <w:rPr>
                <w:noProof/>
                <w:webHidden/>
              </w:rPr>
              <w:t>17</w:t>
            </w:r>
            <w:r w:rsidR="00CD131D">
              <w:rPr>
                <w:noProof/>
                <w:webHidden/>
              </w:rPr>
              <w:fldChar w:fldCharType="end"/>
            </w:r>
          </w:hyperlink>
        </w:p>
        <w:p w14:paraId="6CE8A46B" w14:textId="217F5650" w:rsidR="00CD131D" w:rsidRDefault="00446AF2">
          <w:pPr>
            <w:pStyle w:val="TOC1"/>
            <w:tabs>
              <w:tab w:val="right" w:leader="dot" w:pos="9736"/>
            </w:tabs>
            <w:rPr>
              <w:noProof/>
              <w:sz w:val="22"/>
              <w:szCs w:val="22"/>
              <w:lang w:eastAsia="en-GB"/>
            </w:rPr>
          </w:pPr>
          <w:hyperlink w:anchor="_Toc61468825" w:history="1">
            <w:r w:rsidR="00CD131D" w:rsidRPr="003D1DF0">
              <w:rPr>
                <w:rStyle w:val="Hyperlink"/>
                <w:rFonts w:ascii="Arial" w:hAnsi="Arial" w:cs="Arial"/>
                <w:noProof/>
              </w:rPr>
              <w:t>REFERENCES</w:t>
            </w:r>
            <w:r w:rsidR="00CD131D">
              <w:rPr>
                <w:noProof/>
                <w:webHidden/>
              </w:rPr>
              <w:tab/>
            </w:r>
            <w:r w:rsidR="00CD131D">
              <w:rPr>
                <w:noProof/>
                <w:webHidden/>
              </w:rPr>
              <w:fldChar w:fldCharType="begin"/>
            </w:r>
            <w:r w:rsidR="00CD131D">
              <w:rPr>
                <w:noProof/>
                <w:webHidden/>
              </w:rPr>
              <w:instrText xml:space="preserve"> PAGEREF _Toc61468825 \h </w:instrText>
            </w:r>
            <w:r w:rsidR="00CD131D">
              <w:rPr>
                <w:noProof/>
                <w:webHidden/>
              </w:rPr>
            </w:r>
            <w:r w:rsidR="00CD131D">
              <w:rPr>
                <w:noProof/>
                <w:webHidden/>
              </w:rPr>
              <w:fldChar w:fldCharType="separate"/>
            </w:r>
            <w:r w:rsidR="00CD131D">
              <w:rPr>
                <w:noProof/>
                <w:webHidden/>
              </w:rPr>
              <w:t>20</w:t>
            </w:r>
            <w:r w:rsidR="00CD131D">
              <w:rPr>
                <w:noProof/>
                <w:webHidden/>
              </w:rPr>
              <w:fldChar w:fldCharType="end"/>
            </w:r>
          </w:hyperlink>
        </w:p>
        <w:p w14:paraId="33F893DC" w14:textId="54BC0149" w:rsidR="00CD131D" w:rsidRDefault="00446AF2">
          <w:pPr>
            <w:pStyle w:val="TOC1"/>
            <w:tabs>
              <w:tab w:val="right" w:leader="dot" w:pos="9736"/>
            </w:tabs>
            <w:rPr>
              <w:noProof/>
              <w:sz w:val="22"/>
              <w:szCs w:val="22"/>
              <w:lang w:eastAsia="en-GB"/>
            </w:rPr>
          </w:pPr>
          <w:hyperlink w:anchor="_Toc61468826" w:history="1">
            <w:r w:rsidR="00CD131D" w:rsidRPr="003D1DF0">
              <w:rPr>
                <w:rStyle w:val="Hyperlink"/>
                <w:rFonts w:ascii="Arial" w:hAnsi="Arial" w:cs="Arial"/>
                <w:noProof/>
              </w:rPr>
              <w:t>APPENDICES</w:t>
            </w:r>
            <w:r w:rsidR="00CD131D">
              <w:rPr>
                <w:noProof/>
                <w:webHidden/>
              </w:rPr>
              <w:tab/>
            </w:r>
            <w:r w:rsidR="00CD131D">
              <w:rPr>
                <w:noProof/>
                <w:webHidden/>
              </w:rPr>
              <w:fldChar w:fldCharType="begin"/>
            </w:r>
            <w:r w:rsidR="00CD131D">
              <w:rPr>
                <w:noProof/>
                <w:webHidden/>
              </w:rPr>
              <w:instrText xml:space="preserve"> PAGEREF _Toc61468826 \h </w:instrText>
            </w:r>
            <w:r w:rsidR="00CD131D">
              <w:rPr>
                <w:noProof/>
                <w:webHidden/>
              </w:rPr>
            </w:r>
            <w:r w:rsidR="00CD131D">
              <w:rPr>
                <w:noProof/>
                <w:webHidden/>
              </w:rPr>
              <w:fldChar w:fldCharType="separate"/>
            </w:r>
            <w:r w:rsidR="00CD131D">
              <w:rPr>
                <w:noProof/>
                <w:webHidden/>
              </w:rPr>
              <w:t>22</w:t>
            </w:r>
            <w:r w:rsidR="00CD131D">
              <w:rPr>
                <w:noProof/>
                <w:webHidden/>
              </w:rPr>
              <w:fldChar w:fldCharType="end"/>
            </w:r>
          </w:hyperlink>
        </w:p>
        <w:p w14:paraId="624D237B" w14:textId="05A5DFBC" w:rsidR="00CD131D" w:rsidRDefault="00446AF2">
          <w:pPr>
            <w:pStyle w:val="TOC2"/>
            <w:tabs>
              <w:tab w:val="right" w:leader="dot" w:pos="9736"/>
            </w:tabs>
            <w:rPr>
              <w:noProof/>
              <w:sz w:val="22"/>
              <w:szCs w:val="22"/>
              <w:lang w:eastAsia="en-GB"/>
            </w:rPr>
          </w:pPr>
          <w:hyperlink w:anchor="_Toc61468827" w:history="1">
            <w:r w:rsidR="00CD131D" w:rsidRPr="003D1DF0">
              <w:rPr>
                <w:rStyle w:val="Hyperlink"/>
                <w:rFonts w:ascii="Arial" w:hAnsi="Arial" w:cs="Arial"/>
                <w:noProof/>
              </w:rPr>
              <w:t>Appendix 1 Berkeley Group, Data from the audited financial statements</w:t>
            </w:r>
            <w:r w:rsidR="00CD131D">
              <w:rPr>
                <w:noProof/>
                <w:webHidden/>
              </w:rPr>
              <w:tab/>
            </w:r>
            <w:r w:rsidR="00CD131D">
              <w:rPr>
                <w:noProof/>
                <w:webHidden/>
              </w:rPr>
              <w:fldChar w:fldCharType="begin"/>
            </w:r>
            <w:r w:rsidR="00CD131D">
              <w:rPr>
                <w:noProof/>
                <w:webHidden/>
              </w:rPr>
              <w:instrText xml:space="preserve"> PAGEREF _Toc61468827 \h </w:instrText>
            </w:r>
            <w:r w:rsidR="00CD131D">
              <w:rPr>
                <w:noProof/>
                <w:webHidden/>
              </w:rPr>
            </w:r>
            <w:r w:rsidR="00CD131D">
              <w:rPr>
                <w:noProof/>
                <w:webHidden/>
              </w:rPr>
              <w:fldChar w:fldCharType="separate"/>
            </w:r>
            <w:r w:rsidR="00CD131D">
              <w:rPr>
                <w:noProof/>
                <w:webHidden/>
              </w:rPr>
              <w:t>22</w:t>
            </w:r>
            <w:r w:rsidR="00CD131D">
              <w:rPr>
                <w:noProof/>
                <w:webHidden/>
              </w:rPr>
              <w:fldChar w:fldCharType="end"/>
            </w:r>
          </w:hyperlink>
        </w:p>
        <w:p w14:paraId="4457073E" w14:textId="4FF0C31B" w:rsidR="00CD131D" w:rsidRDefault="00446AF2">
          <w:pPr>
            <w:pStyle w:val="TOC2"/>
            <w:tabs>
              <w:tab w:val="right" w:leader="dot" w:pos="9736"/>
            </w:tabs>
            <w:rPr>
              <w:noProof/>
              <w:sz w:val="22"/>
              <w:szCs w:val="22"/>
              <w:lang w:eastAsia="en-GB"/>
            </w:rPr>
          </w:pPr>
          <w:hyperlink w:anchor="_Toc61468828" w:history="1">
            <w:r w:rsidR="00CD131D" w:rsidRPr="003D1DF0">
              <w:rPr>
                <w:rStyle w:val="Hyperlink"/>
                <w:rFonts w:ascii="Arial" w:hAnsi="Arial" w:cs="Arial"/>
                <w:noProof/>
              </w:rPr>
              <w:t>Appendix 2 Berkeley - Financial Reports for the year ended April 2020, April 2019</w:t>
            </w:r>
            <w:r w:rsidR="00CD131D">
              <w:rPr>
                <w:noProof/>
                <w:webHidden/>
              </w:rPr>
              <w:tab/>
            </w:r>
            <w:r w:rsidR="00CD131D">
              <w:rPr>
                <w:noProof/>
                <w:webHidden/>
              </w:rPr>
              <w:fldChar w:fldCharType="begin"/>
            </w:r>
            <w:r w:rsidR="00CD131D">
              <w:rPr>
                <w:noProof/>
                <w:webHidden/>
              </w:rPr>
              <w:instrText xml:space="preserve"> PAGEREF _Toc61468828 \h </w:instrText>
            </w:r>
            <w:r w:rsidR="00CD131D">
              <w:rPr>
                <w:noProof/>
                <w:webHidden/>
              </w:rPr>
            </w:r>
            <w:r w:rsidR="00CD131D">
              <w:rPr>
                <w:noProof/>
                <w:webHidden/>
              </w:rPr>
              <w:fldChar w:fldCharType="separate"/>
            </w:r>
            <w:r w:rsidR="00CD131D">
              <w:rPr>
                <w:noProof/>
                <w:webHidden/>
              </w:rPr>
              <w:t>23</w:t>
            </w:r>
            <w:r w:rsidR="00CD131D">
              <w:rPr>
                <w:noProof/>
                <w:webHidden/>
              </w:rPr>
              <w:fldChar w:fldCharType="end"/>
            </w:r>
          </w:hyperlink>
        </w:p>
        <w:p w14:paraId="59BD9C08" w14:textId="04009260" w:rsidR="00CD131D" w:rsidRDefault="00446AF2">
          <w:pPr>
            <w:pStyle w:val="TOC2"/>
            <w:tabs>
              <w:tab w:val="right" w:leader="dot" w:pos="9736"/>
            </w:tabs>
            <w:rPr>
              <w:noProof/>
              <w:sz w:val="22"/>
              <w:szCs w:val="22"/>
              <w:lang w:eastAsia="en-GB"/>
            </w:rPr>
          </w:pPr>
          <w:hyperlink w:anchor="_Toc61468829" w:history="1">
            <w:r w:rsidR="00CD131D" w:rsidRPr="003D1DF0">
              <w:rPr>
                <w:rStyle w:val="Hyperlink"/>
                <w:rFonts w:ascii="Arial" w:hAnsi="Arial" w:cs="Arial"/>
                <w:noProof/>
              </w:rPr>
              <w:t>Appendix 2.1 Berkeley - Financial reports for the year ended 2020; 2019</w:t>
            </w:r>
            <w:r w:rsidR="00CD131D">
              <w:rPr>
                <w:noProof/>
                <w:webHidden/>
              </w:rPr>
              <w:tab/>
            </w:r>
            <w:r w:rsidR="00CD131D">
              <w:rPr>
                <w:noProof/>
                <w:webHidden/>
              </w:rPr>
              <w:fldChar w:fldCharType="begin"/>
            </w:r>
            <w:r w:rsidR="00CD131D">
              <w:rPr>
                <w:noProof/>
                <w:webHidden/>
              </w:rPr>
              <w:instrText xml:space="preserve"> PAGEREF _Toc61468829 \h </w:instrText>
            </w:r>
            <w:r w:rsidR="00CD131D">
              <w:rPr>
                <w:noProof/>
                <w:webHidden/>
              </w:rPr>
            </w:r>
            <w:r w:rsidR="00CD131D">
              <w:rPr>
                <w:noProof/>
                <w:webHidden/>
              </w:rPr>
              <w:fldChar w:fldCharType="separate"/>
            </w:r>
            <w:r w:rsidR="00CD131D">
              <w:rPr>
                <w:noProof/>
                <w:webHidden/>
              </w:rPr>
              <w:t>24</w:t>
            </w:r>
            <w:r w:rsidR="00CD131D">
              <w:rPr>
                <w:noProof/>
                <w:webHidden/>
              </w:rPr>
              <w:fldChar w:fldCharType="end"/>
            </w:r>
          </w:hyperlink>
        </w:p>
        <w:p w14:paraId="5A17B5D2" w14:textId="2A0AFB29" w:rsidR="00CD131D" w:rsidRDefault="00446AF2">
          <w:pPr>
            <w:pStyle w:val="TOC2"/>
            <w:tabs>
              <w:tab w:val="right" w:leader="dot" w:pos="9736"/>
            </w:tabs>
            <w:rPr>
              <w:noProof/>
              <w:sz w:val="22"/>
              <w:szCs w:val="22"/>
              <w:lang w:eastAsia="en-GB"/>
            </w:rPr>
          </w:pPr>
          <w:hyperlink w:anchor="_Toc61468830" w:history="1">
            <w:r w:rsidR="00CD131D" w:rsidRPr="003D1DF0">
              <w:rPr>
                <w:rStyle w:val="Hyperlink"/>
                <w:rFonts w:ascii="Arial" w:hAnsi="Arial" w:cs="Arial"/>
                <w:noProof/>
              </w:rPr>
              <w:t>Appendix 3 Berkeley Group, Financial Reports for the year ended 2018; 2017</w:t>
            </w:r>
            <w:r w:rsidR="00CD131D">
              <w:rPr>
                <w:noProof/>
                <w:webHidden/>
              </w:rPr>
              <w:tab/>
            </w:r>
            <w:r w:rsidR="00CD131D">
              <w:rPr>
                <w:noProof/>
                <w:webHidden/>
              </w:rPr>
              <w:fldChar w:fldCharType="begin"/>
            </w:r>
            <w:r w:rsidR="00CD131D">
              <w:rPr>
                <w:noProof/>
                <w:webHidden/>
              </w:rPr>
              <w:instrText xml:space="preserve"> PAGEREF _Toc61468830 \h </w:instrText>
            </w:r>
            <w:r w:rsidR="00CD131D">
              <w:rPr>
                <w:noProof/>
                <w:webHidden/>
              </w:rPr>
            </w:r>
            <w:r w:rsidR="00CD131D">
              <w:rPr>
                <w:noProof/>
                <w:webHidden/>
              </w:rPr>
              <w:fldChar w:fldCharType="separate"/>
            </w:r>
            <w:r w:rsidR="00CD131D">
              <w:rPr>
                <w:noProof/>
                <w:webHidden/>
              </w:rPr>
              <w:t>25</w:t>
            </w:r>
            <w:r w:rsidR="00CD131D">
              <w:rPr>
                <w:noProof/>
                <w:webHidden/>
              </w:rPr>
              <w:fldChar w:fldCharType="end"/>
            </w:r>
          </w:hyperlink>
        </w:p>
        <w:p w14:paraId="5AA72E1A" w14:textId="79577376" w:rsidR="00CD131D" w:rsidRDefault="00446AF2">
          <w:pPr>
            <w:pStyle w:val="TOC2"/>
            <w:tabs>
              <w:tab w:val="right" w:leader="dot" w:pos="9736"/>
            </w:tabs>
            <w:rPr>
              <w:noProof/>
              <w:sz w:val="22"/>
              <w:szCs w:val="22"/>
              <w:lang w:eastAsia="en-GB"/>
            </w:rPr>
          </w:pPr>
          <w:hyperlink w:anchor="_Toc61468831" w:history="1">
            <w:r w:rsidR="00CD131D" w:rsidRPr="003D1DF0">
              <w:rPr>
                <w:rStyle w:val="Hyperlink"/>
                <w:rFonts w:ascii="Arial" w:hAnsi="Arial" w:cs="Arial"/>
                <w:noProof/>
              </w:rPr>
              <w:t>Appendix 4 Berkeley Group, Financial Reports for the year ended 2018; 2017</w:t>
            </w:r>
            <w:r w:rsidR="00CD131D">
              <w:rPr>
                <w:noProof/>
                <w:webHidden/>
              </w:rPr>
              <w:tab/>
            </w:r>
            <w:r w:rsidR="00CD131D">
              <w:rPr>
                <w:noProof/>
                <w:webHidden/>
              </w:rPr>
              <w:fldChar w:fldCharType="begin"/>
            </w:r>
            <w:r w:rsidR="00CD131D">
              <w:rPr>
                <w:noProof/>
                <w:webHidden/>
              </w:rPr>
              <w:instrText xml:space="preserve"> PAGEREF _Toc61468831 \h </w:instrText>
            </w:r>
            <w:r w:rsidR="00CD131D">
              <w:rPr>
                <w:noProof/>
                <w:webHidden/>
              </w:rPr>
            </w:r>
            <w:r w:rsidR="00CD131D">
              <w:rPr>
                <w:noProof/>
                <w:webHidden/>
              </w:rPr>
              <w:fldChar w:fldCharType="separate"/>
            </w:r>
            <w:r w:rsidR="00CD131D">
              <w:rPr>
                <w:noProof/>
                <w:webHidden/>
              </w:rPr>
              <w:t>26</w:t>
            </w:r>
            <w:r w:rsidR="00CD131D">
              <w:rPr>
                <w:noProof/>
                <w:webHidden/>
              </w:rPr>
              <w:fldChar w:fldCharType="end"/>
            </w:r>
          </w:hyperlink>
        </w:p>
        <w:p w14:paraId="5AA07C1A" w14:textId="7DCA7F3B" w:rsidR="00CD131D" w:rsidRDefault="00446AF2">
          <w:pPr>
            <w:pStyle w:val="TOC2"/>
            <w:tabs>
              <w:tab w:val="right" w:leader="dot" w:pos="9736"/>
            </w:tabs>
            <w:rPr>
              <w:noProof/>
              <w:sz w:val="22"/>
              <w:szCs w:val="22"/>
              <w:lang w:eastAsia="en-GB"/>
            </w:rPr>
          </w:pPr>
          <w:hyperlink w:anchor="_Toc61468832" w:history="1">
            <w:r w:rsidR="00CD131D" w:rsidRPr="003D1DF0">
              <w:rPr>
                <w:rStyle w:val="Hyperlink"/>
                <w:rFonts w:ascii="Arial" w:hAnsi="Arial" w:cs="Arial"/>
                <w:noProof/>
              </w:rPr>
              <w:t>Appendix 5 Berkeley Group, Financial Reports for the year ended 2017; 2016</w:t>
            </w:r>
            <w:r w:rsidR="00CD131D">
              <w:rPr>
                <w:noProof/>
                <w:webHidden/>
              </w:rPr>
              <w:tab/>
            </w:r>
            <w:r w:rsidR="00CD131D">
              <w:rPr>
                <w:noProof/>
                <w:webHidden/>
              </w:rPr>
              <w:fldChar w:fldCharType="begin"/>
            </w:r>
            <w:r w:rsidR="00CD131D">
              <w:rPr>
                <w:noProof/>
                <w:webHidden/>
              </w:rPr>
              <w:instrText xml:space="preserve"> PAGEREF _Toc61468832 \h </w:instrText>
            </w:r>
            <w:r w:rsidR="00CD131D">
              <w:rPr>
                <w:noProof/>
                <w:webHidden/>
              </w:rPr>
            </w:r>
            <w:r w:rsidR="00CD131D">
              <w:rPr>
                <w:noProof/>
                <w:webHidden/>
              </w:rPr>
              <w:fldChar w:fldCharType="separate"/>
            </w:r>
            <w:r w:rsidR="00CD131D">
              <w:rPr>
                <w:noProof/>
                <w:webHidden/>
              </w:rPr>
              <w:t>27</w:t>
            </w:r>
            <w:r w:rsidR="00CD131D">
              <w:rPr>
                <w:noProof/>
                <w:webHidden/>
              </w:rPr>
              <w:fldChar w:fldCharType="end"/>
            </w:r>
          </w:hyperlink>
        </w:p>
        <w:p w14:paraId="59C5D76C" w14:textId="430D6E55" w:rsidR="00CD131D" w:rsidRDefault="00446AF2">
          <w:pPr>
            <w:pStyle w:val="TOC2"/>
            <w:tabs>
              <w:tab w:val="right" w:leader="dot" w:pos="9736"/>
            </w:tabs>
            <w:rPr>
              <w:noProof/>
              <w:sz w:val="22"/>
              <w:szCs w:val="22"/>
              <w:lang w:eastAsia="en-GB"/>
            </w:rPr>
          </w:pPr>
          <w:hyperlink w:anchor="_Toc61468833" w:history="1">
            <w:r w:rsidR="00CD131D" w:rsidRPr="003D1DF0">
              <w:rPr>
                <w:rStyle w:val="Hyperlink"/>
                <w:rFonts w:ascii="Arial" w:hAnsi="Arial" w:cs="Arial"/>
                <w:noProof/>
              </w:rPr>
              <w:t>Appendix 6 Berkeley Group, Financial Reports for the year ended 2017; 2016</w:t>
            </w:r>
            <w:r w:rsidR="00CD131D">
              <w:rPr>
                <w:noProof/>
                <w:webHidden/>
              </w:rPr>
              <w:tab/>
            </w:r>
            <w:r w:rsidR="00CD131D">
              <w:rPr>
                <w:noProof/>
                <w:webHidden/>
              </w:rPr>
              <w:fldChar w:fldCharType="begin"/>
            </w:r>
            <w:r w:rsidR="00CD131D">
              <w:rPr>
                <w:noProof/>
                <w:webHidden/>
              </w:rPr>
              <w:instrText xml:space="preserve"> PAGEREF _Toc61468833 \h </w:instrText>
            </w:r>
            <w:r w:rsidR="00CD131D">
              <w:rPr>
                <w:noProof/>
                <w:webHidden/>
              </w:rPr>
            </w:r>
            <w:r w:rsidR="00CD131D">
              <w:rPr>
                <w:noProof/>
                <w:webHidden/>
              </w:rPr>
              <w:fldChar w:fldCharType="separate"/>
            </w:r>
            <w:r w:rsidR="00CD131D">
              <w:rPr>
                <w:noProof/>
                <w:webHidden/>
              </w:rPr>
              <w:t>28</w:t>
            </w:r>
            <w:r w:rsidR="00CD131D">
              <w:rPr>
                <w:noProof/>
                <w:webHidden/>
              </w:rPr>
              <w:fldChar w:fldCharType="end"/>
            </w:r>
          </w:hyperlink>
        </w:p>
        <w:p w14:paraId="15E62C3E" w14:textId="649C8F4F" w:rsidR="00CD131D" w:rsidRDefault="00446AF2">
          <w:pPr>
            <w:pStyle w:val="TOC2"/>
            <w:tabs>
              <w:tab w:val="right" w:leader="dot" w:pos="9736"/>
            </w:tabs>
            <w:rPr>
              <w:noProof/>
              <w:sz w:val="22"/>
              <w:szCs w:val="22"/>
              <w:lang w:eastAsia="en-GB"/>
            </w:rPr>
          </w:pPr>
          <w:hyperlink w:anchor="_Toc61468834" w:history="1">
            <w:r w:rsidR="00CD131D" w:rsidRPr="003D1DF0">
              <w:rPr>
                <w:rStyle w:val="Hyperlink"/>
                <w:rFonts w:ascii="Arial" w:hAnsi="Arial" w:cs="Arial"/>
                <w:noProof/>
              </w:rPr>
              <w:t>Appendix 7 Berkeley Group, Financial Reports for the year ended 2015; 2014</w:t>
            </w:r>
            <w:r w:rsidR="00CD131D">
              <w:rPr>
                <w:noProof/>
                <w:webHidden/>
              </w:rPr>
              <w:tab/>
            </w:r>
            <w:r w:rsidR="00CD131D">
              <w:rPr>
                <w:noProof/>
                <w:webHidden/>
              </w:rPr>
              <w:fldChar w:fldCharType="begin"/>
            </w:r>
            <w:r w:rsidR="00CD131D">
              <w:rPr>
                <w:noProof/>
                <w:webHidden/>
              </w:rPr>
              <w:instrText xml:space="preserve"> PAGEREF _Toc61468834 \h </w:instrText>
            </w:r>
            <w:r w:rsidR="00CD131D">
              <w:rPr>
                <w:noProof/>
                <w:webHidden/>
              </w:rPr>
            </w:r>
            <w:r w:rsidR="00CD131D">
              <w:rPr>
                <w:noProof/>
                <w:webHidden/>
              </w:rPr>
              <w:fldChar w:fldCharType="separate"/>
            </w:r>
            <w:r w:rsidR="00CD131D">
              <w:rPr>
                <w:noProof/>
                <w:webHidden/>
              </w:rPr>
              <w:t>29</w:t>
            </w:r>
            <w:r w:rsidR="00CD131D">
              <w:rPr>
                <w:noProof/>
                <w:webHidden/>
              </w:rPr>
              <w:fldChar w:fldCharType="end"/>
            </w:r>
          </w:hyperlink>
        </w:p>
        <w:p w14:paraId="3A3C107A" w14:textId="6CA408F9" w:rsidR="00CD131D" w:rsidRDefault="00446AF2">
          <w:pPr>
            <w:pStyle w:val="TOC2"/>
            <w:tabs>
              <w:tab w:val="right" w:leader="dot" w:pos="9736"/>
            </w:tabs>
            <w:rPr>
              <w:noProof/>
              <w:sz w:val="22"/>
              <w:szCs w:val="22"/>
              <w:lang w:eastAsia="en-GB"/>
            </w:rPr>
          </w:pPr>
          <w:hyperlink w:anchor="_Toc61468835" w:history="1">
            <w:r w:rsidR="00CD131D" w:rsidRPr="003D1DF0">
              <w:rPr>
                <w:rStyle w:val="Hyperlink"/>
                <w:rFonts w:ascii="Arial" w:hAnsi="Arial" w:cs="Arial"/>
                <w:noProof/>
              </w:rPr>
              <w:t>Appendix 8 Berkeley Group, Financial Reports for the year ended 2015; 2014</w:t>
            </w:r>
            <w:r w:rsidR="00CD131D">
              <w:rPr>
                <w:noProof/>
                <w:webHidden/>
              </w:rPr>
              <w:tab/>
            </w:r>
            <w:r w:rsidR="00CD131D">
              <w:rPr>
                <w:noProof/>
                <w:webHidden/>
              </w:rPr>
              <w:fldChar w:fldCharType="begin"/>
            </w:r>
            <w:r w:rsidR="00CD131D">
              <w:rPr>
                <w:noProof/>
                <w:webHidden/>
              </w:rPr>
              <w:instrText xml:space="preserve"> PAGEREF _Toc61468835 \h </w:instrText>
            </w:r>
            <w:r w:rsidR="00CD131D">
              <w:rPr>
                <w:noProof/>
                <w:webHidden/>
              </w:rPr>
            </w:r>
            <w:r w:rsidR="00CD131D">
              <w:rPr>
                <w:noProof/>
                <w:webHidden/>
              </w:rPr>
              <w:fldChar w:fldCharType="separate"/>
            </w:r>
            <w:r w:rsidR="00CD131D">
              <w:rPr>
                <w:noProof/>
                <w:webHidden/>
              </w:rPr>
              <w:t>30</w:t>
            </w:r>
            <w:r w:rsidR="00CD131D">
              <w:rPr>
                <w:noProof/>
                <w:webHidden/>
              </w:rPr>
              <w:fldChar w:fldCharType="end"/>
            </w:r>
          </w:hyperlink>
        </w:p>
        <w:p w14:paraId="2D50FCE0" w14:textId="28F628DE" w:rsidR="00CD131D" w:rsidRDefault="00446AF2">
          <w:pPr>
            <w:pStyle w:val="TOC2"/>
            <w:tabs>
              <w:tab w:val="right" w:leader="dot" w:pos="9736"/>
            </w:tabs>
            <w:rPr>
              <w:noProof/>
              <w:sz w:val="22"/>
              <w:szCs w:val="22"/>
              <w:lang w:eastAsia="en-GB"/>
            </w:rPr>
          </w:pPr>
          <w:hyperlink w:anchor="_Toc61468836" w:history="1">
            <w:r w:rsidR="00CD131D" w:rsidRPr="003D1DF0">
              <w:rPr>
                <w:rStyle w:val="Hyperlink"/>
                <w:rFonts w:ascii="Arial" w:hAnsi="Arial" w:cs="Arial"/>
                <w:noProof/>
              </w:rPr>
              <w:t>Appendix 9 Berkeley Group, share price for the year ended 2015</w:t>
            </w:r>
            <w:r w:rsidR="00CD131D">
              <w:rPr>
                <w:noProof/>
                <w:webHidden/>
              </w:rPr>
              <w:tab/>
            </w:r>
            <w:r w:rsidR="00CD131D">
              <w:rPr>
                <w:noProof/>
                <w:webHidden/>
              </w:rPr>
              <w:fldChar w:fldCharType="begin"/>
            </w:r>
            <w:r w:rsidR="00CD131D">
              <w:rPr>
                <w:noProof/>
                <w:webHidden/>
              </w:rPr>
              <w:instrText xml:space="preserve"> PAGEREF _Toc61468836 \h </w:instrText>
            </w:r>
            <w:r w:rsidR="00CD131D">
              <w:rPr>
                <w:noProof/>
                <w:webHidden/>
              </w:rPr>
            </w:r>
            <w:r w:rsidR="00CD131D">
              <w:rPr>
                <w:noProof/>
                <w:webHidden/>
              </w:rPr>
              <w:fldChar w:fldCharType="separate"/>
            </w:r>
            <w:r w:rsidR="00CD131D">
              <w:rPr>
                <w:noProof/>
                <w:webHidden/>
              </w:rPr>
              <w:t>31</w:t>
            </w:r>
            <w:r w:rsidR="00CD131D">
              <w:rPr>
                <w:noProof/>
                <w:webHidden/>
              </w:rPr>
              <w:fldChar w:fldCharType="end"/>
            </w:r>
          </w:hyperlink>
        </w:p>
        <w:p w14:paraId="1701EE13" w14:textId="51070A73" w:rsidR="00CD131D" w:rsidRDefault="00446AF2">
          <w:pPr>
            <w:pStyle w:val="TOC2"/>
            <w:tabs>
              <w:tab w:val="right" w:leader="dot" w:pos="9736"/>
            </w:tabs>
            <w:rPr>
              <w:noProof/>
              <w:sz w:val="22"/>
              <w:szCs w:val="22"/>
              <w:lang w:eastAsia="en-GB"/>
            </w:rPr>
          </w:pPr>
          <w:hyperlink w:anchor="_Toc61468837" w:history="1">
            <w:r w:rsidR="00CD131D" w:rsidRPr="003D1DF0">
              <w:rPr>
                <w:rStyle w:val="Hyperlink"/>
                <w:rFonts w:ascii="Arial" w:hAnsi="Arial" w:cs="Arial"/>
                <w:noProof/>
              </w:rPr>
              <w:t>Appendix 10 Berkeley Group, Dividend breakdown 2018</w:t>
            </w:r>
            <w:r w:rsidR="00CD131D">
              <w:rPr>
                <w:noProof/>
                <w:webHidden/>
              </w:rPr>
              <w:tab/>
            </w:r>
            <w:r w:rsidR="00CD131D">
              <w:rPr>
                <w:noProof/>
                <w:webHidden/>
              </w:rPr>
              <w:fldChar w:fldCharType="begin"/>
            </w:r>
            <w:r w:rsidR="00CD131D">
              <w:rPr>
                <w:noProof/>
                <w:webHidden/>
              </w:rPr>
              <w:instrText xml:space="preserve"> PAGEREF _Toc61468837 \h </w:instrText>
            </w:r>
            <w:r w:rsidR="00CD131D">
              <w:rPr>
                <w:noProof/>
                <w:webHidden/>
              </w:rPr>
            </w:r>
            <w:r w:rsidR="00CD131D">
              <w:rPr>
                <w:noProof/>
                <w:webHidden/>
              </w:rPr>
              <w:fldChar w:fldCharType="separate"/>
            </w:r>
            <w:r w:rsidR="00CD131D">
              <w:rPr>
                <w:noProof/>
                <w:webHidden/>
              </w:rPr>
              <w:t>32</w:t>
            </w:r>
            <w:r w:rsidR="00CD131D">
              <w:rPr>
                <w:noProof/>
                <w:webHidden/>
              </w:rPr>
              <w:fldChar w:fldCharType="end"/>
            </w:r>
          </w:hyperlink>
        </w:p>
        <w:p w14:paraId="40171A6E" w14:textId="4E38946A" w:rsidR="00CD131D" w:rsidRDefault="00446AF2">
          <w:pPr>
            <w:pStyle w:val="TOC2"/>
            <w:tabs>
              <w:tab w:val="right" w:leader="dot" w:pos="9736"/>
            </w:tabs>
            <w:rPr>
              <w:noProof/>
              <w:sz w:val="22"/>
              <w:szCs w:val="22"/>
              <w:lang w:eastAsia="en-GB"/>
            </w:rPr>
          </w:pPr>
          <w:hyperlink w:anchor="_Toc61468838" w:history="1">
            <w:r w:rsidR="00CD131D" w:rsidRPr="003D1DF0">
              <w:rPr>
                <w:rStyle w:val="Hyperlink"/>
                <w:rFonts w:ascii="Arial" w:hAnsi="Arial" w:cs="Arial"/>
                <w:noProof/>
              </w:rPr>
              <w:t>Appendix 11 Berkeley Group, Market Share price 2016-2018</w:t>
            </w:r>
            <w:r w:rsidR="00CD131D">
              <w:rPr>
                <w:noProof/>
                <w:webHidden/>
              </w:rPr>
              <w:tab/>
            </w:r>
            <w:r w:rsidR="00CD131D">
              <w:rPr>
                <w:noProof/>
                <w:webHidden/>
              </w:rPr>
              <w:fldChar w:fldCharType="begin"/>
            </w:r>
            <w:r w:rsidR="00CD131D">
              <w:rPr>
                <w:noProof/>
                <w:webHidden/>
              </w:rPr>
              <w:instrText xml:space="preserve"> PAGEREF _Toc61468838 \h </w:instrText>
            </w:r>
            <w:r w:rsidR="00CD131D">
              <w:rPr>
                <w:noProof/>
                <w:webHidden/>
              </w:rPr>
            </w:r>
            <w:r w:rsidR="00CD131D">
              <w:rPr>
                <w:noProof/>
                <w:webHidden/>
              </w:rPr>
              <w:fldChar w:fldCharType="separate"/>
            </w:r>
            <w:r w:rsidR="00CD131D">
              <w:rPr>
                <w:noProof/>
                <w:webHidden/>
              </w:rPr>
              <w:t>33</w:t>
            </w:r>
            <w:r w:rsidR="00CD131D">
              <w:rPr>
                <w:noProof/>
                <w:webHidden/>
              </w:rPr>
              <w:fldChar w:fldCharType="end"/>
            </w:r>
          </w:hyperlink>
        </w:p>
        <w:p w14:paraId="515DCB65" w14:textId="1EE01F26" w:rsidR="00CD131D" w:rsidRDefault="00446AF2">
          <w:pPr>
            <w:pStyle w:val="TOC2"/>
            <w:tabs>
              <w:tab w:val="right" w:leader="dot" w:pos="9736"/>
            </w:tabs>
            <w:rPr>
              <w:noProof/>
              <w:sz w:val="22"/>
              <w:szCs w:val="22"/>
              <w:lang w:eastAsia="en-GB"/>
            </w:rPr>
          </w:pPr>
          <w:hyperlink w:anchor="_Toc61468839" w:history="1">
            <w:r w:rsidR="00CD131D" w:rsidRPr="003D1DF0">
              <w:rPr>
                <w:rStyle w:val="Hyperlink"/>
                <w:rFonts w:ascii="Arial" w:hAnsi="Arial" w:cs="Arial"/>
                <w:noProof/>
              </w:rPr>
              <w:t>Appendix 12 Balfour Beatty, Market Share Price 2019</w:t>
            </w:r>
            <w:r w:rsidR="00CD131D">
              <w:rPr>
                <w:noProof/>
                <w:webHidden/>
              </w:rPr>
              <w:tab/>
            </w:r>
            <w:r w:rsidR="00CD131D">
              <w:rPr>
                <w:noProof/>
                <w:webHidden/>
              </w:rPr>
              <w:fldChar w:fldCharType="begin"/>
            </w:r>
            <w:r w:rsidR="00CD131D">
              <w:rPr>
                <w:noProof/>
                <w:webHidden/>
              </w:rPr>
              <w:instrText xml:space="preserve"> PAGEREF _Toc61468839 \h </w:instrText>
            </w:r>
            <w:r w:rsidR="00CD131D">
              <w:rPr>
                <w:noProof/>
                <w:webHidden/>
              </w:rPr>
            </w:r>
            <w:r w:rsidR="00CD131D">
              <w:rPr>
                <w:noProof/>
                <w:webHidden/>
              </w:rPr>
              <w:fldChar w:fldCharType="separate"/>
            </w:r>
            <w:r w:rsidR="00CD131D">
              <w:rPr>
                <w:noProof/>
                <w:webHidden/>
              </w:rPr>
              <w:t>34</w:t>
            </w:r>
            <w:r w:rsidR="00CD131D">
              <w:rPr>
                <w:noProof/>
                <w:webHidden/>
              </w:rPr>
              <w:fldChar w:fldCharType="end"/>
            </w:r>
          </w:hyperlink>
        </w:p>
        <w:p w14:paraId="52373679" w14:textId="1650CEF1" w:rsidR="00454817" w:rsidRPr="007D003C" w:rsidRDefault="00454817">
          <w:pPr>
            <w:rPr>
              <w:rFonts w:ascii="Arial" w:hAnsi="Arial" w:cs="Arial"/>
              <w:sz w:val="22"/>
              <w:szCs w:val="22"/>
            </w:rPr>
          </w:pPr>
          <w:r w:rsidRPr="007D003C">
            <w:rPr>
              <w:rFonts w:ascii="Arial" w:hAnsi="Arial" w:cs="Arial"/>
              <w:b/>
              <w:bCs/>
              <w:noProof/>
              <w:sz w:val="22"/>
              <w:szCs w:val="22"/>
            </w:rPr>
            <w:fldChar w:fldCharType="end"/>
          </w:r>
        </w:p>
      </w:sdtContent>
    </w:sdt>
    <w:p w14:paraId="7A2A0B61" w14:textId="77777777" w:rsidR="00CD131D" w:rsidRDefault="00CD131D" w:rsidP="00311B44">
      <w:pPr>
        <w:pStyle w:val="Heading2"/>
        <w:jc w:val="left"/>
        <w:rPr>
          <w:rFonts w:ascii="Arial" w:hAnsi="Arial" w:cs="Arial"/>
          <w:color w:val="984806" w:themeColor="accent6" w:themeShade="80"/>
          <w:sz w:val="22"/>
          <w:szCs w:val="22"/>
        </w:rPr>
      </w:pPr>
    </w:p>
    <w:p w14:paraId="2ED0FB4F" w14:textId="25CB0FCE" w:rsidR="005956DC" w:rsidRPr="007D003C" w:rsidRDefault="005956DC" w:rsidP="00311B44">
      <w:pPr>
        <w:pStyle w:val="Heading2"/>
        <w:jc w:val="left"/>
        <w:rPr>
          <w:rFonts w:ascii="Arial" w:hAnsi="Arial" w:cs="Arial"/>
          <w:b/>
          <w:bCs/>
          <w:sz w:val="22"/>
          <w:szCs w:val="22"/>
        </w:rPr>
      </w:pPr>
      <w:r w:rsidRPr="007D003C">
        <w:rPr>
          <w:rFonts w:ascii="Arial" w:hAnsi="Arial" w:cs="Arial"/>
          <w:color w:val="984806" w:themeColor="accent6" w:themeShade="80"/>
          <w:sz w:val="22"/>
          <w:szCs w:val="22"/>
        </w:rPr>
        <w:br w:type="page"/>
      </w:r>
      <w:bookmarkStart w:id="1" w:name="_Toc61468820"/>
      <w:r w:rsidR="006A60E9" w:rsidRPr="00311B44">
        <w:rPr>
          <w:rFonts w:ascii="Arial" w:hAnsi="Arial" w:cs="Arial"/>
          <w:b/>
          <w:bCs/>
          <w:color w:val="548DD4" w:themeColor="text2" w:themeTint="99"/>
          <w:sz w:val="22"/>
          <w:szCs w:val="22"/>
        </w:rPr>
        <w:lastRenderedPageBreak/>
        <w:t>PART A)</w:t>
      </w:r>
      <w:r w:rsidR="00EA06A3" w:rsidRPr="00311B44">
        <w:rPr>
          <w:rFonts w:ascii="Arial" w:hAnsi="Arial" w:cs="Arial"/>
          <w:b/>
          <w:bCs/>
          <w:color w:val="548DD4" w:themeColor="text2" w:themeTint="99"/>
          <w:sz w:val="22"/>
          <w:szCs w:val="22"/>
        </w:rPr>
        <w:t xml:space="preserve"> THE BERKELEY GROUP HOLDING PLC</w:t>
      </w:r>
      <w:bookmarkEnd w:id="1"/>
    </w:p>
    <w:tbl>
      <w:tblPr>
        <w:tblStyle w:val="TableGrid"/>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8"/>
        <w:gridCol w:w="7680"/>
      </w:tblGrid>
      <w:tr w:rsidR="00B76704" w:rsidRPr="007D003C" w14:paraId="31A5797B" w14:textId="77777777" w:rsidTr="009C3827">
        <w:trPr>
          <w:trHeight w:val="2670"/>
        </w:trPr>
        <w:tc>
          <w:tcPr>
            <w:tcW w:w="2238" w:type="dxa"/>
          </w:tcPr>
          <w:p w14:paraId="7B01E5A6" w14:textId="77777777" w:rsidR="004803E4" w:rsidRPr="007D003C" w:rsidRDefault="004803E4" w:rsidP="005A4268">
            <w:pPr>
              <w:rPr>
                <w:rFonts w:ascii="Arial" w:hAnsi="Arial" w:cs="Arial"/>
                <w:b/>
                <w:bCs/>
                <w:sz w:val="22"/>
                <w:szCs w:val="22"/>
              </w:rPr>
            </w:pPr>
            <w:r w:rsidRPr="007D003C">
              <w:rPr>
                <w:rFonts w:ascii="Arial" w:hAnsi="Arial" w:cs="Arial"/>
                <w:b/>
                <w:bCs/>
                <w:noProof/>
                <w:sz w:val="22"/>
                <w:szCs w:val="22"/>
              </w:rPr>
              <w:drawing>
                <wp:inline distT="0" distB="0" distL="0" distR="0" wp14:anchorId="7429A3AC" wp14:editId="171B119D">
                  <wp:extent cx="628980" cy="5124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0523" cy="529961"/>
                          </a:xfrm>
                          <a:prstGeom prst="rect">
                            <a:avLst/>
                          </a:prstGeom>
                          <a:noFill/>
                        </pic:spPr>
                      </pic:pic>
                    </a:graphicData>
                  </a:graphic>
                </wp:inline>
              </w:drawing>
            </w:r>
          </w:p>
          <w:p w14:paraId="1BBA82B4" w14:textId="1A18D2F5" w:rsidR="00B76704" w:rsidRPr="007D003C" w:rsidRDefault="00B76704" w:rsidP="005A4268">
            <w:pPr>
              <w:rPr>
                <w:rFonts w:ascii="Arial" w:hAnsi="Arial" w:cs="Arial"/>
                <w:sz w:val="22"/>
                <w:szCs w:val="22"/>
              </w:rPr>
            </w:pPr>
            <w:r w:rsidRPr="007D003C">
              <w:rPr>
                <w:rFonts w:ascii="Arial" w:hAnsi="Arial" w:cs="Arial"/>
                <w:sz w:val="22"/>
                <w:szCs w:val="22"/>
              </w:rPr>
              <w:t>Revenue (GBP) 1.89bn</w:t>
            </w:r>
          </w:p>
          <w:p w14:paraId="4561BA79" w14:textId="762A3B4D" w:rsidR="00B76704" w:rsidRPr="007D003C" w:rsidRDefault="00B76704" w:rsidP="005A4268">
            <w:pPr>
              <w:rPr>
                <w:rFonts w:ascii="Arial" w:hAnsi="Arial" w:cs="Arial"/>
                <w:sz w:val="22"/>
                <w:szCs w:val="22"/>
              </w:rPr>
            </w:pPr>
            <w:r w:rsidRPr="007D003C">
              <w:rPr>
                <w:rFonts w:ascii="Arial" w:hAnsi="Arial" w:cs="Arial"/>
                <w:sz w:val="22"/>
                <w:szCs w:val="22"/>
              </w:rPr>
              <w:t>Net Income (GBP) 374.10m</w:t>
            </w:r>
          </w:p>
          <w:p w14:paraId="4D31F5F4" w14:textId="7AF50663" w:rsidR="00B76704" w:rsidRPr="007D003C" w:rsidRDefault="00B76704" w:rsidP="005A4268">
            <w:pPr>
              <w:rPr>
                <w:rFonts w:ascii="Arial" w:hAnsi="Arial" w:cs="Arial"/>
                <w:sz w:val="22"/>
                <w:szCs w:val="22"/>
              </w:rPr>
            </w:pPr>
            <w:r w:rsidRPr="007D003C">
              <w:rPr>
                <w:rFonts w:ascii="Arial" w:hAnsi="Arial" w:cs="Arial"/>
                <w:sz w:val="22"/>
                <w:szCs w:val="22"/>
              </w:rPr>
              <w:t>Incorporated 2004</w:t>
            </w:r>
          </w:p>
          <w:p w14:paraId="792AAAAC" w14:textId="047F60B2" w:rsidR="00B76704" w:rsidRPr="007D003C" w:rsidRDefault="00B76704" w:rsidP="005A4268">
            <w:pPr>
              <w:rPr>
                <w:rFonts w:ascii="Arial" w:hAnsi="Arial" w:cs="Arial"/>
                <w:sz w:val="22"/>
                <w:szCs w:val="22"/>
              </w:rPr>
            </w:pPr>
            <w:r w:rsidRPr="007D003C">
              <w:rPr>
                <w:rFonts w:ascii="Arial" w:hAnsi="Arial" w:cs="Arial"/>
                <w:sz w:val="22"/>
                <w:szCs w:val="22"/>
              </w:rPr>
              <w:t>Employees 2.71k</w:t>
            </w:r>
          </w:p>
        </w:tc>
        <w:tc>
          <w:tcPr>
            <w:tcW w:w="7680" w:type="dxa"/>
          </w:tcPr>
          <w:p w14:paraId="74E288C2" w14:textId="175067EA" w:rsidR="004803E4" w:rsidRPr="007D003C" w:rsidRDefault="004803E4" w:rsidP="008045B0">
            <w:pPr>
              <w:jc w:val="both"/>
              <w:rPr>
                <w:rFonts w:ascii="Arial" w:hAnsi="Arial" w:cs="Arial"/>
                <w:sz w:val="22"/>
                <w:szCs w:val="22"/>
              </w:rPr>
            </w:pPr>
            <w:r w:rsidRPr="007D003C">
              <w:rPr>
                <w:rFonts w:ascii="Arial" w:hAnsi="Arial" w:cs="Arial"/>
                <w:i/>
                <w:iCs/>
                <w:sz w:val="22"/>
                <w:szCs w:val="22"/>
              </w:rPr>
              <w:t>The Berkeley Group Holding plc</w:t>
            </w:r>
            <w:r w:rsidRPr="007D003C">
              <w:rPr>
                <w:rFonts w:ascii="Arial" w:hAnsi="Arial" w:cs="Arial"/>
                <w:sz w:val="22"/>
                <w:szCs w:val="22"/>
              </w:rPr>
              <w:t xml:space="preserve"> was found in 1976</w:t>
            </w:r>
            <w:r w:rsidR="00232D55" w:rsidRPr="007D003C">
              <w:rPr>
                <w:rFonts w:ascii="Arial" w:hAnsi="Arial" w:cs="Arial"/>
                <w:sz w:val="22"/>
                <w:szCs w:val="22"/>
              </w:rPr>
              <w:t xml:space="preserve">. The </w:t>
            </w:r>
            <w:r w:rsidR="008A122E" w:rsidRPr="007D003C">
              <w:rPr>
                <w:rFonts w:ascii="Arial" w:hAnsi="Arial" w:cs="Arial"/>
                <w:sz w:val="22"/>
                <w:szCs w:val="22"/>
              </w:rPr>
              <w:t xml:space="preserve">100% owned </w:t>
            </w:r>
            <w:r w:rsidR="00232D55" w:rsidRPr="007D003C">
              <w:rPr>
                <w:rFonts w:ascii="Arial" w:hAnsi="Arial" w:cs="Arial"/>
                <w:sz w:val="22"/>
                <w:szCs w:val="22"/>
              </w:rPr>
              <w:t>subsidiaries are</w:t>
            </w:r>
            <w:r w:rsidRPr="007D003C">
              <w:rPr>
                <w:rFonts w:ascii="Arial" w:hAnsi="Arial" w:cs="Arial"/>
                <w:sz w:val="22"/>
                <w:szCs w:val="22"/>
              </w:rPr>
              <w:t xml:space="preserve"> The Berkeley, St Edwards, St George, St James, St Joseph, St Williams, Berkley First, Berkeley Commercial and Berkeley Partnership brands. </w:t>
            </w:r>
            <w:r w:rsidR="00232D55" w:rsidRPr="007D003C">
              <w:rPr>
                <w:rFonts w:ascii="Arial" w:hAnsi="Arial" w:cs="Arial"/>
                <w:sz w:val="22"/>
                <w:szCs w:val="22"/>
              </w:rPr>
              <w:t xml:space="preserve">  The group “is engaged in residential-led property development focusing on regeneration and mixed-use property developments”</w:t>
            </w:r>
            <w:sdt>
              <w:sdtPr>
                <w:rPr>
                  <w:rFonts w:ascii="Arial" w:hAnsi="Arial" w:cs="Arial"/>
                  <w:sz w:val="22"/>
                  <w:szCs w:val="22"/>
                </w:rPr>
                <w:id w:val="1155269038"/>
                <w:citation/>
              </w:sdtPr>
              <w:sdtEndPr/>
              <w:sdtContent>
                <w:r w:rsidR="00232D55" w:rsidRPr="007D003C">
                  <w:rPr>
                    <w:rFonts w:ascii="Arial" w:hAnsi="Arial" w:cs="Arial"/>
                    <w:sz w:val="22"/>
                    <w:szCs w:val="22"/>
                  </w:rPr>
                  <w:fldChar w:fldCharType="begin"/>
                </w:r>
                <w:r w:rsidR="00232D55" w:rsidRPr="007D003C">
                  <w:rPr>
                    <w:rFonts w:ascii="Arial" w:hAnsi="Arial" w:cs="Arial"/>
                    <w:sz w:val="22"/>
                    <w:szCs w:val="22"/>
                  </w:rPr>
                  <w:instrText xml:space="preserve"> CITATION Fin211 \l 2057 </w:instrText>
                </w:r>
                <w:r w:rsidR="00232D55" w:rsidRPr="007D003C">
                  <w:rPr>
                    <w:rFonts w:ascii="Arial" w:hAnsi="Arial" w:cs="Arial"/>
                    <w:sz w:val="22"/>
                    <w:szCs w:val="22"/>
                  </w:rPr>
                  <w:fldChar w:fldCharType="separate"/>
                </w:r>
                <w:r w:rsidR="00232D55" w:rsidRPr="007D003C">
                  <w:rPr>
                    <w:rFonts w:ascii="Arial" w:hAnsi="Arial" w:cs="Arial"/>
                    <w:noProof/>
                    <w:sz w:val="22"/>
                    <w:szCs w:val="22"/>
                  </w:rPr>
                  <w:t xml:space="preserve"> (Financial Times, 2021)</w:t>
                </w:r>
                <w:r w:rsidR="00232D55" w:rsidRPr="007D003C">
                  <w:rPr>
                    <w:rFonts w:ascii="Arial" w:hAnsi="Arial" w:cs="Arial"/>
                    <w:sz w:val="22"/>
                    <w:szCs w:val="22"/>
                  </w:rPr>
                  <w:fldChar w:fldCharType="end"/>
                </w:r>
              </w:sdtContent>
            </w:sdt>
            <w:r w:rsidR="00232D55" w:rsidRPr="007D003C">
              <w:rPr>
                <w:rFonts w:ascii="Arial" w:hAnsi="Arial" w:cs="Arial"/>
                <w:sz w:val="22"/>
                <w:szCs w:val="22"/>
              </w:rPr>
              <w:t xml:space="preserve">. </w:t>
            </w:r>
            <w:r w:rsidRPr="007D003C">
              <w:rPr>
                <w:rFonts w:ascii="Arial" w:hAnsi="Arial" w:cs="Arial"/>
                <w:sz w:val="22"/>
                <w:szCs w:val="22"/>
              </w:rPr>
              <w:t>“The group builds homes, neighbourhoods, communities, luxury homes, and affordable housing for families, first time buyers, students, and senior people in London and South East of the UK</w:t>
            </w:r>
            <w:r w:rsidR="00B76704" w:rsidRPr="007D003C">
              <w:rPr>
                <w:rFonts w:ascii="Arial" w:hAnsi="Arial" w:cs="Arial"/>
                <w:sz w:val="22"/>
                <w:szCs w:val="22"/>
              </w:rPr>
              <w:t xml:space="preserve"> (Financial Times, 2021).  </w:t>
            </w:r>
          </w:p>
        </w:tc>
      </w:tr>
    </w:tbl>
    <w:p w14:paraId="15F6F723" w14:textId="062D4C53" w:rsidR="008A122E" w:rsidRPr="007D003C" w:rsidRDefault="008045B0" w:rsidP="008045B0">
      <w:pPr>
        <w:jc w:val="both"/>
        <w:rPr>
          <w:rFonts w:ascii="Arial" w:hAnsi="Arial" w:cs="Arial"/>
          <w:sz w:val="22"/>
          <w:szCs w:val="22"/>
        </w:rPr>
      </w:pPr>
      <w:r w:rsidRPr="007D003C">
        <w:rPr>
          <w:rFonts w:ascii="Arial" w:hAnsi="Arial" w:cs="Arial"/>
          <w:sz w:val="22"/>
          <w:szCs w:val="22"/>
        </w:rPr>
        <w:t>The company was founded by Tony Pidgley and Jim Farrer in Weybridge in 1976 as Berkeley Homes.  The business aimed “to focus on executive housing on single plots or small sites” and build 100 houses in less than a year.  The company floated its shares on USM in 1984, thereafter expanded to new geographic areas to the West, South Midlands and E</w:t>
      </w:r>
      <w:r w:rsidR="00060E07" w:rsidRPr="007D003C">
        <w:rPr>
          <w:rFonts w:ascii="Arial" w:hAnsi="Arial" w:cs="Arial"/>
          <w:sz w:val="22"/>
          <w:szCs w:val="22"/>
        </w:rPr>
        <w:t>a</w:t>
      </w:r>
      <w:r w:rsidRPr="007D003C">
        <w:rPr>
          <w:rFonts w:ascii="Arial" w:hAnsi="Arial" w:cs="Arial"/>
          <w:sz w:val="22"/>
          <w:szCs w:val="22"/>
        </w:rPr>
        <w:t xml:space="preserve">st Anglia forming joint ventures. By 1988 – over 600 executive homes </w:t>
      </w:r>
      <w:r w:rsidR="00060E07" w:rsidRPr="007D003C">
        <w:rPr>
          <w:rFonts w:ascii="Arial" w:hAnsi="Arial" w:cs="Arial"/>
          <w:sz w:val="22"/>
          <w:szCs w:val="22"/>
        </w:rPr>
        <w:t>were</w:t>
      </w:r>
      <w:r w:rsidRPr="007D003C">
        <w:rPr>
          <w:rFonts w:ascii="Arial" w:hAnsi="Arial" w:cs="Arial"/>
          <w:sz w:val="22"/>
          <w:szCs w:val="22"/>
        </w:rPr>
        <w:t xml:space="preserve"> buil</w:t>
      </w:r>
      <w:r w:rsidR="00060E07" w:rsidRPr="007D003C">
        <w:rPr>
          <w:rFonts w:ascii="Arial" w:hAnsi="Arial" w:cs="Arial"/>
          <w:sz w:val="22"/>
          <w:szCs w:val="22"/>
        </w:rPr>
        <w:t>t</w:t>
      </w:r>
      <w:r w:rsidRPr="007D003C">
        <w:rPr>
          <w:rFonts w:ascii="Arial" w:hAnsi="Arial" w:cs="Arial"/>
          <w:sz w:val="22"/>
          <w:szCs w:val="22"/>
        </w:rPr>
        <w:t xml:space="preserve"> a year.  At the time</w:t>
      </w:r>
      <w:r w:rsidR="00060E07" w:rsidRPr="007D003C">
        <w:rPr>
          <w:rFonts w:ascii="Arial" w:hAnsi="Arial" w:cs="Arial"/>
          <w:sz w:val="22"/>
          <w:szCs w:val="22"/>
        </w:rPr>
        <w:t xml:space="preserve"> the company’s strategy was aggressive house sale for cash in the fear </w:t>
      </w:r>
      <w:r w:rsidR="009C1B13">
        <w:rPr>
          <w:rFonts w:ascii="Arial" w:hAnsi="Arial" w:cs="Arial"/>
          <w:sz w:val="22"/>
          <w:szCs w:val="22"/>
        </w:rPr>
        <w:t>of the</w:t>
      </w:r>
      <w:r w:rsidR="00060E07" w:rsidRPr="007D003C">
        <w:rPr>
          <w:rFonts w:ascii="Arial" w:hAnsi="Arial" w:cs="Arial"/>
          <w:sz w:val="22"/>
          <w:szCs w:val="22"/>
        </w:rPr>
        <w:t xml:space="preserve"> housing market industry “overheating”.  In 1990-91 company moves its operations to urban areas due to changes in operational orientation to regenerate the deprived sites of </w:t>
      </w:r>
      <w:r w:rsidR="009C1B13">
        <w:rPr>
          <w:rFonts w:ascii="Arial" w:hAnsi="Arial" w:cs="Arial"/>
          <w:sz w:val="22"/>
          <w:szCs w:val="22"/>
        </w:rPr>
        <w:t xml:space="preserve">the </w:t>
      </w:r>
      <w:r w:rsidR="00060E07" w:rsidRPr="007D003C">
        <w:rPr>
          <w:rFonts w:ascii="Arial" w:hAnsi="Arial" w:cs="Arial"/>
          <w:sz w:val="22"/>
          <w:szCs w:val="22"/>
        </w:rPr>
        <w:t xml:space="preserve">UK (Birmingham, Manchester).  </w:t>
      </w:r>
      <w:r w:rsidRPr="007D003C">
        <w:rPr>
          <w:rFonts w:ascii="Arial" w:hAnsi="Arial" w:cs="Arial"/>
          <w:sz w:val="22"/>
          <w:szCs w:val="22"/>
        </w:rPr>
        <w:t xml:space="preserve">  </w:t>
      </w:r>
      <w:r w:rsidR="009C1B13">
        <w:rPr>
          <w:rFonts w:ascii="Arial" w:hAnsi="Arial" w:cs="Arial"/>
          <w:sz w:val="22"/>
          <w:szCs w:val="22"/>
        </w:rPr>
        <w:t xml:space="preserve">In </w:t>
      </w:r>
      <w:r w:rsidR="00060E07" w:rsidRPr="007D003C">
        <w:rPr>
          <w:rFonts w:ascii="Arial" w:hAnsi="Arial" w:cs="Arial"/>
          <w:sz w:val="22"/>
          <w:szCs w:val="22"/>
        </w:rPr>
        <w:t>Early 2000 the company refined its strategy again “to concentrate primarily on relatively large</w:t>
      </w:r>
      <w:r w:rsidR="00CC2488" w:rsidRPr="007D003C">
        <w:rPr>
          <w:rFonts w:ascii="Arial" w:hAnsi="Arial" w:cs="Arial"/>
          <w:sz w:val="22"/>
          <w:szCs w:val="22"/>
        </w:rPr>
        <w:t>-</w:t>
      </w:r>
      <w:r w:rsidR="00060E07" w:rsidRPr="007D003C">
        <w:rPr>
          <w:rFonts w:ascii="Arial" w:hAnsi="Arial" w:cs="Arial"/>
          <w:sz w:val="22"/>
          <w:szCs w:val="22"/>
        </w:rPr>
        <w:t>scale urban redevelopments in the London area”</w:t>
      </w:r>
      <w:sdt>
        <w:sdtPr>
          <w:rPr>
            <w:rFonts w:ascii="Arial" w:hAnsi="Arial" w:cs="Arial"/>
            <w:sz w:val="22"/>
            <w:szCs w:val="22"/>
          </w:rPr>
          <w:id w:val="167385002"/>
          <w:citation/>
        </w:sdtPr>
        <w:sdtEndPr/>
        <w:sdtContent>
          <w:r w:rsidR="00060E07" w:rsidRPr="007D003C">
            <w:rPr>
              <w:rFonts w:ascii="Arial" w:hAnsi="Arial" w:cs="Arial"/>
              <w:sz w:val="22"/>
              <w:szCs w:val="22"/>
            </w:rPr>
            <w:fldChar w:fldCharType="begin"/>
          </w:r>
          <w:r w:rsidR="00060E07" w:rsidRPr="007D003C">
            <w:rPr>
              <w:rFonts w:ascii="Arial" w:hAnsi="Arial" w:cs="Arial"/>
              <w:sz w:val="22"/>
              <w:szCs w:val="22"/>
            </w:rPr>
            <w:instrText xml:space="preserve"> CITATION Fre20 \l 2057 </w:instrText>
          </w:r>
          <w:r w:rsidR="00060E07" w:rsidRPr="007D003C">
            <w:rPr>
              <w:rFonts w:ascii="Arial" w:hAnsi="Arial" w:cs="Arial"/>
              <w:sz w:val="22"/>
              <w:szCs w:val="22"/>
            </w:rPr>
            <w:fldChar w:fldCharType="separate"/>
          </w:r>
          <w:r w:rsidR="00060E07" w:rsidRPr="007D003C">
            <w:rPr>
              <w:rFonts w:ascii="Arial" w:hAnsi="Arial" w:cs="Arial"/>
              <w:noProof/>
              <w:sz w:val="22"/>
              <w:szCs w:val="22"/>
            </w:rPr>
            <w:t xml:space="preserve"> (Free Encyclopedia, 2020)</w:t>
          </w:r>
          <w:r w:rsidR="00060E07" w:rsidRPr="007D003C">
            <w:rPr>
              <w:rFonts w:ascii="Arial" w:hAnsi="Arial" w:cs="Arial"/>
              <w:sz w:val="22"/>
              <w:szCs w:val="22"/>
            </w:rPr>
            <w:fldChar w:fldCharType="end"/>
          </w:r>
        </w:sdtContent>
      </w:sdt>
      <w:r w:rsidR="001B5157">
        <w:rPr>
          <w:rFonts w:ascii="Arial" w:hAnsi="Arial" w:cs="Arial"/>
          <w:sz w:val="22"/>
          <w:szCs w:val="22"/>
        </w:rPr>
        <w:t xml:space="preserve">.  </w:t>
      </w:r>
      <w:r w:rsidR="00CC2488" w:rsidRPr="007D003C">
        <w:rPr>
          <w:rFonts w:ascii="Arial" w:hAnsi="Arial" w:cs="Arial"/>
          <w:sz w:val="22"/>
          <w:szCs w:val="22"/>
        </w:rPr>
        <w:t xml:space="preserve">In 2015, the company won Large Developer of the Year at the RESI awards organised by Property Week” (RESI Awards, 2016).  The course of the COVID-19 pandemic </w:t>
      </w:r>
      <w:r w:rsidR="000011B9" w:rsidRPr="007D003C">
        <w:rPr>
          <w:rFonts w:ascii="Arial" w:hAnsi="Arial" w:cs="Arial"/>
          <w:sz w:val="22"/>
          <w:szCs w:val="22"/>
        </w:rPr>
        <w:t xml:space="preserve">had cost </w:t>
      </w:r>
      <w:r w:rsidR="009C1B13">
        <w:rPr>
          <w:rFonts w:ascii="Arial" w:hAnsi="Arial" w:cs="Arial"/>
          <w:sz w:val="22"/>
          <w:szCs w:val="22"/>
        </w:rPr>
        <w:t xml:space="preserve">the </w:t>
      </w:r>
      <w:r w:rsidR="000011B9" w:rsidRPr="007D003C">
        <w:rPr>
          <w:rFonts w:ascii="Arial" w:hAnsi="Arial" w:cs="Arial"/>
          <w:sz w:val="22"/>
          <w:szCs w:val="22"/>
        </w:rPr>
        <w:t>company</w:t>
      </w:r>
      <w:r w:rsidR="00CC2488" w:rsidRPr="007D003C">
        <w:rPr>
          <w:rFonts w:ascii="Arial" w:hAnsi="Arial" w:cs="Arial"/>
          <w:sz w:val="22"/>
          <w:szCs w:val="22"/>
        </w:rPr>
        <w:t xml:space="preserve"> £80m </w:t>
      </w:r>
      <w:r w:rsidR="000011B9" w:rsidRPr="007D003C">
        <w:rPr>
          <w:rFonts w:ascii="Arial" w:hAnsi="Arial" w:cs="Arial"/>
          <w:sz w:val="22"/>
          <w:szCs w:val="22"/>
        </w:rPr>
        <w:t>just in the first 6 weeks, the company had cancelled shareholders</w:t>
      </w:r>
      <w:r w:rsidR="009C1B13">
        <w:rPr>
          <w:rFonts w:ascii="Arial" w:hAnsi="Arial" w:cs="Arial"/>
          <w:sz w:val="22"/>
          <w:szCs w:val="22"/>
        </w:rPr>
        <w:t>’</w:t>
      </w:r>
      <w:r w:rsidR="000011B9" w:rsidRPr="007D003C">
        <w:rPr>
          <w:rFonts w:ascii="Arial" w:hAnsi="Arial" w:cs="Arial"/>
          <w:sz w:val="22"/>
          <w:szCs w:val="22"/>
        </w:rPr>
        <w:t xml:space="preserve"> pay-outs and began to close the construction </w:t>
      </w:r>
      <w:r w:rsidR="009C1B13" w:rsidRPr="007D003C">
        <w:rPr>
          <w:rFonts w:ascii="Arial" w:hAnsi="Arial" w:cs="Arial"/>
          <w:sz w:val="22"/>
          <w:szCs w:val="22"/>
        </w:rPr>
        <w:t>sites,</w:t>
      </w:r>
      <w:r w:rsidR="009C1B13">
        <w:rPr>
          <w:rFonts w:ascii="Arial" w:hAnsi="Arial" w:cs="Arial"/>
          <w:sz w:val="22"/>
          <w:szCs w:val="22"/>
        </w:rPr>
        <w:t xml:space="preserve"> the</w:t>
      </w:r>
      <w:r w:rsidR="000011B9" w:rsidRPr="007D003C">
        <w:rPr>
          <w:rFonts w:ascii="Arial" w:hAnsi="Arial" w:cs="Arial"/>
          <w:sz w:val="22"/>
          <w:szCs w:val="22"/>
        </w:rPr>
        <w:t xml:space="preserve"> pre-tax profit was down 35% partly due to COVID-19 impact.  The founder died in June 2020(Free Encyclopedia, 2020).</w:t>
      </w:r>
    </w:p>
    <w:p w14:paraId="466333C1" w14:textId="4EBC701F" w:rsidR="008045B0" w:rsidRPr="007D003C" w:rsidRDefault="00F7291F" w:rsidP="008045B0">
      <w:pPr>
        <w:jc w:val="both"/>
        <w:rPr>
          <w:rFonts w:ascii="Arial" w:hAnsi="Arial" w:cs="Arial"/>
          <w:sz w:val="22"/>
          <w:szCs w:val="22"/>
        </w:rPr>
      </w:pPr>
      <w:r w:rsidRPr="007D003C">
        <w:rPr>
          <w:rFonts w:ascii="Arial" w:hAnsi="Arial" w:cs="Arial"/>
          <w:sz w:val="22"/>
          <w:szCs w:val="22"/>
        </w:rPr>
        <w:t>BUSINESS PURPOSE – “is to build quality homes, strengthen communities and improve people’s lives”</w:t>
      </w:r>
      <w:sdt>
        <w:sdtPr>
          <w:rPr>
            <w:rFonts w:ascii="Arial" w:hAnsi="Arial" w:cs="Arial"/>
            <w:sz w:val="22"/>
            <w:szCs w:val="22"/>
          </w:rPr>
          <w:id w:val="-329758056"/>
          <w:citation/>
        </w:sdtPr>
        <w:sdtEndPr/>
        <w:sdtContent>
          <w:r w:rsidRPr="007D003C">
            <w:rPr>
              <w:rFonts w:ascii="Arial" w:hAnsi="Arial" w:cs="Arial"/>
              <w:sz w:val="22"/>
              <w:szCs w:val="22"/>
            </w:rPr>
            <w:fldChar w:fldCharType="begin"/>
          </w:r>
          <w:r w:rsidR="00A33972" w:rsidRPr="007D003C">
            <w:rPr>
              <w:rFonts w:ascii="Arial" w:hAnsi="Arial" w:cs="Arial"/>
              <w:sz w:val="22"/>
              <w:szCs w:val="22"/>
            </w:rPr>
            <w:instrText xml:space="preserve">CITATION Ber20 \l 2057 </w:instrText>
          </w:r>
          <w:r w:rsidRPr="007D003C">
            <w:rPr>
              <w:rFonts w:ascii="Arial" w:hAnsi="Arial" w:cs="Arial"/>
              <w:sz w:val="22"/>
              <w:szCs w:val="22"/>
            </w:rPr>
            <w:fldChar w:fldCharType="separate"/>
          </w:r>
          <w:r w:rsidR="00A33972" w:rsidRPr="007D003C">
            <w:rPr>
              <w:rFonts w:ascii="Arial" w:hAnsi="Arial" w:cs="Arial"/>
              <w:noProof/>
              <w:sz w:val="22"/>
              <w:szCs w:val="22"/>
            </w:rPr>
            <w:t xml:space="preserve"> (Berkeley Group, 2020)</w:t>
          </w:r>
          <w:r w:rsidRPr="007D003C">
            <w:rPr>
              <w:rFonts w:ascii="Arial" w:hAnsi="Arial" w:cs="Arial"/>
              <w:sz w:val="22"/>
              <w:szCs w:val="22"/>
            </w:rPr>
            <w:fldChar w:fldCharType="end"/>
          </w:r>
        </w:sdtContent>
      </w:sdt>
      <w:r w:rsidR="000011B9" w:rsidRPr="007D003C">
        <w:rPr>
          <w:rFonts w:ascii="Arial" w:hAnsi="Arial" w:cs="Arial"/>
          <w:sz w:val="22"/>
          <w:szCs w:val="22"/>
        </w:rPr>
        <w:t xml:space="preserve"> </w:t>
      </w:r>
    </w:p>
    <w:p w14:paraId="0C906D81" w14:textId="2444FA2B" w:rsidR="008A122E" w:rsidRPr="007D003C" w:rsidRDefault="008A122E" w:rsidP="008045B0">
      <w:pPr>
        <w:jc w:val="both"/>
        <w:rPr>
          <w:rFonts w:ascii="Arial" w:hAnsi="Arial" w:cs="Arial"/>
          <w:sz w:val="22"/>
          <w:szCs w:val="22"/>
        </w:rPr>
      </w:pPr>
      <w:r w:rsidRPr="007D003C">
        <w:rPr>
          <w:rFonts w:ascii="Arial" w:hAnsi="Arial" w:cs="Arial"/>
          <w:sz w:val="22"/>
          <w:szCs w:val="22"/>
        </w:rPr>
        <w:t>STRATEGIES:</w:t>
      </w:r>
    </w:p>
    <w:p w14:paraId="053E1A78" w14:textId="2BC0686B" w:rsidR="00F7291F" w:rsidRPr="007D003C" w:rsidRDefault="00F7291F" w:rsidP="00F7291F">
      <w:pPr>
        <w:pStyle w:val="ListParagraph"/>
        <w:numPr>
          <w:ilvl w:val="0"/>
          <w:numId w:val="3"/>
        </w:numPr>
        <w:jc w:val="both"/>
        <w:rPr>
          <w:rFonts w:ascii="Arial" w:hAnsi="Arial" w:cs="Arial"/>
          <w:sz w:val="22"/>
          <w:szCs w:val="22"/>
        </w:rPr>
      </w:pPr>
      <w:r w:rsidRPr="007D003C">
        <w:rPr>
          <w:rFonts w:ascii="Arial" w:hAnsi="Arial" w:cs="Arial"/>
          <w:sz w:val="22"/>
          <w:szCs w:val="22"/>
        </w:rPr>
        <w:t>Long-term strategy is to invest in the right-risk</w:t>
      </w:r>
      <w:r w:rsidR="00A33972" w:rsidRPr="007D003C">
        <w:rPr>
          <w:rFonts w:ascii="Arial" w:hAnsi="Arial" w:cs="Arial"/>
          <w:sz w:val="22"/>
          <w:szCs w:val="22"/>
        </w:rPr>
        <w:t xml:space="preserve"> return</w:t>
      </w:r>
      <w:r w:rsidRPr="007D003C">
        <w:rPr>
          <w:rFonts w:ascii="Arial" w:hAnsi="Arial" w:cs="Arial"/>
          <w:sz w:val="22"/>
          <w:szCs w:val="22"/>
        </w:rPr>
        <w:t xml:space="preserve"> opportunities to ensure</w:t>
      </w:r>
      <w:r w:rsidR="009C1B13">
        <w:rPr>
          <w:rFonts w:ascii="Arial" w:hAnsi="Arial" w:cs="Arial"/>
          <w:sz w:val="22"/>
          <w:szCs w:val="22"/>
        </w:rPr>
        <w:t xml:space="preserve"> the</w:t>
      </w:r>
      <w:r w:rsidRPr="007D003C">
        <w:rPr>
          <w:rFonts w:ascii="Arial" w:hAnsi="Arial" w:cs="Arial"/>
          <w:sz w:val="22"/>
          <w:szCs w:val="22"/>
        </w:rPr>
        <w:t xml:space="preserve"> financial strength</w:t>
      </w:r>
      <w:r w:rsidR="00A33972" w:rsidRPr="007D003C">
        <w:rPr>
          <w:rFonts w:ascii="Arial" w:hAnsi="Arial" w:cs="Arial"/>
          <w:sz w:val="22"/>
          <w:szCs w:val="22"/>
        </w:rPr>
        <w:t xml:space="preserve"> of the group,</w:t>
      </w:r>
      <w:r w:rsidRPr="007D003C">
        <w:rPr>
          <w:rFonts w:ascii="Arial" w:hAnsi="Arial" w:cs="Arial"/>
          <w:sz w:val="22"/>
          <w:szCs w:val="22"/>
        </w:rPr>
        <w:t xml:space="preserve"> to make a return to shareholders that support </w:t>
      </w:r>
      <w:r w:rsidR="009C1B13">
        <w:rPr>
          <w:rFonts w:ascii="Arial" w:hAnsi="Arial" w:cs="Arial"/>
          <w:sz w:val="22"/>
          <w:szCs w:val="22"/>
        </w:rPr>
        <w:t xml:space="preserve">the </w:t>
      </w:r>
      <w:r w:rsidRPr="007D003C">
        <w:rPr>
          <w:rFonts w:ascii="Arial" w:hAnsi="Arial" w:cs="Arial"/>
          <w:sz w:val="22"/>
          <w:szCs w:val="22"/>
        </w:rPr>
        <w:t xml:space="preserve">company to achieve </w:t>
      </w:r>
      <w:r w:rsidR="009C1B13">
        <w:rPr>
          <w:rFonts w:ascii="Arial" w:hAnsi="Arial" w:cs="Arial"/>
          <w:sz w:val="22"/>
          <w:szCs w:val="22"/>
        </w:rPr>
        <w:t xml:space="preserve">a </w:t>
      </w:r>
      <w:r w:rsidRPr="007D003C">
        <w:rPr>
          <w:rFonts w:ascii="Arial" w:hAnsi="Arial" w:cs="Arial"/>
          <w:sz w:val="22"/>
          <w:szCs w:val="22"/>
        </w:rPr>
        <w:t>business purpose</w:t>
      </w:r>
      <w:r w:rsidR="00A33972" w:rsidRPr="007D003C">
        <w:rPr>
          <w:rFonts w:ascii="Arial" w:hAnsi="Arial" w:cs="Arial"/>
          <w:sz w:val="22"/>
          <w:szCs w:val="22"/>
        </w:rPr>
        <w:t xml:space="preserve"> (Berkeley Group, 2020)</w:t>
      </w:r>
    </w:p>
    <w:p w14:paraId="7CCAA14A" w14:textId="189F910F" w:rsidR="00A33972" w:rsidRPr="007D003C" w:rsidRDefault="00A33972" w:rsidP="006F163F">
      <w:pPr>
        <w:pStyle w:val="ListParagraph"/>
        <w:numPr>
          <w:ilvl w:val="0"/>
          <w:numId w:val="3"/>
        </w:numPr>
        <w:jc w:val="both"/>
        <w:rPr>
          <w:rFonts w:ascii="Arial" w:hAnsi="Arial" w:cs="Arial"/>
          <w:sz w:val="22"/>
          <w:szCs w:val="22"/>
        </w:rPr>
      </w:pPr>
      <w:r w:rsidRPr="007D003C">
        <w:rPr>
          <w:rFonts w:ascii="Arial" w:hAnsi="Arial" w:cs="Arial"/>
          <w:sz w:val="22"/>
          <w:szCs w:val="22"/>
        </w:rPr>
        <w:t>Respond “to the cyclical nature of the housing market and focuses on transforming the most challenging and complex sites into exceptional places where communities thrive” (Berkeley Group, 2020</w:t>
      </w:r>
      <w:r w:rsidR="008A122E" w:rsidRPr="007D003C">
        <w:rPr>
          <w:rFonts w:ascii="Arial" w:hAnsi="Arial" w:cs="Arial"/>
          <w:sz w:val="22"/>
          <w:szCs w:val="22"/>
        </w:rPr>
        <w:t>"</w:t>
      </w:r>
    </w:p>
    <w:p w14:paraId="34015D0B" w14:textId="7E5CA1A4" w:rsidR="00A33972" w:rsidRPr="009C3827" w:rsidRDefault="008A122E" w:rsidP="009C3827">
      <w:pPr>
        <w:pStyle w:val="ListParagraph"/>
        <w:numPr>
          <w:ilvl w:val="0"/>
          <w:numId w:val="3"/>
        </w:numPr>
        <w:jc w:val="both"/>
        <w:rPr>
          <w:rFonts w:ascii="Arial" w:hAnsi="Arial" w:cs="Arial"/>
          <w:sz w:val="22"/>
          <w:szCs w:val="22"/>
        </w:rPr>
      </w:pPr>
      <w:r w:rsidRPr="007D003C">
        <w:rPr>
          <w:rFonts w:ascii="Arial" w:hAnsi="Arial" w:cs="Arial"/>
          <w:sz w:val="22"/>
          <w:szCs w:val="22"/>
        </w:rPr>
        <w:t>Berkeley is committed to operat</w:t>
      </w:r>
      <w:r w:rsidR="009C1B13">
        <w:rPr>
          <w:rFonts w:ascii="Arial" w:hAnsi="Arial" w:cs="Arial"/>
          <w:sz w:val="22"/>
          <w:szCs w:val="22"/>
        </w:rPr>
        <w:t>e</w:t>
      </w:r>
      <w:r w:rsidRPr="007D003C">
        <w:rPr>
          <w:rFonts w:ascii="Arial" w:hAnsi="Arial" w:cs="Arial"/>
          <w:sz w:val="22"/>
          <w:szCs w:val="22"/>
        </w:rPr>
        <w:t xml:space="preserve"> incident and injury</w:t>
      </w:r>
      <w:r w:rsidR="009C1B13">
        <w:rPr>
          <w:rFonts w:ascii="Arial" w:hAnsi="Arial" w:cs="Arial"/>
          <w:sz w:val="22"/>
          <w:szCs w:val="22"/>
        </w:rPr>
        <w:t>-</w:t>
      </w:r>
      <w:r w:rsidRPr="007D003C">
        <w:rPr>
          <w:rFonts w:ascii="Arial" w:hAnsi="Arial" w:cs="Arial"/>
          <w:sz w:val="22"/>
          <w:szCs w:val="22"/>
        </w:rPr>
        <w:t>free and aspires to have a positive health impact on all those employed and affected by what we do."</w:t>
      </w:r>
      <w:r w:rsidR="00A33972" w:rsidRPr="007D003C">
        <w:rPr>
          <w:rFonts w:ascii="Arial" w:hAnsi="Arial" w:cs="Arial"/>
          <w:sz w:val="22"/>
          <w:szCs w:val="22"/>
        </w:rPr>
        <w:t xml:space="preserve"> (Berkeley Group, 2020)</w:t>
      </w:r>
    </w:p>
    <w:p w14:paraId="21AE7B7D" w14:textId="7463A909" w:rsidR="009C3827" w:rsidRDefault="009C1B13" w:rsidP="009C3827">
      <w:pPr>
        <w:jc w:val="both"/>
        <w:rPr>
          <w:rFonts w:ascii="Arial" w:hAnsi="Arial" w:cs="Arial"/>
          <w:sz w:val="22"/>
          <w:szCs w:val="22"/>
        </w:rPr>
      </w:pPr>
      <w:r>
        <w:rPr>
          <w:rFonts w:ascii="Arial" w:hAnsi="Arial" w:cs="Arial"/>
          <w:sz w:val="22"/>
          <w:szCs w:val="22"/>
        </w:rPr>
        <w:t>S</w:t>
      </w:r>
      <w:r w:rsidR="00A33972" w:rsidRPr="007D003C">
        <w:rPr>
          <w:rFonts w:ascii="Arial" w:hAnsi="Arial" w:cs="Arial"/>
          <w:sz w:val="22"/>
          <w:szCs w:val="22"/>
        </w:rPr>
        <w:t xml:space="preserve">econdarily data from the company’s audited and published financial statements for the </w:t>
      </w:r>
      <w:r w:rsidR="001B5157" w:rsidRPr="007D003C">
        <w:rPr>
          <w:rFonts w:ascii="Arial" w:hAnsi="Arial" w:cs="Arial"/>
          <w:sz w:val="22"/>
          <w:szCs w:val="22"/>
        </w:rPr>
        <w:t>6</w:t>
      </w:r>
      <w:r w:rsidR="001B5157">
        <w:rPr>
          <w:rFonts w:ascii="Arial" w:hAnsi="Arial" w:cs="Arial"/>
          <w:sz w:val="22"/>
          <w:szCs w:val="22"/>
        </w:rPr>
        <w:t>-year</w:t>
      </w:r>
      <w:r w:rsidR="00A33972" w:rsidRPr="007D003C">
        <w:rPr>
          <w:rFonts w:ascii="Arial" w:hAnsi="Arial" w:cs="Arial"/>
          <w:sz w:val="22"/>
          <w:szCs w:val="22"/>
        </w:rPr>
        <w:t xml:space="preserve"> period (201</w:t>
      </w:r>
      <w:r w:rsidR="008254B8" w:rsidRPr="007D003C">
        <w:rPr>
          <w:rFonts w:ascii="Arial" w:hAnsi="Arial" w:cs="Arial"/>
          <w:sz w:val="22"/>
          <w:szCs w:val="22"/>
        </w:rPr>
        <w:t>5</w:t>
      </w:r>
      <w:r w:rsidR="00A33972" w:rsidRPr="007D003C">
        <w:rPr>
          <w:rFonts w:ascii="Arial" w:hAnsi="Arial" w:cs="Arial"/>
          <w:sz w:val="22"/>
          <w:szCs w:val="22"/>
        </w:rPr>
        <w:t xml:space="preserve"> – 2020) is gathered for </w:t>
      </w:r>
      <w:r w:rsidR="007D4024" w:rsidRPr="007D003C">
        <w:rPr>
          <w:rFonts w:ascii="Arial" w:hAnsi="Arial" w:cs="Arial"/>
          <w:sz w:val="22"/>
          <w:szCs w:val="22"/>
        </w:rPr>
        <w:t xml:space="preserve">the </w:t>
      </w:r>
      <w:r w:rsidR="00A33972" w:rsidRPr="007D003C">
        <w:rPr>
          <w:rFonts w:ascii="Arial" w:hAnsi="Arial" w:cs="Arial"/>
          <w:sz w:val="22"/>
          <w:szCs w:val="22"/>
        </w:rPr>
        <w:t xml:space="preserve">analysis.  The profitability, efficiency, </w:t>
      </w:r>
      <w:r w:rsidR="00EA06A3" w:rsidRPr="007D003C">
        <w:rPr>
          <w:rFonts w:ascii="Arial" w:hAnsi="Arial" w:cs="Arial"/>
          <w:sz w:val="22"/>
          <w:szCs w:val="22"/>
        </w:rPr>
        <w:t>gearing,</w:t>
      </w:r>
      <w:r w:rsidR="00A33972" w:rsidRPr="007D003C">
        <w:rPr>
          <w:rFonts w:ascii="Arial" w:hAnsi="Arial" w:cs="Arial"/>
          <w:sz w:val="22"/>
          <w:szCs w:val="22"/>
        </w:rPr>
        <w:t xml:space="preserve"> and liquidity ratios are employed to critically review the financial performance of BERKELEY GROUP PLC</w:t>
      </w:r>
      <w:r w:rsidR="008254B8" w:rsidRPr="007D003C">
        <w:rPr>
          <w:rFonts w:ascii="Arial" w:hAnsi="Arial" w:cs="Arial"/>
          <w:sz w:val="22"/>
          <w:szCs w:val="22"/>
        </w:rPr>
        <w:t xml:space="preserve"> for the period 2015-2019</w:t>
      </w:r>
      <w:r w:rsidR="00A33972" w:rsidRPr="007D003C">
        <w:rPr>
          <w:rFonts w:ascii="Arial" w:hAnsi="Arial" w:cs="Arial"/>
          <w:sz w:val="22"/>
          <w:szCs w:val="22"/>
        </w:rPr>
        <w:t>.  Graphs and charts are used</w:t>
      </w:r>
      <w:r w:rsidR="008254B8" w:rsidRPr="007D003C">
        <w:rPr>
          <w:rFonts w:ascii="Arial" w:hAnsi="Arial" w:cs="Arial"/>
          <w:sz w:val="22"/>
          <w:szCs w:val="22"/>
        </w:rPr>
        <w:t xml:space="preserve"> throughout the report</w:t>
      </w:r>
      <w:r w:rsidR="00A33972" w:rsidRPr="007D003C">
        <w:rPr>
          <w:rFonts w:ascii="Arial" w:hAnsi="Arial" w:cs="Arial"/>
          <w:sz w:val="22"/>
          <w:szCs w:val="22"/>
        </w:rPr>
        <w:t xml:space="preserve"> to support the </w:t>
      </w:r>
      <w:r w:rsidR="00EA06A3" w:rsidRPr="007D003C">
        <w:rPr>
          <w:rFonts w:ascii="Arial" w:hAnsi="Arial" w:cs="Arial"/>
          <w:sz w:val="22"/>
          <w:szCs w:val="22"/>
        </w:rPr>
        <w:t xml:space="preserve">financial analysis. </w:t>
      </w:r>
      <w:r w:rsidR="008254B8" w:rsidRPr="007D003C">
        <w:rPr>
          <w:rFonts w:ascii="Arial" w:hAnsi="Arial" w:cs="Arial"/>
          <w:sz w:val="22"/>
          <w:szCs w:val="22"/>
        </w:rPr>
        <w:t>The financial performance</w:t>
      </w:r>
      <w:r w:rsidR="007D4024" w:rsidRPr="007D003C">
        <w:rPr>
          <w:rFonts w:ascii="Arial" w:hAnsi="Arial" w:cs="Arial"/>
          <w:sz w:val="22"/>
          <w:szCs w:val="22"/>
        </w:rPr>
        <w:t xml:space="preserve"> of the company</w:t>
      </w:r>
      <w:r w:rsidR="008254B8" w:rsidRPr="007D003C">
        <w:rPr>
          <w:rFonts w:ascii="Arial" w:hAnsi="Arial" w:cs="Arial"/>
          <w:sz w:val="22"/>
          <w:szCs w:val="22"/>
        </w:rPr>
        <w:t xml:space="preserve"> for the period 2020, will be looked at separately</w:t>
      </w:r>
      <w:r w:rsidR="007D4024" w:rsidRPr="007D003C">
        <w:rPr>
          <w:rFonts w:ascii="Arial" w:hAnsi="Arial" w:cs="Arial"/>
          <w:sz w:val="22"/>
          <w:szCs w:val="22"/>
        </w:rPr>
        <w:t>,</w:t>
      </w:r>
      <w:r w:rsidR="008254B8" w:rsidRPr="007D003C">
        <w:rPr>
          <w:rFonts w:ascii="Arial" w:hAnsi="Arial" w:cs="Arial"/>
          <w:sz w:val="22"/>
          <w:szCs w:val="22"/>
        </w:rPr>
        <w:t xml:space="preserve"> this is due to unprecedented global environmental challenges</w:t>
      </w:r>
      <w:r w:rsidR="007D4024" w:rsidRPr="007D003C">
        <w:rPr>
          <w:rFonts w:ascii="Arial" w:hAnsi="Arial" w:cs="Arial"/>
          <w:sz w:val="22"/>
          <w:szCs w:val="22"/>
        </w:rPr>
        <w:t xml:space="preserve"> of COVID-19 that affected the performance of the</w:t>
      </w:r>
      <w:r w:rsidR="008254B8" w:rsidRPr="007D003C">
        <w:rPr>
          <w:rFonts w:ascii="Arial" w:hAnsi="Arial" w:cs="Arial"/>
          <w:sz w:val="22"/>
          <w:szCs w:val="22"/>
        </w:rPr>
        <w:t xml:space="preserve"> company</w:t>
      </w:r>
      <w:r w:rsidR="007D4024" w:rsidRPr="007D003C">
        <w:rPr>
          <w:rFonts w:ascii="Arial" w:hAnsi="Arial" w:cs="Arial"/>
          <w:sz w:val="22"/>
          <w:szCs w:val="22"/>
        </w:rPr>
        <w:t xml:space="preserve"> adversely.</w:t>
      </w:r>
    </w:p>
    <w:p w14:paraId="6AC43E00" w14:textId="46681305" w:rsidR="00B76704" w:rsidRPr="007D003C" w:rsidRDefault="00B76704" w:rsidP="009C3827">
      <w:pPr>
        <w:jc w:val="both"/>
        <w:rPr>
          <w:rFonts w:ascii="Arial" w:hAnsi="Arial" w:cs="Arial"/>
          <w:sz w:val="22"/>
          <w:szCs w:val="22"/>
        </w:rPr>
      </w:pPr>
      <w:r w:rsidRPr="007D003C">
        <w:rPr>
          <w:rFonts w:ascii="Arial" w:hAnsi="Arial" w:cs="Arial"/>
          <w:sz w:val="22"/>
          <w:szCs w:val="22"/>
        </w:rPr>
        <w:lastRenderedPageBreak/>
        <w:t>Figure 1 Peer Analysis</w:t>
      </w:r>
      <w:r w:rsidR="007D4024" w:rsidRPr="007D003C">
        <w:rPr>
          <w:rFonts w:ascii="Arial" w:hAnsi="Arial" w:cs="Arial"/>
          <w:sz w:val="22"/>
          <w:szCs w:val="22"/>
        </w:rPr>
        <w:t xml:space="preserve"> as at 11/01/2021</w:t>
      </w:r>
    </w:p>
    <w:p w14:paraId="2874614C" w14:textId="7832D1F6" w:rsidR="00B76704" w:rsidRPr="007D003C" w:rsidRDefault="00B76704" w:rsidP="005A4268">
      <w:pPr>
        <w:rPr>
          <w:rFonts w:ascii="Arial" w:hAnsi="Arial" w:cs="Arial"/>
          <w:b/>
          <w:bCs/>
          <w:sz w:val="22"/>
          <w:szCs w:val="22"/>
        </w:rPr>
      </w:pPr>
      <w:r w:rsidRPr="007D003C">
        <w:rPr>
          <w:rFonts w:ascii="Arial" w:hAnsi="Arial" w:cs="Arial"/>
          <w:b/>
          <w:bCs/>
          <w:noProof/>
          <w:sz w:val="22"/>
          <w:szCs w:val="22"/>
        </w:rPr>
        <w:drawing>
          <wp:inline distT="0" distB="0" distL="0" distR="0" wp14:anchorId="19A40334" wp14:editId="2E06C644">
            <wp:extent cx="5398383" cy="344830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2713" cy="3463847"/>
                    </a:xfrm>
                    <a:prstGeom prst="rect">
                      <a:avLst/>
                    </a:prstGeom>
                    <a:noFill/>
                  </pic:spPr>
                </pic:pic>
              </a:graphicData>
            </a:graphic>
          </wp:inline>
        </w:drawing>
      </w:r>
    </w:p>
    <w:p w14:paraId="3B1A0291" w14:textId="7F64EA76" w:rsidR="000011B9" w:rsidRPr="007D003C" w:rsidRDefault="00B76704" w:rsidP="005A4268">
      <w:pPr>
        <w:rPr>
          <w:rFonts w:ascii="Arial" w:hAnsi="Arial" w:cs="Arial"/>
          <w:i/>
          <w:iCs/>
          <w:sz w:val="22"/>
          <w:szCs w:val="22"/>
        </w:rPr>
      </w:pPr>
      <w:r w:rsidRPr="007D003C">
        <w:rPr>
          <w:rFonts w:ascii="Arial" w:hAnsi="Arial" w:cs="Arial"/>
          <w:i/>
          <w:iCs/>
          <w:sz w:val="22"/>
          <w:szCs w:val="22"/>
        </w:rPr>
        <w:t>(</w:t>
      </w:r>
      <w:r w:rsidR="003A12C8" w:rsidRPr="007D003C">
        <w:rPr>
          <w:rFonts w:ascii="Arial" w:hAnsi="Arial" w:cs="Arial"/>
          <w:i/>
          <w:iCs/>
          <w:sz w:val="22"/>
          <w:szCs w:val="22"/>
        </w:rPr>
        <w:t>Source: https://markets.ft.com/data/equities/tearsheet/profile?s=BKG:LSE</w:t>
      </w:r>
      <w:r w:rsidRPr="007D003C">
        <w:rPr>
          <w:rFonts w:ascii="Arial" w:hAnsi="Arial" w:cs="Arial"/>
          <w:i/>
          <w:iCs/>
          <w:sz w:val="22"/>
          <w:szCs w:val="22"/>
        </w:rPr>
        <w:t>)</w:t>
      </w:r>
    </w:p>
    <w:p w14:paraId="2F7D076C" w14:textId="1FEFB113" w:rsidR="000011B9" w:rsidRPr="007D003C" w:rsidRDefault="00EA06A3" w:rsidP="005956DC">
      <w:pPr>
        <w:pStyle w:val="Heading1"/>
        <w:jc w:val="left"/>
        <w:rPr>
          <w:rFonts w:ascii="Arial" w:hAnsi="Arial" w:cs="Arial"/>
          <w:b/>
          <w:bCs/>
          <w:sz w:val="22"/>
          <w:szCs w:val="22"/>
        </w:rPr>
      </w:pPr>
      <w:bookmarkStart w:id="2" w:name="_Toc61468821"/>
      <w:r w:rsidRPr="007D003C">
        <w:rPr>
          <w:rFonts w:ascii="Arial" w:hAnsi="Arial" w:cs="Arial"/>
          <w:b/>
          <w:bCs/>
          <w:sz w:val="22"/>
          <w:szCs w:val="22"/>
        </w:rPr>
        <w:t>PART B) A CRITICAL REVIEW OF THE BERKELEY GROUP HOLDING PLC FINANCIAL PERFORMANCE FOR THE PERIOD 201</w:t>
      </w:r>
      <w:r w:rsidR="000C2C80" w:rsidRPr="007D003C">
        <w:rPr>
          <w:rFonts w:ascii="Arial" w:hAnsi="Arial" w:cs="Arial"/>
          <w:b/>
          <w:bCs/>
          <w:sz w:val="22"/>
          <w:szCs w:val="22"/>
        </w:rPr>
        <w:t>5</w:t>
      </w:r>
      <w:r w:rsidRPr="007D003C">
        <w:rPr>
          <w:rFonts w:ascii="Arial" w:hAnsi="Arial" w:cs="Arial"/>
          <w:b/>
          <w:bCs/>
          <w:sz w:val="22"/>
          <w:szCs w:val="22"/>
        </w:rPr>
        <w:t>-20</w:t>
      </w:r>
      <w:r w:rsidR="007D4024" w:rsidRPr="007D003C">
        <w:rPr>
          <w:rFonts w:ascii="Arial" w:hAnsi="Arial" w:cs="Arial"/>
          <w:b/>
          <w:bCs/>
          <w:sz w:val="22"/>
          <w:szCs w:val="22"/>
        </w:rPr>
        <w:t>19</w:t>
      </w:r>
      <w:bookmarkEnd w:id="2"/>
    </w:p>
    <w:p w14:paraId="29310E53" w14:textId="59A73F64" w:rsidR="009C3827" w:rsidRDefault="00DC3B3F" w:rsidP="009C3827">
      <w:pPr>
        <w:jc w:val="both"/>
        <w:rPr>
          <w:rFonts w:ascii="Arial" w:hAnsi="Arial" w:cs="Arial"/>
          <w:sz w:val="22"/>
          <w:szCs w:val="22"/>
        </w:rPr>
      </w:pPr>
      <w:r w:rsidRPr="007D003C">
        <w:rPr>
          <w:rFonts w:ascii="Arial" w:hAnsi="Arial" w:cs="Arial"/>
          <w:b/>
          <w:bCs/>
          <w:i/>
          <w:iCs/>
          <w:sz w:val="22"/>
          <w:szCs w:val="22"/>
        </w:rPr>
        <w:t xml:space="preserve">The </w:t>
      </w:r>
      <w:r w:rsidR="000C2C80" w:rsidRPr="007D003C">
        <w:rPr>
          <w:rFonts w:ascii="Arial" w:hAnsi="Arial" w:cs="Arial"/>
          <w:b/>
          <w:bCs/>
          <w:i/>
          <w:iCs/>
          <w:sz w:val="22"/>
          <w:szCs w:val="22"/>
        </w:rPr>
        <w:t xml:space="preserve">profitability ratio </w:t>
      </w:r>
      <w:r w:rsidR="00397EFA" w:rsidRPr="007D003C">
        <w:rPr>
          <w:rFonts w:ascii="Arial" w:hAnsi="Arial" w:cs="Arial"/>
          <w:b/>
          <w:bCs/>
          <w:i/>
          <w:iCs/>
          <w:sz w:val="22"/>
          <w:szCs w:val="22"/>
        </w:rPr>
        <w:t>analysis</w:t>
      </w:r>
      <w:r w:rsidR="00397EFA" w:rsidRPr="007D003C">
        <w:rPr>
          <w:rFonts w:ascii="Arial" w:hAnsi="Arial" w:cs="Arial"/>
          <w:sz w:val="22"/>
          <w:szCs w:val="22"/>
        </w:rPr>
        <w:t xml:space="preserve"> provides</w:t>
      </w:r>
      <w:r w:rsidR="000C2C80" w:rsidRPr="007D003C">
        <w:rPr>
          <w:rFonts w:ascii="Arial" w:hAnsi="Arial" w:cs="Arial"/>
          <w:sz w:val="22"/>
          <w:szCs w:val="22"/>
        </w:rPr>
        <w:t xml:space="preserve"> </w:t>
      </w:r>
      <w:r w:rsidR="00397EFA" w:rsidRPr="007D003C">
        <w:rPr>
          <w:rFonts w:ascii="Arial" w:hAnsi="Arial" w:cs="Arial"/>
          <w:sz w:val="22"/>
          <w:szCs w:val="22"/>
        </w:rPr>
        <w:t>evidence</w:t>
      </w:r>
      <w:r w:rsidR="000C2C80" w:rsidRPr="007D003C">
        <w:rPr>
          <w:rFonts w:ascii="Arial" w:hAnsi="Arial" w:cs="Arial"/>
          <w:sz w:val="22"/>
          <w:szCs w:val="22"/>
        </w:rPr>
        <w:t xml:space="preserve"> about the </w:t>
      </w:r>
      <w:r w:rsidR="00397EFA" w:rsidRPr="007D003C">
        <w:rPr>
          <w:rFonts w:ascii="Arial" w:hAnsi="Arial" w:cs="Arial"/>
          <w:sz w:val="22"/>
          <w:szCs w:val="22"/>
        </w:rPr>
        <w:t>capability</w:t>
      </w:r>
      <w:r w:rsidR="000C2C80" w:rsidRPr="007D003C">
        <w:rPr>
          <w:rFonts w:ascii="Arial" w:hAnsi="Arial" w:cs="Arial"/>
          <w:sz w:val="22"/>
          <w:szCs w:val="22"/>
        </w:rPr>
        <w:t xml:space="preserve"> of</w:t>
      </w:r>
      <w:r w:rsidR="009C1B13">
        <w:rPr>
          <w:rFonts w:ascii="Arial" w:hAnsi="Arial" w:cs="Arial"/>
          <w:sz w:val="22"/>
          <w:szCs w:val="22"/>
        </w:rPr>
        <w:t xml:space="preserve"> a</w:t>
      </w:r>
      <w:r w:rsidR="000C2C80" w:rsidRPr="007D003C">
        <w:rPr>
          <w:rFonts w:ascii="Arial" w:hAnsi="Arial" w:cs="Arial"/>
          <w:sz w:val="22"/>
          <w:szCs w:val="22"/>
        </w:rPr>
        <w:t xml:space="preserve"> business to </w:t>
      </w:r>
      <w:r w:rsidR="00397EFA" w:rsidRPr="007D003C">
        <w:rPr>
          <w:rFonts w:ascii="Arial" w:hAnsi="Arial" w:cs="Arial"/>
          <w:sz w:val="22"/>
          <w:szCs w:val="22"/>
        </w:rPr>
        <w:t>create</w:t>
      </w:r>
      <w:r w:rsidR="000C2C80" w:rsidRPr="007D003C">
        <w:rPr>
          <w:rFonts w:ascii="Arial" w:hAnsi="Arial" w:cs="Arial"/>
          <w:sz w:val="22"/>
          <w:szCs w:val="22"/>
        </w:rPr>
        <w:t xml:space="preserve"> profit</w:t>
      </w:r>
      <w:r w:rsidR="00397EFA" w:rsidRPr="007D003C">
        <w:rPr>
          <w:rFonts w:ascii="Arial" w:hAnsi="Arial" w:cs="Arial"/>
          <w:sz w:val="22"/>
          <w:szCs w:val="22"/>
        </w:rPr>
        <w:t xml:space="preserve"> relating to revenue</w:t>
      </w:r>
      <w:r w:rsidR="000C2C80" w:rsidRPr="007D003C">
        <w:rPr>
          <w:rFonts w:ascii="Arial" w:hAnsi="Arial" w:cs="Arial"/>
          <w:sz w:val="22"/>
          <w:szCs w:val="22"/>
        </w:rPr>
        <w:t xml:space="preserve">. </w:t>
      </w:r>
      <w:r w:rsidR="009C1B13">
        <w:rPr>
          <w:rFonts w:ascii="Arial" w:hAnsi="Arial" w:cs="Arial"/>
          <w:sz w:val="22"/>
          <w:szCs w:val="22"/>
        </w:rPr>
        <w:t>The c</w:t>
      </w:r>
      <w:r w:rsidR="00397EFA" w:rsidRPr="007D003C">
        <w:rPr>
          <w:rFonts w:ascii="Arial" w:hAnsi="Arial" w:cs="Arial"/>
          <w:sz w:val="22"/>
          <w:szCs w:val="22"/>
        </w:rPr>
        <w:t>ompany's</w:t>
      </w:r>
      <w:r w:rsidR="000C2C80" w:rsidRPr="007D003C">
        <w:rPr>
          <w:rFonts w:ascii="Arial" w:hAnsi="Arial" w:cs="Arial"/>
          <w:sz w:val="22"/>
          <w:szCs w:val="22"/>
        </w:rPr>
        <w:t xml:space="preserve"> profitability is the </w:t>
      </w:r>
      <w:r w:rsidR="00397EFA" w:rsidRPr="007D003C">
        <w:rPr>
          <w:rFonts w:ascii="Arial" w:hAnsi="Arial" w:cs="Arial"/>
          <w:sz w:val="22"/>
          <w:szCs w:val="22"/>
        </w:rPr>
        <w:t>greatest case to worry</w:t>
      </w:r>
      <w:r w:rsidR="000C2C80" w:rsidRPr="007D003C">
        <w:rPr>
          <w:rFonts w:ascii="Arial" w:hAnsi="Arial" w:cs="Arial"/>
          <w:sz w:val="22"/>
          <w:szCs w:val="22"/>
        </w:rPr>
        <w:t xml:space="preserve"> for both its </w:t>
      </w:r>
      <w:r w:rsidR="00397EFA" w:rsidRPr="007D003C">
        <w:rPr>
          <w:rFonts w:ascii="Arial" w:hAnsi="Arial" w:cs="Arial"/>
          <w:sz w:val="22"/>
          <w:szCs w:val="22"/>
        </w:rPr>
        <w:t>proprietors</w:t>
      </w:r>
      <w:r w:rsidR="000C2C80" w:rsidRPr="007D003C">
        <w:rPr>
          <w:rFonts w:ascii="Arial" w:hAnsi="Arial" w:cs="Arial"/>
          <w:sz w:val="22"/>
          <w:szCs w:val="22"/>
        </w:rPr>
        <w:t xml:space="preserve"> and investors</w:t>
      </w:r>
      <w:r w:rsidR="00397EFA" w:rsidRPr="007D003C">
        <w:rPr>
          <w:rFonts w:ascii="Arial" w:hAnsi="Arial" w:cs="Arial"/>
          <w:sz w:val="22"/>
          <w:szCs w:val="22"/>
        </w:rPr>
        <w:t xml:space="preserve">.  Profitability can </w:t>
      </w:r>
      <w:r w:rsidR="000C2C80" w:rsidRPr="007D003C">
        <w:rPr>
          <w:rFonts w:ascii="Arial" w:hAnsi="Arial" w:cs="Arial"/>
          <w:sz w:val="22"/>
          <w:szCs w:val="22"/>
        </w:rPr>
        <w:t xml:space="preserve">be </w:t>
      </w:r>
      <w:r w:rsidR="00397EFA" w:rsidRPr="007D003C">
        <w:rPr>
          <w:rFonts w:ascii="Arial" w:hAnsi="Arial" w:cs="Arial"/>
          <w:sz w:val="22"/>
          <w:szCs w:val="22"/>
        </w:rPr>
        <w:t>assessed</w:t>
      </w:r>
      <w:r w:rsidR="000C2C80" w:rsidRPr="007D003C">
        <w:rPr>
          <w:rFonts w:ascii="Arial" w:hAnsi="Arial" w:cs="Arial"/>
          <w:sz w:val="22"/>
          <w:szCs w:val="22"/>
        </w:rPr>
        <w:t xml:space="preserve"> by calculated two groups of ratios: margins and returns</w:t>
      </w:r>
      <w:r w:rsidR="00397EFA" w:rsidRPr="007D003C">
        <w:rPr>
          <w:rFonts w:ascii="Arial" w:hAnsi="Arial" w:cs="Arial"/>
          <w:sz w:val="22"/>
          <w:szCs w:val="22"/>
        </w:rPr>
        <w:t>.  The high ratios and value commonly associated with</w:t>
      </w:r>
      <w:r w:rsidR="009C1B13">
        <w:rPr>
          <w:rFonts w:ascii="Arial" w:hAnsi="Arial" w:cs="Arial"/>
          <w:sz w:val="22"/>
          <w:szCs w:val="22"/>
        </w:rPr>
        <w:t xml:space="preserve"> the</w:t>
      </w:r>
      <w:r w:rsidR="00397EFA" w:rsidRPr="007D003C">
        <w:rPr>
          <w:rFonts w:ascii="Arial" w:hAnsi="Arial" w:cs="Arial"/>
          <w:sz w:val="22"/>
          <w:szCs w:val="22"/>
        </w:rPr>
        <w:t xml:space="preserve"> business performing well </w:t>
      </w:r>
      <w:sdt>
        <w:sdtPr>
          <w:rPr>
            <w:rFonts w:ascii="Arial" w:hAnsi="Arial" w:cs="Arial"/>
            <w:sz w:val="22"/>
            <w:szCs w:val="22"/>
          </w:rPr>
          <w:id w:val="1725567782"/>
          <w:citation/>
        </w:sdtPr>
        <w:sdtEndPr/>
        <w:sdtContent>
          <w:r w:rsidR="00397EFA" w:rsidRPr="007D003C">
            <w:rPr>
              <w:rFonts w:ascii="Arial" w:hAnsi="Arial" w:cs="Arial"/>
              <w:sz w:val="22"/>
              <w:szCs w:val="22"/>
            </w:rPr>
            <w:fldChar w:fldCharType="begin"/>
          </w:r>
          <w:r w:rsidR="00397EFA" w:rsidRPr="007D003C">
            <w:rPr>
              <w:rFonts w:ascii="Arial" w:hAnsi="Arial" w:cs="Arial"/>
              <w:sz w:val="22"/>
              <w:szCs w:val="22"/>
            </w:rPr>
            <w:instrText xml:space="preserve">CITATION CFI15 \l 2057 </w:instrText>
          </w:r>
          <w:r w:rsidR="00397EFA" w:rsidRPr="007D003C">
            <w:rPr>
              <w:rFonts w:ascii="Arial" w:hAnsi="Arial" w:cs="Arial"/>
              <w:sz w:val="22"/>
              <w:szCs w:val="22"/>
            </w:rPr>
            <w:fldChar w:fldCharType="separate"/>
          </w:r>
          <w:r w:rsidR="00397EFA" w:rsidRPr="007D003C">
            <w:rPr>
              <w:rFonts w:ascii="Arial" w:hAnsi="Arial" w:cs="Arial"/>
              <w:noProof/>
              <w:sz w:val="22"/>
              <w:szCs w:val="22"/>
            </w:rPr>
            <w:t xml:space="preserve"> (CFI - Corporate Finance Institute, 2015)</w:t>
          </w:r>
          <w:r w:rsidR="00397EFA" w:rsidRPr="007D003C">
            <w:rPr>
              <w:rFonts w:ascii="Arial" w:hAnsi="Arial" w:cs="Arial"/>
              <w:sz w:val="22"/>
              <w:szCs w:val="22"/>
            </w:rPr>
            <w:fldChar w:fldCharType="end"/>
          </w:r>
        </w:sdtContent>
      </w:sdt>
    </w:p>
    <w:p w14:paraId="17B243A8" w14:textId="3DC427A1" w:rsidR="00185015" w:rsidRPr="009C3827" w:rsidRDefault="00CD4CA9" w:rsidP="009C3827">
      <w:pPr>
        <w:jc w:val="both"/>
        <w:rPr>
          <w:rFonts w:ascii="Arial" w:hAnsi="Arial" w:cs="Arial"/>
          <w:sz w:val="22"/>
          <w:szCs w:val="22"/>
        </w:rPr>
      </w:pPr>
      <w:r w:rsidRPr="007D003C">
        <w:rPr>
          <w:rFonts w:ascii="Arial" w:hAnsi="Arial" w:cs="Arial"/>
          <w:i/>
          <w:iCs/>
          <w:sz w:val="22"/>
          <w:szCs w:val="22"/>
        </w:rPr>
        <w:t>Findings</w:t>
      </w:r>
      <w:r w:rsidR="00BC1E0B" w:rsidRPr="007D003C">
        <w:rPr>
          <w:rFonts w:ascii="Arial" w:hAnsi="Arial" w:cs="Arial"/>
          <w:i/>
          <w:iCs/>
          <w:sz w:val="22"/>
          <w:szCs w:val="22"/>
        </w:rPr>
        <w:t>:</w:t>
      </w:r>
      <w:r w:rsidRPr="007D003C">
        <w:rPr>
          <w:rFonts w:ascii="Arial" w:hAnsi="Arial" w:cs="Arial"/>
          <w:i/>
          <w:iCs/>
          <w:sz w:val="22"/>
          <w:szCs w:val="22"/>
        </w:rPr>
        <w:t xml:space="preserve"> Table 1</w:t>
      </w:r>
      <w:r w:rsidR="00BC1E0B" w:rsidRPr="007D003C">
        <w:rPr>
          <w:rFonts w:ascii="Arial" w:hAnsi="Arial" w:cs="Arial"/>
          <w:i/>
          <w:iCs/>
          <w:sz w:val="22"/>
          <w:szCs w:val="22"/>
        </w:rPr>
        <w:t>Calculations of Profitability ratios for The Berkeley 2016-2020 and Balfour Beatty PLC/ 201</w:t>
      </w:r>
      <w:r w:rsidR="00185015" w:rsidRPr="007D003C">
        <w:rPr>
          <w:rFonts w:ascii="Arial" w:hAnsi="Arial" w:cs="Arial"/>
          <w:i/>
          <w:iCs/>
          <w:sz w:val="22"/>
          <w:szCs w:val="22"/>
        </w:rPr>
        <w:t>9</w:t>
      </w:r>
    </w:p>
    <w:p w14:paraId="2B807BC0" w14:textId="7ACCA3BB" w:rsidR="00B57FAF" w:rsidRPr="007D003C" w:rsidRDefault="00CD4CA9" w:rsidP="005A4268">
      <w:pPr>
        <w:rPr>
          <w:rFonts w:ascii="Arial" w:hAnsi="Arial" w:cs="Arial"/>
          <w:b/>
          <w:bCs/>
          <w:sz w:val="22"/>
          <w:szCs w:val="22"/>
        </w:rPr>
      </w:pPr>
      <w:r w:rsidRPr="007D003C">
        <w:rPr>
          <w:rFonts w:ascii="Arial" w:hAnsi="Arial" w:cs="Arial"/>
          <w:noProof/>
          <w:sz w:val="22"/>
          <w:szCs w:val="22"/>
        </w:rPr>
        <w:drawing>
          <wp:inline distT="0" distB="0" distL="0" distR="0" wp14:anchorId="40A77680" wp14:editId="1CDD1740">
            <wp:extent cx="6083300" cy="238827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4862" cy="2392810"/>
                    </a:xfrm>
                    <a:prstGeom prst="rect">
                      <a:avLst/>
                    </a:prstGeom>
                    <a:noFill/>
                    <a:ln>
                      <a:noFill/>
                    </a:ln>
                  </pic:spPr>
                </pic:pic>
              </a:graphicData>
            </a:graphic>
          </wp:inline>
        </w:drawing>
      </w:r>
    </w:p>
    <w:p w14:paraId="27D14408" w14:textId="5D839BA3" w:rsidR="008B7168" w:rsidRPr="007D003C" w:rsidRDefault="00BC1E0B" w:rsidP="00BC1E0B">
      <w:pPr>
        <w:spacing w:after="0" w:line="240" w:lineRule="auto"/>
        <w:rPr>
          <w:rFonts w:ascii="Arial" w:eastAsia="Times New Roman" w:hAnsi="Arial" w:cs="Arial"/>
          <w:i/>
          <w:iCs/>
          <w:color w:val="000000"/>
          <w:sz w:val="22"/>
          <w:szCs w:val="22"/>
          <w:lang w:eastAsia="en-GB"/>
        </w:rPr>
      </w:pPr>
      <w:r w:rsidRPr="007D003C">
        <w:rPr>
          <w:rFonts w:ascii="Arial" w:eastAsia="Times New Roman" w:hAnsi="Arial" w:cs="Arial"/>
          <w:i/>
          <w:iCs/>
          <w:color w:val="000000"/>
          <w:sz w:val="22"/>
          <w:szCs w:val="22"/>
          <w:lang w:eastAsia="en-GB"/>
        </w:rPr>
        <w:lastRenderedPageBreak/>
        <w:t xml:space="preserve">Findings </w:t>
      </w:r>
    </w:p>
    <w:p w14:paraId="1CF6B647" w14:textId="77777777" w:rsidR="003A12C8" w:rsidRPr="007D003C" w:rsidRDefault="003A12C8" w:rsidP="00BC1E0B">
      <w:pPr>
        <w:spacing w:after="0" w:line="240" w:lineRule="auto"/>
        <w:rPr>
          <w:rFonts w:ascii="Arial" w:eastAsia="Times New Roman" w:hAnsi="Arial" w:cs="Arial"/>
          <w:i/>
          <w:iCs/>
          <w:color w:val="000000"/>
          <w:sz w:val="22"/>
          <w:szCs w:val="22"/>
          <w:lang w:eastAsia="en-GB"/>
        </w:rPr>
      </w:pPr>
    </w:p>
    <w:p w14:paraId="0199364F" w14:textId="2CA3ED3F" w:rsidR="00BC1E0B" w:rsidRPr="007D003C" w:rsidRDefault="00BC1E0B" w:rsidP="00BC1E0B">
      <w:pPr>
        <w:spacing w:after="0" w:line="240" w:lineRule="auto"/>
        <w:rPr>
          <w:rFonts w:ascii="Arial" w:eastAsia="Times New Roman" w:hAnsi="Arial" w:cs="Arial"/>
          <w:i/>
          <w:iCs/>
          <w:color w:val="000000"/>
          <w:sz w:val="22"/>
          <w:szCs w:val="22"/>
          <w:lang w:eastAsia="en-GB"/>
        </w:rPr>
      </w:pPr>
      <w:r w:rsidRPr="007D003C">
        <w:rPr>
          <w:rFonts w:ascii="Arial" w:eastAsia="Times New Roman" w:hAnsi="Arial" w:cs="Arial"/>
          <w:i/>
          <w:iCs/>
          <w:color w:val="000000"/>
          <w:sz w:val="22"/>
          <w:szCs w:val="22"/>
          <w:lang w:eastAsia="en-GB"/>
        </w:rPr>
        <w:t>Table</w:t>
      </w:r>
      <w:r w:rsidR="00067CF7" w:rsidRPr="007D003C">
        <w:rPr>
          <w:rFonts w:ascii="Arial" w:eastAsia="Times New Roman" w:hAnsi="Arial" w:cs="Arial"/>
          <w:i/>
          <w:iCs/>
          <w:color w:val="000000"/>
          <w:sz w:val="22"/>
          <w:szCs w:val="22"/>
          <w:lang w:eastAsia="en-GB"/>
        </w:rPr>
        <w:t>2 Comparison</w:t>
      </w:r>
      <w:r w:rsidR="008254B8" w:rsidRPr="007D003C">
        <w:rPr>
          <w:rFonts w:ascii="Arial" w:eastAsia="Times New Roman" w:hAnsi="Arial" w:cs="Arial"/>
          <w:i/>
          <w:iCs/>
          <w:color w:val="000000"/>
          <w:sz w:val="22"/>
          <w:szCs w:val="22"/>
          <w:lang w:eastAsia="en-GB"/>
        </w:rPr>
        <w:t xml:space="preserve"> of</w:t>
      </w:r>
      <w:r w:rsidRPr="007D003C">
        <w:rPr>
          <w:rFonts w:ascii="Arial" w:eastAsia="Times New Roman" w:hAnsi="Arial" w:cs="Arial"/>
          <w:i/>
          <w:iCs/>
          <w:color w:val="000000"/>
          <w:sz w:val="22"/>
          <w:szCs w:val="22"/>
          <w:lang w:eastAsia="en-GB"/>
        </w:rPr>
        <w:t xml:space="preserve"> Profitability ratios for The Berkeley</w:t>
      </w:r>
      <w:r w:rsidR="007D4024" w:rsidRPr="007D003C">
        <w:rPr>
          <w:rFonts w:ascii="Arial" w:eastAsia="Times New Roman" w:hAnsi="Arial" w:cs="Arial"/>
          <w:i/>
          <w:iCs/>
          <w:color w:val="000000"/>
          <w:sz w:val="22"/>
          <w:szCs w:val="22"/>
          <w:lang w:eastAsia="en-GB"/>
        </w:rPr>
        <w:t xml:space="preserve"> PLC -</w:t>
      </w:r>
      <w:r w:rsidRPr="007D003C">
        <w:rPr>
          <w:rFonts w:ascii="Arial" w:eastAsia="Times New Roman" w:hAnsi="Arial" w:cs="Arial"/>
          <w:i/>
          <w:iCs/>
          <w:color w:val="000000"/>
          <w:sz w:val="22"/>
          <w:szCs w:val="22"/>
          <w:lang w:eastAsia="en-GB"/>
        </w:rPr>
        <w:t xml:space="preserve"> 201</w:t>
      </w:r>
      <w:r w:rsidR="001B7BD5" w:rsidRPr="007D003C">
        <w:rPr>
          <w:rFonts w:ascii="Arial" w:eastAsia="Times New Roman" w:hAnsi="Arial" w:cs="Arial"/>
          <w:i/>
          <w:iCs/>
          <w:color w:val="000000"/>
          <w:sz w:val="22"/>
          <w:szCs w:val="22"/>
          <w:lang w:eastAsia="en-GB"/>
        </w:rPr>
        <w:t>6</w:t>
      </w:r>
      <w:r w:rsidRPr="007D003C">
        <w:rPr>
          <w:rFonts w:ascii="Arial" w:eastAsia="Times New Roman" w:hAnsi="Arial" w:cs="Arial"/>
          <w:i/>
          <w:iCs/>
          <w:color w:val="000000"/>
          <w:sz w:val="22"/>
          <w:szCs w:val="22"/>
          <w:lang w:eastAsia="en-GB"/>
        </w:rPr>
        <w:t>-20</w:t>
      </w:r>
      <w:r w:rsidR="001B7BD5" w:rsidRPr="007D003C">
        <w:rPr>
          <w:rFonts w:ascii="Arial" w:eastAsia="Times New Roman" w:hAnsi="Arial" w:cs="Arial"/>
          <w:i/>
          <w:iCs/>
          <w:color w:val="000000"/>
          <w:sz w:val="22"/>
          <w:szCs w:val="22"/>
          <w:lang w:eastAsia="en-GB"/>
        </w:rPr>
        <w:t>20</w:t>
      </w:r>
      <w:r w:rsidRPr="007D003C">
        <w:rPr>
          <w:rFonts w:ascii="Arial" w:eastAsia="Times New Roman" w:hAnsi="Arial" w:cs="Arial"/>
          <w:i/>
          <w:iCs/>
          <w:color w:val="000000"/>
          <w:sz w:val="22"/>
          <w:szCs w:val="22"/>
          <w:lang w:eastAsia="en-GB"/>
        </w:rPr>
        <w:t xml:space="preserve"> and Balfour Beatty PLC</w:t>
      </w:r>
      <w:r w:rsidR="007D4024" w:rsidRPr="007D003C">
        <w:rPr>
          <w:rFonts w:ascii="Arial" w:eastAsia="Times New Roman" w:hAnsi="Arial" w:cs="Arial"/>
          <w:i/>
          <w:iCs/>
          <w:color w:val="000000"/>
          <w:sz w:val="22"/>
          <w:szCs w:val="22"/>
          <w:lang w:eastAsia="en-GB"/>
        </w:rPr>
        <w:t xml:space="preserve"> </w:t>
      </w:r>
      <w:r w:rsidR="00B57FAF" w:rsidRPr="007D003C">
        <w:rPr>
          <w:rFonts w:ascii="Arial" w:eastAsia="Times New Roman" w:hAnsi="Arial" w:cs="Arial"/>
          <w:i/>
          <w:iCs/>
          <w:color w:val="000000"/>
          <w:sz w:val="22"/>
          <w:szCs w:val="22"/>
          <w:lang w:eastAsia="en-GB"/>
        </w:rPr>
        <w:t>- 2019</w:t>
      </w:r>
    </w:p>
    <w:p w14:paraId="66CBDCA9" w14:textId="35DD1B55" w:rsidR="001B7BD5" w:rsidRPr="007D003C" w:rsidRDefault="001B7BD5" w:rsidP="00BC1E0B">
      <w:pPr>
        <w:spacing w:after="0" w:line="240" w:lineRule="auto"/>
        <w:rPr>
          <w:rFonts w:ascii="Arial" w:eastAsia="Times New Roman" w:hAnsi="Arial" w:cs="Arial"/>
          <w:i/>
          <w:iCs/>
          <w:color w:val="000000"/>
          <w:sz w:val="22"/>
          <w:szCs w:val="22"/>
          <w:lang w:eastAsia="en-GB"/>
        </w:rPr>
      </w:pPr>
    </w:p>
    <w:p w14:paraId="7E6E60D8" w14:textId="0D598153" w:rsidR="001B7BD5" w:rsidRPr="007D003C" w:rsidRDefault="000E5DC2" w:rsidP="00BC1E0B">
      <w:pPr>
        <w:spacing w:after="0" w:line="240" w:lineRule="auto"/>
        <w:rPr>
          <w:rFonts w:ascii="Arial" w:eastAsia="Times New Roman" w:hAnsi="Arial" w:cs="Arial"/>
          <w:color w:val="000000"/>
          <w:sz w:val="22"/>
          <w:szCs w:val="22"/>
          <w:lang w:eastAsia="en-GB"/>
        </w:rPr>
      </w:pPr>
      <w:r w:rsidRPr="007D003C">
        <w:rPr>
          <w:rFonts w:ascii="Arial" w:hAnsi="Arial" w:cs="Arial"/>
          <w:noProof/>
          <w:sz w:val="22"/>
          <w:szCs w:val="22"/>
        </w:rPr>
        <w:drawing>
          <wp:inline distT="0" distB="0" distL="0" distR="0" wp14:anchorId="5BAC2126" wp14:editId="0C17E499">
            <wp:extent cx="6207343" cy="2455333"/>
            <wp:effectExtent l="0" t="0" r="3175"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231498" cy="2464888"/>
                    </a:xfrm>
                    <a:prstGeom prst="rect">
                      <a:avLst/>
                    </a:prstGeom>
                    <a:noFill/>
                    <a:ln>
                      <a:noFill/>
                    </a:ln>
                  </pic:spPr>
                </pic:pic>
              </a:graphicData>
            </a:graphic>
          </wp:inline>
        </w:drawing>
      </w:r>
    </w:p>
    <w:p w14:paraId="06656335" w14:textId="77777777" w:rsidR="00F23AC4" w:rsidRPr="007D003C" w:rsidRDefault="00F23AC4" w:rsidP="005A4268">
      <w:pPr>
        <w:rPr>
          <w:rFonts w:ascii="Arial" w:hAnsi="Arial" w:cs="Arial"/>
          <w:sz w:val="22"/>
          <w:szCs w:val="22"/>
        </w:rPr>
      </w:pPr>
    </w:p>
    <w:tbl>
      <w:tblPr>
        <w:tblStyle w:val="TableGrid"/>
        <w:tblW w:w="0" w:type="auto"/>
        <w:tblLook w:val="04A0" w:firstRow="1" w:lastRow="0" w:firstColumn="1" w:lastColumn="0" w:noHBand="0" w:noVBand="1"/>
      </w:tblPr>
      <w:tblGrid>
        <w:gridCol w:w="2119"/>
        <w:gridCol w:w="3763"/>
        <w:gridCol w:w="3854"/>
      </w:tblGrid>
      <w:tr w:rsidR="00A676D4" w:rsidRPr="007D003C" w14:paraId="44BC2888" w14:textId="2BBF350B" w:rsidTr="00A77E5E">
        <w:trPr>
          <w:trHeight w:val="4609"/>
        </w:trPr>
        <w:tc>
          <w:tcPr>
            <w:tcW w:w="2119" w:type="dxa"/>
          </w:tcPr>
          <w:p w14:paraId="2E8C7725" w14:textId="77777777" w:rsidR="00F23AC4" w:rsidRPr="007D003C" w:rsidRDefault="00F23AC4" w:rsidP="00F23AC4">
            <w:pPr>
              <w:jc w:val="both"/>
              <w:rPr>
                <w:rFonts w:ascii="Arial" w:eastAsia="Times New Roman" w:hAnsi="Arial" w:cs="Arial"/>
                <w:b/>
                <w:bCs/>
                <w:color w:val="000000"/>
                <w:sz w:val="22"/>
                <w:szCs w:val="22"/>
                <w:lang w:eastAsia="en-GB"/>
              </w:rPr>
            </w:pPr>
            <w:r w:rsidRPr="007D003C">
              <w:rPr>
                <w:rFonts w:ascii="Arial" w:eastAsia="Times New Roman" w:hAnsi="Arial" w:cs="Arial"/>
                <w:b/>
                <w:bCs/>
                <w:color w:val="000000"/>
                <w:sz w:val="22"/>
                <w:szCs w:val="22"/>
                <w:lang w:eastAsia="en-GB"/>
              </w:rPr>
              <w:t>ROCE - Return on Capital Employed - “</w:t>
            </w:r>
            <w:r w:rsidRPr="007D003C">
              <w:rPr>
                <w:rFonts w:ascii="Arial" w:eastAsia="Times New Roman" w:hAnsi="Arial" w:cs="Arial"/>
                <w:color w:val="000000"/>
                <w:sz w:val="22"/>
                <w:szCs w:val="22"/>
                <w:lang w:eastAsia="en-GB"/>
              </w:rPr>
              <w:t xml:space="preserve">ROCE Shows how much operating income is generated for each pound invested in the company” </w:t>
            </w:r>
            <w:r w:rsidRPr="007D003C">
              <w:rPr>
                <w:rFonts w:ascii="Arial" w:hAnsi="Arial" w:cs="Arial"/>
                <w:sz w:val="22"/>
                <w:szCs w:val="22"/>
              </w:rPr>
              <w:t>(CFI, 2015)</w:t>
            </w:r>
          </w:p>
          <w:p w14:paraId="7A5CDE8C" w14:textId="7915DC74" w:rsidR="00F23AC4" w:rsidRPr="007D003C" w:rsidRDefault="00F23AC4" w:rsidP="00F23AC4">
            <w:pPr>
              <w:jc w:val="both"/>
              <w:rPr>
                <w:rFonts w:ascii="Arial" w:hAnsi="Arial" w:cs="Arial"/>
                <w:b/>
                <w:bCs/>
                <w:sz w:val="22"/>
                <w:szCs w:val="22"/>
              </w:rPr>
            </w:pPr>
          </w:p>
        </w:tc>
        <w:tc>
          <w:tcPr>
            <w:tcW w:w="3763" w:type="dxa"/>
          </w:tcPr>
          <w:p w14:paraId="347CB86F" w14:textId="7DB81760" w:rsidR="00F23AC4" w:rsidRPr="007D003C" w:rsidRDefault="00F23AC4" w:rsidP="008254B8">
            <w:pPr>
              <w:pStyle w:val="ListParagraph"/>
              <w:ind w:left="0"/>
              <w:jc w:val="both"/>
              <w:rPr>
                <w:rFonts w:ascii="Arial" w:hAnsi="Arial" w:cs="Arial"/>
                <w:sz w:val="22"/>
                <w:szCs w:val="22"/>
              </w:rPr>
            </w:pPr>
            <w:r w:rsidRPr="007D003C">
              <w:rPr>
                <w:rFonts w:ascii="Arial" w:hAnsi="Arial" w:cs="Arial"/>
                <w:sz w:val="22"/>
                <w:szCs w:val="22"/>
              </w:rPr>
              <w:t xml:space="preserve">Berkeley has a steady high ROCE, with 2017 outperforming all the years.  Comparing to the Benchmark ROCE for the construction industry (20%), The Berkley has a healthy ROCE over the continuous period from 2016 – 2019.  </w:t>
            </w:r>
            <w:r w:rsidR="008B7168" w:rsidRPr="007D003C">
              <w:rPr>
                <w:rFonts w:ascii="Arial" w:hAnsi="Arial" w:cs="Arial"/>
                <w:sz w:val="22"/>
                <w:szCs w:val="22"/>
              </w:rPr>
              <w:t xml:space="preserve">Having said that, in </w:t>
            </w:r>
            <w:r w:rsidRPr="007D003C">
              <w:rPr>
                <w:rFonts w:ascii="Arial" w:hAnsi="Arial" w:cs="Arial"/>
                <w:sz w:val="22"/>
                <w:szCs w:val="22"/>
              </w:rPr>
              <w:t xml:space="preserve">2019 we can see a drop of almost 3% </w:t>
            </w:r>
            <w:r w:rsidR="008B7168" w:rsidRPr="007D003C">
              <w:rPr>
                <w:rFonts w:ascii="Arial" w:hAnsi="Arial" w:cs="Arial"/>
                <w:sz w:val="22"/>
                <w:szCs w:val="22"/>
              </w:rPr>
              <w:t>o</w:t>
            </w:r>
            <w:r w:rsidRPr="007D003C">
              <w:rPr>
                <w:rFonts w:ascii="Arial" w:hAnsi="Arial" w:cs="Arial"/>
                <w:sz w:val="22"/>
                <w:szCs w:val="22"/>
              </w:rPr>
              <w:t>n the return</w:t>
            </w:r>
            <w:r w:rsidR="008B7168" w:rsidRPr="007D003C">
              <w:rPr>
                <w:rFonts w:ascii="Arial" w:hAnsi="Arial" w:cs="Arial"/>
                <w:sz w:val="22"/>
                <w:szCs w:val="22"/>
              </w:rPr>
              <w:t>.</w:t>
            </w:r>
            <w:r w:rsidRPr="007D003C">
              <w:rPr>
                <w:rFonts w:ascii="Arial" w:hAnsi="Arial" w:cs="Arial"/>
                <w:sz w:val="22"/>
                <w:szCs w:val="22"/>
              </w:rPr>
              <w:t xml:space="preserve"> </w:t>
            </w:r>
            <w:r w:rsidR="008B7168" w:rsidRPr="007D003C">
              <w:rPr>
                <w:rFonts w:ascii="Arial" w:hAnsi="Arial" w:cs="Arial"/>
                <w:sz w:val="22"/>
                <w:szCs w:val="22"/>
              </w:rPr>
              <w:t>K</w:t>
            </w:r>
            <w:r w:rsidRPr="007D003C">
              <w:rPr>
                <w:rFonts w:ascii="Arial" w:hAnsi="Arial" w:cs="Arial"/>
                <w:sz w:val="22"/>
                <w:szCs w:val="22"/>
              </w:rPr>
              <w:t>eeping in mind that operating profit for 2019 was as healthy as</w:t>
            </w:r>
            <w:r w:rsidR="00B57FAF" w:rsidRPr="007D003C">
              <w:rPr>
                <w:rFonts w:ascii="Arial" w:hAnsi="Arial" w:cs="Arial"/>
                <w:sz w:val="22"/>
                <w:szCs w:val="22"/>
              </w:rPr>
              <w:t xml:space="preserve"> that in</w:t>
            </w:r>
            <w:r w:rsidRPr="007D003C">
              <w:rPr>
                <w:rFonts w:ascii="Arial" w:hAnsi="Arial" w:cs="Arial"/>
                <w:sz w:val="22"/>
                <w:szCs w:val="22"/>
              </w:rPr>
              <w:t xml:space="preserve"> the previous years, and the </w:t>
            </w:r>
            <w:r w:rsidR="00B57FAF" w:rsidRPr="007D003C">
              <w:rPr>
                <w:rFonts w:ascii="Arial" w:hAnsi="Arial" w:cs="Arial"/>
                <w:sz w:val="22"/>
                <w:szCs w:val="22"/>
              </w:rPr>
              <w:t>fact that</w:t>
            </w:r>
            <w:r w:rsidRPr="007D003C">
              <w:rPr>
                <w:rFonts w:ascii="Arial" w:hAnsi="Arial" w:cs="Arial"/>
                <w:sz w:val="22"/>
                <w:szCs w:val="22"/>
              </w:rPr>
              <w:t xml:space="preserve"> debt has been reduced</w:t>
            </w:r>
            <w:r w:rsidR="00B57FAF" w:rsidRPr="007D003C">
              <w:rPr>
                <w:rFonts w:ascii="Arial" w:hAnsi="Arial" w:cs="Arial"/>
                <w:sz w:val="22"/>
                <w:szCs w:val="22"/>
              </w:rPr>
              <w:t xml:space="preserve"> too</w:t>
            </w:r>
            <w:r w:rsidRPr="007D003C">
              <w:rPr>
                <w:rFonts w:ascii="Arial" w:hAnsi="Arial" w:cs="Arial"/>
                <w:sz w:val="22"/>
                <w:szCs w:val="22"/>
              </w:rPr>
              <w:t>, we could observe that</w:t>
            </w:r>
            <w:r w:rsidR="00B57FAF" w:rsidRPr="007D003C">
              <w:rPr>
                <w:rFonts w:ascii="Arial" w:hAnsi="Arial" w:cs="Arial"/>
                <w:sz w:val="22"/>
                <w:szCs w:val="22"/>
              </w:rPr>
              <w:t xml:space="preserve"> in 2019</w:t>
            </w:r>
            <w:r w:rsidRPr="007D003C">
              <w:rPr>
                <w:rFonts w:ascii="Arial" w:hAnsi="Arial" w:cs="Arial"/>
                <w:sz w:val="22"/>
                <w:szCs w:val="22"/>
              </w:rPr>
              <w:t xml:space="preserve"> company had the highest equity over</w:t>
            </w:r>
            <w:r w:rsidR="00341E47">
              <w:rPr>
                <w:rFonts w:ascii="Arial" w:hAnsi="Arial" w:cs="Arial"/>
                <w:sz w:val="22"/>
                <w:szCs w:val="22"/>
              </w:rPr>
              <w:t xml:space="preserve"> a</w:t>
            </w:r>
            <w:r w:rsidRPr="007D003C">
              <w:rPr>
                <w:rFonts w:ascii="Arial" w:hAnsi="Arial" w:cs="Arial"/>
                <w:sz w:val="22"/>
                <w:szCs w:val="22"/>
              </w:rPr>
              <w:t xml:space="preserve"> period of 5 years.  The action to improve</w:t>
            </w:r>
            <w:r w:rsidR="00341E47">
              <w:rPr>
                <w:rFonts w:ascii="Arial" w:hAnsi="Arial" w:cs="Arial"/>
                <w:sz w:val="22"/>
                <w:szCs w:val="22"/>
              </w:rPr>
              <w:t xml:space="preserve"> the</w:t>
            </w:r>
            <w:r w:rsidRPr="007D003C">
              <w:rPr>
                <w:rFonts w:ascii="Arial" w:hAnsi="Arial" w:cs="Arial"/>
                <w:sz w:val="22"/>
                <w:szCs w:val="22"/>
              </w:rPr>
              <w:t xml:space="preserve"> ROCE ratio is selling off unprofitable or unnecessary assets (pieces of outdated machinery)</w:t>
            </w:r>
            <w:sdt>
              <w:sdtPr>
                <w:rPr>
                  <w:rFonts w:ascii="Arial" w:hAnsi="Arial" w:cs="Arial"/>
                  <w:sz w:val="22"/>
                  <w:szCs w:val="22"/>
                </w:rPr>
                <w:id w:val="-1363971812"/>
                <w:citation/>
              </w:sdtPr>
              <w:sdtEndPr/>
              <w:sdtContent>
                <w:r w:rsidRPr="007D003C">
                  <w:rPr>
                    <w:rFonts w:ascii="Arial" w:hAnsi="Arial" w:cs="Arial"/>
                    <w:sz w:val="22"/>
                    <w:szCs w:val="22"/>
                  </w:rPr>
                  <w:fldChar w:fldCharType="begin"/>
                </w:r>
                <w:r w:rsidRPr="007D003C">
                  <w:rPr>
                    <w:rFonts w:ascii="Arial" w:hAnsi="Arial" w:cs="Arial"/>
                    <w:sz w:val="22"/>
                    <w:szCs w:val="22"/>
                  </w:rPr>
                  <w:instrText xml:space="preserve"> CITATION Mav191 \l 2057 </w:instrText>
                </w:r>
                <w:r w:rsidRPr="007D003C">
                  <w:rPr>
                    <w:rFonts w:ascii="Arial" w:hAnsi="Arial" w:cs="Arial"/>
                    <w:sz w:val="22"/>
                    <w:szCs w:val="22"/>
                  </w:rPr>
                  <w:fldChar w:fldCharType="separate"/>
                </w:r>
                <w:r w:rsidRPr="007D003C">
                  <w:rPr>
                    <w:rFonts w:ascii="Arial" w:hAnsi="Arial" w:cs="Arial"/>
                    <w:noProof/>
                    <w:sz w:val="22"/>
                    <w:szCs w:val="22"/>
                  </w:rPr>
                  <w:t xml:space="preserve"> (Maverick, 2019)</w:t>
                </w:r>
                <w:r w:rsidRPr="007D003C">
                  <w:rPr>
                    <w:rFonts w:ascii="Arial" w:hAnsi="Arial" w:cs="Arial"/>
                    <w:sz w:val="22"/>
                    <w:szCs w:val="22"/>
                  </w:rPr>
                  <w:fldChar w:fldCharType="end"/>
                </w:r>
              </w:sdtContent>
            </w:sdt>
          </w:p>
          <w:p w14:paraId="57D29572" w14:textId="77777777" w:rsidR="00F23AC4" w:rsidRPr="007D003C" w:rsidRDefault="00F23AC4" w:rsidP="005A4268">
            <w:pPr>
              <w:rPr>
                <w:rFonts w:ascii="Arial" w:hAnsi="Arial" w:cs="Arial"/>
                <w:sz w:val="22"/>
                <w:szCs w:val="22"/>
              </w:rPr>
            </w:pPr>
          </w:p>
        </w:tc>
        <w:tc>
          <w:tcPr>
            <w:tcW w:w="3854" w:type="dxa"/>
          </w:tcPr>
          <w:p w14:paraId="6162B718" w14:textId="3099888A" w:rsidR="00F23AC4" w:rsidRPr="007D003C" w:rsidRDefault="00715E5D" w:rsidP="008254B8">
            <w:pPr>
              <w:pStyle w:val="ListParagraph"/>
              <w:ind w:left="0"/>
              <w:jc w:val="both"/>
              <w:rPr>
                <w:rFonts w:ascii="Arial" w:hAnsi="Arial" w:cs="Arial"/>
                <w:sz w:val="22"/>
                <w:szCs w:val="22"/>
              </w:rPr>
            </w:pPr>
            <w:r w:rsidRPr="007D003C">
              <w:rPr>
                <w:rFonts w:ascii="Arial" w:hAnsi="Arial" w:cs="Arial"/>
                <w:noProof/>
                <w:sz w:val="22"/>
                <w:szCs w:val="22"/>
              </w:rPr>
              <w:drawing>
                <wp:inline distT="0" distB="0" distL="0" distR="0" wp14:anchorId="0D17ED5A" wp14:editId="0FD37780">
                  <wp:extent cx="2230120" cy="1839849"/>
                  <wp:effectExtent l="0" t="0" r="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243662" cy="1851022"/>
                          </a:xfrm>
                          <a:prstGeom prst="rect">
                            <a:avLst/>
                          </a:prstGeom>
                        </pic:spPr>
                      </pic:pic>
                    </a:graphicData>
                  </a:graphic>
                </wp:inline>
              </w:drawing>
            </w:r>
          </w:p>
        </w:tc>
      </w:tr>
      <w:tr w:rsidR="00A676D4" w:rsidRPr="007D003C" w14:paraId="336CD6F9" w14:textId="2316F43A" w:rsidTr="00A77E5E">
        <w:trPr>
          <w:trHeight w:val="3834"/>
        </w:trPr>
        <w:tc>
          <w:tcPr>
            <w:tcW w:w="2119" w:type="dxa"/>
          </w:tcPr>
          <w:p w14:paraId="3AB2ACAB" w14:textId="27690EF6" w:rsidR="00F23AC4" w:rsidRPr="007D003C" w:rsidRDefault="00F23AC4" w:rsidP="004A5069">
            <w:pPr>
              <w:jc w:val="both"/>
              <w:rPr>
                <w:rFonts w:ascii="Arial" w:eastAsia="Times New Roman" w:hAnsi="Arial" w:cs="Arial"/>
                <w:color w:val="000000"/>
                <w:sz w:val="22"/>
                <w:szCs w:val="22"/>
                <w:lang w:eastAsia="en-GB"/>
              </w:rPr>
            </w:pPr>
            <w:r w:rsidRPr="007D003C">
              <w:rPr>
                <w:rFonts w:ascii="Arial" w:eastAsia="Times New Roman" w:hAnsi="Arial" w:cs="Arial"/>
                <w:b/>
                <w:bCs/>
                <w:color w:val="000000"/>
                <w:sz w:val="22"/>
                <w:szCs w:val="22"/>
                <w:lang w:eastAsia="en-GB"/>
              </w:rPr>
              <w:lastRenderedPageBreak/>
              <w:t>ROE-Return on Equity</w:t>
            </w:r>
            <w:r w:rsidRPr="007D003C">
              <w:rPr>
                <w:rFonts w:ascii="Arial" w:eastAsia="Times New Roman" w:hAnsi="Arial" w:cs="Arial"/>
                <w:color w:val="000000"/>
                <w:sz w:val="22"/>
                <w:szCs w:val="22"/>
                <w:lang w:eastAsia="en-GB"/>
              </w:rPr>
              <w:t xml:space="preserve"> – “ROE expresses the rate of return on the money that equity investors have put into the business” (CFI, 2015)</w:t>
            </w:r>
          </w:p>
          <w:p w14:paraId="1EB6F433" w14:textId="0B78F744" w:rsidR="00F23AC4" w:rsidRPr="007D003C" w:rsidRDefault="00F23AC4" w:rsidP="004A5069">
            <w:pPr>
              <w:jc w:val="both"/>
              <w:rPr>
                <w:rFonts w:ascii="Arial" w:eastAsia="Times New Roman" w:hAnsi="Arial" w:cs="Arial"/>
                <w:b/>
                <w:bCs/>
                <w:color w:val="000000"/>
                <w:sz w:val="22"/>
                <w:szCs w:val="22"/>
                <w:lang w:eastAsia="en-GB"/>
              </w:rPr>
            </w:pPr>
          </w:p>
        </w:tc>
        <w:tc>
          <w:tcPr>
            <w:tcW w:w="3763" w:type="dxa"/>
          </w:tcPr>
          <w:p w14:paraId="6BC30392" w14:textId="03F8234E" w:rsidR="00F23AC4" w:rsidRPr="007D003C" w:rsidRDefault="00F23AC4" w:rsidP="004A5069">
            <w:pPr>
              <w:pStyle w:val="ListParagraph"/>
              <w:ind w:left="0"/>
              <w:jc w:val="both"/>
              <w:rPr>
                <w:rFonts w:ascii="Arial" w:hAnsi="Arial" w:cs="Arial"/>
                <w:sz w:val="22"/>
                <w:szCs w:val="22"/>
              </w:rPr>
            </w:pPr>
            <w:r w:rsidRPr="007D003C">
              <w:rPr>
                <w:rFonts w:ascii="Arial" w:hAnsi="Arial" w:cs="Arial"/>
                <w:sz w:val="22"/>
                <w:szCs w:val="22"/>
              </w:rPr>
              <w:t>The construction industry average ROE is 25%; Berkeley has significantly increased ROE from 2016 to 2017, with a very slight dip in 2018 and even further in 2019. The ratios for three consecutive years (2016-2018) were above</w:t>
            </w:r>
            <w:r w:rsidR="00341E47">
              <w:rPr>
                <w:rFonts w:ascii="Arial" w:hAnsi="Arial" w:cs="Arial"/>
                <w:sz w:val="22"/>
                <w:szCs w:val="22"/>
              </w:rPr>
              <w:t xml:space="preserve"> the</w:t>
            </w:r>
            <w:r w:rsidRPr="007D003C">
              <w:rPr>
                <w:rFonts w:ascii="Arial" w:hAnsi="Arial" w:cs="Arial"/>
                <w:sz w:val="22"/>
                <w:szCs w:val="22"/>
              </w:rPr>
              <w:t xml:space="preserve"> industry’s average.   In 2019 ROE reduced by almost 8% from the return in 2018, the combination of the reduced net profit and the increase in equity attributed to a reduction of ROE.  The action to take could be suggested to improve sales and reduce operational cost (CFI, 2015)</w:t>
            </w:r>
          </w:p>
        </w:tc>
        <w:tc>
          <w:tcPr>
            <w:tcW w:w="3854" w:type="dxa"/>
          </w:tcPr>
          <w:p w14:paraId="42A42D1C" w14:textId="521FA9E6" w:rsidR="00F23AC4" w:rsidRPr="007D003C" w:rsidRDefault="00F23AC4" w:rsidP="004A5069">
            <w:pPr>
              <w:pStyle w:val="ListParagraph"/>
              <w:ind w:left="0"/>
              <w:jc w:val="both"/>
              <w:rPr>
                <w:rFonts w:ascii="Arial" w:hAnsi="Arial" w:cs="Arial"/>
                <w:sz w:val="22"/>
                <w:szCs w:val="22"/>
              </w:rPr>
            </w:pPr>
            <w:r w:rsidRPr="007D003C">
              <w:rPr>
                <w:rFonts w:ascii="Arial" w:hAnsi="Arial" w:cs="Arial"/>
                <w:noProof/>
                <w:sz w:val="22"/>
                <w:szCs w:val="22"/>
              </w:rPr>
              <w:drawing>
                <wp:inline distT="0" distB="0" distL="0" distR="0" wp14:anchorId="23C5BE6A" wp14:editId="63075D89">
                  <wp:extent cx="2230452" cy="215298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230452" cy="2152983"/>
                          </a:xfrm>
                          <a:prstGeom prst="rect">
                            <a:avLst/>
                          </a:prstGeom>
                        </pic:spPr>
                      </pic:pic>
                    </a:graphicData>
                  </a:graphic>
                </wp:inline>
              </w:drawing>
            </w:r>
          </w:p>
        </w:tc>
      </w:tr>
      <w:tr w:rsidR="00A676D4" w:rsidRPr="007D003C" w14:paraId="4980EF18" w14:textId="2F63756C" w:rsidTr="00A77E5E">
        <w:trPr>
          <w:trHeight w:val="4880"/>
        </w:trPr>
        <w:tc>
          <w:tcPr>
            <w:tcW w:w="2119" w:type="dxa"/>
          </w:tcPr>
          <w:p w14:paraId="3243D4D3" w14:textId="78FA47E8" w:rsidR="00F23AC4" w:rsidRPr="007D003C" w:rsidRDefault="00F23AC4" w:rsidP="004A5069">
            <w:pPr>
              <w:jc w:val="both"/>
              <w:rPr>
                <w:rFonts w:ascii="Arial" w:eastAsia="Times New Roman" w:hAnsi="Arial" w:cs="Arial"/>
                <w:b/>
                <w:bCs/>
                <w:color w:val="000000"/>
                <w:sz w:val="22"/>
                <w:szCs w:val="22"/>
                <w:lang w:eastAsia="en-GB"/>
              </w:rPr>
            </w:pPr>
            <w:r w:rsidRPr="007D003C">
              <w:rPr>
                <w:rFonts w:ascii="Arial" w:eastAsia="Times New Roman" w:hAnsi="Arial" w:cs="Arial"/>
                <w:b/>
                <w:bCs/>
                <w:color w:val="000000"/>
                <w:sz w:val="22"/>
                <w:szCs w:val="22"/>
                <w:lang w:eastAsia="en-GB"/>
              </w:rPr>
              <w:t>GPM - Gross Profit Margin – “</w:t>
            </w:r>
            <w:r w:rsidRPr="007D003C">
              <w:rPr>
                <w:rFonts w:ascii="Arial" w:eastAsia="Times New Roman" w:hAnsi="Arial" w:cs="Arial"/>
                <w:color w:val="000000"/>
                <w:sz w:val="22"/>
                <w:szCs w:val="22"/>
                <w:lang w:eastAsia="en-GB"/>
              </w:rPr>
              <w:t>Margin ratios represent ability of the company to convert sales into profits at various costs levels.  The High GP Margin signifies high efficiency of the business’ main operations, with the ability to cover expenses, costs, depreciation, and dividends as well as create the profit to the business” (CFI, 2015)</w:t>
            </w:r>
          </w:p>
        </w:tc>
        <w:tc>
          <w:tcPr>
            <w:tcW w:w="3763" w:type="dxa"/>
          </w:tcPr>
          <w:p w14:paraId="6D531503" w14:textId="2E58BBC7" w:rsidR="00F23AC4" w:rsidRPr="007D003C" w:rsidRDefault="00F23AC4" w:rsidP="007F6F9F">
            <w:pPr>
              <w:jc w:val="both"/>
              <w:rPr>
                <w:rFonts w:ascii="Arial" w:hAnsi="Arial" w:cs="Arial"/>
                <w:color w:val="222222"/>
                <w:sz w:val="22"/>
                <w:szCs w:val="22"/>
                <w:shd w:val="clear" w:color="auto" w:fill="FFFFFF"/>
              </w:rPr>
            </w:pPr>
            <w:r w:rsidRPr="007D003C">
              <w:rPr>
                <w:rFonts w:ascii="Arial" w:hAnsi="Arial" w:cs="Arial"/>
                <w:sz w:val="22"/>
                <w:szCs w:val="22"/>
              </w:rPr>
              <w:t xml:space="preserve"> </w:t>
            </w:r>
            <w:r w:rsidRPr="007D003C">
              <w:rPr>
                <w:rFonts w:ascii="Arial" w:hAnsi="Arial" w:cs="Arial"/>
                <w:color w:val="222222"/>
                <w:sz w:val="22"/>
                <w:szCs w:val="22"/>
                <w:shd w:val="clear" w:color="auto" w:fill="FFFFFF"/>
              </w:rPr>
              <w:t>iLumen Financial Benchmarking reported that construction average GPM is 19-20% and 21-25% for new build (as at 2005), The Berkeley manages sales well above the construction industry average with the steady grow</w:t>
            </w:r>
            <w:r w:rsidR="00341E47">
              <w:rPr>
                <w:rFonts w:ascii="Arial" w:hAnsi="Arial" w:cs="Arial"/>
                <w:color w:val="222222"/>
                <w:sz w:val="22"/>
                <w:szCs w:val="22"/>
                <w:shd w:val="clear" w:color="auto" w:fill="FFFFFF"/>
              </w:rPr>
              <w:t>th</w:t>
            </w:r>
            <w:r w:rsidRPr="007D003C">
              <w:rPr>
                <w:rFonts w:ascii="Arial" w:hAnsi="Arial" w:cs="Arial"/>
                <w:color w:val="222222"/>
                <w:sz w:val="22"/>
                <w:szCs w:val="22"/>
                <w:shd w:val="clear" w:color="auto" w:fill="FFFFFF"/>
              </w:rPr>
              <w:t xml:space="preserve"> of GPM from 34.21% in 2016 to 34.99% in 2018.  This period corresponds with the new operational strategy adopted by The Berkeley of focusing on the large-scale redevelopments in the London area.  Although 2019 had a slight drop in GMP (in contrast to 2018), the GPM of 31% is still well above</w:t>
            </w:r>
            <w:r w:rsidR="00341E47">
              <w:rPr>
                <w:rFonts w:ascii="Arial" w:hAnsi="Arial" w:cs="Arial"/>
                <w:color w:val="222222"/>
                <w:sz w:val="22"/>
                <w:szCs w:val="22"/>
                <w:shd w:val="clear" w:color="auto" w:fill="FFFFFF"/>
              </w:rPr>
              <w:t xml:space="preserve"> the</w:t>
            </w:r>
            <w:r w:rsidRPr="007D003C">
              <w:rPr>
                <w:rFonts w:ascii="Arial" w:hAnsi="Arial" w:cs="Arial"/>
                <w:color w:val="222222"/>
                <w:sz w:val="22"/>
                <w:szCs w:val="22"/>
                <w:shd w:val="clear" w:color="auto" w:fill="FFFFFF"/>
              </w:rPr>
              <w:t xml:space="preserve"> industry average. </w:t>
            </w:r>
            <w:r w:rsidR="00F03874" w:rsidRPr="007D003C">
              <w:rPr>
                <w:rFonts w:ascii="Arial" w:hAnsi="Arial" w:cs="Arial"/>
                <w:color w:val="222222"/>
                <w:sz w:val="22"/>
                <w:szCs w:val="22"/>
                <w:shd w:val="clear" w:color="auto" w:fill="FFFFFF"/>
              </w:rPr>
              <w:t>We can suggest that t</w:t>
            </w:r>
            <w:r w:rsidRPr="007D003C">
              <w:rPr>
                <w:rFonts w:ascii="Arial" w:hAnsi="Arial" w:cs="Arial"/>
                <w:color w:val="222222"/>
                <w:sz w:val="22"/>
                <w:szCs w:val="22"/>
                <w:shd w:val="clear" w:color="auto" w:fill="FFFFFF"/>
              </w:rPr>
              <w:t xml:space="preserve">he </w:t>
            </w:r>
            <w:r w:rsidR="00F03874" w:rsidRPr="007D003C">
              <w:rPr>
                <w:rFonts w:ascii="Arial" w:hAnsi="Arial" w:cs="Arial"/>
                <w:color w:val="222222"/>
                <w:sz w:val="22"/>
                <w:szCs w:val="22"/>
                <w:shd w:val="clear" w:color="auto" w:fill="FFFFFF"/>
              </w:rPr>
              <w:t>r</w:t>
            </w:r>
            <w:r w:rsidRPr="007D003C">
              <w:rPr>
                <w:rFonts w:ascii="Arial" w:hAnsi="Arial" w:cs="Arial"/>
                <w:color w:val="222222"/>
                <w:sz w:val="22"/>
                <w:szCs w:val="22"/>
                <w:shd w:val="clear" w:color="auto" w:fill="FFFFFF"/>
              </w:rPr>
              <w:t>eduction of GPM came mainly from the</w:t>
            </w:r>
            <w:r w:rsidR="00F03874" w:rsidRPr="007D003C">
              <w:rPr>
                <w:rFonts w:ascii="Arial" w:hAnsi="Arial" w:cs="Arial"/>
                <w:color w:val="222222"/>
                <w:sz w:val="22"/>
                <w:szCs w:val="22"/>
                <w:shd w:val="clear" w:color="auto" w:fill="FFFFFF"/>
              </w:rPr>
              <w:t xml:space="preserve"> rise in</w:t>
            </w:r>
            <w:r w:rsidR="00341E47">
              <w:rPr>
                <w:rFonts w:ascii="Arial" w:hAnsi="Arial" w:cs="Arial"/>
                <w:color w:val="222222"/>
                <w:sz w:val="22"/>
                <w:szCs w:val="22"/>
                <w:shd w:val="clear" w:color="auto" w:fill="FFFFFF"/>
              </w:rPr>
              <w:t xml:space="preserve"> the</w:t>
            </w:r>
            <w:r w:rsidRPr="007D003C">
              <w:rPr>
                <w:rFonts w:ascii="Arial" w:hAnsi="Arial" w:cs="Arial"/>
                <w:color w:val="222222"/>
                <w:sz w:val="22"/>
                <w:szCs w:val="22"/>
                <w:shd w:val="clear" w:color="auto" w:fill="FFFFFF"/>
              </w:rPr>
              <w:t xml:space="preserve"> cost of sale</w:t>
            </w:r>
            <w:r w:rsidR="001B5157">
              <w:rPr>
                <w:rFonts w:ascii="Arial" w:hAnsi="Arial" w:cs="Arial"/>
                <w:color w:val="222222"/>
                <w:sz w:val="22"/>
                <w:szCs w:val="22"/>
                <w:shd w:val="clear" w:color="auto" w:fill="FFFFFF"/>
              </w:rPr>
              <w:t>s</w:t>
            </w:r>
            <w:r w:rsidR="00F03874" w:rsidRPr="007D003C">
              <w:rPr>
                <w:rFonts w:ascii="Arial" w:hAnsi="Arial" w:cs="Arial"/>
                <w:color w:val="222222"/>
                <w:sz w:val="22"/>
                <w:szCs w:val="22"/>
                <w:shd w:val="clear" w:color="auto" w:fill="FFFFFF"/>
              </w:rPr>
              <w:t>.  This is supported by the fact that although the sales and revenue went up comparing to</w:t>
            </w:r>
            <w:r w:rsidR="00341E47">
              <w:rPr>
                <w:rFonts w:ascii="Arial" w:hAnsi="Arial" w:cs="Arial"/>
                <w:color w:val="222222"/>
                <w:sz w:val="22"/>
                <w:szCs w:val="22"/>
                <w:shd w:val="clear" w:color="auto" w:fill="FFFFFF"/>
              </w:rPr>
              <w:t xml:space="preserve"> the</w:t>
            </w:r>
            <w:r w:rsidR="00F03874" w:rsidRPr="007D003C">
              <w:rPr>
                <w:rFonts w:ascii="Arial" w:hAnsi="Arial" w:cs="Arial"/>
                <w:color w:val="222222"/>
                <w:sz w:val="22"/>
                <w:szCs w:val="22"/>
                <w:shd w:val="clear" w:color="auto" w:fill="FFFFFF"/>
              </w:rPr>
              <w:t xml:space="preserve"> year 2018, the</w:t>
            </w:r>
            <w:r w:rsidRPr="007D003C">
              <w:rPr>
                <w:rFonts w:ascii="Arial" w:hAnsi="Arial" w:cs="Arial"/>
                <w:color w:val="222222"/>
                <w:sz w:val="22"/>
                <w:szCs w:val="22"/>
                <w:shd w:val="clear" w:color="auto" w:fill="FFFFFF"/>
              </w:rPr>
              <w:t xml:space="preserve"> Gross Profit </w:t>
            </w:r>
            <w:r w:rsidR="00F03874" w:rsidRPr="007D003C">
              <w:rPr>
                <w:rFonts w:ascii="Arial" w:hAnsi="Arial" w:cs="Arial"/>
                <w:color w:val="222222"/>
                <w:sz w:val="22"/>
                <w:szCs w:val="22"/>
                <w:shd w:val="clear" w:color="auto" w:fill="FFFFFF"/>
              </w:rPr>
              <w:t>went down</w:t>
            </w:r>
            <w:r w:rsidRPr="007D003C">
              <w:rPr>
                <w:rFonts w:ascii="Arial" w:hAnsi="Arial" w:cs="Arial"/>
                <w:color w:val="222222"/>
                <w:sz w:val="22"/>
                <w:szCs w:val="22"/>
                <w:shd w:val="clear" w:color="auto" w:fill="FFFFFF"/>
              </w:rPr>
              <w:t xml:space="preserve"> (CFI, 2015) </w:t>
            </w:r>
          </w:p>
          <w:p w14:paraId="6F48736C" w14:textId="52888070" w:rsidR="00F23AC4" w:rsidRPr="007D003C" w:rsidRDefault="00F23AC4" w:rsidP="007F6F9F">
            <w:pPr>
              <w:jc w:val="both"/>
              <w:rPr>
                <w:rFonts w:ascii="Arial" w:hAnsi="Arial" w:cs="Arial"/>
                <w:sz w:val="22"/>
                <w:szCs w:val="22"/>
              </w:rPr>
            </w:pPr>
          </w:p>
        </w:tc>
        <w:tc>
          <w:tcPr>
            <w:tcW w:w="3854" w:type="dxa"/>
          </w:tcPr>
          <w:p w14:paraId="159C7971" w14:textId="13EB6CCB" w:rsidR="00FA4753" w:rsidRPr="007D003C" w:rsidRDefault="00FA4753" w:rsidP="007F6F9F">
            <w:pPr>
              <w:jc w:val="both"/>
              <w:rPr>
                <w:rFonts w:ascii="Arial" w:hAnsi="Arial" w:cs="Arial"/>
                <w:sz w:val="22"/>
                <w:szCs w:val="22"/>
              </w:rPr>
            </w:pPr>
            <w:r w:rsidRPr="007D003C">
              <w:rPr>
                <w:rFonts w:ascii="Arial" w:hAnsi="Arial" w:cs="Arial"/>
                <w:noProof/>
                <w:sz w:val="22"/>
                <w:szCs w:val="22"/>
              </w:rPr>
              <w:drawing>
                <wp:inline distT="0" distB="0" distL="0" distR="0" wp14:anchorId="49B9566D" wp14:editId="35B4A374">
                  <wp:extent cx="2310219" cy="2209041"/>
                  <wp:effectExtent l="0" t="0" r="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315110" cy="2213718"/>
                          </a:xfrm>
                          <a:prstGeom prst="rect">
                            <a:avLst/>
                          </a:prstGeom>
                        </pic:spPr>
                      </pic:pic>
                    </a:graphicData>
                  </a:graphic>
                </wp:inline>
              </w:drawing>
            </w:r>
          </w:p>
        </w:tc>
      </w:tr>
      <w:tr w:rsidR="00A676D4" w:rsidRPr="007D003C" w14:paraId="5E55953A" w14:textId="2EEBA949" w:rsidTr="00A77E5E">
        <w:trPr>
          <w:trHeight w:val="1275"/>
        </w:trPr>
        <w:tc>
          <w:tcPr>
            <w:tcW w:w="2119" w:type="dxa"/>
          </w:tcPr>
          <w:p w14:paraId="7B6CB07F" w14:textId="77777777" w:rsidR="006728D7" w:rsidRPr="007D003C" w:rsidRDefault="006728D7" w:rsidP="006728D7">
            <w:pPr>
              <w:jc w:val="both"/>
              <w:rPr>
                <w:rFonts w:ascii="Arial" w:eastAsia="Times New Roman" w:hAnsi="Arial" w:cs="Arial"/>
                <w:color w:val="000000"/>
                <w:sz w:val="22"/>
                <w:szCs w:val="22"/>
                <w:lang w:eastAsia="en-GB"/>
              </w:rPr>
            </w:pPr>
            <w:r w:rsidRPr="007D003C">
              <w:rPr>
                <w:rFonts w:ascii="Arial" w:eastAsia="Times New Roman" w:hAnsi="Arial" w:cs="Arial"/>
                <w:b/>
                <w:bCs/>
                <w:color w:val="000000"/>
                <w:sz w:val="22"/>
                <w:szCs w:val="22"/>
                <w:lang w:eastAsia="en-GB"/>
              </w:rPr>
              <w:t>Operating Profit Margin – “</w:t>
            </w:r>
            <w:r w:rsidRPr="007D003C">
              <w:rPr>
                <w:rFonts w:ascii="Arial" w:eastAsia="Times New Roman" w:hAnsi="Arial" w:cs="Arial"/>
                <w:color w:val="000000"/>
                <w:sz w:val="22"/>
                <w:szCs w:val="22"/>
                <w:lang w:eastAsia="en-GB"/>
              </w:rPr>
              <w:t>Operating Profit Margin looks at the earnings in comparisons to sales in % before interest expenses and income tax are deducted” (CFI, 2015)</w:t>
            </w:r>
          </w:p>
          <w:p w14:paraId="13BBF439" w14:textId="77777777" w:rsidR="006728D7" w:rsidRPr="007D003C" w:rsidRDefault="006728D7" w:rsidP="00B17E92">
            <w:pPr>
              <w:jc w:val="both"/>
              <w:rPr>
                <w:rFonts w:ascii="Arial" w:eastAsia="Times New Roman" w:hAnsi="Arial" w:cs="Arial"/>
                <w:b/>
                <w:bCs/>
                <w:color w:val="000000"/>
                <w:sz w:val="22"/>
                <w:szCs w:val="22"/>
                <w:lang w:eastAsia="en-GB"/>
              </w:rPr>
            </w:pPr>
          </w:p>
          <w:p w14:paraId="0F9941CF" w14:textId="77777777" w:rsidR="006728D7" w:rsidRPr="007D003C" w:rsidRDefault="006728D7" w:rsidP="006728D7">
            <w:pPr>
              <w:jc w:val="both"/>
              <w:rPr>
                <w:rFonts w:ascii="Arial" w:eastAsia="Times New Roman" w:hAnsi="Arial" w:cs="Arial"/>
                <w:b/>
                <w:bCs/>
                <w:color w:val="000000"/>
                <w:sz w:val="22"/>
                <w:szCs w:val="22"/>
                <w:lang w:eastAsia="en-GB"/>
              </w:rPr>
            </w:pPr>
          </w:p>
        </w:tc>
        <w:tc>
          <w:tcPr>
            <w:tcW w:w="3763" w:type="dxa"/>
          </w:tcPr>
          <w:p w14:paraId="00EA61B3" w14:textId="7426C992" w:rsidR="006728D7" w:rsidRPr="007D003C" w:rsidRDefault="006728D7" w:rsidP="006728D7">
            <w:pPr>
              <w:pStyle w:val="ListParagraph"/>
              <w:ind w:left="0"/>
              <w:jc w:val="both"/>
              <w:rPr>
                <w:rFonts w:ascii="Arial" w:hAnsi="Arial" w:cs="Arial"/>
                <w:color w:val="222222"/>
                <w:sz w:val="22"/>
                <w:szCs w:val="22"/>
                <w:shd w:val="clear" w:color="auto" w:fill="FFFFFF"/>
              </w:rPr>
            </w:pPr>
            <w:r w:rsidRPr="007D003C">
              <w:rPr>
                <w:rFonts w:ascii="Arial" w:hAnsi="Arial" w:cs="Arial"/>
                <w:sz w:val="22"/>
                <w:szCs w:val="22"/>
              </w:rPr>
              <w:t xml:space="preserve">Berkeley shows high OPM with </w:t>
            </w:r>
            <w:r w:rsidR="00341E47">
              <w:rPr>
                <w:rFonts w:ascii="Arial" w:hAnsi="Arial" w:cs="Arial"/>
                <w:sz w:val="22"/>
                <w:szCs w:val="22"/>
              </w:rPr>
              <w:t>a</w:t>
            </w:r>
            <w:r w:rsidRPr="007D003C">
              <w:rPr>
                <w:rFonts w:ascii="Arial" w:hAnsi="Arial" w:cs="Arial"/>
                <w:sz w:val="22"/>
                <w:szCs w:val="22"/>
              </w:rPr>
              <w:t xml:space="preserve"> steady increase over three years (2016-2018) and well above</w:t>
            </w:r>
            <w:r w:rsidR="00341E47">
              <w:rPr>
                <w:rFonts w:ascii="Arial" w:hAnsi="Arial" w:cs="Arial"/>
                <w:sz w:val="22"/>
                <w:szCs w:val="22"/>
              </w:rPr>
              <w:t xml:space="preserve"> the</w:t>
            </w:r>
            <w:r w:rsidRPr="007D003C">
              <w:rPr>
                <w:rFonts w:ascii="Arial" w:hAnsi="Arial" w:cs="Arial"/>
                <w:sz w:val="22"/>
                <w:szCs w:val="22"/>
              </w:rPr>
              <w:t xml:space="preserve"> estimated industry average of 3.83% (</w:t>
            </w:r>
            <w:r w:rsidRPr="007D003C">
              <w:rPr>
                <w:rFonts w:ascii="Arial" w:hAnsi="Arial" w:cs="Arial"/>
                <w:color w:val="222222"/>
                <w:sz w:val="22"/>
                <w:szCs w:val="22"/>
                <w:shd w:val="clear" w:color="auto" w:fill="FFFFFF"/>
              </w:rPr>
              <w:t xml:space="preserve">iLumen Financial Benchmarking report).  </w:t>
            </w:r>
            <w:r w:rsidR="00341E47">
              <w:rPr>
                <w:rFonts w:ascii="Arial" w:hAnsi="Arial" w:cs="Arial"/>
                <w:color w:val="222222"/>
                <w:sz w:val="22"/>
                <w:szCs w:val="22"/>
                <w:shd w:val="clear" w:color="auto" w:fill="FFFFFF"/>
              </w:rPr>
              <w:t>The c</w:t>
            </w:r>
            <w:r w:rsidRPr="007D003C">
              <w:rPr>
                <w:rFonts w:ascii="Arial" w:hAnsi="Arial" w:cs="Arial"/>
                <w:color w:val="222222"/>
                <w:sz w:val="22"/>
                <w:szCs w:val="22"/>
                <w:shd w:val="clear" w:color="auto" w:fill="FFFFFF"/>
              </w:rPr>
              <w:t xml:space="preserve">ompany is well equipped to pay its financial obligations.  High OPM shows the strength of the company’s management. </w:t>
            </w:r>
            <w:r w:rsidR="00A676D4" w:rsidRPr="007D003C">
              <w:rPr>
                <w:rFonts w:ascii="Arial" w:hAnsi="Arial" w:cs="Arial"/>
                <w:color w:val="222222"/>
                <w:sz w:val="22"/>
                <w:szCs w:val="22"/>
                <w:shd w:val="clear" w:color="auto" w:fill="FFFFFF"/>
              </w:rPr>
              <w:t xml:space="preserve"> </w:t>
            </w:r>
            <w:r w:rsidRPr="007D003C">
              <w:rPr>
                <w:rFonts w:ascii="Arial" w:hAnsi="Arial" w:cs="Arial"/>
                <w:color w:val="222222"/>
                <w:sz w:val="22"/>
                <w:szCs w:val="22"/>
                <w:shd w:val="clear" w:color="auto" w:fill="FFFFFF"/>
              </w:rPr>
              <w:t xml:space="preserve">Similarly, to GPM, the rising </w:t>
            </w:r>
            <w:r w:rsidR="00A676D4" w:rsidRPr="007D003C">
              <w:rPr>
                <w:rFonts w:ascii="Arial" w:hAnsi="Arial" w:cs="Arial"/>
                <w:color w:val="222222"/>
                <w:sz w:val="22"/>
                <w:szCs w:val="22"/>
                <w:shd w:val="clear" w:color="auto" w:fill="FFFFFF"/>
              </w:rPr>
              <w:t xml:space="preserve">unexpected </w:t>
            </w:r>
            <w:r w:rsidRPr="007D003C">
              <w:rPr>
                <w:rFonts w:ascii="Arial" w:hAnsi="Arial" w:cs="Arial"/>
                <w:color w:val="222222"/>
                <w:sz w:val="22"/>
                <w:szCs w:val="22"/>
                <w:shd w:val="clear" w:color="auto" w:fill="FFFFFF"/>
              </w:rPr>
              <w:t xml:space="preserve">cost </w:t>
            </w:r>
            <w:r w:rsidR="00A676D4" w:rsidRPr="007D003C">
              <w:rPr>
                <w:rFonts w:ascii="Arial" w:hAnsi="Arial" w:cs="Arial"/>
                <w:color w:val="222222"/>
                <w:sz w:val="22"/>
                <w:szCs w:val="22"/>
                <w:shd w:val="clear" w:color="auto" w:fill="FFFFFF"/>
              </w:rPr>
              <w:t>in</w:t>
            </w:r>
            <w:r w:rsidR="00341E47">
              <w:rPr>
                <w:rFonts w:ascii="Arial" w:hAnsi="Arial" w:cs="Arial"/>
                <w:color w:val="222222"/>
                <w:sz w:val="22"/>
                <w:szCs w:val="22"/>
                <w:shd w:val="clear" w:color="auto" w:fill="FFFFFF"/>
              </w:rPr>
              <w:t xml:space="preserve"> the</w:t>
            </w:r>
            <w:r w:rsidR="00A676D4" w:rsidRPr="007D003C">
              <w:rPr>
                <w:rFonts w:ascii="Arial" w:hAnsi="Arial" w:cs="Arial"/>
                <w:color w:val="222222"/>
                <w:sz w:val="22"/>
                <w:szCs w:val="22"/>
                <w:shd w:val="clear" w:color="auto" w:fill="FFFFFF"/>
              </w:rPr>
              <w:t xml:space="preserve"> external macroenvironment contributed</w:t>
            </w:r>
            <w:r w:rsidRPr="007D003C">
              <w:rPr>
                <w:rFonts w:ascii="Arial" w:hAnsi="Arial" w:cs="Arial"/>
                <w:color w:val="222222"/>
                <w:sz w:val="22"/>
                <w:szCs w:val="22"/>
                <w:shd w:val="clear" w:color="auto" w:fill="FFFFFF"/>
              </w:rPr>
              <w:t xml:space="preserve"> to drop in OPM in 2019 (CFI, 2015)</w:t>
            </w:r>
          </w:p>
          <w:p w14:paraId="057E6E2E" w14:textId="171EF705" w:rsidR="006728D7" w:rsidRPr="007D003C" w:rsidRDefault="006728D7" w:rsidP="004A5069">
            <w:pPr>
              <w:pStyle w:val="ListParagraph"/>
              <w:ind w:left="0"/>
              <w:jc w:val="both"/>
              <w:rPr>
                <w:rFonts w:ascii="Arial" w:hAnsi="Arial" w:cs="Arial"/>
                <w:color w:val="222222"/>
                <w:sz w:val="22"/>
                <w:szCs w:val="22"/>
                <w:shd w:val="clear" w:color="auto" w:fill="FFFFFF"/>
              </w:rPr>
            </w:pPr>
          </w:p>
        </w:tc>
        <w:tc>
          <w:tcPr>
            <w:tcW w:w="3854" w:type="dxa"/>
          </w:tcPr>
          <w:p w14:paraId="3AB2B03F" w14:textId="77777777" w:rsidR="006728D7" w:rsidRPr="007D003C" w:rsidRDefault="006728D7" w:rsidP="004A5069">
            <w:pPr>
              <w:pStyle w:val="ListParagraph"/>
              <w:ind w:left="0"/>
              <w:jc w:val="both"/>
              <w:rPr>
                <w:rFonts w:ascii="Arial" w:hAnsi="Arial" w:cs="Arial"/>
                <w:sz w:val="22"/>
                <w:szCs w:val="22"/>
              </w:rPr>
            </w:pPr>
          </w:p>
          <w:p w14:paraId="21CA2911" w14:textId="74203EC5" w:rsidR="006728D7" w:rsidRPr="007D003C" w:rsidRDefault="006728D7" w:rsidP="004A5069">
            <w:pPr>
              <w:pStyle w:val="ListParagraph"/>
              <w:ind w:left="0"/>
              <w:jc w:val="both"/>
              <w:rPr>
                <w:rFonts w:ascii="Arial" w:hAnsi="Arial" w:cs="Arial"/>
                <w:sz w:val="22"/>
                <w:szCs w:val="22"/>
              </w:rPr>
            </w:pPr>
            <w:r w:rsidRPr="007D003C">
              <w:rPr>
                <w:rFonts w:ascii="Arial" w:hAnsi="Arial" w:cs="Arial"/>
                <w:noProof/>
                <w:sz w:val="22"/>
                <w:szCs w:val="22"/>
              </w:rPr>
              <w:drawing>
                <wp:inline distT="0" distB="0" distL="0" distR="0" wp14:anchorId="141507BA" wp14:editId="05D61D4D">
                  <wp:extent cx="2293335" cy="1950064"/>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394153" cy="2035791"/>
                          </a:xfrm>
                          <a:prstGeom prst="rect">
                            <a:avLst/>
                          </a:prstGeom>
                        </pic:spPr>
                      </pic:pic>
                    </a:graphicData>
                  </a:graphic>
                </wp:inline>
              </w:drawing>
            </w:r>
          </w:p>
        </w:tc>
      </w:tr>
      <w:tr w:rsidR="006728D7" w:rsidRPr="007D003C" w14:paraId="736CC020" w14:textId="77777777" w:rsidTr="00A77E5E">
        <w:trPr>
          <w:trHeight w:val="7681"/>
        </w:trPr>
        <w:tc>
          <w:tcPr>
            <w:tcW w:w="2119" w:type="dxa"/>
          </w:tcPr>
          <w:p w14:paraId="022EC554" w14:textId="77777777" w:rsidR="006728D7" w:rsidRPr="007D003C" w:rsidRDefault="006728D7" w:rsidP="00683CEA">
            <w:pPr>
              <w:jc w:val="both"/>
              <w:rPr>
                <w:rFonts w:ascii="Arial" w:eastAsia="Times New Roman" w:hAnsi="Arial" w:cs="Arial"/>
                <w:color w:val="000000"/>
                <w:sz w:val="22"/>
                <w:szCs w:val="22"/>
                <w:lang w:eastAsia="en-GB"/>
              </w:rPr>
            </w:pPr>
            <w:r w:rsidRPr="007D003C">
              <w:rPr>
                <w:rFonts w:ascii="Arial" w:eastAsia="Times New Roman" w:hAnsi="Arial" w:cs="Arial"/>
                <w:b/>
                <w:bCs/>
                <w:color w:val="000000"/>
                <w:sz w:val="22"/>
                <w:szCs w:val="22"/>
                <w:lang w:eastAsia="en-GB"/>
              </w:rPr>
              <w:t>NPM-Net Profit Margin – “</w:t>
            </w:r>
            <w:r w:rsidRPr="007D003C">
              <w:rPr>
                <w:rFonts w:ascii="Arial" w:eastAsia="Times New Roman" w:hAnsi="Arial" w:cs="Arial"/>
                <w:color w:val="000000"/>
                <w:sz w:val="22"/>
                <w:szCs w:val="22"/>
                <w:lang w:eastAsia="en-GB"/>
              </w:rPr>
              <w:t>Net Profit Margin looks at the net profit of the company in relation to the total revenue in % and provides the bottom picture of the company profitability after all expenses, interest and tax are taken away” (CFI,2015)</w:t>
            </w:r>
          </w:p>
          <w:p w14:paraId="1259CC07" w14:textId="74ADF6B5" w:rsidR="006728D7" w:rsidRPr="007D003C" w:rsidRDefault="006728D7" w:rsidP="00B17E92">
            <w:pPr>
              <w:jc w:val="both"/>
              <w:rPr>
                <w:rFonts w:ascii="Arial" w:eastAsia="Times New Roman" w:hAnsi="Arial" w:cs="Arial"/>
                <w:b/>
                <w:bCs/>
                <w:color w:val="000000"/>
                <w:sz w:val="22"/>
                <w:szCs w:val="22"/>
                <w:lang w:eastAsia="en-GB"/>
              </w:rPr>
            </w:pPr>
          </w:p>
        </w:tc>
        <w:tc>
          <w:tcPr>
            <w:tcW w:w="3763" w:type="dxa"/>
          </w:tcPr>
          <w:p w14:paraId="2F7157CF" w14:textId="702118A0" w:rsidR="006728D7" w:rsidRPr="007D003C" w:rsidRDefault="006728D7" w:rsidP="004A5069">
            <w:pPr>
              <w:pStyle w:val="ListParagraph"/>
              <w:ind w:left="0"/>
              <w:jc w:val="both"/>
              <w:rPr>
                <w:rFonts w:ascii="Arial" w:hAnsi="Arial" w:cs="Arial"/>
                <w:sz w:val="22"/>
                <w:szCs w:val="22"/>
              </w:rPr>
            </w:pPr>
            <w:r w:rsidRPr="007D003C">
              <w:rPr>
                <w:rFonts w:ascii="Arial" w:hAnsi="Arial" w:cs="Arial"/>
                <w:sz w:val="22"/>
                <w:szCs w:val="22"/>
              </w:rPr>
              <w:t xml:space="preserve">NPM had steady growth over the period of 2016 – 2018, where Net Profit Margin had a smooth </w:t>
            </w:r>
            <w:r w:rsidR="00A676D4" w:rsidRPr="007D003C">
              <w:rPr>
                <w:rFonts w:ascii="Arial" w:hAnsi="Arial" w:cs="Arial"/>
                <w:sz w:val="22"/>
                <w:szCs w:val="22"/>
              </w:rPr>
              <w:t>increase</w:t>
            </w:r>
            <w:r w:rsidRPr="007D003C">
              <w:rPr>
                <w:rFonts w:ascii="Arial" w:hAnsi="Arial" w:cs="Arial"/>
                <w:sz w:val="22"/>
                <w:szCs w:val="22"/>
              </w:rPr>
              <w:t xml:space="preserve"> in-tune with the growing GP Margin. However, in 2019 NPM drop from 28% in 2018 to 21% where the sales revenue had grown but Net Profit, in contrast, had dropped. We can conclude that although</w:t>
            </w:r>
            <w:r w:rsidR="00341E47">
              <w:rPr>
                <w:rFonts w:ascii="Arial" w:hAnsi="Arial" w:cs="Arial"/>
                <w:sz w:val="22"/>
                <w:szCs w:val="22"/>
              </w:rPr>
              <w:t xml:space="preserve"> the</w:t>
            </w:r>
            <w:r w:rsidRPr="007D003C">
              <w:rPr>
                <w:rFonts w:ascii="Arial" w:hAnsi="Arial" w:cs="Arial"/>
                <w:sz w:val="22"/>
                <w:szCs w:val="22"/>
              </w:rPr>
              <w:t xml:space="preserve"> company seemed to succeed in bringing its operating expenses down in 2016-2018, the year 2019 looked like a challenging time for the company.   Ahead of a general election, the year 2019 proved to be</w:t>
            </w:r>
            <w:r w:rsidR="00341E47">
              <w:rPr>
                <w:rFonts w:ascii="Arial" w:hAnsi="Arial" w:cs="Arial"/>
                <w:sz w:val="22"/>
                <w:szCs w:val="22"/>
              </w:rPr>
              <w:t xml:space="preserve"> a</w:t>
            </w:r>
            <w:r w:rsidRPr="007D003C">
              <w:rPr>
                <w:rFonts w:ascii="Arial" w:hAnsi="Arial" w:cs="Arial"/>
                <w:sz w:val="22"/>
                <w:szCs w:val="22"/>
              </w:rPr>
              <w:t xml:space="preserve"> critical moment for the London-focused housebuilder.  Along with soaring construction commitments (10th of the capital’s projects were buil</w:t>
            </w:r>
            <w:r w:rsidR="00B57FAF" w:rsidRPr="007D003C">
              <w:rPr>
                <w:rFonts w:ascii="Arial" w:hAnsi="Arial" w:cs="Arial"/>
                <w:sz w:val="22"/>
                <w:szCs w:val="22"/>
              </w:rPr>
              <w:t>t</w:t>
            </w:r>
            <w:r w:rsidRPr="007D003C">
              <w:rPr>
                <w:rFonts w:ascii="Arial" w:hAnsi="Arial" w:cs="Arial"/>
                <w:sz w:val="22"/>
                <w:szCs w:val="22"/>
              </w:rPr>
              <w:t xml:space="preserve"> just in 6 months) there were apprenticeship schemes and environmental commitments.  The anticipated drop in operating profit and net profit were well-identified with the predicted decline in</w:t>
            </w:r>
            <w:r w:rsidR="00341E47">
              <w:rPr>
                <w:rFonts w:ascii="Arial" w:hAnsi="Arial" w:cs="Arial"/>
                <w:sz w:val="22"/>
                <w:szCs w:val="22"/>
              </w:rPr>
              <w:t xml:space="preserve"> the</w:t>
            </w:r>
            <w:r w:rsidRPr="007D003C">
              <w:rPr>
                <w:rFonts w:ascii="Arial" w:hAnsi="Arial" w:cs="Arial"/>
                <w:sz w:val="22"/>
                <w:szCs w:val="22"/>
              </w:rPr>
              <w:t xml:space="preserve"> house market.  Even though</w:t>
            </w:r>
            <w:r w:rsidR="00A676D4" w:rsidRPr="007D003C">
              <w:rPr>
                <w:rFonts w:ascii="Arial" w:hAnsi="Arial" w:cs="Arial"/>
                <w:sz w:val="22"/>
                <w:szCs w:val="22"/>
              </w:rPr>
              <w:t xml:space="preserve"> the</w:t>
            </w:r>
            <w:r w:rsidRPr="007D003C">
              <w:rPr>
                <w:rFonts w:ascii="Arial" w:hAnsi="Arial" w:cs="Arial"/>
                <w:sz w:val="22"/>
                <w:szCs w:val="22"/>
              </w:rPr>
              <w:t xml:space="preserve"> sales were up, the house prices were 13% cheaper compar</w:t>
            </w:r>
            <w:r w:rsidR="00341E47">
              <w:rPr>
                <w:rFonts w:ascii="Arial" w:hAnsi="Arial" w:cs="Arial"/>
                <w:sz w:val="22"/>
                <w:szCs w:val="22"/>
              </w:rPr>
              <w:t>ed</w:t>
            </w:r>
            <w:r w:rsidRPr="007D003C">
              <w:rPr>
                <w:rFonts w:ascii="Arial" w:hAnsi="Arial" w:cs="Arial"/>
                <w:sz w:val="22"/>
                <w:szCs w:val="22"/>
              </w:rPr>
              <w:t xml:space="preserve"> to the year 2018.  Regardless of this return, chief executive R.Perrins was positive that this is a good start to the year 2019 </w:t>
            </w:r>
            <w:sdt>
              <w:sdtPr>
                <w:rPr>
                  <w:rFonts w:ascii="Arial" w:hAnsi="Arial" w:cs="Arial"/>
                  <w:sz w:val="22"/>
                  <w:szCs w:val="22"/>
                </w:rPr>
                <w:id w:val="-1364599941"/>
                <w:citation/>
              </w:sdtPr>
              <w:sdtEndPr/>
              <w:sdtContent>
                <w:r w:rsidRPr="007D003C">
                  <w:rPr>
                    <w:rFonts w:ascii="Arial" w:hAnsi="Arial" w:cs="Arial"/>
                    <w:sz w:val="22"/>
                    <w:szCs w:val="22"/>
                  </w:rPr>
                  <w:fldChar w:fldCharType="begin"/>
                </w:r>
                <w:r w:rsidRPr="007D003C">
                  <w:rPr>
                    <w:rFonts w:ascii="Arial" w:hAnsi="Arial" w:cs="Arial"/>
                    <w:sz w:val="22"/>
                    <w:szCs w:val="22"/>
                  </w:rPr>
                  <w:instrText xml:space="preserve"> CITATION New19 \l 2057 </w:instrText>
                </w:r>
                <w:r w:rsidRPr="007D003C">
                  <w:rPr>
                    <w:rFonts w:ascii="Arial" w:hAnsi="Arial" w:cs="Arial"/>
                    <w:sz w:val="22"/>
                    <w:szCs w:val="22"/>
                  </w:rPr>
                  <w:fldChar w:fldCharType="separate"/>
                </w:r>
                <w:r w:rsidRPr="007D003C">
                  <w:rPr>
                    <w:rFonts w:ascii="Arial" w:hAnsi="Arial" w:cs="Arial"/>
                    <w:noProof/>
                    <w:sz w:val="22"/>
                    <w:szCs w:val="22"/>
                  </w:rPr>
                  <w:t>(Newman, 2019)</w:t>
                </w:r>
                <w:r w:rsidRPr="007D003C">
                  <w:rPr>
                    <w:rFonts w:ascii="Arial" w:hAnsi="Arial" w:cs="Arial"/>
                    <w:sz w:val="22"/>
                    <w:szCs w:val="22"/>
                  </w:rPr>
                  <w:fldChar w:fldCharType="end"/>
                </w:r>
              </w:sdtContent>
            </w:sdt>
            <w:r w:rsidRPr="007D003C">
              <w:rPr>
                <w:rFonts w:ascii="Arial" w:hAnsi="Arial" w:cs="Arial"/>
                <w:sz w:val="22"/>
                <w:szCs w:val="22"/>
              </w:rPr>
              <w:t>.</w:t>
            </w:r>
          </w:p>
          <w:p w14:paraId="19F4DBCC" w14:textId="2501292B" w:rsidR="006728D7" w:rsidRPr="007D003C" w:rsidRDefault="006728D7" w:rsidP="004A5069">
            <w:pPr>
              <w:pStyle w:val="ListParagraph"/>
              <w:ind w:left="0"/>
              <w:jc w:val="both"/>
              <w:rPr>
                <w:rFonts w:ascii="Arial" w:hAnsi="Arial" w:cs="Arial"/>
                <w:sz w:val="22"/>
                <w:szCs w:val="22"/>
              </w:rPr>
            </w:pPr>
          </w:p>
        </w:tc>
        <w:tc>
          <w:tcPr>
            <w:tcW w:w="3854" w:type="dxa"/>
          </w:tcPr>
          <w:p w14:paraId="61A0DDE0" w14:textId="5203324E" w:rsidR="006728D7" w:rsidRPr="007D003C" w:rsidRDefault="006728D7" w:rsidP="004A5069">
            <w:pPr>
              <w:pStyle w:val="ListParagraph"/>
              <w:ind w:left="0"/>
              <w:jc w:val="both"/>
              <w:rPr>
                <w:rFonts w:ascii="Arial" w:hAnsi="Arial" w:cs="Arial"/>
                <w:sz w:val="22"/>
                <w:szCs w:val="22"/>
              </w:rPr>
            </w:pPr>
            <w:r w:rsidRPr="007D003C">
              <w:rPr>
                <w:rFonts w:ascii="Arial" w:hAnsi="Arial" w:cs="Arial"/>
                <w:noProof/>
                <w:sz w:val="22"/>
                <w:szCs w:val="22"/>
              </w:rPr>
              <w:drawing>
                <wp:inline distT="0" distB="0" distL="0" distR="0" wp14:anchorId="5FADC568" wp14:editId="287B1647">
                  <wp:extent cx="2283426" cy="2022946"/>
                  <wp:effectExtent l="0" t="0" r="317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290761" cy="2029444"/>
                          </a:xfrm>
                          <a:prstGeom prst="rect">
                            <a:avLst/>
                          </a:prstGeom>
                        </pic:spPr>
                      </pic:pic>
                    </a:graphicData>
                  </a:graphic>
                </wp:inline>
              </w:drawing>
            </w:r>
          </w:p>
        </w:tc>
      </w:tr>
      <w:tr w:rsidR="00A676D4" w:rsidRPr="007D003C" w14:paraId="712868A5" w14:textId="639638F5" w:rsidTr="00A77E5E">
        <w:trPr>
          <w:trHeight w:val="3328"/>
        </w:trPr>
        <w:tc>
          <w:tcPr>
            <w:tcW w:w="2119" w:type="dxa"/>
          </w:tcPr>
          <w:p w14:paraId="15126010" w14:textId="77777777" w:rsidR="006728D7" w:rsidRPr="007D003C" w:rsidRDefault="006728D7" w:rsidP="00683CEA">
            <w:pPr>
              <w:jc w:val="both"/>
              <w:rPr>
                <w:rFonts w:ascii="Arial" w:eastAsia="Times New Roman" w:hAnsi="Arial" w:cs="Arial"/>
                <w:b/>
                <w:bCs/>
                <w:color w:val="000000"/>
                <w:sz w:val="22"/>
                <w:szCs w:val="22"/>
                <w:lang w:eastAsia="en-GB"/>
              </w:rPr>
            </w:pPr>
            <w:r w:rsidRPr="007D003C">
              <w:rPr>
                <w:rFonts w:ascii="Arial" w:eastAsia="Times New Roman" w:hAnsi="Arial" w:cs="Arial"/>
                <w:b/>
                <w:bCs/>
                <w:color w:val="000000"/>
                <w:sz w:val="22"/>
                <w:szCs w:val="22"/>
                <w:lang w:eastAsia="en-GB"/>
              </w:rPr>
              <w:t>ROA - Return on Assets – Net Income / Total Assets - “</w:t>
            </w:r>
            <w:r w:rsidRPr="007D003C">
              <w:rPr>
                <w:rFonts w:ascii="Arial" w:eastAsia="Times New Roman" w:hAnsi="Arial" w:cs="Arial"/>
                <w:color w:val="000000"/>
                <w:sz w:val="22"/>
                <w:szCs w:val="22"/>
                <w:lang w:eastAsia="en-GB"/>
              </w:rPr>
              <w:t>This ratio represents ability of the company to generate Income from its total assets”</w:t>
            </w:r>
            <w:sdt>
              <w:sdtPr>
                <w:rPr>
                  <w:rFonts w:ascii="Arial" w:eastAsia="Times New Roman" w:hAnsi="Arial" w:cs="Arial"/>
                  <w:color w:val="000000"/>
                  <w:sz w:val="22"/>
                  <w:szCs w:val="22"/>
                  <w:lang w:eastAsia="en-GB"/>
                </w:rPr>
                <w:id w:val="-930284826"/>
                <w:citation/>
              </w:sdtPr>
              <w:sdtEndPr/>
              <w:sdtContent>
                <w:r w:rsidRPr="007D003C">
                  <w:rPr>
                    <w:rFonts w:ascii="Arial" w:eastAsia="Times New Roman" w:hAnsi="Arial" w:cs="Arial"/>
                    <w:color w:val="000000"/>
                    <w:sz w:val="22"/>
                    <w:szCs w:val="22"/>
                    <w:lang w:eastAsia="en-GB"/>
                  </w:rPr>
                  <w:fldChar w:fldCharType="begin"/>
                </w:r>
                <w:r w:rsidRPr="007D003C">
                  <w:rPr>
                    <w:rFonts w:ascii="Arial" w:eastAsia="Times New Roman" w:hAnsi="Arial" w:cs="Arial"/>
                    <w:color w:val="000000"/>
                    <w:sz w:val="22"/>
                    <w:szCs w:val="22"/>
                    <w:lang w:eastAsia="en-GB"/>
                  </w:rPr>
                  <w:instrText xml:space="preserve"> CITATION CFI151 \l 2057 </w:instrText>
                </w:r>
                <w:r w:rsidRPr="007D003C">
                  <w:rPr>
                    <w:rFonts w:ascii="Arial" w:eastAsia="Times New Roman" w:hAnsi="Arial" w:cs="Arial"/>
                    <w:color w:val="000000"/>
                    <w:sz w:val="22"/>
                    <w:szCs w:val="22"/>
                    <w:lang w:eastAsia="en-GB"/>
                  </w:rPr>
                  <w:fldChar w:fldCharType="separate"/>
                </w:r>
                <w:r w:rsidRPr="007D003C">
                  <w:rPr>
                    <w:rFonts w:ascii="Arial" w:eastAsia="Times New Roman" w:hAnsi="Arial" w:cs="Arial"/>
                    <w:noProof/>
                    <w:color w:val="000000"/>
                    <w:sz w:val="22"/>
                    <w:szCs w:val="22"/>
                    <w:lang w:eastAsia="en-GB"/>
                  </w:rPr>
                  <w:t xml:space="preserve"> (CFI , 2015)</w:t>
                </w:r>
                <w:r w:rsidRPr="007D003C">
                  <w:rPr>
                    <w:rFonts w:ascii="Arial" w:eastAsia="Times New Roman" w:hAnsi="Arial" w:cs="Arial"/>
                    <w:color w:val="000000"/>
                    <w:sz w:val="22"/>
                    <w:szCs w:val="22"/>
                    <w:lang w:eastAsia="en-GB"/>
                  </w:rPr>
                  <w:fldChar w:fldCharType="end"/>
                </w:r>
              </w:sdtContent>
            </w:sdt>
          </w:p>
          <w:p w14:paraId="7CFBF71D" w14:textId="77777777" w:rsidR="006728D7" w:rsidRPr="007D003C" w:rsidRDefault="006728D7" w:rsidP="00683CEA">
            <w:pPr>
              <w:jc w:val="both"/>
              <w:rPr>
                <w:rFonts w:ascii="Arial" w:eastAsia="Times New Roman" w:hAnsi="Arial" w:cs="Arial"/>
                <w:b/>
                <w:bCs/>
                <w:color w:val="000000"/>
                <w:sz w:val="22"/>
                <w:szCs w:val="22"/>
                <w:lang w:eastAsia="en-GB"/>
              </w:rPr>
            </w:pPr>
          </w:p>
          <w:p w14:paraId="6944014E" w14:textId="77777777" w:rsidR="006728D7" w:rsidRPr="007D003C" w:rsidRDefault="006728D7" w:rsidP="00683CEA">
            <w:pPr>
              <w:jc w:val="both"/>
              <w:rPr>
                <w:rFonts w:ascii="Arial" w:eastAsia="Times New Roman" w:hAnsi="Arial" w:cs="Arial"/>
                <w:b/>
                <w:bCs/>
                <w:color w:val="000000"/>
                <w:sz w:val="22"/>
                <w:szCs w:val="22"/>
                <w:lang w:eastAsia="en-GB"/>
              </w:rPr>
            </w:pPr>
          </w:p>
          <w:p w14:paraId="2C83F599" w14:textId="77777777" w:rsidR="006728D7" w:rsidRPr="007D003C" w:rsidRDefault="006728D7" w:rsidP="004A5069">
            <w:pPr>
              <w:jc w:val="both"/>
              <w:rPr>
                <w:rFonts w:ascii="Arial" w:eastAsia="Times New Roman" w:hAnsi="Arial" w:cs="Arial"/>
                <w:b/>
                <w:bCs/>
                <w:color w:val="000000"/>
                <w:sz w:val="22"/>
                <w:szCs w:val="22"/>
                <w:lang w:eastAsia="en-GB"/>
              </w:rPr>
            </w:pPr>
          </w:p>
        </w:tc>
        <w:tc>
          <w:tcPr>
            <w:tcW w:w="3763" w:type="dxa"/>
          </w:tcPr>
          <w:p w14:paraId="5D71C892" w14:textId="74FD24DD" w:rsidR="006728D7" w:rsidRPr="007D003C" w:rsidRDefault="006728D7" w:rsidP="004A5069">
            <w:pPr>
              <w:pStyle w:val="ListParagraph"/>
              <w:ind w:left="0"/>
              <w:jc w:val="both"/>
              <w:rPr>
                <w:rFonts w:ascii="Arial" w:hAnsi="Arial" w:cs="Arial"/>
                <w:sz w:val="22"/>
                <w:szCs w:val="22"/>
              </w:rPr>
            </w:pPr>
            <w:r w:rsidRPr="007D003C">
              <w:rPr>
                <w:rFonts w:ascii="Arial" w:hAnsi="Arial" w:cs="Arial"/>
                <w:sz w:val="22"/>
                <w:szCs w:val="22"/>
              </w:rPr>
              <w:t>The continuous rise in Return on Assets over</w:t>
            </w:r>
            <w:r w:rsidR="00CC6E46">
              <w:rPr>
                <w:rFonts w:ascii="Arial" w:hAnsi="Arial" w:cs="Arial"/>
                <w:sz w:val="22"/>
                <w:szCs w:val="22"/>
              </w:rPr>
              <w:t xml:space="preserve"> a</w:t>
            </w:r>
            <w:r w:rsidRPr="007D003C">
              <w:rPr>
                <w:rFonts w:ascii="Arial" w:hAnsi="Arial" w:cs="Arial"/>
                <w:sz w:val="22"/>
                <w:szCs w:val="22"/>
              </w:rPr>
              <w:t xml:space="preserve"> period of 5 years illustrates that business is profitable and efficient (Mean 13.5%).  In comparison to the business competitor</w:t>
            </w:r>
            <w:r w:rsidRPr="007D003C">
              <w:rPr>
                <w:rFonts w:ascii="Arial" w:eastAsia="Times New Roman" w:hAnsi="Arial" w:cs="Arial"/>
                <w:i/>
                <w:iCs/>
                <w:color w:val="000000"/>
                <w:sz w:val="22"/>
                <w:szCs w:val="22"/>
                <w:lang w:eastAsia="en-GB"/>
              </w:rPr>
              <w:t xml:space="preserve"> Balfour Beatty </w:t>
            </w:r>
            <w:r w:rsidRPr="007D003C">
              <w:rPr>
                <w:rFonts w:ascii="Arial" w:eastAsia="Times New Roman" w:hAnsi="Arial" w:cs="Arial"/>
                <w:color w:val="000000"/>
                <w:sz w:val="22"/>
                <w:szCs w:val="22"/>
                <w:lang w:eastAsia="en-GB"/>
              </w:rPr>
              <w:t>(ROA 1.4%)</w:t>
            </w:r>
            <w:r w:rsidR="00CC6E46">
              <w:rPr>
                <w:rFonts w:ascii="Arial" w:eastAsia="Times New Roman" w:hAnsi="Arial" w:cs="Arial"/>
                <w:color w:val="000000"/>
                <w:sz w:val="22"/>
                <w:szCs w:val="22"/>
                <w:lang w:eastAsia="en-GB"/>
              </w:rPr>
              <w:t>,</w:t>
            </w:r>
            <w:r w:rsidRPr="007D003C">
              <w:rPr>
                <w:rFonts w:ascii="Arial" w:eastAsia="Times New Roman" w:hAnsi="Arial" w:cs="Arial"/>
                <w:color w:val="000000"/>
                <w:sz w:val="22"/>
                <w:szCs w:val="22"/>
                <w:lang w:eastAsia="en-GB"/>
              </w:rPr>
              <w:t xml:space="preserve"> we can suggest that Berkeley succeeded in generating income from its assets. “As a general rule, a return on assets under 5% is considered an asset-intensive business while a return on assets above 20% is considered an asset-light business”</w:t>
            </w:r>
            <w:sdt>
              <w:sdtPr>
                <w:rPr>
                  <w:rFonts w:ascii="Arial" w:eastAsia="Times New Roman" w:hAnsi="Arial" w:cs="Arial"/>
                  <w:color w:val="000000"/>
                  <w:sz w:val="22"/>
                  <w:szCs w:val="22"/>
                  <w:lang w:eastAsia="en-GB"/>
                </w:rPr>
                <w:id w:val="-1109348936"/>
                <w:citation/>
              </w:sdtPr>
              <w:sdtEndPr/>
              <w:sdtContent>
                <w:r w:rsidRPr="007D003C">
                  <w:rPr>
                    <w:rFonts w:ascii="Arial" w:eastAsia="Times New Roman" w:hAnsi="Arial" w:cs="Arial"/>
                    <w:color w:val="000000"/>
                    <w:sz w:val="22"/>
                    <w:szCs w:val="22"/>
                    <w:lang w:eastAsia="en-GB"/>
                  </w:rPr>
                  <w:fldChar w:fldCharType="begin"/>
                </w:r>
                <w:r w:rsidRPr="007D003C">
                  <w:rPr>
                    <w:rFonts w:ascii="Arial" w:eastAsia="Times New Roman" w:hAnsi="Arial" w:cs="Arial"/>
                    <w:color w:val="000000"/>
                    <w:sz w:val="22"/>
                    <w:szCs w:val="22"/>
                    <w:lang w:eastAsia="en-GB"/>
                  </w:rPr>
                  <w:instrText xml:space="preserve"> CITATION CFI151 \l 2057 </w:instrText>
                </w:r>
                <w:r w:rsidRPr="007D003C">
                  <w:rPr>
                    <w:rFonts w:ascii="Arial" w:eastAsia="Times New Roman" w:hAnsi="Arial" w:cs="Arial"/>
                    <w:color w:val="000000"/>
                    <w:sz w:val="22"/>
                    <w:szCs w:val="22"/>
                    <w:lang w:eastAsia="en-GB"/>
                  </w:rPr>
                  <w:fldChar w:fldCharType="separate"/>
                </w:r>
                <w:r w:rsidRPr="007D003C">
                  <w:rPr>
                    <w:rFonts w:ascii="Arial" w:eastAsia="Times New Roman" w:hAnsi="Arial" w:cs="Arial"/>
                    <w:color w:val="000000"/>
                    <w:sz w:val="22"/>
                    <w:szCs w:val="22"/>
                    <w:lang w:eastAsia="en-GB"/>
                  </w:rPr>
                  <w:t xml:space="preserve"> (CFI , 2015)</w:t>
                </w:r>
                <w:r w:rsidRPr="007D003C">
                  <w:rPr>
                    <w:rFonts w:ascii="Arial" w:eastAsia="Times New Roman" w:hAnsi="Arial" w:cs="Arial"/>
                    <w:color w:val="000000"/>
                    <w:sz w:val="22"/>
                    <w:szCs w:val="22"/>
                    <w:lang w:eastAsia="en-GB"/>
                  </w:rPr>
                  <w:fldChar w:fldCharType="end"/>
                </w:r>
              </w:sdtContent>
            </w:sdt>
            <w:r w:rsidR="00847FF7" w:rsidRPr="007D003C">
              <w:rPr>
                <w:rFonts w:ascii="Arial" w:eastAsia="Times New Roman" w:hAnsi="Arial" w:cs="Arial"/>
                <w:color w:val="000000"/>
                <w:sz w:val="22"/>
                <w:szCs w:val="22"/>
                <w:lang w:eastAsia="en-GB"/>
              </w:rPr>
              <w:t>, positioning The Berkeley in the middle (13.5%)</w:t>
            </w:r>
          </w:p>
        </w:tc>
        <w:tc>
          <w:tcPr>
            <w:tcW w:w="3854" w:type="dxa"/>
          </w:tcPr>
          <w:p w14:paraId="1513E94C" w14:textId="77A59E4C" w:rsidR="006728D7" w:rsidRPr="007D003C" w:rsidRDefault="006728D7" w:rsidP="004A5069">
            <w:pPr>
              <w:pStyle w:val="ListParagraph"/>
              <w:ind w:left="0"/>
              <w:jc w:val="both"/>
              <w:rPr>
                <w:rFonts w:ascii="Arial" w:hAnsi="Arial" w:cs="Arial"/>
                <w:sz w:val="22"/>
                <w:szCs w:val="22"/>
              </w:rPr>
            </w:pPr>
            <w:r w:rsidRPr="007D003C">
              <w:rPr>
                <w:rFonts w:ascii="Arial" w:hAnsi="Arial" w:cs="Arial"/>
                <w:noProof/>
                <w:sz w:val="22"/>
                <w:szCs w:val="22"/>
              </w:rPr>
              <w:drawing>
                <wp:inline distT="0" distB="0" distL="0" distR="0" wp14:anchorId="27B6D26E" wp14:editId="2BB39383">
                  <wp:extent cx="1981919" cy="1975495"/>
                  <wp:effectExtent l="0" t="0" r="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987605" cy="1981163"/>
                          </a:xfrm>
                          <a:prstGeom prst="rect">
                            <a:avLst/>
                          </a:prstGeom>
                        </pic:spPr>
                      </pic:pic>
                    </a:graphicData>
                  </a:graphic>
                </wp:inline>
              </w:drawing>
            </w:r>
          </w:p>
        </w:tc>
      </w:tr>
      <w:tr w:rsidR="00A77E5E" w:rsidRPr="007D003C" w14:paraId="7B374109" w14:textId="37E9B75E" w:rsidTr="00A77E5E">
        <w:trPr>
          <w:trHeight w:val="250"/>
        </w:trPr>
        <w:tc>
          <w:tcPr>
            <w:tcW w:w="2119" w:type="dxa"/>
          </w:tcPr>
          <w:p w14:paraId="721E071C" w14:textId="3BB2045A" w:rsidR="00A77E5E" w:rsidRPr="007D003C" w:rsidRDefault="00A77E5E" w:rsidP="00683CEA">
            <w:pPr>
              <w:jc w:val="both"/>
              <w:rPr>
                <w:rFonts w:ascii="Arial" w:eastAsia="Times New Roman" w:hAnsi="Arial" w:cs="Arial"/>
                <w:b/>
                <w:bCs/>
                <w:color w:val="000000"/>
                <w:sz w:val="22"/>
                <w:szCs w:val="22"/>
                <w:lang w:eastAsia="en-GB"/>
              </w:rPr>
            </w:pPr>
          </w:p>
        </w:tc>
        <w:tc>
          <w:tcPr>
            <w:tcW w:w="3763" w:type="dxa"/>
          </w:tcPr>
          <w:p w14:paraId="0503BB5B" w14:textId="3EFEA2CA" w:rsidR="00A77E5E" w:rsidRPr="007D003C" w:rsidRDefault="00A77E5E" w:rsidP="004A5069">
            <w:pPr>
              <w:pStyle w:val="ListParagraph"/>
              <w:ind w:left="0"/>
              <w:jc w:val="both"/>
              <w:rPr>
                <w:rFonts w:ascii="Arial" w:hAnsi="Arial" w:cs="Arial"/>
                <w:sz w:val="22"/>
                <w:szCs w:val="22"/>
              </w:rPr>
            </w:pPr>
          </w:p>
        </w:tc>
        <w:tc>
          <w:tcPr>
            <w:tcW w:w="3854" w:type="dxa"/>
          </w:tcPr>
          <w:p w14:paraId="1C2C51D0" w14:textId="4F099DFC" w:rsidR="00A77E5E" w:rsidRPr="007D003C" w:rsidRDefault="00A77E5E" w:rsidP="004A5069">
            <w:pPr>
              <w:pStyle w:val="ListParagraph"/>
              <w:ind w:left="0"/>
              <w:jc w:val="both"/>
              <w:rPr>
                <w:rFonts w:ascii="Arial" w:hAnsi="Arial" w:cs="Arial"/>
                <w:sz w:val="22"/>
                <w:szCs w:val="22"/>
              </w:rPr>
            </w:pPr>
          </w:p>
        </w:tc>
      </w:tr>
    </w:tbl>
    <w:p w14:paraId="050ABE88" w14:textId="2C8F64D6" w:rsidR="00E07DE1" w:rsidRPr="007D003C" w:rsidRDefault="00E07DE1" w:rsidP="005A4268">
      <w:pPr>
        <w:rPr>
          <w:rFonts w:ascii="Arial" w:hAnsi="Arial" w:cs="Arial"/>
          <w:b/>
          <w:bCs/>
          <w:sz w:val="22"/>
          <w:szCs w:val="22"/>
        </w:rPr>
      </w:pPr>
    </w:p>
    <w:p w14:paraId="141C2150" w14:textId="1636BD0D" w:rsidR="008D45B6" w:rsidRPr="007D003C" w:rsidRDefault="008D45B6" w:rsidP="005A4268">
      <w:pPr>
        <w:rPr>
          <w:rFonts w:ascii="Arial" w:hAnsi="Arial" w:cs="Arial"/>
          <w:b/>
          <w:bCs/>
          <w:sz w:val="22"/>
          <w:szCs w:val="22"/>
        </w:rPr>
      </w:pPr>
    </w:p>
    <w:p w14:paraId="6560206D" w14:textId="77777777" w:rsidR="007D003C" w:rsidRPr="007D003C" w:rsidRDefault="007D003C" w:rsidP="005A4268">
      <w:pPr>
        <w:rPr>
          <w:rFonts w:ascii="Arial" w:hAnsi="Arial" w:cs="Arial"/>
          <w:b/>
          <w:bCs/>
          <w:sz w:val="22"/>
          <w:szCs w:val="22"/>
        </w:rPr>
      </w:pPr>
    </w:p>
    <w:p w14:paraId="45B603CC" w14:textId="77777777" w:rsidR="00B57FAF" w:rsidRPr="007D003C" w:rsidRDefault="00B57FAF" w:rsidP="00B57FAF">
      <w:pPr>
        <w:jc w:val="both"/>
        <w:rPr>
          <w:rFonts w:ascii="Arial" w:hAnsi="Arial" w:cs="Arial"/>
          <w:b/>
          <w:bCs/>
          <w:sz w:val="22"/>
          <w:szCs w:val="22"/>
        </w:rPr>
      </w:pPr>
      <w:r w:rsidRPr="007D003C">
        <w:rPr>
          <w:rFonts w:ascii="Arial" w:hAnsi="Arial" w:cs="Arial"/>
          <w:b/>
          <w:bCs/>
          <w:sz w:val="22"/>
          <w:szCs w:val="22"/>
        </w:rPr>
        <w:t xml:space="preserve">Interpretation </w:t>
      </w:r>
    </w:p>
    <w:p w14:paraId="05617BF5" w14:textId="66232C21" w:rsidR="00E07DE1" w:rsidRPr="007D003C" w:rsidRDefault="00B57FAF" w:rsidP="00A77E5E">
      <w:pPr>
        <w:jc w:val="both"/>
        <w:rPr>
          <w:rFonts w:ascii="Arial" w:hAnsi="Arial" w:cs="Arial"/>
          <w:sz w:val="22"/>
          <w:szCs w:val="22"/>
        </w:rPr>
      </w:pPr>
      <w:r w:rsidRPr="007D003C">
        <w:rPr>
          <w:rFonts w:ascii="Arial" w:hAnsi="Arial" w:cs="Arial"/>
          <w:sz w:val="22"/>
          <w:szCs w:val="22"/>
        </w:rPr>
        <w:t xml:space="preserve">Upon investigation of the profitability ratios, it is observed that ROCE, ROE have steady growth over </w:t>
      </w:r>
      <w:r w:rsidR="00E239BB">
        <w:rPr>
          <w:rFonts w:ascii="Arial" w:hAnsi="Arial" w:cs="Arial"/>
          <w:sz w:val="22"/>
          <w:szCs w:val="22"/>
        </w:rPr>
        <w:t xml:space="preserve">the </w:t>
      </w:r>
      <w:r w:rsidRPr="007D003C">
        <w:rPr>
          <w:rFonts w:ascii="Arial" w:hAnsi="Arial" w:cs="Arial"/>
          <w:sz w:val="22"/>
          <w:szCs w:val="22"/>
        </w:rPr>
        <w:t>period 201</w:t>
      </w:r>
      <w:r w:rsidR="00495CA5" w:rsidRPr="007D003C">
        <w:rPr>
          <w:rFonts w:ascii="Arial" w:hAnsi="Arial" w:cs="Arial"/>
          <w:sz w:val="22"/>
          <w:szCs w:val="22"/>
        </w:rPr>
        <w:t>6</w:t>
      </w:r>
      <w:r w:rsidRPr="007D003C">
        <w:rPr>
          <w:rFonts w:ascii="Arial" w:hAnsi="Arial" w:cs="Arial"/>
          <w:sz w:val="22"/>
          <w:szCs w:val="22"/>
        </w:rPr>
        <w:t>-201</w:t>
      </w:r>
      <w:r w:rsidR="00495CA5" w:rsidRPr="007D003C">
        <w:rPr>
          <w:rFonts w:ascii="Arial" w:hAnsi="Arial" w:cs="Arial"/>
          <w:sz w:val="22"/>
          <w:szCs w:val="22"/>
        </w:rPr>
        <w:t>8</w:t>
      </w:r>
      <w:r w:rsidRPr="007D003C">
        <w:rPr>
          <w:rFonts w:ascii="Arial" w:hAnsi="Arial" w:cs="Arial"/>
          <w:sz w:val="22"/>
          <w:szCs w:val="22"/>
        </w:rPr>
        <w:t xml:space="preserve"> with 201</w:t>
      </w:r>
      <w:r w:rsidR="00495CA5" w:rsidRPr="007D003C">
        <w:rPr>
          <w:rFonts w:ascii="Arial" w:hAnsi="Arial" w:cs="Arial"/>
          <w:sz w:val="22"/>
          <w:szCs w:val="22"/>
        </w:rPr>
        <w:t xml:space="preserve">7 being the best </w:t>
      </w:r>
      <w:r w:rsidRPr="007D003C">
        <w:rPr>
          <w:rFonts w:ascii="Arial" w:hAnsi="Arial" w:cs="Arial"/>
          <w:sz w:val="22"/>
          <w:szCs w:val="22"/>
        </w:rPr>
        <w:t>perform</w:t>
      </w:r>
      <w:r w:rsidR="00495CA5" w:rsidRPr="007D003C">
        <w:rPr>
          <w:rFonts w:ascii="Arial" w:hAnsi="Arial" w:cs="Arial"/>
          <w:sz w:val="22"/>
          <w:szCs w:val="22"/>
        </w:rPr>
        <w:t>er</w:t>
      </w:r>
      <w:r w:rsidRPr="007D003C">
        <w:rPr>
          <w:rFonts w:ascii="Arial" w:hAnsi="Arial" w:cs="Arial"/>
          <w:sz w:val="22"/>
          <w:szCs w:val="22"/>
        </w:rPr>
        <w:t xml:space="preserve"> </w:t>
      </w:r>
      <w:r w:rsidR="00495CA5" w:rsidRPr="007D003C">
        <w:rPr>
          <w:rFonts w:ascii="Arial" w:hAnsi="Arial" w:cs="Arial"/>
          <w:sz w:val="22"/>
          <w:szCs w:val="22"/>
        </w:rPr>
        <w:t>over the period of analysis</w:t>
      </w:r>
      <w:r w:rsidRPr="007D003C">
        <w:rPr>
          <w:rFonts w:ascii="Arial" w:hAnsi="Arial" w:cs="Arial"/>
          <w:sz w:val="22"/>
          <w:szCs w:val="22"/>
        </w:rPr>
        <w:t>.    The ratios</w:t>
      </w:r>
      <w:r w:rsidR="00495CA5" w:rsidRPr="007D003C">
        <w:rPr>
          <w:rFonts w:ascii="Arial" w:hAnsi="Arial" w:cs="Arial"/>
          <w:sz w:val="22"/>
          <w:szCs w:val="22"/>
        </w:rPr>
        <w:t xml:space="preserve"> are</w:t>
      </w:r>
      <w:r w:rsidRPr="007D003C">
        <w:rPr>
          <w:rFonts w:ascii="Arial" w:hAnsi="Arial" w:cs="Arial"/>
          <w:sz w:val="22"/>
          <w:szCs w:val="22"/>
        </w:rPr>
        <w:t xml:space="preserve"> well above </w:t>
      </w:r>
      <w:r w:rsidR="00495CA5" w:rsidRPr="007D003C">
        <w:rPr>
          <w:rFonts w:ascii="Arial" w:hAnsi="Arial" w:cs="Arial"/>
          <w:sz w:val="22"/>
          <w:szCs w:val="22"/>
        </w:rPr>
        <w:t xml:space="preserve">the construction </w:t>
      </w:r>
      <w:r w:rsidRPr="007D003C">
        <w:rPr>
          <w:rFonts w:ascii="Arial" w:hAnsi="Arial" w:cs="Arial"/>
          <w:sz w:val="22"/>
          <w:szCs w:val="22"/>
        </w:rPr>
        <w:t>industry average (20% &amp; 25% respectively).  The company enjoys healthy return</w:t>
      </w:r>
      <w:r w:rsidR="00495CA5" w:rsidRPr="007D003C">
        <w:rPr>
          <w:rFonts w:ascii="Arial" w:hAnsi="Arial" w:cs="Arial"/>
          <w:sz w:val="22"/>
          <w:szCs w:val="22"/>
        </w:rPr>
        <w:t>s</w:t>
      </w:r>
      <w:r w:rsidRPr="007D003C">
        <w:rPr>
          <w:rFonts w:ascii="Arial" w:hAnsi="Arial" w:cs="Arial"/>
          <w:sz w:val="22"/>
          <w:szCs w:val="22"/>
        </w:rPr>
        <w:t xml:space="preserve"> on invested capital.  OPM is satisfactory and</w:t>
      </w:r>
      <w:r w:rsidR="00495CA5" w:rsidRPr="007D003C">
        <w:rPr>
          <w:rFonts w:ascii="Arial" w:hAnsi="Arial" w:cs="Arial"/>
          <w:sz w:val="22"/>
          <w:szCs w:val="22"/>
        </w:rPr>
        <w:t xml:space="preserve"> is</w:t>
      </w:r>
      <w:r w:rsidRPr="007D003C">
        <w:rPr>
          <w:rFonts w:ascii="Arial" w:hAnsi="Arial" w:cs="Arial"/>
          <w:sz w:val="22"/>
          <w:szCs w:val="22"/>
        </w:rPr>
        <w:t xml:space="preserve"> well above</w:t>
      </w:r>
      <w:r w:rsidR="00E239BB">
        <w:rPr>
          <w:rFonts w:ascii="Arial" w:hAnsi="Arial" w:cs="Arial"/>
          <w:sz w:val="22"/>
          <w:szCs w:val="22"/>
        </w:rPr>
        <w:t xml:space="preserve"> the</w:t>
      </w:r>
      <w:r w:rsidRPr="007D003C">
        <w:rPr>
          <w:rFonts w:ascii="Arial" w:hAnsi="Arial" w:cs="Arial"/>
          <w:sz w:val="22"/>
          <w:szCs w:val="22"/>
        </w:rPr>
        <w:t xml:space="preserve"> construction industry average of 3.83%.  </w:t>
      </w:r>
      <w:r w:rsidR="00E239BB">
        <w:rPr>
          <w:rFonts w:ascii="Arial" w:hAnsi="Arial" w:cs="Arial"/>
          <w:sz w:val="22"/>
          <w:szCs w:val="22"/>
        </w:rPr>
        <w:t>The c</w:t>
      </w:r>
      <w:r w:rsidRPr="007D003C">
        <w:rPr>
          <w:rFonts w:ascii="Arial" w:hAnsi="Arial" w:cs="Arial"/>
          <w:sz w:val="22"/>
          <w:szCs w:val="22"/>
        </w:rPr>
        <w:t>ompany is well equipped to pay out its financial responsibilities and has fewer financial risks attached. Steady strong OPM represent</w:t>
      </w:r>
      <w:r w:rsidR="00E239BB">
        <w:rPr>
          <w:rFonts w:ascii="Arial" w:hAnsi="Arial" w:cs="Arial"/>
          <w:sz w:val="22"/>
          <w:szCs w:val="22"/>
        </w:rPr>
        <w:t>s</w:t>
      </w:r>
      <w:r w:rsidRPr="007D003C">
        <w:rPr>
          <w:rFonts w:ascii="Arial" w:hAnsi="Arial" w:cs="Arial"/>
          <w:sz w:val="22"/>
          <w:szCs w:val="22"/>
        </w:rPr>
        <w:t xml:space="preserve"> the strength of </w:t>
      </w:r>
      <w:r w:rsidR="00E239BB">
        <w:rPr>
          <w:rFonts w:ascii="Arial" w:hAnsi="Arial" w:cs="Arial"/>
          <w:sz w:val="22"/>
          <w:szCs w:val="22"/>
        </w:rPr>
        <w:t xml:space="preserve">the </w:t>
      </w:r>
      <w:r w:rsidRPr="007D003C">
        <w:rPr>
          <w:rFonts w:ascii="Arial" w:hAnsi="Arial" w:cs="Arial"/>
          <w:sz w:val="22"/>
          <w:szCs w:val="22"/>
        </w:rPr>
        <w:t xml:space="preserve">company’s management.  GPMs of the company </w:t>
      </w:r>
      <w:r w:rsidR="00E239BB">
        <w:rPr>
          <w:rFonts w:ascii="Arial" w:hAnsi="Arial" w:cs="Arial"/>
          <w:sz w:val="22"/>
          <w:szCs w:val="22"/>
        </w:rPr>
        <w:t>are</w:t>
      </w:r>
      <w:r w:rsidR="00495CA5" w:rsidRPr="007D003C">
        <w:rPr>
          <w:rFonts w:ascii="Arial" w:hAnsi="Arial" w:cs="Arial"/>
          <w:sz w:val="22"/>
          <w:szCs w:val="22"/>
        </w:rPr>
        <w:t xml:space="preserve"> </w:t>
      </w:r>
      <w:r w:rsidRPr="007D003C">
        <w:rPr>
          <w:rFonts w:ascii="Arial" w:hAnsi="Arial" w:cs="Arial"/>
          <w:sz w:val="22"/>
          <w:szCs w:val="22"/>
        </w:rPr>
        <w:t>position</w:t>
      </w:r>
      <w:r w:rsidR="00495CA5" w:rsidRPr="007D003C">
        <w:rPr>
          <w:rFonts w:ascii="Arial" w:hAnsi="Arial" w:cs="Arial"/>
          <w:sz w:val="22"/>
          <w:szCs w:val="22"/>
        </w:rPr>
        <w:t>ed</w:t>
      </w:r>
      <w:r w:rsidRPr="007D003C">
        <w:rPr>
          <w:rFonts w:ascii="Arial" w:hAnsi="Arial" w:cs="Arial"/>
          <w:sz w:val="22"/>
          <w:szCs w:val="22"/>
        </w:rPr>
        <w:t xml:space="preserve"> steadily between 34% – 35%.  The ratios are above </w:t>
      </w:r>
      <w:r w:rsidR="00E239BB">
        <w:rPr>
          <w:rFonts w:ascii="Arial" w:hAnsi="Arial" w:cs="Arial"/>
          <w:sz w:val="22"/>
          <w:szCs w:val="22"/>
        </w:rPr>
        <w:t xml:space="preserve">the </w:t>
      </w:r>
      <w:r w:rsidRPr="007D003C">
        <w:rPr>
          <w:rFonts w:ascii="Arial" w:hAnsi="Arial" w:cs="Arial"/>
          <w:sz w:val="22"/>
          <w:szCs w:val="22"/>
        </w:rPr>
        <w:t>range of standard norms (25%-30%), hence why it is to say that</w:t>
      </w:r>
      <w:r w:rsidR="00E239BB">
        <w:rPr>
          <w:rFonts w:ascii="Arial" w:hAnsi="Arial" w:cs="Arial"/>
          <w:sz w:val="22"/>
          <w:szCs w:val="22"/>
        </w:rPr>
        <w:t xml:space="preserve"> the</w:t>
      </w:r>
      <w:r w:rsidRPr="007D003C">
        <w:rPr>
          <w:rFonts w:ascii="Arial" w:hAnsi="Arial" w:cs="Arial"/>
          <w:sz w:val="22"/>
          <w:szCs w:val="22"/>
        </w:rPr>
        <w:t xml:space="preserve"> GPM of Berkeley Group is satisfactory for the period of investigation. NPM was steadily increasing over</w:t>
      </w:r>
      <w:r w:rsidR="00E239BB">
        <w:rPr>
          <w:rFonts w:ascii="Arial" w:hAnsi="Arial" w:cs="Arial"/>
          <w:sz w:val="22"/>
          <w:szCs w:val="22"/>
        </w:rPr>
        <w:t xml:space="preserve"> </w:t>
      </w:r>
      <w:r w:rsidRPr="007D003C">
        <w:rPr>
          <w:rFonts w:ascii="Arial" w:hAnsi="Arial" w:cs="Arial"/>
          <w:sz w:val="22"/>
          <w:szCs w:val="22"/>
        </w:rPr>
        <w:t>time (201</w:t>
      </w:r>
      <w:r w:rsidR="00495CA5" w:rsidRPr="007D003C">
        <w:rPr>
          <w:rFonts w:ascii="Arial" w:hAnsi="Arial" w:cs="Arial"/>
          <w:sz w:val="22"/>
          <w:szCs w:val="22"/>
        </w:rPr>
        <w:t>6</w:t>
      </w:r>
      <w:r w:rsidRPr="007D003C">
        <w:rPr>
          <w:rFonts w:ascii="Arial" w:hAnsi="Arial" w:cs="Arial"/>
          <w:sz w:val="22"/>
          <w:szCs w:val="22"/>
        </w:rPr>
        <w:t xml:space="preserve">-2018), while GPM remained unchanged which might indicate effective management of operating </w:t>
      </w:r>
      <w:r w:rsidR="00185015" w:rsidRPr="007D003C">
        <w:rPr>
          <w:rFonts w:ascii="Arial" w:hAnsi="Arial" w:cs="Arial"/>
          <w:sz w:val="22"/>
          <w:szCs w:val="22"/>
        </w:rPr>
        <w:t>activities</w:t>
      </w:r>
      <w:r w:rsidRPr="007D003C">
        <w:rPr>
          <w:rFonts w:ascii="Arial" w:hAnsi="Arial" w:cs="Arial"/>
          <w:sz w:val="22"/>
          <w:szCs w:val="22"/>
        </w:rPr>
        <w:t>.  ROA has a positive increase and well above</w:t>
      </w:r>
      <w:r w:rsidR="00E239BB">
        <w:rPr>
          <w:rFonts w:ascii="Arial" w:hAnsi="Arial" w:cs="Arial"/>
          <w:sz w:val="22"/>
          <w:szCs w:val="22"/>
        </w:rPr>
        <w:t xml:space="preserve"> the</w:t>
      </w:r>
      <w:r w:rsidRPr="007D003C">
        <w:rPr>
          <w:rFonts w:ascii="Arial" w:hAnsi="Arial" w:cs="Arial"/>
          <w:sz w:val="22"/>
          <w:szCs w:val="22"/>
        </w:rPr>
        <w:t xml:space="preserve"> industry benchmark of 6.8%.  However, in 2019, </w:t>
      </w:r>
      <w:r w:rsidR="00185015" w:rsidRPr="007D003C">
        <w:rPr>
          <w:rFonts w:ascii="Arial" w:hAnsi="Arial" w:cs="Arial"/>
          <w:sz w:val="22"/>
          <w:szCs w:val="22"/>
        </w:rPr>
        <w:t>the investigated</w:t>
      </w:r>
      <w:r w:rsidRPr="007D003C">
        <w:rPr>
          <w:rFonts w:ascii="Arial" w:hAnsi="Arial" w:cs="Arial"/>
          <w:sz w:val="22"/>
          <w:szCs w:val="22"/>
        </w:rPr>
        <w:t xml:space="preserve"> margins</w:t>
      </w:r>
      <w:r w:rsidR="00185015" w:rsidRPr="007D003C">
        <w:rPr>
          <w:rFonts w:ascii="Arial" w:hAnsi="Arial" w:cs="Arial"/>
          <w:sz w:val="22"/>
          <w:szCs w:val="22"/>
        </w:rPr>
        <w:t xml:space="preserve"> and returns</w:t>
      </w:r>
      <w:r w:rsidRPr="007D003C">
        <w:rPr>
          <w:rFonts w:ascii="Arial" w:hAnsi="Arial" w:cs="Arial"/>
          <w:sz w:val="22"/>
          <w:szCs w:val="22"/>
        </w:rPr>
        <w:t xml:space="preserve"> suffered a minor contraction.  </w:t>
      </w:r>
      <w:r w:rsidR="009C7BC4" w:rsidRPr="007D003C">
        <w:rPr>
          <w:rFonts w:ascii="Arial" w:hAnsi="Arial" w:cs="Arial"/>
          <w:sz w:val="22"/>
          <w:szCs w:val="22"/>
        </w:rPr>
        <w:t xml:space="preserve">The external environmental factors played a big part </w:t>
      </w:r>
      <w:r w:rsidR="0017290F" w:rsidRPr="007D003C">
        <w:rPr>
          <w:rFonts w:ascii="Arial" w:hAnsi="Arial" w:cs="Arial"/>
          <w:sz w:val="22"/>
          <w:szCs w:val="22"/>
        </w:rPr>
        <w:t>in</w:t>
      </w:r>
      <w:r w:rsidR="00E239BB">
        <w:rPr>
          <w:rFonts w:ascii="Arial" w:hAnsi="Arial" w:cs="Arial"/>
          <w:sz w:val="22"/>
          <w:szCs w:val="22"/>
        </w:rPr>
        <w:t xml:space="preserve"> the</w:t>
      </w:r>
      <w:r w:rsidR="0017290F" w:rsidRPr="007D003C">
        <w:rPr>
          <w:rFonts w:ascii="Arial" w:hAnsi="Arial" w:cs="Arial"/>
          <w:sz w:val="22"/>
          <w:szCs w:val="22"/>
        </w:rPr>
        <w:t xml:space="preserve"> changes that the company was subject to.  According to </w:t>
      </w:r>
      <w:sdt>
        <w:sdtPr>
          <w:rPr>
            <w:rFonts w:ascii="Arial" w:hAnsi="Arial" w:cs="Arial"/>
            <w:sz w:val="22"/>
            <w:szCs w:val="22"/>
          </w:rPr>
          <w:id w:val="578481050"/>
          <w:citation/>
        </w:sdtPr>
        <w:sdtEndPr/>
        <w:sdtContent>
          <w:r w:rsidR="0017290F" w:rsidRPr="007D003C">
            <w:rPr>
              <w:rFonts w:ascii="Arial" w:hAnsi="Arial" w:cs="Arial"/>
              <w:sz w:val="22"/>
              <w:szCs w:val="22"/>
            </w:rPr>
            <w:fldChar w:fldCharType="begin"/>
          </w:r>
          <w:r w:rsidR="0017290F" w:rsidRPr="007D003C">
            <w:rPr>
              <w:rFonts w:ascii="Arial" w:hAnsi="Arial" w:cs="Arial"/>
              <w:sz w:val="22"/>
              <w:szCs w:val="22"/>
            </w:rPr>
            <w:instrText xml:space="preserve"> CITATION New19 \l 2057 </w:instrText>
          </w:r>
          <w:r w:rsidR="0017290F" w:rsidRPr="007D003C">
            <w:rPr>
              <w:rFonts w:ascii="Arial" w:hAnsi="Arial" w:cs="Arial"/>
              <w:sz w:val="22"/>
              <w:szCs w:val="22"/>
            </w:rPr>
            <w:fldChar w:fldCharType="separate"/>
          </w:r>
          <w:r w:rsidR="0017290F" w:rsidRPr="007D003C">
            <w:rPr>
              <w:rFonts w:ascii="Arial" w:hAnsi="Arial" w:cs="Arial"/>
              <w:noProof/>
              <w:sz w:val="22"/>
              <w:szCs w:val="22"/>
            </w:rPr>
            <w:t>(Newman, 2019)</w:t>
          </w:r>
          <w:r w:rsidR="0017290F" w:rsidRPr="007D003C">
            <w:rPr>
              <w:rFonts w:ascii="Arial" w:hAnsi="Arial" w:cs="Arial"/>
              <w:sz w:val="22"/>
              <w:szCs w:val="22"/>
            </w:rPr>
            <w:fldChar w:fldCharType="end"/>
          </w:r>
        </w:sdtContent>
      </w:sdt>
      <w:r w:rsidR="0017290F" w:rsidRPr="007D003C">
        <w:rPr>
          <w:rFonts w:ascii="Arial" w:hAnsi="Arial" w:cs="Arial"/>
          <w:sz w:val="22"/>
          <w:szCs w:val="22"/>
        </w:rPr>
        <w:t xml:space="preserve"> Investors Chronicle’s political and </w:t>
      </w:r>
      <w:r w:rsidR="00A77E5E" w:rsidRPr="007D003C">
        <w:rPr>
          <w:rFonts w:ascii="Arial" w:hAnsi="Arial" w:cs="Arial"/>
          <w:sz w:val="22"/>
          <w:szCs w:val="22"/>
        </w:rPr>
        <w:t>economic</w:t>
      </w:r>
      <w:r w:rsidR="0017290F" w:rsidRPr="007D003C">
        <w:rPr>
          <w:rFonts w:ascii="Arial" w:hAnsi="Arial" w:cs="Arial"/>
          <w:sz w:val="22"/>
          <w:szCs w:val="22"/>
        </w:rPr>
        <w:t xml:space="preserve"> factors affected</w:t>
      </w:r>
      <w:r w:rsidR="00A77E5E" w:rsidRPr="007D003C">
        <w:rPr>
          <w:rFonts w:ascii="Arial" w:hAnsi="Arial" w:cs="Arial"/>
          <w:sz w:val="22"/>
          <w:szCs w:val="22"/>
        </w:rPr>
        <w:t xml:space="preserve"> the</w:t>
      </w:r>
      <w:r w:rsidR="0017290F" w:rsidRPr="007D003C">
        <w:rPr>
          <w:rFonts w:ascii="Arial" w:hAnsi="Arial" w:cs="Arial"/>
          <w:sz w:val="22"/>
          <w:szCs w:val="22"/>
        </w:rPr>
        <w:t xml:space="preserve"> financial performance of the company:</w:t>
      </w:r>
      <w:r w:rsidR="00A77E5E" w:rsidRPr="007D003C">
        <w:rPr>
          <w:rFonts w:ascii="Arial" w:hAnsi="Arial" w:cs="Arial"/>
          <w:sz w:val="22"/>
          <w:szCs w:val="22"/>
        </w:rPr>
        <w:t xml:space="preserve"> a</w:t>
      </w:r>
      <w:r w:rsidR="0017290F" w:rsidRPr="007D003C">
        <w:rPr>
          <w:rFonts w:ascii="Arial" w:hAnsi="Arial" w:cs="Arial"/>
          <w:sz w:val="22"/>
          <w:szCs w:val="22"/>
        </w:rPr>
        <w:t xml:space="preserve"> housing market downturn and </w:t>
      </w:r>
      <w:r w:rsidR="00A77E5E" w:rsidRPr="007D003C">
        <w:rPr>
          <w:rFonts w:ascii="Arial" w:hAnsi="Arial" w:cs="Arial"/>
          <w:sz w:val="22"/>
          <w:szCs w:val="22"/>
        </w:rPr>
        <w:t xml:space="preserve">a </w:t>
      </w:r>
      <w:r w:rsidR="0017290F" w:rsidRPr="007D003C">
        <w:rPr>
          <w:rFonts w:ascii="Arial" w:hAnsi="Arial" w:cs="Arial"/>
          <w:sz w:val="22"/>
          <w:szCs w:val="22"/>
        </w:rPr>
        <w:t xml:space="preserve">general election that </w:t>
      </w:r>
      <w:r w:rsidR="00A77E5E" w:rsidRPr="007D003C">
        <w:rPr>
          <w:rFonts w:ascii="Arial" w:hAnsi="Arial" w:cs="Arial"/>
          <w:sz w:val="22"/>
          <w:szCs w:val="22"/>
        </w:rPr>
        <w:t xml:space="preserve">had </w:t>
      </w:r>
      <w:r w:rsidR="0017290F" w:rsidRPr="007D003C">
        <w:rPr>
          <w:rFonts w:ascii="Arial" w:hAnsi="Arial" w:cs="Arial"/>
          <w:sz w:val="22"/>
          <w:szCs w:val="22"/>
        </w:rPr>
        <w:t>prompt</w:t>
      </w:r>
      <w:r w:rsidR="00A77E5E" w:rsidRPr="007D003C">
        <w:rPr>
          <w:rFonts w:ascii="Arial" w:hAnsi="Arial" w:cs="Arial"/>
          <w:sz w:val="22"/>
          <w:szCs w:val="22"/>
        </w:rPr>
        <w:t>ed</w:t>
      </w:r>
      <w:r w:rsidR="0017290F" w:rsidRPr="007D003C">
        <w:rPr>
          <w:rFonts w:ascii="Arial" w:hAnsi="Arial" w:cs="Arial"/>
          <w:sz w:val="22"/>
          <w:szCs w:val="22"/>
        </w:rPr>
        <w:t xml:space="preserve"> </w:t>
      </w:r>
      <w:r w:rsidR="00A77E5E" w:rsidRPr="007D003C">
        <w:rPr>
          <w:rFonts w:ascii="Arial" w:hAnsi="Arial" w:cs="Arial"/>
          <w:sz w:val="22"/>
          <w:szCs w:val="22"/>
        </w:rPr>
        <w:t xml:space="preserve">an </w:t>
      </w:r>
      <w:r w:rsidR="0017290F" w:rsidRPr="007D003C">
        <w:rPr>
          <w:rFonts w:ascii="Arial" w:hAnsi="Arial" w:cs="Arial"/>
          <w:sz w:val="22"/>
          <w:szCs w:val="22"/>
        </w:rPr>
        <w:t>additional environmental and educational expense.</w:t>
      </w:r>
      <w:r w:rsidR="00A77E5E" w:rsidRPr="007D003C">
        <w:rPr>
          <w:rFonts w:ascii="Arial" w:hAnsi="Arial" w:cs="Arial"/>
          <w:sz w:val="22"/>
          <w:szCs w:val="22"/>
        </w:rPr>
        <w:t xml:space="preserve">  Having said that,</w:t>
      </w:r>
      <w:r w:rsidR="0017290F" w:rsidRPr="007D003C">
        <w:rPr>
          <w:rFonts w:ascii="Arial" w:hAnsi="Arial" w:cs="Arial"/>
          <w:sz w:val="22"/>
          <w:szCs w:val="22"/>
        </w:rPr>
        <w:t xml:space="preserve"> </w:t>
      </w:r>
      <w:r w:rsidR="00A77E5E" w:rsidRPr="007D003C">
        <w:rPr>
          <w:rFonts w:ascii="Arial" w:hAnsi="Arial" w:cs="Arial"/>
          <w:sz w:val="22"/>
          <w:szCs w:val="22"/>
        </w:rPr>
        <w:t>comparing</w:t>
      </w:r>
      <w:r w:rsidRPr="007D003C">
        <w:rPr>
          <w:rFonts w:ascii="Arial" w:hAnsi="Arial" w:cs="Arial"/>
          <w:sz w:val="22"/>
          <w:szCs w:val="22"/>
        </w:rPr>
        <w:t xml:space="preserve"> the mean for each margin and return</w:t>
      </w:r>
      <w:r w:rsidR="00A77E5E" w:rsidRPr="007D003C">
        <w:rPr>
          <w:rFonts w:ascii="Arial" w:hAnsi="Arial" w:cs="Arial"/>
          <w:sz w:val="22"/>
          <w:szCs w:val="22"/>
        </w:rPr>
        <w:t xml:space="preserve"> with those of the competing business</w:t>
      </w:r>
      <w:r w:rsidRPr="007D003C">
        <w:rPr>
          <w:rFonts w:ascii="Arial" w:hAnsi="Arial" w:cs="Arial"/>
          <w:sz w:val="22"/>
          <w:szCs w:val="22"/>
        </w:rPr>
        <w:t xml:space="preserve">, we can clearly see that </w:t>
      </w:r>
      <w:r w:rsidR="00A77E5E" w:rsidRPr="007D003C">
        <w:rPr>
          <w:rFonts w:ascii="Arial" w:hAnsi="Arial" w:cs="Arial"/>
          <w:sz w:val="22"/>
          <w:szCs w:val="22"/>
        </w:rPr>
        <w:t xml:space="preserve">Berkeley is way ahead or at par with its competitors.   </w:t>
      </w:r>
      <w:r w:rsidRPr="007D003C">
        <w:rPr>
          <w:rFonts w:ascii="Arial" w:hAnsi="Arial" w:cs="Arial"/>
          <w:sz w:val="22"/>
          <w:szCs w:val="22"/>
        </w:rPr>
        <w:t xml:space="preserve"> </w:t>
      </w:r>
      <w:r w:rsidR="00A77E5E" w:rsidRPr="007D003C">
        <w:rPr>
          <w:rFonts w:ascii="Arial" w:hAnsi="Arial" w:cs="Arial"/>
          <w:sz w:val="22"/>
          <w:szCs w:val="22"/>
        </w:rPr>
        <w:t>Despite reduced profitability in 2019, the company had</w:t>
      </w:r>
      <w:r w:rsidRPr="007D003C">
        <w:rPr>
          <w:rFonts w:ascii="Arial" w:hAnsi="Arial" w:cs="Arial"/>
          <w:sz w:val="22"/>
          <w:szCs w:val="22"/>
        </w:rPr>
        <w:t xml:space="preserve"> a very good ability to generate profit from available resources producing a steady growth in revenue from operations (from £2000M to £3000M (Appendix 1)).</w:t>
      </w:r>
    </w:p>
    <w:p w14:paraId="03F62B45" w14:textId="6B224835" w:rsidR="00A77E5E" w:rsidRPr="007D003C" w:rsidRDefault="0080026E" w:rsidP="00A77E5E">
      <w:pPr>
        <w:jc w:val="both"/>
        <w:rPr>
          <w:rFonts w:ascii="Arial" w:hAnsi="Arial" w:cs="Arial"/>
          <w:sz w:val="22"/>
          <w:szCs w:val="22"/>
        </w:rPr>
      </w:pPr>
      <w:r w:rsidRPr="007D003C">
        <w:rPr>
          <w:rFonts w:ascii="Arial" w:hAnsi="Arial" w:cs="Arial"/>
          <w:sz w:val="22"/>
          <w:szCs w:val="22"/>
        </w:rPr>
        <w:t>2020 Analysis</w:t>
      </w:r>
    </w:p>
    <w:p w14:paraId="02549306" w14:textId="1059CB8F" w:rsidR="00E07DE1" w:rsidRPr="007D003C" w:rsidRDefault="0080026E" w:rsidP="00EE188A">
      <w:pPr>
        <w:jc w:val="both"/>
        <w:rPr>
          <w:rFonts w:ascii="Arial" w:hAnsi="Arial" w:cs="Arial"/>
          <w:sz w:val="22"/>
          <w:szCs w:val="22"/>
        </w:rPr>
      </w:pPr>
      <w:r w:rsidRPr="007D003C">
        <w:rPr>
          <w:rFonts w:ascii="Arial" w:hAnsi="Arial" w:cs="Arial"/>
          <w:sz w:val="22"/>
          <w:szCs w:val="22"/>
        </w:rPr>
        <w:t xml:space="preserve">The course of </w:t>
      </w:r>
      <w:r w:rsidR="00E239BB">
        <w:rPr>
          <w:rFonts w:ascii="Arial" w:hAnsi="Arial" w:cs="Arial"/>
          <w:sz w:val="22"/>
          <w:szCs w:val="22"/>
        </w:rPr>
        <w:t xml:space="preserve">the </w:t>
      </w:r>
      <w:r w:rsidRPr="007D003C">
        <w:rPr>
          <w:rFonts w:ascii="Arial" w:hAnsi="Arial" w:cs="Arial"/>
          <w:sz w:val="22"/>
          <w:szCs w:val="22"/>
        </w:rPr>
        <w:t>pandemic hit the company very hard and this resulted in dropped figures for margins and returns.  Figures according to CITYA.M. - the dramatic drop in sales April – May (3months into pandemic) push yearly revenue down more than 1/3.  Profit before tax fell 35% (£503.7m), revenue was down 35%</w:t>
      </w:r>
      <w:r w:rsidR="00D911C4" w:rsidRPr="007D003C">
        <w:rPr>
          <w:rFonts w:ascii="Arial" w:hAnsi="Arial" w:cs="Arial"/>
          <w:sz w:val="22"/>
          <w:szCs w:val="22"/>
        </w:rPr>
        <w:t xml:space="preserve"> (£1.9m) in the year ended April 2020.  Sales (April – May) down 50%, although</w:t>
      </w:r>
      <w:r w:rsidR="00E239BB">
        <w:rPr>
          <w:rFonts w:ascii="Arial" w:hAnsi="Arial" w:cs="Arial"/>
          <w:sz w:val="22"/>
          <w:szCs w:val="22"/>
        </w:rPr>
        <w:t xml:space="preserve"> the</w:t>
      </w:r>
      <w:r w:rsidR="00D911C4" w:rsidRPr="007D003C">
        <w:rPr>
          <w:rFonts w:ascii="Arial" w:hAnsi="Arial" w:cs="Arial"/>
          <w:sz w:val="22"/>
          <w:szCs w:val="22"/>
        </w:rPr>
        <w:t xml:space="preserve"> company managed to keep the prices against its expectations: 2, 723 homes sold for an average price of £677K during the year, down from 3,698 homes at £748K last year</w:t>
      </w:r>
      <w:sdt>
        <w:sdtPr>
          <w:rPr>
            <w:rFonts w:ascii="Arial" w:hAnsi="Arial" w:cs="Arial"/>
            <w:sz w:val="22"/>
            <w:szCs w:val="22"/>
          </w:rPr>
          <w:id w:val="-1541268083"/>
          <w:citation/>
        </w:sdtPr>
        <w:sdtEndPr/>
        <w:sdtContent>
          <w:r w:rsidR="00D911C4" w:rsidRPr="007D003C">
            <w:rPr>
              <w:rFonts w:ascii="Arial" w:hAnsi="Arial" w:cs="Arial"/>
              <w:sz w:val="22"/>
              <w:szCs w:val="22"/>
            </w:rPr>
            <w:fldChar w:fldCharType="begin"/>
          </w:r>
          <w:r w:rsidR="00D911C4" w:rsidRPr="007D003C">
            <w:rPr>
              <w:rFonts w:ascii="Arial" w:hAnsi="Arial" w:cs="Arial"/>
              <w:sz w:val="22"/>
              <w:szCs w:val="22"/>
            </w:rPr>
            <w:instrText xml:space="preserve"> CITATION Dan20 \l 2057 </w:instrText>
          </w:r>
          <w:r w:rsidR="00D911C4" w:rsidRPr="007D003C">
            <w:rPr>
              <w:rFonts w:ascii="Arial" w:hAnsi="Arial" w:cs="Arial"/>
              <w:sz w:val="22"/>
              <w:szCs w:val="22"/>
            </w:rPr>
            <w:fldChar w:fldCharType="separate"/>
          </w:r>
          <w:r w:rsidR="00D911C4" w:rsidRPr="007D003C">
            <w:rPr>
              <w:rFonts w:ascii="Arial" w:hAnsi="Arial" w:cs="Arial"/>
              <w:noProof/>
              <w:sz w:val="22"/>
              <w:szCs w:val="22"/>
            </w:rPr>
            <w:t xml:space="preserve"> (Daniel, 2020)</w:t>
          </w:r>
          <w:r w:rsidR="00D911C4" w:rsidRPr="007D003C">
            <w:rPr>
              <w:rFonts w:ascii="Arial" w:hAnsi="Arial" w:cs="Arial"/>
              <w:sz w:val="22"/>
              <w:szCs w:val="22"/>
            </w:rPr>
            <w:fldChar w:fldCharType="end"/>
          </w:r>
        </w:sdtContent>
      </w:sdt>
      <w:r w:rsidR="00D911C4" w:rsidRPr="007D003C">
        <w:rPr>
          <w:rFonts w:ascii="Arial" w:hAnsi="Arial" w:cs="Arial"/>
          <w:sz w:val="22"/>
          <w:szCs w:val="22"/>
        </w:rPr>
        <w:t>.</w:t>
      </w:r>
      <w:r w:rsidR="00C43B3C" w:rsidRPr="007D003C">
        <w:rPr>
          <w:rFonts w:ascii="Arial" w:hAnsi="Arial" w:cs="Arial"/>
          <w:sz w:val="22"/>
          <w:szCs w:val="22"/>
        </w:rPr>
        <w:t xml:space="preserve">  </w:t>
      </w:r>
      <w:r w:rsidR="006D7758" w:rsidRPr="007D003C">
        <w:rPr>
          <w:rFonts w:ascii="Arial" w:hAnsi="Arial" w:cs="Arial"/>
          <w:sz w:val="22"/>
          <w:szCs w:val="22"/>
        </w:rPr>
        <w:t>Nevertheless,</w:t>
      </w:r>
      <w:r w:rsidR="00C43B3C" w:rsidRPr="007D003C">
        <w:rPr>
          <w:rFonts w:ascii="Arial" w:hAnsi="Arial" w:cs="Arial"/>
          <w:sz w:val="22"/>
          <w:szCs w:val="22"/>
        </w:rPr>
        <w:t xml:space="preserve"> although ROCE and ROE shrank significantly (the effect of the larger equity and reduced sales), the Margins (GPM, NPM, OPM) are managed to stay at the level of 2019 performance (Table 2).</w:t>
      </w:r>
    </w:p>
    <w:p w14:paraId="04409140" w14:textId="59FF60E4" w:rsidR="007D003C" w:rsidRDefault="00EA2F00" w:rsidP="004153A4">
      <w:pPr>
        <w:jc w:val="both"/>
        <w:rPr>
          <w:rFonts w:ascii="Arial" w:hAnsi="Arial" w:cs="Arial"/>
          <w:sz w:val="22"/>
          <w:szCs w:val="22"/>
        </w:rPr>
      </w:pPr>
      <w:r w:rsidRPr="007D003C">
        <w:rPr>
          <w:rFonts w:ascii="Arial" w:hAnsi="Arial" w:cs="Arial"/>
          <w:b/>
          <w:bCs/>
          <w:i/>
          <w:iCs/>
          <w:sz w:val="22"/>
          <w:szCs w:val="22"/>
        </w:rPr>
        <w:t>Liquidity ratios</w:t>
      </w:r>
      <w:r w:rsidRPr="007D003C">
        <w:rPr>
          <w:rFonts w:ascii="Arial" w:hAnsi="Arial" w:cs="Arial"/>
          <w:sz w:val="22"/>
          <w:szCs w:val="22"/>
        </w:rPr>
        <w:t xml:space="preserve"> assess a company’s capability to repay short-term commitments of one year or less (i.e., how quickly assets can be turned into cash). A high liquidity ratio suggests that a business is carrying too much cash that could be used in other fields. A low liquidity ratio means a firm may have difficulties paying short-term obligations</w:t>
      </w:r>
      <w:r w:rsidR="003C1F52" w:rsidRPr="007D003C">
        <w:rPr>
          <w:rFonts w:ascii="Arial" w:hAnsi="Arial" w:cs="Arial"/>
          <w:sz w:val="22"/>
          <w:szCs w:val="22"/>
        </w:rPr>
        <w:t xml:space="preserve"> </w:t>
      </w:r>
      <w:sdt>
        <w:sdtPr>
          <w:rPr>
            <w:rFonts w:ascii="Arial" w:hAnsi="Arial" w:cs="Arial"/>
            <w:sz w:val="22"/>
            <w:szCs w:val="22"/>
          </w:rPr>
          <w:id w:val="-883716554"/>
          <w:citation/>
        </w:sdtPr>
        <w:sdtEndPr/>
        <w:sdtContent>
          <w:r w:rsidR="003C1F52" w:rsidRPr="007D003C">
            <w:rPr>
              <w:rFonts w:ascii="Arial" w:hAnsi="Arial" w:cs="Arial"/>
              <w:sz w:val="22"/>
              <w:szCs w:val="22"/>
            </w:rPr>
            <w:fldChar w:fldCharType="begin"/>
          </w:r>
          <w:r w:rsidR="003C1F52" w:rsidRPr="007D003C">
            <w:rPr>
              <w:rFonts w:ascii="Arial" w:hAnsi="Arial" w:cs="Arial"/>
              <w:sz w:val="22"/>
              <w:szCs w:val="22"/>
            </w:rPr>
            <w:instrText xml:space="preserve"> CITATION CFI21 \l 2057 </w:instrText>
          </w:r>
          <w:r w:rsidR="003C1F52" w:rsidRPr="007D003C">
            <w:rPr>
              <w:rFonts w:ascii="Arial" w:hAnsi="Arial" w:cs="Arial"/>
              <w:sz w:val="22"/>
              <w:szCs w:val="22"/>
            </w:rPr>
            <w:fldChar w:fldCharType="separate"/>
          </w:r>
          <w:r w:rsidR="003C1F52" w:rsidRPr="007D003C">
            <w:rPr>
              <w:rFonts w:ascii="Arial" w:hAnsi="Arial" w:cs="Arial"/>
              <w:noProof/>
              <w:sz w:val="22"/>
              <w:szCs w:val="22"/>
            </w:rPr>
            <w:t>(CFI, 2015-2021)</w:t>
          </w:r>
          <w:r w:rsidR="003C1F52" w:rsidRPr="007D003C">
            <w:rPr>
              <w:rFonts w:ascii="Arial" w:hAnsi="Arial" w:cs="Arial"/>
              <w:sz w:val="22"/>
              <w:szCs w:val="22"/>
            </w:rPr>
            <w:fldChar w:fldCharType="end"/>
          </w:r>
        </w:sdtContent>
      </w:sdt>
    </w:p>
    <w:p w14:paraId="3534E365" w14:textId="77BAF77D" w:rsidR="009C3827" w:rsidRDefault="009C3827" w:rsidP="004153A4">
      <w:pPr>
        <w:jc w:val="both"/>
        <w:rPr>
          <w:rFonts w:ascii="Arial" w:hAnsi="Arial" w:cs="Arial"/>
          <w:sz w:val="22"/>
          <w:szCs w:val="22"/>
        </w:rPr>
      </w:pPr>
    </w:p>
    <w:p w14:paraId="5AB57E07" w14:textId="7FB0CA0D" w:rsidR="009C3827" w:rsidRDefault="009C3827" w:rsidP="004153A4">
      <w:pPr>
        <w:jc w:val="both"/>
        <w:rPr>
          <w:rFonts w:ascii="Arial" w:hAnsi="Arial" w:cs="Arial"/>
          <w:sz w:val="22"/>
          <w:szCs w:val="22"/>
        </w:rPr>
      </w:pPr>
    </w:p>
    <w:p w14:paraId="3C444A10" w14:textId="22DA0CAC" w:rsidR="009C3827" w:rsidRDefault="009C3827" w:rsidP="004153A4">
      <w:pPr>
        <w:jc w:val="both"/>
        <w:rPr>
          <w:rFonts w:ascii="Arial" w:hAnsi="Arial" w:cs="Arial"/>
          <w:sz w:val="22"/>
          <w:szCs w:val="22"/>
        </w:rPr>
      </w:pPr>
    </w:p>
    <w:p w14:paraId="2224F98E" w14:textId="77777777" w:rsidR="009C3827" w:rsidRPr="007D003C" w:rsidRDefault="009C3827" w:rsidP="004153A4">
      <w:pPr>
        <w:jc w:val="both"/>
        <w:rPr>
          <w:rFonts w:ascii="Arial" w:hAnsi="Arial" w:cs="Arial"/>
          <w:sz w:val="22"/>
          <w:szCs w:val="22"/>
        </w:rPr>
      </w:pPr>
    </w:p>
    <w:p w14:paraId="78762519" w14:textId="4BF4C1E4" w:rsidR="006473C7" w:rsidRPr="007D003C" w:rsidRDefault="006473C7" w:rsidP="004153A4">
      <w:pPr>
        <w:jc w:val="both"/>
        <w:rPr>
          <w:rFonts w:ascii="Arial" w:hAnsi="Arial" w:cs="Arial"/>
          <w:sz w:val="22"/>
          <w:szCs w:val="22"/>
        </w:rPr>
      </w:pPr>
      <w:r w:rsidRPr="007D003C">
        <w:rPr>
          <w:rFonts w:ascii="Arial" w:hAnsi="Arial" w:cs="Arial"/>
          <w:i/>
          <w:iCs/>
          <w:sz w:val="22"/>
          <w:szCs w:val="22"/>
        </w:rPr>
        <w:t>Table 3 Calculations of Liquidity Ratios for The Berkeley 2016-2020 and Balfour Beatty PLC/ 2019</w:t>
      </w:r>
    </w:p>
    <w:p w14:paraId="33863DC8" w14:textId="49E8157B" w:rsidR="006473C7" w:rsidRPr="007D003C" w:rsidRDefault="00A712BF" w:rsidP="006473C7">
      <w:pPr>
        <w:rPr>
          <w:rFonts w:ascii="Arial" w:hAnsi="Arial" w:cs="Arial"/>
          <w:i/>
          <w:iCs/>
          <w:sz w:val="22"/>
          <w:szCs w:val="22"/>
        </w:rPr>
      </w:pPr>
      <w:r w:rsidRPr="007D003C">
        <w:rPr>
          <w:rFonts w:ascii="Arial" w:hAnsi="Arial" w:cs="Arial"/>
          <w:noProof/>
          <w:sz w:val="22"/>
          <w:szCs w:val="22"/>
        </w:rPr>
        <w:drawing>
          <wp:inline distT="0" distB="0" distL="0" distR="0" wp14:anchorId="1664B3B0" wp14:editId="64D719AC">
            <wp:extent cx="6188710" cy="185547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188710" cy="1855470"/>
                    </a:xfrm>
                    <a:prstGeom prst="rect">
                      <a:avLst/>
                    </a:prstGeom>
                    <a:noFill/>
                    <a:ln>
                      <a:noFill/>
                    </a:ln>
                  </pic:spPr>
                </pic:pic>
              </a:graphicData>
            </a:graphic>
          </wp:inline>
        </w:drawing>
      </w:r>
    </w:p>
    <w:p w14:paraId="6E8BDCAE" w14:textId="081C13BD" w:rsidR="00657879" w:rsidRPr="007D003C" w:rsidRDefault="002A71A5" w:rsidP="006473C7">
      <w:pPr>
        <w:rPr>
          <w:rFonts w:ascii="Arial" w:hAnsi="Arial" w:cs="Arial"/>
          <w:i/>
          <w:iCs/>
          <w:sz w:val="22"/>
          <w:szCs w:val="22"/>
        </w:rPr>
      </w:pPr>
      <w:r w:rsidRPr="007D003C">
        <w:rPr>
          <w:rFonts w:ascii="Arial" w:hAnsi="Arial" w:cs="Arial"/>
          <w:i/>
          <w:iCs/>
          <w:sz w:val="22"/>
          <w:szCs w:val="22"/>
        </w:rPr>
        <w:t xml:space="preserve">Table </w:t>
      </w:r>
      <w:r w:rsidR="00EA6C3B" w:rsidRPr="007D003C">
        <w:rPr>
          <w:rFonts w:ascii="Arial" w:hAnsi="Arial" w:cs="Arial"/>
          <w:i/>
          <w:iCs/>
          <w:sz w:val="22"/>
          <w:szCs w:val="22"/>
        </w:rPr>
        <w:t>3.1 The</w:t>
      </w:r>
      <w:r w:rsidR="00657879" w:rsidRPr="007D003C">
        <w:rPr>
          <w:rFonts w:ascii="Arial" w:hAnsi="Arial" w:cs="Arial"/>
          <w:i/>
          <w:iCs/>
          <w:sz w:val="22"/>
          <w:szCs w:val="22"/>
        </w:rPr>
        <w:t xml:space="preserve"> </w:t>
      </w:r>
      <w:r w:rsidR="00EA6C3B" w:rsidRPr="007D003C">
        <w:rPr>
          <w:rFonts w:ascii="Arial" w:hAnsi="Arial" w:cs="Arial"/>
          <w:i/>
          <w:iCs/>
          <w:sz w:val="22"/>
          <w:szCs w:val="22"/>
        </w:rPr>
        <w:t>Berkeley</w:t>
      </w:r>
      <w:r w:rsidR="00657879" w:rsidRPr="007D003C">
        <w:rPr>
          <w:rFonts w:ascii="Arial" w:hAnsi="Arial" w:cs="Arial"/>
          <w:i/>
          <w:iCs/>
          <w:sz w:val="22"/>
          <w:szCs w:val="22"/>
        </w:rPr>
        <w:t xml:space="preserve"> Liquidity position 2015-20</w:t>
      </w:r>
      <w:r w:rsidR="000419BF" w:rsidRPr="007D003C">
        <w:rPr>
          <w:rFonts w:ascii="Arial" w:hAnsi="Arial" w:cs="Arial"/>
          <w:i/>
          <w:iCs/>
          <w:sz w:val="22"/>
          <w:szCs w:val="22"/>
        </w:rPr>
        <w:t>20</w:t>
      </w:r>
    </w:p>
    <w:tbl>
      <w:tblPr>
        <w:tblW w:w="9667" w:type="dxa"/>
        <w:tblLook w:val="04A0" w:firstRow="1" w:lastRow="0" w:firstColumn="1" w:lastColumn="0" w:noHBand="0" w:noVBand="1"/>
      </w:tblPr>
      <w:tblGrid>
        <w:gridCol w:w="1467"/>
        <w:gridCol w:w="919"/>
        <w:gridCol w:w="1007"/>
        <w:gridCol w:w="990"/>
        <w:gridCol w:w="866"/>
        <w:gridCol w:w="1096"/>
        <w:gridCol w:w="1007"/>
        <w:gridCol w:w="848"/>
        <w:gridCol w:w="1467"/>
      </w:tblGrid>
      <w:tr w:rsidR="001757B3" w:rsidRPr="007D003C" w14:paraId="7C94F94F" w14:textId="77777777" w:rsidTr="00EA6C3B">
        <w:trPr>
          <w:trHeight w:val="883"/>
        </w:trPr>
        <w:tc>
          <w:tcPr>
            <w:tcW w:w="1467" w:type="dxa"/>
            <w:tcBorders>
              <w:top w:val="single" w:sz="8" w:space="0" w:color="auto"/>
              <w:left w:val="single" w:sz="8" w:space="0" w:color="auto"/>
              <w:bottom w:val="single" w:sz="8" w:space="0" w:color="auto"/>
              <w:right w:val="nil"/>
            </w:tcBorders>
            <w:shd w:val="clear" w:color="auto" w:fill="auto"/>
            <w:vAlign w:val="center"/>
            <w:hideMark/>
          </w:tcPr>
          <w:p w14:paraId="6B27D88E" w14:textId="77777777" w:rsidR="001757B3" w:rsidRPr="007D003C" w:rsidRDefault="001757B3" w:rsidP="001757B3">
            <w:pPr>
              <w:spacing w:after="0" w:line="240" w:lineRule="auto"/>
              <w:rPr>
                <w:rFonts w:ascii="Arial" w:eastAsia="Times New Roman" w:hAnsi="Arial" w:cs="Arial"/>
                <w:b/>
                <w:bCs/>
                <w:color w:val="000000"/>
                <w:sz w:val="22"/>
                <w:szCs w:val="22"/>
                <w:lang w:eastAsia="en-GB"/>
              </w:rPr>
            </w:pPr>
            <w:r w:rsidRPr="007D003C">
              <w:rPr>
                <w:rFonts w:ascii="Arial" w:eastAsia="Times New Roman" w:hAnsi="Arial" w:cs="Arial"/>
                <w:b/>
                <w:bCs/>
                <w:color w:val="000000"/>
                <w:sz w:val="22"/>
                <w:szCs w:val="22"/>
                <w:lang w:eastAsia="en-GB"/>
              </w:rPr>
              <w:t>Year</w:t>
            </w:r>
          </w:p>
        </w:tc>
        <w:tc>
          <w:tcPr>
            <w:tcW w:w="919" w:type="dxa"/>
            <w:tcBorders>
              <w:top w:val="single" w:sz="8" w:space="0" w:color="auto"/>
              <w:left w:val="single" w:sz="4" w:space="0" w:color="auto"/>
              <w:bottom w:val="single" w:sz="8" w:space="0" w:color="auto"/>
              <w:right w:val="single" w:sz="4" w:space="0" w:color="auto"/>
            </w:tcBorders>
            <w:shd w:val="clear" w:color="000000" w:fill="D9D9D9"/>
            <w:noWrap/>
            <w:vAlign w:val="bottom"/>
            <w:hideMark/>
          </w:tcPr>
          <w:p w14:paraId="72ABBC90" w14:textId="77777777" w:rsidR="001757B3" w:rsidRPr="007D003C" w:rsidRDefault="001757B3" w:rsidP="001757B3">
            <w:pPr>
              <w:spacing w:after="0" w:line="240" w:lineRule="auto"/>
              <w:jc w:val="right"/>
              <w:rPr>
                <w:rFonts w:ascii="Arial" w:eastAsia="Times New Roman" w:hAnsi="Arial" w:cs="Arial"/>
                <w:b/>
                <w:bCs/>
                <w:i/>
                <w:iCs/>
                <w:color w:val="000000"/>
                <w:sz w:val="22"/>
                <w:szCs w:val="22"/>
                <w:lang w:eastAsia="en-GB"/>
              </w:rPr>
            </w:pPr>
            <w:r w:rsidRPr="007D003C">
              <w:rPr>
                <w:rFonts w:ascii="Arial" w:eastAsia="Times New Roman" w:hAnsi="Arial" w:cs="Arial"/>
                <w:b/>
                <w:bCs/>
                <w:i/>
                <w:iCs/>
                <w:color w:val="000000"/>
                <w:sz w:val="22"/>
                <w:szCs w:val="22"/>
                <w:lang w:eastAsia="en-GB"/>
              </w:rPr>
              <w:t>2020</w:t>
            </w:r>
          </w:p>
        </w:tc>
        <w:tc>
          <w:tcPr>
            <w:tcW w:w="1007" w:type="dxa"/>
            <w:tcBorders>
              <w:top w:val="single" w:sz="8" w:space="0" w:color="auto"/>
              <w:left w:val="nil"/>
              <w:bottom w:val="single" w:sz="8" w:space="0" w:color="auto"/>
              <w:right w:val="single" w:sz="4" w:space="0" w:color="auto"/>
            </w:tcBorders>
            <w:shd w:val="clear" w:color="000000" w:fill="D9D9D9"/>
            <w:noWrap/>
            <w:vAlign w:val="bottom"/>
            <w:hideMark/>
          </w:tcPr>
          <w:p w14:paraId="416DDF9E" w14:textId="77777777" w:rsidR="001757B3" w:rsidRPr="007D003C" w:rsidRDefault="001757B3" w:rsidP="001757B3">
            <w:pPr>
              <w:spacing w:after="0" w:line="240" w:lineRule="auto"/>
              <w:jc w:val="right"/>
              <w:rPr>
                <w:rFonts w:ascii="Arial" w:eastAsia="Times New Roman" w:hAnsi="Arial" w:cs="Arial"/>
                <w:b/>
                <w:bCs/>
                <w:i/>
                <w:iCs/>
                <w:color w:val="000000"/>
                <w:sz w:val="22"/>
                <w:szCs w:val="22"/>
                <w:lang w:eastAsia="en-GB"/>
              </w:rPr>
            </w:pPr>
            <w:r w:rsidRPr="007D003C">
              <w:rPr>
                <w:rFonts w:ascii="Arial" w:eastAsia="Times New Roman" w:hAnsi="Arial" w:cs="Arial"/>
                <w:b/>
                <w:bCs/>
                <w:i/>
                <w:iCs/>
                <w:color w:val="000000"/>
                <w:sz w:val="22"/>
                <w:szCs w:val="22"/>
                <w:lang w:eastAsia="en-GB"/>
              </w:rPr>
              <w:t>2019</w:t>
            </w:r>
          </w:p>
        </w:tc>
        <w:tc>
          <w:tcPr>
            <w:tcW w:w="990" w:type="dxa"/>
            <w:tcBorders>
              <w:top w:val="single" w:sz="8" w:space="0" w:color="auto"/>
              <w:left w:val="nil"/>
              <w:bottom w:val="single" w:sz="8" w:space="0" w:color="auto"/>
              <w:right w:val="single" w:sz="4" w:space="0" w:color="auto"/>
            </w:tcBorders>
            <w:shd w:val="clear" w:color="000000" w:fill="D9D9D9"/>
            <w:noWrap/>
            <w:vAlign w:val="bottom"/>
            <w:hideMark/>
          </w:tcPr>
          <w:p w14:paraId="2F287B41" w14:textId="77777777" w:rsidR="001757B3" w:rsidRPr="007D003C" w:rsidRDefault="001757B3" w:rsidP="001757B3">
            <w:pPr>
              <w:spacing w:after="0" w:line="240" w:lineRule="auto"/>
              <w:jc w:val="right"/>
              <w:rPr>
                <w:rFonts w:ascii="Arial" w:eastAsia="Times New Roman" w:hAnsi="Arial" w:cs="Arial"/>
                <w:b/>
                <w:bCs/>
                <w:i/>
                <w:iCs/>
                <w:color w:val="000000"/>
                <w:sz w:val="22"/>
                <w:szCs w:val="22"/>
                <w:lang w:eastAsia="en-GB"/>
              </w:rPr>
            </w:pPr>
            <w:r w:rsidRPr="007D003C">
              <w:rPr>
                <w:rFonts w:ascii="Arial" w:eastAsia="Times New Roman" w:hAnsi="Arial" w:cs="Arial"/>
                <w:b/>
                <w:bCs/>
                <w:i/>
                <w:iCs/>
                <w:color w:val="000000"/>
                <w:sz w:val="22"/>
                <w:szCs w:val="22"/>
                <w:lang w:eastAsia="en-GB"/>
              </w:rPr>
              <w:t>2018</w:t>
            </w:r>
          </w:p>
        </w:tc>
        <w:tc>
          <w:tcPr>
            <w:tcW w:w="866" w:type="dxa"/>
            <w:tcBorders>
              <w:top w:val="single" w:sz="8" w:space="0" w:color="auto"/>
              <w:left w:val="nil"/>
              <w:bottom w:val="single" w:sz="8" w:space="0" w:color="auto"/>
              <w:right w:val="single" w:sz="4" w:space="0" w:color="auto"/>
            </w:tcBorders>
            <w:shd w:val="clear" w:color="000000" w:fill="D9D9D9"/>
            <w:noWrap/>
            <w:vAlign w:val="bottom"/>
            <w:hideMark/>
          </w:tcPr>
          <w:p w14:paraId="3F0D31B3" w14:textId="77777777" w:rsidR="001757B3" w:rsidRPr="007D003C" w:rsidRDefault="001757B3" w:rsidP="001757B3">
            <w:pPr>
              <w:spacing w:after="0" w:line="240" w:lineRule="auto"/>
              <w:jc w:val="right"/>
              <w:rPr>
                <w:rFonts w:ascii="Arial" w:eastAsia="Times New Roman" w:hAnsi="Arial" w:cs="Arial"/>
                <w:b/>
                <w:bCs/>
                <w:i/>
                <w:iCs/>
                <w:color w:val="000000"/>
                <w:sz w:val="22"/>
                <w:szCs w:val="22"/>
                <w:lang w:eastAsia="en-GB"/>
              </w:rPr>
            </w:pPr>
            <w:r w:rsidRPr="007D003C">
              <w:rPr>
                <w:rFonts w:ascii="Arial" w:eastAsia="Times New Roman" w:hAnsi="Arial" w:cs="Arial"/>
                <w:b/>
                <w:bCs/>
                <w:i/>
                <w:iCs/>
                <w:color w:val="000000"/>
                <w:sz w:val="22"/>
                <w:szCs w:val="22"/>
                <w:lang w:eastAsia="en-GB"/>
              </w:rPr>
              <w:t>2017</w:t>
            </w:r>
          </w:p>
        </w:tc>
        <w:tc>
          <w:tcPr>
            <w:tcW w:w="1096" w:type="dxa"/>
            <w:tcBorders>
              <w:top w:val="single" w:sz="8" w:space="0" w:color="auto"/>
              <w:left w:val="nil"/>
              <w:bottom w:val="single" w:sz="8" w:space="0" w:color="auto"/>
              <w:right w:val="single" w:sz="8" w:space="0" w:color="auto"/>
            </w:tcBorders>
            <w:shd w:val="clear" w:color="000000" w:fill="D9D9D9"/>
            <w:noWrap/>
            <w:vAlign w:val="bottom"/>
            <w:hideMark/>
          </w:tcPr>
          <w:p w14:paraId="783865A2" w14:textId="77777777" w:rsidR="001757B3" w:rsidRPr="007D003C" w:rsidRDefault="001757B3" w:rsidP="001757B3">
            <w:pPr>
              <w:spacing w:after="0" w:line="240" w:lineRule="auto"/>
              <w:jc w:val="right"/>
              <w:rPr>
                <w:rFonts w:ascii="Arial" w:eastAsia="Times New Roman" w:hAnsi="Arial" w:cs="Arial"/>
                <w:b/>
                <w:bCs/>
                <w:i/>
                <w:iCs/>
                <w:color w:val="000000"/>
                <w:sz w:val="22"/>
                <w:szCs w:val="22"/>
                <w:lang w:eastAsia="en-GB"/>
              </w:rPr>
            </w:pPr>
            <w:r w:rsidRPr="007D003C">
              <w:rPr>
                <w:rFonts w:ascii="Arial" w:eastAsia="Times New Roman" w:hAnsi="Arial" w:cs="Arial"/>
                <w:b/>
                <w:bCs/>
                <w:i/>
                <w:iCs/>
                <w:color w:val="000000"/>
                <w:sz w:val="22"/>
                <w:szCs w:val="22"/>
                <w:lang w:eastAsia="en-GB"/>
              </w:rPr>
              <w:t>2016</w:t>
            </w:r>
          </w:p>
        </w:tc>
        <w:tc>
          <w:tcPr>
            <w:tcW w:w="1007" w:type="dxa"/>
            <w:tcBorders>
              <w:top w:val="single" w:sz="8" w:space="0" w:color="auto"/>
              <w:left w:val="single" w:sz="4" w:space="0" w:color="auto"/>
              <w:bottom w:val="single" w:sz="8" w:space="0" w:color="auto"/>
              <w:right w:val="single" w:sz="8" w:space="0" w:color="auto"/>
            </w:tcBorders>
            <w:shd w:val="clear" w:color="000000" w:fill="D9D9D9"/>
            <w:noWrap/>
            <w:vAlign w:val="bottom"/>
            <w:hideMark/>
          </w:tcPr>
          <w:p w14:paraId="269FEE3D" w14:textId="77777777" w:rsidR="001757B3" w:rsidRPr="007D003C" w:rsidRDefault="001757B3" w:rsidP="001757B3">
            <w:pPr>
              <w:spacing w:after="0" w:line="240" w:lineRule="auto"/>
              <w:jc w:val="right"/>
              <w:rPr>
                <w:rFonts w:ascii="Arial" w:eastAsia="Times New Roman" w:hAnsi="Arial" w:cs="Arial"/>
                <w:b/>
                <w:bCs/>
                <w:i/>
                <w:iCs/>
                <w:color w:val="000000"/>
                <w:sz w:val="22"/>
                <w:szCs w:val="22"/>
                <w:lang w:eastAsia="en-GB"/>
              </w:rPr>
            </w:pPr>
            <w:r w:rsidRPr="007D003C">
              <w:rPr>
                <w:rFonts w:ascii="Arial" w:eastAsia="Times New Roman" w:hAnsi="Arial" w:cs="Arial"/>
                <w:b/>
                <w:bCs/>
                <w:i/>
                <w:iCs/>
                <w:color w:val="000000"/>
                <w:sz w:val="22"/>
                <w:szCs w:val="22"/>
                <w:lang w:eastAsia="en-GB"/>
              </w:rPr>
              <w:t>2015</w:t>
            </w:r>
          </w:p>
        </w:tc>
        <w:tc>
          <w:tcPr>
            <w:tcW w:w="848" w:type="dxa"/>
            <w:tcBorders>
              <w:top w:val="single" w:sz="8" w:space="0" w:color="auto"/>
              <w:left w:val="single" w:sz="4" w:space="0" w:color="auto"/>
              <w:bottom w:val="single" w:sz="8" w:space="0" w:color="auto"/>
              <w:right w:val="single" w:sz="8" w:space="0" w:color="auto"/>
            </w:tcBorders>
            <w:shd w:val="clear" w:color="000000" w:fill="D9D9D9"/>
            <w:noWrap/>
            <w:vAlign w:val="bottom"/>
            <w:hideMark/>
          </w:tcPr>
          <w:p w14:paraId="608373B3" w14:textId="77777777" w:rsidR="001757B3" w:rsidRPr="007D003C" w:rsidRDefault="001757B3" w:rsidP="001757B3">
            <w:pPr>
              <w:spacing w:after="0" w:line="240" w:lineRule="auto"/>
              <w:rPr>
                <w:rFonts w:ascii="Arial" w:eastAsia="Times New Roman" w:hAnsi="Arial" w:cs="Arial"/>
                <w:b/>
                <w:bCs/>
                <w:i/>
                <w:iCs/>
                <w:color w:val="000000"/>
                <w:sz w:val="22"/>
                <w:szCs w:val="22"/>
                <w:lang w:eastAsia="en-GB"/>
              </w:rPr>
            </w:pPr>
            <w:r w:rsidRPr="007D003C">
              <w:rPr>
                <w:rFonts w:ascii="Arial" w:eastAsia="Times New Roman" w:hAnsi="Arial" w:cs="Arial"/>
                <w:b/>
                <w:bCs/>
                <w:i/>
                <w:iCs/>
                <w:color w:val="000000"/>
                <w:sz w:val="22"/>
                <w:szCs w:val="22"/>
                <w:lang w:eastAsia="en-GB"/>
              </w:rPr>
              <w:t>Mean</w:t>
            </w:r>
          </w:p>
        </w:tc>
        <w:tc>
          <w:tcPr>
            <w:tcW w:w="1467" w:type="dxa"/>
            <w:tcBorders>
              <w:top w:val="single" w:sz="8" w:space="0" w:color="auto"/>
              <w:left w:val="single" w:sz="4" w:space="0" w:color="auto"/>
              <w:bottom w:val="single" w:sz="8" w:space="0" w:color="auto"/>
              <w:right w:val="single" w:sz="8" w:space="0" w:color="auto"/>
            </w:tcBorders>
            <w:shd w:val="clear" w:color="000000" w:fill="D9D9D9"/>
            <w:vAlign w:val="bottom"/>
            <w:hideMark/>
          </w:tcPr>
          <w:p w14:paraId="2DFA7631" w14:textId="77777777" w:rsidR="001757B3" w:rsidRPr="007D003C" w:rsidRDefault="001757B3" w:rsidP="001757B3">
            <w:pPr>
              <w:spacing w:after="0" w:line="240" w:lineRule="auto"/>
              <w:rPr>
                <w:rFonts w:ascii="Arial" w:eastAsia="Times New Roman" w:hAnsi="Arial" w:cs="Arial"/>
                <w:b/>
                <w:bCs/>
                <w:i/>
                <w:iCs/>
                <w:color w:val="000000"/>
                <w:sz w:val="22"/>
                <w:szCs w:val="22"/>
                <w:lang w:eastAsia="en-GB"/>
              </w:rPr>
            </w:pPr>
            <w:r w:rsidRPr="007D003C">
              <w:rPr>
                <w:rFonts w:ascii="Arial" w:eastAsia="Times New Roman" w:hAnsi="Arial" w:cs="Arial"/>
                <w:b/>
                <w:bCs/>
                <w:i/>
                <w:iCs/>
                <w:color w:val="000000"/>
                <w:sz w:val="22"/>
                <w:szCs w:val="22"/>
                <w:lang w:eastAsia="en-GB"/>
              </w:rPr>
              <w:t>Balfour Beatty PLC/ 2019</w:t>
            </w:r>
          </w:p>
        </w:tc>
      </w:tr>
      <w:tr w:rsidR="00EA6C3B" w:rsidRPr="007D003C" w14:paraId="34CF3432" w14:textId="77777777" w:rsidTr="00EA6C3B">
        <w:trPr>
          <w:trHeight w:val="569"/>
        </w:trPr>
        <w:tc>
          <w:tcPr>
            <w:tcW w:w="1467" w:type="dxa"/>
            <w:tcBorders>
              <w:top w:val="nil"/>
              <w:left w:val="single" w:sz="4" w:space="0" w:color="auto"/>
              <w:bottom w:val="single" w:sz="4" w:space="0" w:color="auto"/>
              <w:right w:val="single" w:sz="4" w:space="0" w:color="auto"/>
            </w:tcBorders>
            <w:shd w:val="clear" w:color="auto" w:fill="auto"/>
            <w:vAlign w:val="center"/>
            <w:hideMark/>
          </w:tcPr>
          <w:p w14:paraId="7A2D3EC9" w14:textId="77777777" w:rsidR="001757B3" w:rsidRPr="007D003C" w:rsidRDefault="001757B3" w:rsidP="001757B3">
            <w:pPr>
              <w:spacing w:after="0" w:line="240" w:lineRule="auto"/>
              <w:rPr>
                <w:rFonts w:ascii="Arial" w:eastAsia="Times New Roman" w:hAnsi="Arial" w:cs="Arial"/>
                <w:b/>
                <w:bCs/>
                <w:color w:val="000000"/>
                <w:sz w:val="22"/>
                <w:szCs w:val="22"/>
                <w:lang w:eastAsia="en-GB"/>
              </w:rPr>
            </w:pPr>
            <w:r w:rsidRPr="007D003C">
              <w:rPr>
                <w:rFonts w:ascii="Arial" w:eastAsia="Times New Roman" w:hAnsi="Arial" w:cs="Arial"/>
                <w:b/>
                <w:bCs/>
                <w:color w:val="000000"/>
                <w:sz w:val="22"/>
                <w:szCs w:val="22"/>
                <w:lang w:eastAsia="en-GB"/>
              </w:rPr>
              <w:t>CR- Current Ratio</w:t>
            </w:r>
          </w:p>
        </w:tc>
        <w:tc>
          <w:tcPr>
            <w:tcW w:w="919" w:type="dxa"/>
            <w:tcBorders>
              <w:top w:val="nil"/>
              <w:left w:val="nil"/>
              <w:bottom w:val="single" w:sz="4" w:space="0" w:color="auto"/>
              <w:right w:val="single" w:sz="4" w:space="0" w:color="auto"/>
            </w:tcBorders>
            <w:shd w:val="clear" w:color="auto" w:fill="auto"/>
            <w:noWrap/>
            <w:vAlign w:val="center"/>
            <w:hideMark/>
          </w:tcPr>
          <w:p w14:paraId="34CEA539" w14:textId="77777777" w:rsidR="001757B3" w:rsidRPr="007D003C" w:rsidRDefault="001757B3" w:rsidP="001757B3">
            <w:pPr>
              <w:spacing w:after="0" w:line="240" w:lineRule="auto"/>
              <w:jc w:val="center"/>
              <w:rPr>
                <w:rFonts w:ascii="Arial" w:eastAsia="Times New Roman" w:hAnsi="Arial" w:cs="Arial"/>
                <w:color w:val="000000"/>
                <w:sz w:val="22"/>
                <w:szCs w:val="22"/>
                <w:lang w:eastAsia="en-GB"/>
              </w:rPr>
            </w:pPr>
            <w:r w:rsidRPr="007D003C">
              <w:rPr>
                <w:rFonts w:ascii="Arial" w:eastAsia="Times New Roman" w:hAnsi="Arial" w:cs="Arial"/>
                <w:color w:val="000000"/>
                <w:sz w:val="22"/>
                <w:szCs w:val="22"/>
                <w:lang w:eastAsia="en-GB"/>
              </w:rPr>
              <w:t>2.7:1</w:t>
            </w:r>
          </w:p>
        </w:tc>
        <w:tc>
          <w:tcPr>
            <w:tcW w:w="1007" w:type="dxa"/>
            <w:tcBorders>
              <w:top w:val="nil"/>
              <w:left w:val="nil"/>
              <w:bottom w:val="single" w:sz="4" w:space="0" w:color="auto"/>
              <w:right w:val="single" w:sz="4" w:space="0" w:color="auto"/>
            </w:tcBorders>
            <w:shd w:val="clear" w:color="auto" w:fill="auto"/>
            <w:noWrap/>
            <w:vAlign w:val="center"/>
            <w:hideMark/>
          </w:tcPr>
          <w:p w14:paraId="76A54D73" w14:textId="77777777" w:rsidR="001757B3" w:rsidRPr="007D003C" w:rsidRDefault="001757B3" w:rsidP="001757B3">
            <w:pPr>
              <w:spacing w:after="0" w:line="240" w:lineRule="auto"/>
              <w:jc w:val="center"/>
              <w:rPr>
                <w:rFonts w:ascii="Arial" w:eastAsia="Times New Roman" w:hAnsi="Arial" w:cs="Arial"/>
                <w:color w:val="000000"/>
                <w:sz w:val="22"/>
                <w:szCs w:val="22"/>
                <w:lang w:eastAsia="en-GB"/>
              </w:rPr>
            </w:pPr>
            <w:r w:rsidRPr="007D003C">
              <w:rPr>
                <w:rFonts w:ascii="Arial" w:eastAsia="Times New Roman" w:hAnsi="Arial" w:cs="Arial"/>
                <w:color w:val="000000"/>
                <w:sz w:val="22"/>
                <w:szCs w:val="22"/>
                <w:lang w:eastAsia="en-GB"/>
              </w:rPr>
              <w:t>2.8:1</w:t>
            </w:r>
          </w:p>
        </w:tc>
        <w:tc>
          <w:tcPr>
            <w:tcW w:w="990" w:type="dxa"/>
            <w:tcBorders>
              <w:top w:val="nil"/>
              <w:left w:val="nil"/>
              <w:bottom w:val="single" w:sz="4" w:space="0" w:color="auto"/>
              <w:right w:val="single" w:sz="4" w:space="0" w:color="auto"/>
            </w:tcBorders>
            <w:shd w:val="clear" w:color="auto" w:fill="auto"/>
            <w:noWrap/>
            <w:vAlign w:val="center"/>
            <w:hideMark/>
          </w:tcPr>
          <w:p w14:paraId="3E993B80" w14:textId="77777777" w:rsidR="001757B3" w:rsidRPr="007D003C" w:rsidRDefault="001757B3" w:rsidP="001757B3">
            <w:pPr>
              <w:spacing w:after="0" w:line="240" w:lineRule="auto"/>
              <w:jc w:val="center"/>
              <w:rPr>
                <w:rFonts w:ascii="Arial" w:eastAsia="Times New Roman" w:hAnsi="Arial" w:cs="Arial"/>
                <w:color w:val="000000"/>
                <w:sz w:val="22"/>
                <w:szCs w:val="22"/>
                <w:lang w:eastAsia="en-GB"/>
              </w:rPr>
            </w:pPr>
            <w:r w:rsidRPr="007D003C">
              <w:rPr>
                <w:rFonts w:ascii="Arial" w:eastAsia="Times New Roman" w:hAnsi="Arial" w:cs="Arial"/>
                <w:color w:val="000000"/>
                <w:sz w:val="22"/>
                <w:szCs w:val="22"/>
                <w:lang w:eastAsia="en-GB"/>
              </w:rPr>
              <w:t>2.8:1</w:t>
            </w:r>
          </w:p>
        </w:tc>
        <w:tc>
          <w:tcPr>
            <w:tcW w:w="866" w:type="dxa"/>
            <w:tcBorders>
              <w:top w:val="nil"/>
              <w:left w:val="nil"/>
              <w:bottom w:val="single" w:sz="4" w:space="0" w:color="auto"/>
              <w:right w:val="single" w:sz="4" w:space="0" w:color="auto"/>
            </w:tcBorders>
            <w:shd w:val="clear" w:color="auto" w:fill="auto"/>
            <w:noWrap/>
            <w:vAlign w:val="center"/>
            <w:hideMark/>
          </w:tcPr>
          <w:p w14:paraId="178C67C2" w14:textId="77777777" w:rsidR="001757B3" w:rsidRPr="007D003C" w:rsidRDefault="001757B3" w:rsidP="001757B3">
            <w:pPr>
              <w:spacing w:after="0" w:line="240" w:lineRule="auto"/>
              <w:jc w:val="center"/>
              <w:rPr>
                <w:rFonts w:ascii="Arial" w:eastAsia="Times New Roman" w:hAnsi="Arial" w:cs="Arial"/>
                <w:color w:val="000000"/>
                <w:sz w:val="22"/>
                <w:szCs w:val="22"/>
                <w:lang w:eastAsia="en-GB"/>
              </w:rPr>
            </w:pPr>
            <w:r w:rsidRPr="007D003C">
              <w:rPr>
                <w:rFonts w:ascii="Arial" w:eastAsia="Times New Roman" w:hAnsi="Arial" w:cs="Arial"/>
                <w:color w:val="000000"/>
                <w:sz w:val="22"/>
                <w:szCs w:val="22"/>
                <w:lang w:eastAsia="en-GB"/>
              </w:rPr>
              <w:t>2.3:1</w:t>
            </w:r>
          </w:p>
        </w:tc>
        <w:tc>
          <w:tcPr>
            <w:tcW w:w="1096" w:type="dxa"/>
            <w:tcBorders>
              <w:top w:val="nil"/>
              <w:left w:val="nil"/>
              <w:bottom w:val="single" w:sz="4" w:space="0" w:color="auto"/>
              <w:right w:val="single" w:sz="4" w:space="0" w:color="auto"/>
            </w:tcBorders>
            <w:shd w:val="clear" w:color="auto" w:fill="auto"/>
            <w:noWrap/>
            <w:vAlign w:val="center"/>
            <w:hideMark/>
          </w:tcPr>
          <w:p w14:paraId="0075312E" w14:textId="77777777" w:rsidR="001757B3" w:rsidRPr="007D003C" w:rsidRDefault="001757B3" w:rsidP="001757B3">
            <w:pPr>
              <w:spacing w:after="0" w:line="240" w:lineRule="auto"/>
              <w:jc w:val="center"/>
              <w:rPr>
                <w:rFonts w:ascii="Arial" w:eastAsia="Times New Roman" w:hAnsi="Arial" w:cs="Arial"/>
                <w:color w:val="000000"/>
                <w:sz w:val="22"/>
                <w:szCs w:val="22"/>
                <w:lang w:eastAsia="en-GB"/>
              </w:rPr>
            </w:pPr>
            <w:r w:rsidRPr="007D003C">
              <w:rPr>
                <w:rFonts w:ascii="Arial" w:eastAsia="Times New Roman" w:hAnsi="Arial" w:cs="Arial"/>
                <w:color w:val="000000"/>
                <w:sz w:val="22"/>
                <w:szCs w:val="22"/>
                <w:lang w:eastAsia="en-GB"/>
              </w:rPr>
              <w:t>2.1:1</w:t>
            </w:r>
          </w:p>
        </w:tc>
        <w:tc>
          <w:tcPr>
            <w:tcW w:w="1007" w:type="dxa"/>
            <w:tcBorders>
              <w:top w:val="nil"/>
              <w:left w:val="nil"/>
              <w:bottom w:val="single" w:sz="4" w:space="0" w:color="auto"/>
              <w:right w:val="single" w:sz="4" w:space="0" w:color="auto"/>
            </w:tcBorders>
            <w:shd w:val="clear" w:color="auto" w:fill="auto"/>
            <w:noWrap/>
            <w:vAlign w:val="center"/>
            <w:hideMark/>
          </w:tcPr>
          <w:p w14:paraId="2AEC71ED" w14:textId="77777777" w:rsidR="001757B3" w:rsidRPr="007D003C" w:rsidRDefault="001757B3" w:rsidP="001757B3">
            <w:pPr>
              <w:spacing w:after="0" w:line="240" w:lineRule="auto"/>
              <w:jc w:val="center"/>
              <w:rPr>
                <w:rFonts w:ascii="Arial" w:eastAsia="Times New Roman" w:hAnsi="Arial" w:cs="Arial"/>
                <w:color w:val="000000"/>
                <w:sz w:val="22"/>
                <w:szCs w:val="22"/>
                <w:lang w:eastAsia="en-GB"/>
              </w:rPr>
            </w:pPr>
            <w:r w:rsidRPr="007D003C">
              <w:rPr>
                <w:rFonts w:ascii="Arial" w:eastAsia="Times New Roman" w:hAnsi="Arial" w:cs="Arial"/>
                <w:color w:val="000000"/>
                <w:sz w:val="22"/>
                <w:szCs w:val="22"/>
                <w:lang w:eastAsia="en-GB"/>
              </w:rPr>
              <w:t>2.1:1</w:t>
            </w:r>
          </w:p>
        </w:tc>
        <w:tc>
          <w:tcPr>
            <w:tcW w:w="848" w:type="dxa"/>
            <w:tcBorders>
              <w:top w:val="nil"/>
              <w:left w:val="nil"/>
              <w:bottom w:val="single" w:sz="4" w:space="0" w:color="auto"/>
              <w:right w:val="single" w:sz="4" w:space="0" w:color="auto"/>
            </w:tcBorders>
            <w:shd w:val="clear" w:color="auto" w:fill="auto"/>
            <w:noWrap/>
            <w:vAlign w:val="center"/>
            <w:hideMark/>
          </w:tcPr>
          <w:p w14:paraId="4BDB5E20" w14:textId="77777777" w:rsidR="001757B3" w:rsidRPr="007D003C" w:rsidRDefault="001757B3" w:rsidP="001757B3">
            <w:pPr>
              <w:spacing w:after="0" w:line="240" w:lineRule="auto"/>
              <w:jc w:val="center"/>
              <w:rPr>
                <w:rFonts w:ascii="Arial" w:eastAsia="Times New Roman" w:hAnsi="Arial" w:cs="Arial"/>
                <w:color w:val="000000"/>
                <w:sz w:val="22"/>
                <w:szCs w:val="22"/>
                <w:lang w:eastAsia="en-GB"/>
              </w:rPr>
            </w:pPr>
            <w:r w:rsidRPr="007D003C">
              <w:rPr>
                <w:rFonts w:ascii="Arial" w:eastAsia="Times New Roman" w:hAnsi="Arial" w:cs="Arial"/>
                <w:color w:val="000000"/>
                <w:sz w:val="22"/>
                <w:szCs w:val="22"/>
                <w:lang w:eastAsia="en-GB"/>
              </w:rPr>
              <w:t>2.4:1</w:t>
            </w:r>
          </w:p>
        </w:tc>
        <w:tc>
          <w:tcPr>
            <w:tcW w:w="1467" w:type="dxa"/>
            <w:tcBorders>
              <w:top w:val="nil"/>
              <w:left w:val="nil"/>
              <w:bottom w:val="single" w:sz="4" w:space="0" w:color="auto"/>
              <w:right w:val="single" w:sz="4" w:space="0" w:color="auto"/>
            </w:tcBorders>
            <w:shd w:val="clear" w:color="auto" w:fill="auto"/>
            <w:noWrap/>
            <w:vAlign w:val="center"/>
            <w:hideMark/>
          </w:tcPr>
          <w:p w14:paraId="39B6CC7A" w14:textId="77777777" w:rsidR="001757B3" w:rsidRPr="007D003C" w:rsidRDefault="001757B3" w:rsidP="001757B3">
            <w:pPr>
              <w:spacing w:after="0" w:line="240" w:lineRule="auto"/>
              <w:jc w:val="center"/>
              <w:rPr>
                <w:rFonts w:ascii="Arial" w:eastAsia="Times New Roman" w:hAnsi="Arial" w:cs="Arial"/>
                <w:color w:val="000000"/>
                <w:sz w:val="22"/>
                <w:szCs w:val="22"/>
                <w:lang w:eastAsia="en-GB"/>
              </w:rPr>
            </w:pPr>
            <w:r w:rsidRPr="007D003C">
              <w:rPr>
                <w:rFonts w:ascii="Arial" w:eastAsia="Times New Roman" w:hAnsi="Arial" w:cs="Arial"/>
                <w:color w:val="000000"/>
                <w:sz w:val="22"/>
                <w:szCs w:val="22"/>
                <w:lang w:eastAsia="en-GB"/>
              </w:rPr>
              <w:t>0.91:1</w:t>
            </w:r>
          </w:p>
        </w:tc>
      </w:tr>
      <w:tr w:rsidR="00EA6C3B" w:rsidRPr="007D003C" w14:paraId="174F76EA" w14:textId="77777777" w:rsidTr="00EA6C3B">
        <w:trPr>
          <w:trHeight w:val="541"/>
        </w:trPr>
        <w:tc>
          <w:tcPr>
            <w:tcW w:w="1467" w:type="dxa"/>
            <w:tcBorders>
              <w:top w:val="nil"/>
              <w:left w:val="single" w:sz="4" w:space="0" w:color="auto"/>
              <w:bottom w:val="single" w:sz="4" w:space="0" w:color="auto"/>
              <w:right w:val="single" w:sz="4" w:space="0" w:color="auto"/>
            </w:tcBorders>
            <w:shd w:val="clear" w:color="auto" w:fill="auto"/>
            <w:vAlign w:val="center"/>
            <w:hideMark/>
          </w:tcPr>
          <w:p w14:paraId="0C122DC5" w14:textId="77777777" w:rsidR="001757B3" w:rsidRPr="007D003C" w:rsidRDefault="001757B3" w:rsidP="001757B3">
            <w:pPr>
              <w:spacing w:after="0" w:line="240" w:lineRule="auto"/>
              <w:rPr>
                <w:rFonts w:ascii="Arial" w:eastAsia="Times New Roman" w:hAnsi="Arial" w:cs="Arial"/>
                <w:b/>
                <w:bCs/>
                <w:color w:val="000000"/>
                <w:sz w:val="22"/>
                <w:szCs w:val="22"/>
                <w:lang w:eastAsia="en-GB"/>
              </w:rPr>
            </w:pPr>
            <w:r w:rsidRPr="007D003C">
              <w:rPr>
                <w:rFonts w:ascii="Arial" w:eastAsia="Times New Roman" w:hAnsi="Arial" w:cs="Arial"/>
                <w:b/>
                <w:bCs/>
                <w:color w:val="000000"/>
                <w:sz w:val="22"/>
                <w:szCs w:val="22"/>
                <w:lang w:eastAsia="en-GB"/>
              </w:rPr>
              <w:t>QR -Quick Ratio</w:t>
            </w:r>
          </w:p>
        </w:tc>
        <w:tc>
          <w:tcPr>
            <w:tcW w:w="919" w:type="dxa"/>
            <w:tcBorders>
              <w:top w:val="nil"/>
              <w:left w:val="nil"/>
              <w:bottom w:val="single" w:sz="4" w:space="0" w:color="auto"/>
              <w:right w:val="single" w:sz="4" w:space="0" w:color="auto"/>
            </w:tcBorders>
            <w:shd w:val="clear" w:color="auto" w:fill="auto"/>
            <w:noWrap/>
            <w:vAlign w:val="center"/>
            <w:hideMark/>
          </w:tcPr>
          <w:p w14:paraId="30729C9C" w14:textId="77777777" w:rsidR="001757B3" w:rsidRPr="007D003C" w:rsidRDefault="001757B3" w:rsidP="001757B3">
            <w:pPr>
              <w:spacing w:after="0" w:line="240" w:lineRule="auto"/>
              <w:jc w:val="center"/>
              <w:rPr>
                <w:rFonts w:ascii="Arial" w:eastAsia="Times New Roman" w:hAnsi="Arial" w:cs="Arial"/>
                <w:color w:val="000000"/>
                <w:sz w:val="22"/>
                <w:szCs w:val="22"/>
                <w:lang w:eastAsia="en-GB"/>
              </w:rPr>
            </w:pPr>
            <w:r w:rsidRPr="007D003C">
              <w:rPr>
                <w:rFonts w:ascii="Arial" w:eastAsia="Times New Roman" w:hAnsi="Arial" w:cs="Arial"/>
                <w:color w:val="000000"/>
                <w:sz w:val="22"/>
                <w:szCs w:val="22"/>
                <w:lang w:eastAsia="en-GB"/>
              </w:rPr>
              <w:t>0.9:1</w:t>
            </w:r>
          </w:p>
        </w:tc>
        <w:tc>
          <w:tcPr>
            <w:tcW w:w="1007" w:type="dxa"/>
            <w:tcBorders>
              <w:top w:val="nil"/>
              <w:left w:val="nil"/>
              <w:bottom w:val="single" w:sz="4" w:space="0" w:color="auto"/>
              <w:right w:val="single" w:sz="4" w:space="0" w:color="auto"/>
            </w:tcBorders>
            <w:shd w:val="clear" w:color="auto" w:fill="auto"/>
            <w:noWrap/>
            <w:vAlign w:val="center"/>
            <w:hideMark/>
          </w:tcPr>
          <w:p w14:paraId="37EECF6F" w14:textId="77777777" w:rsidR="001757B3" w:rsidRPr="007D003C" w:rsidRDefault="001757B3" w:rsidP="001757B3">
            <w:pPr>
              <w:spacing w:after="0" w:line="240" w:lineRule="auto"/>
              <w:jc w:val="center"/>
              <w:rPr>
                <w:rFonts w:ascii="Arial" w:eastAsia="Times New Roman" w:hAnsi="Arial" w:cs="Arial"/>
                <w:color w:val="000000"/>
                <w:sz w:val="22"/>
                <w:szCs w:val="22"/>
                <w:lang w:eastAsia="en-GB"/>
              </w:rPr>
            </w:pPr>
            <w:r w:rsidRPr="007D003C">
              <w:rPr>
                <w:rFonts w:ascii="Arial" w:eastAsia="Times New Roman" w:hAnsi="Arial" w:cs="Arial"/>
                <w:color w:val="000000"/>
                <w:sz w:val="22"/>
                <w:szCs w:val="22"/>
                <w:lang w:eastAsia="en-GB"/>
              </w:rPr>
              <w:t>0.9:1</w:t>
            </w:r>
          </w:p>
        </w:tc>
        <w:tc>
          <w:tcPr>
            <w:tcW w:w="990" w:type="dxa"/>
            <w:tcBorders>
              <w:top w:val="nil"/>
              <w:left w:val="nil"/>
              <w:bottom w:val="single" w:sz="4" w:space="0" w:color="auto"/>
              <w:right w:val="single" w:sz="4" w:space="0" w:color="auto"/>
            </w:tcBorders>
            <w:shd w:val="clear" w:color="auto" w:fill="auto"/>
            <w:noWrap/>
            <w:vAlign w:val="center"/>
            <w:hideMark/>
          </w:tcPr>
          <w:p w14:paraId="5F98A918" w14:textId="77777777" w:rsidR="001757B3" w:rsidRPr="007D003C" w:rsidRDefault="001757B3" w:rsidP="001757B3">
            <w:pPr>
              <w:spacing w:after="0" w:line="240" w:lineRule="auto"/>
              <w:jc w:val="center"/>
              <w:rPr>
                <w:rFonts w:ascii="Arial" w:eastAsia="Times New Roman" w:hAnsi="Arial" w:cs="Arial"/>
                <w:color w:val="000000"/>
                <w:sz w:val="22"/>
                <w:szCs w:val="22"/>
                <w:lang w:eastAsia="en-GB"/>
              </w:rPr>
            </w:pPr>
            <w:r w:rsidRPr="007D003C">
              <w:rPr>
                <w:rFonts w:ascii="Arial" w:eastAsia="Times New Roman" w:hAnsi="Arial" w:cs="Arial"/>
                <w:color w:val="000000"/>
                <w:sz w:val="22"/>
                <w:szCs w:val="22"/>
                <w:lang w:eastAsia="en-GB"/>
              </w:rPr>
              <w:t>0.5:1</w:t>
            </w:r>
          </w:p>
        </w:tc>
        <w:tc>
          <w:tcPr>
            <w:tcW w:w="866" w:type="dxa"/>
            <w:tcBorders>
              <w:top w:val="nil"/>
              <w:left w:val="nil"/>
              <w:bottom w:val="single" w:sz="4" w:space="0" w:color="auto"/>
              <w:right w:val="single" w:sz="4" w:space="0" w:color="auto"/>
            </w:tcBorders>
            <w:shd w:val="clear" w:color="auto" w:fill="auto"/>
            <w:noWrap/>
            <w:vAlign w:val="center"/>
            <w:hideMark/>
          </w:tcPr>
          <w:p w14:paraId="7E9BDA67" w14:textId="77777777" w:rsidR="001757B3" w:rsidRPr="007D003C" w:rsidRDefault="001757B3" w:rsidP="001757B3">
            <w:pPr>
              <w:spacing w:after="0" w:line="240" w:lineRule="auto"/>
              <w:jc w:val="center"/>
              <w:rPr>
                <w:rFonts w:ascii="Arial" w:eastAsia="Times New Roman" w:hAnsi="Arial" w:cs="Arial"/>
                <w:color w:val="000000"/>
                <w:sz w:val="22"/>
                <w:szCs w:val="22"/>
                <w:lang w:eastAsia="en-GB"/>
              </w:rPr>
            </w:pPr>
            <w:r w:rsidRPr="007D003C">
              <w:rPr>
                <w:rFonts w:ascii="Arial" w:eastAsia="Times New Roman" w:hAnsi="Arial" w:cs="Arial"/>
                <w:color w:val="000000"/>
                <w:sz w:val="22"/>
                <w:szCs w:val="22"/>
                <w:lang w:eastAsia="en-GB"/>
              </w:rPr>
              <w:t>0.3:1</w:t>
            </w:r>
          </w:p>
        </w:tc>
        <w:tc>
          <w:tcPr>
            <w:tcW w:w="1096" w:type="dxa"/>
            <w:tcBorders>
              <w:top w:val="nil"/>
              <w:left w:val="nil"/>
              <w:bottom w:val="single" w:sz="4" w:space="0" w:color="auto"/>
              <w:right w:val="single" w:sz="4" w:space="0" w:color="auto"/>
            </w:tcBorders>
            <w:shd w:val="clear" w:color="auto" w:fill="auto"/>
            <w:noWrap/>
            <w:vAlign w:val="center"/>
            <w:hideMark/>
          </w:tcPr>
          <w:p w14:paraId="3C1695B5" w14:textId="77777777" w:rsidR="001757B3" w:rsidRPr="007D003C" w:rsidRDefault="001757B3" w:rsidP="001757B3">
            <w:pPr>
              <w:spacing w:after="0" w:line="240" w:lineRule="auto"/>
              <w:jc w:val="center"/>
              <w:rPr>
                <w:rFonts w:ascii="Arial" w:eastAsia="Times New Roman" w:hAnsi="Arial" w:cs="Arial"/>
                <w:color w:val="000000"/>
                <w:sz w:val="22"/>
                <w:szCs w:val="22"/>
                <w:lang w:eastAsia="en-GB"/>
              </w:rPr>
            </w:pPr>
            <w:r w:rsidRPr="007D003C">
              <w:rPr>
                <w:rFonts w:ascii="Arial" w:eastAsia="Times New Roman" w:hAnsi="Arial" w:cs="Arial"/>
                <w:color w:val="000000"/>
                <w:sz w:val="22"/>
                <w:szCs w:val="22"/>
                <w:lang w:eastAsia="en-GB"/>
              </w:rPr>
              <w:t>0.4:1</w:t>
            </w:r>
          </w:p>
        </w:tc>
        <w:tc>
          <w:tcPr>
            <w:tcW w:w="1007" w:type="dxa"/>
            <w:tcBorders>
              <w:top w:val="nil"/>
              <w:left w:val="nil"/>
              <w:bottom w:val="single" w:sz="4" w:space="0" w:color="auto"/>
              <w:right w:val="single" w:sz="4" w:space="0" w:color="auto"/>
            </w:tcBorders>
            <w:shd w:val="clear" w:color="auto" w:fill="auto"/>
            <w:noWrap/>
            <w:vAlign w:val="center"/>
            <w:hideMark/>
          </w:tcPr>
          <w:p w14:paraId="497A16FF" w14:textId="77777777" w:rsidR="001757B3" w:rsidRPr="007D003C" w:rsidRDefault="001757B3" w:rsidP="001757B3">
            <w:pPr>
              <w:spacing w:after="0" w:line="240" w:lineRule="auto"/>
              <w:jc w:val="center"/>
              <w:rPr>
                <w:rFonts w:ascii="Arial" w:eastAsia="Times New Roman" w:hAnsi="Arial" w:cs="Arial"/>
                <w:color w:val="000000"/>
                <w:sz w:val="22"/>
                <w:szCs w:val="22"/>
                <w:lang w:eastAsia="en-GB"/>
              </w:rPr>
            </w:pPr>
            <w:r w:rsidRPr="007D003C">
              <w:rPr>
                <w:rFonts w:ascii="Arial" w:eastAsia="Times New Roman" w:hAnsi="Arial" w:cs="Arial"/>
                <w:color w:val="000000"/>
                <w:sz w:val="22"/>
                <w:szCs w:val="22"/>
                <w:lang w:eastAsia="en-GB"/>
              </w:rPr>
              <w:t>0.6:1</w:t>
            </w:r>
          </w:p>
        </w:tc>
        <w:tc>
          <w:tcPr>
            <w:tcW w:w="848" w:type="dxa"/>
            <w:tcBorders>
              <w:top w:val="nil"/>
              <w:left w:val="nil"/>
              <w:bottom w:val="single" w:sz="4" w:space="0" w:color="auto"/>
              <w:right w:val="single" w:sz="4" w:space="0" w:color="auto"/>
            </w:tcBorders>
            <w:shd w:val="clear" w:color="auto" w:fill="auto"/>
            <w:noWrap/>
            <w:vAlign w:val="center"/>
            <w:hideMark/>
          </w:tcPr>
          <w:p w14:paraId="6BD11119" w14:textId="77777777" w:rsidR="001757B3" w:rsidRPr="007D003C" w:rsidRDefault="001757B3" w:rsidP="001757B3">
            <w:pPr>
              <w:spacing w:after="0" w:line="240" w:lineRule="auto"/>
              <w:jc w:val="center"/>
              <w:rPr>
                <w:rFonts w:ascii="Arial" w:eastAsia="Times New Roman" w:hAnsi="Arial" w:cs="Arial"/>
                <w:color w:val="000000"/>
                <w:sz w:val="22"/>
                <w:szCs w:val="22"/>
                <w:lang w:eastAsia="en-GB"/>
              </w:rPr>
            </w:pPr>
            <w:r w:rsidRPr="007D003C">
              <w:rPr>
                <w:rFonts w:ascii="Arial" w:eastAsia="Times New Roman" w:hAnsi="Arial" w:cs="Arial"/>
                <w:color w:val="000000"/>
                <w:sz w:val="22"/>
                <w:szCs w:val="22"/>
                <w:lang w:eastAsia="en-GB"/>
              </w:rPr>
              <w:t>0.6:1</w:t>
            </w:r>
          </w:p>
        </w:tc>
        <w:tc>
          <w:tcPr>
            <w:tcW w:w="1467" w:type="dxa"/>
            <w:tcBorders>
              <w:top w:val="nil"/>
              <w:left w:val="nil"/>
              <w:bottom w:val="single" w:sz="4" w:space="0" w:color="auto"/>
              <w:right w:val="single" w:sz="4" w:space="0" w:color="auto"/>
            </w:tcBorders>
            <w:shd w:val="clear" w:color="auto" w:fill="auto"/>
            <w:vAlign w:val="center"/>
            <w:hideMark/>
          </w:tcPr>
          <w:p w14:paraId="4E89CB77" w14:textId="77777777" w:rsidR="001757B3" w:rsidRPr="007D003C" w:rsidRDefault="001757B3" w:rsidP="001757B3">
            <w:pPr>
              <w:spacing w:after="0" w:line="240" w:lineRule="auto"/>
              <w:jc w:val="center"/>
              <w:rPr>
                <w:rFonts w:ascii="Arial" w:eastAsia="Times New Roman" w:hAnsi="Arial" w:cs="Arial"/>
                <w:color w:val="000000"/>
                <w:sz w:val="22"/>
                <w:szCs w:val="22"/>
                <w:lang w:eastAsia="en-GB"/>
              </w:rPr>
            </w:pPr>
            <w:r w:rsidRPr="007D003C">
              <w:rPr>
                <w:rFonts w:ascii="Arial" w:eastAsia="Times New Roman" w:hAnsi="Arial" w:cs="Arial"/>
                <w:color w:val="000000"/>
                <w:sz w:val="22"/>
                <w:szCs w:val="22"/>
                <w:lang w:eastAsia="en-GB"/>
              </w:rPr>
              <w:t>0.87:1</w:t>
            </w:r>
          </w:p>
        </w:tc>
      </w:tr>
      <w:tr w:rsidR="00EA6C3B" w:rsidRPr="007D003C" w14:paraId="6473CFD9" w14:textId="77777777" w:rsidTr="00EA6C3B">
        <w:trPr>
          <w:trHeight w:val="227"/>
        </w:trPr>
        <w:tc>
          <w:tcPr>
            <w:tcW w:w="1467" w:type="dxa"/>
            <w:tcBorders>
              <w:top w:val="nil"/>
              <w:left w:val="single" w:sz="4" w:space="0" w:color="auto"/>
              <w:bottom w:val="single" w:sz="4" w:space="0" w:color="auto"/>
              <w:right w:val="single" w:sz="4" w:space="0" w:color="auto"/>
            </w:tcBorders>
            <w:shd w:val="clear" w:color="auto" w:fill="auto"/>
            <w:vAlign w:val="center"/>
            <w:hideMark/>
          </w:tcPr>
          <w:p w14:paraId="5E91AAF3" w14:textId="77777777" w:rsidR="001757B3" w:rsidRPr="007D003C" w:rsidRDefault="001757B3" w:rsidP="001757B3">
            <w:pPr>
              <w:spacing w:after="0" w:line="240" w:lineRule="auto"/>
              <w:rPr>
                <w:rFonts w:ascii="Arial" w:eastAsia="Times New Roman" w:hAnsi="Arial" w:cs="Arial"/>
                <w:b/>
                <w:bCs/>
                <w:color w:val="000000"/>
                <w:sz w:val="22"/>
                <w:szCs w:val="22"/>
                <w:lang w:eastAsia="en-GB"/>
              </w:rPr>
            </w:pPr>
            <w:r w:rsidRPr="007D003C">
              <w:rPr>
                <w:rFonts w:ascii="Arial" w:eastAsia="Times New Roman" w:hAnsi="Arial" w:cs="Arial"/>
                <w:b/>
                <w:bCs/>
                <w:color w:val="000000"/>
                <w:sz w:val="22"/>
                <w:szCs w:val="22"/>
                <w:lang w:eastAsia="en-GB"/>
              </w:rPr>
              <w:t>Working Capital/ (£m)</w:t>
            </w:r>
          </w:p>
        </w:tc>
        <w:tc>
          <w:tcPr>
            <w:tcW w:w="919" w:type="dxa"/>
            <w:tcBorders>
              <w:top w:val="nil"/>
              <w:left w:val="nil"/>
              <w:bottom w:val="single" w:sz="4" w:space="0" w:color="auto"/>
              <w:right w:val="single" w:sz="4" w:space="0" w:color="auto"/>
            </w:tcBorders>
            <w:shd w:val="clear" w:color="auto" w:fill="auto"/>
            <w:noWrap/>
            <w:vAlign w:val="center"/>
            <w:hideMark/>
          </w:tcPr>
          <w:p w14:paraId="1558121C" w14:textId="77777777" w:rsidR="001757B3" w:rsidRPr="007D003C" w:rsidRDefault="001757B3" w:rsidP="001757B3">
            <w:pPr>
              <w:spacing w:after="0" w:line="240" w:lineRule="auto"/>
              <w:jc w:val="center"/>
              <w:rPr>
                <w:rFonts w:ascii="Arial" w:eastAsia="Times New Roman" w:hAnsi="Arial" w:cs="Arial"/>
                <w:color w:val="000000"/>
                <w:sz w:val="22"/>
                <w:szCs w:val="22"/>
                <w:lang w:eastAsia="en-GB"/>
              </w:rPr>
            </w:pPr>
            <w:r w:rsidRPr="007D003C">
              <w:rPr>
                <w:rFonts w:ascii="Arial" w:eastAsia="Times New Roman" w:hAnsi="Arial" w:cs="Arial"/>
                <w:color w:val="000000"/>
                <w:sz w:val="22"/>
                <w:szCs w:val="22"/>
                <w:lang w:eastAsia="en-GB"/>
              </w:rPr>
              <w:t>2,944</w:t>
            </w:r>
          </w:p>
        </w:tc>
        <w:tc>
          <w:tcPr>
            <w:tcW w:w="1007" w:type="dxa"/>
            <w:tcBorders>
              <w:top w:val="nil"/>
              <w:left w:val="nil"/>
              <w:bottom w:val="single" w:sz="4" w:space="0" w:color="auto"/>
              <w:right w:val="single" w:sz="4" w:space="0" w:color="auto"/>
            </w:tcBorders>
            <w:shd w:val="clear" w:color="auto" w:fill="auto"/>
            <w:noWrap/>
            <w:vAlign w:val="center"/>
            <w:hideMark/>
          </w:tcPr>
          <w:p w14:paraId="6EBB69E0" w14:textId="77777777" w:rsidR="001757B3" w:rsidRPr="007D003C" w:rsidRDefault="001757B3" w:rsidP="001757B3">
            <w:pPr>
              <w:spacing w:after="0" w:line="240" w:lineRule="auto"/>
              <w:jc w:val="center"/>
              <w:rPr>
                <w:rFonts w:ascii="Arial" w:eastAsia="Times New Roman" w:hAnsi="Arial" w:cs="Arial"/>
                <w:color w:val="000000"/>
                <w:sz w:val="22"/>
                <w:szCs w:val="22"/>
                <w:lang w:eastAsia="en-GB"/>
              </w:rPr>
            </w:pPr>
            <w:r w:rsidRPr="007D003C">
              <w:rPr>
                <w:rFonts w:ascii="Arial" w:eastAsia="Times New Roman" w:hAnsi="Arial" w:cs="Arial"/>
                <w:color w:val="000000"/>
                <w:sz w:val="22"/>
                <w:szCs w:val="22"/>
                <w:lang w:eastAsia="en-GB"/>
              </w:rPr>
              <w:t>2,883</w:t>
            </w:r>
          </w:p>
        </w:tc>
        <w:tc>
          <w:tcPr>
            <w:tcW w:w="990" w:type="dxa"/>
            <w:tcBorders>
              <w:top w:val="nil"/>
              <w:left w:val="nil"/>
              <w:bottom w:val="single" w:sz="4" w:space="0" w:color="auto"/>
              <w:right w:val="single" w:sz="4" w:space="0" w:color="auto"/>
            </w:tcBorders>
            <w:shd w:val="clear" w:color="auto" w:fill="auto"/>
            <w:noWrap/>
            <w:vAlign w:val="center"/>
            <w:hideMark/>
          </w:tcPr>
          <w:p w14:paraId="26D9AEF0" w14:textId="77777777" w:rsidR="001757B3" w:rsidRPr="007D003C" w:rsidRDefault="001757B3" w:rsidP="001757B3">
            <w:pPr>
              <w:spacing w:after="0" w:line="240" w:lineRule="auto"/>
              <w:jc w:val="center"/>
              <w:rPr>
                <w:rFonts w:ascii="Arial" w:eastAsia="Times New Roman" w:hAnsi="Arial" w:cs="Arial"/>
                <w:color w:val="000000"/>
                <w:sz w:val="22"/>
                <w:szCs w:val="22"/>
                <w:lang w:eastAsia="en-GB"/>
              </w:rPr>
            </w:pPr>
            <w:r w:rsidRPr="007D003C">
              <w:rPr>
                <w:rFonts w:ascii="Arial" w:eastAsia="Times New Roman" w:hAnsi="Arial" w:cs="Arial"/>
                <w:color w:val="000000"/>
                <w:sz w:val="22"/>
                <w:szCs w:val="22"/>
                <w:lang w:eastAsia="en-GB"/>
              </w:rPr>
              <w:t>3,051</w:t>
            </w:r>
          </w:p>
        </w:tc>
        <w:tc>
          <w:tcPr>
            <w:tcW w:w="866" w:type="dxa"/>
            <w:tcBorders>
              <w:top w:val="nil"/>
              <w:left w:val="nil"/>
              <w:bottom w:val="single" w:sz="4" w:space="0" w:color="auto"/>
              <w:right w:val="single" w:sz="4" w:space="0" w:color="auto"/>
            </w:tcBorders>
            <w:shd w:val="clear" w:color="auto" w:fill="auto"/>
            <w:noWrap/>
            <w:vAlign w:val="center"/>
            <w:hideMark/>
          </w:tcPr>
          <w:p w14:paraId="0818EAB5" w14:textId="77777777" w:rsidR="001757B3" w:rsidRPr="007D003C" w:rsidRDefault="001757B3" w:rsidP="001757B3">
            <w:pPr>
              <w:spacing w:after="0" w:line="240" w:lineRule="auto"/>
              <w:jc w:val="center"/>
              <w:rPr>
                <w:rFonts w:ascii="Arial" w:eastAsia="Times New Roman" w:hAnsi="Arial" w:cs="Arial"/>
                <w:color w:val="000000"/>
                <w:sz w:val="22"/>
                <w:szCs w:val="22"/>
                <w:lang w:eastAsia="en-GB"/>
              </w:rPr>
            </w:pPr>
            <w:r w:rsidRPr="007D003C">
              <w:rPr>
                <w:rFonts w:ascii="Arial" w:eastAsia="Times New Roman" w:hAnsi="Arial" w:cs="Arial"/>
                <w:color w:val="000000"/>
                <w:sz w:val="22"/>
                <w:szCs w:val="22"/>
                <w:lang w:eastAsia="en-GB"/>
              </w:rPr>
              <w:t>2,579</w:t>
            </w:r>
          </w:p>
        </w:tc>
        <w:tc>
          <w:tcPr>
            <w:tcW w:w="1096" w:type="dxa"/>
            <w:tcBorders>
              <w:top w:val="nil"/>
              <w:left w:val="nil"/>
              <w:bottom w:val="single" w:sz="4" w:space="0" w:color="auto"/>
              <w:right w:val="single" w:sz="4" w:space="0" w:color="auto"/>
            </w:tcBorders>
            <w:shd w:val="clear" w:color="auto" w:fill="auto"/>
            <w:noWrap/>
            <w:vAlign w:val="center"/>
            <w:hideMark/>
          </w:tcPr>
          <w:p w14:paraId="3EF0DA1A" w14:textId="77777777" w:rsidR="001757B3" w:rsidRPr="007D003C" w:rsidRDefault="001757B3" w:rsidP="001757B3">
            <w:pPr>
              <w:spacing w:after="0" w:line="240" w:lineRule="auto"/>
              <w:jc w:val="center"/>
              <w:rPr>
                <w:rFonts w:ascii="Arial" w:eastAsia="Times New Roman" w:hAnsi="Arial" w:cs="Arial"/>
                <w:color w:val="000000"/>
                <w:sz w:val="22"/>
                <w:szCs w:val="22"/>
                <w:lang w:eastAsia="en-GB"/>
              </w:rPr>
            </w:pPr>
            <w:r w:rsidRPr="007D003C">
              <w:rPr>
                <w:rFonts w:ascii="Arial" w:eastAsia="Times New Roman" w:hAnsi="Arial" w:cs="Arial"/>
                <w:color w:val="000000"/>
                <w:sz w:val="22"/>
                <w:szCs w:val="22"/>
                <w:lang w:eastAsia="en-GB"/>
              </w:rPr>
              <w:t>1,971</w:t>
            </w:r>
          </w:p>
        </w:tc>
        <w:tc>
          <w:tcPr>
            <w:tcW w:w="1007" w:type="dxa"/>
            <w:tcBorders>
              <w:top w:val="nil"/>
              <w:left w:val="nil"/>
              <w:bottom w:val="single" w:sz="4" w:space="0" w:color="auto"/>
              <w:right w:val="single" w:sz="4" w:space="0" w:color="auto"/>
            </w:tcBorders>
            <w:shd w:val="clear" w:color="auto" w:fill="auto"/>
            <w:noWrap/>
            <w:vAlign w:val="center"/>
            <w:hideMark/>
          </w:tcPr>
          <w:p w14:paraId="38EBE1B3" w14:textId="77777777" w:rsidR="001757B3" w:rsidRPr="007D003C" w:rsidRDefault="001757B3" w:rsidP="001757B3">
            <w:pPr>
              <w:spacing w:after="0" w:line="240" w:lineRule="auto"/>
              <w:jc w:val="center"/>
              <w:rPr>
                <w:rFonts w:ascii="Arial" w:eastAsia="Times New Roman" w:hAnsi="Arial" w:cs="Arial"/>
                <w:color w:val="000000"/>
                <w:sz w:val="22"/>
                <w:szCs w:val="22"/>
                <w:lang w:eastAsia="en-GB"/>
              </w:rPr>
            </w:pPr>
            <w:r w:rsidRPr="007D003C">
              <w:rPr>
                <w:rFonts w:ascii="Arial" w:eastAsia="Times New Roman" w:hAnsi="Arial" w:cs="Arial"/>
                <w:color w:val="000000"/>
                <w:sz w:val="22"/>
                <w:szCs w:val="22"/>
                <w:lang w:eastAsia="en-GB"/>
              </w:rPr>
              <w:t>1,655</w:t>
            </w:r>
          </w:p>
        </w:tc>
        <w:tc>
          <w:tcPr>
            <w:tcW w:w="848" w:type="dxa"/>
            <w:tcBorders>
              <w:top w:val="nil"/>
              <w:left w:val="nil"/>
              <w:bottom w:val="single" w:sz="4" w:space="0" w:color="auto"/>
              <w:right w:val="single" w:sz="4" w:space="0" w:color="auto"/>
            </w:tcBorders>
            <w:shd w:val="clear" w:color="auto" w:fill="auto"/>
            <w:noWrap/>
            <w:vAlign w:val="center"/>
            <w:hideMark/>
          </w:tcPr>
          <w:p w14:paraId="4C3E6A17" w14:textId="77777777" w:rsidR="001757B3" w:rsidRPr="007D003C" w:rsidRDefault="001757B3" w:rsidP="001757B3">
            <w:pPr>
              <w:spacing w:after="0" w:line="240" w:lineRule="auto"/>
              <w:jc w:val="center"/>
              <w:rPr>
                <w:rFonts w:ascii="Arial" w:eastAsia="Times New Roman" w:hAnsi="Arial" w:cs="Arial"/>
                <w:color w:val="000000"/>
                <w:sz w:val="22"/>
                <w:szCs w:val="22"/>
                <w:lang w:eastAsia="en-GB"/>
              </w:rPr>
            </w:pPr>
            <w:r w:rsidRPr="007D003C">
              <w:rPr>
                <w:rFonts w:ascii="Arial" w:eastAsia="Times New Roman" w:hAnsi="Arial" w:cs="Arial"/>
                <w:color w:val="000000"/>
                <w:sz w:val="22"/>
                <w:szCs w:val="22"/>
                <w:lang w:eastAsia="en-GB"/>
              </w:rPr>
              <w:t>2,621</w:t>
            </w:r>
          </w:p>
        </w:tc>
        <w:tc>
          <w:tcPr>
            <w:tcW w:w="1467" w:type="dxa"/>
            <w:tcBorders>
              <w:top w:val="nil"/>
              <w:left w:val="nil"/>
              <w:bottom w:val="single" w:sz="4" w:space="0" w:color="auto"/>
              <w:right w:val="single" w:sz="4" w:space="0" w:color="auto"/>
            </w:tcBorders>
            <w:shd w:val="clear" w:color="auto" w:fill="auto"/>
            <w:noWrap/>
            <w:vAlign w:val="center"/>
            <w:hideMark/>
          </w:tcPr>
          <w:p w14:paraId="1178DAEF" w14:textId="77777777" w:rsidR="001757B3" w:rsidRPr="007D003C" w:rsidRDefault="001757B3" w:rsidP="001757B3">
            <w:pPr>
              <w:spacing w:after="0" w:line="240" w:lineRule="auto"/>
              <w:jc w:val="center"/>
              <w:rPr>
                <w:rFonts w:ascii="Arial" w:eastAsia="Times New Roman" w:hAnsi="Arial" w:cs="Arial"/>
                <w:color w:val="000000"/>
                <w:sz w:val="22"/>
                <w:szCs w:val="22"/>
                <w:lang w:eastAsia="en-GB"/>
              </w:rPr>
            </w:pPr>
            <w:r w:rsidRPr="007D003C">
              <w:rPr>
                <w:rFonts w:ascii="Arial" w:eastAsia="Times New Roman" w:hAnsi="Arial" w:cs="Arial"/>
                <w:color w:val="000000"/>
                <w:sz w:val="22"/>
                <w:szCs w:val="22"/>
                <w:lang w:eastAsia="en-GB"/>
              </w:rPr>
              <w:t>-156</w:t>
            </w:r>
          </w:p>
        </w:tc>
      </w:tr>
    </w:tbl>
    <w:p w14:paraId="3E718F34" w14:textId="77777777" w:rsidR="001757B3" w:rsidRPr="007D003C" w:rsidRDefault="001757B3" w:rsidP="004153A4">
      <w:pPr>
        <w:rPr>
          <w:rFonts w:ascii="Arial" w:hAnsi="Arial" w:cs="Arial"/>
          <w:i/>
          <w:iC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5063"/>
      </w:tblGrid>
      <w:tr w:rsidR="00A92553" w:rsidRPr="007D003C" w14:paraId="558EBD2E" w14:textId="77777777" w:rsidTr="00EA6C3B">
        <w:tc>
          <w:tcPr>
            <w:tcW w:w="4673" w:type="dxa"/>
          </w:tcPr>
          <w:p w14:paraId="08648FCC" w14:textId="7951050D" w:rsidR="00A92553" w:rsidRPr="007D003C" w:rsidRDefault="00A92553" w:rsidP="00A92553">
            <w:pPr>
              <w:jc w:val="both"/>
              <w:rPr>
                <w:rFonts w:ascii="Arial" w:eastAsia="Times New Roman" w:hAnsi="Arial" w:cs="Arial"/>
                <w:color w:val="000000"/>
                <w:sz w:val="22"/>
                <w:szCs w:val="22"/>
                <w:lang w:eastAsia="en-GB"/>
              </w:rPr>
            </w:pPr>
            <w:r w:rsidRPr="007D003C">
              <w:rPr>
                <w:rFonts w:ascii="Arial" w:eastAsia="Times New Roman" w:hAnsi="Arial" w:cs="Arial"/>
                <w:noProof/>
                <w:color w:val="000000"/>
                <w:sz w:val="22"/>
                <w:szCs w:val="22"/>
                <w:lang w:eastAsia="en-GB"/>
              </w:rPr>
              <w:drawing>
                <wp:inline distT="0" distB="0" distL="0" distR="0" wp14:anchorId="4CB0A327" wp14:editId="7B90D0B1">
                  <wp:extent cx="2820218" cy="29527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871665" cy="3006615"/>
                          </a:xfrm>
                          <a:prstGeom prst="rect">
                            <a:avLst/>
                          </a:prstGeom>
                        </pic:spPr>
                      </pic:pic>
                    </a:graphicData>
                  </a:graphic>
                </wp:inline>
              </w:drawing>
            </w:r>
          </w:p>
          <w:p w14:paraId="5F2CB26D" w14:textId="43693F9E" w:rsidR="00A92553" w:rsidRPr="007D003C" w:rsidRDefault="001757B3" w:rsidP="00A92553">
            <w:pPr>
              <w:jc w:val="both"/>
              <w:rPr>
                <w:rFonts w:ascii="Arial" w:eastAsia="Times New Roman" w:hAnsi="Arial" w:cs="Arial"/>
                <w:i/>
                <w:iCs/>
                <w:color w:val="000000"/>
                <w:sz w:val="22"/>
                <w:szCs w:val="22"/>
                <w:lang w:eastAsia="en-GB"/>
              </w:rPr>
            </w:pPr>
            <w:r w:rsidRPr="007D003C">
              <w:rPr>
                <w:rFonts w:ascii="Arial" w:eastAsia="Times New Roman" w:hAnsi="Arial" w:cs="Arial"/>
                <w:i/>
                <w:iCs/>
                <w:color w:val="000000"/>
                <w:sz w:val="22"/>
                <w:szCs w:val="22"/>
                <w:lang w:eastAsia="en-GB"/>
              </w:rPr>
              <w:t xml:space="preserve">Table </w:t>
            </w:r>
            <w:r w:rsidR="00EA6C3B" w:rsidRPr="007D003C">
              <w:rPr>
                <w:rFonts w:ascii="Arial" w:eastAsia="Times New Roman" w:hAnsi="Arial" w:cs="Arial"/>
                <w:i/>
                <w:iCs/>
                <w:color w:val="000000"/>
                <w:sz w:val="22"/>
                <w:szCs w:val="22"/>
                <w:lang w:eastAsia="en-GB"/>
              </w:rPr>
              <w:t>3.2</w:t>
            </w:r>
          </w:p>
        </w:tc>
        <w:tc>
          <w:tcPr>
            <w:tcW w:w="5063" w:type="dxa"/>
          </w:tcPr>
          <w:p w14:paraId="6E383A59" w14:textId="7E236AEE" w:rsidR="007D003C" w:rsidRPr="007D003C" w:rsidRDefault="001757B3" w:rsidP="00A92553">
            <w:pPr>
              <w:jc w:val="both"/>
              <w:rPr>
                <w:rFonts w:ascii="Arial" w:hAnsi="Arial" w:cs="Arial"/>
                <w:sz w:val="22"/>
                <w:szCs w:val="22"/>
              </w:rPr>
            </w:pPr>
            <w:r w:rsidRPr="007D003C">
              <w:rPr>
                <w:rFonts w:ascii="Arial" w:eastAsia="Times New Roman" w:hAnsi="Arial" w:cs="Arial"/>
                <w:i/>
                <w:iCs/>
                <w:color w:val="000000"/>
                <w:sz w:val="22"/>
                <w:szCs w:val="22"/>
                <w:lang w:eastAsia="en-GB"/>
              </w:rPr>
              <w:t xml:space="preserve">CR - Current </w:t>
            </w:r>
            <w:r w:rsidR="003437F3" w:rsidRPr="007D003C">
              <w:rPr>
                <w:rFonts w:ascii="Arial" w:eastAsia="Times New Roman" w:hAnsi="Arial" w:cs="Arial"/>
                <w:i/>
                <w:iCs/>
                <w:color w:val="000000"/>
                <w:sz w:val="22"/>
                <w:szCs w:val="22"/>
                <w:lang w:eastAsia="en-GB"/>
              </w:rPr>
              <w:t>Ratio “m</w:t>
            </w:r>
            <w:r w:rsidRPr="007D003C">
              <w:rPr>
                <w:rFonts w:ascii="Arial" w:eastAsia="Times New Roman" w:hAnsi="Arial" w:cs="Arial"/>
                <w:i/>
                <w:iCs/>
                <w:color w:val="000000"/>
                <w:sz w:val="22"/>
                <w:szCs w:val="22"/>
                <w:lang w:eastAsia="en-GB"/>
              </w:rPr>
              <w:t>easures company ability to pay its current Liabilities from current Assets</w:t>
            </w:r>
            <w:r w:rsidR="003437F3" w:rsidRPr="007D003C">
              <w:rPr>
                <w:rFonts w:ascii="Arial" w:eastAsia="Times New Roman" w:hAnsi="Arial" w:cs="Arial"/>
                <w:i/>
                <w:iCs/>
                <w:color w:val="000000"/>
                <w:sz w:val="22"/>
                <w:szCs w:val="22"/>
                <w:lang w:eastAsia="en-GB"/>
              </w:rPr>
              <w:t>”</w:t>
            </w:r>
            <w:r w:rsidR="00EA6C3B" w:rsidRPr="007D003C">
              <w:rPr>
                <w:rFonts w:ascii="Arial" w:eastAsia="Times New Roman" w:hAnsi="Arial" w:cs="Arial"/>
                <w:i/>
                <w:iCs/>
                <w:color w:val="000000"/>
                <w:sz w:val="22"/>
                <w:szCs w:val="22"/>
                <w:lang w:eastAsia="en-GB"/>
              </w:rPr>
              <w:t xml:space="preserve"> </w:t>
            </w:r>
            <w:sdt>
              <w:sdtPr>
                <w:rPr>
                  <w:rFonts w:ascii="Arial" w:hAnsi="Arial" w:cs="Arial"/>
                  <w:sz w:val="22"/>
                  <w:szCs w:val="22"/>
                </w:rPr>
                <w:id w:val="-1960632104"/>
                <w:citation/>
              </w:sdtPr>
              <w:sdtEndPr/>
              <w:sdtContent>
                <w:r w:rsidR="003437F3" w:rsidRPr="007D003C">
                  <w:rPr>
                    <w:rFonts w:ascii="Arial" w:hAnsi="Arial" w:cs="Arial"/>
                    <w:sz w:val="22"/>
                    <w:szCs w:val="22"/>
                  </w:rPr>
                  <w:fldChar w:fldCharType="begin"/>
                </w:r>
                <w:r w:rsidR="003437F3" w:rsidRPr="007D003C">
                  <w:rPr>
                    <w:rFonts w:ascii="Arial" w:hAnsi="Arial" w:cs="Arial"/>
                    <w:sz w:val="22"/>
                    <w:szCs w:val="22"/>
                  </w:rPr>
                  <w:instrText xml:space="preserve"> CITATION CFI21 \l 2057 </w:instrText>
                </w:r>
                <w:r w:rsidR="003437F3" w:rsidRPr="007D003C">
                  <w:rPr>
                    <w:rFonts w:ascii="Arial" w:hAnsi="Arial" w:cs="Arial"/>
                    <w:sz w:val="22"/>
                    <w:szCs w:val="22"/>
                  </w:rPr>
                  <w:fldChar w:fldCharType="separate"/>
                </w:r>
                <w:r w:rsidR="003437F3" w:rsidRPr="007D003C">
                  <w:rPr>
                    <w:rFonts w:ascii="Arial" w:hAnsi="Arial" w:cs="Arial"/>
                    <w:noProof/>
                    <w:sz w:val="22"/>
                    <w:szCs w:val="22"/>
                  </w:rPr>
                  <w:t>(CFI, 2015-2021)</w:t>
                </w:r>
                <w:r w:rsidR="003437F3" w:rsidRPr="007D003C">
                  <w:rPr>
                    <w:rFonts w:ascii="Arial" w:hAnsi="Arial" w:cs="Arial"/>
                    <w:sz w:val="22"/>
                    <w:szCs w:val="22"/>
                  </w:rPr>
                  <w:fldChar w:fldCharType="end"/>
                </w:r>
              </w:sdtContent>
            </w:sdt>
            <w:r w:rsidR="003437F3" w:rsidRPr="007D003C">
              <w:rPr>
                <w:rFonts w:ascii="Arial" w:hAnsi="Arial" w:cs="Arial"/>
                <w:sz w:val="22"/>
                <w:szCs w:val="22"/>
              </w:rPr>
              <w:t xml:space="preserve">.  </w:t>
            </w:r>
          </w:p>
          <w:p w14:paraId="2FCA1D61" w14:textId="77777777" w:rsidR="007D003C" w:rsidRPr="007D003C" w:rsidRDefault="007D003C" w:rsidP="00A92553">
            <w:pPr>
              <w:jc w:val="both"/>
              <w:rPr>
                <w:rFonts w:ascii="Arial" w:hAnsi="Arial" w:cs="Arial"/>
                <w:sz w:val="22"/>
                <w:szCs w:val="22"/>
              </w:rPr>
            </w:pPr>
          </w:p>
          <w:p w14:paraId="7CE87994" w14:textId="07CAD79C" w:rsidR="00A92553" w:rsidRPr="007D003C" w:rsidRDefault="00A92553" w:rsidP="00A92553">
            <w:pPr>
              <w:jc w:val="both"/>
              <w:rPr>
                <w:rFonts w:ascii="Arial" w:eastAsia="Times New Roman" w:hAnsi="Arial" w:cs="Arial"/>
                <w:color w:val="000000"/>
                <w:sz w:val="22"/>
                <w:szCs w:val="22"/>
                <w:lang w:eastAsia="en-GB"/>
              </w:rPr>
            </w:pPr>
            <w:r w:rsidRPr="007D003C">
              <w:rPr>
                <w:rFonts w:ascii="Arial" w:hAnsi="Arial" w:cs="Arial"/>
                <w:sz w:val="22"/>
                <w:szCs w:val="22"/>
              </w:rPr>
              <w:t>T</w:t>
            </w:r>
            <w:r w:rsidR="00DC08AB">
              <w:rPr>
                <w:rFonts w:ascii="Arial" w:hAnsi="Arial" w:cs="Arial"/>
                <w:sz w:val="22"/>
                <w:szCs w:val="22"/>
              </w:rPr>
              <w:t xml:space="preserve">able </w:t>
            </w:r>
            <w:r w:rsidR="0034554E" w:rsidRPr="007D003C">
              <w:rPr>
                <w:rFonts w:ascii="Arial" w:hAnsi="Arial" w:cs="Arial"/>
                <w:sz w:val="22"/>
                <w:szCs w:val="22"/>
              </w:rPr>
              <w:t>3.2</w:t>
            </w:r>
            <w:r w:rsidRPr="007D003C">
              <w:rPr>
                <w:rFonts w:ascii="Arial" w:hAnsi="Arial" w:cs="Arial"/>
                <w:sz w:val="22"/>
                <w:szCs w:val="22"/>
              </w:rPr>
              <w:t xml:space="preserve"> </w:t>
            </w:r>
            <w:r w:rsidR="001757B3" w:rsidRPr="007D003C">
              <w:rPr>
                <w:rFonts w:ascii="Arial" w:hAnsi="Arial" w:cs="Arial"/>
                <w:sz w:val="22"/>
                <w:szCs w:val="22"/>
              </w:rPr>
              <w:t>explains</w:t>
            </w:r>
            <w:r w:rsidRPr="007D003C">
              <w:rPr>
                <w:rFonts w:ascii="Arial" w:hAnsi="Arial" w:cs="Arial"/>
                <w:sz w:val="22"/>
                <w:szCs w:val="22"/>
              </w:rPr>
              <w:t xml:space="preserve"> the current assets and current liabilities of </w:t>
            </w:r>
            <w:r w:rsidR="004153A4" w:rsidRPr="007D003C">
              <w:rPr>
                <w:rFonts w:ascii="Arial" w:hAnsi="Arial" w:cs="Arial"/>
                <w:sz w:val="22"/>
                <w:szCs w:val="22"/>
              </w:rPr>
              <w:t>Berkeley</w:t>
            </w:r>
            <w:r w:rsidRPr="007D003C">
              <w:rPr>
                <w:rFonts w:ascii="Arial" w:hAnsi="Arial" w:cs="Arial"/>
                <w:sz w:val="22"/>
                <w:szCs w:val="22"/>
              </w:rPr>
              <w:t xml:space="preserve"> for the period 2015-201</w:t>
            </w:r>
            <w:r w:rsidR="004153A4" w:rsidRPr="007D003C">
              <w:rPr>
                <w:rFonts w:ascii="Arial" w:hAnsi="Arial" w:cs="Arial"/>
                <w:sz w:val="22"/>
                <w:szCs w:val="22"/>
              </w:rPr>
              <w:t>9</w:t>
            </w:r>
            <w:r w:rsidRPr="007D003C">
              <w:rPr>
                <w:rFonts w:ascii="Arial" w:hAnsi="Arial" w:cs="Arial"/>
                <w:sz w:val="22"/>
                <w:szCs w:val="22"/>
              </w:rPr>
              <w:t>.  It</w:t>
            </w:r>
            <w:r w:rsidR="004153A4" w:rsidRPr="007D003C">
              <w:rPr>
                <w:rFonts w:ascii="Arial" w:hAnsi="Arial" w:cs="Arial"/>
                <w:sz w:val="22"/>
                <w:szCs w:val="22"/>
              </w:rPr>
              <w:t xml:space="preserve"> </w:t>
            </w:r>
            <w:r w:rsidR="001757B3" w:rsidRPr="007D003C">
              <w:rPr>
                <w:rFonts w:ascii="Arial" w:hAnsi="Arial" w:cs="Arial"/>
                <w:sz w:val="22"/>
                <w:szCs w:val="22"/>
              </w:rPr>
              <w:t>illustrates</w:t>
            </w:r>
            <w:r w:rsidRPr="007D003C">
              <w:rPr>
                <w:rFonts w:ascii="Arial" w:hAnsi="Arial" w:cs="Arial"/>
                <w:sz w:val="22"/>
                <w:szCs w:val="22"/>
              </w:rPr>
              <w:t xml:space="preserve"> that current assets had a </w:t>
            </w:r>
            <w:r w:rsidR="001757B3" w:rsidRPr="007D003C">
              <w:rPr>
                <w:rFonts w:ascii="Arial" w:hAnsi="Arial" w:cs="Arial"/>
                <w:sz w:val="22"/>
                <w:szCs w:val="22"/>
              </w:rPr>
              <w:t>great</w:t>
            </w:r>
            <w:r w:rsidRPr="007D003C">
              <w:rPr>
                <w:rFonts w:ascii="Arial" w:hAnsi="Arial" w:cs="Arial"/>
                <w:sz w:val="22"/>
                <w:szCs w:val="22"/>
              </w:rPr>
              <w:t xml:space="preserve"> increase from 2015 to 2018 from 3.4</w:t>
            </w:r>
            <w:r w:rsidR="004153A4" w:rsidRPr="007D003C">
              <w:rPr>
                <w:rFonts w:ascii="Arial" w:hAnsi="Arial" w:cs="Arial"/>
                <w:sz w:val="22"/>
                <w:szCs w:val="22"/>
              </w:rPr>
              <w:t>b</w:t>
            </w:r>
            <w:r w:rsidRPr="007D003C">
              <w:rPr>
                <w:rFonts w:ascii="Arial" w:hAnsi="Arial" w:cs="Arial"/>
                <w:sz w:val="22"/>
                <w:szCs w:val="22"/>
              </w:rPr>
              <w:t>n to 4.8</w:t>
            </w:r>
            <w:r w:rsidR="004153A4" w:rsidRPr="007D003C">
              <w:rPr>
                <w:rFonts w:ascii="Arial" w:hAnsi="Arial" w:cs="Arial"/>
                <w:sz w:val="22"/>
                <w:szCs w:val="22"/>
              </w:rPr>
              <w:t>b</w:t>
            </w:r>
            <w:r w:rsidRPr="007D003C">
              <w:rPr>
                <w:rFonts w:ascii="Arial" w:hAnsi="Arial" w:cs="Arial"/>
                <w:sz w:val="22"/>
                <w:szCs w:val="22"/>
              </w:rPr>
              <w:t xml:space="preserve">n, the </w:t>
            </w:r>
            <w:r w:rsidR="001757B3" w:rsidRPr="007D003C">
              <w:rPr>
                <w:rFonts w:ascii="Arial" w:hAnsi="Arial" w:cs="Arial"/>
                <w:sz w:val="22"/>
                <w:szCs w:val="22"/>
              </w:rPr>
              <w:t>larger</w:t>
            </w:r>
            <w:r w:rsidRPr="007D003C">
              <w:rPr>
                <w:rFonts w:ascii="Arial" w:hAnsi="Arial" w:cs="Arial"/>
                <w:sz w:val="22"/>
                <w:szCs w:val="22"/>
              </w:rPr>
              <w:t xml:space="preserve"> part </w:t>
            </w:r>
            <w:r w:rsidR="004153A4" w:rsidRPr="007D003C">
              <w:rPr>
                <w:rFonts w:ascii="Arial" w:hAnsi="Arial" w:cs="Arial"/>
                <w:sz w:val="22"/>
                <w:szCs w:val="22"/>
              </w:rPr>
              <w:t>aggregate</w:t>
            </w:r>
            <w:r w:rsidRPr="007D003C">
              <w:rPr>
                <w:rFonts w:ascii="Arial" w:hAnsi="Arial" w:cs="Arial"/>
                <w:sz w:val="22"/>
                <w:szCs w:val="22"/>
              </w:rPr>
              <w:t xml:space="preserve"> in inventory (Appendix1) which </w:t>
            </w:r>
            <w:r w:rsidR="005B5D80" w:rsidRPr="007D003C">
              <w:rPr>
                <w:rFonts w:ascii="Arial" w:hAnsi="Arial" w:cs="Arial"/>
                <w:sz w:val="22"/>
                <w:szCs w:val="22"/>
              </w:rPr>
              <w:t>assumes widespread</w:t>
            </w:r>
            <w:r w:rsidRPr="007D003C">
              <w:rPr>
                <w:rFonts w:ascii="Arial" w:hAnsi="Arial" w:cs="Arial"/>
                <w:sz w:val="22"/>
                <w:szCs w:val="22"/>
              </w:rPr>
              <w:t xml:space="preserve"> grow</w:t>
            </w:r>
            <w:r w:rsidR="00E239BB">
              <w:rPr>
                <w:rFonts w:ascii="Arial" w:hAnsi="Arial" w:cs="Arial"/>
                <w:sz w:val="22"/>
                <w:szCs w:val="22"/>
              </w:rPr>
              <w:t>th</w:t>
            </w:r>
            <w:r w:rsidRPr="007D003C">
              <w:rPr>
                <w:rFonts w:ascii="Arial" w:hAnsi="Arial" w:cs="Arial"/>
                <w:sz w:val="22"/>
                <w:szCs w:val="22"/>
              </w:rPr>
              <w:t xml:space="preserve"> in operations.  Although 2019 </w:t>
            </w:r>
            <w:r w:rsidR="00EA6C3B" w:rsidRPr="007D003C">
              <w:rPr>
                <w:rFonts w:ascii="Arial" w:hAnsi="Arial" w:cs="Arial"/>
                <w:sz w:val="22"/>
                <w:szCs w:val="22"/>
              </w:rPr>
              <w:t>had</w:t>
            </w:r>
            <w:r w:rsidRPr="007D003C">
              <w:rPr>
                <w:rFonts w:ascii="Arial" w:hAnsi="Arial" w:cs="Arial"/>
                <w:sz w:val="22"/>
                <w:szCs w:val="22"/>
              </w:rPr>
              <w:t xml:space="preserve"> a retraction from the graph’s growth line in assets, it is still well above the previous years</w:t>
            </w:r>
            <w:r w:rsidR="005B5D80" w:rsidRPr="007D003C">
              <w:rPr>
                <w:rFonts w:ascii="Arial" w:hAnsi="Arial" w:cs="Arial"/>
                <w:sz w:val="22"/>
                <w:szCs w:val="22"/>
              </w:rPr>
              <w:t xml:space="preserve"> (2015 -2016)</w:t>
            </w:r>
            <w:r w:rsidRPr="007D003C">
              <w:rPr>
                <w:rFonts w:ascii="Arial" w:hAnsi="Arial" w:cs="Arial"/>
                <w:sz w:val="22"/>
                <w:szCs w:val="22"/>
              </w:rPr>
              <w:t>.</w:t>
            </w:r>
            <w:r w:rsidR="00EA6C3B" w:rsidRPr="007D003C">
              <w:rPr>
                <w:rFonts w:ascii="Arial" w:hAnsi="Arial" w:cs="Arial"/>
                <w:sz w:val="22"/>
                <w:szCs w:val="22"/>
              </w:rPr>
              <w:t xml:space="preserve">  </w:t>
            </w:r>
            <w:r w:rsidRPr="007D003C">
              <w:rPr>
                <w:rFonts w:ascii="Arial" w:hAnsi="Arial" w:cs="Arial"/>
                <w:sz w:val="22"/>
                <w:szCs w:val="22"/>
              </w:rPr>
              <w:t>The company reduced its current liability over</w:t>
            </w:r>
            <w:r w:rsidR="00E239BB">
              <w:rPr>
                <w:rFonts w:ascii="Arial" w:hAnsi="Arial" w:cs="Arial"/>
                <w:sz w:val="22"/>
                <w:szCs w:val="22"/>
              </w:rPr>
              <w:t xml:space="preserve"> the</w:t>
            </w:r>
            <w:r w:rsidRPr="007D003C">
              <w:rPr>
                <w:rFonts w:ascii="Arial" w:hAnsi="Arial" w:cs="Arial"/>
                <w:sz w:val="22"/>
                <w:szCs w:val="22"/>
              </w:rPr>
              <w:t xml:space="preserve"> period 2016-2019 while increasing its current assets.</w:t>
            </w:r>
            <w:r w:rsidR="005B5D80" w:rsidRPr="007D003C">
              <w:rPr>
                <w:rFonts w:ascii="Arial" w:hAnsi="Arial" w:cs="Arial"/>
                <w:sz w:val="22"/>
                <w:szCs w:val="22"/>
              </w:rPr>
              <w:t xml:space="preserve">  In 2020 despite the COVID-19 effect (</w:t>
            </w:r>
            <w:r w:rsidR="00EA6C3B" w:rsidRPr="007D003C">
              <w:rPr>
                <w:rFonts w:ascii="Arial" w:hAnsi="Arial" w:cs="Arial"/>
                <w:sz w:val="22"/>
                <w:szCs w:val="22"/>
              </w:rPr>
              <w:t>insolvencies</w:t>
            </w:r>
            <w:r w:rsidR="005B5D80" w:rsidRPr="007D003C">
              <w:rPr>
                <w:rFonts w:ascii="Arial" w:hAnsi="Arial" w:cs="Arial"/>
                <w:sz w:val="22"/>
                <w:szCs w:val="22"/>
              </w:rPr>
              <w:t xml:space="preserve">, </w:t>
            </w:r>
            <w:r w:rsidR="00EA6C3B" w:rsidRPr="007D003C">
              <w:rPr>
                <w:rFonts w:ascii="Arial" w:hAnsi="Arial" w:cs="Arial"/>
                <w:sz w:val="22"/>
                <w:szCs w:val="22"/>
              </w:rPr>
              <w:t>closures</w:t>
            </w:r>
            <w:r w:rsidR="005B5D80" w:rsidRPr="007D003C">
              <w:rPr>
                <w:rFonts w:ascii="Arial" w:hAnsi="Arial" w:cs="Arial"/>
                <w:sz w:val="22"/>
                <w:szCs w:val="22"/>
              </w:rPr>
              <w:t xml:space="preserve">, administrations) company’s relation between assets and liability remains the same as </w:t>
            </w:r>
            <w:r w:rsidR="00E239BB">
              <w:rPr>
                <w:rFonts w:ascii="Arial" w:hAnsi="Arial" w:cs="Arial"/>
                <w:sz w:val="22"/>
                <w:szCs w:val="22"/>
              </w:rPr>
              <w:t xml:space="preserve">the </w:t>
            </w:r>
            <w:r w:rsidR="005B5D80" w:rsidRPr="007D003C">
              <w:rPr>
                <w:rFonts w:ascii="Arial" w:hAnsi="Arial" w:cs="Arial"/>
                <w:sz w:val="22"/>
                <w:szCs w:val="22"/>
              </w:rPr>
              <w:t xml:space="preserve">pre-COVID </w:t>
            </w:r>
            <w:r w:rsidR="00EA6C3B" w:rsidRPr="007D003C">
              <w:rPr>
                <w:rFonts w:ascii="Arial" w:hAnsi="Arial" w:cs="Arial"/>
                <w:sz w:val="22"/>
                <w:szCs w:val="22"/>
              </w:rPr>
              <w:t>position</w:t>
            </w:r>
            <w:r w:rsidR="005B5D80" w:rsidRPr="007D003C">
              <w:rPr>
                <w:rFonts w:ascii="Arial" w:hAnsi="Arial" w:cs="Arial"/>
                <w:sz w:val="22"/>
                <w:szCs w:val="22"/>
              </w:rPr>
              <w:t xml:space="preserve"> of 2019.  2020</w:t>
            </w:r>
            <w:r w:rsidR="00EA6C3B" w:rsidRPr="007D003C">
              <w:rPr>
                <w:rFonts w:ascii="Arial" w:hAnsi="Arial" w:cs="Arial"/>
                <w:sz w:val="22"/>
                <w:szCs w:val="22"/>
              </w:rPr>
              <w:t xml:space="preserve"> sees</w:t>
            </w:r>
            <w:r w:rsidR="005B5D80" w:rsidRPr="007D003C">
              <w:rPr>
                <w:rFonts w:ascii="Arial" w:hAnsi="Arial" w:cs="Arial"/>
                <w:sz w:val="22"/>
                <w:szCs w:val="22"/>
              </w:rPr>
              <w:t xml:space="preserve"> both Current Assets and Current Liabilities</w:t>
            </w:r>
            <w:r w:rsidR="0065573A" w:rsidRPr="007D003C">
              <w:rPr>
                <w:rFonts w:ascii="Arial" w:hAnsi="Arial" w:cs="Arial"/>
                <w:sz w:val="22"/>
                <w:szCs w:val="22"/>
              </w:rPr>
              <w:t xml:space="preserve"> are</w:t>
            </w:r>
            <w:r w:rsidR="005B5D80" w:rsidRPr="007D003C">
              <w:rPr>
                <w:rFonts w:ascii="Arial" w:hAnsi="Arial" w:cs="Arial"/>
                <w:sz w:val="22"/>
                <w:szCs w:val="22"/>
              </w:rPr>
              <w:t xml:space="preserve"> increased</w:t>
            </w:r>
            <w:r w:rsidR="009C7762" w:rsidRPr="007D003C">
              <w:rPr>
                <w:rFonts w:ascii="Arial" w:hAnsi="Arial" w:cs="Arial"/>
                <w:sz w:val="22"/>
                <w:szCs w:val="22"/>
              </w:rPr>
              <w:t>,</w:t>
            </w:r>
            <w:r w:rsidR="00EA6C3B" w:rsidRPr="007D003C">
              <w:rPr>
                <w:rFonts w:ascii="Arial" w:hAnsi="Arial" w:cs="Arial"/>
                <w:sz w:val="22"/>
                <w:szCs w:val="22"/>
              </w:rPr>
              <w:t xml:space="preserve"> </w:t>
            </w:r>
            <w:r w:rsidR="009C7762" w:rsidRPr="007D003C">
              <w:rPr>
                <w:rFonts w:ascii="Arial" w:hAnsi="Arial" w:cs="Arial"/>
                <w:sz w:val="22"/>
                <w:szCs w:val="22"/>
              </w:rPr>
              <w:t>possibly due to</w:t>
            </w:r>
            <w:r w:rsidR="00EA6C3B" w:rsidRPr="007D003C">
              <w:rPr>
                <w:rFonts w:ascii="Arial" w:hAnsi="Arial" w:cs="Arial"/>
                <w:sz w:val="22"/>
                <w:szCs w:val="22"/>
              </w:rPr>
              <w:t xml:space="preserve"> slowing down in sales and company delaying payments</w:t>
            </w:r>
            <w:r w:rsidR="0065573A" w:rsidRPr="007D003C">
              <w:rPr>
                <w:rFonts w:ascii="Arial" w:hAnsi="Arial" w:cs="Arial"/>
                <w:sz w:val="22"/>
                <w:szCs w:val="22"/>
              </w:rPr>
              <w:t>.</w:t>
            </w:r>
          </w:p>
          <w:p w14:paraId="50C5F682" w14:textId="03F56C86" w:rsidR="00A92553" w:rsidRPr="007D003C" w:rsidRDefault="00A92553" w:rsidP="00A92553">
            <w:pPr>
              <w:jc w:val="both"/>
              <w:rPr>
                <w:rFonts w:ascii="Arial" w:eastAsia="Times New Roman" w:hAnsi="Arial" w:cs="Arial"/>
                <w:color w:val="000000"/>
                <w:sz w:val="22"/>
                <w:szCs w:val="22"/>
                <w:lang w:eastAsia="en-GB"/>
              </w:rPr>
            </w:pPr>
            <w:r w:rsidRPr="007D003C">
              <w:rPr>
                <w:rFonts w:ascii="Arial" w:hAnsi="Arial" w:cs="Arial"/>
                <w:sz w:val="22"/>
                <w:szCs w:val="22"/>
              </w:rPr>
              <w:t xml:space="preserve"> </w:t>
            </w:r>
          </w:p>
        </w:tc>
      </w:tr>
    </w:tbl>
    <w:p w14:paraId="48988485" w14:textId="7F86729B" w:rsidR="007D003C" w:rsidRDefault="007D003C" w:rsidP="0065573A">
      <w:pPr>
        <w:jc w:val="both"/>
        <w:rPr>
          <w:rFonts w:ascii="Arial" w:hAnsi="Arial" w:cs="Arial"/>
          <w:b/>
          <w:bCs/>
          <w:sz w:val="22"/>
          <w:szCs w:val="22"/>
        </w:rPr>
      </w:pPr>
    </w:p>
    <w:p w14:paraId="63E7A316" w14:textId="77777777" w:rsidR="009C3827" w:rsidRPr="007D003C" w:rsidRDefault="009C3827" w:rsidP="0065573A">
      <w:pPr>
        <w:jc w:val="both"/>
        <w:rPr>
          <w:rFonts w:ascii="Arial" w:hAnsi="Arial" w:cs="Arial"/>
          <w:b/>
          <w:bCs/>
          <w:sz w:val="22"/>
          <w:szCs w:val="22"/>
        </w:rPr>
      </w:pPr>
    </w:p>
    <w:p w14:paraId="3289A82D" w14:textId="07BF1515" w:rsidR="0065573A" w:rsidRPr="007D003C" w:rsidRDefault="0065573A" w:rsidP="0065573A">
      <w:pPr>
        <w:jc w:val="both"/>
        <w:rPr>
          <w:rFonts w:ascii="Arial" w:hAnsi="Arial" w:cs="Arial"/>
          <w:b/>
          <w:bCs/>
          <w:sz w:val="22"/>
          <w:szCs w:val="22"/>
        </w:rPr>
      </w:pPr>
      <w:r w:rsidRPr="007D003C">
        <w:rPr>
          <w:rFonts w:ascii="Arial" w:hAnsi="Arial" w:cs="Arial"/>
          <w:b/>
          <w:bCs/>
          <w:sz w:val="22"/>
          <w:szCs w:val="22"/>
        </w:rPr>
        <w:t>Interpretation</w:t>
      </w:r>
    </w:p>
    <w:p w14:paraId="0FAF5466" w14:textId="3D62DEDF" w:rsidR="0065573A" w:rsidRPr="007D003C" w:rsidRDefault="0034554E" w:rsidP="009C7762">
      <w:pPr>
        <w:jc w:val="both"/>
        <w:rPr>
          <w:rFonts w:ascii="Arial" w:hAnsi="Arial" w:cs="Arial"/>
          <w:b/>
          <w:bCs/>
          <w:sz w:val="22"/>
          <w:szCs w:val="22"/>
        </w:rPr>
      </w:pPr>
      <w:r w:rsidRPr="007D003C">
        <w:rPr>
          <w:rFonts w:ascii="Arial" w:hAnsi="Arial" w:cs="Arial"/>
          <w:sz w:val="22"/>
          <w:szCs w:val="22"/>
        </w:rPr>
        <w:t xml:space="preserve">Looking at the summary (Table 3.1) the company has improved its </w:t>
      </w:r>
      <w:r w:rsidR="00FC213E" w:rsidRPr="007D003C">
        <w:rPr>
          <w:rFonts w:ascii="Arial" w:hAnsi="Arial" w:cs="Arial"/>
          <w:sz w:val="22"/>
          <w:szCs w:val="22"/>
        </w:rPr>
        <w:t xml:space="preserve">current </w:t>
      </w:r>
      <w:r w:rsidRPr="007D003C">
        <w:rPr>
          <w:rFonts w:ascii="Arial" w:hAnsi="Arial" w:cs="Arial"/>
          <w:sz w:val="22"/>
          <w:szCs w:val="22"/>
        </w:rPr>
        <w:t>liquidity from 2015 to 2020 as indicated</w:t>
      </w:r>
      <w:r w:rsidR="00FC213E" w:rsidRPr="007D003C">
        <w:rPr>
          <w:rFonts w:ascii="Arial" w:hAnsi="Arial" w:cs="Arial"/>
          <w:sz w:val="22"/>
          <w:szCs w:val="22"/>
        </w:rPr>
        <w:t xml:space="preserve"> by CR </w:t>
      </w:r>
      <w:r w:rsidRPr="007D003C">
        <w:rPr>
          <w:rFonts w:ascii="Arial" w:hAnsi="Arial" w:cs="Arial"/>
          <w:sz w:val="22"/>
          <w:szCs w:val="22"/>
        </w:rPr>
        <w:t xml:space="preserve">ratio analysis.  Contrasting the results of </w:t>
      </w:r>
      <w:r w:rsidR="00DC08AB">
        <w:rPr>
          <w:rFonts w:ascii="Arial" w:hAnsi="Arial" w:cs="Arial"/>
          <w:sz w:val="22"/>
          <w:szCs w:val="22"/>
        </w:rPr>
        <w:t xml:space="preserve">the </w:t>
      </w:r>
      <w:r w:rsidR="009C7762" w:rsidRPr="007D003C">
        <w:rPr>
          <w:rFonts w:ascii="Arial" w:hAnsi="Arial" w:cs="Arial"/>
          <w:sz w:val="22"/>
          <w:szCs w:val="22"/>
        </w:rPr>
        <w:t xml:space="preserve">current ratio </w:t>
      </w:r>
      <w:r w:rsidRPr="007D003C">
        <w:rPr>
          <w:rFonts w:ascii="Arial" w:hAnsi="Arial" w:cs="Arial"/>
          <w:sz w:val="22"/>
          <w:szCs w:val="22"/>
        </w:rPr>
        <w:t xml:space="preserve">analysis with the standard norm and Balfour Beatty PLC metrics, it is evident the company has a good ability to meet payment obligations.  The current ratio’s standard norm is 2:1, </w:t>
      </w:r>
      <w:r w:rsidR="009C7762" w:rsidRPr="007D003C">
        <w:rPr>
          <w:rFonts w:ascii="Arial" w:hAnsi="Arial" w:cs="Arial"/>
          <w:sz w:val="22"/>
          <w:szCs w:val="22"/>
        </w:rPr>
        <w:t xml:space="preserve">whereas the metrics (Table 3.1) are above the standard norm (the most recent 2019 is 2.8:1; 2020 – 2.7:1) placing </w:t>
      </w:r>
      <w:r w:rsidR="00DC08AB">
        <w:rPr>
          <w:rFonts w:ascii="Arial" w:hAnsi="Arial" w:cs="Arial"/>
          <w:sz w:val="22"/>
          <w:szCs w:val="22"/>
        </w:rPr>
        <w:t xml:space="preserve">the </w:t>
      </w:r>
      <w:r w:rsidR="009C7762" w:rsidRPr="007D003C">
        <w:rPr>
          <w:rFonts w:ascii="Arial" w:hAnsi="Arial" w:cs="Arial"/>
          <w:sz w:val="22"/>
          <w:szCs w:val="22"/>
        </w:rPr>
        <w:t>company in a good financial position</w:t>
      </w:r>
      <w:r w:rsidR="00FC213E" w:rsidRPr="007D003C">
        <w:rPr>
          <w:rFonts w:ascii="Arial" w:hAnsi="Arial" w:cs="Arial"/>
          <w:sz w:val="22"/>
          <w:szCs w:val="22"/>
        </w:rPr>
        <w:t xml:space="preserve"> to pay its debt</w:t>
      </w:r>
      <w:r w:rsidR="009C7762" w:rsidRPr="007D003C">
        <w:rPr>
          <w:rFonts w:ascii="Arial" w:hAnsi="Arial" w:cs="Arial"/>
          <w:sz w:val="22"/>
          <w:szCs w:val="22"/>
        </w:rPr>
        <w:t>.</w:t>
      </w:r>
      <w:r w:rsidR="00FC213E" w:rsidRPr="007D003C">
        <w:rPr>
          <w:rFonts w:ascii="Arial" w:hAnsi="Arial" w:cs="Arial"/>
          <w:sz w:val="22"/>
          <w:szCs w:val="22"/>
        </w:rPr>
        <w:t xml:space="preserve">  </w:t>
      </w:r>
      <w:r w:rsidR="0065573A" w:rsidRPr="007D003C">
        <w:rPr>
          <w:rFonts w:ascii="Arial" w:hAnsi="Arial" w:cs="Arial"/>
          <w:sz w:val="22"/>
          <w:szCs w:val="22"/>
        </w:rPr>
        <w:t xml:space="preserve">The company has accurately managed its working capital </w:t>
      </w:r>
      <w:r w:rsidR="00FC213E" w:rsidRPr="007D003C">
        <w:rPr>
          <w:rFonts w:ascii="Arial" w:hAnsi="Arial" w:cs="Arial"/>
          <w:sz w:val="22"/>
          <w:szCs w:val="22"/>
        </w:rPr>
        <w:t xml:space="preserve">(CA – CL) </w:t>
      </w:r>
      <w:r w:rsidR="0065573A" w:rsidRPr="007D003C">
        <w:rPr>
          <w:rFonts w:ascii="Arial" w:hAnsi="Arial" w:cs="Arial"/>
          <w:sz w:val="22"/>
          <w:szCs w:val="22"/>
        </w:rPr>
        <w:t>requirements</w:t>
      </w:r>
      <w:r w:rsidR="00FC213E" w:rsidRPr="007D003C">
        <w:rPr>
          <w:rFonts w:ascii="Arial" w:hAnsi="Arial" w:cs="Arial"/>
          <w:sz w:val="22"/>
          <w:szCs w:val="22"/>
        </w:rPr>
        <w:t xml:space="preserve"> essential for daily operating activity.</w:t>
      </w:r>
      <w:r w:rsidR="0065573A" w:rsidRPr="007D003C">
        <w:rPr>
          <w:rFonts w:ascii="Arial" w:hAnsi="Arial" w:cs="Arial"/>
          <w:sz w:val="22"/>
          <w:szCs w:val="22"/>
        </w:rPr>
        <w:t xml:space="preserve">  The table also has shown that for the </w:t>
      </w:r>
      <w:r w:rsidR="00FC213E" w:rsidRPr="007D003C">
        <w:rPr>
          <w:rFonts w:ascii="Arial" w:hAnsi="Arial" w:cs="Arial"/>
          <w:sz w:val="22"/>
          <w:szCs w:val="22"/>
        </w:rPr>
        <w:t>period from</w:t>
      </w:r>
      <w:r w:rsidR="0065573A" w:rsidRPr="007D003C">
        <w:rPr>
          <w:rFonts w:ascii="Arial" w:hAnsi="Arial" w:cs="Arial"/>
          <w:sz w:val="22"/>
          <w:szCs w:val="22"/>
        </w:rPr>
        <w:t xml:space="preserve"> 2018 </w:t>
      </w:r>
      <w:r w:rsidR="00FC213E" w:rsidRPr="007D003C">
        <w:rPr>
          <w:rFonts w:ascii="Arial" w:hAnsi="Arial" w:cs="Arial"/>
          <w:sz w:val="22"/>
          <w:szCs w:val="22"/>
        </w:rPr>
        <w:t>to</w:t>
      </w:r>
      <w:r w:rsidR="0065573A" w:rsidRPr="007D003C">
        <w:rPr>
          <w:rFonts w:ascii="Arial" w:hAnsi="Arial" w:cs="Arial"/>
          <w:sz w:val="22"/>
          <w:szCs w:val="22"/>
        </w:rPr>
        <w:t xml:space="preserve"> 20</w:t>
      </w:r>
      <w:r w:rsidR="00FC213E" w:rsidRPr="007D003C">
        <w:rPr>
          <w:rFonts w:ascii="Arial" w:hAnsi="Arial" w:cs="Arial"/>
          <w:sz w:val="22"/>
          <w:szCs w:val="22"/>
        </w:rPr>
        <w:t>20</w:t>
      </w:r>
      <w:r w:rsidR="0065573A" w:rsidRPr="007D003C">
        <w:rPr>
          <w:rFonts w:ascii="Arial" w:hAnsi="Arial" w:cs="Arial"/>
          <w:sz w:val="22"/>
          <w:szCs w:val="22"/>
        </w:rPr>
        <w:t xml:space="preserve"> </w:t>
      </w:r>
      <w:r w:rsidR="00FC213E" w:rsidRPr="007D003C">
        <w:rPr>
          <w:rFonts w:ascii="Arial" w:hAnsi="Arial" w:cs="Arial"/>
          <w:sz w:val="22"/>
          <w:szCs w:val="22"/>
        </w:rPr>
        <w:t xml:space="preserve">the </w:t>
      </w:r>
      <w:r w:rsidR="0065573A" w:rsidRPr="007D003C">
        <w:rPr>
          <w:rFonts w:ascii="Arial" w:hAnsi="Arial" w:cs="Arial"/>
          <w:sz w:val="22"/>
          <w:szCs w:val="22"/>
        </w:rPr>
        <w:t xml:space="preserve">company has a comparatively high CR </w:t>
      </w:r>
      <w:r w:rsidR="00FC213E" w:rsidRPr="007D003C">
        <w:rPr>
          <w:rFonts w:ascii="Arial" w:hAnsi="Arial" w:cs="Arial"/>
          <w:sz w:val="22"/>
          <w:szCs w:val="22"/>
        </w:rPr>
        <w:t xml:space="preserve"> (Balfour Beatty PLC  is 0.91:1) </w:t>
      </w:r>
      <w:r w:rsidR="0065573A" w:rsidRPr="007D003C">
        <w:rPr>
          <w:rFonts w:ascii="Arial" w:hAnsi="Arial" w:cs="Arial"/>
          <w:sz w:val="22"/>
          <w:szCs w:val="22"/>
        </w:rPr>
        <w:t>which is signal that the company assets are highly liquid</w:t>
      </w:r>
      <w:r w:rsidR="005B07AD" w:rsidRPr="007D003C">
        <w:rPr>
          <w:rFonts w:ascii="Arial" w:hAnsi="Arial" w:cs="Arial"/>
          <w:sz w:val="22"/>
          <w:szCs w:val="22"/>
        </w:rPr>
        <w:t xml:space="preserve"> </w:t>
      </w:r>
      <w:r w:rsidR="0065573A" w:rsidRPr="007D003C">
        <w:rPr>
          <w:rFonts w:ascii="Arial" w:hAnsi="Arial" w:cs="Arial"/>
          <w:sz w:val="22"/>
          <w:szCs w:val="22"/>
        </w:rPr>
        <w:t xml:space="preserve">and can be used quickly to pay off current liabilities as and when needed, or it can </w:t>
      </w:r>
      <w:r w:rsidR="00FC213E" w:rsidRPr="007D003C">
        <w:rPr>
          <w:rFonts w:ascii="Arial" w:hAnsi="Arial" w:cs="Arial"/>
          <w:sz w:val="22"/>
          <w:szCs w:val="22"/>
        </w:rPr>
        <w:t>also suggest</w:t>
      </w:r>
      <w:r w:rsidR="0065573A" w:rsidRPr="007D003C">
        <w:rPr>
          <w:rFonts w:ascii="Arial" w:hAnsi="Arial" w:cs="Arial"/>
          <w:sz w:val="22"/>
          <w:szCs w:val="22"/>
        </w:rPr>
        <w:t xml:space="preserve"> that company is not using its assets or short-term financing efficiently, i.e. has </w:t>
      </w:r>
      <w:r w:rsidR="00FC213E" w:rsidRPr="007D003C">
        <w:rPr>
          <w:rFonts w:ascii="Arial" w:hAnsi="Arial" w:cs="Arial"/>
          <w:sz w:val="22"/>
          <w:szCs w:val="22"/>
        </w:rPr>
        <w:t xml:space="preserve">to look at </w:t>
      </w:r>
      <w:r w:rsidR="0065573A" w:rsidRPr="007D003C">
        <w:rPr>
          <w:rFonts w:ascii="Arial" w:hAnsi="Arial" w:cs="Arial"/>
          <w:sz w:val="22"/>
          <w:szCs w:val="22"/>
        </w:rPr>
        <w:t>WCM</w:t>
      </w:r>
      <w:r w:rsidR="00FC213E" w:rsidRPr="007D003C">
        <w:rPr>
          <w:rFonts w:ascii="Arial" w:hAnsi="Arial" w:cs="Arial"/>
          <w:sz w:val="22"/>
          <w:szCs w:val="22"/>
        </w:rPr>
        <w:t xml:space="preserve"> more closely</w:t>
      </w:r>
      <w:sdt>
        <w:sdtPr>
          <w:rPr>
            <w:rFonts w:ascii="Arial" w:hAnsi="Arial" w:cs="Arial"/>
            <w:sz w:val="22"/>
            <w:szCs w:val="22"/>
          </w:rPr>
          <w:id w:val="-1515461165"/>
          <w:citation/>
        </w:sdtPr>
        <w:sdtEndPr/>
        <w:sdtContent>
          <w:r w:rsidR="00E0749C" w:rsidRPr="007D003C">
            <w:rPr>
              <w:rFonts w:ascii="Arial" w:hAnsi="Arial" w:cs="Arial"/>
              <w:sz w:val="22"/>
              <w:szCs w:val="22"/>
            </w:rPr>
            <w:fldChar w:fldCharType="begin"/>
          </w:r>
          <w:r w:rsidR="00E0749C" w:rsidRPr="007D003C">
            <w:rPr>
              <w:rFonts w:ascii="Arial" w:hAnsi="Arial" w:cs="Arial"/>
              <w:sz w:val="22"/>
              <w:szCs w:val="22"/>
            </w:rPr>
            <w:instrText xml:space="preserve"> CITATION Sal11 \l 2057 </w:instrText>
          </w:r>
          <w:r w:rsidR="00E0749C" w:rsidRPr="007D003C">
            <w:rPr>
              <w:rFonts w:ascii="Arial" w:hAnsi="Arial" w:cs="Arial"/>
              <w:sz w:val="22"/>
              <w:szCs w:val="22"/>
            </w:rPr>
            <w:fldChar w:fldCharType="separate"/>
          </w:r>
          <w:r w:rsidR="00E0749C" w:rsidRPr="007D003C">
            <w:rPr>
              <w:rFonts w:ascii="Arial" w:hAnsi="Arial" w:cs="Arial"/>
              <w:noProof/>
              <w:sz w:val="22"/>
              <w:szCs w:val="22"/>
            </w:rPr>
            <w:t xml:space="preserve"> (Saleem, 2011)</w:t>
          </w:r>
          <w:r w:rsidR="00E0749C" w:rsidRPr="007D003C">
            <w:rPr>
              <w:rFonts w:ascii="Arial" w:hAnsi="Arial" w:cs="Arial"/>
              <w:sz w:val="22"/>
              <w:szCs w:val="22"/>
            </w:rPr>
            <w:fldChar w:fldCharType="end"/>
          </w:r>
        </w:sdtContent>
      </w:sdt>
      <w:r w:rsidR="0065573A" w:rsidRPr="007D003C">
        <w:rPr>
          <w:rFonts w:ascii="Arial" w:hAnsi="Arial" w:cs="Arial"/>
          <w:sz w:val="22"/>
          <w:szCs w:val="22"/>
        </w:rPr>
        <w:t xml:space="preserve">  </w:t>
      </w:r>
    </w:p>
    <w:p w14:paraId="7FBEBF6E" w14:textId="77777777" w:rsidR="00A92553" w:rsidRPr="007D003C" w:rsidRDefault="00A92553" w:rsidP="003623A4">
      <w:pPr>
        <w:jc w:val="both"/>
        <w:rPr>
          <w:rFonts w:ascii="Arial" w:eastAsia="Times New Roman" w:hAnsi="Arial" w:cs="Arial"/>
          <w:color w:val="000000"/>
          <w:sz w:val="22"/>
          <w:szCs w:val="22"/>
          <w:lang w:eastAsia="en-GB"/>
        </w:rPr>
      </w:pPr>
    </w:p>
    <w:p w14:paraId="25E86F25" w14:textId="2E087CFB" w:rsidR="002A71A5" w:rsidRPr="007D003C" w:rsidRDefault="003623A4" w:rsidP="003623A4">
      <w:pPr>
        <w:jc w:val="both"/>
        <w:rPr>
          <w:rFonts w:ascii="Arial" w:hAnsi="Arial" w:cs="Arial"/>
          <w:i/>
          <w:iCs/>
          <w:sz w:val="22"/>
          <w:szCs w:val="22"/>
        </w:rPr>
      </w:pPr>
      <w:r w:rsidRPr="007D003C">
        <w:rPr>
          <w:rFonts w:ascii="Arial" w:eastAsia="Times New Roman" w:hAnsi="Arial" w:cs="Arial"/>
          <w:color w:val="000000"/>
          <w:sz w:val="22"/>
          <w:szCs w:val="22"/>
          <w:lang w:eastAsia="en-GB"/>
        </w:rPr>
        <w:t xml:space="preserve"> </w:t>
      </w:r>
    </w:p>
    <w:tbl>
      <w:tblPr>
        <w:tblStyle w:val="TableGrid"/>
        <w:tblW w:w="0" w:type="auto"/>
        <w:tblLook w:val="04A0" w:firstRow="1" w:lastRow="0" w:firstColumn="1" w:lastColumn="0" w:noHBand="0" w:noVBand="1"/>
      </w:tblPr>
      <w:tblGrid>
        <w:gridCol w:w="4546"/>
        <w:gridCol w:w="5190"/>
      </w:tblGrid>
      <w:tr w:rsidR="00A92553" w:rsidRPr="007D003C" w14:paraId="5FDD9C0D" w14:textId="77777777" w:rsidTr="005B07AD">
        <w:tc>
          <w:tcPr>
            <w:tcW w:w="4531" w:type="dxa"/>
          </w:tcPr>
          <w:p w14:paraId="14305A33" w14:textId="69AEB424" w:rsidR="005B07AD" w:rsidRPr="007D003C" w:rsidRDefault="003437F3" w:rsidP="003623A4">
            <w:pPr>
              <w:jc w:val="both"/>
              <w:rPr>
                <w:rFonts w:ascii="Arial" w:eastAsia="Times New Roman" w:hAnsi="Arial" w:cs="Arial"/>
                <w:i/>
                <w:iCs/>
                <w:color w:val="000000"/>
                <w:sz w:val="22"/>
                <w:szCs w:val="22"/>
                <w:lang w:eastAsia="en-GB"/>
              </w:rPr>
            </w:pPr>
            <w:r w:rsidRPr="007D003C">
              <w:rPr>
                <w:rFonts w:ascii="Arial" w:eastAsia="Times New Roman" w:hAnsi="Arial" w:cs="Arial"/>
                <w:i/>
                <w:iCs/>
                <w:color w:val="000000"/>
                <w:sz w:val="22"/>
                <w:szCs w:val="22"/>
                <w:lang w:eastAsia="en-GB"/>
              </w:rPr>
              <w:t>Table 3.3</w:t>
            </w:r>
          </w:p>
          <w:p w14:paraId="5781E00B" w14:textId="77777777" w:rsidR="003437F3" w:rsidRPr="007D003C" w:rsidRDefault="003437F3" w:rsidP="003623A4">
            <w:pPr>
              <w:jc w:val="both"/>
              <w:rPr>
                <w:rFonts w:ascii="Arial" w:eastAsia="Times New Roman" w:hAnsi="Arial" w:cs="Arial"/>
                <w:color w:val="000000"/>
                <w:sz w:val="22"/>
                <w:szCs w:val="22"/>
                <w:lang w:eastAsia="en-GB"/>
              </w:rPr>
            </w:pPr>
          </w:p>
          <w:p w14:paraId="2240C904" w14:textId="77777777" w:rsidR="005B07AD" w:rsidRPr="007D003C" w:rsidRDefault="005B07AD" w:rsidP="003623A4">
            <w:pPr>
              <w:jc w:val="both"/>
              <w:rPr>
                <w:rFonts w:ascii="Arial" w:hAnsi="Arial" w:cs="Arial"/>
                <w:b/>
                <w:bCs/>
                <w:sz w:val="22"/>
                <w:szCs w:val="22"/>
              </w:rPr>
            </w:pPr>
            <w:r w:rsidRPr="007D003C">
              <w:rPr>
                <w:rFonts w:ascii="Arial" w:hAnsi="Arial" w:cs="Arial"/>
                <w:b/>
                <w:bCs/>
                <w:noProof/>
                <w:sz w:val="22"/>
                <w:szCs w:val="22"/>
              </w:rPr>
              <w:drawing>
                <wp:inline distT="0" distB="0" distL="0" distR="0" wp14:anchorId="5672777D" wp14:editId="0EE55C1D">
                  <wp:extent cx="2749804" cy="2888055"/>
                  <wp:effectExtent l="0" t="0" r="0" b="762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768181" cy="2907356"/>
                          </a:xfrm>
                          <a:prstGeom prst="rect">
                            <a:avLst/>
                          </a:prstGeom>
                        </pic:spPr>
                      </pic:pic>
                    </a:graphicData>
                  </a:graphic>
                </wp:inline>
              </w:drawing>
            </w:r>
          </w:p>
          <w:p w14:paraId="31AC6955" w14:textId="090B6CD0" w:rsidR="005B07AD" w:rsidRPr="007D003C" w:rsidRDefault="005B07AD" w:rsidP="003437F3">
            <w:pPr>
              <w:jc w:val="both"/>
              <w:rPr>
                <w:rFonts w:ascii="Arial" w:hAnsi="Arial" w:cs="Arial"/>
                <w:b/>
                <w:bCs/>
                <w:sz w:val="22"/>
                <w:szCs w:val="22"/>
              </w:rPr>
            </w:pPr>
          </w:p>
        </w:tc>
        <w:tc>
          <w:tcPr>
            <w:tcW w:w="5205" w:type="dxa"/>
          </w:tcPr>
          <w:p w14:paraId="1AFAE3ED" w14:textId="1E20BD82" w:rsidR="003437F3" w:rsidRPr="007D003C" w:rsidRDefault="003437F3" w:rsidP="003437F3">
            <w:pPr>
              <w:jc w:val="both"/>
              <w:rPr>
                <w:rFonts w:ascii="Arial" w:hAnsi="Arial" w:cs="Arial"/>
                <w:sz w:val="22"/>
                <w:szCs w:val="22"/>
              </w:rPr>
            </w:pPr>
            <w:r w:rsidRPr="007D003C">
              <w:rPr>
                <w:rFonts w:ascii="Arial" w:eastAsia="Times New Roman" w:hAnsi="Arial" w:cs="Arial"/>
                <w:i/>
                <w:iCs/>
                <w:color w:val="000000"/>
                <w:sz w:val="22"/>
                <w:szCs w:val="22"/>
                <w:lang w:eastAsia="en-GB"/>
              </w:rPr>
              <w:t>QR – Quick Ratio “provides more severe test of liquidity, it indicates company ability to pay its current Liabilities without relying on the sale of Inventory or External Financing”</w:t>
            </w:r>
            <w:r w:rsidRPr="007D003C">
              <w:rPr>
                <w:rFonts w:ascii="Arial" w:hAnsi="Arial" w:cs="Arial"/>
                <w:sz w:val="22"/>
                <w:szCs w:val="22"/>
              </w:rPr>
              <w:t xml:space="preserve"> </w:t>
            </w:r>
            <w:sdt>
              <w:sdtPr>
                <w:rPr>
                  <w:rFonts w:ascii="Arial" w:hAnsi="Arial" w:cs="Arial"/>
                  <w:sz w:val="22"/>
                  <w:szCs w:val="22"/>
                </w:rPr>
                <w:id w:val="-252056690"/>
                <w:citation/>
              </w:sdtPr>
              <w:sdtEndPr/>
              <w:sdtContent>
                <w:r w:rsidRPr="007D003C">
                  <w:rPr>
                    <w:rFonts w:ascii="Arial" w:hAnsi="Arial" w:cs="Arial"/>
                    <w:sz w:val="22"/>
                    <w:szCs w:val="22"/>
                  </w:rPr>
                  <w:fldChar w:fldCharType="begin"/>
                </w:r>
                <w:r w:rsidRPr="007D003C">
                  <w:rPr>
                    <w:rFonts w:ascii="Arial" w:hAnsi="Arial" w:cs="Arial"/>
                    <w:sz w:val="22"/>
                    <w:szCs w:val="22"/>
                  </w:rPr>
                  <w:instrText xml:space="preserve"> CITATION CFI21 \l 2057 </w:instrText>
                </w:r>
                <w:r w:rsidRPr="007D003C">
                  <w:rPr>
                    <w:rFonts w:ascii="Arial" w:hAnsi="Arial" w:cs="Arial"/>
                    <w:sz w:val="22"/>
                    <w:szCs w:val="22"/>
                  </w:rPr>
                  <w:fldChar w:fldCharType="separate"/>
                </w:r>
                <w:r w:rsidRPr="007D003C">
                  <w:rPr>
                    <w:rFonts w:ascii="Arial" w:hAnsi="Arial" w:cs="Arial"/>
                    <w:noProof/>
                    <w:sz w:val="22"/>
                    <w:szCs w:val="22"/>
                  </w:rPr>
                  <w:t>(CFI, 2015-2021)</w:t>
                </w:r>
                <w:r w:rsidRPr="007D003C">
                  <w:rPr>
                    <w:rFonts w:ascii="Arial" w:hAnsi="Arial" w:cs="Arial"/>
                    <w:sz w:val="22"/>
                    <w:szCs w:val="22"/>
                  </w:rPr>
                  <w:fldChar w:fldCharType="end"/>
                </w:r>
              </w:sdtContent>
            </w:sdt>
          </w:p>
          <w:p w14:paraId="6912D9DF" w14:textId="77777777" w:rsidR="007D003C" w:rsidRPr="007D003C" w:rsidRDefault="007D003C" w:rsidP="003437F3">
            <w:pPr>
              <w:jc w:val="both"/>
              <w:rPr>
                <w:rFonts w:ascii="Arial" w:eastAsia="Times New Roman" w:hAnsi="Arial" w:cs="Arial"/>
                <w:i/>
                <w:iCs/>
                <w:color w:val="000000"/>
                <w:sz w:val="22"/>
                <w:szCs w:val="22"/>
                <w:lang w:eastAsia="en-GB"/>
              </w:rPr>
            </w:pPr>
          </w:p>
          <w:p w14:paraId="459F9417" w14:textId="7FAD316D" w:rsidR="005B07AD" w:rsidRPr="007D003C" w:rsidRDefault="005B07AD" w:rsidP="005B07AD">
            <w:pPr>
              <w:jc w:val="both"/>
              <w:rPr>
                <w:rFonts w:ascii="Arial" w:hAnsi="Arial" w:cs="Arial"/>
                <w:sz w:val="22"/>
                <w:szCs w:val="22"/>
              </w:rPr>
            </w:pPr>
            <w:r w:rsidRPr="007D003C">
              <w:rPr>
                <w:rFonts w:ascii="Arial" w:hAnsi="Arial" w:cs="Arial"/>
                <w:sz w:val="22"/>
                <w:szCs w:val="22"/>
              </w:rPr>
              <w:t>Table</w:t>
            </w:r>
            <w:r w:rsidR="003437F3" w:rsidRPr="007D003C">
              <w:rPr>
                <w:rFonts w:ascii="Arial" w:hAnsi="Arial" w:cs="Arial"/>
                <w:sz w:val="22"/>
                <w:szCs w:val="22"/>
              </w:rPr>
              <w:t>s 3 and</w:t>
            </w:r>
            <w:r w:rsidRPr="007D003C">
              <w:rPr>
                <w:rFonts w:ascii="Arial" w:hAnsi="Arial" w:cs="Arial"/>
                <w:sz w:val="22"/>
                <w:szCs w:val="22"/>
              </w:rPr>
              <w:t xml:space="preserve"> 3.</w:t>
            </w:r>
            <w:r w:rsidR="003437F3" w:rsidRPr="007D003C">
              <w:rPr>
                <w:rFonts w:ascii="Arial" w:hAnsi="Arial" w:cs="Arial"/>
                <w:sz w:val="22"/>
                <w:szCs w:val="22"/>
              </w:rPr>
              <w:t xml:space="preserve">3 </w:t>
            </w:r>
            <w:r w:rsidRPr="007D003C">
              <w:rPr>
                <w:rFonts w:ascii="Arial" w:hAnsi="Arial" w:cs="Arial"/>
                <w:sz w:val="22"/>
                <w:szCs w:val="22"/>
              </w:rPr>
              <w:t xml:space="preserve">present </w:t>
            </w:r>
            <w:r w:rsidR="003437F3" w:rsidRPr="007D003C">
              <w:rPr>
                <w:rFonts w:ascii="Arial" w:hAnsi="Arial" w:cs="Arial"/>
                <w:sz w:val="22"/>
                <w:szCs w:val="22"/>
              </w:rPr>
              <w:t xml:space="preserve">QR </w:t>
            </w:r>
            <w:r w:rsidR="00F05BDA" w:rsidRPr="007D003C">
              <w:rPr>
                <w:rFonts w:ascii="Arial" w:hAnsi="Arial" w:cs="Arial"/>
                <w:sz w:val="22"/>
                <w:szCs w:val="22"/>
              </w:rPr>
              <w:t>assessments</w:t>
            </w:r>
            <w:r w:rsidRPr="007D003C">
              <w:rPr>
                <w:rFonts w:ascii="Arial" w:hAnsi="Arial" w:cs="Arial"/>
                <w:sz w:val="22"/>
                <w:szCs w:val="22"/>
              </w:rPr>
              <w:t xml:space="preserve"> of company liquidity for the period 2015-20</w:t>
            </w:r>
            <w:r w:rsidR="003437F3" w:rsidRPr="007D003C">
              <w:rPr>
                <w:rFonts w:ascii="Arial" w:hAnsi="Arial" w:cs="Arial"/>
                <w:sz w:val="22"/>
                <w:szCs w:val="22"/>
              </w:rPr>
              <w:t>20</w:t>
            </w:r>
            <w:r w:rsidRPr="007D003C">
              <w:rPr>
                <w:rFonts w:ascii="Arial" w:hAnsi="Arial" w:cs="Arial"/>
                <w:sz w:val="22"/>
                <w:szCs w:val="22"/>
              </w:rPr>
              <w:t xml:space="preserve">– or </w:t>
            </w:r>
            <w:r w:rsidR="00DC08AB">
              <w:rPr>
                <w:rFonts w:ascii="Arial" w:hAnsi="Arial" w:cs="Arial"/>
                <w:sz w:val="22"/>
                <w:szCs w:val="22"/>
              </w:rPr>
              <w:t xml:space="preserve">the </w:t>
            </w:r>
            <w:r w:rsidRPr="007D003C">
              <w:rPr>
                <w:rFonts w:ascii="Arial" w:hAnsi="Arial" w:cs="Arial"/>
                <w:sz w:val="22"/>
                <w:szCs w:val="22"/>
              </w:rPr>
              <w:t xml:space="preserve">company’s </w:t>
            </w:r>
            <w:r w:rsidR="00F05BDA" w:rsidRPr="007D003C">
              <w:rPr>
                <w:rFonts w:ascii="Arial" w:hAnsi="Arial" w:cs="Arial"/>
                <w:sz w:val="22"/>
                <w:szCs w:val="22"/>
              </w:rPr>
              <w:t>capacity</w:t>
            </w:r>
            <w:r w:rsidRPr="007D003C">
              <w:rPr>
                <w:rFonts w:ascii="Arial" w:hAnsi="Arial" w:cs="Arial"/>
                <w:sz w:val="22"/>
                <w:szCs w:val="22"/>
              </w:rPr>
              <w:t xml:space="preserve"> to pay its </w:t>
            </w:r>
            <w:r w:rsidR="00F05BDA" w:rsidRPr="007D003C">
              <w:rPr>
                <w:rFonts w:ascii="Arial" w:hAnsi="Arial" w:cs="Arial"/>
                <w:sz w:val="22"/>
                <w:szCs w:val="22"/>
              </w:rPr>
              <w:t>existing</w:t>
            </w:r>
            <w:r w:rsidRPr="007D003C">
              <w:rPr>
                <w:rFonts w:ascii="Arial" w:hAnsi="Arial" w:cs="Arial"/>
                <w:sz w:val="22"/>
                <w:szCs w:val="22"/>
              </w:rPr>
              <w:t xml:space="preserve"> debt</w:t>
            </w:r>
            <w:r w:rsidR="003C5B72">
              <w:rPr>
                <w:rFonts w:ascii="Arial" w:hAnsi="Arial" w:cs="Arial"/>
                <w:sz w:val="22"/>
                <w:szCs w:val="22"/>
              </w:rPr>
              <w:t xml:space="preserve"> </w:t>
            </w:r>
            <w:r w:rsidRPr="007D003C">
              <w:rPr>
                <w:rFonts w:ascii="Arial" w:hAnsi="Arial" w:cs="Arial"/>
                <w:sz w:val="22"/>
                <w:szCs w:val="22"/>
              </w:rPr>
              <w:t xml:space="preserve">without selling inventory or using short-term financing.  The standard </w:t>
            </w:r>
            <w:r w:rsidR="00F05BDA" w:rsidRPr="007D003C">
              <w:rPr>
                <w:rFonts w:ascii="Arial" w:hAnsi="Arial" w:cs="Arial"/>
                <w:sz w:val="22"/>
                <w:szCs w:val="22"/>
              </w:rPr>
              <w:t xml:space="preserve">norm of </w:t>
            </w:r>
            <w:r w:rsidR="003C5B72">
              <w:rPr>
                <w:rFonts w:ascii="Arial" w:hAnsi="Arial" w:cs="Arial"/>
                <w:sz w:val="22"/>
                <w:szCs w:val="22"/>
              </w:rPr>
              <w:t xml:space="preserve">the </w:t>
            </w:r>
            <w:r w:rsidRPr="007D003C">
              <w:rPr>
                <w:rFonts w:ascii="Arial" w:hAnsi="Arial" w:cs="Arial"/>
                <w:sz w:val="22"/>
                <w:szCs w:val="22"/>
              </w:rPr>
              <w:t xml:space="preserve">quick ratio is 1:1. It is </w:t>
            </w:r>
            <w:r w:rsidR="00F05BDA" w:rsidRPr="007D003C">
              <w:rPr>
                <w:rFonts w:ascii="Arial" w:hAnsi="Arial" w:cs="Arial"/>
                <w:sz w:val="22"/>
                <w:szCs w:val="22"/>
              </w:rPr>
              <w:t>noted</w:t>
            </w:r>
            <w:r w:rsidRPr="007D003C">
              <w:rPr>
                <w:rFonts w:ascii="Arial" w:hAnsi="Arial" w:cs="Arial"/>
                <w:sz w:val="22"/>
                <w:szCs w:val="22"/>
              </w:rPr>
              <w:t xml:space="preserve"> that </w:t>
            </w:r>
            <w:r w:rsidR="00F05BDA" w:rsidRPr="007D003C">
              <w:rPr>
                <w:rFonts w:ascii="Arial" w:hAnsi="Arial" w:cs="Arial"/>
                <w:sz w:val="22"/>
                <w:szCs w:val="22"/>
              </w:rPr>
              <w:t>Berkeley’s</w:t>
            </w:r>
            <w:r w:rsidRPr="007D003C">
              <w:rPr>
                <w:rFonts w:ascii="Arial" w:hAnsi="Arial" w:cs="Arial"/>
                <w:sz w:val="22"/>
                <w:szCs w:val="22"/>
              </w:rPr>
              <w:t xml:space="preserve"> quick ratio </w:t>
            </w:r>
            <w:r w:rsidR="00F05BDA" w:rsidRPr="007D003C">
              <w:rPr>
                <w:rFonts w:ascii="Arial" w:hAnsi="Arial" w:cs="Arial"/>
                <w:sz w:val="22"/>
                <w:szCs w:val="22"/>
              </w:rPr>
              <w:t>although</w:t>
            </w:r>
            <w:r w:rsidRPr="007D003C">
              <w:rPr>
                <w:rFonts w:ascii="Arial" w:hAnsi="Arial" w:cs="Arial"/>
                <w:sz w:val="22"/>
                <w:szCs w:val="22"/>
              </w:rPr>
              <w:t xml:space="preserve"> not maintained at the</w:t>
            </w:r>
            <w:r w:rsidR="00F05BDA" w:rsidRPr="007D003C">
              <w:rPr>
                <w:rFonts w:ascii="Arial" w:hAnsi="Arial" w:cs="Arial"/>
                <w:sz w:val="22"/>
                <w:szCs w:val="22"/>
              </w:rPr>
              <w:t xml:space="preserve"> suggested</w:t>
            </w:r>
            <w:r w:rsidRPr="007D003C">
              <w:rPr>
                <w:rFonts w:ascii="Arial" w:hAnsi="Arial" w:cs="Arial"/>
                <w:sz w:val="22"/>
                <w:szCs w:val="22"/>
              </w:rPr>
              <w:t xml:space="preserve"> standard norm</w:t>
            </w:r>
            <w:r w:rsidR="00F05BDA" w:rsidRPr="007D003C">
              <w:rPr>
                <w:rFonts w:ascii="Arial" w:hAnsi="Arial" w:cs="Arial"/>
                <w:sz w:val="22"/>
                <w:szCs w:val="22"/>
              </w:rPr>
              <w:t xml:space="preserve"> (1:1)</w:t>
            </w:r>
            <w:r w:rsidRPr="007D003C">
              <w:rPr>
                <w:rFonts w:ascii="Arial" w:hAnsi="Arial" w:cs="Arial"/>
                <w:sz w:val="22"/>
                <w:szCs w:val="22"/>
              </w:rPr>
              <w:t xml:space="preserve">, </w:t>
            </w:r>
            <w:r w:rsidR="00CE149B" w:rsidRPr="007D003C">
              <w:rPr>
                <w:rFonts w:ascii="Arial" w:hAnsi="Arial" w:cs="Arial"/>
                <w:sz w:val="22"/>
                <w:szCs w:val="22"/>
              </w:rPr>
              <w:t xml:space="preserve">it had gradually recovered from 0.4 in 2015 to 0.9 in 2019-20 </w:t>
            </w:r>
            <w:r w:rsidRPr="007D003C">
              <w:rPr>
                <w:rFonts w:ascii="Arial" w:hAnsi="Arial" w:cs="Arial"/>
                <w:sz w:val="22"/>
                <w:szCs w:val="22"/>
              </w:rPr>
              <w:t>improving its</w:t>
            </w:r>
            <w:r w:rsidR="00CE149B" w:rsidRPr="007D003C">
              <w:rPr>
                <w:rFonts w:ascii="Arial" w:hAnsi="Arial" w:cs="Arial"/>
                <w:sz w:val="22"/>
                <w:szCs w:val="22"/>
              </w:rPr>
              <w:t xml:space="preserve"> liquidity</w:t>
            </w:r>
            <w:r w:rsidRPr="007D003C">
              <w:rPr>
                <w:rFonts w:ascii="Arial" w:hAnsi="Arial" w:cs="Arial"/>
                <w:sz w:val="22"/>
                <w:szCs w:val="22"/>
              </w:rPr>
              <w:t xml:space="preserve"> position and almost reaching the </w:t>
            </w:r>
            <w:r w:rsidR="00CE149B" w:rsidRPr="007D003C">
              <w:rPr>
                <w:rFonts w:ascii="Arial" w:hAnsi="Arial" w:cs="Arial"/>
                <w:sz w:val="22"/>
                <w:szCs w:val="22"/>
              </w:rPr>
              <w:t xml:space="preserve">standard </w:t>
            </w:r>
            <w:r w:rsidRPr="007D003C">
              <w:rPr>
                <w:rFonts w:ascii="Arial" w:hAnsi="Arial" w:cs="Arial"/>
                <w:sz w:val="22"/>
                <w:szCs w:val="22"/>
              </w:rPr>
              <w:t>norm</w:t>
            </w:r>
            <w:r w:rsidR="00CE149B" w:rsidRPr="007D003C">
              <w:rPr>
                <w:rFonts w:ascii="Arial" w:hAnsi="Arial" w:cs="Arial"/>
                <w:sz w:val="22"/>
                <w:szCs w:val="22"/>
              </w:rPr>
              <w:t>.</w:t>
            </w:r>
          </w:p>
          <w:p w14:paraId="1601063B" w14:textId="77777777" w:rsidR="005B07AD" w:rsidRPr="007D003C" w:rsidRDefault="005B07AD" w:rsidP="005B07AD">
            <w:pPr>
              <w:jc w:val="both"/>
              <w:rPr>
                <w:rFonts w:ascii="Arial" w:hAnsi="Arial" w:cs="Arial"/>
                <w:sz w:val="22"/>
                <w:szCs w:val="22"/>
              </w:rPr>
            </w:pPr>
          </w:p>
          <w:p w14:paraId="3E51B6C6" w14:textId="34B52181" w:rsidR="00A92553" w:rsidRPr="007D003C" w:rsidRDefault="00A92553" w:rsidP="003623A4">
            <w:pPr>
              <w:jc w:val="both"/>
              <w:rPr>
                <w:rFonts w:ascii="Arial" w:hAnsi="Arial" w:cs="Arial"/>
                <w:b/>
                <w:bCs/>
                <w:sz w:val="22"/>
                <w:szCs w:val="22"/>
              </w:rPr>
            </w:pPr>
          </w:p>
        </w:tc>
      </w:tr>
    </w:tbl>
    <w:p w14:paraId="67EB857C" w14:textId="65F80EF6" w:rsidR="00E07DE1" w:rsidRPr="007D003C" w:rsidRDefault="00E07DE1" w:rsidP="003623A4">
      <w:pPr>
        <w:jc w:val="both"/>
        <w:rPr>
          <w:rFonts w:ascii="Arial" w:hAnsi="Arial" w:cs="Arial"/>
          <w:b/>
          <w:bCs/>
          <w:sz w:val="22"/>
          <w:szCs w:val="22"/>
        </w:rPr>
      </w:pPr>
    </w:p>
    <w:p w14:paraId="64029E57" w14:textId="77777777" w:rsidR="00CE149B" w:rsidRPr="007D003C" w:rsidRDefault="00CE149B" w:rsidP="00CE149B">
      <w:pPr>
        <w:jc w:val="both"/>
        <w:rPr>
          <w:rFonts w:ascii="Arial" w:hAnsi="Arial" w:cs="Arial"/>
          <w:b/>
          <w:bCs/>
          <w:sz w:val="22"/>
          <w:szCs w:val="22"/>
        </w:rPr>
      </w:pPr>
      <w:r w:rsidRPr="007D003C">
        <w:rPr>
          <w:rFonts w:ascii="Arial" w:hAnsi="Arial" w:cs="Arial"/>
          <w:b/>
          <w:bCs/>
          <w:sz w:val="22"/>
          <w:szCs w:val="22"/>
        </w:rPr>
        <w:t>Interpretation</w:t>
      </w:r>
    </w:p>
    <w:p w14:paraId="57B8D53F" w14:textId="22CEFC49" w:rsidR="00E07DE1" w:rsidRPr="007D003C" w:rsidRDefault="00CE149B" w:rsidP="003623A4">
      <w:pPr>
        <w:jc w:val="both"/>
        <w:rPr>
          <w:rFonts w:ascii="Arial" w:hAnsi="Arial" w:cs="Arial"/>
          <w:sz w:val="22"/>
          <w:szCs w:val="22"/>
        </w:rPr>
      </w:pPr>
      <w:r w:rsidRPr="007D003C">
        <w:rPr>
          <w:rFonts w:ascii="Arial" w:hAnsi="Arial" w:cs="Arial"/>
          <w:sz w:val="22"/>
          <w:szCs w:val="22"/>
        </w:rPr>
        <w:t xml:space="preserve">Investors and creditors </w:t>
      </w:r>
      <w:r w:rsidR="00001243" w:rsidRPr="007D003C">
        <w:rPr>
          <w:rFonts w:ascii="Arial" w:hAnsi="Arial" w:cs="Arial"/>
          <w:sz w:val="22"/>
          <w:szCs w:val="22"/>
        </w:rPr>
        <w:t>analysing</w:t>
      </w:r>
      <w:r w:rsidRPr="007D003C">
        <w:rPr>
          <w:rFonts w:ascii="Arial" w:hAnsi="Arial" w:cs="Arial"/>
          <w:sz w:val="22"/>
          <w:szCs w:val="22"/>
        </w:rPr>
        <w:t xml:space="preserve"> the business </w:t>
      </w:r>
      <w:r w:rsidR="0064133B" w:rsidRPr="007D003C">
        <w:rPr>
          <w:rFonts w:ascii="Arial" w:hAnsi="Arial" w:cs="Arial"/>
          <w:sz w:val="22"/>
          <w:szCs w:val="22"/>
        </w:rPr>
        <w:t xml:space="preserve">for creditworthiness </w:t>
      </w:r>
      <w:r w:rsidRPr="007D003C">
        <w:rPr>
          <w:rFonts w:ascii="Arial" w:hAnsi="Arial" w:cs="Arial"/>
          <w:sz w:val="22"/>
          <w:szCs w:val="22"/>
        </w:rPr>
        <w:t xml:space="preserve">want to see a company with </w:t>
      </w:r>
      <w:r w:rsidR="003C5B72">
        <w:rPr>
          <w:rFonts w:ascii="Arial" w:hAnsi="Arial" w:cs="Arial"/>
          <w:sz w:val="22"/>
          <w:szCs w:val="22"/>
        </w:rPr>
        <w:t>a</w:t>
      </w:r>
      <w:r w:rsidRPr="007D003C">
        <w:rPr>
          <w:rFonts w:ascii="Arial" w:hAnsi="Arial" w:cs="Arial"/>
          <w:sz w:val="22"/>
          <w:szCs w:val="22"/>
        </w:rPr>
        <w:t xml:space="preserve"> quick ratio above 1. Berkeley’s QR</w:t>
      </w:r>
      <w:r w:rsidR="00001243" w:rsidRPr="007D003C">
        <w:rPr>
          <w:rFonts w:ascii="Arial" w:hAnsi="Arial" w:cs="Arial"/>
          <w:sz w:val="22"/>
          <w:szCs w:val="22"/>
        </w:rPr>
        <w:t>s</w:t>
      </w:r>
      <w:r w:rsidRPr="007D003C">
        <w:rPr>
          <w:rFonts w:ascii="Arial" w:hAnsi="Arial" w:cs="Arial"/>
          <w:sz w:val="22"/>
          <w:szCs w:val="22"/>
        </w:rPr>
        <w:t xml:space="preserve"> for 2015, 2016, 2017 indicate that</w:t>
      </w:r>
      <w:r w:rsidR="003C5B72">
        <w:rPr>
          <w:rFonts w:ascii="Arial" w:hAnsi="Arial" w:cs="Arial"/>
          <w:sz w:val="22"/>
          <w:szCs w:val="22"/>
        </w:rPr>
        <w:t xml:space="preserve"> the</w:t>
      </w:r>
      <w:r w:rsidRPr="007D003C">
        <w:rPr>
          <w:rFonts w:ascii="Arial" w:hAnsi="Arial" w:cs="Arial"/>
          <w:sz w:val="22"/>
          <w:szCs w:val="22"/>
        </w:rPr>
        <w:t xml:space="preserve"> business had not enough capability to resolve its short-term debt if immediate </w:t>
      </w:r>
      <w:r w:rsidR="00001243" w:rsidRPr="007D003C">
        <w:rPr>
          <w:rFonts w:ascii="Arial" w:hAnsi="Arial" w:cs="Arial"/>
          <w:sz w:val="22"/>
          <w:szCs w:val="22"/>
        </w:rPr>
        <w:t>notice is given.</w:t>
      </w:r>
      <w:r w:rsidR="00E6495C" w:rsidRPr="007D003C">
        <w:rPr>
          <w:rFonts w:ascii="Arial" w:hAnsi="Arial" w:cs="Arial"/>
          <w:sz w:val="22"/>
          <w:szCs w:val="22"/>
        </w:rPr>
        <w:t xml:space="preserve"> </w:t>
      </w:r>
      <w:r w:rsidR="00CC7AC5" w:rsidRPr="007D003C">
        <w:rPr>
          <w:rFonts w:ascii="Arial" w:hAnsi="Arial" w:cs="Arial"/>
          <w:sz w:val="22"/>
          <w:szCs w:val="22"/>
        </w:rPr>
        <w:t>“</w:t>
      </w:r>
      <w:r w:rsidR="00C42852" w:rsidRPr="007D003C">
        <w:rPr>
          <w:rFonts w:ascii="Arial" w:hAnsi="Arial" w:cs="Arial"/>
          <w:sz w:val="22"/>
          <w:szCs w:val="22"/>
        </w:rPr>
        <w:t xml:space="preserve">QR </w:t>
      </w:r>
      <w:r w:rsidR="00CC7AC5" w:rsidRPr="007D003C">
        <w:rPr>
          <w:rFonts w:ascii="Arial" w:hAnsi="Arial" w:cs="Arial"/>
          <w:sz w:val="22"/>
          <w:szCs w:val="22"/>
        </w:rPr>
        <w:t>considers</w:t>
      </w:r>
      <w:r w:rsidR="00C42852" w:rsidRPr="007D003C">
        <w:rPr>
          <w:rFonts w:ascii="Arial" w:hAnsi="Arial" w:cs="Arial"/>
          <w:sz w:val="22"/>
          <w:szCs w:val="22"/>
        </w:rPr>
        <w:t xml:space="preserve"> more liquid assets such as cash, accounts receivables, and marketable securities</w:t>
      </w:r>
      <w:r w:rsidR="00CC7AC5" w:rsidRPr="007D003C">
        <w:rPr>
          <w:rFonts w:ascii="Arial" w:hAnsi="Arial" w:cs="Arial"/>
          <w:sz w:val="22"/>
          <w:szCs w:val="22"/>
        </w:rPr>
        <w:t xml:space="preserve">” </w:t>
      </w:r>
      <w:sdt>
        <w:sdtPr>
          <w:rPr>
            <w:rFonts w:ascii="Arial" w:hAnsi="Arial" w:cs="Arial"/>
            <w:sz w:val="22"/>
            <w:szCs w:val="22"/>
          </w:rPr>
          <w:id w:val="-455405138"/>
          <w:citation/>
        </w:sdtPr>
        <w:sdtEndPr/>
        <w:sdtContent>
          <w:r w:rsidR="00CC7AC5" w:rsidRPr="007D003C">
            <w:rPr>
              <w:rFonts w:ascii="Arial" w:hAnsi="Arial" w:cs="Arial"/>
              <w:sz w:val="22"/>
              <w:szCs w:val="22"/>
            </w:rPr>
            <w:fldChar w:fldCharType="begin"/>
          </w:r>
          <w:r w:rsidR="00CC7AC5" w:rsidRPr="007D003C">
            <w:rPr>
              <w:rFonts w:ascii="Arial" w:hAnsi="Arial" w:cs="Arial"/>
              <w:sz w:val="22"/>
              <w:szCs w:val="22"/>
            </w:rPr>
            <w:instrText xml:space="preserve"> CITATION CFI21 \l 2057 </w:instrText>
          </w:r>
          <w:r w:rsidR="00CC7AC5" w:rsidRPr="007D003C">
            <w:rPr>
              <w:rFonts w:ascii="Arial" w:hAnsi="Arial" w:cs="Arial"/>
              <w:sz w:val="22"/>
              <w:szCs w:val="22"/>
            </w:rPr>
            <w:fldChar w:fldCharType="separate"/>
          </w:r>
          <w:r w:rsidR="00CC7AC5" w:rsidRPr="007D003C">
            <w:rPr>
              <w:rFonts w:ascii="Arial" w:hAnsi="Arial" w:cs="Arial"/>
              <w:noProof/>
              <w:sz w:val="22"/>
              <w:szCs w:val="22"/>
            </w:rPr>
            <w:t>(CFI, 2015-2021)</w:t>
          </w:r>
          <w:r w:rsidR="00CC7AC5" w:rsidRPr="007D003C">
            <w:rPr>
              <w:rFonts w:ascii="Arial" w:hAnsi="Arial" w:cs="Arial"/>
              <w:sz w:val="22"/>
              <w:szCs w:val="22"/>
            </w:rPr>
            <w:fldChar w:fldCharType="end"/>
          </w:r>
        </w:sdtContent>
      </w:sdt>
      <w:r w:rsidR="00C42852" w:rsidRPr="007D003C">
        <w:rPr>
          <w:rFonts w:ascii="Arial" w:hAnsi="Arial" w:cs="Arial"/>
          <w:sz w:val="22"/>
          <w:szCs w:val="22"/>
        </w:rPr>
        <w:t>, so the QR metrics represent</w:t>
      </w:r>
      <w:r w:rsidR="003C5B72">
        <w:rPr>
          <w:rFonts w:ascii="Arial" w:hAnsi="Arial" w:cs="Arial"/>
          <w:sz w:val="22"/>
          <w:szCs w:val="22"/>
        </w:rPr>
        <w:t xml:space="preserve"> the</w:t>
      </w:r>
      <w:r w:rsidR="00C42852" w:rsidRPr="007D003C">
        <w:rPr>
          <w:rFonts w:ascii="Arial" w:hAnsi="Arial" w:cs="Arial"/>
          <w:sz w:val="22"/>
          <w:szCs w:val="22"/>
        </w:rPr>
        <w:t xml:space="preserve"> </w:t>
      </w:r>
      <w:r w:rsidR="0064133B" w:rsidRPr="007D003C">
        <w:rPr>
          <w:rFonts w:ascii="Arial" w:hAnsi="Arial" w:cs="Arial"/>
          <w:sz w:val="22"/>
          <w:szCs w:val="22"/>
        </w:rPr>
        <w:t>truer</w:t>
      </w:r>
      <w:r w:rsidR="00C42852" w:rsidRPr="007D003C">
        <w:rPr>
          <w:rFonts w:ascii="Arial" w:hAnsi="Arial" w:cs="Arial"/>
          <w:sz w:val="22"/>
          <w:szCs w:val="22"/>
        </w:rPr>
        <w:t xml:space="preserve"> picture of</w:t>
      </w:r>
      <w:r w:rsidR="003C5B72">
        <w:rPr>
          <w:rFonts w:ascii="Arial" w:hAnsi="Arial" w:cs="Arial"/>
          <w:sz w:val="22"/>
          <w:szCs w:val="22"/>
        </w:rPr>
        <w:t xml:space="preserve"> the</w:t>
      </w:r>
      <w:r w:rsidR="00C42852" w:rsidRPr="007D003C">
        <w:rPr>
          <w:rFonts w:ascii="Arial" w:hAnsi="Arial" w:cs="Arial"/>
          <w:sz w:val="22"/>
          <w:szCs w:val="22"/>
        </w:rPr>
        <w:t xml:space="preserve"> company’s capabilities to settle</w:t>
      </w:r>
      <w:r w:rsidR="003C5B72">
        <w:rPr>
          <w:rFonts w:ascii="Arial" w:hAnsi="Arial" w:cs="Arial"/>
          <w:sz w:val="22"/>
          <w:szCs w:val="22"/>
        </w:rPr>
        <w:t xml:space="preserve"> a</w:t>
      </w:r>
      <w:r w:rsidR="00C42852" w:rsidRPr="007D003C">
        <w:rPr>
          <w:rFonts w:ascii="Arial" w:hAnsi="Arial" w:cs="Arial"/>
          <w:sz w:val="22"/>
          <w:szCs w:val="22"/>
        </w:rPr>
        <w:t xml:space="preserve"> short-term debt. </w:t>
      </w:r>
      <w:r w:rsidR="00E6495C" w:rsidRPr="007D003C">
        <w:rPr>
          <w:rFonts w:ascii="Arial" w:hAnsi="Arial" w:cs="Arial"/>
          <w:sz w:val="22"/>
          <w:szCs w:val="22"/>
        </w:rPr>
        <w:t xml:space="preserve"> </w:t>
      </w:r>
      <w:r w:rsidR="00C42852" w:rsidRPr="007D003C">
        <w:rPr>
          <w:rFonts w:ascii="Arial" w:hAnsi="Arial" w:cs="Arial"/>
          <w:sz w:val="22"/>
          <w:szCs w:val="22"/>
        </w:rPr>
        <w:t>Taking into consideration,</w:t>
      </w:r>
      <w:r w:rsidR="00001243" w:rsidRPr="007D003C">
        <w:rPr>
          <w:rFonts w:ascii="Arial" w:hAnsi="Arial" w:cs="Arial"/>
          <w:sz w:val="22"/>
          <w:szCs w:val="22"/>
        </w:rPr>
        <w:t xml:space="preserve"> the nature of the construction industry, Berkeley</w:t>
      </w:r>
      <w:r w:rsidRPr="007D003C">
        <w:rPr>
          <w:rFonts w:ascii="Arial" w:hAnsi="Arial" w:cs="Arial"/>
          <w:sz w:val="22"/>
          <w:szCs w:val="22"/>
        </w:rPr>
        <w:t xml:space="preserve"> </w:t>
      </w:r>
      <w:r w:rsidR="00001243" w:rsidRPr="007D003C">
        <w:rPr>
          <w:rFonts w:ascii="Arial" w:hAnsi="Arial" w:cs="Arial"/>
          <w:sz w:val="22"/>
          <w:szCs w:val="22"/>
        </w:rPr>
        <w:t xml:space="preserve">holds a </w:t>
      </w:r>
      <w:r w:rsidRPr="007D003C">
        <w:rPr>
          <w:rFonts w:ascii="Arial" w:hAnsi="Arial" w:cs="Arial"/>
          <w:sz w:val="22"/>
          <w:szCs w:val="22"/>
        </w:rPr>
        <w:t>high level of stock for expanded operations</w:t>
      </w:r>
      <w:r w:rsidR="00001243" w:rsidRPr="007D003C">
        <w:rPr>
          <w:rFonts w:ascii="Arial" w:hAnsi="Arial" w:cs="Arial"/>
          <w:sz w:val="22"/>
          <w:szCs w:val="22"/>
        </w:rPr>
        <w:t>, hence why the</w:t>
      </w:r>
      <w:r w:rsidR="00C42852" w:rsidRPr="007D003C">
        <w:rPr>
          <w:rFonts w:ascii="Arial" w:hAnsi="Arial" w:cs="Arial"/>
          <w:sz w:val="22"/>
          <w:szCs w:val="22"/>
        </w:rPr>
        <w:t xml:space="preserve"> QR</w:t>
      </w:r>
      <w:r w:rsidR="00001243" w:rsidRPr="007D003C">
        <w:rPr>
          <w:rFonts w:ascii="Arial" w:hAnsi="Arial" w:cs="Arial"/>
          <w:sz w:val="22"/>
          <w:szCs w:val="22"/>
        </w:rPr>
        <w:t xml:space="preserve"> metrics position. The industry player </w:t>
      </w:r>
      <w:r w:rsidR="00001243" w:rsidRPr="007D003C">
        <w:rPr>
          <w:rFonts w:ascii="Arial" w:eastAsia="Times New Roman" w:hAnsi="Arial" w:cs="Arial"/>
          <w:b/>
          <w:bCs/>
          <w:i/>
          <w:iCs/>
          <w:color w:val="000000"/>
          <w:sz w:val="22"/>
          <w:szCs w:val="22"/>
          <w:lang w:eastAsia="en-GB"/>
        </w:rPr>
        <w:t>Balfour Beatty PLC in 2019</w:t>
      </w:r>
      <w:r w:rsidR="00001243" w:rsidRPr="007D003C">
        <w:rPr>
          <w:rFonts w:ascii="Arial" w:eastAsia="Times New Roman" w:hAnsi="Arial" w:cs="Arial"/>
          <w:color w:val="000000"/>
          <w:sz w:val="22"/>
          <w:szCs w:val="22"/>
          <w:lang w:eastAsia="en-GB"/>
        </w:rPr>
        <w:t xml:space="preserve"> </w:t>
      </w:r>
      <w:r w:rsidR="00001243" w:rsidRPr="007D003C">
        <w:rPr>
          <w:rFonts w:ascii="Arial" w:hAnsi="Arial" w:cs="Arial"/>
          <w:sz w:val="22"/>
          <w:szCs w:val="22"/>
        </w:rPr>
        <w:t xml:space="preserve">held </w:t>
      </w:r>
      <w:r w:rsidR="00C42852" w:rsidRPr="007D003C">
        <w:rPr>
          <w:rFonts w:ascii="Arial" w:hAnsi="Arial" w:cs="Arial"/>
          <w:sz w:val="22"/>
          <w:szCs w:val="22"/>
        </w:rPr>
        <w:t xml:space="preserve">a similar position (QR-0.87).  </w:t>
      </w:r>
      <w:r w:rsidR="0064133B" w:rsidRPr="007D003C">
        <w:rPr>
          <w:rFonts w:ascii="Arial" w:hAnsi="Arial" w:cs="Arial"/>
          <w:sz w:val="22"/>
          <w:szCs w:val="22"/>
        </w:rPr>
        <w:t>Having said that, from 2018 through to 2020 Berkeley improved its QR significantly (as high as 0.9), i.e.,</w:t>
      </w:r>
      <w:r w:rsidR="003C5B72">
        <w:rPr>
          <w:rFonts w:ascii="Arial" w:hAnsi="Arial" w:cs="Arial"/>
          <w:sz w:val="22"/>
          <w:szCs w:val="22"/>
        </w:rPr>
        <w:t xml:space="preserve"> the</w:t>
      </w:r>
      <w:r w:rsidR="0064133B" w:rsidRPr="007D003C">
        <w:rPr>
          <w:rFonts w:ascii="Arial" w:hAnsi="Arial" w:cs="Arial"/>
          <w:sz w:val="22"/>
          <w:szCs w:val="22"/>
        </w:rPr>
        <w:t xml:space="preserve"> company has more </w:t>
      </w:r>
      <w:r w:rsidR="00B64951" w:rsidRPr="007D003C">
        <w:rPr>
          <w:rFonts w:ascii="Arial" w:hAnsi="Arial" w:cs="Arial"/>
          <w:sz w:val="22"/>
          <w:szCs w:val="22"/>
        </w:rPr>
        <w:t>readily</w:t>
      </w:r>
      <w:r w:rsidR="0064133B" w:rsidRPr="007D003C">
        <w:rPr>
          <w:rFonts w:ascii="Arial" w:hAnsi="Arial" w:cs="Arial"/>
          <w:sz w:val="22"/>
          <w:szCs w:val="22"/>
        </w:rPr>
        <w:t xml:space="preserve"> available assets to offset the </w:t>
      </w:r>
      <w:r w:rsidR="00B64951" w:rsidRPr="007D003C">
        <w:rPr>
          <w:rFonts w:ascii="Arial" w:hAnsi="Arial" w:cs="Arial"/>
          <w:sz w:val="22"/>
          <w:szCs w:val="22"/>
        </w:rPr>
        <w:t>short-term liabilities.  It is important to note, that Liquidity ratios (Current, Quick, and Cash) “vary by the numerators used in the equation, consequently</w:t>
      </w:r>
      <w:r w:rsidR="003C5B72">
        <w:rPr>
          <w:rFonts w:ascii="Arial" w:hAnsi="Arial" w:cs="Arial"/>
          <w:sz w:val="22"/>
          <w:szCs w:val="22"/>
        </w:rPr>
        <w:t>,</w:t>
      </w:r>
      <w:r w:rsidR="00B64951" w:rsidRPr="007D003C">
        <w:rPr>
          <w:rFonts w:ascii="Arial" w:hAnsi="Arial" w:cs="Arial"/>
          <w:sz w:val="22"/>
          <w:szCs w:val="22"/>
        </w:rPr>
        <w:t xml:space="preserve"> an acceptable ratio figure will differ between the three” ratios, i.e.,” “an acceptable current ratio will be higher than an acceptable quick ratio, and both will be higher than an acceptable cash ratio” </w:t>
      </w:r>
      <w:sdt>
        <w:sdtPr>
          <w:rPr>
            <w:rFonts w:ascii="Arial" w:hAnsi="Arial" w:cs="Arial"/>
            <w:sz w:val="22"/>
            <w:szCs w:val="22"/>
          </w:rPr>
          <w:id w:val="1527673356"/>
          <w:citation/>
        </w:sdtPr>
        <w:sdtEndPr/>
        <w:sdtContent>
          <w:r w:rsidR="00B64951" w:rsidRPr="007D003C">
            <w:rPr>
              <w:rFonts w:ascii="Arial" w:hAnsi="Arial" w:cs="Arial"/>
              <w:sz w:val="22"/>
              <w:szCs w:val="22"/>
            </w:rPr>
            <w:fldChar w:fldCharType="begin"/>
          </w:r>
          <w:r w:rsidR="00B64951" w:rsidRPr="007D003C">
            <w:rPr>
              <w:rFonts w:ascii="Arial" w:hAnsi="Arial" w:cs="Arial"/>
              <w:sz w:val="22"/>
              <w:szCs w:val="22"/>
            </w:rPr>
            <w:instrText xml:space="preserve"> CITATION CFI21 \l 2057 </w:instrText>
          </w:r>
          <w:r w:rsidR="00B64951" w:rsidRPr="007D003C">
            <w:rPr>
              <w:rFonts w:ascii="Arial" w:hAnsi="Arial" w:cs="Arial"/>
              <w:sz w:val="22"/>
              <w:szCs w:val="22"/>
            </w:rPr>
            <w:fldChar w:fldCharType="separate"/>
          </w:r>
          <w:r w:rsidR="00B64951" w:rsidRPr="007D003C">
            <w:rPr>
              <w:rFonts w:ascii="Arial" w:hAnsi="Arial" w:cs="Arial"/>
              <w:sz w:val="22"/>
              <w:szCs w:val="22"/>
            </w:rPr>
            <w:t>(CFI, 2015-2021)</w:t>
          </w:r>
          <w:r w:rsidR="00B64951" w:rsidRPr="007D003C">
            <w:rPr>
              <w:rFonts w:ascii="Arial" w:hAnsi="Arial" w:cs="Arial"/>
              <w:sz w:val="22"/>
              <w:szCs w:val="22"/>
            </w:rPr>
            <w:fldChar w:fldCharType="end"/>
          </w:r>
        </w:sdtContent>
      </w:sdt>
      <w:r w:rsidR="00B64951" w:rsidRPr="007D003C">
        <w:rPr>
          <w:rFonts w:ascii="Arial" w:hAnsi="Arial" w:cs="Arial"/>
          <w:sz w:val="22"/>
          <w:szCs w:val="22"/>
        </w:rPr>
        <w:t>.</w:t>
      </w:r>
      <w:r w:rsidR="006D609E" w:rsidRPr="007D003C">
        <w:rPr>
          <w:rFonts w:ascii="Arial" w:hAnsi="Arial" w:cs="Arial"/>
          <w:sz w:val="22"/>
          <w:szCs w:val="22"/>
        </w:rPr>
        <w:t xml:space="preserve">  Therefore</w:t>
      </w:r>
      <w:r w:rsidR="007D003C" w:rsidRPr="007D003C">
        <w:rPr>
          <w:rFonts w:ascii="Arial" w:hAnsi="Arial" w:cs="Arial"/>
          <w:sz w:val="22"/>
          <w:szCs w:val="22"/>
        </w:rPr>
        <w:t>,</w:t>
      </w:r>
      <w:r w:rsidR="006D609E" w:rsidRPr="007D003C">
        <w:rPr>
          <w:rFonts w:ascii="Arial" w:hAnsi="Arial" w:cs="Arial"/>
          <w:sz w:val="22"/>
          <w:szCs w:val="22"/>
        </w:rPr>
        <w:t xml:space="preserve"> evaluating a combination of CR (2.8) and QR (0.9) suggest</w:t>
      </w:r>
      <w:r w:rsidR="003C5B72">
        <w:rPr>
          <w:rFonts w:ascii="Arial" w:hAnsi="Arial" w:cs="Arial"/>
          <w:sz w:val="22"/>
          <w:szCs w:val="22"/>
        </w:rPr>
        <w:t>s</w:t>
      </w:r>
      <w:r w:rsidR="006D609E" w:rsidRPr="007D003C">
        <w:rPr>
          <w:rFonts w:ascii="Arial" w:hAnsi="Arial" w:cs="Arial"/>
          <w:sz w:val="22"/>
          <w:szCs w:val="22"/>
        </w:rPr>
        <w:t xml:space="preserve"> that</w:t>
      </w:r>
      <w:r w:rsidR="003C5B72">
        <w:rPr>
          <w:rFonts w:ascii="Arial" w:hAnsi="Arial" w:cs="Arial"/>
          <w:sz w:val="22"/>
          <w:szCs w:val="22"/>
        </w:rPr>
        <w:t xml:space="preserve"> the</w:t>
      </w:r>
      <w:r w:rsidR="006D609E" w:rsidRPr="007D003C">
        <w:rPr>
          <w:rFonts w:ascii="Arial" w:hAnsi="Arial" w:cs="Arial"/>
          <w:sz w:val="22"/>
          <w:szCs w:val="22"/>
        </w:rPr>
        <w:t xml:space="preserve"> company do</w:t>
      </w:r>
      <w:r w:rsidR="003C5B72">
        <w:rPr>
          <w:rFonts w:ascii="Arial" w:hAnsi="Arial" w:cs="Arial"/>
          <w:sz w:val="22"/>
          <w:szCs w:val="22"/>
        </w:rPr>
        <w:t>es</w:t>
      </w:r>
      <w:r w:rsidR="006D609E" w:rsidRPr="007D003C">
        <w:rPr>
          <w:rFonts w:ascii="Arial" w:hAnsi="Arial" w:cs="Arial"/>
          <w:sz w:val="22"/>
          <w:szCs w:val="22"/>
        </w:rPr>
        <w:t xml:space="preserve"> not have immediate liquidity problems.</w:t>
      </w:r>
    </w:p>
    <w:p w14:paraId="0970BA46" w14:textId="5CC5AC1B" w:rsidR="00E0749C" w:rsidRPr="007D003C" w:rsidRDefault="00E0749C" w:rsidP="005A4268">
      <w:pPr>
        <w:rPr>
          <w:rFonts w:ascii="Arial" w:hAnsi="Arial" w:cs="Arial"/>
          <w:sz w:val="22"/>
          <w:szCs w:val="22"/>
        </w:rPr>
      </w:pPr>
      <w:r w:rsidRPr="007D003C">
        <w:rPr>
          <w:rFonts w:ascii="Arial" w:hAnsi="Arial" w:cs="Arial"/>
          <w:sz w:val="22"/>
          <w:szCs w:val="22"/>
        </w:rPr>
        <w:t>C</w:t>
      </w:r>
      <w:r w:rsidR="00062D97" w:rsidRPr="007D003C">
        <w:rPr>
          <w:rFonts w:ascii="Arial" w:hAnsi="Arial" w:cs="Arial"/>
          <w:sz w:val="22"/>
          <w:szCs w:val="22"/>
        </w:rPr>
        <w:t>onclusion</w:t>
      </w:r>
    </w:p>
    <w:p w14:paraId="524770D7" w14:textId="30F0BFCC" w:rsidR="00D635BE" w:rsidRPr="004B7B23" w:rsidRDefault="00E0749C" w:rsidP="00A712BF">
      <w:pPr>
        <w:jc w:val="both"/>
        <w:rPr>
          <w:rFonts w:ascii="Arial" w:hAnsi="Arial" w:cs="Arial"/>
          <w:sz w:val="22"/>
          <w:szCs w:val="22"/>
        </w:rPr>
      </w:pPr>
      <w:r w:rsidRPr="007D003C">
        <w:rPr>
          <w:rFonts w:ascii="Arial" w:hAnsi="Arial" w:cs="Arial"/>
          <w:sz w:val="22"/>
          <w:szCs w:val="22"/>
        </w:rPr>
        <w:t xml:space="preserve">Liquidity management is </w:t>
      </w:r>
      <w:r w:rsidR="00ED1847" w:rsidRPr="007D003C">
        <w:rPr>
          <w:rFonts w:ascii="Arial" w:hAnsi="Arial" w:cs="Arial"/>
          <w:sz w:val="22"/>
          <w:szCs w:val="22"/>
        </w:rPr>
        <w:t>critical</w:t>
      </w:r>
      <w:r w:rsidRPr="007D003C">
        <w:rPr>
          <w:rFonts w:ascii="Arial" w:hAnsi="Arial" w:cs="Arial"/>
          <w:sz w:val="22"/>
          <w:szCs w:val="22"/>
        </w:rPr>
        <w:t xml:space="preserve"> for </w:t>
      </w:r>
      <w:r w:rsidR="00ED1847" w:rsidRPr="007D003C">
        <w:rPr>
          <w:rFonts w:ascii="Arial" w:hAnsi="Arial" w:cs="Arial"/>
          <w:sz w:val="22"/>
          <w:szCs w:val="22"/>
        </w:rPr>
        <w:t>Berkeley</w:t>
      </w:r>
      <w:r w:rsidR="00BF2B8E" w:rsidRPr="007D003C">
        <w:rPr>
          <w:rFonts w:ascii="Arial" w:hAnsi="Arial" w:cs="Arial"/>
          <w:sz w:val="22"/>
          <w:szCs w:val="22"/>
        </w:rPr>
        <w:t>,</w:t>
      </w:r>
      <w:r w:rsidR="00ED1847" w:rsidRPr="007D003C">
        <w:rPr>
          <w:rFonts w:ascii="Arial" w:hAnsi="Arial" w:cs="Arial"/>
          <w:sz w:val="22"/>
          <w:szCs w:val="22"/>
        </w:rPr>
        <w:t xml:space="preserve"> as for </w:t>
      </w:r>
      <w:r w:rsidRPr="007D003C">
        <w:rPr>
          <w:rFonts w:ascii="Arial" w:hAnsi="Arial" w:cs="Arial"/>
          <w:sz w:val="22"/>
          <w:szCs w:val="22"/>
        </w:rPr>
        <w:t xml:space="preserve">every </w:t>
      </w:r>
      <w:r w:rsidR="00ED1847" w:rsidRPr="007D003C">
        <w:rPr>
          <w:rFonts w:ascii="Arial" w:hAnsi="Arial" w:cs="Arial"/>
          <w:sz w:val="22"/>
          <w:szCs w:val="22"/>
        </w:rPr>
        <w:t>corporation</w:t>
      </w:r>
      <w:r w:rsidR="00BF2B8E" w:rsidRPr="007D003C">
        <w:rPr>
          <w:rFonts w:ascii="Arial" w:hAnsi="Arial" w:cs="Arial"/>
          <w:sz w:val="22"/>
          <w:szCs w:val="22"/>
        </w:rPr>
        <w:t>,</w:t>
      </w:r>
      <w:r w:rsidRPr="007D003C">
        <w:rPr>
          <w:rFonts w:ascii="Arial" w:hAnsi="Arial" w:cs="Arial"/>
          <w:sz w:val="22"/>
          <w:szCs w:val="22"/>
        </w:rPr>
        <w:t xml:space="preserve"> that means to pay </w:t>
      </w:r>
      <w:r w:rsidR="00ED1847" w:rsidRPr="007D003C">
        <w:rPr>
          <w:rFonts w:ascii="Arial" w:hAnsi="Arial" w:cs="Arial"/>
          <w:sz w:val="22"/>
          <w:szCs w:val="22"/>
        </w:rPr>
        <w:t>existing</w:t>
      </w:r>
      <w:r w:rsidRPr="007D003C">
        <w:rPr>
          <w:rFonts w:ascii="Arial" w:hAnsi="Arial" w:cs="Arial"/>
          <w:sz w:val="22"/>
          <w:szCs w:val="22"/>
        </w:rPr>
        <w:t xml:space="preserve"> operating and financial </w:t>
      </w:r>
      <w:r w:rsidR="00ED1847" w:rsidRPr="007D003C">
        <w:rPr>
          <w:rFonts w:ascii="Arial" w:hAnsi="Arial" w:cs="Arial"/>
          <w:sz w:val="22"/>
          <w:szCs w:val="22"/>
        </w:rPr>
        <w:t>costs</w:t>
      </w:r>
      <w:r w:rsidRPr="007D003C">
        <w:rPr>
          <w:rFonts w:ascii="Arial" w:hAnsi="Arial" w:cs="Arial"/>
          <w:sz w:val="22"/>
          <w:szCs w:val="22"/>
        </w:rPr>
        <w:t xml:space="preserve"> that are short</w:t>
      </w:r>
      <w:r w:rsidR="00BF2B8E" w:rsidRPr="007D003C">
        <w:rPr>
          <w:rFonts w:ascii="Arial" w:hAnsi="Arial" w:cs="Arial"/>
          <w:sz w:val="22"/>
          <w:szCs w:val="22"/>
        </w:rPr>
        <w:t>-</w:t>
      </w:r>
      <w:r w:rsidRPr="007D003C">
        <w:rPr>
          <w:rFonts w:ascii="Arial" w:hAnsi="Arial" w:cs="Arial"/>
          <w:sz w:val="22"/>
          <w:szCs w:val="22"/>
        </w:rPr>
        <w:t>term but maturing long</w:t>
      </w:r>
      <w:r w:rsidR="00BF2B8E" w:rsidRPr="007D003C">
        <w:rPr>
          <w:rFonts w:ascii="Arial" w:hAnsi="Arial" w:cs="Arial"/>
          <w:sz w:val="22"/>
          <w:szCs w:val="22"/>
        </w:rPr>
        <w:t>-</w:t>
      </w:r>
      <w:r w:rsidRPr="007D003C">
        <w:rPr>
          <w:rFonts w:ascii="Arial" w:hAnsi="Arial" w:cs="Arial"/>
          <w:sz w:val="22"/>
          <w:szCs w:val="22"/>
        </w:rPr>
        <w:t xml:space="preserve">term debt. Liquidity ratios </w:t>
      </w:r>
      <w:r w:rsidR="00ED1847" w:rsidRPr="007D003C">
        <w:rPr>
          <w:rFonts w:ascii="Arial" w:hAnsi="Arial" w:cs="Arial"/>
          <w:sz w:val="22"/>
          <w:szCs w:val="22"/>
        </w:rPr>
        <w:t>as a</w:t>
      </w:r>
      <w:r w:rsidRPr="007D003C">
        <w:rPr>
          <w:rFonts w:ascii="Arial" w:hAnsi="Arial" w:cs="Arial"/>
          <w:sz w:val="22"/>
          <w:szCs w:val="22"/>
        </w:rPr>
        <w:t xml:space="preserve"> liquidity management</w:t>
      </w:r>
      <w:r w:rsidR="00ED1847" w:rsidRPr="007D003C">
        <w:rPr>
          <w:rFonts w:ascii="Arial" w:hAnsi="Arial" w:cs="Arial"/>
          <w:sz w:val="22"/>
          <w:szCs w:val="22"/>
        </w:rPr>
        <w:t xml:space="preserve"> tools</w:t>
      </w:r>
      <w:r w:rsidRPr="007D003C">
        <w:rPr>
          <w:rFonts w:ascii="Arial" w:hAnsi="Arial" w:cs="Arial"/>
          <w:sz w:val="22"/>
          <w:szCs w:val="22"/>
        </w:rPr>
        <w:t xml:space="preserve"> greatly affect </w:t>
      </w:r>
      <w:r w:rsidR="00ED1847" w:rsidRPr="007D003C">
        <w:rPr>
          <w:rFonts w:ascii="Arial" w:hAnsi="Arial" w:cs="Arial"/>
          <w:sz w:val="22"/>
          <w:szCs w:val="22"/>
        </w:rPr>
        <w:t xml:space="preserve">the </w:t>
      </w:r>
      <w:r w:rsidRPr="007D003C">
        <w:rPr>
          <w:rFonts w:ascii="Arial" w:hAnsi="Arial" w:cs="Arial"/>
          <w:sz w:val="22"/>
          <w:szCs w:val="22"/>
        </w:rPr>
        <w:t>profitability of organi</w:t>
      </w:r>
      <w:r w:rsidR="00ED1847" w:rsidRPr="007D003C">
        <w:rPr>
          <w:rFonts w:ascii="Arial" w:hAnsi="Arial" w:cs="Arial"/>
          <w:sz w:val="22"/>
          <w:szCs w:val="22"/>
        </w:rPr>
        <w:t>s</w:t>
      </w:r>
      <w:r w:rsidRPr="007D003C">
        <w:rPr>
          <w:rFonts w:ascii="Arial" w:hAnsi="Arial" w:cs="Arial"/>
          <w:sz w:val="22"/>
          <w:szCs w:val="22"/>
        </w:rPr>
        <w:t>ation</w:t>
      </w:r>
      <w:r w:rsidR="00ED1847" w:rsidRPr="007D003C">
        <w:rPr>
          <w:rFonts w:ascii="Arial" w:hAnsi="Arial" w:cs="Arial"/>
          <w:sz w:val="22"/>
          <w:szCs w:val="22"/>
        </w:rPr>
        <w:t>, i.e.,</w:t>
      </w:r>
      <w:r w:rsidR="003C5B72">
        <w:rPr>
          <w:rFonts w:ascii="Arial" w:hAnsi="Arial" w:cs="Arial"/>
          <w:sz w:val="22"/>
          <w:szCs w:val="22"/>
        </w:rPr>
        <w:t xml:space="preserve"> the</w:t>
      </w:r>
      <w:r w:rsidRPr="007D003C">
        <w:rPr>
          <w:rFonts w:ascii="Arial" w:hAnsi="Arial" w:cs="Arial"/>
          <w:sz w:val="22"/>
          <w:szCs w:val="22"/>
        </w:rPr>
        <w:t xml:space="preserve"> business has enough liquid assets (Cash, Bank) to meet the</w:t>
      </w:r>
      <w:r w:rsidR="00ED1847" w:rsidRPr="007D003C">
        <w:rPr>
          <w:rFonts w:ascii="Arial" w:hAnsi="Arial" w:cs="Arial"/>
          <w:sz w:val="22"/>
          <w:szCs w:val="22"/>
        </w:rPr>
        <w:t xml:space="preserve"> scheduled expense</w:t>
      </w:r>
      <w:r w:rsidR="00062D97" w:rsidRPr="007D003C">
        <w:rPr>
          <w:rFonts w:ascii="Arial" w:hAnsi="Arial" w:cs="Arial"/>
          <w:sz w:val="22"/>
          <w:szCs w:val="22"/>
        </w:rPr>
        <w:t>s</w:t>
      </w:r>
      <w:r w:rsidR="00ED1847" w:rsidRPr="007D003C">
        <w:rPr>
          <w:rFonts w:ascii="Arial" w:hAnsi="Arial" w:cs="Arial"/>
          <w:sz w:val="22"/>
          <w:szCs w:val="22"/>
        </w:rPr>
        <w:t>,</w:t>
      </w:r>
      <w:r w:rsidRPr="007D003C">
        <w:rPr>
          <w:rFonts w:ascii="Arial" w:hAnsi="Arial" w:cs="Arial"/>
          <w:sz w:val="22"/>
          <w:szCs w:val="22"/>
        </w:rPr>
        <w:t xml:space="preserve"> by comparing </w:t>
      </w:r>
      <w:r w:rsidR="00ED1847" w:rsidRPr="007D003C">
        <w:rPr>
          <w:rFonts w:ascii="Arial" w:hAnsi="Arial" w:cs="Arial"/>
          <w:sz w:val="22"/>
          <w:szCs w:val="22"/>
        </w:rPr>
        <w:t>“</w:t>
      </w:r>
      <w:r w:rsidRPr="007D003C">
        <w:rPr>
          <w:rFonts w:ascii="Arial" w:hAnsi="Arial" w:cs="Arial"/>
          <w:sz w:val="22"/>
          <w:szCs w:val="22"/>
        </w:rPr>
        <w:t>the cash and near-cash</w:t>
      </w:r>
      <w:r w:rsidR="00BF2B8E" w:rsidRPr="007D003C">
        <w:rPr>
          <w:rFonts w:ascii="Arial" w:hAnsi="Arial" w:cs="Arial"/>
          <w:sz w:val="22"/>
          <w:szCs w:val="22"/>
        </w:rPr>
        <w:t xml:space="preserve"> (Current</w:t>
      </w:r>
      <w:r w:rsidR="00ED1847" w:rsidRPr="007D003C">
        <w:rPr>
          <w:rFonts w:ascii="Arial" w:hAnsi="Arial" w:cs="Arial"/>
          <w:sz w:val="22"/>
          <w:szCs w:val="22"/>
        </w:rPr>
        <w:t xml:space="preserve"> assets)</w:t>
      </w:r>
      <w:r w:rsidRPr="007D003C">
        <w:rPr>
          <w:rFonts w:ascii="Arial" w:hAnsi="Arial" w:cs="Arial"/>
          <w:sz w:val="22"/>
          <w:szCs w:val="22"/>
        </w:rPr>
        <w:t xml:space="preserve"> with the payment </w:t>
      </w:r>
      <w:r w:rsidR="00ED1847" w:rsidRPr="007D003C">
        <w:rPr>
          <w:rFonts w:ascii="Arial" w:hAnsi="Arial" w:cs="Arial"/>
          <w:sz w:val="22"/>
          <w:szCs w:val="22"/>
        </w:rPr>
        <w:t>commitments (</w:t>
      </w:r>
      <w:r w:rsidR="00BF2B8E" w:rsidRPr="007D003C">
        <w:rPr>
          <w:rFonts w:ascii="Arial" w:hAnsi="Arial" w:cs="Arial"/>
          <w:sz w:val="22"/>
          <w:szCs w:val="22"/>
        </w:rPr>
        <w:t>C</w:t>
      </w:r>
      <w:r w:rsidR="00ED1847" w:rsidRPr="007D003C">
        <w:rPr>
          <w:rFonts w:ascii="Arial" w:hAnsi="Arial" w:cs="Arial"/>
          <w:sz w:val="22"/>
          <w:szCs w:val="22"/>
        </w:rPr>
        <w:t>urrent liabilities)”</w:t>
      </w:r>
      <w:sdt>
        <w:sdtPr>
          <w:rPr>
            <w:rFonts w:ascii="Arial" w:hAnsi="Arial" w:cs="Arial"/>
            <w:sz w:val="22"/>
            <w:szCs w:val="22"/>
          </w:rPr>
          <w:id w:val="-367910416"/>
          <w:citation/>
        </w:sdtPr>
        <w:sdtEndPr/>
        <w:sdtContent>
          <w:r w:rsidR="00062D97" w:rsidRPr="007D003C">
            <w:rPr>
              <w:rFonts w:ascii="Arial" w:hAnsi="Arial" w:cs="Arial"/>
              <w:sz w:val="22"/>
              <w:szCs w:val="22"/>
            </w:rPr>
            <w:fldChar w:fldCharType="begin"/>
          </w:r>
          <w:r w:rsidR="00062D97" w:rsidRPr="007D003C">
            <w:rPr>
              <w:rFonts w:ascii="Arial" w:hAnsi="Arial" w:cs="Arial"/>
              <w:sz w:val="22"/>
              <w:szCs w:val="22"/>
            </w:rPr>
            <w:instrText xml:space="preserve"> CITATION Sal11 \l 2057 </w:instrText>
          </w:r>
          <w:r w:rsidR="00062D97" w:rsidRPr="007D003C">
            <w:rPr>
              <w:rFonts w:ascii="Arial" w:hAnsi="Arial" w:cs="Arial"/>
              <w:sz w:val="22"/>
              <w:szCs w:val="22"/>
            </w:rPr>
            <w:fldChar w:fldCharType="separate"/>
          </w:r>
          <w:r w:rsidR="00062D97" w:rsidRPr="007D003C">
            <w:rPr>
              <w:rFonts w:ascii="Arial" w:hAnsi="Arial" w:cs="Arial"/>
              <w:noProof/>
              <w:sz w:val="22"/>
              <w:szCs w:val="22"/>
            </w:rPr>
            <w:t xml:space="preserve"> (Saleem, 2011)</w:t>
          </w:r>
          <w:r w:rsidR="00062D97" w:rsidRPr="007D003C">
            <w:rPr>
              <w:rFonts w:ascii="Arial" w:hAnsi="Arial" w:cs="Arial"/>
              <w:sz w:val="22"/>
              <w:szCs w:val="22"/>
            </w:rPr>
            <w:fldChar w:fldCharType="end"/>
          </w:r>
        </w:sdtContent>
      </w:sdt>
      <w:r w:rsidRPr="007D003C">
        <w:rPr>
          <w:rFonts w:ascii="Arial" w:hAnsi="Arial" w:cs="Arial"/>
          <w:sz w:val="22"/>
          <w:szCs w:val="22"/>
        </w:rPr>
        <w:t xml:space="preserve">. </w:t>
      </w:r>
      <w:r w:rsidR="00BF2B8E" w:rsidRPr="007D003C">
        <w:rPr>
          <w:rFonts w:ascii="Arial" w:hAnsi="Arial" w:cs="Arial"/>
          <w:sz w:val="22"/>
          <w:szCs w:val="22"/>
        </w:rPr>
        <w:t xml:space="preserve"> Berkeley must look at its</w:t>
      </w:r>
      <w:r w:rsidRPr="007D003C">
        <w:rPr>
          <w:rFonts w:ascii="Arial" w:hAnsi="Arial" w:cs="Arial"/>
          <w:sz w:val="22"/>
          <w:szCs w:val="22"/>
        </w:rPr>
        <w:t xml:space="preserve"> </w:t>
      </w:r>
      <w:r w:rsidR="00BF2B8E" w:rsidRPr="007D003C">
        <w:rPr>
          <w:rFonts w:ascii="Arial" w:hAnsi="Arial" w:cs="Arial"/>
          <w:sz w:val="22"/>
          <w:szCs w:val="22"/>
        </w:rPr>
        <w:t>“</w:t>
      </w:r>
      <w:r w:rsidRPr="007D003C">
        <w:rPr>
          <w:rFonts w:ascii="Arial" w:hAnsi="Arial" w:cs="Arial"/>
          <w:sz w:val="22"/>
          <w:szCs w:val="22"/>
        </w:rPr>
        <w:t>receivables from customers and inventories of finished goods and raw materials</w:t>
      </w:r>
      <w:r w:rsidR="00BF2B8E" w:rsidRPr="007D003C">
        <w:rPr>
          <w:rFonts w:ascii="Arial" w:hAnsi="Arial" w:cs="Arial"/>
          <w:sz w:val="22"/>
          <w:szCs w:val="22"/>
        </w:rPr>
        <w:t>, and its</w:t>
      </w:r>
      <w:r w:rsidRPr="007D003C">
        <w:rPr>
          <w:rFonts w:ascii="Arial" w:hAnsi="Arial" w:cs="Arial"/>
          <w:sz w:val="22"/>
          <w:szCs w:val="22"/>
        </w:rPr>
        <w:t xml:space="preserve"> payment obligations to suppliers, operating and financial </w:t>
      </w:r>
      <w:r w:rsidR="00BF2B8E" w:rsidRPr="007D003C">
        <w:rPr>
          <w:rFonts w:ascii="Arial" w:hAnsi="Arial" w:cs="Arial"/>
          <w:sz w:val="22"/>
          <w:szCs w:val="22"/>
        </w:rPr>
        <w:t>expenditures</w:t>
      </w:r>
      <w:r w:rsidRPr="007D003C">
        <w:rPr>
          <w:rFonts w:ascii="Arial" w:hAnsi="Arial" w:cs="Arial"/>
          <w:sz w:val="22"/>
          <w:szCs w:val="22"/>
        </w:rPr>
        <w:t xml:space="preserve"> that must be paid </w:t>
      </w:r>
      <w:r w:rsidR="00BF2B8E" w:rsidRPr="007D003C">
        <w:rPr>
          <w:rFonts w:ascii="Arial" w:hAnsi="Arial" w:cs="Arial"/>
          <w:sz w:val="22"/>
          <w:szCs w:val="22"/>
        </w:rPr>
        <w:t>soon,</w:t>
      </w:r>
      <w:r w:rsidRPr="007D003C">
        <w:rPr>
          <w:rFonts w:ascii="Arial" w:hAnsi="Arial" w:cs="Arial"/>
          <w:sz w:val="22"/>
          <w:szCs w:val="22"/>
        </w:rPr>
        <w:t xml:space="preserve"> and maturing </w:t>
      </w:r>
      <w:r w:rsidR="00BF2B8E" w:rsidRPr="007D003C">
        <w:rPr>
          <w:rFonts w:ascii="Arial" w:hAnsi="Arial" w:cs="Arial"/>
          <w:sz w:val="22"/>
          <w:szCs w:val="22"/>
        </w:rPr>
        <w:t>instalments</w:t>
      </w:r>
      <w:r w:rsidRPr="007D003C">
        <w:rPr>
          <w:rFonts w:ascii="Arial" w:hAnsi="Arial" w:cs="Arial"/>
          <w:sz w:val="22"/>
          <w:szCs w:val="22"/>
        </w:rPr>
        <w:t xml:space="preserve"> under long-term debt</w:t>
      </w:r>
      <w:r w:rsidR="00BF2B8E" w:rsidRPr="007D003C">
        <w:rPr>
          <w:rFonts w:ascii="Arial" w:hAnsi="Arial" w:cs="Arial"/>
          <w:sz w:val="22"/>
          <w:szCs w:val="22"/>
        </w:rPr>
        <w:t xml:space="preserve">” </w:t>
      </w:r>
      <w:sdt>
        <w:sdtPr>
          <w:rPr>
            <w:rFonts w:ascii="Arial" w:hAnsi="Arial" w:cs="Arial"/>
            <w:sz w:val="22"/>
            <w:szCs w:val="22"/>
          </w:rPr>
          <w:id w:val="-121686254"/>
          <w:citation/>
        </w:sdtPr>
        <w:sdtEndPr/>
        <w:sdtContent>
          <w:r w:rsidR="00BF2B8E" w:rsidRPr="007D003C">
            <w:rPr>
              <w:rFonts w:ascii="Arial" w:hAnsi="Arial" w:cs="Arial"/>
              <w:sz w:val="22"/>
              <w:szCs w:val="22"/>
            </w:rPr>
            <w:fldChar w:fldCharType="begin"/>
          </w:r>
          <w:r w:rsidR="00BF2B8E" w:rsidRPr="007D003C">
            <w:rPr>
              <w:rFonts w:ascii="Arial" w:hAnsi="Arial" w:cs="Arial"/>
              <w:sz w:val="22"/>
              <w:szCs w:val="22"/>
            </w:rPr>
            <w:instrText xml:space="preserve"> CITATION Sal11 \l 2057 </w:instrText>
          </w:r>
          <w:r w:rsidR="00BF2B8E" w:rsidRPr="007D003C">
            <w:rPr>
              <w:rFonts w:ascii="Arial" w:hAnsi="Arial" w:cs="Arial"/>
              <w:sz w:val="22"/>
              <w:szCs w:val="22"/>
            </w:rPr>
            <w:fldChar w:fldCharType="separate"/>
          </w:r>
          <w:r w:rsidR="00BF2B8E" w:rsidRPr="007D003C">
            <w:rPr>
              <w:rFonts w:ascii="Arial" w:hAnsi="Arial" w:cs="Arial"/>
              <w:noProof/>
              <w:sz w:val="22"/>
              <w:szCs w:val="22"/>
            </w:rPr>
            <w:t xml:space="preserve"> (Saleem, 2011)</w:t>
          </w:r>
          <w:r w:rsidR="00BF2B8E" w:rsidRPr="007D003C">
            <w:rPr>
              <w:rFonts w:ascii="Arial" w:hAnsi="Arial" w:cs="Arial"/>
              <w:sz w:val="22"/>
              <w:szCs w:val="22"/>
            </w:rPr>
            <w:fldChar w:fldCharType="end"/>
          </w:r>
        </w:sdtContent>
      </w:sdt>
      <w:r w:rsidRPr="007D003C">
        <w:rPr>
          <w:rFonts w:ascii="Arial" w:hAnsi="Arial" w:cs="Arial"/>
          <w:sz w:val="22"/>
          <w:szCs w:val="22"/>
        </w:rPr>
        <w:t>.</w:t>
      </w:r>
      <w:r w:rsidR="00BF2B8E" w:rsidRPr="007D003C">
        <w:rPr>
          <w:rFonts w:ascii="Arial" w:hAnsi="Arial" w:cs="Arial"/>
          <w:sz w:val="22"/>
          <w:szCs w:val="22"/>
        </w:rPr>
        <w:t xml:space="preserve"> </w:t>
      </w:r>
      <w:r w:rsidRPr="007D003C">
        <w:rPr>
          <w:rFonts w:ascii="Arial" w:hAnsi="Arial" w:cs="Arial"/>
          <w:sz w:val="22"/>
          <w:szCs w:val="22"/>
        </w:rPr>
        <w:t xml:space="preserve"> </w:t>
      </w:r>
      <w:r w:rsidR="00062D97" w:rsidRPr="007D003C">
        <w:rPr>
          <w:rFonts w:ascii="Arial" w:hAnsi="Arial" w:cs="Arial"/>
          <w:sz w:val="22"/>
          <w:szCs w:val="22"/>
        </w:rPr>
        <w:t>Berkeley must ensure that</w:t>
      </w:r>
      <w:r w:rsidRPr="007D003C">
        <w:rPr>
          <w:rFonts w:ascii="Arial" w:hAnsi="Arial" w:cs="Arial"/>
          <w:sz w:val="22"/>
          <w:szCs w:val="22"/>
        </w:rPr>
        <w:t xml:space="preserve"> the coverage of the </w:t>
      </w:r>
      <w:r w:rsidR="00BF2B8E" w:rsidRPr="007D003C">
        <w:rPr>
          <w:rFonts w:ascii="Arial" w:hAnsi="Arial" w:cs="Arial"/>
          <w:sz w:val="22"/>
          <w:szCs w:val="22"/>
        </w:rPr>
        <w:t xml:space="preserve">CL </w:t>
      </w:r>
      <w:r w:rsidRPr="007D003C">
        <w:rPr>
          <w:rFonts w:ascii="Arial" w:hAnsi="Arial" w:cs="Arial"/>
          <w:sz w:val="22"/>
          <w:szCs w:val="22"/>
        </w:rPr>
        <w:t xml:space="preserve">by </w:t>
      </w:r>
      <w:r w:rsidR="00BF2B8E" w:rsidRPr="007D003C">
        <w:rPr>
          <w:rFonts w:ascii="Arial" w:hAnsi="Arial" w:cs="Arial"/>
          <w:sz w:val="22"/>
          <w:szCs w:val="22"/>
        </w:rPr>
        <w:t>CA</w:t>
      </w:r>
      <w:r w:rsidRPr="007D003C">
        <w:rPr>
          <w:rFonts w:ascii="Arial" w:hAnsi="Arial" w:cs="Arial"/>
          <w:sz w:val="22"/>
          <w:szCs w:val="22"/>
        </w:rPr>
        <w:t xml:space="preserve"> is</w:t>
      </w:r>
      <w:r w:rsidR="00062D97" w:rsidRPr="007D003C">
        <w:rPr>
          <w:rFonts w:ascii="Arial" w:hAnsi="Arial" w:cs="Arial"/>
          <w:sz w:val="22"/>
          <w:szCs w:val="22"/>
        </w:rPr>
        <w:t xml:space="preserve"> </w:t>
      </w:r>
      <w:r w:rsidR="00BF2B8E" w:rsidRPr="007D003C">
        <w:rPr>
          <w:rFonts w:ascii="Arial" w:hAnsi="Arial" w:cs="Arial"/>
          <w:sz w:val="22"/>
          <w:szCs w:val="22"/>
        </w:rPr>
        <w:t>adequate</w:t>
      </w:r>
      <w:r w:rsidRPr="007D003C">
        <w:rPr>
          <w:rFonts w:ascii="Arial" w:hAnsi="Arial" w:cs="Arial"/>
          <w:sz w:val="22"/>
          <w:szCs w:val="22"/>
        </w:rPr>
        <w:t xml:space="preserve">, it </w:t>
      </w:r>
      <w:r w:rsidR="00BF2B8E" w:rsidRPr="007D003C">
        <w:rPr>
          <w:rFonts w:ascii="Arial" w:hAnsi="Arial" w:cs="Arial"/>
          <w:sz w:val="22"/>
          <w:szCs w:val="22"/>
        </w:rPr>
        <w:t>implies</w:t>
      </w:r>
      <w:r w:rsidRPr="007D003C">
        <w:rPr>
          <w:rFonts w:ascii="Arial" w:hAnsi="Arial" w:cs="Arial"/>
          <w:sz w:val="22"/>
          <w:szCs w:val="22"/>
        </w:rPr>
        <w:t xml:space="preserve"> that</w:t>
      </w:r>
      <w:r w:rsidR="00062D97" w:rsidRPr="007D003C">
        <w:rPr>
          <w:rFonts w:ascii="Arial" w:hAnsi="Arial" w:cs="Arial"/>
          <w:sz w:val="22"/>
          <w:szCs w:val="22"/>
        </w:rPr>
        <w:t xml:space="preserve"> otherwise</w:t>
      </w:r>
      <w:r w:rsidR="003C5B72">
        <w:rPr>
          <w:rFonts w:ascii="Arial" w:hAnsi="Arial" w:cs="Arial"/>
          <w:sz w:val="22"/>
          <w:szCs w:val="22"/>
        </w:rPr>
        <w:t>,</w:t>
      </w:r>
      <w:r w:rsidRPr="007D003C">
        <w:rPr>
          <w:rFonts w:ascii="Arial" w:hAnsi="Arial" w:cs="Arial"/>
          <w:sz w:val="22"/>
          <w:szCs w:val="22"/>
        </w:rPr>
        <w:t xml:space="preserve"> the </w:t>
      </w:r>
      <w:r w:rsidR="00BF2B8E" w:rsidRPr="007D003C">
        <w:rPr>
          <w:rFonts w:ascii="Arial" w:hAnsi="Arial" w:cs="Arial"/>
          <w:sz w:val="22"/>
          <w:szCs w:val="22"/>
        </w:rPr>
        <w:t>company</w:t>
      </w:r>
      <w:r w:rsidRPr="007D003C">
        <w:rPr>
          <w:rFonts w:ascii="Arial" w:hAnsi="Arial" w:cs="Arial"/>
          <w:sz w:val="22"/>
          <w:szCs w:val="22"/>
        </w:rPr>
        <w:t xml:space="preserve"> might face </w:t>
      </w:r>
      <w:r w:rsidR="00BF2B8E" w:rsidRPr="007D003C">
        <w:rPr>
          <w:rFonts w:ascii="Arial" w:hAnsi="Arial" w:cs="Arial"/>
          <w:sz w:val="22"/>
          <w:szCs w:val="22"/>
        </w:rPr>
        <w:t>troubles</w:t>
      </w:r>
      <w:r w:rsidRPr="007D003C">
        <w:rPr>
          <w:rFonts w:ascii="Arial" w:hAnsi="Arial" w:cs="Arial"/>
          <w:sz w:val="22"/>
          <w:szCs w:val="22"/>
        </w:rPr>
        <w:t xml:space="preserve"> in meeting its </w:t>
      </w:r>
      <w:r w:rsidR="00BF2B8E" w:rsidRPr="007D003C">
        <w:rPr>
          <w:rFonts w:ascii="Arial" w:hAnsi="Arial" w:cs="Arial"/>
          <w:sz w:val="22"/>
          <w:szCs w:val="22"/>
        </w:rPr>
        <w:t>current</w:t>
      </w:r>
      <w:r w:rsidRPr="007D003C">
        <w:rPr>
          <w:rFonts w:ascii="Arial" w:hAnsi="Arial" w:cs="Arial"/>
          <w:sz w:val="22"/>
          <w:szCs w:val="22"/>
        </w:rPr>
        <w:t xml:space="preserve"> financial </w:t>
      </w:r>
      <w:r w:rsidR="00BF2B8E" w:rsidRPr="007D003C">
        <w:rPr>
          <w:rFonts w:ascii="Arial" w:hAnsi="Arial" w:cs="Arial"/>
          <w:sz w:val="22"/>
          <w:szCs w:val="22"/>
        </w:rPr>
        <w:t>responsibilities</w:t>
      </w:r>
      <w:r w:rsidRPr="007D003C">
        <w:rPr>
          <w:rFonts w:ascii="Arial" w:hAnsi="Arial" w:cs="Arial"/>
          <w:sz w:val="22"/>
          <w:szCs w:val="22"/>
        </w:rPr>
        <w:t>. This can</w:t>
      </w:r>
      <w:r w:rsidR="00BF2B8E" w:rsidRPr="007D003C">
        <w:rPr>
          <w:rFonts w:ascii="Arial" w:hAnsi="Arial" w:cs="Arial"/>
          <w:sz w:val="22"/>
          <w:szCs w:val="22"/>
        </w:rPr>
        <w:t xml:space="preserve"> </w:t>
      </w:r>
      <w:r w:rsidRPr="007D003C">
        <w:rPr>
          <w:rFonts w:ascii="Arial" w:hAnsi="Arial" w:cs="Arial"/>
          <w:sz w:val="22"/>
          <w:szCs w:val="22"/>
        </w:rPr>
        <w:t xml:space="preserve">affect the company's </w:t>
      </w:r>
      <w:r w:rsidR="00062D97" w:rsidRPr="007D003C">
        <w:rPr>
          <w:rFonts w:ascii="Arial" w:hAnsi="Arial" w:cs="Arial"/>
          <w:sz w:val="22"/>
          <w:szCs w:val="22"/>
        </w:rPr>
        <w:t>profitability and credit rating by investors</w:t>
      </w:r>
      <w:sdt>
        <w:sdtPr>
          <w:rPr>
            <w:rFonts w:ascii="Arial" w:hAnsi="Arial" w:cs="Arial"/>
            <w:sz w:val="22"/>
            <w:szCs w:val="22"/>
          </w:rPr>
          <w:id w:val="-910536543"/>
          <w:citation/>
        </w:sdtPr>
        <w:sdtEndPr/>
        <w:sdtContent>
          <w:r w:rsidR="00062D97" w:rsidRPr="007D003C">
            <w:rPr>
              <w:rFonts w:ascii="Arial" w:hAnsi="Arial" w:cs="Arial"/>
              <w:sz w:val="22"/>
              <w:szCs w:val="22"/>
            </w:rPr>
            <w:fldChar w:fldCharType="begin"/>
          </w:r>
          <w:r w:rsidR="00062D97" w:rsidRPr="007D003C">
            <w:rPr>
              <w:rFonts w:ascii="Arial" w:hAnsi="Arial" w:cs="Arial"/>
              <w:sz w:val="22"/>
              <w:szCs w:val="22"/>
            </w:rPr>
            <w:instrText xml:space="preserve"> CITATION Sal11 \l 2057 </w:instrText>
          </w:r>
          <w:r w:rsidR="00062D97" w:rsidRPr="007D003C">
            <w:rPr>
              <w:rFonts w:ascii="Arial" w:hAnsi="Arial" w:cs="Arial"/>
              <w:sz w:val="22"/>
              <w:szCs w:val="22"/>
            </w:rPr>
            <w:fldChar w:fldCharType="separate"/>
          </w:r>
          <w:r w:rsidR="00062D97" w:rsidRPr="007D003C">
            <w:rPr>
              <w:rFonts w:ascii="Arial" w:hAnsi="Arial" w:cs="Arial"/>
              <w:noProof/>
              <w:sz w:val="22"/>
              <w:szCs w:val="22"/>
            </w:rPr>
            <w:t xml:space="preserve"> (Saleem, 2011)</w:t>
          </w:r>
          <w:r w:rsidR="00062D97" w:rsidRPr="007D003C">
            <w:rPr>
              <w:rFonts w:ascii="Arial" w:hAnsi="Arial" w:cs="Arial"/>
              <w:sz w:val="22"/>
              <w:szCs w:val="22"/>
            </w:rPr>
            <w:fldChar w:fldCharType="end"/>
          </w:r>
        </w:sdtContent>
      </w:sdt>
      <w:r w:rsidRPr="007D003C">
        <w:rPr>
          <w:rFonts w:ascii="Arial" w:hAnsi="Arial" w:cs="Arial"/>
          <w:sz w:val="22"/>
          <w:szCs w:val="22"/>
        </w:rPr>
        <w:t xml:space="preserve">. </w:t>
      </w:r>
      <w:r w:rsidRPr="007D003C">
        <w:rPr>
          <w:rFonts w:ascii="Arial" w:hAnsi="Arial" w:cs="Arial"/>
          <w:b/>
          <w:bCs/>
          <w:i/>
          <w:iCs/>
          <w:sz w:val="22"/>
          <w:szCs w:val="22"/>
        </w:rPr>
        <w:t>The Liquidity versus Profitability Principle: There is a trade-off between liquidity and profitability; gaining more of one ordinarily means giving up some of the other</w:t>
      </w:r>
      <w:r w:rsidR="00062D97" w:rsidRPr="007D003C">
        <w:rPr>
          <w:rFonts w:ascii="Arial" w:hAnsi="Arial" w:cs="Arial"/>
          <w:sz w:val="22"/>
          <w:szCs w:val="22"/>
        </w:rPr>
        <w:t xml:space="preserve"> </w:t>
      </w:r>
      <w:sdt>
        <w:sdtPr>
          <w:rPr>
            <w:rFonts w:ascii="Arial" w:hAnsi="Arial" w:cs="Arial"/>
            <w:sz w:val="22"/>
            <w:szCs w:val="22"/>
          </w:rPr>
          <w:id w:val="782611712"/>
          <w:citation/>
        </w:sdtPr>
        <w:sdtEndPr/>
        <w:sdtContent>
          <w:r w:rsidR="00062D97" w:rsidRPr="007D003C">
            <w:rPr>
              <w:rFonts w:ascii="Arial" w:hAnsi="Arial" w:cs="Arial"/>
              <w:sz w:val="22"/>
              <w:szCs w:val="22"/>
            </w:rPr>
            <w:fldChar w:fldCharType="begin"/>
          </w:r>
          <w:r w:rsidR="00062D97" w:rsidRPr="007D003C">
            <w:rPr>
              <w:rFonts w:ascii="Arial" w:hAnsi="Arial" w:cs="Arial"/>
              <w:sz w:val="22"/>
              <w:szCs w:val="22"/>
            </w:rPr>
            <w:instrText xml:space="preserve"> CITATION Sal11 \l 2057 </w:instrText>
          </w:r>
          <w:r w:rsidR="00062D97" w:rsidRPr="007D003C">
            <w:rPr>
              <w:rFonts w:ascii="Arial" w:hAnsi="Arial" w:cs="Arial"/>
              <w:sz w:val="22"/>
              <w:szCs w:val="22"/>
            </w:rPr>
            <w:fldChar w:fldCharType="separate"/>
          </w:r>
          <w:r w:rsidR="00062D97" w:rsidRPr="007D003C">
            <w:rPr>
              <w:rFonts w:ascii="Arial" w:hAnsi="Arial" w:cs="Arial"/>
              <w:noProof/>
              <w:sz w:val="22"/>
              <w:szCs w:val="22"/>
            </w:rPr>
            <w:t xml:space="preserve"> (Saleem, 2011)</w:t>
          </w:r>
          <w:r w:rsidR="00062D97" w:rsidRPr="007D003C">
            <w:rPr>
              <w:rFonts w:ascii="Arial" w:hAnsi="Arial" w:cs="Arial"/>
              <w:sz w:val="22"/>
              <w:szCs w:val="22"/>
            </w:rPr>
            <w:fldChar w:fldCharType="end"/>
          </w:r>
        </w:sdtContent>
      </w:sdt>
      <w:r w:rsidR="00062D97" w:rsidRPr="007D003C">
        <w:rPr>
          <w:rFonts w:ascii="Arial" w:hAnsi="Arial" w:cs="Arial"/>
          <w:sz w:val="22"/>
          <w:szCs w:val="22"/>
        </w:rPr>
        <w:t>.</w:t>
      </w:r>
    </w:p>
    <w:p w14:paraId="75E62950" w14:textId="35A39740" w:rsidR="00D635BE" w:rsidRPr="007D003C" w:rsidRDefault="00585710" w:rsidP="000419BF">
      <w:pPr>
        <w:jc w:val="both"/>
        <w:rPr>
          <w:rFonts w:ascii="Arial" w:hAnsi="Arial" w:cs="Arial"/>
          <w:sz w:val="22"/>
          <w:szCs w:val="22"/>
        </w:rPr>
      </w:pPr>
      <w:r w:rsidRPr="007D003C">
        <w:rPr>
          <w:rFonts w:ascii="Arial" w:hAnsi="Arial" w:cs="Arial"/>
          <w:b/>
          <w:bCs/>
          <w:i/>
          <w:iCs/>
          <w:sz w:val="22"/>
          <w:szCs w:val="22"/>
        </w:rPr>
        <w:t>Efficiency Ratios</w:t>
      </w:r>
      <w:r w:rsidR="00D635BE" w:rsidRPr="007D003C">
        <w:rPr>
          <w:rFonts w:ascii="Arial" w:hAnsi="Arial" w:cs="Arial"/>
          <w:sz w:val="22"/>
          <w:szCs w:val="22"/>
        </w:rPr>
        <w:t xml:space="preserve"> examine</w:t>
      </w:r>
      <w:r w:rsidR="003C5B72">
        <w:rPr>
          <w:rFonts w:ascii="Arial" w:hAnsi="Arial" w:cs="Arial"/>
          <w:sz w:val="22"/>
          <w:szCs w:val="22"/>
        </w:rPr>
        <w:t xml:space="preserve"> the</w:t>
      </w:r>
      <w:r w:rsidR="00D635BE" w:rsidRPr="007D003C">
        <w:rPr>
          <w:rFonts w:ascii="Arial" w:hAnsi="Arial" w:cs="Arial"/>
          <w:color w:val="57595D"/>
          <w:sz w:val="22"/>
          <w:szCs w:val="22"/>
          <w:shd w:val="clear" w:color="auto" w:fill="F8F9FA"/>
        </w:rPr>
        <w:t xml:space="preserve"> </w:t>
      </w:r>
      <w:r w:rsidR="00D635BE" w:rsidRPr="007D003C">
        <w:rPr>
          <w:rFonts w:ascii="Arial" w:hAnsi="Arial" w:cs="Arial"/>
          <w:sz w:val="22"/>
          <w:szCs w:val="22"/>
        </w:rPr>
        <w:t>operational efficiency of the company, which are correlate</w:t>
      </w:r>
      <w:r w:rsidR="006B6B05" w:rsidRPr="007D003C">
        <w:rPr>
          <w:rFonts w:ascii="Arial" w:hAnsi="Arial" w:cs="Arial"/>
          <w:sz w:val="22"/>
          <w:szCs w:val="22"/>
        </w:rPr>
        <w:t>d</w:t>
      </w:r>
      <w:r w:rsidR="00D635BE" w:rsidRPr="007D003C">
        <w:rPr>
          <w:rFonts w:ascii="Arial" w:hAnsi="Arial" w:cs="Arial"/>
          <w:sz w:val="22"/>
          <w:szCs w:val="22"/>
        </w:rPr>
        <w:t xml:space="preserve"> with profitability ratios. Thus, if the efficiency ratios have been enhanced over time, this could signal that the business has grown to be more profitable.</w:t>
      </w:r>
      <w:r w:rsidR="006B6B05" w:rsidRPr="007D003C">
        <w:rPr>
          <w:rFonts w:ascii="Arial" w:hAnsi="Arial" w:cs="Arial"/>
          <w:sz w:val="22"/>
          <w:szCs w:val="22"/>
        </w:rPr>
        <w:t xml:space="preserve">  Efficiency ratios compare the expenses applied within a </w:t>
      </w:r>
      <w:r w:rsidR="003C5B72" w:rsidRPr="007D003C">
        <w:rPr>
          <w:rFonts w:ascii="Arial" w:hAnsi="Arial" w:cs="Arial"/>
          <w:sz w:val="22"/>
          <w:szCs w:val="22"/>
        </w:rPr>
        <w:t>busines</w:t>
      </w:r>
      <w:r w:rsidR="003C5B72">
        <w:rPr>
          <w:rFonts w:ascii="Arial" w:hAnsi="Arial" w:cs="Arial"/>
          <w:sz w:val="22"/>
          <w:szCs w:val="22"/>
        </w:rPr>
        <w:t>s</w:t>
      </w:r>
      <w:r w:rsidR="003C5B72" w:rsidRPr="007D003C">
        <w:rPr>
          <w:rFonts w:ascii="Arial" w:hAnsi="Arial" w:cs="Arial"/>
          <w:sz w:val="22"/>
          <w:szCs w:val="22"/>
        </w:rPr>
        <w:t xml:space="preserve"> operation</w:t>
      </w:r>
      <w:r w:rsidR="006B6B05" w:rsidRPr="007D003C">
        <w:rPr>
          <w:rFonts w:ascii="Arial" w:hAnsi="Arial" w:cs="Arial"/>
          <w:sz w:val="22"/>
          <w:szCs w:val="22"/>
        </w:rPr>
        <w:t xml:space="preserve"> to the revenue generated from the amount spent to operate</w:t>
      </w:r>
      <w:r w:rsidR="003C5B72">
        <w:rPr>
          <w:rFonts w:ascii="Arial" w:hAnsi="Arial" w:cs="Arial"/>
          <w:sz w:val="22"/>
          <w:szCs w:val="22"/>
        </w:rPr>
        <w:t xml:space="preserve"> a</w:t>
      </w:r>
      <w:r w:rsidR="006B6B05" w:rsidRPr="007D003C">
        <w:rPr>
          <w:rFonts w:ascii="Arial" w:hAnsi="Arial" w:cs="Arial"/>
          <w:sz w:val="22"/>
          <w:szCs w:val="22"/>
        </w:rPr>
        <w:t xml:space="preserve"> business.  The ratios examine how </w:t>
      </w:r>
      <w:r w:rsidR="003C5B72">
        <w:rPr>
          <w:rFonts w:ascii="Arial" w:hAnsi="Arial" w:cs="Arial"/>
          <w:sz w:val="22"/>
          <w:szCs w:val="22"/>
        </w:rPr>
        <w:t xml:space="preserve">a </w:t>
      </w:r>
      <w:r w:rsidR="006B6B05" w:rsidRPr="007D003C">
        <w:rPr>
          <w:rFonts w:ascii="Arial" w:hAnsi="Arial" w:cs="Arial"/>
          <w:sz w:val="22"/>
          <w:szCs w:val="22"/>
        </w:rPr>
        <w:t xml:space="preserve">company turning their “inventory, sales, assets, accounts receivables </w:t>
      </w:r>
      <w:r w:rsidR="000419BF" w:rsidRPr="007D003C">
        <w:rPr>
          <w:rFonts w:ascii="Arial" w:hAnsi="Arial" w:cs="Arial"/>
          <w:sz w:val="22"/>
          <w:szCs w:val="22"/>
        </w:rPr>
        <w:t xml:space="preserve">or payable </w:t>
      </w:r>
      <w:sdt>
        <w:sdtPr>
          <w:rPr>
            <w:rFonts w:ascii="Arial" w:hAnsi="Arial" w:cs="Arial"/>
            <w:sz w:val="22"/>
            <w:szCs w:val="22"/>
          </w:rPr>
          <w:id w:val="-211814583"/>
          <w:citation/>
        </w:sdtPr>
        <w:sdtEndPr/>
        <w:sdtContent>
          <w:r w:rsidR="000419BF" w:rsidRPr="007D003C">
            <w:rPr>
              <w:rFonts w:ascii="Arial" w:hAnsi="Arial" w:cs="Arial"/>
              <w:sz w:val="22"/>
              <w:szCs w:val="22"/>
            </w:rPr>
            <w:fldChar w:fldCharType="begin"/>
          </w:r>
          <w:r w:rsidR="000419BF" w:rsidRPr="007D003C">
            <w:rPr>
              <w:rFonts w:ascii="Arial" w:hAnsi="Arial" w:cs="Arial"/>
              <w:sz w:val="22"/>
              <w:szCs w:val="22"/>
            </w:rPr>
            <w:instrText xml:space="preserve"> CITATION Cre21 \l 2057 </w:instrText>
          </w:r>
          <w:r w:rsidR="000419BF" w:rsidRPr="007D003C">
            <w:rPr>
              <w:rFonts w:ascii="Arial" w:hAnsi="Arial" w:cs="Arial"/>
              <w:sz w:val="22"/>
              <w:szCs w:val="22"/>
            </w:rPr>
            <w:fldChar w:fldCharType="separate"/>
          </w:r>
          <w:r w:rsidR="000419BF" w:rsidRPr="007D003C">
            <w:rPr>
              <w:rFonts w:ascii="Arial" w:eastAsiaTheme="minorHAnsi" w:hAnsi="Arial" w:cs="Arial"/>
              <w:noProof/>
              <w:sz w:val="22"/>
              <w:szCs w:val="22"/>
            </w:rPr>
            <w:t>(Credit Guru Inc, 1999-2021)</w:t>
          </w:r>
          <w:r w:rsidR="000419BF" w:rsidRPr="007D003C">
            <w:rPr>
              <w:rFonts w:ascii="Arial" w:hAnsi="Arial" w:cs="Arial"/>
              <w:sz w:val="22"/>
              <w:szCs w:val="22"/>
            </w:rPr>
            <w:fldChar w:fldCharType="end"/>
          </w:r>
        </w:sdtContent>
      </w:sdt>
    </w:p>
    <w:p w14:paraId="0A38D49B" w14:textId="040E3986" w:rsidR="00ED15E8" w:rsidRPr="007D003C" w:rsidRDefault="00ED15E8" w:rsidP="000419BF">
      <w:pPr>
        <w:jc w:val="both"/>
        <w:rPr>
          <w:rFonts w:ascii="Arial" w:hAnsi="Arial" w:cs="Arial"/>
          <w:sz w:val="22"/>
          <w:szCs w:val="22"/>
        </w:rPr>
      </w:pPr>
      <w:r w:rsidRPr="007D003C">
        <w:rPr>
          <w:rFonts w:ascii="Arial" w:hAnsi="Arial" w:cs="Arial"/>
          <w:sz w:val="22"/>
          <w:szCs w:val="22"/>
        </w:rPr>
        <w:t>Figure 1. Efficiency ratios</w:t>
      </w:r>
    </w:p>
    <w:p w14:paraId="0BBE2704" w14:textId="3FD3E6A4" w:rsidR="00D635BE" w:rsidRPr="007D003C" w:rsidRDefault="00D635BE" w:rsidP="005A4268">
      <w:pPr>
        <w:rPr>
          <w:rFonts w:ascii="Arial" w:hAnsi="Arial" w:cs="Arial"/>
          <w:sz w:val="22"/>
          <w:szCs w:val="22"/>
        </w:rPr>
      </w:pPr>
      <w:r w:rsidRPr="007D003C">
        <w:rPr>
          <w:rFonts w:ascii="Arial" w:hAnsi="Arial" w:cs="Arial"/>
          <w:noProof/>
          <w:sz w:val="22"/>
          <w:szCs w:val="22"/>
        </w:rPr>
        <w:drawing>
          <wp:inline distT="0" distB="0" distL="0" distR="0" wp14:anchorId="3F43E696" wp14:editId="1932BD7A">
            <wp:extent cx="6188710" cy="204152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188710" cy="2041525"/>
                    </a:xfrm>
                    <a:prstGeom prst="rect">
                      <a:avLst/>
                    </a:prstGeom>
                  </pic:spPr>
                </pic:pic>
              </a:graphicData>
            </a:graphic>
          </wp:inline>
        </w:drawing>
      </w:r>
    </w:p>
    <w:p w14:paraId="01A348A7" w14:textId="486869B8" w:rsidR="007D003C" w:rsidRPr="007D003C" w:rsidRDefault="00D635BE" w:rsidP="005A4268">
      <w:pPr>
        <w:rPr>
          <w:rFonts w:ascii="Arial" w:hAnsi="Arial" w:cs="Arial"/>
          <w:i/>
          <w:iCs/>
          <w:sz w:val="22"/>
          <w:szCs w:val="22"/>
        </w:rPr>
      </w:pPr>
      <w:r w:rsidRPr="007D003C">
        <w:rPr>
          <w:rFonts w:ascii="Arial" w:hAnsi="Arial" w:cs="Arial"/>
          <w:i/>
          <w:iCs/>
          <w:sz w:val="22"/>
          <w:szCs w:val="22"/>
        </w:rPr>
        <w:t xml:space="preserve">(source: </w:t>
      </w:r>
      <w:r w:rsidRPr="007D003C">
        <w:rPr>
          <w:rFonts w:ascii="Arial" w:hAnsi="Arial" w:cs="Arial"/>
          <w:i/>
          <w:iCs/>
          <w:color w:val="0000FF"/>
          <w:sz w:val="22"/>
          <w:szCs w:val="22"/>
          <w:u w:val="single"/>
        </w:rPr>
        <w:t>Efficiency Ratios - Overview, Uses in Financial Analysis, Examples (corporatefinanceinstitute.com)</w:t>
      </w:r>
      <w:r w:rsidRPr="007D003C">
        <w:rPr>
          <w:rFonts w:ascii="Arial" w:hAnsi="Arial" w:cs="Arial"/>
          <w:i/>
          <w:iCs/>
          <w:sz w:val="22"/>
          <w:szCs w:val="22"/>
        </w:rPr>
        <w:t>)</w:t>
      </w:r>
    </w:p>
    <w:p w14:paraId="20CF5F52" w14:textId="77777777" w:rsidR="007D003C" w:rsidRPr="007D003C" w:rsidRDefault="000419BF" w:rsidP="000419BF">
      <w:pPr>
        <w:jc w:val="both"/>
        <w:rPr>
          <w:rFonts w:ascii="Arial" w:hAnsi="Arial" w:cs="Arial"/>
          <w:i/>
          <w:iCs/>
          <w:sz w:val="22"/>
          <w:szCs w:val="22"/>
        </w:rPr>
      </w:pPr>
      <w:r w:rsidRPr="007D003C">
        <w:rPr>
          <w:rFonts w:ascii="Arial" w:hAnsi="Arial" w:cs="Arial"/>
          <w:i/>
          <w:iCs/>
          <w:sz w:val="22"/>
          <w:szCs w:val="22"/>
        </w:rPr>
        <w:t>Findings:</w:t>
      </w:r>
    </w:p>
    <w:p w14:paraId="63BAA5FA" w14:textId="7026EFEE" w:rsidR="000419BF" w:rsidRPr="007D003C" w:rsidRDefault="000419BF" w:rsidP="000419BF">
      <w:pPr>
        <w:jc w:val="both"/>
        <w:rPr>
          <w:rFonts w:ascii="Arial" w:hAnsi="Arial" w:cs="Arial"/>
          <w:i/>
          <w:iCs/>
          <w:sz w:val="22"/>
          <w:szCs w:val="22"/>
        </w:rPr>
      </w:pPr>
      <w:r w:rsidRPr="007D003C">
        <w:rPr>
          <w:rFonts w:ascii="Arial" w:hAnsi="Arial" w:cs="Arial"/>
          <w:i/>
          <w:iCs/>
          <w:sz w:val="22"/>
          <w:szCs w:val="22"/>
        </w:rPr>
        <w:t xml:space="preserve"> Table 4 Calculations of Efficiency Ratios for The Berkeley 2016-2020 and Balfour Beatty PLC/ 2019</w:t>
      </w:r>
    </w:p>
    <w:p w14:paraId="63D8D737" w14:textId="4E889458" w:rsidR="000419BF" w:rsidRPr="007D003C" w:rsidRDefault="0081085C" w:rsidP="000419BF">
      <w:pPr>
        <w:rPr>
          <w:rFonts w:ascii="Arial" w:hAnsi="Arial" w:cs="Arial"/>
          <w:b/>
          <w:bCs/>
          <w:sz w:val="22"/>
          <w:szCs w:val="22"/>
        </w:rPr>
      </w:pPr>
      <w:r w:rsidRPr="007D003C">
        <w:rPr>
          <w:rFonts w:ascii="Arial" w:hAnsi="Arial" w:cs="Arial"/>
          <w:noProof/>
          <w:sz w:val="22"/>
          <w:szCs w:val="22"/>
        </w:rPr>
        <w:drawing>
          <wp:inline distT="0" distB="0" distL="0" distR="0" wp14:anchorId="4203780A" wp14:editId="17570274">
            <wp:extent cx="6188710" cy="1941830"/>
            <wp:effectExtent l="0" t="0" r="2540" b="12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188710" cy="1941830"/>
                    </a:xfrm>
                    <a:prstGeom prst="rect">
                      <a:avLst/>
                    </a:prstGeom>
                    <a:noFill/>
                    <a:ln>
                      <a:noFill/>
                    </a:ln>
                  </pic:spPr>
                </pic:pic>
              </a:graphicData>
            </a:graphic>
          </wp:inline>
        </w:drawing>
      </w:r>
    </w:p>
    <w:p w14:paraId="0D32AEE3" w14:textId="77777777" w:rsidR="007D003C" w:rsidRPr="007D003C" w:rsidRDefault="007D003C" w:rsidP="000419BF">
      <w:pPr>
        <w:rPr>
          <w:rFonts w:ascii="Arial" w:hAnsi="Arial" w:cs="Arial"/>
          <w:b/>
          <w:bCs/>
          <w:sz w:val="22"/>
          <w:szCs w:val="22"/>
        </w:rPr>
      </w:pPr>
    </w:p>
    <w:p w14:paraId="0B609870" w14:textId="702F457D" w:rsidR="00A712BF" w:rsidRPr="007D003C" w:rsidRDefault="000419BF" w:rsidP="000419BF">
      <w:pPr>
        <w:jc w:val="both"/>
        <w:rPr>
          <w:rFonts w:ascii="Arial" w:hAnsi="Arial" w:cs="Arial"/>
          <w:i/>
          <w:iCs/>
          <w:sz w:val="22"/>
          <w:szCs w:val="22"/>
        </w:rPr>
      </w:pPr>
      <w:r w:rsidRPr="007D003C">
        <w:rPr>
          <w:rFonts w:ascii="Arial" w:hAnsi="Arial" w:cs="Arial"/>
          <w:i/>
          <w:iCs/>
          <w:sz w:val="22"/>
          <w:szCs w:val="22"/>
        </w:rPr>
        <w:t>Table 4.1 Efficiency position of The Berkeley 2015-2020 and Balfour Beatty PLC-2019</w:t>
      </w:r>
    </w:p>
    <w:p w14:paraId="77ED3C7D" w14:textId="33CA36F7" w:rsidR="007E7A64" w:rsidRPr="007D003C" w:rsidRDefault="004D3B82" w:rsidP="005A4268">
      <w:pPr>
        <w:rPr>
          <w:rFonts w:ascii="Arial" w:hAnsi="Arial" w:cs="Arial"/>
          <w:b/>
          <w:bCs/>
          <w:sz w:val="22"/>
          <w:szCs w:val="22"/>
        </w:rPr>
      </w:pPr>
      <w:r w:rsidRPr="007D003C">
        <w:rPr>
          <w:rFonts w:ascii="Arial" w:hAnsi="Arial" w:cs="Arial"/>
          <w:noProof/>
          <w:sz w:val="22"/>
          <w:szCs w:val="22"/>
        </w:rPr>
        <w:drawing>
          <wp:inline distT="0" distB="0" distL="0" distR="0" wp14:anchorId="4D8AB9E0" wp14:editId="5EAF01BA">
            <wp:extent cx="6188710" cy="2016760"/>
            <wp:effectExtent l="0" t="0" r="2540" b="25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188710" cy="2016760"/>
                    </a:xfrm>
                    <a:prstGeom prst="rect">
                      <a:avLst/>
                    </a:prstGeom>
                    <a:noFill/>
                    <a:ln>
                      <a:noFill/>
                    </a:ln>
                  </pic:spPr>
                </pic:pic>
              </a:graphicData>
            </a:graphic>
          </wp:inline>
        </w:drawing>
      </w:r>
    </w:p>
    <w:p w14:paraId="77131FAC" w14:textId="050CAC2B" w:rsidR="0042165A" w:rsidRPr="007D003C" w:rsidRDefault="0042165A" w:rsidP="0042165A">
      <w:pPr>
        <w:jc w:val="both"/>
        <w:rPr>
          <w:rFonts w:ascii="Arial" w:hAnsi="Arial" w:cs="Arial"/>
          <w:i/>
          <w:iCs/>
          <w:sz w:val="22"/>
          <w:szCs w:val="22"/>
        </w:rPr>
      </w:pPr>
      <w:r w:rsidRPr="007D003C">
        <w:rPr>
          <w:rFonts w:ascii="Arial" w:hAnsi="Arial" w:cs="Arial"/>
          <w:sz w:val="22"/>
          <w:szCs w:val="22"/>
        </w:rPr>
        <w:t xml:space="preserve">Due to words limits for this report, we will analyse </w:t>
      </w:r>
      <w:r w:rsidR="003C5B72">
        <w:rPr>
          <w:rFonts w:ascii="Arial" w:hAnsi="Arial" w:cs="Arial"/>
          <w:sz w:val="22"/>
          <w:szCs w:val="22"/>
        </w:rPr>
        <w:t xml:space="preserve">the </w:t>
      </w:r>
      <w:r w:rsidRPr="007D003C">
        <w:rPr>
          <w:rFonts w:ascii="Arial" w:hAnsi="Arial" w:cs="Arial"/>
          <w:i/>
          <w:iCs/>
          <w:sz w:val="22"/>
          <w:szCs w:val="22"/>
        </w:rPr>
        <w:t>Assets Turnover rat</w:t>
      </w:r>
      <w:r w:rsidR="00704B67" w:rsidRPr="007D003C">
        <w:rPr>
          <w:rFonts w:ascii="Arial" w:hAnsi="Arial" w:cs="Arial"/>
          <w:i/>
          <w:iCs/>
          <w:sz w:val="22"/>
          <w:szCs w:val="22"/>
        </w:rPr>
        <w:t>io,</w:t>
      </w:r>
      <w:r w:rsidRPr="007D003C">
        <w:rPr>
          <w:rFonts w:ascii="Arial" w:hAnsi="Arial" w:cs="Arial"/>
          <w:i/>
          <w:iCs/>
          <w:sz w:val="22"/>
          <w:szCs w:val="22"/>
        </w:rPr>
        <w:t xml:space="preserve"> Payables Payment Period</w:t>
      </w:r>
      <w:r w:rsidR="00704B67" w:rsidRPr="007D003C">
        <w:rPr>
          <w:rFonts w:ascii="Arial" w:hAnsi="Arial" w:cs="Arial"/>
          <w:i/>
          <w:iCs/>
          <w:sz w:val="22"/>
          <w:szCs w:val="22"/>
        </w:rPr>
        <w:t xml:space="preserve"> and Receivables Collection period</w:t>
      </w:r>
    </w:p>
    <w:p w14:paraId="0615D4CD" w14:textId="3C57813F" w:rsidR="009C3827" w:rsidRDefault="0042165A" w:rsidP="00ED15E8">
      <w:pPr>
        <w:jc w:val="both"/>
        <w:rPr>
          <w:rFonts w:ascii="Arial" w:hAnsi="Arial" w:cs="Arial"/>
          <w:sz w:val="22"/>
          <w:szCs w:val="22"/>
        </w:rPr>
      </w:pPr>
      <w:r w:rsidRPr="007D003C">
        <w:rPr>
          <w:rFonts w:ascii="Arial" w:hAnsi="Arial" w:cs="Arial"/>
          <w:i/>
          <w:iCs/>
          <w:sz w:val="22"/>
          <w:szCs w:val="22"/>
          <w:u w:val="single"/>
        </w:rPr>
        <w:t>Assets</w:t>
      </w:r>
      <w:r w:rsidR="0028728F" w:rsidRPr="007D003C">
        <w:rPr>
          <w:rFonts w:ascii="Arial" w:hAnsi="Arial" w:cs="Arial"/>
          <w:i/>
          <w:iCs/>
          <w:sz w:val="22"/>
          <w:szCs w:val="22"/>
          <w:u w:val="single"/>
        </w:rPr>
        <w:t xml:space="preserve"> turnover ratio</w:t>
      </w:r>
      <w:r w:rsidR="00124BB1" w:rsidRPr="007D003C">
        <w:rPr>
          <w:rFonts w:ascii="Arial" w:hAnsi="Arial" w:cs="Arial"/>
          <w:i/>
          <w:iCs/>
          <w:sz w:val="22"/>
          <w:szCs w:val="22"/>
        </w:rPr>
        <w:t xml:space="preserve"> “</w:t>
      </w:r>
      <w:r w:rsidR="0028728F" w:rsidRPr="007D003C">
        <w:rPr>
          <w:rFonts w:ascii="Arial" w:hAnsi="Arial" w:cs="Arial"/>
          <w:i/>
          <w:iCs/>
          <w:sz w:val="22"/>
          <w:szCs w:val="22"/>
        </w:rPr>
        <w:t>measures the value of a company's sales relative to the value of its assets. The ratio</w:t>
      </w:r>
      <w:r w:rsidR="00124BB1" w:rsidRPr="007D003C">
        <w:rPr>
          <w:rFonts w:ascii="Arial" w:hAnsi="Arial" w:cs="Arial"/>
          <w:i/>
          <w:iCs/>
          <w:sz w:val="22"/>
          <w:szCs w:val="22"/>
        </w:rPr>
        <w:t xml:space="preserve"> indicates </w:t>
      </w:r>
      <w:r w:rsidR="0028728F" w:rsidRPr="007D003C">
        <w:rPr>
          <w:rFonts w:ascii="Arial" w:hAnsi="Arial" w:cs="Arial"/>
          <w:i/>
          <w:iCs/>
          <w:sz w:val="22"/>
          <w:szCs w:val="22"/>
        </w:rPr>
        <w:t xml:space="preserve">the efficiency with which a company is using its assets to generate </w:t>
      </w:r>
      <w:r w:rsidR="00124BB1" w:rsidRPr="007D003C">
        <w:rPr>
          <w:rFonts w:ascii="Arial" w:hAnsi="Arial" w:cs="Arial"/>
          <w:i/>
          <w:iCs/>
          <w:sz w:val="22"/>
          <w:szCs w:val="22"/>
        </w:rPr>
        <w:t xml:space="preserve">income” </w:t>
      </w:r>
      <w:sdt>
        <w:sdtPr>
          <w:rPr>
            <w:rFonts w:ascii="Arial" w:hAnsi="Arial" w:cs="Arial"/>
            <w:i/>
            <w:iCs/>
            <w:sz w:val="22"/>
            <w:szCs w:val="22"/>
          </w:rPr>
          <w:id w:val="1893929084"/>
          <w:citation/>
        </w:sdtPr>
        <w:sdtEndPr/>
        <w:sdtContent>
          <w:r w:rsidR="00124BB1" w:rsidRPr="007D003C">
            <w:rPr>
              <w:rFonts w:ascii="Arial" w:hAnsi="Arial" w:cs="Arial"/>
              <w:i/>
              <w:iCs/>
              <w:sz w:val="22"/>
              <w:szCs w:val="22"/>
            </w:rPr>
            <w:fldChar w:fldCharType="begin"/>
          </w:r>
          <w:r w:rsidR="00124BB1" w:rsidRPr="007D003C">
            <w:rPr>
              <w:rFonts w:ascii="Arial" w:hAnsi="Arial" w:cs="Arial"/>
              <w:i/>
              <w:iCs/>
              <w:sz w:val="22"/>
              <w:szCs w:val="22"/>
            </w:rPr>
            <w:instrText xml:space="preserve"> CITATION Hay20 \l 2057 </w:instrText>
          </w:r>
          <w:r w:rsidR="00124BB1" w:rsidRPr="007D003C">
            <w:rPr>
              <w:rFonts w:ascii="Arial" w:hAnsi="Arial" w:cs="Arial"/>
              <w:i/>
              <w:iCs/>
              <w:sz w:val="22"/>
              <w:szCs w:val="22"/>
            </w:rPr>
            <w:fldChar w:fldCharType="separate"/>
          </w:r>
          <w:r w:rsidR="00124BB1" w:rsidRPr="007D003C">
            <w:rPr>
              <w:rFonts w:ascii="Arial" w:eastAsiaTheme="minorHAnsi" w:hAnsi="Arial" w:cs="Arial"/>
              <w:noProof/>
              <w:sz w:val="22"/>
              <w:szCs w:val="22"/>
            </w:rPr>
            <w:t>(Hayes, 2020)</w:t>
          </w:r>
          <w:r w:rsidR="00124BB1" w:rsidRPr="007D003C">
            <w:rPr>
              <w:rFonts w:ascii="Arial" w:hAnsi="Arial" w:cs="Arial"/>
              <w:i/>
              <w:iCs/>
              <w:sz w:val="22"/>
              <w:szCs w:val="22"/>
            </w:rPr>
            <w:fldChar w:fldCharType="end"/>
          </w:r>
        </w:sdtContent>
      </w:sdt>
      <w:r w:rsidR="0028728F" w:rsidRPr="007D003C">
        <w:rPr>
          <w:rFonts w:ascii="Arial" w:hAnsi="Arial" w:cs="Arial"/>
          <w:i/>
          <w:iCs/>
          <w:sz w:val="22"/>
          <w:szCs w:val="22"/>
        </w:rPr>
        <w:t>.</w:t>
      </w:r>
      <w:r w:rsidR="00124BB1" w:rsidRPr="007D003C">
        <w:rPr>
          <w:rFonts w:ascii="Arial" w:hAnsi="Arial" w:cs="Arial"/>
          <w:i/>
          <w:iCs/>
          <w:sz w:val="22"/>
          <w:szCs w:val="22"/>
        </w:rPr>
        <w:t xml:space="preserve"> </w:t>
      </w:r>
      <w:r w:rsidR="00124BB1" w:rsidRPr="007D003C">
        <w:rPr>
          <w:rFonts w:ascii="Arial" w:hAnsi="Arial" w:cs="Arial"/>
          <w:sz w:val="22"/>
          <w:szCs w:val="22"/>
        </w:rPr>
        <w:t xml:space="preserve">High Asset turnover indicates </w:t>
      </w:r>
      <w:r w:rsidR="003C5B72">
        <w:rPr>
          <w:rFonts w:ascii="Arial" w:hAnsi="Arial" w:cs="Arial"/>
          <w:sz w:val="22"/>
          <w:szCs w:val="22"/>
        </w:rPr>
        <w:t xml:space="preserve">a </w:t>
      </w:r>
      <w:r w:rsidR="00124BB1" w:rsidRPr="007D003C">
        <w:rPr>
          <w:rFonts w:ascii="Arial" w:hAnsi="Arial" w:cs="Arial"/>
          <w:sz w:val="22"/>
          <w:szCs w:val="22"/>
        </w:rPr>
        <w:t>more efficient use of</w:t>
      </w:r>
      <w:r w:rsidR="003C5B72">
        <w:rPr>
          <w:rFonts w:ascii="Arial" w:hAnsi="Arial" w:cs="Arial"/>
          <w:sz w:val="22"/>
          <w:szCs w:val="22"/>
        </w:rPr>
        <w:t xml:space="preserve"> the</w:t>
      </w:r>
      <w:r w:rsidR="00124BB1" w:rsidRPr="007D003C">
        <w:rPr>
          <w:rFonts w:ascii="Arial" w:hAnsi="Arial" w:cs="Arial"/>
          <w:sz w:val="22"/>
          <w:szCs w:val="22"/>
        </w:rPr>
        <w:t xml:space="preserve"> company’s assets.</w:t>
      </w:r>
      <w:r w:rsidR="00124BB1" w:rsidRPr="007D003C">
        <w:rPr>
          <w:rFonts w:ascii="Arial" w:hAnsi="Arial" w:cs="Arial"/>
          <w:b/>
          <w:sz w:val="22"/>
          <w:szCs w:val="22"/>
        </w:rPr>
        <w:t xml:space="preserve"> Berkeley’</w:t>
      </w:r>
      <w:r w:rsidR="003C5B72">
        <w:rPr>
          <w:rFonts w:ascii="Arial" w:hAnsi="Arial" w:cs="Arial"/>
          <w:b/>
          <w:sz w:val="22"/>
          <w:szCs w:val="22"/>
        </w:rPr>
        <w:t>s</w:t>
      </w:r>
      <w:r w:rsidR="00124BB1" w:rsidRPr="007D003C">
        <w:rPr>
          <w:rFonts w:ascii="Arial" w:hAnsi="Arial" w:cs="Arial"/>
          <w:b/>
          <w:sz w:val="22"/>
          <w:szCs w:val="22"/>
        </w:rPr>
        <w:t xml:space="preserve"> Assets Turnover </w:t>
      </w:r>
      <w:r w:rsidR="0081085C" w:rsidRPr="007D003C">
        <w:rPr>
          <w:rFonts w:ascii="Arial" w:hAnsi="Arial" w:cs="Arial"/>
          <w:bCs/>
          <w:sz w:val="22"/>
          <w:szCs w:val="22"/>
        </w:rPr>
        <w:t xml:space="preserve">figures </w:t>
      </w:r>
      <w:r w:rsidR="0081085C" w:rsidRPr="007D003C">
        <w:rPr>
          <w:rFonts w:ascii="Arial" w:hAnsi="Arial" w:cs="Arial"/>
          <w:sz w:val="22"/>
          <w:szCs w:val="22"/>
        </w:rPr>
        <w:t xml:space="preserve">vary from year </w:t>
      </w:r>
      <w:r w:rsidR="003C5B72">
        <w:rPr>
          <w:rFonts w:ascii="Arial" w:hAnsi="Arial" w:cs="Arial"/>
          <w:sz w:val="22"/>
          <w:szCs w:val="22"/>
        </w:rPr>
        <w:t>to</w:t>
      </w:r>
      <w:r w:rsidR="0081085C" w:rsidRPr="007D003C">
        <w:rPr>
          <w:rFonts w:ascii="Arial" w:hAnsi="Arial" w:cs="Arial"/>
          <w:sz w:val="22"/>
          <w:szCs w:val="22"/>
        </w:rPr>
        <w:t xml:space="preserve"> year.  The </w:t>
      </w:r>
      <w:r w:rsidR="00124BB1" w:rsidRPr="007D003C">
        <w:rPr>
          <w:rFonts w:ascii="Arial" w:hAnsi="Arial" w:cs="Arial"/>
          <w:sz w:val="22"/>
          <w:szCs w:val="22"/>
        </w:rPr>
        <w:t>analysis reveal</w:t>
      </w:r>
      <w:r w:rsidR="0081085C" w:rsidRPr="007D003C">
        <w:rPr>
          <w:rFonts w:ascii="Arial" w:hAnsi="Arial" w:cs="Arial"/>
          <w:sz w:val="22"/>
          <w:szCs w:val="22"/>
        </w:rPr>
        <w:t>ed</w:t>
      </w:r>
      <w:r w:rsidR="00124BB1" w:rsidRPr="007D003C">
        <w:rPr>
          <w:rFonts w:ascii="Arial" w:hAnsi="Arial" w:cs="Arial"/>
          <w:sz w:val="22"/>
          <w:szCs w:val="22"/>
        </w:rPr>
        <w:t xml:space="preserve"> that in 201</w:t>
      </w:r>
      <w:r w:rsidR="0081085C" w:rsidRPr="007D003C">
        <w:rPr>
          <w:rFonts w:ascii="Arial" w:hAnsi="Arial" w:cs="Arial"/>
          <w:sz w:val="22"/>
          <w:szCs w:val="22"/>
        </w:rPr>
        <w:t>7</w:t>
      </w:r>
      <w:r w:rsidR="00124BB1" w:rsidRPr="007D003C">
        <w:rPr>
          <w:rFonts w:ascii="Arial" w:hAnsi="Arial" w:cs="Arial"/>
          <w:sz w:val="22"/>
          <w:szCs w:val="22"/>
        </w:rPr>
        <w:t xml:space="preserve"> for every 1£ company invested in business it generated 1.</w:t>
      </w:r>
      <w:r w:rsidR="0081085C" w:rsidRPr="007D003C">
        <w:rPr>
          <w:rFonts w:ascii="Arial" w:hAnsi="Arial" w:cs="Arial"/>
          <w:sz w:val="22"/>
          <w:szCs w:val="22"/>
        </w:rPr>
        <w:t>27</w:t>
      </w:r>
      <w:r w:rsidR="00124BB1" w:rsidRPr="007D003C">
        <w:rPr>
          <w:rFonts w:ascii="Arial" w:hAnsi="Arial" w:cs="Arial"/>
          <w:sz w:val="22"/>
          <w:szCs w:val="22"/>
        </w:rPr>
        <w:t>£ in sales revenue.  Again in 201</w:t>
      </w:r>
      <w:r w:rsidR="0081085C" w:rsidRPr="007D003C">
        <w:rPr>
          <w:rFonts w:ascii="Arial" w:hAnsi="Arial" w:cs="Arial"/>
          <w:sz w:val="22"/>
          <w:szCs w:val="22"/>
        </w:rPr>
        <w:t>8</w:t>
      </w:r>
      <w:r w:rsidR="00124BB1" w:rsidRPr="007D003C">
        <w:rPr>
          <w:rFonts w:ascii="Arial" w:hAnsi="Arial" w:cs="Arial"/>
          <w:sz w:val="22"/>
          <w:szCs w:val="22"/>
        </w:rPr>
        <w:t xml:space="preserve"> </w:t>
      </w:r>
      <w:r w:rsidR="003C5B72">
        <w:rPr>
          <w:rFonts w:ascii="Arial" w:hAnsi="Arial" w:cs="Arial"/>
          <w:sz w:val="22"/>
          <w:szCs w:val="22"/>
        </w:rPr>
        <w:t xml:space="preserve">the </w:t>
      </w:r>
      <w:r w:rsidR="00124BB1" w:rsidRPr="007D003C">
        <w:rPr>
          <w:rFonts w:ascii="Arial" w:hAnsi="Arial" w:cs="Arial"/>
          <w:sz w:val="22"/>
          <w:szCs w:val="22"/>
        </w:rPr>
        <w:t>company made</w:t>
      </w:r>
      <w:r w:rsidR="0081085C" w:rsidRPr="007D003C">
        <w:rPr>
          <w:rFonts w:ascii="Arial" w:hAnsi="Arial" w:cs="Arial"/>
          <w:sz w:val="22"/>
          <w:szCs w:val="22"/>
        </w:rPr>
        <w:t xml:space="preserve"> less efficient</w:t>
      </w:r>
      <w:r w:rsidR="00124BB1" w:rsidRPr="007D003C">
        <w:rPr>
          <w:rFonts w:ascii="Arial" w:hAnsi="Arial" w:cs="Arial"/>
          <w:sz w:val="22"/>
          <w:szCs w:val="22"/>
        </w:rPr>
        <w:t xml:space="preserve"> use of its assets (1.</w:t>
      </w:r>
      <w:r w:rsidR="0081085C" w:rsidRPr="007D003C">
        <w:rPr>
          <w:rFonts w:ascii="Arial" w:hAnsi="Arial" w:cs="Arial"/>
          <w:sz w:val="22"/>
          <w:szCs w:val="22"/>
        </w:rPr>
        <w:t>03</w:t>
      </w:r>
      <w:r w:rsidR="00124BB1" w:rsidRPr="007D003C">
        <w:rPr>
          <w:rFonts w:ascii="Arial" w:hAnsi="Arial" w:cs="Arial"/>
          <w:sz w:val="22"/>
          <w:szCs w:val="22"/>
        </w:rPr>
        <w:t xml:space="preserve">£ generated for every 1£ invested).  There is no ideal ratio benchmark for the </w:t>
      </w:r>
      <w:r w:rsidR="0081085C" w:rsidRPr="007D003C">
        <w:rPr>
          <w:rFonts w:ascii="Arial" w:hAnsi="Arial" w:cs="Arial"/>
          <w:sz w:val="22"/>
          <w:szCs w:val="22"/>
        </w:rPr>
        <w:t>industries but</w:t>
      </w:r>
      <w:r w:rsidR="00124BB1" w:rsidRPr="007D003C">
        <w:rPr>
          <w:rFonts w:ascii="Arial" w:hAnsi="Arial" w:cs="Arial"/>
          <w:sz w:val="22"/>
          <w:szCs w:val="22"/>
        </w:rPr>
        <w:t xml:space="preserve"> </w:t>
      </w:r>
      <w:r w:rsidR="0081085C" w:rsidRPr="007D003C">
        <w:rPr>
          <w:rFonts w:ascii="Arial" w:hAnsi="Arial" w:cs="Arial"/>
          <w:sz w:val="22"/>
          <w:szCs w:val="22"/>
        </w:rPr>
        <w:t>evaluating</w:t>
      </w:r>
      <w:r w:rsidR="00124BB1" w:rsidRPr="007D003C">
        <w:rPr>
          <w:rFonts w:ascii="Arial" w:hAnsi="Arial" w:cs="Arial"/>
          <w:sz w:val="22"/>
          <w:szCs w:val="22"/>
        </w:rPr>
        <w:t xml:space="preserve"> Assets Turnover to </w:t>
      </w:r>
      <w:r w:rsidR="003C5B72">
        <w:rPr>
          <w:rFonts w:ascii="Arial" w:hAnsi="Arial" w:cs="Arial"/>
          <w:sz w:val="22"/>
          <w:szCs w:val="22"/>
        </w:rPr>
        <w:t>a</w:t>
      </w:r>
      <w:r w:rsidR="00124BB1" w:rsidRPr="007D003C">
        <w:rPr>
          <w:rFonts w:ascii="Arial" w:hAnsi="Arial" w:cs="Arial"/>
          <w:sz w:val="22"/>
          <w:szCs w:val="22"/>
        </w:rPr>
        <w:t xml:space="preserve"> similar company from the FTSE 350 </w:t>
      </w:r>
      <w:r w:rsidR="0081085C" w:rsidRPr="007D003C">
        <w:rPr>
          <w:rFonts w:ascii="Arial" w:hAnsi="Arial" w:cs="Arial"/>
          <w:sz w:val="22"/>
          <w:szCs w:val="22"/>
        </w:rPr>
        <w:t>–</w:t>
      </w:r>
      <w:r w:rsidR="00124BB1" w:rsidRPr="007D003C">
        <w:rPr>
          <w:rFonts w:ascii="Arial" w:hAnsi="Arial" w:cs="Arial"/>
          <w:sz w:val="22"/>
          <w:szCs w:val="22"/>
        </w:rPr>
        <w:t xml:space="preserve"> </w:t>
      </w:r>
      <w:r w:rsidR="0081085C" w:rsidRPr="007D003C">
        <w:rPr>
          <w:rFonts w:ascii="Arial" w:hAnsi="Arial" w:cs="Arial"/>
          <w:sz w:val="22"/>
          <w:szCs w:val="22"/>
        </w:rPr>
        <w:t>Belfour Beatty PLC</w:t>
      </w:r>
      <w:r w:rsidR="00124BB1" w:rsidRPr="007D003C">
        <w:rPr>
          <w:rFonts w:ascii="Arial" w:hAnsi="Arial" w:cs="Arial"/>
          <w:sz w:val="22"/>
          <w:szCs w:val="22"/>
        </w:rPr>
        <w:t xml:space="preserve">, we can see that </w:t>
      </w:r>
      <w:r w:rsidR="0081085C" w:rsidRPr="007D003C">
        <w:rPr>
          <w:rFonts w:ascii="Arial" w:hAnsi="Arial" w:cs="Arial"/>
          <w:sz w:val="22"/>
          <w:szCs w:val="22"/>
        </w:rPr>
        <w:t>player's</w:t>
      </w:r>
      <w:r w:rsidR="00124BB1" w:rsidRPr="007D003C">
        <w:rPr>
          <w:rFonts w:ascii="Arial" w:hAnsi="Arial" w:cs="Arial"/>
          <w:sz w:val="22"/>
          <w:szCs w:val="22"/>
        </w:rPr>
        <w:t xml:space="preserve"> </w:t>
      </w:r>
      <w:r w:rsidR="0081085C" w:rsidRPr="007D003C">
        <w:rPr>
          <w:rFonts w:ascii="Arial" w:hAnsi="Arial" w:cs="Arial"/>
          <w:sz w:val="22"/>
          <w:szCs w:val="22"/>
        </w:rPr>
        <w:t>Asset Turnover</w:t>
      </w:r>
      <w:r w:rsidR="00124BB1" w:rsidRPr="007D003C">
        <w:rPr>
          <w:rFonts w:ascii="Arial" w:hAnsi="Arial" w:cs="Arial"/>
          <w:sz w:val="22"/>
          <w:szCs w:val="22"/>
        </w:rPr>
        <w:t xml:space="preserve"> ratio for the period 201</w:t>
      </w:r>
      <w:r w:rsidR="0081085C" w:rsidRPr="007D003C">
        <w:rPr>
          <w:rFonts w:ascii="Arial" w:hAnsi="Arial" w:cs="Arial"/>
          <w:sz w:val="22"/>
          <w:szCs w:val="22"/>
        </w:rPr>
        <w:t>9</w:t>
      </w:r>
      <w:r w:rsidR="00124BB1" w:rsidRPr="007D003C">
        <w:rPr>
          <w:rFonts w:ascii="Arial" w:hAnsi="Arial" w:cs="Arial"/>
          <w:sz w:val="22"/>
          <w:szCs w:val="22"/>
        </w:rPr>
        <w:t xml:space="preserve"> was </w:t>
      </w:r>
      <w:r w:rsidR="004D3B82" w:rsidRPr="007D003C">
        <w:rPr>
          <w:rFonts w:ascii="Arial" w:hAnsi="Arial" w:cs="Arial"/>
          <w:sz w:val="22"/>
          <w:szCs w:val="22"/>
        </w:rPr>
        <w:t>2.09</w:t>
      </w:r>
      <w:r w:rsidR="00124BB1" w:rsidRPr="007D003C">
        <w:rPr>
          <w:rFonts w:ascii="Arial" w:hAnsi="Arial" w:cs="Arial"/>
          <w:sz w:val="22"/>
          <w:szCs w:val="22"/>
        </w:rPr>
        <w:t xml:space="preserve"> which is much high than Berkeley’s.</w:t>
      </w:r>
      <w:r w:rsidR="004D3B82" w:rsidRPr="007D003C">
        <w:rPr>
          <w:rFonts w:ascii="Arial" w:hAnsi="Arial" w:cs="Arial"/>
          <w:sz w:val="22"/>
          <w:szCs w:val="22"/>
        </w:rPr>
        <w:t xml:space="preserve">  The assets turnover tends to differ from industry to industry.  </w:t>
      </w:r>
      <w:r w:rsidR="001D203F" w:rsidRPr="007D003C">
        <w:rPr>
          <w:rFonts w:ascii="Arial" w:hAnsi="Arial" w:cs="Arial"/>
          <w:sz w:val="22"/>
          <w:szCs w:val="22"/>
        </w:rPr>
        <w:t>Thus,</w:t>
      </w:r>
      <w:r w:rsidR="004D3B82" w:rsidRPr="007D003C">
        <w:rPr>
          <w:rFonts w:ascii="Arial" w:hAnsi="Arial" w:cs="Arial"/>
          <w:sz w:val="22"/>
          <w:szCs w:val="22"/>
        </w:rPr>
        <w:t xml:space="preserve"> construction companies like Berkeley owning larger asset bases have low asset turnover</w:t>
      </w:r>
      <w:r w:rsidR="001D203F" w:rsidRPr="007D003C">
        <w:rPr>
          <w:rFonts w:ascii="Arial" w:hAnsi="Arial" w:cs="Arial"/>
          <w:sz w:val="22"/>
          <w:szCs w:val="22"/>
        </w:rPr>
        <w:t>.  The reason behind the low asset turnover could be a large asset purchased during the year.  To have a bigger picture of efficiency position of the company, AT ratio</w:t>
      </w:r>
      <w:r w:rsidR="003C5B72">
        <w:rPr>
          <w:rFonts w:ascii="Arial" w:hAnsi="Arial" w:cs="Arial"/>
          <w:sz w:val="22"/>
          <w:szCs w:val="22"/>
        </w:rPr>
        <w:t>,</w:t>
      </w:r>
      <w:r w:rsidR="001D203F" w:rsidRPr="007D003C">
        <w:rPr>
          <w:rFonts w:ascii="Arial" w:hAnsi="Arial" w:cs="Arial"/>
          <w:sz w:val="22"/>
          <w:szCs w:val="22"/>
        </w:rPr>
        <w:t xml:space="preserve"> must be evaluated in conjunction with other efficiency ratios (Hays, 2020).  </w:t>
      </w:r>
    </w:p>
    <w:p w14:paraId="47C3E7A9" w14:textId="643D40B5" w:rsidR="009C3827" w:rsidRDefault="001D203F" w:rsidP="00496D13">
      <w:pPr>
        <w:jc w:val="both"/>
        <w:rPr>
          <w:rFonts w:ascii="Arial" w:hAnsi="Arial" w:cs="Arial"/>
          <w:sz w:val="22"/>
          <w:szCs w:val="22"/>
        </w:rPr>
      </w:pPr>
      <w:r w:rsidRPr="007D003C">
        <w:rPr>
          <w:rFonts w:ascii="Arial" w:hAnsi="Arial" w:cs="Arial"/>
          <w:i/>
          <w:iCs/>
          <w:sz w:val="22"/>
          <w:szCs w:val="22"/>
          <w:u w:val="single"/>
        </w:rPr>
        <w:t>Payables Payment Period</w:t>
      </w:r>
      <w:r w:rsidR="00ED15E8" w:rsidRPr="007D003C">
        <w:rPr>
          <w:rFonts w:ascii="Arial" w:hAnsi="Arial" w:cs="Arial"/>
          <w:sz w:val="22"/>
          <w:szCs w:val="22"/>
        </w:rPr>
        <w:t xml:space="preserve"> “represents the average number of times a company pays off its creditors during an accounting period” (CFI, 2015-2021).  “A higher payable turnover ratio is favourable, as it enables the company to hold cash for a longer time”. Berkeley has a high </w:t>
      </w:r>
      <w:r w:rsidR="00ED15E8" w:rsidRPr="007D003C">
        <w:rPr>
          <w:rFonts w:ascii="Arial" w:hAnsi="Arial" w:cs="Arial"/>
          <w:b/>
          <w:sz w:val="22"/>
          <w:szCs w:val="22"/>
        </w:rPr>
        <w:t>Payables Payment Period</w:t>
      </w:r>
      <w:r w:rsidR="00ED15E8" w:rsidRPr="007D003C">
        <w:rPr>
          <w:rFonts w:ascii="Arial" w:hAnsi="Arial" w:cs="Arial"/>
          <w:sz w:val="22"/>
          <w:szCs w:val="22"/>
        </w:rPr>
        <w:t xml:space="preserve"> </w:t>
      </w:r>
      <w:r w:rsidR="00A57415" w:rsidRPr="007D003C">
        <w:rPr>
          <w:rFonts w:ascii="Arial" w:hAnsi="Arial" w:cs="Arial"/>
          <w:sz w:val="22"/>
          <w:szCs w:val="22"/>
        </w:rPr>
        <w:t>that tend</w:t>
      </w:r>
      <w:r w:rsidR="003C5B72">
        <w:rPr>
          <w:rFonts w:ascii="Arial" w:hAnsi="Arial" w:cs="Arial"/>
          <w:sz w:val="22"/>
          <w:szCs w:val="22"/>
        </w:rPr>
        <w:t>s</w:t>
      </w:r>
      <w:r w:rsidR="00A57415" w:rsidRPr="007D003C">
        <w:rPr>
          <w:rFonts w:ascii="Arial" w:hAnsi="Arial" w:cs="Arial"/>
          <w:sz w:val="22"/>
          <w:szCs w:val="22"/>
        </w:rPr>
        <w:t xml:space="preserve"> to decrease</w:t>
      </w:r>
      <w:r w:rsidR="00496D13" w:rsidRPr="007D003C">
        <w:rPr>
          <w:rFonts w:ascii="Arial" w:hAnsi="Arial" w:cs="Arial"/>
          <w:sz w:val="22"/>
          <w:szCs w:val="22"/>
        </w:rPr>
        <w:t xml:space="preserve"> over</w:t>
      </w:r>
      <w:r w:rsidR="003C5B72">
        <w:rPr>
          <w:rFonts w:ascii="Arial" w:hAnsi="Arial" w:cs="Arial"/>
          <w:sz w:val="22"/>
          <w:szCs w:val="22"/>
        </w:rPr>
        <w:t xml:space="preserve"> the</w:t>
      </w:r>
      <w:r w:rsidR="00496D13" w:rsidRPr="007D003C">
        <w:rPr>
          <w:rFonts w:ascii="Arial" w:hAnsi="Arial" w:cs="Arial"/>
          <w:sz w:val="22"/>
          <w:szCs w:val="22"/>
        </w:rPr>
        <w:t xml:space="preserve"> period of 5 years</w:t>
      </w:r>
      <w:r w:rsidR="00A57415" w:rsidRPr="007D003C">
        <w:rPr>
          <w:rFonts w:ascii="Arial" w:hAnsi="Arial" w:cs="Arial"/>
          <w:sz w:val="22"/>
          <w:szCs w:val="22"/>
        </w:rPr>
        <w:t>.  The company reduced Payables days from 504</w:t>
      </w:r>
      <w:r w:rsidR="00ED15E8" w:rsidRPr="007D003C">
        <w:rPr>
          <w:rFonts w:ascii="Arial" w:hAnsi="Arial" w:cs="Arial"/>
          <w:sz w:val="22"/>
          <w:szCs w:val="22"/>
        </w:rPr>
        <w:t xml:space="preserve"> days</w:t>
      </w:r>
      <w:r w:rsidR="00A57415" w:rsidRPr="007D003C">
        <w:rPr>
          <w:rFonts w:ascii="Arial" w:hAnsi="Arial" w:cs="Arial"/>
          <w:sz w:val="22"/>
          <w:szCs w:val="22"/>
        </w:rPr>
        <w:t xml:space="preserve"> in 2016</w:t>
      </w:r>
      <w:r w:rsidR="00ED15E8" w:rsidRPr="007D003C">
        <w:rPr>
          <w:rFonts w:ascii="Arial" w:hAnsi="Arial" w:cs="Arial"/>
          <w:sz w:val="22"/>
          <w:szCs w:val="22"/>
        </w:rPr>
        <w:t xml:space="preserve"> to </w:t>
      </w:r>
      <w:r w:rsidR="00A57415" w:rsidRPr="007D003C">
        <w:rPr>
          <w:rFonts w:ascii="Arial" w:hAnsi="Arial" w:cs="Arial"/>
          <w:sz w:val="22"/>
          <w:szCs w:val="22"/>
        </w:rPr>
        <w:t>287</w:t>
      </w:r>
      <w:r w:rsidR="00ED15E8" w:rsidRPr="007D003C">
        <w:rPr>
          <w:rFonts w:ascii="Arial" w:hAnsi="Arial" w:cs="Arial"/>
          <w:sz w:val="22"/>
          <w:szCs w:val="22"/>
        </w:rPr>
        <w:t xml:space="preserve"> days</w:t>
      </w:r>
      <w:r w:rsidR="00A57415" w:rsidRPr="007D003C">
        <w:rPr>
          <w:rFonts w:ascii="Arial" w:hAnsi="Arial" w:cs="Arial"/>
          <w:sz w:val="22"/>
          <w:szCs w:val="22"/>
        </w:rPr>
        <w:t xml:space="preserve"> in 2019</w:t>
      </w:r>
      <w:r w:rsidR="00ED15E8" w:rsidRPr="007D003C">
        <w:rPr>
          <w:rFonts w:ascii="Arial" w:hAnsi="Arial" w:cs="Arial"/>
          <w:sz w:val="22"/>
          <w:szCs w:val="22"/>
        </w:rPr>
        <w:t>).  The high payment period</w:t>
      </w:r>
      <w:r w:rsidR="00A57415" w:rsidRPr="007D003C">
        <w:rPr>
          <w:rFonts w:ascii="Arial" w:hAnsi="Arial" w:cs="Arial"/>
          <w:sz w:val="22"/>
          <w:szCs w:val="22"/>
        </w:rPr>
        <w:t xml:space="preserve"> in 2020 is mainly attributed to</w:t>
      </w:r>
      <w:r w:rsidR="00ED15E8" w:rsidRPr="007D003C">
        <w:rPr>
          <w:rFonts w:ascii="Arial" w:hAnsi="Arial" w:cs="Arial"/>
          <w:sz w:val="22"/>
          <w:szCs w:val="22"/>
        </w:rPr>
        <w:t xml:space="preserve"> the fact that </w:t>
      </w:r>
      <w:r w:rsidR="00A57415" w:rsidRPr="007D003C">
        <w:rPr>
          <w:rFonts w:ascii="Arial" w:hAnsi="Arial" w:cs="Arial"/>
          <w:sz w:val="22"/>
          <w:szCs w:val="22"/>
        </w:rPr>
        <w:t xml:space="preserve">the </w:t>
      </w:r>
      <w:r w:rsidR="00ED15E8" w:rsidRPr="007D003C">
        <w:rPr>
          <w:rFonts w:ascii="Arial" w:hAnsi="Arial" w:cs="Arial"/>
          <w:sz w:val="22"/>
          <w:szCs w:val="22"/>
        </w:rPr>
        <w:t xml:space="preserve">company managed to negotiate favourable payment terms with the suppliers (purchase on credit), </w:t>
      </w:r>
      <w:r w:rsidR="003C5B72">
        <w:rPr>
          <w:rFonts w:ascii="Arial" w:hAnsi="Arial" w:cs="Arial"/>
          <w:sz w:val="22"/>
          <w:szCs w:val="22"/>
        </w:rPr>
        <w:t>which</w:t>
      </w:r>
      <w:r w:rsidR="00ED15E8" w:rsidRPr="007D003C">
        <w:rPr>
          <w:rFonts w:ascii="Arial" w:hAnsi="Arial" w:cs="Arial"/>
          <w:sz w:val="22"/>
          <w:szCs w:val="22"/>
        </w:rPr>
        <w:t xml:space="preserve"> allowed less frequent payments available to the Construction Company</w:t>
      </w:r>
      <w:r w:rsidR="00A57415" w:rsidRPr="007D003C">
        <w:rPr>
          <w:rFonts w:ascii="Arial" w:hAnsi="Arial" w:cs="Arial"/>
          <w:sz w:val="22"/>
          <w:szCs w:val="22"/>
        </w:rPr>
        <w:t xml:space="preserve"> during </w:t>
      </w:r>
      <w:r w:rsidR="003C5B72">
        <w:rPr>
          <w:rFonts w:ascii="Arial" w:hAnsi="Arial" w:cs="Arial"/>
          <w:sz w:val="22"/>
          <w:szCs w:val="22"/>
        </w:rPr>
        <w:t xml:space="preserve">the </w:t>
      </w:r>
      <w:r w:rsidR="00A57415" w:rsidRPr="007D003C">
        <w:rPr>
          <w:rFonts w:ascii="Arial" w:hAnsi="Arial" w:cs="Arial"/>
          <w:sz w:val="22"/>
          <w:szCs w:val="22"/>
        </w:rPr>
        <w:t>COVID-19 pandemic.</w:t>
      </w:r>
      <w:r w:rsidR="00ED15E8" w:rsidRPr="007D003C">
        <w:rPr>
          <w:rFonts w:ascii="Arial" w:hAnsi="Arial" w:cs="Arial"/>
          <w:sz w:val="22"/>
          <w:szCs w:val="22"/>
        </w:rPr>
        <w:t xml:space="preserve">   Regardless of t</w:t>
      </w:r>
      <w:r w:rsidR="00A57415" w:rsidRPr="007D003C">
        <w:rPr>
          <w:rFonts w:ascii="Arial" w:hAnsi="Arial" w:cs="Arial"/>
          <w:sz w:val="22"/>
          <w:szCs w:val="22"/>
        </w:rPr>
        <w:t>he</w:t>
      </w:r>
      <w:r w:rsidR="00ED15E8" w:rsidRPr="007D003C">
        <w:rPr>
          <w:rFonts w:ascii="Arial" w:hAnsi="Arial" w:cs="Arial"/>
          <w:sz w:val="22"/>
          <w:szCs w:val="22"/>
        </w:rPr>
        <w:t xml:space="preserve"> favourable agreement</w:t>
      </w:r>
      <w:r w:rsidR="00A57415" w:rsidRPr="007D003C">
        <w:rPr>
          <w:rFonts w:ascii="Arial" w:hAnsi="Arial" w:cs="Arial"/>
          <w:sz w:val="22"/>
          <w:szCs w:val="22"/>
        </w:rPr>
        <w:t>s</w:t>
      </w:r>
      <w:r w:rsidR="00ED15E8" w:rsidRPr="007D003C">
        <w:rPr>
          <w:rFonts w:ascii="Arial" w:hAnsi="Arial" w:cs="Arial"/>
          <w:sz w:val="22"/>
          <w:szCs w:val="22"/>
        </w:rPr>
        <w:t xml:space="preserve">, this </w:t>
      </w:r>
      <w:r w:rsidR="00A57415" w:rsidRPr="007D003C">
        <w:rPr>
          <w:rFonts w:ascii="Arial" w:hAnsi="Arial" w:cs="Arial"/>
          <w:sz w:val="22"/>
          <w:szCs w:val="22"/>
        </w:rPr>
        <w:t>could r</w:t>
      </w:r>
      <w:r w:rsidR="000C0878">
        <w:rPr>
          <w:rFonts w:ascii="Arial" w:hAnsi="Arial" w:cs="Arial"/>
          <w:sz w:val="22"/>
          <w:szCs w:val="22"/>
        </w:rPr>
        <w:t>a</w:t>
      </w:r>
      <w:r w:rsidR="00A57415" w:rsidRPr="007D003C">
        <w:rPr>
          <w:rFonts w:ascii="Arial" w:hAnsi="Arial" w:cs="Arial"/>
          <w:sz w:val="22"/>
          <w:szCs w:val="22"/>
        </w:rPr>
        <w:t>ise a</w:t>
      </w:r>
      <w:r w:rsidR="00ED15E8" w:rsidRPr="007D003C">
        <w:rPr>
          <w:rFonts w:ascii="Arial" w:hAnsi="Arial" w:cs="Arial"/>
          <w:sz w:val="22"/>
          <w:szCs w:val="22"/>
        </w:rPr>
        <w:t xml:space="preserve"> concern about Berkeley’s short-term liquidity, especially, in comparison to</w:t>
      </w:r>
      <w:r w:rsidR="000C0878">
        <w:rPr>
          <w:rFonts w:ascii="Arial" w:hAnsi="Arial" w:cs="Arial"/>
          <w:sz w:val="22"/>
          <w:szCs w:val="22"/>
        </w:rPr>
        <w:t xml:space="preserve"> </w:t>
      </w:r>
      <w:r w:rsidR="00ED15E8" w:rsidRPr="007D003C">
        <w:rPr>
          <w:rFonts w:ascii="Arial" w:hAnsi="Arial" w:cs="Arial"/>
          <w:sz w:val="22"/>
          <w:szCs w:val="22"/>
        </w:rPr>
        <w:t xml:space="preserve">Berkley’s competitor, </w:t>
      </w:r>
      <w:r w:rsidR="00A57415" w:rsidRPr="007D003C">
        <w:rPr>
          <w:rFonts w:ascii="Arial" w:hAnsi="Arial" w:cs="Arial"/>
          <w:sz w:val="22"/>
          <w:szCs w:val="22"/>
        </w:rPr>
        <w:t>Belfour Beauty (Annual Report, 2019).</w:t>
      </w:r>
    </w:p>
    <w:p w14:paraId="4881431D" w14:textId="1CE84EF3" w:rsidR="00496D13" w:rsidRPr="007D003C" w:rsidRDefault="00496D13" w:rsidP="00496D13">
      <w:pPr>
        <w:jc w:val="both"/>
        <w:rPr>
          <w:rFonts w:ascii="Arial" w:hAnsi="Arial" w:cs="Arial"/>
          <w:sz w:val="22"/>
          <w:szCs w:val="22"/>
        </w:rPr>
      </w:pPr>
      <w:r w:rsidRPr="007D003C">
        <w:rPr>
          <w:rFonts w:ascii="Arial" w:hAnsi="Arial" w:cs="Arial"/>
          <w:bCs/>
          <w:i/>
          <w:iCs/>
          <w:sz w:val="22"/>
          <w:szCs w:val="22"/>
          <w:u w:val="single"/>
        </w:rPr>
        <w:t>Receivables Collecting Period</w:t>
      </w:r>
      <w:r w:rsidRPr="007D003C">
        <w:rPr>
          <w:rFonts w:ascii="Arial" w:hAnsi="Arial" w:cs="Arial"/>
          <w:b/>
          <w:sz w:val="22"/>
          <w:szCs w:val="22"/>
        </w:rPr>
        <w:t xml:space="preserve"> - </w:t>
      </w:r>
      <w:r w:rsidRPr="007D003C">
        <w:rPr>
          <w:rFonts w:ascii="Arial" w:hAnsi="Arial" w:cs="Arial"/>
          <w:bCs/>
          <w:sz w:val="22"/>
          <w:szCs w:val="22"/>
        </w:rPr>
        <w:t>evaluates the efficiency of revenue collection, looking at the number of times a business obtains its “average accounts receivable over a given period” (CFI, 2015-2021).  Berkeley figures (38 days in 2016, 31 day</w:t>
      </w:r>
      <w:r w:rsidR="000C0878">
        <w:rPr>
          <w:rFonts w:ascii="Arial" w:hAnsi="Arial" w:cs="Arial"/>
          <w:bCs/>
          <w:sz w:val="22"/>
          <w:szCs w:val="22"/>
        </w:rPr>
        <w:t>s</w:t>
      </w:r>
      <w:r w:rsidRPr="007D003C">
        <w:rPr>
          <w:rFonts w:ascii="Arial" w:hAnsi="Arial" w:cs="Arial"/>
          <w:bCs/>
          <w:sz w:val="22"/>
          <w:szCs w:val="22"/>
        </w:rPr>
        <w:t xml:space="preserve"> in 2017, and 18 days in 2018 and declining</w:t>
      </w:r>
      <w:r w:rsidRPr="007D003C">
        <w:rPr>
          <w:rFonts w:ascii="Arial" w:hAnsi="Arial" w:cs="Arial"/>
          <w:sz w:val="22"/>
          <w:szCs w:val="22"/>
        </w:rPr>
        <w:t xml:space="preserve">) are regarded as a beneficial term, suggesting that the </w:t>
      </w:r>
      <w:r w:rsidR="00DD3BA7" w:rsidRPr="007D003C">
        <w:rPr>
          <w:rFonts w:ascii="Arial" w:hAnsi="Arial" w:cs="Arial"/>
          <w:sz w:val="22"/>
          <w:szCs w:val="22"/>
        </w:rPr>
        <w:t>firm</w:t>
      </w:r>
      <w:r w:rsidRPr="007D003C">
        <w:rPr>
          <w:rFonts w:ascii="Arial" w:hAnsi="Arial" w:cs="Arial"/>
          <w:sz w:val="22"/>
          <w:szCs w:val="22"/>
        </w:rPr>
        <w:t xml:space="preserve"> is collecting</w:t>
      </w:r>
      <w:r w:rsidR="00DD3BA7" w:rsidRPr="007D003C">
        <w:rPr>
          <w:rFonts w:ascii="Arial" w:hAnsi="Arial" w:cs="Arial"/>
          <w:sz w:val="22"/>
          <w:szCs w:val="22"/>
        </w:rPr>
        <w:t xml:space="preserve"> their payments</w:t>
      </w:r>
      <w:r w:rsidRPr="007D003C">
        <w:rPr>
          <w:rFonts w:ascii="Arial" w:hAnsi="Arial" w:cs="Arial"/>
          <w:sz w:val="22"/>
          <w:szCs w:val="22"/>
        </w:rPr>
        <w:t xml:space="preserve"> faster for their products, </w:t>
      </w:r>
      <w:r w:rsidR="00DD3BA7" w:rsidRPr="007D003C">
        <w:rPr>
          <w:rFonts w:ascii="Arial" w:hAnsi="Arial" w:cs="Arial"/>
          <w:sz w:val="22"/>
          <w:szCs w:val="22"/>
        </w:rPr>
        <w:t>particularly</w:t>
      </w:r>
      <w:r w:rsidRPr="007D003C">
        <w:rPr>
          <w:rFonts w:ascii="Arial" w:hAnsi="Arial" w:cs="Arial"/>
          <w:sz w:val="22"/>
          <w:szCs w:val="22"/>
        </w:rPr>
        <w:t xml:space="preserve"> in </w:t>
      </w:r>
      <w:r w:rsidR="00DD3BA7" w:rsidRPr="007D003C">
        <w:rPr>
          <w:rFonts w:ascii="Arial" w:hAnsi="Arial" w:cs="Arial"/>
          <w:sz w:val="22"/>
          <w:szCs w:val="22"/>
        </w:rPr>
        <w:t>contrast</w:t>
      </w:r>
      <w:r w:rsidRPr="007D003C">
        <w:rPr>
          <w:rFonts w:ascii="Arial" w:hAnsi="Arial" w:cs="Arial"/>
          <w:sz w:val="22"/>
          <w:szCs w:val="22"/>
        </w:rPr>
        <w:t xml:space="preserve"> to</w:t>
      </w:r>
      <w:r w:rsidR="00DD3BA7" w:rsidRPr="007D003C">
        <w:rPr>
          <w:rFonts w:ascii="Arial" w:hAnsi="Arial" w:cs="Arial"/>
          <w:sz w:val="22"/>
          <w:szCs w:val="22"/>
        </w:rPr>
        <w:t xml:space="preserve"> Belfour Bea</w:t>
      </w:r>
      <w:r w:rsidR="00704B67" w:rsidRPr="007D003C">
        <w:rPr>
          <w:rFonts w:ascii="Arial" w:hAnsi="Arial" w:cs="Arial"/>
          <w:sz w:val="22"/>
          <w:szCs w:val="22"/>
        </w:rPr>
        <w:t>tty</w:t>
      </w:r>
      <w:r w:rsidR="00DD3BA7" w:rsidRPr="007D003C">
        <w:rPr>
          <w:rFonts w:ascii="Arial" w:hAnsi="Arial" w:cs="Arial"/>
          <w:sz w:val="22"/>
          <w:szCs w:val="22"/>
        </w:rPr>
        <w:t>’s</w:t>
      </w:r>
      <w:r w:rsidRPr="007D003C">
        <w:rPr>
          <w:rFonts w:ascii="Arial" w:hAnsi="Arial" w:cs="Arial"/>
          <w:sz w:val="22"/>
          <w:szCs w:val="22"/>
        </w:rPr>
        <w:t xml:space="preserve"> receivables ratio (</w:t>
      </w:r>
      <w:r w:rsidR="00DD3BA7" w:rsidRPr="007D003C">
        <w:rPr>
          <w:rFonts w:ascii="Arial" w:hAnsi="Arial" w:cs="Arial"/>
          <w:sz w:val="22"/>
          <w:szCs w:val="22"/>
        </w:rPr>
        <w:t>41</w:t>
      </w:r>
      <w:r w:rsidRPr="007D003C">
        <w:rPr>
          <w:rFonts w:ascii="Arial" w:hAnsi="Arial" w:cs="Arial"/>
          <w:sz w:val="22"/>
          <w:szCs w:val="22"/>
        </w:rPr>
        <w:t xml:space="preserve"> days, 201</w:t>
      </w:r>
      <w:r w:rsidR="00DD3BA7" w:rsidRPr="007D003C">
        <w:rPr>
          <w:rFonts w:ascii="Arial" w:hAnsi="Arial" w:cs="Arial"/>
          <w:sz w:val="22"/>
          <w:szCs w:val="22"/>
        </w:rPr>
        <w:t>9</w:t>
      </w:r>
      <w:r w:rsidRPr="007D003C">
        <w:rPr>
          <w:rFonts w:ascii="Arial" w:hAnsi="Arial" w:cs="Arial"/>
          <w:sz w:val="22"/>
          <w:szCs w:val="22"/>
        </w:rPr>
        <w:t>)</w:t>
      </w:r>
      <w:r w:rsidR="00704B67" w:rsidRPr="007D003C">
        <w:rPr>
          <w:rFonts w:ascii="Arial" w:hAnsi="Arial" w:cs="Arial"/>
          <w:sz w:val="22"/>
          <w:szCs w:val="22"/>
        </w:rPr>
        <w:t xml:space="preserve"> (Annual Report, 2019)</w:t>
      </w:r>
      <w:r w:rsidRPr="007D003C">
        <w:rPr>
          <w:rFonts w:ascii="Arial" w:hAnsi="Arial" w:cs="Arial"/>
          <w:sz w:val="22"/>
          <w:szCs w:val="22"/>
        </w:rPr>
        <w:t>.</w:t>
      </w:r>
    </w:p>
    <w:p w14:paraId="50B79A6C" w14:textId="2EABFAED" w:rsidR="009C3827" w:rsidRDefault="007D003C" w:rsidP="009C3827">
      <w:pPr>
        <w:jc w:val="both"/>
        <w:rPr>
          <w:rFonts w:ascii="Arial" w:hAnsi="Arial" w:cs="Arial"/>
          <w:sz w:val="22"/>
          <w:szCs w:val="22"/>
        </w:rPr>
      </w:pPr>
      <w:r w:rsidRPr="007D003C">
        <w:rPr>
          <w:rFonts w:ascii="Arial" w:hAnsi="Arial" w:cs="Arial"/>
          <w:b/>
          <w:bCs/>
          <w:sz w:val="22"/>
          <w:szCs w:val="22"/>
        </w:rPr>
        <w:t>Conclusion</w:t>
      </w:r>
      <w:r w:rsidRPr="007D003C">
        <w:rPr>
          <w:rFonts w:ascii="Arial" w:hAnsi="Arial" w:cs="Arial"/>
          <w:sz w:val="22"/>
          <w:szCs w:val="22"/>
        </w:rPr>
        <w:t xml:space="preserve"> </w:t>
      </w:r>
      <w:r w:rsidR="00496D13" w:rsidRPr="007D003C">
        <w:rPr>
          <w:rFonts w:ascii="Arial" w:hAnsi="Arial" w:cs="Arial"/>
          <w:sz w:val="22"/>
          <w:szCs w:val="22"/>
        </w:rPr>
        <w:t>Efficiency Ratios show that Berkeley’s management has succeeded in managing and using its assets better in 2018</w:t>
      </w:r>
      <w:r w:rsidR="00704B67" w:rsidRPr="007D003C">
        <w:rPr>
          <w:rFonts w:ascii="Arial" w:hAnsi="Arial" w:cs="Arial"/>
          <w:sz w:val="22"/>
          <w:szCs w:val="22"/>
        </w:rPr>
        <w:t>-19</w:t>
      </w:r>
      <w:r w:rsidR="00496D13" w:rsidRPr="007D003C">
        <w:rPr>
          <w:rFonts w:ascii="Arial" w:hAnsi="Arial" w:cs="Arial"/>
          <w:sz w:val="22"/>
          <w:szCs w:val="22"/>
        </w:rPr>
        <w:t>, then in 2016-2017.</w:t>
      </w:r>
    </w:p>
    <w:p w14:paraId="16C619D6" w14:textId="77777777" w:rsidR="009C3827" w:rsidRDefault="009C3827" w:rsidP="009C3827">
      <w:pPr>
        <w:jc w:val="both"/>
        <w:rPr>
          <w:rFonts w:ascii="Arial" w:hAnsi="Arial" w:cs="Arial"/>
          <w:sz w:val="22"/>
          <w:szCs w:val="22"/>
        </w:rPr>
      </w:pPr>
    </w:p>
    <w:p w14:paraId="69C05A90" w14:textId="77777777" w:rsidR="009C3827" w:rsidRDefault="002732F5" w:rsidP="009C3827">
      <w:pPr>
        <w:jc w:val="both"/>
        <w:rPr>
          <w:rFonts w:ascii="Arial" w:hAnsi="Arial" w:cs="Arial"/>
          <w:sz w:val="22"/>
          <w:szCs w:val="22"/>
        </w:rPr>
      </w:pPr>
      <w:r w:rsidRPr="007D003C">
        <w:rPr>
          <w:rFonts w:ascii="Arial" w:hAnsi="Arial" w:cs="Arial"/>
          <w:b/>
          <w:i/>
          <w:sz w:val="22"/>
          <w:szCs w:val="22"/>
        </w:rPr>
        <w:t>Investment Ratios</w:t>
      </w:r>
      <w:r w:rsidRPr="007D003C">
        <w:rPr>
          <w:rFonts w:ascii="Arial" w:hAnsi="Arial" w:cs="Arial"/>
          <w:b/>
          <w:sz w:val="22"/>
          <w:szCs w:val="22"/>
        </w:rPr>
        <w:t xml:space="preserve"> - </w:t>
      </w:r>
      <w:r w:rsidRPr="007D003C">
        <w:rPr>
          <w:rFonts w:ascii="Arial" w:hAnsi="Arial" w:cs="Arial"/>
          <w:sz w:val="22"/>
          <w:szCs w:val="22"/>
        </w:rPr>
        <w:t>used by the investors to assess earnings and future performance of the company.</w:t>
      </w:r>
      <w:r w:rsidR="00D66ABF" w:rsidRPr="007D003C">
        <w:rPr>
          <w:rFonts w:ascii="Arial" w:hAnsi="Arial" w:cs="Arial"/>
          <w:sz w:val="22"/>
          <w:szCs w:val="22"/>
        </w:rPr>
        <w:t xml:space="preserve">  </w:t>
      </w:r>
    </w:p>
    <w:p w14:paraId="4812D3C8" w14:textId="77777777" w:rsidR="009C3827" w:rsidRDefault="002732F5" w:rsidP="009C3827">
      <w:pPr>
        <w:jc w:val="both"/>
        <w:rPr>
          <w:rFonts w:ascii="Arial" w:hAnsi="Arial" w:cs="Arial"/>
          <w:i/>
          <w:iCs/>
          <w:sz w:val="22"/>
          <w:szCs w:val="22"/>
        </w:rPr>
      </w:pPr>
      <w:r w:rsidRPr="007D003C">
        <w:rPr>
          <w:rFonts w:ascii="Arial" w:hAnsi="Arial" w:cs="Arial"/>
          <w:i/>
          <w:iCs/>
          <w:sz w:val="22"/>
          <w:szCs w:val="22"/>
        </w:rPr>
        <w:t xml:space="preserve">Findings: </w:t>
      </w:r>
    </w:p>
    <w:p w14:paraId="4C90FACA" w14:textId="135F3F79" w:rsidR="000419BF" w:rsidRPr="009C3827" w:rsidRDefault="002732F5" w:rsidP="009C3827">
      <w:pPr>
        <w:jc w:val="both"/>
        <w:rPr>
          <w:rFonts w:ascii="Arial" w:hAnsi="Arial" w:cs="Arial"/>
          <w:sz w:val="22"/>
          <w:szCs w:val="22"/>
        </w:rPr>
      </w:pPr>
      <w:r w:rsidRPr="007D003C">
        <w:rPr>
          <w:rFonts w:ascii="Arial" w:hAnsi="Arial" w:cs="Arial"/>
          <w:i/>
          <w:iCs/>
          <w:sz w:val="22"/>
          <w:szCs w:val="22"/>
        </w:rPr>
        <w:t>Table 5 Calculations of Investment Ratios for The Berkeley 2016-2020 and Balfour Beatty PLC/ 2019</w:t>
      </w:r>
    </w:p>
    <w:p w14:paraId="3EE7491E" w14:textId="77777777" w:rsidR="009C3827" w:rsidRDefault="00B07CD3" w:rsidP="005A4268">
      <w:pPr>
        <w:rPr>
          <w:rFonts w:ascii="Arial" w:hAnsi="Arial" w:cs="Arial"/>
          <w:i/>
          <w:iCs/>
          <w:sz w:val="22"/>
          <w:szCs w:val="22"/>
        </w:rPr>
      </w:pPr>
      <w:r w:rsidRPr="007D003C">
        <w:rPr>
          <w:rFonts w:ascii="Arial" w:hAnsi="Arial" w:cs="Arial"/>
          <w:noProof/>
          <w:sz w:val="22"/>
          <w:szCs w:val="22"/>
        </w:rPr>
        <w:drawing>
          <wp:inline distT="0" distB="0" distL="0" distR="0" wp14:anchorId="5B330030" wp14:editId="0D509081">
            <wp:extent cx="6188710" cy="252095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188710" cy="2520950"/>
                    </a:xfrm>
                    <a:prstGeom prst="rect">
                      <a:avLst/>
                    </a:prstGeom>
                    <a:noFill/>
                    <a:ln>
                      <a:noFill/>
                    </a:ln>
                  </pic:spPr>
                </pic:pic>
              </a:graphicData>
            </a:graphic>
          </wp:inline>
        </w:drawing>
      </w:r>
    </w:p>
    <w:p w14:paraId="20849C01" w14:textId="77777777" w:rsidR="009C3827" w:rsidRDefault="009C3827" w:rsidP="005A4268">
      <w:pPr>
        <w:rPr>
          <w:rFonts w:ascii="Arial" w:hAnsi="Arial" w:cs="Arial"/>
          <w:i/>
          <w:iCs/>
          <w:sz w:val="22"/>
          <w:szCs w:val="22"/>
        </w:rPr>
      </w:pPr>
    </w:p>
    <w:p w14:paraId="2DC23377" w14:textId="77777777" w:rsidR="009C3827" w:rsidRDefault="009C3827" w:rsidP="005A4268">
      <w:pPr>
        <w:rPr>
          <w:rFonts w:ascii="Arial" w:hAnsi="Arial" w:cs="Arial"/>
          <w:i/>
          <w:iCs/>
          <w:sz w:val="22"/>
          <w:szCs w:val="22"/>
        </w:rPr>
      </w:pPr>
    </w:p>
    <w:p w14:paraId="59790E70" w14:textId="77777777" w:rsidR="009C3827" w:rsidRDefault="009C3827" w:rsidP="005A4268">
      <w:pPr>
        <w:rPr>
          <w:rFonts w:ascii="Arial" w:hAnsi="Arial" w:cs="Arial"/>
          <w:i/>
          <w:iCs/>
          <w:sz w:val="22"/>
          <w:szCs w:val="22"/>
        </w:rPr>
      </w:pPr>
    </w:p>
    <w:p w14:paraId="7080349A" w14:textId="77777777" w:rsidR="009C3827" w:rsidRDefault="009C3827" w:rsidP="005A4268">
      <w:pPr>
        <w:rPr>
          <w:rFonts w:ascii="Arial" w:hAnsi="Arial" w:cs="Arial"/>
          <w:i/>
          <w:iCs/>
          <w:sz w:val="22"/>
          <w:szCs w:val="22"/>
        </w:rPr>
      </w:pPr>
    </w:p>
    <w:p w14:paraId="1527A677" w14:textId="142BD467" w:rsidR="002732F5" w:rsidRPr="009C3827" w:rsidRDefault="002732F5" w:rsidP="005A4268">
      <w:pPr>
        <w:rPr>
          <w:rFonts w:ascii="Arial" w:hAnsi="Arial" w:cs="Arial"/>
          <w:b/>
          <w:bCs/>
          <w:sz w:val="22"/>
          <w:szCs w:val="22"/>
        </w:rPr>
      </w:pPr>
      <w:r w:rsidRPr="007D003C">
        <w:rPr>
          <w:rFonts w:ascii="Arial" w:hAnsi="Arial" w:cs="Arial"/>
          <w:i/>
          <w:iCs/>
          <w:sz w:val="22"/>
          <w:szCs w:val="22"/>
        </w:rPr>
        <w:t>Table 5.1 Investment position of The Berkeley 2015-2020 and Balfour Beatty PLC-2019</w:t>
      </w:r>
    </w:p>
    <w:p w14:paraId="0875186D" w14:textId="0EB750A1" w:rsidR="00A712BF" w:rsidRPr="007D003C" w:rsidRDefault="00A712BF" w:rsidP="005A4268">
      <w:pPr>
        <w:rPr>
          <w:rFonts w:ascii="Arial" w:hAnsi="Arial" w:cs="Arial"/>
          <w:b/>
          <w:bCs/>
          <w:sz w:val="22"/>
          <w:szCs w:val="22"/>
        </w:rPr>
      </w:pPr>
      <w:r w:rsidRPr="007D003C">
        <w:rPr>
          <w:rFonts w:ascii="Arial" w:hAnsi="Arial" w:cs="Arial"/>
          <w:noProof/>
          <w:sz w:val="22"/>
          <w:szCs w:val="22"/>
        </w:rPr>
        <w:drawing>
          <wp:inline distT="0" distB="0" distL="0" distR="0" wp14:anchorId="7BFFDE84" wp14:editId="161A6C3E">
            <wp:extent cx="6188710" cy="187261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188710" cy="1872615"/>
                    </a:xfrm>
                    <a:prstGeom prst="rect">
                      <a:avLst/>
                    </a:prstGeom>
                    <a:noFill/>
                    <a:ln>
                      <a:noFill/>
                    </a:ln>
                  </pic:spPr>
                </pic:pic>
              </a:graphicData>
            </a:graphic>
          </wp:inline>
        </w:drawing>
      </w:r>
    </w:p>
    <w:p w14:paraId="301FF04E" w14:textId="06B09DD3" w:rsidR="00E07DE1" w:rsidRPr="007D003C" w:rsidRDefault="00D66ABF" w:rsidP="00CE353F">
      <w:pPr>
        <w:spacing w:after="200" w:line="276" w:lineRule="auto"/>
        <w:jc w:val="both"/>
        <w:rPr>
          <w:rFonts w:ascii="Arial" w:eastAsia="Calibri" w:hAnsi="Arial" w:cs="Arial"/>
          <w:sz w:val="22"/>
          <w:szCs w:val="22"/>
        </w:rPr>
      </w:pPr>
      <w:r w:rsidRPr="007D003C">
        <w:rPr>
          <w:rFonts w:ascii="Arial" w:hAnsi="Arial" w:cs="Arial"/>
          <w:i/>
          <w:iCs/>
          <w:sz w:val="22"/>
          <w:szCs w:val="22"/>
          <w:u w:val="single"/>
        </w:rPr>
        <w:t>E</w:t>
      </w:r>
      <w:r w:rsidR="00AB1251" w:rsidRPr="007D003C">
        <w:rPr>
          <w:rFonts w:ascii="Arial" w:hAnsi="Arial" w:cs="Arial"/>
          <w:i/>
          <w:iCs/>
          <w:sz w:val="22"/>
          <w:szCs w:val="22"/>
          <w:u w:val="single"/>
        </w:rPr>
        <w:t xml:space="preserve">arnings </w:t>
      </w:r>
      <w:r w:rsidRPr="007D003C">
        <w:rPr>
          <w:rFonts w:ascii="Arial" w:hAnsi="Arial" w:cs="Arial"/>
          <w:i/>
          <w:iCs/>
          <w:sz w:val="22"/>
          <w:szCs w:val="22"/>
          <w:u w:val="single"/>
        </w:rPr>
        <w:t>P</w:t>
      </w:r>
      <w:r w:rsidR="00AB1251" w:rsidRPr="007D003C">
        <w:rPr>
          <w:rFonts w:ascii="Arial" w:hAnsi="Arial" w:cs="Arial"/>
          <w:i/>
          <w:iCs/>
          <w:sz w:val="22"/>
          <w:szCs w:val="22"/>
          <w:u w:val="single"/>
        </w:rPr>
        <w:t xml:space="preserve">er </w:t>
      </w:r>
      <w:r w:rsidRPr="007D003C">
        <w:rPr>
          <w:rFonts w:ascii="Arial" w:hAnsi="Arial" w:cs="Arial"/>
          <w:i/>
          <w:iCs/>
          <w:sz w:val="22"/>
          <w:szCs w:val="22"/>
          <w:u w:val="single"/>
        </w:rPr>
        <w:t>S</w:t>
      </w:r>
      <w:r w:rsidR="00AB1251" w:rsidRPr="007D003C">
        <w:rPr>
          <w:rFonts w:ascii="Arial" w:hAnsi="Arial" w:cs="Arial"/>
          <w:i/>
          <w:iCs/>
          <w:sz w:val="22"/>
          <w:szCs w:val="22"/>
          <w:u w:val="single"/>
        </w:rPr>
        <w:t>hare</w:t>
      </w:r>
      <w:r w:rsidR="00AB1251" w:rsidRPr="007D003C">
        <w:rPr>
          <w:rFonts w:ascii="Arial" w:hAnsi="Arial" w:cs="Arial"/>
          <w:i/>
          <w:iCs/>
          <w:sz w:val="22"/>
          <w:szCs w:val="22"/>
        </w:rPr>
        <w:t>, or income per share</w:t>
      </w:r>
      <w:r w:rsidRPr="007D003C">
        <w:rPr>
          <w:rFonts w:ascii="Arial" w:hAnsi="Arial" w:cs="Arial"/>
          <w:i/>
          <w:iCs/>
          <w:sz w:val="22"/>
          <w:szCs w:val="22"/>
        </w:rPr>
        <w:t xml:space="preserve"> “measures how many pence of net income have been earned by each ordinary share during accounting period” </w:t>
      </w:r>
      <w:r w:rsidRPr="007D003C">
        <w:rPr>
          <w:rFonts w:ascii="Arial" w:hAnsi="Arial" w:cs="Arial"/>
          <w:sz w:val="22"/>
          <w:szCs w:val="22"/>
        </w:rPr>
        <w:t xml:space="preserve">(CFI, 2015-2021).  </w:t>
      </w:r>
      <w:r w:rsidR="00BC45DA" w:rsidRPr="007D003C">
        <w:rPr>
          <w:rFonts w:ascii="Arial" w:hAnsi="Arial" w:cs="Arial"/>
          <w:sz w:val="22"/>
          <w:szCs w:val="22"/>
        </w:rPr>
        <w:t xml:space="preserve">As </w:t>
      </w:r>
      <w:r w:rsidR="000C0878">
        <w:rPr>
          <w:rFonts w:ascii="Arial" w:hAnsi="Arial" w:cs="Arial"/>
          <w:sz w:val="22"/>
          <w:szCs w:val="22"/>
        </w:rPr>
        <w:t xml:space="preserve">with </w:t>
      </w:r>
      <w:r w:rsidR="00BC45DA" w:rsidRPr="007D003C">
        <w:rPr>
          <w:rFonts w:ascii="Arial" w:hAnsi="Arial" w:cs="Arial"/>
          <w:sz w:val="22"/>
          <w:szCs w:val="22"/>
        </w:rPr>
        <w:t>any profitability or market prospect ratio, EPS relates to</w:t>
      </w:r>
      <w:r w:rsidR="000C0878">
        <w:rPr>
          <w:rFonts w:ascii="Arial" w:hAnsi="Arial" w:cs="Arial"/>
          <w:sz w:val="22"/>
          <w:szCs w:val="22"/>
        </w:rPr>
        <w:t xml:space="preserve"> </w:t>
      </w:r>
      <w:r w:rsidR="00BC45DA" w:rsidRPr="007D003C">
        <w:rPr>
          <w:rFonts w:ascii="Arial" w:hAnsi="Arial" w:cs="Arial"/>
          <w:sz w:val="22"/>
          <w:szCs w:val="22"/>
        </w:rPr>
        <w:t xml:space="preserve">higher earnings per share is favourable than low earnings per share, since this implies “the business is more valuable and the firm has more profits to distribute to its shareholders” </w:t>
      </w:r>
      <w:sdt>
        <w:sdtPr>
          <w:rPr>
            <w:rFonts w:ascii="Arial" w:hAnsi="Arial" w:cs="Arial"/>
            <w:sz w:val="22"/>
            <w:szCs w:val="22"/>
          </w:rPr>
          <w:id w:val="1893768599"/>
          <w:citation/>
        </w:sdtPr>
        <w:sdtEndPr/>
        <w:sdtContent>
          <w:r w:rsidR="00BC45DA" w:rsidRPr="007D003C">
            <w:rPr>
              <w:rFonts w:ascii="Arial" w:hAnsi="Arial" w:cs="Arial"/>
              <w:sz w:val="22"/>
              <w:szCs w:val="22"/>
            </w:rPr>
            <w:fldChar w:fldCharType="begin"/>
          </w:r>
          <w:r w:rsidR="00BC45DA" w:rsidRPr="007D003C">
            <w:rPr>
              <w:rFonts w:ascii="Arial" w:hAnsi="Arial" w:cs="Arial"/>
              <w:sz w:val="22"/>
              <w:szCs w:val="22"/>
            </w:rPr>
            <w:instrText xml:space="preserve"> CITATION Acc21 \l 2057 </w:instrText>
          </w:r>
          <w:r w:rsidR="00BC45DA" w:rsidRPr="007D003C">
            <w:rPr>
              <w:rFonts w:ascii="Arial" w:hAnsi="Arial" w:cs="Arial"/>
              <w:sz w:val="22"/>
              <w:szCs w:val="22"/>
            </w:rPr>
            <w:fldChar w:fldCharType="separate"/>
          </w:r>
          <w:r w:rsidR="00BC45DA" w:rsidRPr="007D003C">
            <w:rPr>
              <w:rFonts w:ascii="Arial" w:eastAsiaTheme="minorHAnsi" w:hAnsi="Arial" w:cs="Arial"/>
              <w:noProof/>
              <w:sz w:val="22"/>
              <w:szCs w:val="22"/>
            </w:rPr>
            <w:t>(AccountingCourse, 2021)</w:t>
          </w:r>
          <w:r w:rsidR="00BC45DA" w:rsidRPr="007D003C">
            <w:rPr>
              <w:rFonts w:ascii="Arial" w:hAnsi="Arial" w:cs="Arial"/>
              <w:sz w:val="22"/>
              <w:szCs w:val="22"/>
            </w:rPr>
            <w:fldChar w:fldCharType="end"/>
          </w:r>
        </w:sdtContent>
      </w:sdt>
      <w:r w:rsidR="00BC45DA" w:rsidRPr="007D003C">
        <w:rPr>
          <w:rFonts w:ascii="Arial" w:hAnsi="Arial" w:cs="Arial"/>
          <w:sz w:val="22"/>
          <w:szCs w:val="22"/>
        </w:rPr>
        <w:t>.</w:t>
      </w:r>
      <w:r w:rsidR="006F037B" w:rsidRPr="007D003C">
        <w:rPr>
          <w:rFonts w:ascii="Arial" w:hAnsi="Arial" w:cs="Arial"/>
          <w:sz w:val="22"/>
          <w:szCs w:val="22"/>
        </w:rPr>
        <w:t xml:space="preserve">  </w:t>
      </w:r>
      <w:r w:rsidR="006F037B" w:rsidRPr="007D003C">
        <w:rPr>
          <w:rFonts w:ascii="Arial" w:eastAsia="Calibri" w:hAnsi="Arial" w:cs="Arial"/>
          <w:sz w:val="22"/>
          <w:szCs w:val="22"/>
        </w:rPr>
        <w:t>Berkeley’s Annual Reports (2016-2018) show a rapid grow</w:t>
      </w:r>
      <w:r w:rsidR="000C0878">
        <w:rPr>
          <w:rFonts w:ascii="Arial" w:eastAsia="Calibri" w:hAnsi="Arial" w:cs="Arial"/>
          <w:sz w:val="22"/>
          <w:szCs w:val="22"/>
        </w:rPr>
        <w:t>th</w:t>
      </w:r>
      <w:r w:rsidR="006F037B" w:rsidRPr="007D003C">
        <w:rPr>
          <w:rFonts w:ascii="Arial" w:eastAsia="Calibri" w:hAnsi="Arial" w:cs="Arial"/>
          <w:sz w:val="22"/>
          <w:szCs w:val="22"/>
        </w:rPr>
        <w:t xml:space="preserve"> of the earnings per share from 295.8 pence to 562.7 pence, with </w:t>
      </w:r>
      <w:r w:rsidR="000C0878">
        <w:rPr>
          <w:rFonts w:ascii="Arial" w:eastAsia="Calibri" w:hAnsi="Arial" w:cs="Arial"/>
          <w:sz w:val="22"/>
          <w:szCs w:val="22"/>
        </w:rPr>
        <w:t>a</w:t>
      </w:r>
      <w:r w:rsidR="006F037B" w:rsidRPr="007D003C">
        <w:rPr>
          <w:rFonts w:ascii="Arial" w:eastAsia="Calibri" w:hAnsi="Arial" w:cs="Arial"/>
          <w:sz w:val="22"/>
          <w:szCs w:val="22"/>
        </w:rPr>
        <w:t xml:space="preserve"> drop in 2019 to 481.1 pence, and </w:t>
      </w:r>
      <w:r w:rsidR="000C0878">
        <w:rPr>
          <w:rFonts w:ascii="Arial" w:eastAsia="Calibri" w:hAnsi="Arial" w:cs="Arial"/>
          <w:sz w:val="22"/>
          <w:szCs w:val="22"/>
        </w:rPr>
        <w:t xml:space="preserve">a </w:t>
      </w:r>
      <w:r w:rsidR="006F037B" w:rsidRPr="007D003C">
        <w:rPr>
          <w:rFonts w:ascii="Arial" w:eastAsia="Calibri" w:hAnsi="Arial" w:cs="Arial"/>
          <w:sz w:val="22"/>
          <w:szCs w:val="22"/>
        </w:rPr>
        <w:t>further reduction in 2020. Nevertheless, in comparison to Belfour Beatty’s EPS, for 2019 were 19.00p, Berkeley is a better choice to invest</w:t>
      </w:r>
      <w:r w:rsidR="000C0878">
        <w:rPr>
          <w:rFonts w:ascii="Arial" w:eastAsia="Calibri" w:hAnsi="Arial" w:cs="Arial"/>
          <w:sz w:val="22"/>
          <w:szCs w:val="22"/>
        </w:rPr>
        <w:t xml:space="preserve"> in</w:t>
      </w:r>
      <w:r w:rsidR="006F037B" w:rsidRPr="007D003C">
        <w:rPr>
          <w:rFonts w:ascii="Arial" w:eastAsia="Calibri" w:hAnsi="Arial" w:cs="Arial"/>
          <w:sz w:val="22"/>
          <w:szCs w:val="22"/>
        </w:rPr>
        <w:t>. According to “FTSE350 the top 20 dividends paying stocks (construction industry) had the Dividend Yield of 8-9%”</w:t>
      </w:r>
      <w:sdt>
        <w:sdtPr>
          <w:rPr>
            <w:rFonts w:ascii="Arial" w:eastAsia="Calibri" w:hAnsi="Arial" w:cs="Arial"/>
            <w:sz w:val="22"/>
            <w:szCs w:val="22"/>
          </w:rPr>
          <w:id w:val="177019201"/>
          <w:citation/>
        </w:sdtPr>
        <w:sdtEndPr/>
        <w:sdtContent>
          <w:r w:rsidR="006F037B" w:rsidRPr="007D003C">
            <w:rPr>
              <w:rFonts w:ascii="Arial" w:eastAsia="Calibri" w:hAnsi="Arial" w:cs="Arial"/>
              <w:sz w:val="22"/>
              <w:szCs w:val="22"/>
            </w:rPr>
            <w:fldChar w:fldCharType="begin"/>
          </w:r>
          <w:r w:rsidR="006F037B" w:rsidRPr="007D003C">
            <w:rPr>
              <w:rFonts w:ascii="Arial" w:eastAsia="Calibri" w:hAnsi="Arial" w:cs="Arial"/>
              <w:sz w:val="22"/>
              <w:szCs w:val="22"/>
            </w:rPr>
            <w:instrText xml:space="preserve"> CITATION Sto18 \l 2057 </w:instrText>
          </w:r>
          <w:r w:rsidR="006F037B" w:rsidRPr="007D003C">
            <w:rPr>
              <w:rFonts w:ascii="Arial" w:eastAsia="Calibri" w:hAnsi="Arial" w:cs="Arial"/>
              <w:sz w:val="22"/>
              <w:szCs w:val="22"/>
            </w:rPr>
            <w:fldChar w:fldCharType="separate"/>
          </w:r>
          <w:r w:rsidR="006F037B" w:rsidRPr="007D003C">
            <w:rPr>
              <w:rFonts w:ascii="Arial" w:eastAsia="Calibri" w:hAnsi="Arial" w:cs="Arial"/>
              <w:noProof/>
              <w:sz w:val="22"/>
              <w:szCs w:val="22"/>
            </w:rPr>
            <w:t xml:space="preserve"> (Stocks That Have Raised Dividends for 10 Years, 2018)</w:t>
          </w:r>
          <w:r w:rsidR="006F037B" w:rsidRPr="007D003C">
            <w:rPr>
              <w:rFonts w:ascii="Arial" w:eastAsia="Calibri" w:hAnsi="Arial" w:cs="Arial"/>
              <w:sz w:val="22"/>
              <w:szCs w:val="22"/>
            </w:rPr>
            <w:fldChar w:fldCharType="end"/>
          </w:r>
        </w:sdtContent>
      </w:sdt>
      <w:r w:rsidR="006F037B" w:rsidRPr="007D003C">
        <w:rPr>
          <w:rFonts w:ascii="Arial" w:eastAsia="Calibri" w:hAnsi="Arial" w:cs="Arial"/>
          <w:sz w:val="22"/>
          <w:szCs w:val="22"/>
        </w:rPr>
        <w:t xml:space="preserve"> (</w:t>
      </w:r>
      <w:hyperlink r:id="rId29" w:history="1">
        <w:r w:rsidR="006F037B" w:rsidRPr="007D003C">
          <w:rPr>
            <w:rFonts w:ascii="Arial" w:eastAsia="Calibri" w:hAnsi="Arial" w:cs="Arial"/>
            <w:color w:val="0563C1"/>
            <w:sz w:val="22"/>
            <w:szCs w:val="22"/>
            <w:u w:val="single"/>
          </w:rPr>
          <w:t>http://www.morningstar.co.uk/uk/news/111721/top-20-ftse-350-dividend-paying-stocks.aspx/</w:t>
        </w:r>
      </w:hyperlink>
      <w:r w:rsidR="006F037B" w:rsidRPr="007D003C">
        <w:rPr>
          <w:rFonts w:ascii="Arial" w:eastAsia="Calibri" w:hAnsi="Arial" w:cs="Arial"/>
          <w:sz w:val="22"/>
          <w:szCs w:val="22"/>
        </w:rPr>
        <w:t>, accessed 09/11/20</w:t>
      </w:r>
      <w:r w:rsidR="00F01597" w:rsidRPr="007D003C">
        <w:rPr>
          <w:rFonts w:ascii="Arial" w:eastAsia="Calibri" w:hAnsi="Arial" w:cs="Arial"/>
          <w:sz w:val="22"/>
          <w:szCs w:val="22"/>
        </w:rPr>
        <w:t>20</w:t>
      </w:r>
      <w:r w:rsidR="006F037B" w:rsidRPr="007D003C">
        <w:rPr>
          <w:rFonts w:ascii="Arial" w:eastAsia="Calibri" w:hAnsi="Arial" w:cs="Arial"/>
          <w:sz w:val="22"/>
          <w:szCs w:val="22"/>
        </w:rPr>
        <w:t xml:space="preserve">).  Looking at Berkeley’s Historical </w:t>
      </w:r>
      <w:r w:rsidR="00F01597" w:rsidRPr="007D003C">
        <w:rPr>
          <w:rFonts w:ascii="Arial" w:eastAsia="Calibri" w:hAnsi="Arial" w:cs="Arial"/>
          <w:sz w:val="22"/>
          <w:szCs w:val="22"/>
          <w:u w:val="single"/>
        </w:rPr>
        <w:t xml:space="preserve">Dividend </w:t>
      </w:r>
      <w:r w:rsidR="006F037B" w:rsidRPr="007D003C">
        <w:rPr>
          <w:rFonts w:ascii="Arial" w:eastAsia="Calibri" w:hAnsi="Arial" w:cs="Arial"/>
          <w:sz w:val="22"/>
          <w:szCs w:val="22"/>
          <w:u w:val="single"/>
        </w:rPr>
        <w:t>Yield Data</w:t>
      </w:r>
      <w:r w:rsidR="006F037B" w:rsidRPr="007D003C">
        <w:rPr>
          <w:rFonts w:ascii="Arial" w:eastAsia="Calibri" w:hAnsi="Arial" w:cs="Arial"/>
          <w:sz w:val="22"/>
          <w:szCs w:val="22"/>
        </w:rPr>
        <w:t xml:space="preserve"> we can see a significant drop from 7.1% in 201</w:t>
      </w:r>
      <w:r w:rsidR="00F01597" w:rsidRPr="007D003C">
        <w:rPr>
          <w:rFonts w:ascii="Arial" w:eastAsia="Calibri" w:hAnsi="Arial" w:cs="Arial"/>
          <w:sz w:val="22"/>
          <w:szCs w:val="22"/>
        </w:rPr>
        <w:t>6</w:t>
      </w:r>
      <w:r w:rsidR="006F037B" w:rsidRPr="007D003C">
        <w:rPr>
          <w:rFonts w:ascii="Arial" w:eastAsia="Calibri" w:hAnsi="Arial" w:cs="Arial"/>
          <w:sz w:val="22"/>
          <w:szCs w:val="22"/>
        </w:rPr>
        <w:t xml:space="preserve"> to </w:t>
      </w:r>
      <w:r w:rsidR="00F01597" w:rsidRPr="007D003C">
        <w:rPr>
          <w:rFonts w:ascii="Arial" w:eastAsia="Calibri" w:hAnsi="Arial" w:cs="Arial"/>
          <w:sz w:val="22"/>
          <w:szCs w:val="22"/>
        </w:rPr>
        <w:t>0.41</w:t>
      </w:r>
      <w:r w:rsidR="006F037B" w:rsidRPr="007D003C">
        <w:rPr>
          <w:rFonts w:ascii="Arial" w:eastAsia="Calibri" w:hAnsi="Arial" w:cs="Arial"/>
          <w:sz w:val="22"/>
          <w:szCs w:val="22"/>
        </w:rPr>
        <w:t>% in 201</w:t>
      </w:r>
      <w:r w:rsidR="00F01597" w:rsidRPr="007D003C">
        <w:rPr>
          <w:rFonts w:ascii="Arial" w:eastAsia="Calibri" w:hAnsi="Arial" w:cs="Arial"/>
          <w:sz w:val="22"/>
          <w:szCs w:val="22"/>
        </w:rPr>
        <w:t>9</w:t>
      </w:r>
      <w:r w:rsidR="006F037B" w:rsidRPr="007D003C">
        <w:rPr>
          <w:rFonts w:ascii="Arial" w:eastAsia="Calibri" w:hAnsi="Arial" w:cs="Arial"/>
          <w:sz w:val="22"/>
          <w:szCs w:val="22"/>
        </w:rPr>
        <w:t xml:space="preserve"> in Yield ratio, this is due to</w:t>
      </w:r>
      <w:r w:rsidR="000C0878">
        <w:rPr>
          <w:rFonts w:ascii="Arial" w:eastAsia="Calibri" w:hAnsi="Arial" w:cs="Arial"/>
          <w:sz w:val="22"/>
          <w:szCs w:val="22"/>
        </w:rPr>
        <w:t xml:space="preserve"> the</w:t>
      </w:r>
      <w:r w:rsidR="006F037B" w:rsidRPr="007D003C">
        <w:rPr>
          <w:rFonts w:ascii="Arial" w:eastAsia="Calibri" w:hAnsi="Arial" w:cs="Arial"/>
          <w:sz w:val="22"/>
          <w:szCs w:val="22"/>
        </w:rPr>
        <w:t xml:space="preserve"> Market price of Ordinary Share variations in the last </w:t>
      </w:r>
      <w:r w:rsidR="00F01597" w:rsidRPr="007D003C">
        <w:rPr>
          <w:rFonts w:ascii="Arial" w:eastAsia="Calibri" w:hAnsi="Arial" w:cs="Arial"/>
          <w:sz w:val="22"/>
          <w:szCs w:val="22"/>
        </w:rPr>
        <w:t>4</w:t>
      </w:r>
      <w:r w:rsidR="006F037B" w:rsidRPr="007D003C">
        <w:rPr>
          <w:rFonts w:ascii="Arial" w:eastAsia="Calibri" w:hAnsi="Arial" w:cs="Arial"/>
          <w:sz w:val="22"/>
          <w:szCs w:val="22"/>
        </w:rPr>
        <w:t xml:space="preserve"> years. But it does not mean that the company is a bad investment, and to rely on this ratio alone is a mistake. We </w:t>
      </w:r>
      <w:r w:rsidR="00F01597" w:rsidRPr="007D003C">
        <w:rPr>
          <w:rFonts w:ascii="Arial" w:eastAsia="Calibri" w:hAnsi="Arial" w:cs="Arial"/>
          <w:sz w:val="22"/>
          <w:szCs w:val="22"/>
        </w:rPr>
        <w:t>must</w:t>
      </w:r>
      <w:r w:rsidR="006F037B" w:rsidRPr="007D003C">
        <w:rPr>
          <w:rFonts w:ascii="Arial" w:eastAsia="Calibri" w:hAnsi="Arial" w:cs="Arial"/>
          <w:sz w:val="22"/>
          <w:szCs w:val="22"/>
        </w:rPr>
        <w:t xml:space="preserve"> look at Yield in conjunction with other ratios (example: EPS is high).</w:t>
      </w:r>
      <w:r w:rsidR="00F01597" w:rsidRPr="007D003C">
        <w:rPr>
          <w:rFonts w:ascii="Arial" w:eastAsia="Calibri" w:hAnsi="Arial" w:cs="Arial"/>
          <w:b/>
          <w:sz w:val="22"/>
          <w:szCs w:val="22"/>
        </w:rPr>
        <w:t xml:space="preserve">  </w:t>
      </w:r>
      <w:r w:rsidR="00F01597" w:rsidRPr="007D003C">
        <w:rPr>
          <w:rFonts w:ascii="Arial" w:eastAsia="Calibri" w:hAnsi="Arial" w:cs="Arial"/>
          <w:bCs/>
          <w:sz w:val="22"/>
          <w:szCs w:val="22"/>
          <w:u w:val="single"/>
        </w:rPr>
        <w:t>Capital Gearing Ratio</w:t>
      </w:r>
      <w:r w:rsidR="00F01597" w:rsidRPr="007D003C">
        <w:rPr>
          <w:rFonts w:ascii="Arial" w:eastAsia="Calibri" w:hAnsi="Arial" w:cs="Arial"/>
          <w:sz w:val="22"/>
          <w:szCs w:val="22"/>
        </w:rPr>
        <w:t xml:space="preserve"> aids to examine </w:t>
      </w:r>
      <w:r w:rsidR="000C0878">
        <w:rPr>
          <w:rFonts w:ascii="Arial" w:eastAsia="Calibri" w:hAnsi="Arial" w:cs="Arial"/>
          <w:sz w:val="22"/>
          <w:szCs w:val="22"/>
        </w:rPr>
        <w:t xml:space="preserve">the </w:t>
      </w:r>
      <w:r w:rsidR="00F01597" w:rsidRPr="007D003C">
        <w:rPr>
          <w:rFonts w:ascii="Arial" w:eastAsia="Calibri" w:hAnsi="Arial" w:cs="Arial"/>
          <w:sz w:val="22"/>
          <w:szCs w:val="22"/>
        </w:rPr>
        <w:t xml:space="preserve">capital structure and financial strength of the company.  As a “low-geared” business, Berkeley enjoys a low Capital Gearing Ratio.  Although throughout the period of 2015 – 2020 the gearing metric fluctuated between 1.16% (2015) and 16.77% (2020), </w:t>
      </w:r>
      <w:r w:rsidR="00CE353F" w:rsidRPr="007D003C">
        <w:rPr>
          <w:rFonts w:ascii="Arial" w:eastAsia="Calibri" w:hAnsi="Arial" w:cs="Arial"/>
          <w:sz w:val="22"/>
          <w:szCs w:val="22"/>
        </w:rPr>
        <w:t>nevertheless</w:t>
      </w:r>
      <w:r w:rsidR="00F01597" w:rsidRPr="007D003C">
        <w:rPr>
          <w:rFonts w:ascii="Arial" w:eastAsia="Calibri" w:hAnsi="Arial" w:cs="Arial"/>
          <w:sz w:val="22"/>
          <w:szCs w:val="22"/>
        </w:rPr>
        <w:t xml:space="preserve"> in comparison to </w:t>
      </w:r>
      <w:r w:rsidR="00CE353F" w:rsidRPr="007D003C">
        <w:rPr>
          <w:rFonts w:ascii="Arial" w:eastAsia="Calibri" w:hAnsi="Arial" w:cs="Arial"/>
          <w:sz w:val="22"/>
          <w:szCs w:val="22"/>
        </w:rPr>
        <w:t>Belfour Beatty</w:t>
      </w:r>
      <w:r w:rsidR="00F01597" w:rsidRPr="007D003C">
        <w:rPr>
          <w:rFonts w:ascii="Arial" w:eastAsia="Calibri" w:hAnsi="Arial" w:cs="Arial"/>
          <w:sz w:val="22"/>
          <w:szCs w:val="22"/>
        </w:rPr>
        <w:t xml:space="preserve">, </w:t>
      </w:r>
      <w:r w:rsidR="000C0878">
        <w:rPr>
          <w:rFonts w:ascii="Arial" w:eastAsia="Calibri" w:hAnsi="Arial" w:cs="Arial"/>
          <w:sz w:val="22"/>
          <w:szCs w:val="22"/>
        </w:rPr>
        <w:t>which</w:t>
      </w:r>
      <w:r w:rsidR="00CE353F" w:rsidRPr="007D003C">
        <w:rPr>
          <w:rFonts w:ascii="Arial" w:eastAsia="Calibri" w:hAnsi="Arial" w:cs="Arial"/>
          <w:sz w:val="22"/>
          <w:szCs w:val="22"/>
        </w:rPr>
        <w:t xml:space="preserve"> </w:t>
      </w:r>
      <w:r w:rsidR="00F01597" w:rsidRPr="007D003C">
        <w:rPr>
          <w:rFonts w:ascii="Arial" w:eastAsia="Calibri" w:hAnsi="Arial" w:cs="Arial"/>
          <w:sz w:val="22"/>
          <w:szCs w:val="22"/>
        </w:rPr>
        <w:t>had a capital gearing ratio of</w:t>
      </w:r>
      <w:r w:rsidR="00CE353F" w:rsidRPr="007D003C">
        <w:rPr>
          <w:rFonts w:ascii="Arial" w:eastAsia="Calibri" w:hAnsi="Arial" w:cs="Arial"/>
          <w:sz w:val="22"/>
          <w:szCs w:val="22"/>
        </w:rPr>
        <w:t xml:space="preserve"> 44.7</w:t>
      </w:r>
      <w:r w:rsidR="00F01597" w:rsidRPr="007D003C">
        <w:rPr>
          <w:rFonts w:ascii="Arial" w:eastAsia="Calibri" w:hAnsi="Arial" w:cs="Arial"/>
          <w:sz w:val="22"/>
          <w:szCs w:val="22"/>
        </w:rPr>
        <w:t>% (201</w:t>
      </w:r>
      <w:r w:rsidR="00CE353F" w:rsidRPr="007D003C">
        <w:rPr>
          <w:rFonts w:ascii="Arial" w:eastAsia="Calibri" w:hAnsi="Arial" w:cs="Arial"/>
          <w:sz w:val="22"/>
          <w:szCs w:val="22"/>
        </w:rPr>
        <w:t>9</w:t>
      </w:r>
      <w:r w:rsidR="00F01597" w:rsidRPr="007D003C">
        <w:rPr>
          <w:rFonts w:ascii="Arial" w:eastAsia="Calibri" w:hAnsi="Arial" w:cs="Arial"/>
          <w:sz w:val="22"/>
          <w:szCs w:val="22"/>
        </w:rPr>
        <w:t>)</w:t>
      </w:r>
      <w:r w:rsidR="00CE353F" w:rsidRPr="007D003C">
        <w:rPr>
          <w:rFonts w:ascii="Arial" w:eastAsia="Calibri" w:hAnsi="Arial" w:cs="Arial"/>
          <w:sz w:val="22"/>
          <w:szCs w:val="22"/>
        </w:rPr>
        <w:t xml:space="preserve"> it looks much favourably to the investors</w:t>
      </w:r>
      <w:r w:rsidR="00F01597" w:rsidRPr="007D003C">
        <w:rPr>
          <w:rFonts w:ascii="Arial" w:eastAsia="Calibri" w:hAnsi="Arial" w:cs="Arial"/>
          <w:sz w:val="22"/>
          <w:szCs w:val="22"/>
        </w:rPr>
        <w:t>.  Berkeley</w:t>
      </w:r>
      <w:r w:rsidR="00CE353F" w:rsidRPr="007D003C">
        <w:rPr>
          <w:rFonts w:ascii="Arial" w:eastAsia="Calibri" w:hAnsi="Arial" w:cs="Arial"/>
          <w:sz w:val="22"/>
          <w:szCs w:val="22"/>
        </w:rPr>
        <w:t>’s position allows</w:t>
      </w:r>
      <w:r w:rsidR="000C0878">
        <w:rPr>
          <w:rFonts w:ascii="Arial" w:eastAsia="Calibri" w:hAnsi="Arial" w:cs="Arial"/>
          <w:sz w:val="22"/>
          <w:szCs w:val="22"/>
        </w:rPr>
        <w:t xml:space="preserve"> the</w:t>
      </w:r>
      <w:r w:rsidR="00CE353F" w:rsidRPr="007D003C">
        <w:rPr>
          <w:rFonts w:ascii="Arial" w:eastAsia="Calibri" w:hAnsi="Arial" w:cs="Arial"/>
          <w:sz w:val="22"/>
          <w:szCs w:val="22"/>
        </w:rPr>
        <w:t xml:space="preserve"> company to</w:t>
      </w:r>
      <w:r w:rsidR="00F01597" w:rsidRPr="007D003C">
        <w:rPr>
          <w:rFonts w:ascii="Arial" w:eastAsia="Calibri" w:hAnsi="Arial" w:cs="Arial"/>
          <w:sz w:val="22"/>
          <w:szCs w:val="22"/>
        </w:rPr>
        <w:t xml:space="preserve"> borrow a cheap form of funds from the investors</w:t>
      </w:r>
      <w:r w:rsidR="00CE353F" w:rsidRPr="007D003C">
        <w:rPr>
          <w:rFonts w:ascii="Arial" w:eastAsia="Calibri" w:hAnsi="Arial" w:cs="Arial"/>
          <w:sz w:val="22"/>
          <w:szCs w:val="22"/>
        </w:rPr>
        <w:t xml:space="preserve"> easier</w:t>
      </w:r>
      <w:r w:rsidR="00F01597" w:rsidRPr="007D003C">
        <w:rPr>
          <w:rFonts w:ascii="Arial" w:eastAsia="Calibri" w:hAnsi="Arial" w:cs="Arial"/>
          <w:sz w:val="22"/>
          <w:szCs w:val="22"/>
        </w:rPr>
        <w:t xml:space="preserve"> </w:t>
      </w:r>
      <w:r w:rsidR="00CE353F" w:rsidRPr="007D003C">
        <w:rPr>
          <w:rFonts w:ascii="Arial" w:eastAsia="Calibri" w:hAnsi="Arial" w:cs="Arial"/>
          <w:sz w:val="22"/>
          <w:szCs w:val="22"/>
        </w:rPr>
        <w:t>because</w:t>
      </w:r>
      <w:r w:rsidR="00F01597" w:rsidRPr="007D003C">
        <w:rPr>
          <w:rFonts w:ascii="Arial" w:eastAsia="Calibri" w:hAnsi="Arial" w:cs="Arial"/>
          <w:sz w:val="22"/>
          <w:szCs w:val="22"/>
        </w:rPr>
        <w:t xml:space="preserve"> it has </w:t>
      </w:r>
      <w:r w:rsidR="007D003C" w:rsidRPr="007D003C">
        <w:rPr>
          <w:rFonts w:ascii="Arial" w:eastAsia="Calibri" w:hAnsi="Arial" w:cs="Arial"/>
          <w:sz w:val="22"/>
          <w:szCs w:val="22"/>
        </w:rPr>
        <w:t>been</w:t>
      </w:r>
      <w:r w:rsidR="00F01597" w:rsidRPr="007D003C">
        <w:rPr>
          <w:rFonts w:ascii="Arial" w:eastAsia="Calibri" w:hAnsi="Arial" w:cs="Arial"/>
          <w:sz w:val="22"/>
          <w:szCs w:val="22"/>
        </w:rPr>
        <w:t xml:space="preserve"> a low</w:t>
      </w:r>
      <w:r w:rsidR="0024279C" w:rsidRPr="007D003C">
        <w:rPr>
          <w:rFonts w:ascii="Arial" w:eastAsia="Calibri" w:hAnsi="Arial" w:cs="Arial"/>
          <w:sz w:val="22"/>
          <w:szCs w:val="22"/>
        </w:rPr>
        <w:t>-</w:t>
      </w:r>
      <w:r w:rsidR="00F01597" w:rsidRPr="007D003C">
        <w:rPr>
          <w:rFonts w:ascii="Arial" w:eastAsia="Calibri" w:hAnsi="Arial" w:cs="Arial"/>
          <w:sz w:val="22"/>
          <w:szCs w:val="22"/>
        </w:rPr>
        <w:t>risk investment.</w:t>
      </w:r>
    </w:p>
    <w:p w14:paraId="20CEB45C" w14:textId="2A10066A" w:rsidR="006A60E9" w:rsidRPr="007D003C" w:rsidRDefault="004A5069" w:rsidP="005A4268">
      <w:pPr>
        <w:rPr>
          <w:rFonts w:ascii="Arial" w:hAnsi="Arial" w:cs="Arial"/>
          <w:b/>
          <w:bCs/>
          <w:sz w:val="22"/>
          <w:szCs w:val="22"/>
        </w:rPr>
      </w:pPr>
      <w:r w:rsidRPr="007D003C">
        <w:rPr>
          <w:rFonts w:ascii="Arial" w:hAnsi="Arial" w:cs="Arial"/>
          <w:b/>
          <w:bCs/>
          <w:sz w:val="22"/>
          <w:szCs w:val="22"/>
        </w:rPr>
        <w:t>Recommendations</w:t>
      </w:r>
    </w:p>
    <w:p w14:paraId="43D2DA50" w14:textId="397EB364" w:rsidR="00CE353F" w:rsidRPr="007D003C" w:rsidRDefault="0024279C" w:rsidP="005A4268">
      <w:pPr>
        <w:rPr>
          <w:rFonts w:ascii="Arial" w:eastAsia="Calibri" w:hAnsi="Arial" w:cs="Arial"/>
          <w:b/>
          <w:sz w:val="22"/>
          <w:szCs w:val="22"/>
        </w:rPr>
      </w:pPr>
      <w:r w:rsidRPr="007D003C">
        <w:rPr>
          <w:rFonts w:ascii="Arial" w:eastAsia="Calibri" w:hAnsi="Arial" w:cs="Arial"/>
          <w:b/>
          <w:sz w:val="22"/>
          <w:szCs w:val="22"/>
        </w:rPr>
        <w:t>Referring to the evaluation of</w:t>
      </w:r>
      <w:r w:rsidR="000C0878">
        <w:rPr>
          <w:rFonts w:ascii="Arial" w:eastAsia="Calibri" w:hAnsi="Arial" w:cs="Arial"/>
          <w:b/>
          <w:sz w:val="22"/>
          <w:szCs w:val="22"/>
        </w:rPr>
        <w:t xml:space="preserve"> the</w:t>
      </w:r>
      <w:r w:rsidRPr="007D003C">
        <w:rPr>
          <w:rFonts w:ascii="Arial" w:eastAsia="Calibri" w:hAnsi="Arial" w:cs="Arial"/>
          <w:b/>
          <w:sz w:val="22"/>
          <w:szCs w:val="22"/>
        </w:rPr>
        <w:t xml:space="preserve"> four groups of ratios above, competitor’s evidence</w:t>
      </w:r>
      <w:r w:rsidR="000C0878">
        <w:rPr>
          <w:rFonts w:ascii="Arial" w:eastAsia="Calibri" w:hAnsi="Arial" w:cs="Arial"/>
          <w:b/>
          <w:sz w:val="22"/>
          <w:szCs w:val="22"/>
        </w:rPr>
        <w:t>,</w:t>
      </w:r>
      <w:r w:rsidRPr="007D003C">
        <w:rPr>
          <w:rFonts w:ascii="Arial" w:eastAsia="Calibri" w:hAnsi="Arial" w:cs="Arial"/>
          <w:b/>
          <w:sz w:val="22"/>
          <w:szCs w:val="22"/>
        </w:rPr>
        <w:t xml:space="preserve"> and industry average </w:t>
      </w:r>
      <w:r w:rsidR="00084901" w:rsidRPr="007D003C">
        <w:rPr>
          <w:rFonts w:ascii="Arial" w:eastAsia="Calibri" w:hAnsi="Arial" w:cs="Arial"/>
          <w:b/>
          <w:sz w:val="22"/>
          <w:szCs w:val="22"/>
        </w:rPr>
        <w:t xml:space="preserve">figures </w:t>
      </w:r>
      <w:r w:rsidRPr="007D003C">
        <w:rPr>
          <w:rFonts w:ascii="Arial" w:eastAsia="Calibri" w:hAnsi="Arial" w:cs="Arial"/>
          <w:b/>
          <w:sz w:val="22"/>
          <w:szCs w:val="22"/>
        </w:rPr>
        <w:t xml:space="preserve">we can </w:t>
      </w:r>
      <w:r w:rsidR="00084901" w:rsidRPr="007D003C">
        <w:rPr>
          <w:rFonts w:ascii="Arial" w:eastAsia="Calibri" w:hAnsi="Arial" w:cs="Arial"/>
          <w:b/>
          <w:sz w:val="22"/>
          <w:szCs w:val="22"/>
        </w:rPr>
        <w:t>suggest</w:t>
      </w:r>
      <w:r w:rsidRPr="007D003C">
        <w:rPr>
          <w:rFonts w:ascii="Arial" w:eastAsia="Calibri" w:hAnsi="Arial" w:cs="Arial"/>
          <w:b/>
          <w:sz w:val="22"/>
          <w:szCs w:val="22"/>
        </w:rPr>
        <w:t xml:space="preserve"> The Berkeley Group </w:t>
      </w:r>
      <w:r w:rsidR="00084901" w:rsidRPr="007D003C">
        <w:rPr>
          <w:rFonts w:ascii="Arial" w:eastAsia="Calibri" w:hAnsi="Arial" w:cs="Arial"/>
          <w:b/>
          <w:sz w:val="22"/>
          <w:szCs w:val="22"/>
        </w:rPr>
        <w:t>represents</w:t>
      </w:r>
      <w:r w:rsidRPr="007D003C">
        <w:rPr>
          <w:rFonts w:ascii="Arial" w:eastAsia="Calibri" w:hAnsi="Arial" w:cs="Arial"/>
          <w:b/>
          <w:sz w:val="22"/>
          <w:szCs w:val="22"/>
        </w:rPr>
        <w:t xml:space="preserve"> a good investment opportunity.  </w:t>
      </w:r>
      <w:r w:rsidR="00097D86" w:rsidRPr="007D003C">
        <w:rPr>
          <w:rFonts w:ascii="Arial" w:eastAsia="Calibri" w:hAnsi="Arial" w:cs="Arial"/>
          <w:b/>
          <w:sz w:val="22"/>
          <w:szCs w:val="22"/>
        </w:rPr>
        <w:t>Nevertheless,</w:t>
      </w:r>
      <w:r w:rsidR="00084901" w:rsidRPr="007D003C">
        <w:rPr>
          <w:rFonts w:ascii="Arial" w:eastAsia="Calibri" w:hAnsi="Arial" w:cs="Arial"/>
          <w:b/>
          <w:sz w:val="22"/>
          <w:szCs w:val="22"/>
        </w:rPr>
        <w:t xml:space="preserve"> it also can be recommended to the company to strengthen its financial position to adopt</w:t>
      </w:r>
      <w:r w:rsidR="000C0878">
        <w:rPr>
          <w:rFonts w:ascii="Arial" w:eastAsia="Calibri" w:hAnsi="Arial" w:cs="Arial"/>
          <w:b/>
          <w:sz w:val="22"/>
          <w:szCs w:val="22"/>
        </w:rPr>
        <w:t xml:space="preserve"> the</w:t>
      </w:r>
      <w:r w:rsidR="00084901" w:rsidRPr="007D003C">
        <w:rPr>
          <w:rFonts w:ascii="Arial" w:eastAsia="Calibri" w:hAnsi="Arial" w:cs="Arial"/>
          <w:b/>
          <w:sz w:val="22"/>
          <w:szCs w:val="22"/>
        </w:rPr>
        <w:t xml:space="preserve"> following</w:t>
      </w:r>
    </w:p>
    <w:p w14:paraId="1EB80F14" w14:textId="77777777" w:rsidR="00084901" w:rsidRPr="007D003C" w:rsidRDefault="00084901" w:rsidP="005A4268">
      <w:pPr>
        <w:pStyle w:val="ListParagraph"/>
        <w:numPr>
          <w:ilvl w:val="0"/>
          <w:numId w:val="6"/>
        </w:numPr>
        <w:spacing w:line="259" w:lineRule="auto"/>
        <w:jc w:val="both"/>
        <w:rPr>
          <w:rFonts w:ascii="Arial" w:eastAsia="Calibri" w:hAnsi="Arial" w:cs="Arial"/>
          <w:b/>
          <w:sz w:val="22"/>
          <w:szCs w:val="22"/>
        </w:rPr>
      </w:pPr>
      <w:r w:rsidRPr="007D003C">
        <w:rPr>
          <w:rFonts w:ascii="Arial" w:eastAsia="Calibri" w:hAnsi="Arial" w:cs="Arial"/>
          <w:b/>
          <w:sz w:val="22"/>
          <w:szCs w:val="22"/>
        </w:rPr>
        <w:t xml:space="preserve">Profitability </w:t>
      </w:r>
    </w:p>
    <w:p w14:paraId="7658A3D3" w14:textId="2A76DC01" w:rsidR="004B7B23" w:rsidRDefault="00084901" w:rsidP="00E131B7">
      <w:pPr>
        <w:pStyle w:val="ListParagraph"/>
        <w:ind w:left="0"/>
        <w:jc w:val="both"/>
        <w:rPr>
          <w:rFonts w:ascii="Arial" w:hAnsi="Arial" w:cs="Arial"/>
          <w:sz w:val="22"/>
          <w:szCs w:val="22"/>
        </w:rPr>
      </w:pPr>
      <w:r w:rsidRPr="007D003C">
        <w:rPr>
          <w:rFonts w:ascii="Arial" w:hAnsi="Arial" w:cs="Arial"/>
          <w:sz w:val="22"/>
          <w:szCs w:val="22"/>
        </w:rPr>
        <w:t xml:space="preserve">To improve ROCE – </w:t>
      </w:r>
      <w:r w:rsidR="00E131B7">
        <w:rPr>
          <w:rFonts w:ascii="Arial" w:hAnsi="Arial" w:cs="Arial"/>
          <w:sz w:val="22"/>
          <w:szCs w:val="22"/>
        </w:rPr>
        <w:t>“</w:t>
      </w:r>
      <w:r w:rsidRPr="007D003C">
        <w:rPr>
          <w:rFonts w:ascii="Arial" w:hAnsi="Arial" w:cs="Arial"/>
          <w:sz w:val="22"/>
          <w:szCs w:val="22"/>
        </w:rPr>
        <w:t>the company might s</w:t>
      </w:r>
      <w:r w:rsidR="004A5069" w:rsidRPr="007D003C">
        <w:rPr>
          <w:rFonts w:ascii="Arial" w:hAnsi="Arial" w:cs="Arial"/>
          <w:sz w:val="22"/>
          <w:szCs w:val="22"/>
        </w:rPr>
        <w:t>ell the outdated</w:t>
      </w:r>
      <w:r w:rsidRPr="007D003C">
        <w:rPr>
          <w:rFonts w:ascii="Arial" w:hAnsi="Arial" w:cs="Arial"/>
          <w:sz w:val="22"/>
          <w:szCs w:val="22"/>
        </w:rPr>
        <w:t xml:space="preserve"> equipment, </w:t>
      </w:r>
      <w:r w:rsidR="000C0878">
        <w:rPr>
          <w:rFonts w:ascii="Arial" w:hAnsi="Arial" w:cs="Arial"/>
          <w:sz w:val="22"/>
          <w:szCs w:val="22"/>
        </w:rPr>
        <w:t>which</w:t>
      </w:r>
      <w:r w:rsidR="004A5069" w:rsidRPr="007D003C">
        <w:rPr>
          <w:rFonts w:ascii="Arial" w:hAnsi="Arial" w:cs="Arial"/>
          <w:sz w:val="22"/>
          <w:szCs w:val="22"/>
        </w:rPr>
        <w:t xml:space="preserve"> would lower the company’s total asset base and </w:t>
      </w:r>
      <w:r w:rsidRPr="007D003C">
        <w:rPr>
          <w:rFonts w:ascii="Arial" w:hAnsi="Arial" w:cs="Arial"/>
          <w:sz w:val="22"/>
          <w:szCs w:val="22"/>
        </w:rPr>
        <w:t>therefore</w:t>
      </w:r>
      <w:r w:rsidR="004A5069" w:rsidRPr="007D003C">
        <w:rPr>
          <w:rFonts w:ascii="Arial" w:hAnsi="Arial" w:cs="Arial"/>
          <w:sz w:val="22"/>
          <w:szCs w:val="22"/>
        </w:rPr>
        <w:t xml:space="preserve"> </w:t>
      </w:r>
      <w:r w:rsidRPr="007D003C">
        <w:rPr>
          <w:rFonts w:ascii="Arial" w:hAnsi="Arial" w:cs="Arial"/>
          <w:sz w:val="22"/>
          <w:szCs w:val="22"/>
        </w:rPr>
        <w:t>increase</w:t>
      </w:r>
      <w:r w:rsidR="004A5069" w:rsidRPr="007D003C">
        <w:rPr>
          <w:rFonts w:ascii="Arial" w:hAnsi="Arial" w:cs="Arial"/>
          <w:sz w:val="22"/>
          <w:szCs w:val="22"/>
        </w:rPr>
        <w:t xml:space="preserve"> the</w:t>
      </w:r>
      <w:r w:rsidRPr="007D003C">
        <w:rPr>
          <w:rFonts w:ascii="Arial" w:hAnsi="Arial" w:cs="Arial"/>
          <w:sz w:val="22"/>
          <w:szCs w:val="22"/>
        </w:rPr>
        <w:t xml:space="preserve"> business’</w:t>
      </w:r>
      <w:r w:rsidR="004A5069" w:rsidRPr="007D003C">
        <w:rPr>
          <w:rFonts w:ascii="Arial" w:hAnsi="Arial" w:cs="Arial"/>
          <w:sz w:val="22"/>
          <w:szCs w:val="22"/>
        </w:rPr>
        <w:t xml:space="preserve"> ROCE since </w:t>
      </w:r>
      <w:r w:rsidRPr="007D003C">
        <w:rPr>
          <w:rFonts w:ascii="Arial" w:hAnsi="Arial" w:cs="Arial"/>
          <w:sz w:val="22"/>
          <w:szCs w:val="22"/>
        </w:rPr>
        <w:t>get</w:t>
      </w:r>
      <w:r w:rsidR="000C0878">
        <w:rPr>
          <w:rFonts w:ascii="Arial" w:hAnsi="Arial" w:cs="Arial"/>
          <w:sz w:val="22"/>
          <w:szCs w:val="22"/>
        </w:rPr>
        <w:t>ting</w:t>
      </w:r>
      <w:r w:rsidRPr="007D003C">
        <w:rPr>
          <w:rFonts w:ascii="Arial" w:hAnsi="Arial" w:cs="Arial"/>
          <w:sz w:val="22"/>
          <w:szCs w:val="22"/>
        </w:rPr>
        <w:t xml:space="preserve"> rid of</w:t>
      </w:r>
      <w:r w:rsidR="004A5069" w:rsidRPr="007D003C">
        <w:rPr>
          <w:rFonts w:ascii="Arial" w:hAnsi="Arial" w:cs="Arial"/>
          <w:sz w:val="22"/>
          <w:szCs w:val="22"/>
        </w:rPr>
        <w:t xml:space="preserve"> unused or unnecessary assets </w:t>
      </w:r>
      <w:r w:rsidRPr="007D003C">
        <w:rPr>
          <w:rFonts w:ascii="Arial" w:hAnsi="Arial" w:cs="Arial"/>
          <w:sz w:val="22"/>
          <w:szCs w:val="22"/>
        </w:rPr>
        <w:t>permits</w:t>
      </w:r>
      <w:r w:rsidR="004A5069" w:rsidRPr="007D003C">
        <w:rPr>
          <w:rFonts w:ascii="Arial" w:hAnsi="Arial" w:cs="Arial"/>
          <w:sz w:val="22"/>
          <w:szCs w:val="22"/>
        </w:rPr>
        <w:t xml:space="preserve"> for less capital to be employed to </w:t>
      </w:r>
      <w:r w:rsidRPr="007D003C">
        <w:rPr>
          <w:rFonts w:ascii="Arial" w:hAnsi="Arial" w:cs="Arial"/>
          <w:sz w:val="22"/>
          <w:szCs w:val="22"/>
        </w:rPr>
        <w:t>assist</w:t>
      </w:r>
      <w:r w:rsidR="004A5069" w:rsidRPr="007D003C">
        <w:rPr>
          <w:rFonts w:ascii="Arial" w:hAnsi="Arial" w:cs="Arial"/>
          <w:sz w:val="22"/>
          <w:szCs w:val="22"/>
        </w:rPr>
        <w:t xml:space="preserve"> the same amount of production</w:t>
      </w:r>
      <w:r w:rsidR="00E131B7">
        <w:rPr>
          <w:rFonts w:ascii="Arial" w:hAnsi="Arial" w:cs="Arial"/>
          <w:sz w:val="22"/>
          <w:szCs w:val="22"/>
        </w:rPr>
        <w:t>”</w:t>
      </w:r>
      <w:r w:rsidR="00E131B7" w:rsidRPr="00E131B7">
        <w:rPr>
          <w:rFonts w:ascii="Arial" w:hAnsi="Arial" w:cs="Arial"/>
          <w:sz w:val="22"/>
          <w:szCs w:val="22"/>
        </w:rPr>
        <w:t xml:space="preserve"> </w:t>
      </w:r>
      <w:sdt>
        <w:sdtPr>
          <w:rPr>
            <w:rFonts w:ascii="Arial" w:hAnsi="Arial" w:cs="Arial"/>
            <w:sz w:val="22"/>
            <w:szCs w:val="22"/>
          </w:rPr>
          <w:id w:val="1668056244"/>
          <w:citation/>
        </w:sdtPr>
        <w:sdtEndPr/>
        <w:sdtContent>
          <w:r w:rsidR="00E131B7" w:rsidRPr="007D003C">
            <w:rPr>
              <w:rFonts w:ascii="Arial" w:hAnsi="Arial" w:cs="Arial"/>
              <w:sz w:val="22"/>
              <w:szCs w:val="22"/>
            </w:rPr>
            <w:fldChar w:fldCharType="begin"/>
          </w:r>
          <w:r w:rsidR="00E131B7" w:rsidRPr="007D003C">
            <w:rPr>
              <w:rFonts w:ascii="Arial" w:hAnsi="Arial" w:cs="Arial"/>
              <w:sz w:val="22"/>
              <w:szCs w:val="22"/>
            </w:rPr>
            <w:instrText xml:space="preserve"> CITATION Mav191 \l 2057 </w:instrText>
          </w:r>
          <w:r w:rsidR="00E131B7" w:rsidRPr="007D003C">
            <w:rPr>
              <w:rFonts w:ascii="Arial" w:hAnsi="Arial" w:cs="Arial"/>
              <w:sz w:val="22"/>
              <w:szCs w:val="22"/>
            </w:rPr>
            <w:fldChar w:fldCharType="separate"/>
          </w:r>
          <w:r w:rsidR="00E131B7" w:rsidRPr="007D003C">
            <w:rPr>
              <w:rFonts w:ascii="Arial" w:hAnsi="Arial" w:cs="Arial"/>
              <w:noProof/>
              <w:sz w:val="22"/>
              <w:szCs w:val="22"/>
            </w:rPr>
            <w:t xml:space="preserve"> (Maverick, 2019)</w:t>
          </w:r>
          <w:r w:rsidR="00E131B7" w:rsidRPr="007D003C">
            <w:rPr>
              <w:rFonts w:ascii="Arial" w:hAnsi="Arial" w:cs="Arial"/>
              <w:sz w:val="22"/>
              <w:szCs w:val="22"/>
            </w:rPr>
            <w:fldChar w:fldCharType="end"/>
          </w:r>
        </w:sdtContent>
      </w:sdt>
      <w:r w:rsidR="00E131B7">
        <w:rPr>
          <w:rFonts w:ascii="Arial" w:hAnsi="Arial" w:cs="Arial"/>
          <w:sz w:val="22"/>
          <w:szCs w:val="22"/>
        </w:rPr>
        <w:t>.</w:t>
      </w:r>
    </w:p>
    <w:p w14:paraId="24FD74CE" w14:textId="77777777" w:rsidR="00E131B7" w:rsidRPr="00E131B7" w:rsidRDefault="00E131B7" w:rsidP="00E131B7">
      <w:pPr>
        <w:pStyle w:val="ListParagraph"/>
        <w:ind w:left="0"/>
        <w:jc w:val="both"/>
        <w:rPr>
          <w:rFonts w:ascii="Arial" w:hAnsi="Arial" w:cs="Arial"/>
          <w:sz w:val="22"/>
          <w:szCs w:val="22"/>
        </w:rPr>
      </w:pPr>
    </w:p>
    <w:p w14:paraId="12CBC40D" w14:textId="77777777" w:rsidR="004B7B23" w:rsidRPr="007D003C" w:rsidRDefault="004B7B23" w:rsidP="007D003C">
      <w:pPr>
        <w:pStyle w:val="ListParagraph"/>
        <w:spacing w:line="259" w:lineRule="auto"/>
        <w:jc w:val="both"/>
        <w:rPr>
          <w:rFonts w:ascii="Arial" w:hAnsi="Arial" w:cs="Arial"/>
          <w:sz w:val="22"/>
          <w:szCs w:val="22"/>
        </w:rPr>
      </w:pPr>
    </w:p>
    <w:p w14:paraId="49528A71" w14:textId="196D8AD8" w:rsidR="004B7B23" w:rsidRPr="004B7B23" w:rsidRDefault="00097D86" w:rsidP="004B7B23">
      <w:pPr>
        <w:pStyle w:val="ListParagraph"/>
        <w:numPr>
          <w:ilvl w:val="0"/>
          <w:numId w:val="6"/>
        </w:numPr>
        <w:spacing w:line="259" w:lineRule="auto"/>
        <w:jc w:val="both"/>
        <w:rPr>
          <w:rFonts w:ascii="Arial" w:hAnsi="Arial" w:cs="Arial"/>
          <w:sz w:val="22"/>
          <w:szCs w:val="22"/>
        </w:rPr>
      </w:pPr>
      <w:r w:rsidRPr="007D003C">
        <w:rPr>
          <w:rFonts w:ascii="Arial" w:hAnsi="Arial" w:cs="Arial"/>
          <w:b/>
          <w:iCs/>
          <w:sz w:val="22"/>
          <w:szCs w:val="22"/>
        </w:rPr>
        <w:t>Liquidity</w:t>
      </w:r>
    </w:p>
    <w:p w14:paraId="24343C5D" w14:textId="3137B4F8" w:rsidR="00097D86" w:rsidRPr="007D003C" w:rsidRDefault="000C0878" w:rsidP="00097D86">
      <w:pPr>
        <w:pStyle w:val="ListParagraph"/>
        <w:spacing w:line="259" w:lineRule="auto"/>
        <w:jc w:val="both"/>
        <w:rPr>
          <w:rFonts w:ascii="Arial" w:hAnsi="Arial" w:cs="Arial"/>
          <w:sz w:val="22"/>
          <w:szCs w:val="22"/>
        </w:rPr>
      </w:pPr>
      <w:r>
        <w:rPr>
          <w:rFonts w:ascii="Arial" w:hAnsi="Arial" w:cs="Arial"/>
          <w:sz w:val="22"/>
          <w:szCs w:val="22"/>
        </w:rPr>
        <w:t>The c</w:t>
      </w:r>
      <w:r w:rsidR="00097D86" w:rsidRPr="007D003C">
        <w:rPr>
          <w:rFonts w:ascii="Arial" w:hAnsi="Arial" w:cs="Arial"/>
          <w:sz w:val="22"/>
          <w:szCs w:val="22"/>
        </w:rPr>
        <w:t xml:space="preserve">ompany’s Board must work on its Quick ratio to improve it further, </w:t>
      </w:r>
      <w:r>
        <w:rPr>
          <w:rFonts w:ascii="Arial" w:hAnsi="Arial" w:cs="Arial"/>
          <w:sz w:val="22"/>
          <w:szCs w:val="22"/>
        </w:rPr>
        <w:t xml:space="preserve">which </w:t>
      </w:r>
      <w:r w:rsidR="00097D86" w:rsidRPr="007D003C">
        <w:rPr>
          <w:rFonts w:ascii="Arial" w:hAnsi="Arial" w:cs="Arial"/>
          <w:sz w:val="22"/>
          <w:szCs w:val="22"/>
        </w:rPr>
        <w:t xml:space="preserve">would prevent </w:t>
      </w:r>
      <w:r>
        <w:rPr>
          <w:rFonts w:ascii="Arial" w:hAnsi="Arial" w:cs="Arial"/>
          <w:sz w:val="22"/>
          <w:szCs w:val="22"/>
        </w:rPr>
        <w:t xml:space="preserve">the </w:t>
      </w:r>
      <w:r w:rsidR="00097D86" w:rsidRPr="007D003C">
        <w:rPr>
          <w:rFonts w:ascii="Arial" w:hAnsi="Arial" w:cs="Arial"/>
          <w:sz w:val="22"/>
          <w:szCs w:val="22"/>
        </w:rPr>
        <w:t>unnecessary sale of inventory if the need for the financial obligations would arise immediately.</w:t>
      </w:r>
    </w:p>
    <w:p w14:paraId="31E889D5" w14:textId="40FC7550" w:rsidR="00097D86" w:rsidRPr="007D003C" w:rsidRDefault="00097D86" w:rsidP="00097D86">
      <w:pPr>
        <w:pStyle w:val="ListParagraph"/>
        <w:numPr>
          <w:ilvl w:val="0"/>
          <w:numId w:val="6"/>
        </w:numPr>
        <w:spacing w:line="259" w:lineRule="auto"/>
        <w:jc w:val="both"/>
        <w:rPr>
          <w:rFonts w:ascii="Arial" w:hAnsi="Arial" w:cs="Arial"/>
          <w:b/>
          <w:i/>
          <w:sz w:val="22"/>
          <w:szCs w:val="22"/>
        </w:rPr>
      </w:pPr>
      <w:r w:rsidRPr="007D003C">
        <w:rPr>
          <w:rFonts w:ascii="Arial" w:hAnsi="Arial" w:cs="Arial"/>
          <w:b/>
          <w:i/>
          <w:sz w:val="22"/>
          <w:szCs w:val="22"/>
        </w:rPr>
        <w:t>Efficiency</w:t>
      </w:r>
    </w:p>
    <w:p w14:paraId="302D5C19" w14:textId="0F365EB7" w:rsidR="00097D86" w:rsidRPr="007D003C" w:rsidRDefault="00097D86" w:rsidP="00097D86">
      <w:pPr>
        <w:pStyle w:val="ListParagraph"/>
        <w:spacing w:line="259" w:lineRule="auto"/>
        <w:jc w:val="both"/>
        <w:rPr>
          <w:rFonts w:ascii="Arial" w:hAnsi="Arial" w:cs="Arial"/>
          <w:bCs/>
          <w:i/>
          <w:sz w:val="22"/>
          <w:szCs w:val="22"/>
        </w:rPr>
      </w:pPr>
      <w:r w:rsidRPr="007D003C">
        <w:rPr>
          <w:rFonts w:ascii="Arial" w:hAnsi="Arial" w:cs="Arial"/>
          <w:bCs/>
          <w:i/>
          <w:sz w:val="22"/>
          <w:szCs w:val="22"/>
        </w:rPr>
        <w:t>The company must take actions to improve its Assets turnover that is lacking, this could be done by increasing sales revenue further.</w:t>
      </w:r>
    </w:p>
    <w:p w14:paraId="775C0901" w14:textId="77777777" w:rsidR="00097D86" w:rsidRPr="007D003C" w:rsidRDefault="00097D86" w:rsidP="00097D86">
      <w:pPr>
        <w:pStyle w:val="ListParagraph"/>
        <w:numPr>
          <w:ilvl w:val="0"/>
          <w:numId w:val="6"/>
        </w:numPr>
        <w:spacing w:line="259" w:lineRule="auto"/>
        <w:jc w:val="both"/>
        <w:rPr>
          <w:rFonts w:ascii="Arial" w:hAnsi="Arial" w:cs="Arial"/>
          <w:b/>
          <w:i/>
          <w:sz w:val="22"/>
          <w:szCs w:val="22"/>
        </w:rPr>
      </w:pPr>
      <w:r w:rsidRPr="007D003C">
        <w:rPr>
          <w:rFonts w:ascii="Arial" w:hAnsi="Arial" w:cs="Arial"/>
          <w:b/>
          <w:i/>
          <w:sz w:val="22"/>
          <w:szCs w:val="22"/>
        </w:rPr>
        <w:t xml:space="preserve">Investment </w:t>
      </w:r>
    </w:p>
    <w:p w14:paraId="0DE3CC85" w14:textId="6FF02109" w:rsidR="006A60E9" w:rsidRDefault="00097D86" w:rsidP="007D003C">
      <w:pPr>
        <w:pStyle w:val="ListParagraph"/>
        <w:spacing w:line="259" w:lineRule="auto"/>
        <w:jc w:val="both"/>
        <w:rPr>
          <w:rFonts w:ascii="Arial" w:eastAsia="Calibri" w:hAnsi="Arial" w:cs="Arial"/>
          <w:sz w:val="22"/>
          <w:szCs w:val="22"/>
        </w:rPr>
      </w:pPr>
      <w:r w:rsidRPr="007D003C">
        <w:rPr>
          <w:rFonts w:ascii="Arial" w:hAnsi="Arial" w:cs="Arial"/>
          <w:sz w:val="22"/>
          <w:szCs w:val="22"/>
        </w:rPr>
        <w:t>Although</w:t>
      </w:r>
      <w:r w:rsidR="000C0878">
        <w:rPr>
          <w:rFonts w:ascii="Arial" w:hAnsi="Arial" w:cs="Arial"/>
          <w:sz w:val="22"/>
          <w:szCs w:val="22"/>
        </w:rPr>
        <w:t xml:space="preserve"> the</w:t>
      </w:r>
      <w:r w:rsidRPr="007D003C">
        <w:rPr>
          <w:rFonts w:ascii="Arial" w:hAnsi="Arial" w:cs="Arial"/>
          <w:sz w:val="22"/>
          <w:szCs w:val="22"/>
        </w:rPr>
        <w:t xml:space="preserve"> current P/E ratio and Dividend Yield are lower than of </w:t>
      </w:r>
      <w:r w:rsidR="000C0878" w:rsidRPr="007D003C">
        <w:rPr>
          <w:rFonts w:ascii="Arial" w:hAnsi="Arial" w:cs="Arial"/>
          <w:sz w:val="22"/>
          <w:szCs w:val="22"/>
        </w:rPr>
        <w:t>those</w:t>
      </w:r>
      <w:r w:rsidR="000C0878">
        <w:rPr>
          <w:rFonts w:ascii="Arial" w:hAnsi="Arial" w:cs="Arial"/>
          <w:sz w:val="22"/>
          <w:szCs w:val="22"/>
        </w:rPr>
        <w:t xml:space="preserve"> </w:t>
      </w:r>
      <w:r w:rsidR="000C0878" w:rsidRPr="007D003C">
        <w:rPr>
          <w:rFonts w:ascii="Arial" w:hAnsi="Arial" w:cs="Arial"/>
          <w:sz w:val="22"/>
          <w:szCs w:val="22"/>
        </w:rPr>
        <w:t>industry</w:t>
      </w:r>
      <w:r w:rsidRPr="007D003C">
        <w:rPr>
          <w:rFonts w:ascii="Arial" w:hAnsi="Arial" w:cs="Arial"/>
          <w:sz w:val="22"/>
          <w:szCs w:val="22"/>
        </w:rPr>
        <w:t xml:space="preserve"> competitors </w:t>
      </w:r>
      <w:r w:rsidRPr="007D003C">
        <w:rPr>
          <w:rFonts w:ascii="Arial" w:eastAsia="Calibri" w:hAnsi="Arial" w:cs="Arial"/>
          <w:sz w:val="22"/>
          <w:szCs w:val="22"/>
        </w:rPr>
        <w:t>in conjunction with high EPS, business looks attractive to the investors.</w:t>
      </w:r>
    </w:p>
    <w:p w14:paraId="7DEABBA9" w14:textId="77777777" w:rsidR="00F90552" w:rsidRPr="007D003C" w:rsidRDefault="00F90552" w:rsidP="007D003C">
      <w:pPr>
        <w:pStyle w:val="ListParagraph"/>
        <w:spacing w:line="259" w:lineRule="auto"/>
        <w:jc w:val="both"/>
        <w:rPr>
          <w:rFonts w:ascii="Arial" w:hAnsi="Arial" w:cs="Arial"/>
          <w:sz w:val="22"/>
          <w:szCs w:val="22"/>
        </w:rPr>
      </w:pPr>
    </w:p>
    <w:p w14:paraId="73D772A5" w14:textId="312E3D94" w:rsidR="005A4268" w:rsidRDefault="005A4268" w:rsidP="00454817">
      <w:pPr>
        <w:pStyle w:val="Heading1"/>
        <w:jc w:val="left"/>
        <w:rPr>
          <w:rFonts w:ascii="Arial" w:hAnsi="Arial" w:cs="Arial"/>
          <w:b/>
          <w:bCs/>
          <w:sz w:val="22"/>
          <w:szCs w:val="22"/>
        </w:rPr>
      </w:pPr>
      <w:r w:rsidRPr="007D003C">
        <w:rPr>
          <w:rFonts w:ascii="Arial" w:hAnsi="Arial" w:cs="Arial"/>
          <w:sz w:val="22"/>
          <w:szCs w:val="22"/>
        </w:rPr>
        <w:t xml:space="preserve"> </w:t>
      </w:r>
      <w:bookmarkStart w:id="3" w:name="_Toc61468822"/>
      <w:r w:rsidR="003C5633" w:rsidRPr="007D003C">
        <w:rPr>
          <w:rFonts w:ascii="Arial" w:hAnsi="Arial" w:cs="Arial"/>
          <w:b/>
          <w:bCs/>
          <w:sz w:val="22"/>
          <w:szCs w:val="22"/>
        </w:rPr>
        <w:t>PART C)</w:t>
      </w:r>
      <w:r w:rsidR="008F6978" w:rsidRPr="007D003C">
        <w:rPr>
          <w:rFonts w:ascii="Arial" w:hAnsi="Arial" w:cs="Arial"/>
          <w:b/>
          <w:bCs/>
          <w:sz w:val="22"/>
          <w:szCs w:val="22"/>
        </w:rPr>
        <w:t xml:space="preserve"> </w:t>
      </w:r>
      <w:r w:rsidR="00036044" w:rsidRPr="007D003C">
        <w:rPr>
          <w:rFonts w:ascii="Arial" w:hAnsi="Arial" w:cs="Arial"/>
          <w:b/>
          <w:bCs/>
          <w:sz w:val="22"/>
          <w:szCs w:val="22"/>
        </w:rPr>
        <w:t>INVESTMENT APPRAISAL TECHNIQUES</w:t>
      </w:r>
      <w:bookmarkEnd w:id="3"/>
    </w:p>
    <w:p w14:paraId="55FD21EB" w14:textId="77777777" w:rsidR="00F90552" w:rsidRPr="00F90552" w:rsidRDefault="00F90552" w:rsidP="00F90552"/>
    <w:p w14:paraId="4EABE62A" w14:textId="1F6BDEF6" w:rsidR="008F6978" w:rsidRDefault="008F6978" w:rsidP="00F90552">
      <w:pPr>
        <w:pStyle w:val="Heading2"/>
        <w:numPr>
          <w:ilvl w:val="0"/>
          <w:numId w:val="7"/>
        </w:numPr>
        <w:jc w:val="left"/>
        <w:rPr>
          <w:rFonts w:ascii="Arial" w:hAnsi="Arial" w:cs="Arial"/>
          <w:b/>
          <w:bCs/>
          <w:sz w:val="22"/>
          <w:szCs w:val="22"/>
        </w:rPr>
      </w:pPr>
      <w:bookmarkStart w:id="4" w:name="_Toc61468823"/>
      <w:r w:rsidRPr="007D003C">
        <w:rPr>
          <w:rFonts w:ascii="Arial" w:hAnsi="Arial" w:cs="Arial"/>
          <w:b/>
          <w:bCs/>
          <w:sz w:val="22"/>
          <w:szCs w:val="22"/>
        </w:rPr>
        <w:t xml:space="preserve">Evaluation </w:t>
      </w:r>
      <w:r w:rsidR="00AE7020" w:rsidRPr="007D003C">
        <w:rPr>
          <w:rFonts w:ascii="Arial" w:hAnsi="Arial" w:cs="Arial"/>
          <w:b/>
          <w:bCs/>
          <w:sz w:val="22"/>
          <w:szCs w:val="22"/>
        </w:rPr>
        <w:t xml:space="preserve">of </w:t>
      </w:r>
      <w:r w:rsidR="00525F82" w:rsidRPr="007D003C">
        <w:rPr>
          <w:rFonts w:ascii="Arial" w:hAnsi="Arial" w:cs="Arial"/>
          <w:b/>
          <w:bCs/>
          <w:sz w:val="22"/>
          <w:szCs w:val="22"/>
        </w:rPr>
        <w:t xml:space="preserve">Capital </w:t>
      </w:r>
      <w:r w:rsidRPr="007D003C">
        <w:rPr>
          <w:rFonts w:ascii="Arial" w:hAnsi="Arial" w:cs="Arial"/>
          <w:b/>
          <w:bCs/>
          <w:sz w:val="22"/>
          <w:szCs w:val="22"/>
        </w:rPr>
        <w:t xml:space="preserve">Investment </w:t>
      </w:r>
      <w:r w:rsidR="005028B5" w:rsidRPr="007D003C">
        <w:rPr>
          <w:rFonts w:ascii="Arial" w:hAnsi="Arial" w:cs="Arial"/>
          <w:b/>
          <w:bCs/>
          <w:sz w:val="22"/>
          <w:szCs w:val="22"/>
        </w:rPr>
        <w:t>A</w:t>
      </w:r>
      <w:r w:rsidRPr="007D003C">
        <w:rPr>
          <w:rFonts w:ascii="Arial" w:hAnsi="Arial" w:cs="Arial"/>
          <w:b/>
          <w:bCs/>
          <w:sz w:val="22"/>
          <w:szCs w:val="22"/>
        </w:rPr>
        <w:t>ppraisal Technique</w:t>
      </w:r>
      <w:r w:rsidR="00AE7020" w:rsidRPr="007D003C">
        <w:rPr>
          <w:rFonts w:ascii="Arial" w:hAnsi="Arial" w:cs="Arial"/>
          <w:b/>
          <w:bCs/>
          <w:sz w:val="22"/>
          <w:szCs w:val="22"/>
        </w:rPr>
        <w:t>s</w:t>
      </w:r>
      <w:r w:rsidRPr="007D003C">
        <w:rPr>
          <w:rFonts w:ascii="Arial" w:hAnsi="Arial" w:cs="Arial"/>
          <w:b/>
          <w:bCs/>
          <w:sz w:val="22"/>
          <w:szCs w:val="22"/>
        </w:rPr>
        <w:t xml:space="preserve"> </w:t>
      </w:r>
      <w:r w:rsidR="00AE7020" w:rsidRPr="007D003C">
        <w:rPr>
          <w:rFonts w:ascii="Arial" w:hAnsi="Arial" w:cs="Arial"/>
          <w:b/>
          <w:bCs/>
          <w:sz w:val="22"/>
          <w:szCs w:val="22"/>
        </w:rPr>
        <w:t>in context of</w:t>
      </w:r>
      <w:r w:rsidRPr="007D003C">
        <w:rPr>
          <w:rFonts w:ascii="Arial" w:hAnsi="Arial" w:cs="Arial"/>
          <w:b/>
          <w:bCs/>
          <w:sz w:val="22"/>
          <w:szCs w:val="22"/>
        </w:rPr>
        <w:t xml:space="preserve"> Project A and Project B</w:t>
      </w:r>
      <w:bookmarkEnd w:id="4"/>
    </w:p>
    <w:p w14:paraId="233E1301" w14:textId="77777777" w:rsidR="00F90552" w:rsidRPr="00F90552" w:rsidRDefault="00F90552" w:rsidP="00F90552"/>
    <w:p w14:paraId="7E577530" w14:textId="6DC123DF" w:rsidR="005028B5" w:rsidRPr="007D003C" w:rsidRDefault="003F0A05" w:rsidP="009C3827">
      <w:pPr>
        <w:jc w:val="both"/>
        <w:rPr>
          <w:rFonts w:ascii="Arial" w:hAnsi="Arial" w:cs="Arial"/>
          <w:i/>
          <w:iCs/>
          <w:sz w:val="22"/>
          <w:szCs w:val="22"/>
        </w:rPr>
      </w:pPr>
      <w:r w:rsidRPr="007D003C">
        <w:rPr>
          <w:rFonts w:ascii="Arial" w:hAnsi="Arial" w:cs="Arial"/>
          <w:sz w:val="22"/>
          <w:szCs w:val="22"/>
        </w:rPr>
        <w:t>“The investment appraisal is concerned with organisational management decisions about which projects or assets to invest in and how to finance them to achieve corporate goals</w:t>
      </w:r>
      <w:r w:rsidR="00611E2B" w:rsidRPr="007D003C">
        <w:rPr>
          <w:rFonts w:ascii="Arial" w:hAnsi="Arial" w:cs="Arial"/>
          <w:sz w:val="22"/>
          <w:szCs w:val="22"/>
        </w:rPr>
        <w:t>”</w:t>
      </w:r>
      <w:sdt>
        <w:sdtPr>
          <w:rPr>
            <w:rFonts w:ascii="Arial" w:hAnsi="Arial" w:cs="Arial"/>
            <w:sz w:val="22"/>
            <w:szCs w:val="22"/>
          </w:rPr>
          <w:id w:val="-1666237265"/>
          <w:citation/>
        </w:sdtPr>
        <w:sdtEndPr/>
        <w:sdtContent>
          <w:r w:rsidRPr="007D003C">
            <w:rPr>
              <w:rFonts w:ascii="Arial" w:hAnsi="Arial" w:cs="Arial"/>
              <w:sz w:val="22"/>
              <w:szCs w:val="22"/>
            </w:rPr>
            <w:fldChar w:fldCharType="begin"/>
          </w:r>
          <w:r w:rsidRPr="007D003C">
            <w:rPr>
              <w:rFonts w:ascii="Arial" w:hAnsi="Arial" w:cs="Arial"/>
              <w:sz w:val="22"/>
              <w:szCs w:val="22"/>
            </w:rPr>
            <w:instrText xml:space="preserve"> CITATION Har11 \l 2057 </w:instrText>
          </w:r>
          <w:r w:rsidRPr="007D003C">
            <w:rPr>
              <w:rFonts w:ascii="Arial" w:hAnsi="Arial" w:cs="Arial"/>
              <w:sz w:val="22"/>
              <w:szCs w:val="22"/>
            </w:rPr>
            <w:fldChar w:fldCharType="separate"/>
          </w:r>
          <w:r w:rsidRPr="007D003C">
            <w:rPr>
              <w:rFonts w:ascii="Arial" w:hAnsi="Arial" w:cs="Arial"/>
              <w:noProof/>
              <w:sz w:val="22"/>
              <w:szCs w:val="22"/>
            </w:rPr>
            <w:t xml:space="preserve"> (Harris, 2011)</w:t>
          </w:r>
          <w:r w:rsidRPr="007D003C">
            <w:rPr>
              <w:rFonts w:ascii="Arial" w:hAnsi="Arial" w:cs="Arial"/>
              <w:sz w:val="22"/>
              <w:szCs w:val="22"/>
            </w:rPr>
            <w:fldChar w:fldCharType="end"/>
          </w:r>
        </w:sdtContent>
      </w:sdt>
      <w:r w:rsidR="00611E2B" w:rsidRPr="007D003C">
        <w:rPr>
          <w:rFonts w:ascii="Arial" w:hAnsi="Arial" w:cs="Arial"/>
          <w:sz w:val="22"/>
          <w:szCs w:val="22"/>
        </w:rPr>
        <w:t xml:space="preserve">.  The information is delivered using </w:t>
      </w:r>
      <w:r w:rsidR="005028B5" w:rsidRPr="007D003C">
        <w:rPr>
          <w:rFonts w:ascii="Arial" w:hAnsi="Arial" w:cs="Arial"/>
          <w:sz w:val="22"/>
          <w:szCs w:val="22"/>
        </w:rPr>
        <w:t>capital investment appraisal techniques</w:t>
      </w:r>
      <w:r w:rsidR="00611E2B" w:rsidRPr="007D003C">
        <w:rPr>
          <w:rFonts w:ascii="Arial" w:hAnsi="Arial" w:cs="Arial"/>
          <w:sz w:val="22"/>
          <w:szCs w:val="22"/>
        </w:rPr>
        <w:t>.  Three methods of capital investment appraisal will be evaluated and explained, these are</w:t>
      </w:r>
      <w:r w:rsidR="00611E2B" w:rsidRPr="007D003C">
        <w:rPr>
          <w:rFonts w:ascii="Arial" w:hAnsi="Arial" w:cs="Arial"/>
          <w:i/>
          <w:iCs/>
          <w:sz w:val="22"/>
          <w:szCs w:val="22"/>
        </w:rPr>
        <w:t xml:space="preserve"> the payback method, the accounting rate of return and the net present value method</w:t>
      </w:r>
      <w:r w:rsidR="00611E2B" w:rsidRPr="007D003C">
        <w:rPr>
          <w:rFonts w:ascii="Arial" w:hAnsi="Arial" w:cs="Arial"/>
          <w:sz w:val="22"/>
          <w:szCs w:val="22"/>
        </w:rPr>
        <w:t xml:space="preserve"> </w:t>
      </w:r>
      <w:sdt>
        <w:sdtPr>
          <w:rPr>
            <w:rFonts w:ascii="Arial" w:hAnsi="Arial" w:cs="Arial"/>
            <w:sz w:val="22"/>
            <w:szCs w:val="22"/>
          </w:rPr>
          <w:id w:val="-1699545498"/>
          <w:citation/>
        </w:sdtPr>
        <w:sdtEndPr/>
        <w:sdtContent>
          <w:r w:rsidR="00611E2B" w:rsidRPr="007D003C">
            <w:rPr>
              <w:rFonts w:ascii="Arial" w:hAnsi="Arial" w:cs="Arial"/>
              <w:sz w:val="22"/>
              <w:szCs w:val="22"/>
            </w:rPr>
            <w:fldChar w:fldCharType="begin"/>
          </w:r>
          <w:r w:rsidR="00611E2B" w:rsidRPr="007D003C">
            <w:rPr>
              <w:rFonts w:ascii="Arial" w:hAnsi="Arial" w:cs="Arial"/>
              <w:sz w:val="22"/>
              <w:szCs w:val="22"/>
            </w:rPr>
            <w:instrText xml:space="preserve"> CITATION Wee13 \l 2057 </w:instrText>
          </w:r>
          <w:r w:rsidR="00611E2B" w:rsidRPr="007D003C">
            <w:rPr>
              <w:rFonts w:ascii="Arial" w:hAnsi="Arial" w:cs="Arial"/>
              <w:sz w:val="22"/>
              <w:szCs w:val="22"/>
            </w:rPr>
            <w:fldChar w:fldCharType="separate"/>
          </w:r>
          <w:r w:rsidR="00611E2B" w:rsidRPr="007D003C">
            <w:rPr>
              <w:rFonts w:ascii="Arial" w:hAnsi="Arial" w:cs="Arial"/>
              <w:sz w:val="22"/>
              <w:szCs w:val="22"/>
            </w:rPr>
            <w:t xml:space="preserve"> (Weetman, 2013)</w:t>
          </w:r>
          <w:r w:rsidR="00611E2B" w:rsidRPr="007D003C">
            <w:rPr>
              <w:rFonts w:ascii="Arial" w:hAnsi="Arial" w:cs="Arial"/>
              <w:sz w:val="22"/>
              <w:szCs w:val="22"/>
            </w:rPr>
            <w:fldChar w:fldCharType="end"/>
          </w:r>
        </w:sdtContent>
      </w:sdt>
      <w:r w:rsidR="00611E2B" w:rsidRPr="007D003C">
        <w:rPr>
          <w:rFonts w:ascii="Arial" w:hAnsi="Arial" w:cs="Arial"/>
          <w:sz w:val="22"/>
          <w:szCs w:val="22"/>
        </w:rPr>
        <w:t>.</w:t>
      </w:r>
    </w:p>
    <w:p w14:paraId="3864E8EF" w14:textId="2B3F46A6" w:rsidR="008F6978" w:rsidRPr="007D003C" w:rsidRDefault="004803E4" w:rsidP="005A4268">
      <w:pPr>
        <w:rPr>
          <w:rFonts w:ascii="Arial" w:hAnsi="Arial" w:cs="Arial"/>
          <w:i/>
          <w:iCs/>
          <w:sz w:val="22"/>
          <w:szCs w:val="22"/>
        </w:rPr>
      </w:pPr>
      <w:r w:rsidRPr="007D003C">
        <w:rPr>
          <w:rFonts w:ascii="Arial" w:hAnsi="Arial" w:cs="Arial"/>
          <w:i/>
          <w:iCs/>
          <w:sz w:val="22"/>
          <w:szCs w:val="22"/>
        </w:rPr>
        <w:t xml:space="preserve"> </w:t>
      </w:r>
      <w:r w:rsidR="008F6978" w:rsidRPr="007D003C">
        <w:rPr>
          <w:rFonts w:ascii="Arial" w:hAnsi="Arial" w:cs="Arial"/>
          <w:i/>
          <w:iCs/>
          <w:sz w:val="22"/>
          <w:szCs w:val="22"/>
        </w:rPr>
        <w:t>Table C1</w:t>
      </w:r>
      <w:r w:rsidR="001134EF">
        <w:rPr>
          <w:rFonts w:ascii="Arial" w:hAnsi="Arial" w:cs="Arial"/>
          <w:i/>
          <w:iCs/>
          <w:sz w:val="22"/>
          <w:szCs w:val="22"/>
        </w:rPr>
        <w:t xml:space="preserve"> – Payback Period calculations</w:t>
      </w:r>
    </w:p>
    <w:p w14:paraId="1820B85E" w14:textId="015BAA1A" w:rsidR="003C5633" w:rsidRPr="007D003C" w:rsidRDefault="003C5633" w:rsidP="005A4268">
      <w:pPr>
        <w:rPr>
          <w:rFonts w:ascii="Arial" w:hAnsi="Arial" w:cs="Arial"/>
          <w:sz w:val="22"/>
          <w:szCs w:val="22"/>
        </w:rPr>
      </w:pPr>
      <w:r w:rsidRPr="007D003C">
        <w:rPr>
          <w:rFonts w:ascii="Arial" w:hAnsi="Arial" w:cs="Arial"/>
          <w:noProof/>
          <w:sz w:val="22"/>
          <w:szCs w:val="22"/>
        </w:rPr>
        <w:drawing>
          <wp:inline distT="0" distB="0" distL="0" distR="0" wp14:anchorId="63C0D9C9" wp14:editId="797D6EB4">
            <wp:extent cx="6331956" cy="2666246"/>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335666" cy="2667808"/>
                    </a:xfrm>
                    <a:prstGeom prst="rect">
                      <a:avLst/>
                    </a:prstGeom>
                    <a:noFill/>
                    <a:ln>
                      <a:noFill/>
                    </a:ln>
                  </pic:spPr>
                </pic:pic>
              </a:graphicData>
            </a:graphic>
          </wp:inline>
        </w:drawing>
      </w:r>
    </w:p>
    <w:p w14:paraId="07344A2F" w14:textId="51010D4D" w:rsidR="00AE7020" w:rsidRDefault="00043F6A" w:rsidP="00525F82">
      <w:pPr>
        <w:jc w:val="both"/>
        <w:rPr>
          <w:rFonts w:ascii="Arial" w:hAnsi="Arial" w:cs="Arial"/>
          <w:sz w:val="22"/>
          <w:szCs w:val="22"/>
        </w:rPr>
      </w:pPr>
      <w:r w:rsidRPr="007D003C">
        <w:rPr>
          <w:rFonts w:ascii="Arial" w:hAnsi="Arial" w:cs="Arial"/>
          <w:i/>
          <w:iCs/>
          <w:sz w:val="22"/>
          <w:szCs w:val="22"/>
        </w:rPr>
        <w:t>Definition: PayBack Period “is the time required for positive project cash flow to recover negative project cash flow from the acquisition and/or development years. Payback can be calculated either from the start of a project or from the start of production”</w:t>
      </w:r>
      <w:sdt>
        <w:sdtPr>
          <w:rPr>
            <w:rFonts w:ascii="Arial" w:hAnsi="Arial" w:cs="Arial"/>
            <w:i/>
            <w:iCs/>
            <w:sz w:val="22"/>
            <w:szCs w:val="22"/>
          </w:rPr>
          <w:id w:val="-1557842356"/>
          <w:citation/>
        </w:sdtPr>
        <w:sdtEndPr/>
        <w:sdtContent>
          <w:r w:rsidRPr="007D003C">
            <w:rPr>
              <w:rFonts w:ascii="Arial" w:hAnsi="Arial" w:cs="Arial"/>
              <w:i/>
              <w:iCs/>
              <w:sz w:val="22"/>
              <w:szCs w:val="22"/>
            </w:rPr>
            <w:fldChar w:fldCharType="begin"/>
          </w:r>
          <w:r w:rsidRPr="007D003C">
            <w:rPr>
              <w:rFonts w:ascii="Arial" w:hAnsi="Arial" w:cs="Arial"/>
              <w:i/>
              <w:iCs/>
              <w:sz w:val="22"/>
              <w:szCs w:val="22"/>
            </w:rPr>
            <w:instrText xml:space="preserve"> CITATION Wee13 \l 2057 </w:instrText>
          </w:r>
          <w:r w:rsidRPr="007D003C">
            <w:rPr>
              <w:rFonts w:ascii="Arial" w:hAnsi="Arial" w:cs="Arial"/>
              <w:i/>
              <w:iCs/>
              <w:sz w:val="22"/>
              <w:szCs w:val="22"/>
            </w:rPr>
            <w:fldChar w:fldCharType="separate"/>
          </w:r>
          <w:r w:rsidRPr="007D003C">
            <w:rPr>
              <w:rFonts w:ascii="Arial" w:hAnsi="Arial" w:cs="Arial"/>
              <w:i/>
              <w:iCs/>
              <w:noProof/>
              <w:sz w:val="22"/>
              <w:szCs w:val="22"/>
            </w:rPr>
            <w:t xml:space="preserve"> </w:t>
          </w:r>
          <w:r w:rsidRPr="007D003C">
            <w:rPr>
              <w:rFonts w:ascii="Arial" w:hAnsi="Arial" w:cs="Arial"/>
              <w:noProof/>
              <w:sz w:val="22"/>
              <w:szCs w:val="22"/>
            </w:rPr>
            <w:t>(Weetman, 2013)</w:t>
          </w:r>
          <w:r w:rsidRPr="007D003C">
            <w:rPr>
              <w:rFonts w:ascii="Arial" w:hAnsi="Arial" w:cs="Arial"/>
              <w:i/>
              <w:iCs/>
              <w:sz w:val="22"/>
              <w:szCs w:val="22"/>
            </w:rPr>
            <w:fldChar w:fldCharType="end"/>
          </w:r>
        </w:sdtContent>
      </w:sdt>
      <w:r w:rsidRPr="007D003C">
        <w:rPr>
          <w:rFonts w:ascii="Arial" w:hAnsi="Arial" w:cs="Arial"/>
          <w:i/>
          <w:iCs/>
          <w:sz w:val="22"/>
          <w:szCs w:val="22"/>
        </w:rPr>
        <w:t>.</w:t>
      </w:r>
      <w:r w:rsidR="00525F82" w:rsidRPr="007D003C">
        <w:rPr>
          <w:rFonts w:ascii="Arial" w:hAnsi="Arial" w:cs="Arial"/>
          <w:i/>
          <w:iCs/>
          <w:sz w:val="22"/>
          <w:szCs w:val="22"/>
        </w:rPr>
        <w:t xml:space="preserve">  </w:t>
      </w:r>
      <w:r w:rsidR="004E1B7C" w:rsidRPr="007D003C">
        <w:rPr>
          <w:rFonts w:ascii="Arial" w:hAnsi="Arial" w:cs="Arial"/>
          <w:sz w:val="22"/>
          <w:szCs w:val="22"/>
        </w:rPr>
        <w:t xml:space="preserve">Payback period calculation is used to assess the length of time that cash invested in the project takes to come back as quickly as possible as a cash flow.  The most desirable project, under PBP, is the project that takes the shortest time.  </w:t>
      </w:r>
      <w:r w:rsidR="008F6978" w:rsidRPr="007D003C">
        <w:rPr>
          <w:rFonts w:ascii="Arial" w:hAnsi="Arial" w:cs="Arial"/>
          <w:sz w:val="22"/>
          <w:szCs w:val="22"/>
        </w:rPr>
        <w:t>The calculation from Table C1 illustrate</w:t>
      </w:r>
      <w:r w:rsidR="00300B25">
        <w:rPr>
          <w:rFonts w:ascii="Arial" w:hAnsi="Arial" w:cs="Arial"/>
          <w:sz w:val="22"/>
          <w:szCs w:val="22"/>
        </w:rPr>
        <w:t>s</w:t>
      </w:r>
      <w:r w:rsidR="008F6978" w:rsidRPr="007D003C">
        <w:rPr>
          <w:rFonts w:ascii="Arial" w:hAnsi="Arial" w:cs="Arial"/>
          <w:sz w:val="22"/>
          <w:szCs w:val="22"/>
        </w:rPr>
        <w:t xml:space="preserve"> that project B offers the </w:t>
      </w:r>
      <w:r w:rsidR="008F6978" w:rsidRPr="007D003C">
        <w:rPr>
          <w:rFonts w:ascii="Arial" w:hAnsi="Arial" w:cs="Arial"/>
          <w:i/>
          <w:iCs/>
          <w:sz w:val="22"/>
          <w:szCs w:val="22"/>
        </w:rPr>
        <w:t xml:space="preserve">Shortest Payback Period, i.e., </w:t>
      </w:r>
      <w:r w:rsidR="008F6978" w:rsidRPr="007D003C">
        <w:rPr>
          <w:rFonts w:ascii="Arial" w:hAnsi="Arial" w:cs="Arial"/>
          <w:sz w:val="22"/>
          <w:szCs w:val="22"/>
        </w:rPr>
        <w:t>offers a better choice</w:t>
      </w:r>
      <w:r w:rsidR="00AE7020" w:rsidRPr="007D003C">
        <w:rPr>
          <w:rFonts w:ascii="Arial" w:hAnsi="Arial" w:cs="Arial"/>
          <w:sz w:val="22"/>
          <w:szCs w:val="22"/>
        </w:rPr>
        <w:t xml:space="preserve"> of</w:t>
      </w:r>
      <w:r w:rsidR="008F6978" w:rsidRPr="007D003C">
        <w:rPr>
          <w:rFonts w:ascii="Arial" w:hAnsi="Arial" w:cs="Arial"/>
          <w:sz w:val="22"/>
          <w:szCs w:val="22"/>
        </w:rPr>
        <w:t xml:space="preserve"> investment in relation to</w:t>
      </w:r>
      <w:r w:rsidR="00AE7020" w:rsidRPr="007D003C">
        <w:rPr>
          <w:rFonts w:ascii="Arial" w:hAnsi="Arial" w:cs="Arial"/>
          <w:sz w:val="22"/>
          <w:szCs w:val="22"/>
        </w:rPr>
        <w:t xml:space="preserve"> the</w:t>
      </w:r>
      <w:r w:rsidR="008F6978" w:rsidRPr="007D003C">
        <w:rPr>
          <w:rFonts w:ascii="Arial" w:hAnsi="Arial" w:cs="Arial"/>
          <w:sz w:val="22"/>
          <w:szCs w:val="22"/>
        </w:rPr>
        <w:t xml:space="preserve"> PBP measure</w:t>
      </w:r>
      <w:r w:rsidR="000F14EF" w:rsidRPr="007D003C">
        <w:rPr>
          <w:rFonts w:ascii="Arial" w:hAnsi="Arial" w:cs="Arial"/>
          <w:sz w:val="22"/>
          <w:szCs w:val="22"/>
        </w:rPr>
        <w:t xml:space="preserve"> </w:t>
      </w:r>
      <w:sdt>
        <w:sdtPr>
          <w:rPr>
            <w:rFonts w:ascii="Arial" w:hAnsi="Arial" w:cs="Arial"/>
            <w:sz w:val="22"/>
            <w:szCs w:val="22"/>
          </w:rPr>
          <w:id w:val="-571198794"/>
          <w:citation/>
        </w:sdtPr>
        <w:sdtEndPr/>
        <w:sdtContent>
          <w:r w:rsidR="000F14EF" w:rsidRPr="007D003C">
            <w:rPr>
              <w:rFonts w:ascii="Arial" w:hAnsi="Arial" w:cs="Arial"/>
              <w:sz w:val="22"/>
              <w:szCs w:val="22"/>
            </w:rPr>
            <w:fldChar w:fldCharType="begin"/>
          </w:r>
          <w:r w:rsidR="000F14EF" w:rsidRPr="007D003C">
            <w:rPr>
              <w:rFonts w:ascii="Arial" w:hAnsi="Arial" w:cs="Arial"/>
              <w:sz w:val="22"/>
              <w:szCs w:val="22"/>
            </w:rPr>
            <w:instrText xml:space="preserve"> CITATION Wee13 \l 2057 </w:instrText>
          </w:r>
          <w:r w:rsidR="000F14EF" w:rsidRPr="007D003C">
            <w:rPr>
              <w:rFonts w:ascii="Arial" w:hAnsi="Arial" w:cs="Arial"/>
              <w:sz w:val="22"/>
              <w:szCs w:val="22"/>
            </w:rPr>
            <w:fldChar w:fldCharType="separate"/>
          </w:r>
          <w:r w:rsidR="000F14EF" w:rsidRPr="007D003C">
            <w:rPr>
              <w:rFonts w:ascii="Arial" w:hAnsi="Arial" w:cs="Arial"/>
              <w:sz w:val="22"/>
              <w:szCs w:val="22"/>
            </w:rPr>
            <w:t xml:space="preserve"> (Weetman, 2013)</w:t>
          </w:r>
          <w:r w:rsidR="000F14EF" w:rsidRPr="007D003C">
            <w:rPr>
              <w:rFonts w:ascii="Arial" w:hAnsi="Arial" w:cs="Arial"/>
              <w:sz w:val="22"/>
              <w:szCs w:val="22"/>
            </w:rPr>
            <w:fldChar w:fldCharType="end"/>
          </w:r>
        </w:sdtContent>
      </w:sdt>
      <w:r w:rsidR="000F14EF" w:rsidRPr="007D003C">
        <w:rPr>
          <w:rFonts w:ascii="Arial" w:hAnsi="Arial" w:cs="Arial"/>
          <w:sz w:val="22"/>
          <w:szCs w:val="22"/>
        </w:rPr>
        <w:t>.</w:t>
      </w:r>
    </w:p>
    <w:p w14:paraId="14504B56" w14:textId="77777777" w:rsidR="00F90552" w:rsidRPr="007D003C" w:rsidRDefault="00F90552" w:rsidP="00525F82">
      <w:pPr>
        <w:jc w:val="both"/>
        <w:rPr>
          <w:rFonts w:ascii="Arial" w:hAnsi="Arial" w:cs="Arial"/>
          <w:sz w:val="22"/>
          <w:szCs w:val="22"/>
        </w:rPr>
      </w:pPr>
    </w:p>
    <w:p w14:paraId="26F848D6" w14:textId="67DE3CF4" w:rsidR="00525F82" w:rsidRPr="007D003C" w:rsidRDefault="00525F82" w:rsidP="00525F82">
      <w:pPr>
        <w:jc w:val="both"/>
        <w:rPr>
          <w:rFonts w:ascii="Arial" w:hAnsi="Arial" w:cs="Arial"/>
          <w:sz w:val="22"/>
          <w:szCs w:val="22"/>
        </w:rPr>
      </w:pPr>
      <w:r w:rsidRPr="007D003C">
        <w:rPr>
          <w:rFonts w:ascii="Arial" w:hAnsi="Arial" w:cs="Arial"/>
          <w:sz w:val="22"/>
          <w:szCs w:val="22"/>
        </w:rPr>
        <w:t>ACCOUNTING RATE OF RETURN</w:t>
      </w:r>
    </w:p>
    <w:p w14:paraId="6EA694EF" w14:textId="6D47D60C" w:rsidR="000F0523" w:rsidRPr="007D003C" w:rsidRDefault="00525F82" w:rsidP="00525F82">
      <w:pPr>
        <w:jc w:val="both"/>
        <w:rPr>
          <w:rFonts w:ascii="Arial" w:hAnsi="Arial" w:cs="Arial"/>
          <w:sz w:val="22"/>
          <w:szCs w:val="22"/>
        </w:rPr>
      </w:pPr>
      <w:r w:rsidRPr="007D003C">
        <w:rPr>
          <w:rFonts w:ascii="Arial" w:hAnsi="Arial" w:cs="Arial"/>
          <w:i/>
          <w:iCs/>
          <w:sz w:val="22"/>
          <w:szCs w:val="22"/>
        </w:rPr>
        <w:t>Definition: “The Accounting Rate of Return uses accounting profit, rather than cash flows, is calculated by taking the Average Annual Profits expected from a project as a percentage of the capital investment”</w:t>
      </w:r>
      <w:sdt>
        <w:sdtPr>
          <w:rPr>
            <w:rFonts w:ascii="Arial" w:hAnsi="Arial" w:cs="Arial"/>
            <w:sz w:val="22"/>
            <w:szCs w:val="22"/>
          </w:rPr>
          <w:id w:val="732666294"/>
          <w:citation/>
        </w:sdtPr>
        <w:sdtEndPr/>
        <w:sdtContent>
          <w:r w:rsidRPr="007D003C">
            <w:rPr>
              <w:rFonts w:ascii="Arial" w:hAnsi="Arial" w:cs="Arial"/>
              <w:sz w:val="22"/>
              <w:szCs w:val="22"/>
            </w:rPr>
            <w:fldChar w:fldCharType="begin"/>
          </w:r>
          <w:r w:rsidRPr="007D003C">
            <w:rPr>
              <w:rFonts w:ascii="Arial" w:hAnsi="Arial" w:cs="Arial"/>
              <w:sz w:val="22"/>
              <w:szCs w:val="22"/>
            </w:rPr>
            <w:instrText xml:space="preserve"> CITATION Wee13 \l 2057 </w:instrText>
          </w:r>
          <w:r w:rsidRPr="007D003C">
            <w:rPr>
              <w:rFonts w:ascii="Arial" w:hAnsi="Arial" w:cs="Arial"/>
              <w:sz w:val="22"/>
              <w:szCs w:val="22"/>
            </w:rPr>
            <w:fldChar w:fldCharType="separate"/>
          </w:r>
          <w:r w:rsidRPr="007D003C">
            <w:rPr>
              <w:rFonts w:ascii="Arial" w:hAnsi="Arial" w:cs="Arial"/>
              <w:sz w:val="22"/>
              <w:szCs w:val="22"/>
            </w:rPr>
            <w:t xml:space="preserve"> (Weetman, 2013)</w:t>
          </w:r>
          <w:r w:rsidRPr="007D003C">
            <w:rPr>
              <w:rFonts w:ascii="Arial" w:hAnsi="Arial" w:cs="Arial"/>
              <w:sz w:val="22"/>
              <w:szCs w:val="22"/>
            </w:rPr>
            <w:fldChar w:fldCharType="end"/>
          </w:r>
        </w:sdtContent>
      </w:sdt>
      <w:r w:rsidRPr="007D003C">
        <w:rPr>
          <w:rFonts w:ascii="Arial" w:hAnsi="Arial" w:cs="Arial"/>
          <w:sz w:val="22"/>
          <w:szCs w:val="22"/>
        </w:rPr>
        <w:t xml:space="preserve">.  This report uses the initial investment for illustration and analysis, but the average investment variable is quite useful too as it makes arbitrary assumptions over the capital use </w:t>
      </w:r>
      <w:r w:rsidR="000F0523" w:rsidRPr="007D003C">
        <w:rPr>
          <w:rFonts w:ascii="Arial" w:hAnsi="Arial" w:cs="Arial"/>
          <w:sz w:val="22"/>
          <w:szCs w:val="22"/>
        </w:rPr>
        <w:t>over</w:t>
      </w:r>
      <w:r w:rsidRPr="007D003C">
        <w:rPr>
          <w:rFonts w:ascii="Arial" w:hAnsi="Arial" w:cs="Arial"/>
          <w:sz w:val="22"/>
          <w:szCs w:val="22"/>
        </w:rPr>
        <w:t xml:space="preserve"> the project.  ARR ranks the projects in relation to the </w:t>
      </w:r>
      <w:r w:rsidR="0059328A" w:rsidRPr="007D003C">
        <w:rPr>
          <w:rFonts w:ascii="Arial" w:hAnsi="Arial" w:cs="Arial"/>
          <w:sz w:val="22"/>
          <w:szCs w:val="22"/>
        </w:rPr>
        <w:t>highest</w:t>
      </w:r>
      <w:r w:rsidRPr="007D003C">
        <w:rPr>
          <w:rFonts w:ascii="Arial" w:hAnsi="Arial" w:cs="Arial"/>
          <w:sz w:val="22"/>
          <w:szCs w:val="22"/>
        </w:rPr>
        <w:t xml:space="preserve"> rate of return.   It decides the project suitability based on the future net earnings expected compared to the capital cost</w:t>
      </w:r>
      <w:sdt>
        <w:sdtPr>
          <w:rPr>
            <w:rFonts w:ascii="Arial" w:hAnsi="Arial" w:cs="Arial"/>
            <w:sz w:val="22"/>
            <w:szCs w:val="22"/>
          </w:rPr>
          <w:id w:val="1360852349"/>
          <w:citation/>
        </w:sdtPr>
        <w:sdtEndPr/>
        <w:sdtContent>
          <w:r w:rsidRPr="007D003C">
            <w:rPr>
              <w:rFonts w:ascii="Arial" w:hAnsi="Arial" w:cs="Arial"/>
              <w:sz w:val="22"/>
              <w:szCs w:val="22"/>
            </w:rPr>
            <w:fldChar w:fldCharType="begin"/>
          </w:r>
          <w:r w:rsidR="00397EFA" w:rsidRPr="007D003C">
            <w:rPr>
              <w:rFonts w:ascii="Arial" w:hAnsi="Arial" w:cs="Arial"/>
              <w:sz w:val="22"/>
              <w:szCs w:val="22"/>
            </w:rPr>
            <w:instrText xml:space="preserve">CITATION CFI15 \l 2057 </w:instrText>
          </w:r>
          <w:r w:rsidRPr="007D003C">
            <w:rPr>
              <w:rFonts w:ascii="Arial" w:hAnsi="Arial" w:cs="Arial"/>
              <w:sz w:val="22"/>
              <w:szCs w:val="22"/>
            </w:rPr>
            <w:fldChar w:fldCharType="separate"/>
          </w:r>
          <w:r w:rsidR="00397EFA" w:rsidRPr="007D003C">
            <w:rPr>
              <w:rFonts w:ascii="Arial" w:hAnsi="Arial" w:cs="Arial"/>
              <w:noProof/>
              <w:sz w:val="22"/>
              <w:szCs w:val="22"/>
            </w:rPr>
            <w:t xml:space="preserve"> (CFI - Corporate Finance Institute, 2015)</w:t>
          </w:r>
          <w:r w:rsidRPr="007D003C">
            <w:rPr>
              <w:rFonts w:ascii="Arial" w:hAnsi="Arial" w:cs="Arial"/>
              <w:sz w:val="22"/>
              <w:szCs w:val="22"/>
            </w:rPr>
            <w:fldChar w:fldCharType="end"/>
          </w:r>
        </w:sdtContent>
      </w:sdt>
      <w:r w:rsidRPr="007D003C">
        <w:rPr>
          <w:rFonts w:ascii="Arial" w:hAnsi="Arial" w:cs="Arial"/>
          <w:sz w:val="22"/>
          <w:szCs w:val="22"/>
        </w:rPr>
        <w:t>.  In terms of decision making, Project A has</w:t>
      </w:r>
      <w:r w:rsidR="00300B25">
        <w:rPr>
          <w:rFonts w:ascii="Arial" w:hAnsi="Arial" w:cs="Arial"/>
          <w:sz w:val="22"/>
          <w:szCs w:val="22"/>
        </w:rPr>
        <w:t xml:space="preserve"> an</w:t>
      </w:r>
      <w:r w:rsidRPr="007D003C">
        <w:rPr>
          <w:rFonts w:ascii="Arial" w:hAnsi="Arial" w:cs="Arial"/>
          <w:sz w:val="22"/>
          <w:szCs w:val="22"/>
        </w:rPr>
        <w:t xml:space="preserve"> ARR of 11.76% which is high than</w:t>
      </w:r>
      <w:r w:rsidR="008B6C66" w:rsidRPr="007D003C">
        <w:rPr>
          <w:rFonts w:ascii="Arial" w:hAnsi="Arial" w:cs="Arial"/>
          <w:sz w:val="22"/>
          <w:szCs w:val="22"/>
        </w:rPr>
        <w:t xml:space="preserve"> </w:t>
      </w:r>
      <w:r w:rsidRPr="007D003C">
        <w:rPr>
          <w:rFonts w:ascii="Arial" w:hAnsi="Arial" w:cs="Arial"/>
          <w:sz w:val="22"/>
          <w:szCs w:val="22"/>
        </w:rPr>
        <w:t xml:space="preserve">Project B 11.11%.  “The higher the ARR, the more profitable the company will become”, </w:t>
      </w:r>
      <w:r w:rsidR="00AE7020" w:rsidRPr="007D003C">
        <w:rPr>
          <w:rFonts w:ascii="Arial" w:hAnsi="Arial" w:cs="Arial"/>
          <w:sz w:val="22"/>
          <w:szCs w:val="22"/>
        </w:rPr>
        <w:t>therefore</w:t>
      </w:r>
      <w:r w:rsidRPr="007D003C">
        <w:rPr>
          <w:rFonts w:ascii="Arial" w:hAnsi="Arial" w:cs="Arial"/>
          <w:sz w:val="22"/>
          <w:szCs w:val="22"/>
        </w:rPr>
        <w:t xml:space="preserve"> the project A is more acceptable than </w:t>
      </w:r>
      <w:r w:rsidR="008B6C66" w:rsidRPr="007D003C">
        <w:rPr>
          <w:rFonts w:ascii="Arial" w:hAnsi="Arial" w:cs="Arial"/>
          <w:sz w:val="22"/>
          <w:szCs w:val="22"/>
        </w:rPr>
        <w:t xml:space="preserve">the </w:t>
      </w:r>
      <w:r w:rsidRPr="007D003C">
        <w:rPr>
          <w:rFonts w:ascii="Arial" w:hAnsi="Arial" w:cs="Arial"/>
          <w:sz w:val="22"/>
          <w:szCs w:val="22"/>
        </w:rPr>
        <w:t>project B</w:t>
      </w:r>
      <w:r w:rsidR="000F0523" w:rsidRPr="007D003C">
        <w:rPr>
          <w:rFonts w:ascii="Arial" w:hAnsi="Arial" w:cs="Arial"/>
          <w:sz w:val="22"/>
          <w:szCs w:val="22"/>
        </w:rPr>
        <w:t xml:space="preserve"> (Table C2)</w:t>
      </w:r>
      <w:r w:rsidR="00611E2B" w:rsidRPr="007D003C">
        <w:rPr>
          <w:rFonts w:ascii="Arial" w:hAnsi="Arial" w:cs="Arial"/>
          <w:sz w:val="22"/>
          <w:szCs w:val="22"/>
        </w:rPr>
        <w:t xml:space="preserve"> (Weetman, 2013</w:t>
      </w:r>
    </w:p>
    <w:p w14:paraId="01F809A4" w14:textId="62400F0A" w:rsidR="000F0523" w:rsidRPr="007D003C" w:rsidRDefault="000F0523" w:rsidP="00525F82">
      <w:pPr>
        <w:jc w:val="both"/>
        <w:rPr>
          <w:rFonts w:ascii="Arial" w:hAnsi="Arial" w:cs="Arial"/>
          <w:i/>
          <w:iCs/>
          <w:sz w:val="22"/>
          <w:szCs w:val="22"/>
        </w:rPr>
      </w:pPr>
      <w:r w:rsidRPr="007D003C">
        <w:rPr>
          <w:rFonts w:ascii="Arial" w:hAnsi="Arial" w:cs="Arial"/>
          <w:i/>
          <w:iCs/>
          <w:sz w:val="22"/>
          <w:szCs w:val="22"/>
        </w:rPr>
        <w:t>Table C2</w:t>
      </w:r>
      <w:r w:rsidR="001134EF">
        <w:rPr>
          <w:rFonts w:ascii="Arial" w:hAnsi="Arial" w:cs="Arial"/>
          <w:i/>
          <w:iCs/>
          <w:sz w:val="22"/>
          <w:szCs w:val="22"/>
        </w:rPr>
        <w:t xml:space="preserve"> Calculation of ARR</w:t>
      </w:r>
    </w:p>
    <w:p w14:paraId="4F5BE47D" w14:textId="77777777" w:rsidR="001134EF" w:rsidRDefault="000F0523" w:rsidP="00EE188A">
      <w:pPr>
        <w:jc w:val="both"/>
        <w:rPr>
          <w:rFonts w:ascii="Arial" w:hAnsi="Arial" w:cs="Arial"/>
          <w:i/>
          <w:iCs/>
          <w:sz w:val="22"/>
          <w:szCs w:val="22"/>
        </w:rPr>
      </w:pPr>
      <w:r w:rsidRPr="007D003C">
        <w:rPr>
          <w:rFonts w:ascii="Arial" w:hAnsi="Arial" w:cs="Arial"/>
          <w:noProof/>
          <w:sz w:val="22"/>
          <w:szCs w:val="22"/>
        </w:rPr>
        <w:drawing>
          <wp:inline distT="0" distB="0" distL="0" distR="0" wp14:anchorId="0496C515" wp14:editId="7E3D75DE">
            <wp:extent cx="5817808" cy="351489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819736" cy="3516056"/>
                    </a:xfrm>
                    <a:prstGeom prst="rect">
                      <a:avLst/>
                    </a:prstGeom>
                    <a:noFill/>
                    <a:ln>
                      <a:noFill/>
                    </a:ln>
                  </pic:spPr>
                </pic:pic>
              </a:graphicData>
            </a:graphic>
          </wp:inline>
        </w:drawing>
      </w:r>
    </w:p>
    <w:p w14:paraId="4C1C30C2" w14:textId="2B2E2DF3" w:rsidR="001134EF" w:rsidRPr="007D003C" w:rsidRDefault="001134EF" w:rsidP="001134EF">
      <w:pPr>
        <w:jc w:val="both"/>
        <w:rPr>
          <w:rFonts w:ascii="Arial" w:hAnsi="Arial" w:cs="Arial"/>
          <w:sz w:val="22"/>
          <w:szCs w:val="22"/>
        </w:rPr>
      </w:pPr>
      <w:r w:rsidRPr="007D003C">
        <w:rPr>
          <w:rFonts w:ascii="Arial" w:hAnsi="Arial" w:cs="Arial"/>
          <w:sz w:val="22"/>
          <w:szCs w:val="22"/>
        </w:rPr>
        <w:t xml:space="preserve">NET PRESENT VALUE method of capital investment appraisal “considers all cash flows over the life of the project and makes allowances for the time value of money” </w:t>
      </w:r>
      <w:sdt>
        <w:sdtPr>
          <w:rPr>
            <w:rFonts w:ascii="Arial" w:hAnsi="Arial" w:cs="Arial"/>
            <w:sz w:val="22"/>
            <w:szCs w:val="22"/>
          </w:rPr>
          <w:id w:val="-210503303"/>
          <w:citation/>
        </w:sdtPr>
        <w:sdtEndPr/>
        <w:sdtContent>
          <w:r w:rsidRPr="007D003C">
            <w:rPr>
              <w:rFonts w:ascii="Arial" w:hAnsi="Arial" w:cs="Arial"/>
              <w:sz w:val="22"/>
              <w:szCs w:val="22"/>
            </w:rPr>
            <w:fldChar w:fldCharType="begin"/>
          </w:r>
          <w:r w:rsidRPr="007D003C">
            <w:rPr>
              <w:rFonts w:ascii="Arial" w:hAnsi="Arial" w:cs="Arial"/>
              <w:sz w:val="22"/>
              <w:szCs w:val="22"/>
            </w:rPr>
            <w:instrText xml:space="preserve"> CITATION Wee13 \l 2057 </w:instrText>
          </w:r>
          <w:r w:rsidRPr="007D003C">
            <w:rPr>
              <w:rFonts w:ascii="Arial" w:hAnsi="Arial" w:cs="Arial"/>
              <w:sz w:val="22"/>
              <w:szCs w:val="22"/>
            </w:rPr>
            <w:fldChar w:fldCharType="separate"/>
          </w:r>
          <w:r w:rsidRPr="007D003C">
            <w:rPr>
              <w:rFonts w:ascii="Arial" w:hAnsi="Arial" w:cs="Arial"/>
              <w:sz w:val="22"/>
              <w:szCs w:val="22"/>
            </w:rPr>
            <w:t xml:space="preserve"> (Weetman, 2013)</w:t>
          </w:r>
          <w:r w:rsidRPr="007D003C">
            <w:rPr>
              <w:rFonts w:ascii="Arial" w:hAnsi="Arial" w:cs="Arial"/>
              <w:sz w:val="22"/>
              <w:szCs w:val="22"/>
            </w:rPr>
            <w:fldChar w:fldCharType="end"/>
          </w:r>
        </w:sdtContent>
      </w:sdt>
      <w:r w:rsidRPr="007D003C">
        <w:rPr>
          <w:rFonts w:ascii="Arial" w:hAnsi="Arial" w:cs="Arial"/>
          <w:sz w:val="22"/>
          <w:szCs w:val="22"/>
        </w:rPr>
        <w:t>.  “Net present value pursues to obtain the total value of a potential investment opportunity”. The concept behind it - is to project all the future cash inflows and outflows related with a venture capital, discount all those future cash</w:t>
      </w:r>
      <w:r w:rsidR="00300B25">
        <w:rPr>
          <w:rFonts w:ascii="Arial" w:hAnsi="Arial" w:cs="Arial"/>
          <w:sz w:val="22"/>
          <w:szCs w:val="22"/>
        </w:rPr>
        <w:t xml:space="preserve"> </w:t>
      </w:r>
      <w:r w:rsidRPr="007D003C">
        <w:rPr>
          <w:rFonts w:ascii="Arial" w:hAnsi="Arial" w:cs="Arial"/>
          <w:sz w:val="22"/>
          <w:szCs w:val="22"/>
        </w:rPr>
        <w:t>flows to the present day, and then add them together”</w:t>
      </w:r>
      <w:sdt>
        <w:sdtPr>
          <w:rPr>
            <w:rFonts w:ascii="Arial" w:hAnsi="Arial" w:cs="Arial"/>
            <w:sz w:val="22"/>
            <w:szCs w:val="22"/>
          </w:rPr>
          <w:id w:val="1267190400"/>
          <w:citation/>
        </w:sdtPr>
        <w:sdtEndPr/>
        <w:sdtContent>
          <w:r w:rsidRPr="007D003C">
            <w:rPr>
              <w:rFonts w:ascii="Arial" w:hAnsi="Arial" w:cs="Arial"/>
              <w:sz w:val="22"/>
              <w:szCs w:val="22"/>
            </w:rPr>
            <w:fldChar w:fldCharType="begin"/>
          </w:r>
          <w:r w:rsidRPr="007D003C">
            <w:rPr>
              <w:rFonts w:ascii="Arial" w:hAnsi="Arial" w:cs="Arial"/>
              <w:sz w:val="22"/>
              <w:szCs w:val="22"/>
            </w:rPr>
            <w:instrText xml:space="preserve"> CITATION Fer20 \l 2057 </w:instrText>
          </w:r>
          <w:r w:rsidRPr="007D003C">
            <w:rPr>
              <w:rFonts w:ascii="Arial" w:hAnsi="Arial" w:cs="Arial"/>
              <w:sz w:val="22"/>
              <w:szCs w:val="22"/>
            </w:rPr>
            <w:fldChar w:fldCharType="separate"/>
          </w:r>
          <w:r w:rsidRPr="007D003C">
            <w:rPr>
              <w:rFonts w:ascii="Arial" w:hAnsi="Arial" w:cs="Arial"/>
              <w:noProof/>
              <w:sz w:val="22"/>
              <w:szCs w:val="22"/>
            </w:rPr>
            <w:t xml:space="preserve"> (Fernando, 2020)</w:t>
          </w:r>
          <w:r w:rsidRPr="007D003C">
            <w:rPr>
              <w:rFonts w:ascii="Arial" w:hAnsi="Arial" w:cs="Arial"/>
              <w:sz w:val="22"/>
              <w:szCs w:val="22"/>
            </w:rPr>
            <w:fldChar w:fldCharType="end"/>
          </w:r>
        </w:sdtContent>
      </w:sdt>
      <w:r w:rsidRPr="007D003C">
        <w:rPr>
          <w:rFonts w:ascii="Arial" w:hAnsi="Arial" w:cs="Arial"/>
          <w:sz w:val="22"/>
          <w:szCs w:val="22"/>
        </w:rPr>
        <w:t xml:space="preserve">.  “The overall figure after counting all the positive and negative cashflows collectively is the </w:t>
      </w:r>
      <w:r w:rsidRPr="007D003C">
        <w:rPr>
          <w:rFonts w:ascii="Arial" w:hAnsi="Arial" w:cs="Arial"/>
          <w:i/>
          <w:iCs/>
          <w:sz w:val="22"/>
          <w:szCs w:val="22"/>
        </w:rPr>
        <w:t>investment’s NPV”</w:t>
      </w:r>
      <w:r w:rsidRPr="007D003C">
        <w:rPr>
          <w:rFonts w:ascii="Arial" w:hAnsi="Arial" w:cs="Arial"/>
          <w:sz w:val="22"/>
          <w:szCs w:val="22"/>
        </w:rPr>
        <w:t>. A positive NPV indicates that, after accounting for the time value of money, the investment will be profitable if the project to go ahead</w:t>
      </w:r>
      <w:sdt>
        <w:sdtPr>
          <w:rPr>
            <w:rFonts w:ascii="Arial" w:hAnsi="Arial" w:cs="Arial"/>
            <w:sz w:val="22"/>
            <w:szCs w:val="22"/>
          </w:rPr>
          <w:id w:val="-398066359"/>
          <w:citation/>
        </w:sdtPr>
        <w:sdtEndPr/>
        <w:sdtContent>
          <w:r w:rsidRPr="007D003C">
            <w:rPr>
              <w:rFonts w:ascii="Arial" w:hAnsi="Arial" w:cs="Arial"/>
              <w:sz w:val="22"/>
              <w:szCs w:val="22"/>
            </w:rPr>
            <w:fldChar w:fldCharType="begin"/>
          </w:r>
          <w:r w:rsidRPr="007D003C">
            <w:rPr>
              <w:rFonts w:ascii="Arial" w:hAnsi="Arial" w:cs="Arial"/>
              <w:sz w:val="22"/>
              <w:szCs w:val="22"/>
            </w:rPr>
            <w:instrText xml:space="preserve"> CITATION Fer20 \l 2057 </w:instrText>
          </w:r>
          <w:r w:rsidRPr="007D003C">
            <w:rPr>
              <w:rFonts w:ascii="Arial" w:hAnsi="Arial" w:cs="Arial"/>
              <w:sz w:val="22"/>
              <w:szCs w:val="22"/>
            </w:rPr>
            <w:fldChar w:fldCharType="separate"/>
          </w:r>
          <w:r w:rsidRPr="007D003C">
            <w:rPr>
              <w:rFonts w:ascii="Arial" w:hAnsi="Arial" w:cs="Arial"/>
              <w:sz w:val="22"/>
              <w:szCs w:val="22"/>
            </w:rPr>
            <w:t xml:space="preserve"> (Fernando, 2020)</w:t>
          </w:r>
          <w:r w:rsidRPr="007D003C">
            <w:rPr>
              <w:rFonts w:ascii="Arial" w:hAnsi="Arial" w:cs="Arial"/>
              <w:sz w:val="22"/>
              <w:szCs w:val="22"/>
            </w:rPr>
            <w:fldChar w:fldCharType="end"/>
          </w:r>
        </w:sdtContent>
      </w:sdt>
      <w:r w:rsidRPr="007D003C">
        <w:rPr>
          <w:rFonts w:ascii="Arial" w:hAnsi="Arial" w:cs="Arial"/>
          <w:sz w:val="22"/>
          <w:szCs w:val="22"/>
        </w:rPr>
        <w:t>.  Both projects NPVs have positive figures, hence both ventures exceed the cost of capital and can be accepted for the investment.  However, since project B NPV (£9.964M) is higher tha</w:t>
      </w:r>
      <w:r w:rsidR="00300B25">
        <w:rPr>
          <w:rFonts w:ascii="Arial" w:hAnsi="Arial" w:cs="Arial"/>
          <w:sz w:val="22"/>
          <w:szCs w:val="22"/>
        </w:rPr>
        <w:t>n</w:t>
      </w:r>
      <w:r w:rsidRPr="007D003C">
        <w:rPr>
          <w:rFonts w:ascii="Arial" w:hAnsi="Arial" w:cs="Arial"/>
          <w:sz w:val="22"/>
          <w:szCs w:val="22"/>
        </w:rPr>
        <w:t xml:space="preserve"> project A NPV(£6.9615M) it would be appropriate to accept project B as a capital venture</w:t>
      </w:r>
      <w:r>
        <w:rPr>
          <w:rFonts w:ascii="Arial" w:hAnsi="Arial" w:cs="Arial"/>
          <w:sz w:val="22"/>
          <w:szCs w:val="22"/>
        </w:rPr>
        <w:t xml:space="preserve"> (Table C3).</w:t>
      </w:r>
    </w:p>
    <w:p w14:paraId="6AED8DFA" w14:textId="77777777" w:rsidR="001134EF" w:rsidRDefault="001134EF" w:rsidP="00EE188A">
      <w:pPr>
        <w:jc w:val="both"/>
        <w:rPr>
          <w:rFonts w:ascii="Arial" w:hAnsi="Arial" w:cs="Arial"/>
          <w:i/>
          <w:iCs/>
          <w:sz w:val="22"/>
          <w:szCs w:val="22"/>
        </w:rPr>
      </w:pPr>
    </w:p>
    <w:p w14:paraId="3F06449E" w14:textId="31CD2AF1" w:rsidR="00AE7020" w:rsidRPr="001134EF" w:rsidRDefault="000F0523" w:rsidP="00EE188A">
      <w:pPr>
        <w:jc w:val="both"/>
        <w:rPr>
          <w:rFonts w:ascii="Arial" w:hAnsi="Arial" w:cs="Arial"/>
          <w:sz w:val="22"/>
          <w:szCs w:val="22"/>
        </w:rPr>
      </w:pPr>
      <w:r w:rsidRPr="007D003C">
        <w:rPr>
          <w:rFonts w:ascii="Arial" w:hAnsi="Arial" w:cs="Arial"/>
          <w:i/>
          <w:iCs/>
          <w:sz w:val="22"/>
          <w:szCs w:val="22"/>
        </w:rPr>
        <w:t>Table C3</w:t>
      </w:r>
      <w:r w:rsidR="001134EF">
        <w:rPr>
          <w:rFonts w:ascii="Arial" w:hAnsi="Arial" w:cs="Arial"/>
          <w:i/>
          <w:iCs/>
          <w:sz w:val="22"/>
          <w:szCs w:val="22"/>
        </w:rPr>
        <w:t xml:space="preserve"> Calculation of Net Present Value</w:t>
      </w:r>
    </w:p>
    <w:p w14:paraId="125BAF09" w14:textId="42468635" w:rsidR="00AE7020" w:rsidRPr="007D003C" w:rsidRDefault="00AE7020" w:rsidP="005A4268">
      <w:pPr>
        <w:rPr>
          <w:rFonts w:ascii="Arial" w:hAnsi="Arial" w:cs="Arial"/>
          <w:sz w:val="22"/>
          <w:szCs w:val="22"/>
        </w:rPr>
      </w:pPr>
      <w:r w:rsidRPr="007D003C">
        <w:rPr>
          <w:rFonts w:ascii="Arial" w:hAnsi="Arial" w:cs="Arial"/>
          <w:noProof/>
          <w:sz w:val="22"/>
          <w:szCs w:val="22"/>
        </w:rPr>
        <w:drawing>
          <wp:inline distT="0" distB="0" distL="0" distR="0" wp14:anchorId="7DE0FC61" wp14:editId="59A5C0EE">
            <wp:extent cx="6035061" cy="3631173"/>
            <wp:effectExtent l="0" t="0" r="381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38282" cy="3633111"/>
                    </a:xfrm>
                    <a:prstGeom prst="rect">
                      <a:avLst/>
                    </a:prstGeom>
                    <a:noFill/>
                    <a:ln>
                      <a:noFill/>
                    </a:ln>
                  </pic:spPr>
                </pic:pic>
              </a:graphicData>
            </a:graphic>
          </wp:inline>
        </w:drawing>
      </w:r>
    </w:p>
    <w:p w14:paraId="26977C8B" w14:textId="77777777" w:rsidR="00EE188A" w:rsidRPr="007D003C" w:rsidRDefault="00EE188A" w:rsidP="005A4268">
      <w:pPr>
        <w:rPr>
          <w:rFonts w:ascii="Arial" w:hAnsi="Arial" w:cs="Arial"/>
          <w:sz w:val="22"/>
          <w:szCs w:val="22"/>
        </w:rPr>
      </w:pPr>
    </w:p>
    <w:p w14:paraId="369A2F3F" w14:textId="0A22DFC4" w:rsidR="000F14EF" w:rsidRPr="007D003C" w:rsidRDefault="00AE7020" w:rsidP="005A4268">
      <w:pPr>
        <w:rPr>
          <w:rFonts w:ascii="Arial" w:hAnsi="Arial" w:cs="Arial"/>
          <w:b/>
          <w:bCs/>
          <w:sz w:val="22"/>
          <w:szCs w:val="22"/>
        </w:rPr>
      </w:pPr>
      <w:r w:rsidRPr="007D003C">
        <w:rPr>
          <w:rFonts w:ascii="Arial" w:hAnsi="Arial" w:cs="Arial"/>
          <w:b/>
          <w:bCs/>
          <w:sz w:val="22"/>
          <w:szCs w:val="22"/>
        </w:rPr>
        <w:t xml:space="preserve">Evaluation of results </w:t>
      </w:r>
      <w:r w:rsidR="006F40BA" w:rsidRPr="007D003C">
        <w:rPr>
          <w:rFonts w:ascii="Arial" w:hAnsi="Arial" w:cs="Arial"/>
          <w:b/>
          <w:bCs/>
          <w:sz w:val="22"/>
          <w:szCs w:val="22"/>
        </w:rPr>
        <w:t xml:space="preserve">and </w:t>
      </w:r>
      <w:r w:rsidR="002D38B4" w:rsidRPr="007D003C">
        <w:rPr>
          <w:rFonts w:ascii="Arial" w:hAnsi="Arial" w:cs="Arial"/>
          <w:b/>
          <w:bCs/>
          <w:sz w:val="22"/>
          <w:szCs w:val="22"/>
        </w:rPr>
        <w:t xml:space="preserve">Project </w:t>
      </w:r>
      <w:r w:rsidR="000F14EF" w:rsidRPr="007D003C">
        <w:rPr>
          <w:rFonts w:ascii="Arial" w:hAnsi="Arial" w:cs="Arial"/>
          <w:b/>
          <w:bCs/>
          <w:sz w:val="22"/>
          <w:szCs w:val="22"/>
        </w:rPr>
        <w:t>Recommendation</w:t>
      </w:r>
      <w:r w:rsidRPr="007D003C">
        <w:rPr>
          <w:rFonts w:ascii="Arial" w:hAnsi="Arial" w:cs="Arial"/>
          <w:b/>
          <w:bCs/>
          <w:sz w:val="22"/>
          <w:szCs w:val="22"/>
        </w:rPr>
        <w:t xml:space="preserve"> </w:t>
      </w:r>
    </w:p>
    <w:p w14:paraId="7C45D7ED" w14:textId="372FD8A3" w:rsidR="0014007B" w:rsidRPr="007D003C" w:rsidRDefault="000F14EF" w:rsidP="00AD5FAA">
      <w:pPr>
        <w:jc w:val="both"/>
        <w:rPr>
          <w:rFonts w:ascii="Arial" w:hAnsi="Arial" w:cs="Arial"/>
          <w:sz w:val="22"/>
          <w:szCs w:val="22"/>
        </w:rPr>
      </w:pPr>
      <w:r w:rsidRPr="007D003C">
        <w:rPr>
          <w:rFonts w:ascii="Arial" w:hAnsi="Arial" w:cs="Arial"/>
          <w:sz w:val="22"/>
          <w:szCs w:val="22"/>
        </w:rPr>
        <w:t>The cash recovery from the investment is one of the main measures of success of</w:t>
      </w:r>
      <w:r w:rsidR="00300B25">
        <w:rPr>
          <w:rFonts w:ascii="Arial" w:hAnsi="Arial" w:cs="Arial"/>
          <w:sz w:val="22"/>
          <w:szCs w:val="22"/>
        </w:rPr>
        <w:t xml:space="preserve"> a</w:t>
      </w:r>
      <w:r w:rsidRPr="007D003C">
        <w:rPr>
          <w:rFonts w:ascii="Arial" w:hAnsi="Arial" w:cs="Arial"/>
          <w:sz w:val="22"/>
          <w:szCs w:val="22"/>
        </w:rPr>
        <w:t xml:space="preserve"> capital project.  The project B is recovering cash from</w:t>
      </w:r>
      <w:r w:rsidR="0076611D" w:rsidRPr="007D003C">
        <w:rPr>
          <w:rFonts w:ascii="Arial" w:hAnsi="Arial" w:cs="Arial"/>
          <w:sz w:val="22"/>
          <w:szCs w:val="22"/>
        </w:rPr>
        <w:t xml:space="preserve"> the</w:t>
      </w:r>
      <w:r w:rsidRPr="007D003C">
        <w:rPr>
          <w:rFonts w:ascii="Arial" w:hAnsi="Arial" w:cs="Arial"/>
          <w:sz w:val="22"/>
          <w:szCs w:val="22"/>
        </w:rPr>
        <w:t xml:space="preserve"> investment faster, thus</w:t>
      </w:r>
      <w:r w:rsidR="008B6C66" w:rsidRPr="007D003C">
        <w:rPr>
          <w:rFonts w:ascii="Arial" w:hAnsi="Arial" w:cs="Arial"/>
          <w:sz w:val="22"/>
          <w:szCs w:val="22"/>
        </w:rPr>
        <w:t xml:space="preserve"> </w:t>
      </w:r>
      <w:r w:rsidRPr="007D003C">
        <w:rPr>
          <w:rFonts w:ascii="Arial" w:hAnsi="Arial" w:cs="Arial"/>
          <w:sz w:val="22"/>
          <w:szCs w:val="22"/>
        </w:rPr>
        <w:t xml:space="preserve">Project B is the preferred choice to invest, Project A looks less attractive to finance, as it takes longer </w:t>
      </w:r>
      <w:r w:rsidR="0076611D" w:rsidRPr="007D003C">
        <w:rPr>
          <w:rFonts w:ascii="Arial" w:hAnsi="Arial" w:cs="Arial"/>
          <w:sz w:val="22"/>
          <w:szCs w:val="22"/>
        </w:rPr>
        <w:t xml:space="preserve">to recover the </w:t>
      </w:r>
      <w:r w:rsidR="00364A89" w:rsidRPr="007D003C">
        <w:rPr>
          <w:rFonts w:ascii="Arial" w:hAnsi="Arial" w:cs="Arial"/>
          <w:sz w:val="22"/>
          <w:szCs w:val="22"/>
        </w:rPr>
        <w:t>cash flow return</w:t>
      </w:r>
      <w:r w:rsidR="0076611D" w:rsidRPr="007D003C">
        <w:rPr>
          <w:rFonts w:ascii="Arial" w:hAnsi="Arial" w:cs="Arial"/>
          <w:sz w:val="22"/>
          <w:szCs w:val="22"/>
        </w:rPr>
        <w:t>.</w:t>
      </w:r>
      <w:r w:rsidR="00364A89" w:rsidRPr="007D003C">
        <w:rPr>
          <w:rFonts w:ascii="Arial" w:hAnsi="Arial" w:cs="Arial"/>
          <w:sz w:val="22"/>
          <w:szCs w:val="22"/>
        </w:rPr>
        <w:t xml:space="preserve"> </w:t>
      </w:r>
      <w:r w:rsidR="00AD5FAA" w:rsidRPr="007D003C">
        <w:rPr>
          <w:rFonts w:ascii="Arial" w:hAnsi="Arial" w:cs="Arial"/>
          <w:sz w:val="22"/>
          <w:szCs w:val="22"/>
        </w:rPr>
        <w:t>The</w:t>
      </w:r>
      <w:r w:rsidR="00364A89" w:rsidRPr="007D003C">
        <w:rPr>
          <w:rFonts w:ascii="Arial" w:hAnsi="Arial" w:cs="Arial"/>
          <w:sz w:val="22"/>
          <w:szCs w:val="22"/>
        </w:rPr>
        <w:t xml:space="preserve"> PBP assumes certainty about the cash flows predictions, again the total predicted inflow from  project B (£130M) is greater than from project A (£125M)</w:t>
      </w:r>
      <w:r w:rsidR="00AD5FAA" w:rsidRPr="007D003C">
        <w:rPr>
          <w:rFonts w:ascii="Arial" w:hAnsi="Arial" w:cs="Arial"/>
          <w:sz w:val="22"/>
          <w:szCs w:val="22"/>
        </w:rPr>
        <w:t>, however</w:t>
      </w:r>
      <w:r w:rsidR="00300B25">
        <w:rPr>
          <w:rFonts w:ascii="Arial" w:hAnsi="Arial" w:cs="Arial"/>
          <w:sz w:val="22"/>
          <w:szCs w:val="22"/>
        </w:rPr>
        <w:t>,</w:t>
      </w:r>
      <w:r w:rsidR="00AD5FAA" w:rsidRPr="007D003C">
        <w:rPr>
          <w:rFonts w:ascii="Arial" w:hAnsi="Arial" w:cs="Arial"/>
          <w:sz w:val="22"/>
          <w:szCs w:val="22"/>
        </w:rPr>
        <w:t xml:space="preserve"> the method does not consider commercial risks and the cost of finance (if borrowed).  The cash flows earned from both projects are sufficient to repay the capital amount invested, but the projects must be able to provide rewards to the investors</w:t>
      </w:r>
      <w:r w:rsidR="00946C52" w:rsidRPr="007D003C">
        <w:rPr>
          <w:rFonts w:ascii="Arial" w:hAnsi="Arial" w:cs="Arial"/>
          <w:sz w:val="22"/>
          <w:szCs w:val="22"/>
        </w:rPr>
        <w:t xml:space="preserve"> too</w:t>
      </w:r>
      <w:r w:rsidR="00AD5FAA" w:rsidRPr="007D003C">
        <w:rPr>
          <w:rFonts w:ascii="Arial" w:hAnsi="Arial" w:cs="Arial"/>
          <w:sz w:val="22"/>
          <w:szCs w:val="22"/>
        </w:rPr>
        <w:t xml:space="preserve">.  </w:t>
      </w:r>
      <w:r w:rsidR="0076611D" w:rsidRPr="007D003C">
        <w:rPr>
          <w:rFonts w:ascii="Arial" w:hAnsi="Arial" w:cs="Arial"/>
          <w:sz w:val="22"/>
          <w:szCs w:val="22"/>
        </w:rPr>
        <w:t>The Project’s A ARR is equal to 11.76</w:t>
      </w:r>
      <w:r w:rsidR="00DB53DF" w:rsidRPr="007D003C">
        <w:rPr>
          <w:rFonts w:ascii="Arial" w:hAnsi="Arial" w:cs="Arial"/>
          <w:sz w:val="22"/>
          <w:szCs w:val="22"/>
        </w:rPr>
        <w:t>%</w:t>
      </w:r>
      <w:r w:rsidR="0076611D" w:rsidRPr="007D003C">
        <w:rPr>
          <w:rFonts w:ascii="Arial" w:hAnsi="Arial" w:cs="Arial"/>
          <w:sz w:val="22"/>
          <w:szCs w:val="22"/>
        </w:rPr>
        <w:t xml:space="preserve">, </w:t>
      </w:r>
      <w:r w:rsidR="00300B25">
        <w:rPr>
          <w:rFonts w:ascii="Arial" w:hAnsi="Arial" w:cs="Arial"/>
          <w:sz w:val="22"/>
          <w:szCs w:val="22"/>
        </w:rPr>
        <w:t>which</w:t>
      </w:r>
      <w:r w:rsidR="0076611D" w:rsidRPr="007D003C">
        <w:rPr>
          <w:rFonts w:ascii="Arial" w:hAnsi="Arial" w:cs="Arial"/>
          <w:sz w:val="22"/>
          <w:szCs w:val="22"/>
        </w:rPr>
        <w:t xml:space="preserve"> means that the project is expected to earn 11.76 pence for every pound invested per year</w:t>
      </w:r>
      <w:r w:rsidR="00DB53DF" w:rsidRPr="007D003C">
        <w:rPr>
          <w:rFonts w:ascii="Arial" w:hAnsi="Arial" w:cs="Arial"/>
          <w:sz w:val="22"/>
          <w:szCs w:val="22"/>
        </w:rPr>
        <w:t>, where the Project B ARR is equal to 11.11 pence reward for one pound invested in the project</w:t>
      </w:r>
      <w:r w:rsidR="00E03E1A" w:rsidRPr="007D003C">
        <w:rPr>
          <w:rFonts w:ascii="Arial" w:hAnsi="Arial" w:cs="Arial"/>
          <w:sz w:val="22"/>
          <w:szCs w:val="22"/>
        </w:rPr>
        <w:t xml:space="preserve"> (which is less than A)</w:t>
      </w:r>
      <w:r w:rsidR="00DB53DF" w:rsidRPr="007D003C">
        <w:rPr>
          <w:rFonts w:ascii="Arial" w:hAnsi="Arial" w:cs="Arial"/>
          <w:sz w:val="22"/>
          <w:szCs w:val="22"/>
        </w:rPr>
        <w:t xml:space="preserve">.  The analysis of ARR suggests that project A will make </w:t>
      </w:r>
      <w:r w:rsidR="00E03E1A" w:rsidRPr="007D003C">
        <w:rPr>
          <w:rFonts w:ascii="Arial" w:hAnsi="Arial" w:cs="Arial"/>
          <w:sz w:val="22"/>
          <w:szCs w:val="22"/>
        </w:rPr>
        <w:t>a greater return</w:t>
      </w:r>
      <w:r w:rsidR="00DB53DF" w:rsidRPr="007D003C">
        <w:rPr>
          <w:rFonts w:ascii="Arial" w:hAnsi="Arial" w:cs="Arial"/>
          <w:sz w:val="22"/>
          <w:szCs w:val="22"/>
        </w:rPr>
        <w:t xml:space="preserve"> </w:t>
      </w:r>
      <w:r w:rsidR="00E03E1A" w:rsidRPr="007D003C">
        <w:rPr>
          <w:rFonts w:ascii="Arial" w:hAnsi="Arial" w:cs="Arial"/>
          <w:sz w:val="22"/>
          <w:szCs w:val="22"/>
        </w:rPr>
        <w:t>than B over</w:t>
      </w:r>
      <w:r w:rsidR="00DB53DF" w:rsidRPr="007D003C">
        <w:rPr>
          <w:rFonts w:ascii="Arial" w:hAnsi="Arial" w:cs="Arial"/>
          <w:sz w:val="22"/>
          <w:szCs w:val="22"/>
        </w:rPr>
        <w:t xml:space="preserve"> the project life</w:t>
      </w:r>
      <w:r w:rsidR="00E03E1A" w:rsidRPr="007D003C">
        <w:rPr>
          <w:rFonts w:ascii="Arial" w:hAnsi="Arial" w:cs="Arial"/>
          <w:sz w:val="22"/>
          <w:szCs w:val="22"/>
        </w:rPr>
        <w:t>.  In contrast, The BPB method used to identify the payment back term ignored the cash received beyond the payback repayment term</w:t>
      </w:r>
      <w:r w:rsidR="00924D60" w:rsidRPr="007D003C">
        <w:rPr>
          <w:rFonts w:ascii="Arial" w:hAnsi="Arial" w:cs="Arial"/>
          <w:sz w:val="22"/>
          <w:szCs w:val="22"/>
        </w:rPr>
        <w:t>, therefore do</w:t>
      </w:r>
      <w:r w:rsidR="00300B25">
        <w:rPr>
          <w:rFonts w:ascii="Arial" w:hAnsi="Arial" w:cs="Arial"/>
          <w:sz w:val="22"/>
          <w:szCs w:val="22"/>
        </w:rPr>
        <w:t>es</w:t>
      </w:r>
      <w:r w:rsidR="00924D60" w:rsidRPr="007D003C">
        <w:rPr>
          <w:rFonts w:ascii="Arial" w:hAnsi="Arial" w:cs="Arial"/>
          <w:sz w:val="22"/>
          <w:szCs w:val="22"/>
        </w:rPr>
        <w:t xml:space="preserve"> not account for the long-term profitability</w:t>
      </w:r>
      <w:r w:rsidR="00E03E1A" w:rsidRPr="007D003C">
        <w:rPr>
          <w:rFonts w:ascii="Arial" w:hAnsi="Arial" w:cs="Arial"/>
          <w:sz w:val="22"/>
          <w:szCs w:val="22"/>
        </w:rPr>
        <w:t xml:space="preserve">.   Although the Project A payback period is longer, than Project B, the amount of the return received over project A life is greater than that of Project B.  </w:t>
      </w:r>
      <w:r w:rsidR="00946C52" w:rsidRPr="007D003C">
        <w:rPr>
          <w:rFonts w:ascii="Arial" w:hAnsi="Arial" w:cs="Arial"/>
          <w:sz w:val="22"/>
          <w:szCs w:val="22"/>
        </w:rPr>
        <w:t>I</w:t>
      </w:r>
      <w:r w:rsidR="00E03E1A" w:rsidRPr="007D003C">
        <w:rPr>
          <w:rFonts w:ascii="Arial" w:hAnsi="Arial" w:cs="Arial"/>
          <w:sz w:val="22"/>
          <w:szCs w:val="22"/>
        </w:rPr>
        <w:t>n accounting terms</w:t>
      </w:r>
      <w:r w:rsidR="00300B25">
        <w:rPr>
          <w:rFonts w:ascii="Arial" w:hAnsi="Arial" w:cs="Arial"/>
          <w:sz w:val="22"/>
          <w:szCs w:val="22"/>
        </w:rPr>
        <w:t>,</w:t>
      </w:r>
      <w:r w:rsidR="00E03E1A" w:rsidRPr="007D003C">
        <w:rPr>
          <w:rFonts w:ascii="Arial" w:hAnsi="Arial" w:cs="Arial"/>
          <w:sz w:val="22"/>
          <w:szCs w:val="22"/>
        </w:rPr>
        <w:t xml:space="preserve"> higher financial returns over the projected </w:t>
      </w:r>
      <w:r w:rsidR="00946C52" w:rsidRPr="007D003C">
        <w:rPr>
          <w:rFonts w:ascii="Arial" w:hAnsi="Arial" w:cs="Arial"/>
          <w:sz w:val="22"/>
          <w:szCs w:val="22"/>
        </w:rPr>
        <w:t xml:space="preserve">period of </w:t>
      </w:r>
      <w:r w:rsidR="00E03E1A" w:rsidRPr="007D003C">
        <w:rPr>
          <w:rFonts w:ascii="Arial" w:hAnsi="Arial" w:cs="Arial"/>
          <w:sz w:val="22"/>
          <w:szCs w:val="22"/>
        </w:rPr>
        <w:t>life appeal</w:t>
      </w:r>
      <w:r w:rsidR="00946C52" w:rsidRPr="007D003C">
        <w:rPr>
          <w:rFonts w:ascii="Arial" w:hAnsi="Arial" w:cs="Arial"/>
          <w:sz w:val="22"/>
          <w:szCs w:val="22"/>
        </w:rPr>
        <w:t xml:space="preserve"> more</w:t>
      </w:r>
      <w:r w:rsidR="00E03E1A" w:rsidRPr="007D003C">
        <w:rPr>
          <w:rFonts w:ascii="Arial" w:hAnsi="Arial" w:cs="Arial"/>
          <w:sz w:val="22"/>
          <w:szCs w:val="22"/>
        </w:rPr>
        <w:t xml:space="preserve"> favourably to the investors</w:t>
      </w:r>
      <w:r w:rsidR="00946C52" w:rsidRPr="007D003C">
        <w:rPr>
          <w:rFonts w:ascii="Arial" w:hAnsi="Arial" w:cs="Arial"/>
          <w:sz w:val="22"/>
          <w:szCs w:val="22"/>
        </w:rPr>
        <w:t xml:space="preserve">, than a short inburst of cash.  </w:t>
      </w:r>
      <w:r w:rsidR="00B4238F" w:rsidRPr="007D003C">
        <w:rPr>
          <w:rFonts w:ascii="Arial" w:hAnsi="Arial" w:cs="Arial"/>
          <w:sz w:val="22"/>
          <w:szCs w:val="22"/>
        </w:rPr>
        <w:t>But we cannot ignore the fact that ARR assumes</w:t>
      </w:r>
      <w:r w:rsidR="002D38B4" w:rsidRPr="007D003C">
        <w:rPr>
          <w:rFonts w:ascii="Arial" w:hAnsi="Arial" w:cs="Arial"/>
          <w:sz w:val="22"/>
          <w:szCs w:val="22"/>
        </w:rPr>
        <w:t xml:space="preserve"> </w:t>
      </w:r>
      <w:r w:rsidR="00B4238F" w:rsidRPr="007D003C">
        <w:rPr>
          <w:rFonts w:ascii="Arial" w:hAnsi="Arial" w:cs="Arial"/>
          <w:sz w:val="22"/>
          <w:szCs w:val="22"/>
        </w:rPr>
        <w:t>“accounting income in future years has the same value as accounting income in the current year” (CFI - Corporate Finance Institute, 2015).</w:t>
      </w:r>
      <w:r w:rsidR="0084159B" w:rsidRPr="007D003C">
        <w:rPr>
          <w:rFonts w:ascii="Arial" w:hAnsi="Arial" w:cs="Arial"/>
          <w:sz w:val="22"/>
          <w:szCs w:val="22"/>
        </w:rPr>
        <w:t xml:space="preserve">  Considering, the facts so far, we can suggest that</w:t>
      </w:r>
      <w:r w:rsidR="008B6C66" w:rsidRPr="007D003C">
        <w:rPr>
          <w:rFonts w:ascii="Arial" w:hAnsi="Arial" w:cs="Arial"/>
          <w:sz w:val="22"/>
          <w:szCs w:val="22"/>
        </w:rPr>
        <w:t xml:space="preserve"> P</w:t>
      </w:r>
      <w:r w:rsidR="0084159B" w:rsidRPr="007D003C">
        <w:rPr>
          <w:rFonts w:ascii="Arial" w:hAnsi="Arial" w:cs="Arial"/>
          <w:sz w:val="22"/>
          <w:szCs w:val="22"/>
        </w:rPr>
        <w:t xml:space="preserve">roject A and </w:t>
      </w:r>
      <w:r w:rsidR="008B6C66" w:rsidRPr="007D003C">
        <w:rPr>
          <w:rFonts w:ascii="Arial" w:hAnsi="Arial" w:cs="Arial"/>
          <w:sz w:val="22"/>
          <w:szCs w:val="22"/>
        </w:rPr>
        <w:t xml:space="preserve">the </w:t>
      </w:r>
      <w:r w:rsidR="0084159B" w:rsidRPr="007D003C">
        <w:rPr>
          <w:rFonts w:ascii="Arial" w:hAnsi="Arial" w:cs="Arial"/>
          <w:sz w:val="22"/>
          <w:szCs w:val="22"/>
        </w:rPr>
        <w:t>Project B opportunities are similar, hence why the NPV method of evaluation will be a deciding factor in project</w:t>
      </w:r>
      <w:r w:rsidR="00300B25">
        <w:rPr>
          <w:rFonts w:ascii="Arial" w:hAnsi="Arial" w:cs="Arial"/>
          <w:sz w:val="22"/>
          <w:szCs w:val="22"/>
        </w:rPr>
        <w:t xml:space="preserve"> </w:t>
      </w:r>
      <w:r w:rsidR="0084159B" w:rsidRPr="007D003C">
        <w:rPr>
          <w:rFonts w:ascii="Arial" w:hAnsi="Arial" w:cs="Arial"/>
          <w:sz w:val="22"/>
          <w:szCs w:val="22"/>
        </w:rPr>
        <w:t xml:space="preserve">recommendation.  </w:t>
      </w:r>
      <w:r w:rsidR="00946C52" w:rsidRPr="007D003C">
        <w:rPr>
          <w:rFonts w:ascii="Arial" w:hAnsi="Arial" w:cs="Arial"/>
          <w:sz w:val="22"/>
          <w:szCs w:val="22"/>
        </w:rPr>
        <w:t xml:space="preserve">Net Present Value is the most conventional technique of investment evaluation since </w:t>
      </w:r>
      <w:r w:rsidR="00924D60" w:rsidRPr="007D003C">
        <w:rPr>
          <w:rFonts w:ascii="Arial" w:hAnsi="Arial" w:cs="Arial"/>
          <w:sz w:val="22"/>
          <w:szCs w:val="22"/>
        </w:rPr>
        <w:t>it considers the “factors such as the investor’s cost of capital, opportunity cost, and risk tolerance through the discount rate” (Fernando, 2020).</w:t>
      </w:r>
      <w:r w:rsidR="0084159B" w:rsidRPr="007D003C">
        <w:rPr>
          <w:rFonts w:ascii="Arial" w:hAnsi="Arial" w:cs="Arial"/>
          <w:sz w:val="22"/>
          <w:szCs w:val="22"/>
        </w:rPr>
        <w:t xml:space="preserve">  Additionally, it “accounts for the time value of money and can be used to compare investment alternatives that are similar” (Fernando, 2020).</w:t>
      </w:r>
      <w:r w:rsidR="00924D60" w:rsidRPr="007D003C">
        <w:rPr>
          <w:rFonts w:ascii="Arial" w:hAnsi="Arial" w:cs="Arial"/>
          <w:sz w:val="22"/>
          <w:szCs w:val="22"/>
        </w:rPr>
        <w:t xml:space="preserve"> </w:t>
      </w:r>
      <w:r w:rsidR="00A8225B" w:rsidRPr="007D003C">
        <w:rPr>
          <w:rFonts w:ascii="Arial" w:hAnsi="Arial" w:cs="Arial"/>
          <w:sz w:val="22"/>
          <w:szCs w:val="22"/>
        </w:rPr>
        <w:t xml:space="preserve"> </w:t>
      </w:r>
      <w:r w:rsidR="00924D60" w:rsidRPr="007D003C">
        <w:rPr>
          <w:rFonts w:ascii="Arial" w:hAnsi="Arial" w:cs="Arial"/>
          <w:sz w:val="22"/>
          <w:szCs w:val="22"/>
        </w:rPr>
        <w:t>A positive NPV indicates the generated project earnings exceeded anticipated costs. Accordingly,</w:t>
      </w:r>
      <w:r w:rsidR="00A8225B" w:rsidRPr="007D003C">
        <w:rPr>
          <w:rFonts w:ascii="Arial" w:hAnsi="Arial" w:cs="Arial"/>
          <w:sz w:val="22"/>
          <w:szCs w:val="22"/>
        </w:rPr>
        <w:t xml:space="preserve"> Project B has a positive NPV that is much greater than Project A.</w:t>
      </w:r>
      <w:r w:rsidR="0084159B" w:rsidRPr="007D003C">
        <w:rPr>
          <w:rFonts w:ascii="Arial" w:hAnsi="Arial" w:cs="Arial"/>
          <w:sz w:val="22"/>
          <w:szCs w:val="22"/>
        </w:rPr>
        <w:t xml:space="preserve"> </w:t>
      </w:r>
    </w:p>
    <w:p w14:paraId="460D76B4" w14:textId="2E2CD87A" w:rsidR="0014007B" w:rsidRDefault="0014007B" w:rsidP="00AD5FAA">
      <w:pPr>
        <w:jc w:val="both"/>
        <w:rPr>
          <w:rFonts w:ascii="Arial" w:hAnsi="Arial" w:cs="Arial"/>
          <w:sz w:val="22"/>
          <w:szCs w:val="22"/>
        </w:rPr>
      </w:pPr>
      <w:r w:rsidRPr="007D003C">
        <w:rPr>
          <w:rFonts w:ascii="Arial" w:hAnsi="Arial" w:cs="Arial"/>
          <w:i/>
          <w:iCs/>
          <w:sz w:val="22"/>
          <w:szCs w:val="22"/>
        </w:rPr>
        <w:t>THE CONCLUSION</w:t>
      </w:r>
      <w:r w:rsidRPr="007D003C">
        <w:rPr>
          <w:rFonts w:ascii="Arial" w:hAnsi="Arial" w:cs="Arial"/>
          <w:sz w:val="22"/>
          <w:szCs w:val="22"/>
        </w:rPr>
        <w:t xml:space="preserve"> The evaluation of the calculations of investment appraisal methods allows recommend</w:t>
      </w:r>
      <w:r w:rsidR="00312D49">
        <w:rPr>
          <w:rFonts w:ascii="Arial" w:hAnsi="Arial" w:cs="Arial"/>
          <w:sz w:val="22"/>
          <w:szCs w:val="22"/>
        </w:rPr>
        <w:t>ing</w:t>
      </w:r>
      <w:r w:rsidR="00A05C55" w:rsidRPr="007D003C">
        <w:rPr>
          <w:rFonts w:ascii="Arial" w:hAnsi="Arial" w:cs="Arial"/>
          <w:sz w:val="22"/>
          <w:szCs w:val="22"/>
        </w:rPr>
        <w:t xml:space="preserve"> </w:t>
      </w:r>
      <w:r w:rsidRPr="007D003C">
        <w:rPr>
          <w:rFonts w:ascii="Arial" w:hAnsi="Arial" w:cs="Arial"/>
          <w:sz w:val="22"/>
          <w:szCs w:val="22"/>
        </w:rPr>
        <w:t>project B to be adopted for the capital investment.</w:t>
      </w:r>
    </w:p>
    <w:p w14:paraId="09798B2D" w14:textId="16DD026F" w:rsidR="004B7B23" w:rsidRDefault="004B7B23" w:rsidP="00AD5FAA">
      <w:pPr>
        <w:jc w:val="both"/>
        <w:rPr>
          <w:rFonts w:ascii="Arial" w:hAnsi="Arial" w:cs="Arial"/>
          <w:sz w:val="22"/>
          <w:szCs w:val="22"/>
        </w:rPr>
      </w:pPr>
    </w:p>
    <w:p w14:paraId="37B321EF" w14:textId="77777777" w:rsidR="004B7B23" w:rsidRPr="007D003C" w:rsidRDefault="004B7B23" w:rsidP="00AD5FAA">
      <w:pPr>
        <w:jc w:val="both"/>
        <w:rPr>
          <w:rFonts w:ascii="Arial" w:hAnsi="Arial" w:cs="Arial"/>
          <w:sz w:val="22"/>
          <w:szCs w:val="22"/>
        </w:rPr>
      </w:pPr>
    </w:p>
    <w:p w14:paraId="55997445" w14:textId="625FCDF2" w:rsidR="001134EF" w:rsidRDefault="0014007B" w:rsidP="00226BF7">
      <w:pPr>
        <w:pStyle w:val="Heading2"/>
        <w:numPr>
          <w:ilvl w:val="0"/>
          <w:numId w:val="7"/>
        </w:numPr>
        <w:jc w:val="left"/>
        <w:rPr>
          <w:rFonts w:ascii="Arial" w:hAnsi="Arial" w:cs="Arial"/>
          <w:b/>
          <w:bCs/>
          <w:sz w:val="22"/>
          <w:szCs w:val="22"/>
        </w:rPr>
      </w:pPr>
      <w:bookmarkStart w:id="5" w:name="_Toc61468824"/>
      <w:r w:rsidRPr="007D003C">
        <w:rPr>
          <w:rFonts w:ascii="Arial" w:hAnsi="Arial" w:cs="Arial"/>
          <w:b/>
          <w:bCs/>
          <w:sz w:val="22"/>
          <w:szCs w:val="22"/>
        </w:rPr>
        <w:t>Advantages and Disadvantages of Investment Appraisal Techniques critically discussed</w:t>
      </w:r>
      <w:bookmarkEnd w:id="5"/>
    </w:p>
    <w:p w14:paraId="7A4FCC5C" w14:textId="77777777" w:rsidR="00226BF7" w:rsidRPr="00226BF7" w:rsidRDefault="00226BF7" w:rsidP="00226BF7">
      <w:pPr>
        <w:pStyle w:val="ListParagraph"/>
        <w:ind w:left="370"/>
      </w:pPr>
    </w:p>
    <w:tbl>
      <w:tblPr>
        <w:tblStyle w:val="TableGrid"/>
        <w:tblW w:w="0" w:type="auto"/>
        <w:tblLook w:val="04A0" w:firstRow="1" w:lastRow="0" w:firstColumn="1" w:lastColumn="0" w:noHBand="0" w:noVBand="1"/>
      </w:tblPr>
      <w:tblGrid>
        <w:gridCol w:w="4868"/>
        <w:gridCol w:w="49"/>
        <w:gridCol w:w="4819"/>
      </w:tblGrid>
      <w:tr w:rsidR="00036044" w:rsidRPr="007D003C" w14:paraId="0DD690A1" w14:textId="77777777" w:rsidTr="00F90935">
        <w:tc>
          <w:tcPr>
            <w:tcW w:w="4917" w:type="dxa"/>
            <w:gridSpan w:val="2"/>
            <w:shd w:val="clear" w:color="auto" w:fill="B8CCE4" w:themeFill="accent1" w:themeFillTint="66"/>
          </w:tcPr>
          <w:p w14:paraId="518CCD2C" w14:textId="77777777" w:rsidR="001134EF" w:rsidRDefault="001134EF" w:rsidP="00036044">
            <w:pPr>
              <w:jc w:val="center"/>
              <w:rPr>
                <w:rFonts w:ascii="Arial" w:hAnsi="Arial" w:cs="Arial"/>
                <w:i/>
                <w:iCs/>
                <w:sz w:val="22"/>
                <w:szCs w:val="22"/>
              </w:rPr>
            </w:pPr>
          </w:p>
          <w:p w14:paraId="27E9CB8A" w14:textId="4F32239B" w:rsidR="00036044" w:rsidRDefault="00036044" w:rsidP="00036044">
            <w:pPr>
              <w:jc w:val="center"/>
              <w:rPr>
                <w:rFonts w:ascii="Arial" w:hAnsi="Arial" w:cs="Arial"/>
                <w:i/>
                <w:iCs/>
                <w:sz w:val="22"/>
                <w:szCs w:val="22"/>
              </w:rPr>
            </w:pPr>
            <w:r w:rsidRPr="007D003C">
              <w:rPr>
                <w:rFonts w:ascii="Arial" w:hAnsi="Arial" w:cs="Arial"/>
                <w:i/>
                <w:iCs/>
                <w:sz w:val="22"/>
                <w:szCs w:val="22"/>
              </w:rPr>
              <w:t>Advantages</w:t>
            </w:r>
          </w:p>
          <w:p w14:paraId="2733CC2D" w14:textId="26F53472" w:rsidR="001134EF" w:rsidRPr="007D003C" w:rsidRDefault="001134EF" w:rsidP="00036044">
            <w:pPr>
              <w:jc w:val="center"/>
              <w:rPr>
                <w:rFonts w:ascii="Arial" w:hAnsi="Arial" w:cs="Arial"/>
                <w:i/>
                <w:iCs/>
                <w:sz w:val="22"/>
                <w:szCs w:val="22"/>
              </w:rPr>
            </w:pPr>
          </w:p>
        </w:tc>
        <w:tc>
          <w:tcPr>
            <w:tcW w:w="4819" w:type="dxa"/>
            <w:shd w:val="clear" w:color="auto" w:fill="B8CCE4" w:themeFill="accent1" w:themeFillTint="66"/>
          </w:tcPr>
          <w:p w14:paraId="402246C2" w14:textId="77777777" w:rsidR="001134EF" w:rsidRDefault="001134EF" w:rsidP="00036044">
            <w:pPr>
              <w:jc w:val="center"/>
              <w:rPr>
                <w:rFonts w:ascii="Arial" w:hAnsi="Arial" w:cs="Arial"/>
                <w:i/>
                <w:iCs/>
                <w:sz w:val="22"/>
                <w:szCs w:val="22"/>
              </w:rPr>
            </w:pPr>
          </w:p>
          <w:p w14:paraId="092C9180" w14:textId="21A7DEFD" w:rsidR="00036044" w:rsidRPr="007D003C" w:rsidRDefault="00036044" w:rsidP="00036044">
            <w:pPr>
              <w:jc w:val="center"/>
              <w:rPr>
                <w:rFonts w:ascii="Arial" w:hAnsi="Arial" w:cs="Arial"/>
                <w:i/>
                <w:iCs/>
                <w:sz w:val="22"/>
                <w:szCs w:val="22"/>
              </w:rPr>
            </w:pPr>
            <w:r w:rsidRPr="007D003C">
              <w:rPr>
                <w:rFonts w:ascii="Arial" w:hAnsi="Arial" w:cs="Arial"/>
                <w:i/>
                <w:iCs/>
                <w:sz w:val="22"/>
                <w:szCs w:val="22"/>
              </w:rPr>
              <w:t>Disadvantages</w:t>
            </w:r>
          </w:p>
        </w:tc>
      </w:tr>
      <w:tr w:rsidR="00036044" w:rsidRPr="007D003C" w14:paraId="13AE3B06" w14:textId="77777777" w:rsidTr="00F90935">
        <w:tc>
          <w:tcPr>
            <w:tcW w:w="9736" w:type="dxa"/>
            <w:gridSpan w:val="3"/>
          </w:tcPr>
          <w:p w14:paraId="14B929B0" w14:textId="77777777" w:rsidR="001134EF" w:rsidRDefault="001134EF" w:rsidP="00036044">
            <w:pPr>
              <w:jc w:val="center"/>
              <w:rPr>
                <w:rFonts w:ascii="Arial" w:hAnsi="Arial" w:cs="Arial"/>
                <w:i/>
                <w:iCs/>
                <w:sz w:val="22"/>
                <w:szCs w:val="22"/>
              </w:rPr>
            </w:pPr>
          </w:p>
          <w:p w14:paraId="18B85FB1" w14:textId="7E0158D0" w:rsidR="00036044" w:rsidRPr="007D003C" w:rsidRDefault="00036044" w:rsidP="00F90935">
            <w:pPr>
              <w:shd w:val="clear" w:color="auto" w:fill="DBE5F1" w:themeFill="accent1" w:themeFillTint="33"/>
              <w:jc w:val="center"/>
              <w:rPr>
                <w:rFonts w:ascii="Arial" w:hAnsi="Arial" w:cs="Arial"/>
                <w:i/>
                <w:iCs/>
                <w:sz w:val="22"/>
                <w:szCs w:val="22"/>
              </w:rPr>
            </w:pPr>
            <w:r w:rsidRPr="007D003C">
              <w:rPr>
                <w:rFonts w:ascii="Arial" w:hAnsi="Arial" w:cs="Arial"/>
                <w:i/>
                <w:iCs/>
                <w:sz w:val="22"/>
                <w:szCs w:val="22"/>
              </w:rPr>
              <w:t>Payback Period</w:t>
            </w:r>
          </w:p>
          <w:p w14:paraId="236C7AC2" w14:textId="1C919972" w:rsidR="00EE188A" w:rsidRPr="007D003C" w:rsidRDefault="00EE188A" w:rsidP="00036044">
            <w:pPr>
              <w:jc w:val="center"/>
              <w:rPr>
                <w:rFonts w:ascii="Arial" w:hAnsi="Arial" w:cs="Arial"/>
                <w:i/>
                <w:iCs/>
                <w:sz w:val="22"/>
                <w:szCs w:val="22"/>
              </w:rPr>
            </w:pPr>
          </w:p>
        </w:tc>
      </w:tr>
      <w:tr w:rsidR="00036044" w:rsidRPr="007D003C" w14:paraId="70E8F242" w14:textId="77777777" w:rsidTr="00F90935">
        <w:tc>
          <w:tcPr>
            <w:tcW w:w="4917" w:type="dxa"/>
            <w:gridSpan w:val="2"/>
          </w:tcPr>
          <w:p w14:paraId="1E1B00CA" w14:textId="56AAEFAF" w:rsidR="00036044" w:rsidRPr="007D003C" w:rsidRDefault="00036044" w:rsidP="00AD5FAA">
            <w:pPr>
              <w:jc w:val="both"/>
              <w:rPr>
                <w:rFonts w:ascii="Arial" w:hAnsi="Arial" w:cs="Arial"/>
                <w:sz w:val="22"/>
                <w:szCs w:val="22"/>
              </w:rPr>
            </w:pPr>
            <w:r w:rsidRPr="007D003C">
              <w:rPr>
                <w:rFonts w:ascii="Arial" w:hAnsi="Arial" w:cs="Arial"/>
                <w:sz w:val="22"/>
                <w:szCs w:val="22"/>
              </w:rPr>
              <w:t xml:space="preserve">The method is favoured for its simplicity, it is helpful for a smaller firm relying on the short payback period, </w:t>
            </w:r>
            <w:r w:rsidR="004803E4" w:rsidRPr="007D003C">
              <w:rPr>
                <w:rFonts w:ascii="Arial" w:hAnsi="Arial" w:cs="Arial"/>
                <w:sz w:val="22"/>
                <w:szCs w:val="22"/>
              </w:rPr>
              <w:t>i.e.,</w:t>
            </w:r>
            <w:r w:rsidRPr="007D003C">
              <w:rPr>
                <w:rFonts w:ascii="Arial" w:hAnsi="Arial" w:cs="Arial"/>
                <w:sz w:val="22"/>
                <w:szCs w:val="22"/>
              </w:rPr>
              <w:t xml:space="preserve"> with short investment periods</w:t>
            </w:r>
            <w:r w:rsidR="000E1E5F" w:rsidRPr="007D003C">
              <w:rPr>
                <w:rFonts w:ascii="Arial" w:hAnsi="Arial" w:cs="Arial"/>
                <w:sz w:val="22"/>
                <w:szCs w:val="22"/>
              </w:rPr>
              <w:t xml:space="preserve"> and limited amounts of funds to spend</w:t>
            </w:r>
            <w:r w:rsidR="004803E4" w:rsidRPr="007D003C">
              <w:rPr>
                <w:rFonts w:ascii="Arial" w:hAnsi="Arial" w:cs="Arial"/>
                <w:sz w:val="22"/>
                <w:szCs w:val="22"/>
              </w:rPr>
              <w:t xml:space="preserve"> (Weetman, 2013).</w:t>
            </w:r>
          </w:p>
        </w:tc>
        <w:tc>
          <w:tcPr>
            <w:tcW w:w="4819" w:type="dxa"/>
          </w:tcPr>
          <w:p w14:paraId="543A3903" w14:textId="28544A98" w:rsidR="00036044" w:rsidRPr="007D003C" w:rsidRDefault="006546B2" w:rsidP="00AD5FAA">
            <w:pPr>
              <w:jc w:val="both"/>
              <w:rPr>
                <w:rFonts w:ascii="Arial" w:hAnsi="Arial" w:cs="Arial"/>
                <w:sz w:val="22"/>
                <w:szCs w:val="22"/>
              </w:rPr>
            </w:pPr>
            <w:r w:rsidRPr="007D003C">
              <w:rPr>
                <w:rFonts w:ascii="Arial" w:hAnsi="Arial" w:cs="Arial"/>
                <w:sz w:val="22"/>
                <w:szCs w:val="22"/>
              </w:rPr>
              <w:t>Fails to consider TVM – time value of money, i.e., do not take into consideration that long-term investments ha</w:t>
            </w:r>
            <w:r w:rsidR="00312D49">
              <w:rPr>
                <w:rFonts w:ascii="Arial" w:hAnsi="Arial" w:cs="Arial"/>
                <w:sz w:val="22"/>
                <w:szCs w:val="22"/>
              </w:rPr>
              <w:t>ve</w:t>
            </w:r>
            <w:r w:rsidRPr="007D003C">
              <w:rPr>
                <w:rFonts w:ascii="Arial" w:hAnsi="Arial" w:cs="Arial"/>
                <w:sz w:val="22"/>
                <w:szCs w:val="22"/>
              </w:rPr>
              <w:t xml:space="preserve"> a financial cost of borrowings</w:t>
            </w:r>
            <w:r w:rsidR="001873B6" w:rsidRPr="007D003C">
              <w:rPr>
                <w:rFonts w:ascii="Arial" w:hAnsi="Arial" w:cs="Arial"/>
                <w:sz w:val="22"/>
                <w:szCs w:val="22"/>
              </w:rPr>
              <w:t xml:space="preserve"> and the fact that today’s earnings potentials give</w:t>
            </w:r>
            <w:r w:rsidR="00312D49">
              <w:rPr>
                <w:rFonts w:ascii="Arial" w:hAnsi="Arial" w:cs="Arial"/>
                <w:sz w:val="22"/>
                <w:szCs w:val="22"/>
              </w:rPr>
              <w:t xml:space="preserve"> a</w:t>
            </w:r>
            <w:r w:rsidR="001873B6" w:rsidRPr="007D003C">
              <w:rPr>
                <w:rFonts w:ascii="Arial" w:hAnsi="Arial" w:cs="Arial"/>
                <w:sz w:val="22"/>
                <w:szCs w:val="22"/>
              </w:rPr>
              <w:t xml:space="preserve"> greater value of the cash today than in the future</w:t>
            </w:r>
            <w:r w:rsidR="004803E4" w:rsidRPr="007D003C">
              <w:rPr>
                <w:rFonts w:ascii="Arial" w:hAnsi="Arial" w:cs="Arial"/>
                <w:sz w:val="22"/>
                <w:szCs w:val="22"/>
              </w:rPr>
              <w:t xml:space="preserve"> (Maverick, 2019)</w:t>
            </w:r>
          </w:p>
          <w:p w14:paraId="0CFA1449" w14:textId="49015C2E" w:rsidR="00BD0037" w:rsidRPr="007D003C" w:rsidRDefault="00BD0037" w:rsidP="00AD5FAA">
            <w:pPr>
              <w:jc w:val="both"/>
              <w:rPr>
                <w:rFonts w:ascii="Arial" w:hAnsi="Arial" w:cs="Arial"/>
                <w:sz w:val="22"/>
                <w:szCs w:val="22"/>
              </w:rPr>
            </w:pPr>
          </w:p>
        </w:tc>
      </w:tr>
      <w:tr w:rsidR="00036044" w:rsidRPr="007D003C" w14:paraId="6EFFC73A" w14:textId="77777777" w:rsidTr="00F90935">
        <w:tc>
          <w:tcPr>
            <w:tcW w:w="4917" w:type="dxa"/>
            <w:gridSpan w:val="2"/>
          </w:tcPr>
          <w:p w14:paraId="33A2C198" w14:textId="44BE787E" w:rsidR="00036044" w:rsidRPr="007D003C" w:rsidRDefault="00A76E70" w:rsidP="00AD5FAA">
            <w:pPr>
              <w:jc w:val="both"/>
              <w:rPr>
                <w:rFonts w:ascii="Arial" w:hAnsi="Arial" w:cs="Arial"/>
                <w:sz w:val="22"/>
                <w:szCs w:val="22"/>
              </w:rPr>
            </w:pPr>
            <w:r w:rsidRPr="007D003C">
              <w:rPr>
                <w:rFonts w:ascii="Arial" w:hAnsi="Arial" w:cs="Arial"/>
                <w:sz w:val="22"/>
                <w:szCs w:val="22"/>
              </w:rPr>
              <w:t>The Formula is easy to calculate</w:t>
            </w:r>
            <w:r w:rsidR="000E1E5F" w:rsidRPr="007D003C">
              <w:rPr>
                <w:rFonts w:ascii="Arial" w:hAnsi="Arial" w:cs="Arial"/>
                <w:sz w:val="22"/>
                <w:szCs w:val="22"/>
              </w:rPr>
              <w:t xml:space="preserve"> and can be used quickly for a very basic comparison</w:t>
            </w:r>
            <w:r w:rsidR="00956D5A" w:rsidRPr="007D003C">
              <w:rPr>
                <w:rFonts w:ascii="Arial" w:hAnsi="Arial" w:cs="Arial"/>
                <w:sz w:val="22"/>
                <w:szCs w:val="22"/>
              </w:rPr>
              <w:t xml:space="preserve"> </w:t>
            </w:r>
            <w:r w:rsidR="00564888" w:rsidRPr="007D003C">
              <w:rPr>
                <w:rFonts w:ascii="Arial" w:hAnsi="Arial" w:cs="Arial"/>
                <w:sz w:val="22"/>
                <w:szCs w:val="22"/>
              </w:rPr>
              <w:t>calculation</w:t>
            </w:r>
          </w:p>
        </w:tc>
        <w:tc>
          <w:tcPr>
            <w:tcW w:w="4819" w:type="dxa"/>
          </w:tcPr>
          <w:p w14:paraId="0C32E37B" w14:textId="6CB57445" w:rsidR="00036044" w:rsidRPr="007D003C" w:rsidRDefault="006546B2" w:rsidP="00AD5FAA">
            <w:pPr>
              <w:jc w:val="both"/>
              <w:rPr>
                <w:rFonts w:ascii="Arial" w:hAnsi="Arial" w:cs="Arial"/>
                <w:sz w:val="22"/>
                <w:szCs w:val="22"/>
              </w:rPr>
            </w:pPr>
            <w:r w:rsidRPr="007D003C">
              <w:rPr>
                <w:rFonts w:ascii="Arial" w:hAnsi="Arial" w:cs="Arial"/>
                <w:sz w:val="22"/>
                <w:szCs w:val="22"/>
              </w:rPr>
              <w:t>The method overlooks any cash flows after the payback date</w:t>
            </w:r>
            <w:r w:rsidR="001873B6" w:rsidRPr="007D003C">
              <w:rPr>
                <w:rFonts w:ascii="Arial" w:hAnsi="Arial" w:cs="Arial"/>
                <w:sz w:val="22"/>
                <w:szCs w:val="22"/>
              </w:rPr>
              <w:t>, hence fails to compare the profitability of comparable projects beyond the payback day</w:t>
            </w:r>
            <w:r w:rsidR="004803E4" w:rsidRPr="007D003C">
              <w:rPr>
                <w:rFonts w:ascii="Arial" w:hAnsi="Arial" w:cs="Arial"/>
                <w:sz w:val="22"/>
                <w:szCs w:val="22"/>
              </w:rPr>
              <w:t xml:space="preserve"> (Maverick, 2019)</w:t>
            </w:r>
          </w:p>
          <w:p w14:paraId="05E9A230" w14:textId="58A9FBEF" w:rsidR="00BD0037" w:rsidRPr="007D003C" w:rsidRDefault="00BD0037" w:rsidP="00AD5FAA">
            <w:pPr>
              <w:jc w:val="both"/>
              <w:rPr>
                <w:rFonts w:ascii="Arial" w:hAnsi="Arial" w:cs="Arial"/>
                <w:sz w:val="22"/>
                <w:szCs w:val="22"/>
              </w:rPr>
            </w:pPr>
          </w:p>
        </w:tc>
      </w:tr>
      <w:tr w:rsidR="00036044" w:rsidRPr="007D003C" w14:paraId="0F4A6C8D" w14:textId="77777777" w:rsidTr="00F90935">
        <w:tc>
          <w:tcPr>
            <w:tcW w:w="4917" w:type="dxa"/>
            <w:gridSpan w:val="2"/>
          </w:tcPr>
          <w:p w14:paraId="582B3B06" w14:textId="6D4CEEAC" w:rsidR="00036044" w:rsidRPr="007D003C" w:rsidRDefault="00564888" w:rsidP="00AD5FAA">
            <w:pPr>
              <w:jc w:val="both"/>
              <w:rPr>
                <w:rFonts w:ascii="Arial" w:hAnsi="Arial" w:cs="Arial"/>
                <w:sz w:val="22"/>
                <w:szCs w:val="22"/>
              </w:rPr>
            </w:pPr>
            <w:r w:rsidRPr="007D003C">
              <w:rPr>
                <w:rFonts w:ascii="Arial" w:hAnsi="Arial" w:cs="Arial"/>
                <w:sz w:val="22"/>
                <w:szCs w:val="22"/>
              </w:rPr>
              <w:t>The short payback periods keep</w:t>
            </w:r>
            <w:r w:rsidR="00312D49">
              <w:rPr>
                <w:rFonts w:ascii="Arial" w:hAnsi="Arial" w:cs="Arial"/>
                <w:sz w:val="22"/>
                <w:szCs w:val="22"/>
              </w:rPr>
              <w:t xml:space="preserve"> the</w:t>
            </w:r>
            <w:r w:rsidR="000E1E5F" w:rsidRPr="007D003C">
              <w:rPr>
                <w:rFonts w:ascii="Arial" w:hAnsi="Arial" w:cs="Arial"/>
                <w:sz w:val="22"/>
                <w:szCs w:val="22"/>
              </w:rPr>
              <w:t xml:space="preserve"> financial Liquidity</w:t>
            </w:r>
            <w:r w:rsidRPr="007D003C">
              <w:rPr>
                <w:rFonts w:ascii="Arial" w:hAnsi="Arial" w:cs="Arial"/>
                <w:sz w:val="22"/>
                <w:szCs w:val="22"/>
              </w:rPr>
              <w:t xml:space="preserve"> of the company, as it helps to reduce the risk of losses, especially within </w:t>
            </w:r>
            <w:r w:rsidR="00312D49">
              <w:rPr>
                <w:rFonts w:ascii="Arial" w:hAnsi="Arial" w:cs="Arial"/>
                <w:sz w:val="22"/>
                <w:szCs w:val="22"/>
              </w:rPr>
              <w:t xml:space="preserve">a </w:t>
            </w:r>
            <w:r w:rsidRPr="007D003C">
              <w:rPr>
                <w:rFonts w:ascii="Arial" w:hAnsi="Arial" w:cs="Arial"/>
                <w:sz w:val="22"/>
                <w:szCs w:val="22"/>
              </w:rPr>
              <w:t>changing economic environment</w:t>
            </w:r>
            <w:r w:rsidR="004803E4" w:rsidRPr="007D003C">
              <w:rPr>
                <w:rFonts w:ascii="Arial" w:hAnsi="Arial" w:cs="Arial"/>
                <w:sz w:val="22"/>
                <w:szCs w:val="22"/>
              </w:rPr>
              <w:t xml:space="preserve"> (Maverick, 2019)</w:t>
            </w:r>
          </w:p>
          <w:p w14:paraId="658AFA53" w14:textId="50B8AF55" w:rsidR="00E8790F" w:rsidRPr="007D003C" w:rsidRDefault="00E8790F" w:rsidP="00AD5FAA">
            <w:pPr>
              <w:jc w:val="both"/>
              <w:rPr>
                <w:rFonts w:ascii="Arial" w:hAnsi="Arial" w:cs="Arial"/>
                <w:sz w:val="22"/>
                <w:szCs w:val="22"/>
              </w:rPr>
            </w:pPr>
          </w:p>
        </w:tc>
        <w:tc>
          <w:tcPr>
            <w:tcW w:w="4819" w:type="dxa"/>
          </w:tcPr>
          <w:p w14:paraId="1FB21E8B" w14:textId="39291C8E" w:rsidR="00036044" w:rsidRPr="007D003C" w:rsidRDefault="006546B2" w:rsidP="00AD5FAA">
            <w:pPr>
              <w:jc w:val="both"/>
              <w:rPr>
                <w:rFonts w:ascii="Arial" w:hAnsi="Arial" w:cs="Arial"/>
                <w:sz w:val="22"/>
                <w:szCs w:val="22"/>
              </w:rPr>
            </w:pPr>
            <w:r w:rsidRPr="007D003C">
              <w:rPr>
                <w:rFonts w:ascii="Arial" w:hAnsi="Arial" w:cs="Arial"/>
                <w:sz w:val="22"/>
                <w:szCs w:val="22"/>
              </w:rPr>
              <w:t xml:space="preserve">Appropriate for short term investments, since </w:t>
            </w:r>
            <w:r w:rsidR="001873B6" w:rsidRPr="007D003C">
              <w:rPr>
                <w:rFonts w:ascii="Arial" w:hAnsi="Arial" w:cs="Arial"/>
                <w:sz w:val="22"/>
                <w:szCs w:val="22"/>
              </w:rPr>
              <w:t>long-term cash inflows are disregarded in the long-term projects</w:t>
            </w:r>
            <w:r w:rsidR="00E8790F" w:rsidRPr="007D003C">
              <w:rPr>
                <w:rFonts w:ascii="Arial" w:hAnsi="Arial" w:cs="Arial"/>
                <w:sz w:val="22"/>
                <w:szCs w:val="22"/>
              </w:rPr>
              <w:t>, does not analyse projects in its lifetime</w:t>
            </w:r>
          </w:p>
        </w:tc>
      </w:tr>
      <w:tr w:rsidR="00036044" w:rsidRPr="007D003C" w14:paraId="5A1CF59C" w14:textId="77777777" w:rsidTr="00F90935">
        <w:tc>
          <w:tcPr>
            <w:tcW w:w="4917" w:type="dxa"/>
            <w:gridSpan w:val="2"/>
          </w:tcPr>
          <w:p w14:paraId="35331D96" w14:textId="0730F159" w:rsidR="00036044" w:rsidRPr="007D003C" w:rsidRDefault="00E8790F" w:rsidP="00AD5FAA">
            <w:pPr>
              <w:jc w:val="both"/>
              <w:rPr>
                <w:rFonts w:ascii="Arial" w:hAnsi="Arial" w:cs="Arial"/>
                <w:sz w:val="22"/>
                <w:szCs w:val="22"/>
              </w:rPr>
            </w:pPr>
            <w:r w:rsidRPr="007D003C">
              <w:rPr>
                <w:rFonts w:ascii="Arial" w:hAnsi="Arial" w:cs="Arial"/>
                <w:sz w:val="22"/>
                <w:szCs w:val="22"/>
              </w:rPr>
              <w:t>Can be useful when the financier has a time limit and would like to find out the fastest time to get the money back on the investment</w:t>
            </w:r>
            <w:r w:rsidR="004803E4" w:rsidRPr="007D003C">
              <w:rPr>
                <w:rFonts w:ascii="Arial" w:hAnsi="Arial" w:cs="Arial"/>
                <w:sz w:val="22"/>
                <w:szCs w:val="22"/>
              </w:rPr>
              <w:t xml:space="preserve"> (Weetman, 2013).</w:t>
            </w:r>
          </w:p>
        </w:tc>
        <w:tc>
          <w:tcPr>
            <w:tcW w:w="4819" w:type="dxa"/>
          </w:tcPr>
          <w:p w14:paraId="1A522508" w14:textId="77777777" w:rsidR="00036044" w:rsidRPr="007D003C" w:rsidRDefault="001873B6" w:rsidP="00AD5FAA">
            <w:pPr>
              <w:jc w:val="both"/>
              <w:rPr>
                <w:rFonts w:ascii="Arial" w:hAnsi="Arial" w:cs="Arial"/>
                <w:sz w:val="22"/>
                <w:szCs w:val="22"/>
              </w:rPr>
            </w:pPr>
            <w:r w:rsidRPr="007D003C">
              <w:rPr>
                <w:rFonts w:ascii="Arial" w:hAnsi="Arial" w:cs="Arial"/>
                <w:sz w:val="22"/>
                <w:szCs w:val="22"/>
              </w:rPr>
              <w:t>Oversimplicity prevent</w:t>
            </w:r>
            <w:r w:rsidR="00A76E70" w:rsidRPr="007D003C">
              <w:rPr>
                <w:rFonts w:ascii="Arial" w:hAnsi="Arial" w:cs="Arial"/>
                <w:sz w:val="22"/>
                <w:szCs w:val="22"/>
              </w:rPr>
              <w:t>s</w:t>
            </w:r>
            <w:r w:rsidRPr="007D003C">
              <w:rPr>
                <w:rFonts w:ascii="Arial" w:hAnsi="Arial" w:cs="Arial"/>
                <w:sz w:val="22"/>
                <w:szCs w:val="22"/>
              </w:rPr>
              <w:t xml:space="preserve"> method to</w:t>
            </w:r>
            <w:r w:rsidR="00A76E70" w:rsidRPr="007D003C">
              <w:rPr>
                <w:rFonts w:ascii="Arial" w:hAnsi="Arial" w:cs="Arial"/>
                <w:sz w:val="22"/>
                <w:szCs w:val="22"/>
              </w:rPr>
              <w:t xml:space="preserve"> account for the complexity of the cash flow, especially in the projects with the fluctuated cash flows (Sales, Revenue)</w:t>
            </w:r>
          </w:p>
          <w:p w14:paraId="0502DE76" w14:textId="174DAF7E" w:rsidR="00BD0037" w:rsidRPr="007D003C" w:rsidRDefault="00BD0037" w:rsidP="00AD5FAA">
            <w:pPr>
              <w:jc w:val="both"/>
              <w:rPr>
                <w:rFonts w:ascii="Arial" w:hAnsi="Arial" w:cs="Arial"/>
                <w:sz w:val="22"/>
                <w:szCs w:val="22"/>
              </w:rPr>
            </w:pPr>
          </w:p>
        </w:tc>
      </w:tr>
      <w:tr w:rsidR="00036044" w:rsidRPr="007D003C" w14:paraId="0F44D2A1" w14:textId="77777777" w:rsidTr="00F90935">
        <w:tc>
          <w:tcPr>
            <w:tcW w:w="4917" w:type="dxa"/>
            <w:gridSpan w:val="2"/>
          </w:tcPr>
          <w:p w14:paraId="240749F9" w14:textId="77777777" w:rsidR="00036044" w:rsidRPr="007D003C" w:rsidRDefault="00036044" w:rsidP="00AD5FAA">
            <w:pPr>
              <w:jc w:val="both"/>
              <w:rPr>
                <w:rFonts w:ascii="Arial" w:hAnsi="Arial" w:cs="Arial"/>
                <w:sz w:val="22"/>
                <w:szCs w:val="22"/>
              </w:rPr>
            </w:pPr>
          </w:p>
        </w:tc>
        <w:tc>
          <w:tcPr>
            <w:tcW w:w="4819" w:type="dxa"/>
          </w:tcPr>
          <w:p w14:paraId="69F99DD3" w14:textId="4097685D" w:rsidR="00036044" w:rsidRPr="007D003C" w:rsidRDefault="00A76E70" w:rsidP="00AD5FAA">
            <w:pPr>
              <w:jc w:val="both"/>
              <w:rPr>
                <w:rFonts w:ascii="Arial" w:hAnsi="Arial" w:cs="Arial"/>
                <w:sz w:val="22"/>
                <w:szCs w:val="22"/>
              </w:rPr>
            </w:pPr>
            <w:r w:rsidRPr="007D003C">
              <w:rPr>
                <w:rFonts w:ascii="Arial" w:hAnsi="Arial" w:cs="Arial"/>
                <w:sz w:val="22"/>
                <w:szCs w:val="22"/>
              </w:rPr>
              <w:t>Do not account for the risk factors, financing costs, hence the investments are not assessed properly</w:t>
            </w:r>
            <w:r w:rsidR="004803E4" w:rsidRPr="007D003C">
              <w:rPr>
                <w:rFonts w:ascii="Arial" w:hAnsi="Arial" w:cs="Arial"/>
                <w:sz w:val="22"/>
                <w:szCs w:val="22"/>
              </w:rPr>
              <w:t xml:space="preserve"> (Weetman, 2013).</w:t>
            </w:r>
          </w:p>
          <w:p w14:paraId="46ADA94D" w14:textId="5C63567B" w:rsidR="00BD0037" w:rsidRPr="007D003C" w:rsidRDefault="00BD0037" w:rsidP="00AD5FAA">
            <w:pPr>
              <w:jc w:val="both"/>
              <w:rPr>
                <w:rFonts w:ascii="Arial" w:hAnsi="Arial" w:cs="Arial"/>
                <w:sz w:val="22"/>
                <w:szCs w:val="22"/>
              </w:rPr>
            </w:pPr>
          </w:p>
        </w:tc>
      </w:tr>
      <w:tr w:rsidR="00036044" w:rsidRPr="007D003C" w14:paraId="52E4B239" w14:textId="77777777" w:rsidTr="00F90935">
        <w:tc>
          <w:tcPr>
            <w:tcW w:w="4917" w:type="dxa"/>
            <w:gridSpan w:val="2"/>
          </w:tcPr>
          <w:p w14:paraId="5E51344B" w14:textId="77777777" w:rsidR="00036044" w:rsidRPr="007D003C" w:rsidRDefault="00036044" w:rsidP="00AD5FAA">
            <w:pPr>
              <w:jc w:val="both"/>
              <w:rPr>
                <w:rFonts w:ascii="Arial" w:hAnsi="Arial" w:cs="Arial"/>
                <w:sz w:val="22"/>
                <w:szCs w:val="22"/>
              </w:rPr>
            </w:pPr>
          </w:p>
        </w:tc>
        <w:tc>
          <w:tcPr>
            <w:tcW w:w="4819" w:type="dxa"/>
          </w:tcPr>
          <w:p w14:paraId="65A5D199" w14:textId="13105E51" w:rsidR="00036044" w:rsidRPr="007D003C" w:rsidRDefault="00956D5A" w:rsidP="00AD5FAA">
            <w:pPr>
              <w:jc w:val="both"/>
              <w:rPr>
                <w:rFonts w:ascii="Arial" w:hAnsi="Arial" w:cs="Arial"/>
                <w:sz w:val="22"/>
                <w:szCs w:val="22"/>
              </w:rPr>
            </w:pPr>
            <w:r w:rsidRPr="007D003C">
              <w:rPr>
                <w:rFonts w:ascii="Arial" w:hAnsi="Arial" w:cs="Arial"/>
                <w:sz w:val="22"/>
                <w:szCs w:val="22"/>
              </w:rPr>
              <w:t>Do</w:t>
            </w:r>
            <w:r w:rsidR="00564888" w:rsidRPr="007D003C">
              <w:rPr>
                <w:rFonts w:ascii="Arial" w:hAnsi="Arial" w:cs="Arial"/>
                <w:sz w:val="22"/>
                <w:szCs w:val="22"/>
              </w:rPr>
              <w:t xml:space="preserve"> not provide decision criteria to indicate if the</w:t>
            </w:r>
            <w:r w:rsidR="00BD0037" w:rsidRPr="007D003C">
              <w:rPr>
                <w:rFonts w:ascii="Arial" w:hAnsi="Arial" w:cs="Arial"/>
                <w:sz w:val="22"/>
                <w:szCs w:val="22"/>
              </w:rPr>
              <w:t xml:space="preserve"> investment increases company’s value</w:t>
            </w:r>
            <w:r w:rsidR="00E5381C" w:rsidRPr="007D003C">
              <w:rPr>
                <w:rFonts w:ascii="Arial" w:hAnsi="Arial" w:cs="Arial"/>
                <w:sz w:val="22"/>
                <w:szCs w:val="22"/>
              </w:rPr>
              <w:t>, hence must be used in conjunction with other methods</w:t>
            </w:r>
          </w:p>
          <w:p w14:paraId="6C4FF7DC" w14:textId="21D43945" w:rsidR="00BD0037" w:rsidRPr="007D003C" w:rsidRDefault="00BD0037" w:rsidP="00AD5FAA">
            <w:pPr>
              <w:jc w:val="both"/>
              <w:rPr>
                <w:rFonts w:ascii="Arial" w:hAnsi="Arial" w:cs="Arial"/>
                <w:sz w:val="22"/>
                <w:szCs w:val="22"/>
              </w:rPr>
            </w:pPr>
          </w:p>
        </w:tc>
      </w:tr>
      <w:tr w:rsidR="00F90935" w:rsidRPr="007D003C" w14:paraId="31CFC8CF" w14:textId="77777777" w:rsidTr="00F90935">
        <w:tc>
          <w:tcPr>
            <w:tcW w:w="4868" w:type="dxa"/>
            <w:shd w:val="clear" w:color="auto" w:fill="B8CCE4" w:themeFill="accent1" w:themeFillTint="66"/>
          </w:tcPr>
          <w:p w14:paraId="536F0EBC" w14:textId="550A5872" w:rsidR="00F90935" w:rsidRDefault="00F90935" w:rsidP="00F90935">
            <w:pPr>
              <w:jc w:val="center"/>
              <w:rPr>
                <w:rFonts w:ascii="Arial" w:hAnsi="Arial" w:cs="Arial"/>
                <w:i/>
                <w:iCs/>
                <w:sz w:val="22"/>
                <w:szCs w:val="22"/>
              </w:rPr>
            </w:pPr>
            <w:r w:rsidRPr="007D003C">
              <w:rPr>
                <w:rFonts w:ascii="Arial" w:hAnsi="Arial" w:cs="Arial"/>
                <w:i/>
                <w:iCs/>
                <w:sz w:val="22"/>
                <w:szCs w:val="22"/>
              </w:rPr>
              <w:t>Advantages</w:t>
            </w:r>
          </w:p>
          <w:p w14:paraId="6ADA6A4E" w14:textId="77777777" w:rsidR="00F90935" w:rsidRDefault="00F90935" w:rsidP="00BD0037">
            <w:pPr>
              <w:jc w:val="center"/>
              <w:rPr>
                <w:rFonts w:ascii="Arial" w:hAnsi="Arial" w:cs="Arial"/>
                <w:i/>
                <w:iCs/>
                <w:sz w:val="22"/>
                <w:szCs w:val="22"/>
              </w:rPr>
            </w:pPr>
          </w:p>
        </w:tc>
        <w:tc>
          <w:tcPr>
            <w:tcW w:w="4868" w:type="dxa"/>
            <w:gridSpan w:val="2"/>
            <w:shd w:val="clear" w:color="auto" w:fill="B8CCE4" w:themeFill="accent1" w:themeFillTint="66"/>
          </w:tcPr>
          <w:p w14:paraId="242B7261" w14:textId="01487DAF" w:rsidR="00F90935" w:rsidRDefault="00F90935" w:rsidP="00BD0037">
            <w:pPr>
              <w:jc w:val="center"/>
              <w:rPr>
                <w:rFonts w:ascii="Arial" w:hAnsi="Arial" w:cs="Arial"/>
                <w:i/>
                <w:iCs/>
                <w:sz w:val="22"/>
                <w:szCs w:val="22"/>
              </w:rPr>
            </w:pPr>
            <w:r w:rsidRPr="007D003C">
              <w:rPr>
                <w:rFonts w:ascii="Arial" w:hAnsi="Arial" w:cs="Arial"/>
                <w:i/>
                <w:iCs/>
                <w:sz w:val="22"/>
                <w:szCs w:val="22"/>
              </w:rPr>
              <w:t>Disadvantages</w:t>
            </w:r>
          </w:p>
        </w:tc>
      </w:tr>
      <w:tr w:rsidR="00BD0037" w:rsidRPr="007D003C" w14:paraId="21772EF8" w14:textId="77777777" w:rsidTr="00F90935">
        <w:tc>
          <w:tcPr>
            <w:tcW w:w="9736" w:type="dxa"/>
            <w:gridSpan w:val="3"/>
          </w:tcPr>
          <w:p w14:paraId="6FFE9866" w14:textId="77777777" w:rsidR="001134EF" w:rsidRDefault="001134EF" w:rsidP="00BD0037">
            <w:pPr>
              <w:jc w:val="center"/>
              <w:rPr>
                <w:rFonts w:ascii="Arial" w:hAnsi="Arial" w:cs="Arial"/>
                <w:i/>
                <w:iCs/>
                <w:sz w:val="22"/>
                <w:szCs w:val="22"/>
              </w:rPr>
            </w:pPr>
          </w:p>
          <w:p w14:paraId="339D8644" w14:textId="7B0E55CD" w:rsidR="00BD0037" w:rsidRPr="007D003C" w:rsidRDefault="00BD0037" w:rsidP="00BD0037">
            <w:pPr>
              <w:jc w:val="center"/>
              <w:rPr>
                <w:rFonts w:ascii="Arial" w:hAnsi="Arial" w:cs="Arial"/>
                <w:i/>
                <w:iCs/>
                <w:sz w:val="22"/>
                <w:szCs w:val="22"/>
              </w:rPr>
            </w:pPr>
            <w:r w:rsidRPr="007D003C">
              <w:rPr>
                <w:rFonts w:ascii="Arial" w:hAnsi="Arial" w:cs="Arial"/>
                <w:i/>
                <w:iCs/>
                <w:sz w:val="22"/>
                <w:szCs w:val="22"/>
              </w:rPr>
              <w:t>Accounting rate of return</w:t>
            </w:r>
          </w:p>
          <w:p w14:paraId="3B50AFDB" w14:textId="743BC265" w:rsidR="00EE188A" w:rsidRPr="007D003C" w:rsidRDefault="00EE188A" w:rsidP="00BD0037">
            <w:pPr>
              <w:jc w:val="center"/>
              <w:rPr>
                <w:rFonts w:ascii="Arial" w:hAnsi="Arial" w:cs="Arial"/>
                <w:i/>
                <w:iCs/>
                <w:sz w:val="22"/>
                <w:szCs w:val="22"/>
              </w:rPr>
            </w:pPr>
          </w:p>
        </w:tc>
      </w:tr>
      <w:tr w:rsidR="00BD0037" w:rsidRPr="007D003C" w14:paraId="470FC4B7" w14:textId="77777777" w:rsidTr="00F90935">
        <w:tc>
          <w:tcPr>
            <w:tcW w:w="4917" w:type="dxa"/>
            <w:gridSpan w:val="2"/>
          </w:tcPr>
          <w:p w14:paraId="735B9667" w14:textId="7ABDFEE1" w:rsidR="00BD0037" w:rsidRPr="007D003C" w:rsidRDefault="00E8790F" w:rsidP="00E8790F">
            <w:pPr>
              <w:jc w:val="both"/>
              <w:rPr>
                <w:rFonts w:ascii="Arial" w:hAnsi="Arial" w:cs="Arial"/>
                <w:sz w:val="22"/>
                <w:szCs w:val="22"/>
              </w:rPr>
            </w:pPr>
            <w:r w:rsidRPr="007D003C">
              <w:rPr>
                <w:rFonts w:ascii="Arial" w:hAnsi="Arial" w:cs="Arial"/>
                <w:sz w:val="22"/>
                <w:szCs w:val="22"/>
              </w:rPr>
              <w:t>The method accepts the view of net earnings i.e., profits after tax and depreciation. This is a crucial factor in the evaluation of an investment proposal.</w:t>
            </w:r>
            <w:r w:rsidR="00194386" w:rsidRPr="007D003C">
              <w:rPr>
                <w:rFonts w:ascii="Arial" w:hAnsi="Arial" w:cs="Arial"/>
                <w:sz w:val="22"/>
                <w:szCs w:val="22"/>
              </w:rPr>
              <w:t xml:space="preserve">  With the help of the method the company can calculate it</w:t>
            </w:r>
            <w:r w:rsidR="00312D49">
              <w:rPr>
                <w:rFonts w:ascii="Arial" w:hAnsi="Arial" w:cs="Arial"/>
                <w:sz w:val="22"/>
                <w:szCs w:val="22"/>
              </w:rPr>
              <w:t>s</w:t>
            </w:r>
            <w:r w:rsidR="00194386" w:rsidRPr="007D003C">
              <w:rPr>
                <w:rFonts w:ascii="Arial" w:hAnsi="Arial" w:cs="Arial"/>
                <w:sz w:val="22"/>
                <w:szCs w:val="22"/>
              </w:rPr>
              <w:t xml:space="preserve"> performance</w:t>
            </w:r>
            <w:r w:rsidR="006A60E9" w:rsidRPr="007D003C">
              <w:rPr>
                <w:rFonts w:ascii="Arial" w:hAnsi="Arial" w:cs="Arial"/>
                <w:sz w:val="22"/>
                <w:szCs w:val="22"/>
              </w:rPr>
              <w:t xml:space="preserve"> (Maverick, 2019)</w:t>
            </w:r>
          </w:p>
        </w:tc>
        <w:tc>
          <w:tcPr>
            <w:tcW w:w="4819" w:type="dxa"/>
          </w:tcPr>
          <w:p w14:paraId="187631CE" w14:textId="39729F2C" w:rsidR="00897B5E" w:rsidRPr="007D003C" w:rsidRDefault="00BD0037" w:rsidP="00AD5FAA">
            <w:pPr>
              <w:jc w:val="both"/>
              <w:rPr>
                <w:rFonts w:ascii="Arial" w:hAnsi="Arial" w:cs="Arial"/>
                <w:sz w:val="22"/>
                <w:szCs w:val="22"/>
              </w:rPr>
            </w:pPr>
            <w:r w:rsidRPr="007D003C">
              <w:rPr>
                <w:rFonts w:ascii="Arial" w:hAnsi="Arial" w:cs="Arial"/>
                <w:sz w:val="22"/>
                <w:szCs w:val="22"/>
              </w:rPr>
              <w:t>Ignores TVM - time value of money, do not recogni</w:t>
            </w:r>
            <w:r w:rsidR="00897B5E" w:rsidRPr="007D003C">
              <w:rPr>
                <w:rFonts w:ascii="Arial" w:hAnsi="Arial" w:cs="Arial"/>
                <w:sz w:val="22"/>
                <w:szCs w:val="22"/>
              </w:rPr>
              <w:t>s</w:t>
            </w:r>
            <w:r w:rsidRPr="007D003C">
              <w:rPr>
                <w:rFonts w:ascii="Arial" w:hAnsi="Arial" w:cs="Arial"/>
                <w:sz w:val="22"/>
                <w:szCs w:val="22"/>
              </w:rPr>
              <w:t xml:space="preserve">e the difference </w:t>
            </w:r>
            <w:r w:rsidR="00897B5E" w:rsidRPr="007D003C">
              <w:rPr>
                <w:rFonts w:ascii="Arial" w:hAnsi="Arial" w:cs="Arial"/>
                <w:sz w:val="22"/>
                <w:szCs w:val="22"/>
              </w:rPr>
              <w:t xml:space="preserve">in projects of the similar profit value but with the profit accumulation over different stages of project’s life; with one of the </w:t>
            </w:r>
            <w:r w:rsidR="005C55EA" w:rsidRPr="007D003C">
              <w:rPr>
                <w:rFonts w:ascii="Arial" w:hAnsi="Arial" w:cs="Arial"/>
                <w:sz w:val="22"/>
                <w:szCs w:val="22"/>
              </w:rPr>
              <w:t>projects</w:t>
            </w:r>
            <w:r w:rsidR="00897B5E" w:rsidRPr="007D003C">
              <w:rPr>
                <w:rFonts w:ascii="Arial" w:hAnsi="Arial" w:cs="Arial"/>
                <w:sz w:val="22"/>
                <w:szCs w:val="22"/>
              </w:rPr>
              <w:t xml:space="preserve"> building up the profit at the earlier stages of investment, while the compared one - the project’s profit came at the latest stage of life</w:t>
            </w:r>
            <w:sdt>
              <w:sdtPr>
                <w:rPr>
                  <w:rFonts w:ascii="Arial" w:hAnsi="Arial" w:cs="Arial"/>
                  <w:sz w:val="22"/>
                  <w:szCs w:val="22"/>
                </w:rPr>
                <w:id w:val="1494220120"/>
                <w:citation/>
              </w:sdtPr>
              <w:sdtEndPr/>
              <w:sdtContent>
                <w:r w:rsidR="006A60E9" w:rsidRPr="007D003C">
                  <w:rPr>
                    <w:rFonts w:ascii="Arial" w:hAnsi="Arial" w:cs="Arial"/>
                    <w:sz w:val="22"/>
                    <w:szCs w:val="22"/>
                  </w:rPr>
                  <w:fldChar w:fldCharType="begin"/>
                </w:r>
                <w:r w:rsidR="006A60E9" w:rsidRPr="007D003C">
                  <w:rPr>
                    <w:rFonts w:ascii="Arial" w:hAnsi="Arial" w:cs="Arial"/>
                    <w:sz w:val="22"/>
                    <w:szCs w:val="22"/>
                  </w:rPr>
                  <w:instrText xml:space="preserve"> CITATION Mav19 \l 2057 </w:instrText>
                </w:r>
                <w:r w:rsidR="006A60E9" w:rsidRPr="007D003C">
                  <w:rPr>
                    <w:rFonts w:ascii="Arial" w:hAnsi="Arial" w:cs="Arial"/>
                    <w:sz w:val="22"/>
                    <w:szCs w:val="22"/>
                  </w:rPr>
                  <w:fldChar w:fldCharType="separate"/>
                </w:r>
                <w:r w:rsidR="006A60E9" w:rsidRPr="007D003C">
                  <w:rPr>
                    <w:rFonts w:ascii="Arial" w:hAnsi="Arial" w:cs="Arial"/>
                    <w:noProof/>
                    <w:sz w:val="22"/>
                    <w:szCs w:val="22"/>
                  </w:rPr>
                  <w:t xml:space="preserve"> (Maverick, 2019)</w:t>
                </w:r>
                <w:r w:rsidR="006A60E9" w:rsidRPr="007D003C">
                  <w:rPr>
                    <w:rFonts w:ascii="Arial" w:hAnsi="Arial" w:cs="Arial"/>
                    <w:sz w:val="22"/>
                    <w:szCs w:val="22"/>
                  </w:rPr>
                  <w:fldChar w:fldCharType="end"/>
                </w:r>
              </w:sdtContent>
            </w:sdt>
          </w:p>
          <w:p w14:paraId="1BA5EA07" w14:textId="46F74DF3" w:rsidR="00BD0037" w:rsidRPr="007D003C" w:rsidRDefault="00897B5E" w:rsidP="00AD5FAA">
            <w:pPr>
              <w:jc w:val="both"/>
              <w:rPr>
                <w:rFonts w:ascii="Arial" w:hAnsi="Arial" w:cs="Arial"/>
                <w:sz w:val="22"/>
                <w:szCs w:val="22"/>
              </w:rPr>
            </w:pPr>
            <w:r w:rsidRPr="007D003C">
              <w:rPr>
                <w:rFonts w:ascii="Arial" w:hAnsi="Arial" w:cs="Arial"/>
                <w:sz w:val="22"/>
                <w:szCs w:val="22"/>
              </w:rPr>
              <w:t xml:space="preserve"> </w:t>
            </w:r>
          </w:p>
        </w:tc>
      </w:tr>
      <w:tr w:rsidR="00BD0037" w:rsidRPr="007D003C" w14:paraId="0C35A845" w14:textId="77777777" w:rsidTr="00F90935">
        <w:tc>
          <w:tcPr>
            <w:tcW w:w="4917" w:type="dxa"/>
            <w:gridSpan w:val="2"/>
          </w:tcPr>
          <w:p w14:paraId="29B17EA0" w14:textId="0FF4F8B0" w:rsidR="00BD0037" w:rsidRPr="007D003C" w:rsidRDefault="00E8790F" w:rsidP="00E8790F">
            <w:pPr>
              <w:jc w:val="both"/>
              <w:rPr>
                <w:rFonts w:ascii="Arial" w:hAnsi="Arial" w:cs="Arial"/>
                <w:sz w:val="22"/>
                <w:szCs w:val="22"/>
              </w:rPr>
            </w:pPr>
            <w:r w:rsidRPr="007D003C">
              <w:rPr>
                <w:rFonts w:ascii="Arial" w:hAnsi="Arial" w:cs="Arial"/>
                <w:sz w:val="22"/>
                <w:szCs w:val="22"/>
              </w:rPr>
              <w:t xml:space="preserve">Uses Accounting measures for profit, that </w:t>
            </w:r>
            <w:r w:rsidR="00226BF7">
              <w:rPr>
                <w:rFonts w:ascii="Arial" w:hAnsi="Arial" w:cs="Arial"/>
                <w:sz w:val="22"/>
                <w:szCs w:val="22"/>
              </w:rPr>
              <w:t>is</w:t>
            </w:r>
            <w:r w:rsidRPr="007D003C">
              <w:rPr>
                <w:rFonts w:ascii="Arial" w:hAnsi="Arial" w:cs="Arial"/>
                <w:sz w:val="22"/>
                <w:szCs w:val="22"/>
              </w:rPr>
              <w:t xml:space="preserve"> easily understood,</w:t>
            </w:r>
            <w:r w:rsidR="00194386" w:rsidRPr="007D003C">
              <w:rPr>
                <w:rFonts w:ascii="Arial" w:hAnsi="Arial" w:cs="Arial"/>
                <w:sz w:val="22"/>
                <w:szCs w:val="22"/>
              </w:rPr>
              <w:t xml:space="preserve"> the records from the statement can be used for calculations; it also provides</w:t>
            </w:r>
            <w:r w:rsidRPr="007D003C">
              <w:rPr>
                <w:rFonts w:ascii="Arial" w:hAnsi="Arial" w:cs="Arial"/>
                <w:sz w:val="22"/>
                <w:szCs w:val="22"/>
              </w:rPr>
              <w:t xml:space="preserve"> a clear </w:t>
            </w:r>
            <w:r w:rsidR="00194386" w:rsidRPr="007D003C">
              <w:rPr>
                <w:rFonts w:ascii="Arial" w:hAnsi="Arial" w:cs="Arial"/>
                <w:sz w:val="22"/>
                <w:szCs w:val="22"/>
              </w:rPr>
              <w:t>illustration</w:t>
            </w:r>
            <w:r w:rsidRPr="007D003C">
              <w:rPr>
                <w:rFonts w:ascii="Arial" w:hAnsi="Arial" w:cs="Arial"/>
                <w:sz w:val="22"/>
                <w:szCs w:val="22"/>
              </w:rPr>
              <w:t xml:space="preserve"> of the profitability of a </w:t>
            </w:r>
            <w:r w:rsidR="00194386" w:rsidRPr="007D003C">
              <w:rPr>
                <w:rFonts w:ascii="Arial" w:hAnsi="Arial" w:cs="Arial"/>
                <w:sz w:val="22"/>
                <w:szCs w:val="22"/>
              </w:rPr>
              <w:t>venture</w:t>
            </w:r>
            <w:r w:rsidR="006A60E9" w:rsidRPr="007D003C">
              <w:rPr>
                <w:rFonts w:ascii="Arial" w:hAnsi="Arial" w:cs="Arial"/>
                <w:sz w:val="22"/>
                <w:szCs w:val="22"/>
              </w:rPr>
              <w:t xml:space="preserve"> (Weetman, 2013).</w:t>
            </w:r>
          </w:p>
          <w:p w14:paraId="25EA3500" w14:textId="5803ED3F" w:rsidR="00C3334A" w:rsidRPr="007D003C" w:rsidRDefault="00C3334A" w:rsidP="00E8790F">
            <w:pPr>
              <w:jc w:val="both"/>
              <w:rPr>
                <w:rFonts w:ascii="Arial" w:hAnsi="Arial" w:cs="Arial"/>
                <w:sz w:val="22"/>
                <w:szCs w:val="22"/>
              </w:rPr>
            </w:pPr>
          </w:p>
        </w:tc>
        <w:tc>
          <w:tcPr>
            <w:tcW w:w="4819" w:type="dxa"/>
          </w:tcPr>
          <w:p w14:paraId="3FBBBDF8" w14:textId="74EB1A7B" w:rsidR="00BD0037" w:rsidRPr="007D003C" w:rsidRDefault="005C55EA" w:rsidP="00AD5FAA">
            <w:pPr>
              <w:jc w:val="both"/>
              <w:rPr>
                <w:rFonts w:ascii="Arial" w:hAnsi="Arial" w:cs="Arial"/>
                <w:sz w:val="22"/>
                <w:szCs w:val="22"/>
              </w:rPr>
            </w:pPr>
            <w:r w:rsidRPr="007D003C">
              <w:rPr>
                <w:rFonts w:ascii="Arial" w:hAnsi="Arial" w:cs="Arial"/>
                <w:sz w:val="22"/>
                <w:szCs w:val="22"/>
              </w:rPr>
              <w:t>The ARR is</w:t>
            </w:r>
            <w:r w:rsidR="00C3334A" w:rsidRPr="007D003C">
              <w:rPr>
                <w:rFonts w:ascii="Arial" w:hAnsi="Arial" w:cs="Arial"/>
                <w:sz w:val="22"/>
                <w:szCs w:val="22"/>
              </w:rPr>
              <w:t xml:space="preserve"> affected by </w:t>
            </w:r>
            <w:r w:rsidR="001A4B84" w:rsidRPr="007D003C">
              <w:rPr>
                <w:rFonts w:ascii="Arial" w:hAnsi="Arial" w:cs="Arial"/>
                <w:sz w:val="22"/>
                <w:szCs w:val="22"/>
              </w:rPr>
              <w:t>non-cash items like</w:t>
            </w:r>
            <w:r w:rsidRPr="007D003C">
              <w:rPr>
                <w:rFonts w:ascii="Arial" w:hAnsi="Arial" w:cs="Arial"/>
                <w:sz w:val="22"/>
                <w:szCs w:val="22"/>
              </w:rPr>
              <w:t xml:space="preserve"> depreciation, which in some companies could distort the decision, depending on the depreciation policy used across the project</w:t>
            </w:r>
            <w:r w:rsidR="006A60E9" w:rsidRPr="007D003C">
              <w:rPr>
                <w:rFonts w:ascii="Arial" w:hAnsi="Arial" w:cs="Arial"/>
                <w:sz w:val="22"/>
                <w:szCs w:val="22"/>
              </w:rPr>
              <w:t xml:space="preserve"> (CFI, 2015)</w:t>
            </w:r>
          </w:p>
          <w:p w14:paraId="25000111" w14:textId="4A692BA2" w:rsidR="005C55EA" w:rsidRPr="007D003C" w:rsidRDefault="005C55EA" w:rsidP="00AD5FAA">
            <w:pPr>
              <w:jc w:val="both"/>
              <w:rPr>
                <w:rFonts w:ascii="Arial" w:hAnsi="Arial" w:cs="Arial"/>
                <w:sz w:val="22"/>
                <w:szCs w:val="22"/>
              </w:rPr>
            </w:pPr>
          </w:p>
        </w:tc>
      </w:tr>
      <w:tr w:rsidR="00BD0037" w:rsidRPr="007D003C" w14:paraId="422CEE52" w14:textId="77777777" w:rsidTr="00F90935">
        <w:tc>
          <w:tcPr>
            <w:tcW w:w="4917" w:type="dxa"/>
            <w:gridSpan w:val="2"/>
          </w:tcPr>
          <w:p w14:paraId="6675524A" w14:textId="13CA43EA" w:rsidR="00BD0037" w:rsidRPr="007D003C" w:rsidRDefault="00E8790F" w:rsidP="00AD5FAA">
            <w:pPr>
              <w:jc w:val="both"/>
              <w:rPr>
                <w:rFonts w:ascii="Arial" w:hAnsi="Arial" w:cs="Arial"/>
                <w:sz w:val="22"/>
                <w:szCs w:val="22"/>
              </w:rPr>
            </w:pPr>
            <w:r w:rsidRPr="007D003C">
              <w:rPr>
                <w:rFonts w:ascii="Arial" w:hAnsi="Arial" w:cs="Arial"/>
                <w:sz w:val="22"/>
                <w:szCs w:val="22"/>
              </w:rPr>
              <w:t>The method looks at the project expectancy over the project life</w:t>
            </w:r>
            <w:r w:rsidR="006A60E9" w:rsidRPr="007D003C">
              <w:rPr>
                <w:rFonts w:ascii="Arial" w:hAnsi="Arial" w:cs="Arial"/>
                <w:sz w:val="22"/>
                <w:szCs w:val="22"/>
              </w:rPr>
              <w:t xml:space="preserve"> (Weetman, 2013).</w:t>
            </w:r>
          </w:p>
        </w:tc>
        <w:tc>
          <w:tcPr>
            <w:tcW w:w="4819" w:type="dxa"/>
          </w:tcPr>
          <w:p w14:paraId="77FD67B5" w14:textId="77777777" w:rsidR="00194386" w:rsidRDefault="00194386" w:rsidP="00AD5FAA">
            <w:pPr>
              <w:jc w:val="both"/>
              <w:rPr>
                <w:rFonts w:ascii="Arial" w:hAnsi="Arial" w:cs="Arial"/>
                <w:sz w:val="22"/>
                <w:szCs w:val="22"/>
              </w:rPr>
            </w:pPr>
            <w:r w:rsidRPr="007D003C">
              <w:rPr>
                <w:rFonts w:ascii="Arial" w:hAnsi="Arial" w:cs="Arial"/>
                <w:sz w:val="22"/>
                <w:szCs w:val="22"/>
              </w:rPr>
              <w:t xml:space="preserve">The calculation of returns differs depending on the </w:t>
            </w:r>
            <w:r w:rsidR="001A4B84" w:rsidRPr="007D003C">
              <w:rPr>
                <w:rFonts w:ascii="Arial" w:hAnsi="Arial" w:cs="Arial"/>
                <w:sz w:val="22"/>
                <w:szCs w:val="22"/>
              </w:rPr>
              <w:t>formula</w:t>
            </w:r>
            <w:r w:rsidRPr="007D003C">
              <w:rPr>
                <w:rFonts w:ascii="Arial" w:hAnsi="Arial" w:cs="Arial"/>
                <w:sz w:val="22"/>
                <w:szCs w:val="22"/>
              </w:rPr>
              <w:t xml:space="preserve"> use</w:t>
            </w:r>
            <w:r w:rsidR="001A4B84" w:rsidRPr="007D003C">
              <w:rPr>
                <w:rFonts w:ascii="Arial" w:hAnsi="Arial" w:cs="Arial"/>
                <w:sz w:val="22"/>
                <w:szCs w:val="22"/>
              </w:rPr>
              <w:t>d</w:t>
            </w:r>
            <w:r w:rsidRPr="007D003C">
              <w:rPr>
                <w:rFonts w:ascii="Arial" w:hAnsi="Arial" w:cs="Arial"/>
                <w:sz w:val="22"/>
                <w:szCs w:val="22"/>
              </w:rPr>
              <w:t>, complicating the decision process</w:t>
            </w:r>
            <w:r w:rsidR="001A4B84" w:rsidRPr="007D003C">
              <w:rPr>
                <w:rFonts w:ascii="Arial" w:hAnsi="Arial" w:cs="Arial"/>
                <w:sz w:val="22"/>
                <w:szCs w:val="22"/>
              </w:rPr>
              <w:t xml:space="preserve"> for the project appraisal</w:t>
            </w:r>
            <w:r w:rsidR="00EE188A" w:rsidRPr="007D003C">
              <w:rPr>
                <w:rFonts w:ascii="Arial" w:hAnsi="Arial" w:cs="Arial"/>
                <w:sz w:val="22"/>
                <w:szCs w:val="22"/>
              </w:rPr>
              <w:t xml:space="preserve"> </w:t>
            </w:r>
            <w:r w:rsidRPr="007D003C">
              <w:rPr>
                <w:rFonts w:ascii="Arial" w:hAnsi="Arial" w:cs="Arial"/>
                <w:sz w:val="22"/>
                <w:szCs w:val="22"/>
              </w:rPr>
              <w:t>ROE/ ROCE/ARR</w:t>
            </w:r>
            <w:r w:rsidR="006A60E9" w:rsidRPr="007D003C">
              <w:rPr>
                <w:rFonts w:ascii="Arial" w:hAnsi="Arial" w:cs="Arial"/>
                <w:sz w:val="22"/>
                <w:szCs w:val="22"/>
              </w:rPr>
              <w:t xml:space="preserve"> (Maverick, 2019)</w:t>
            </w:r>
          </w:p>
          <w:p w14:paraId="3DE2D5B2" w14:textId="52BB56CA" w:rsidR="00226BF7" w:rsidRPr="007D003C" w:rsidRDefault="00226BF7" w:rsidP="00AD5FAA">
            <w:pPr>
              <w:jc w:val="both"/>
              <w:rPr>
                <w:rFonts w:ascii="Arial" w:hAnsi="Arial" w:cs="Arial"/>
                <w:sz w:val="22"/>
                <w:szCs w:val="22"/>
              </w:rPr>
            </w:pPr>
          </w:p>
        </w:tc>
      </w:tr>
      <w:tr w:rsidR="00C3334A" w:rsidRPr="007D003C" w14:paraId="7EB9A9BE" w14:textId="77777777" w:rsidTr="00F90935">
        <w:tc>
          <w:tcPr>
            <w:tcW w:w="4917" w:type="dxa"/>
            <w:gridSpan w:val="2"/>
          </w:tcPr>
          <w:p w14:paraId="057F2F6B" w14:textId="77777777" w:rsidR="00C3334A" w:rsidRPr="007D003C" w:rsidRDefault="00C3334A" w:rsidP="00C3334A">
            <w:pPr>
              <w:jc w:val="both"/>
              <w:rPr>
                <w:rFonts w:ascii="Arial" w:hAnsi="Arial" w:cs="Arial"/>
                <w:sz w:val="22"/>
                <w:szCs w:val="22"/>
              </w:rPr>
            </w:pPr>
          </w:p>
        </w:tc>
        <w:tc>
          <w:tcPr>
            <w:tcW w:w="4819" w:type="dxa"/>
          </w:tcPr>
          <w:p w14:paraId="5577B637" w14:textId="6BCAF641" w:rsidR="00C3334A" w:rsidRPr="007D003C" w:rsidRDefault="00C3334A" w:rsidP="00C3334A">
            <w:pPr>
              <w:jc w:val="both"/>
              <w:rPr>
                <w:rFonts w:ascii="Arial" w:hAnsi="Arial" w:cs="Arial"/>
                <w:sz w:val="22"/>
                <w:szCs w:val="22"/>
              </w:rPr>
            </w:pPr>
            <w:r w:rsidRPr="007D003C">
              <w:rPr>
                <w:rFonts w:ascii="Arial" w:hAnsi="Arial" w:cs="Arial"/>
                <w:sz w:val="22"/>
                <w:szCs w:val="22"/>
              </w:rPr>
              <w:t>Do not consider the external factors (risks)</w:t>
            </w:r>
            <w:r w:rsidR="00C64E96" w:rsidRPr="007D003C">
              <w:rPr>
                <w:rFonts w:ascii="Arial" w:hAnsi="Arial" w:cs="Arial"/>
                <w:sz w:val="22"/>
                <w:szCs w:val="22"/>
              </w:rPr>
              <w:t xml:space="preserve">.  The method is not </w:t>
            </w:r>
            <w:r w:rsidR="00EE16F1" w:rsidRPr="007D003C">
              <w:rPr>
                <w:rFonts w:ascii="Arial" w:hAnsi="Arial" w:cs="Arial"/>
                <w:sz w:val="22"/>
                <w:szCs w:val="22"/>
              </w:rPr>
              <w:t>additive, you cannot add up projects</w:t>
            </w:r>
            <w:r w:rsidR="006A60E9" w:rsidRPr="007D003C">
              <w:rPr>
                <w:rFonts w:ascii="Arial" w:hAnsi="Arial" w:cs="Arial"/>
                <w:sz w:val="22"/>
                <w:szCs w:val="22"/>
              </w:rPr>
              <w:t xml:space="preserve"> (Weetman, 2013).</w:t>
            </w:r>
          </w:p>
          <w:p w14:paraId="7B4AC6CD" w14:textId="75FF128E" w:rsidR="00E5381C" w:rsidRPr="007D003C" w:rsidRDefault="00E5381C" w:rsidP="00C3334A">
            <w:pPr>
              <w:jc w:val="both"/>
              <w:rPr>
                <w:rFonts w:ascii="Arial" w:hAnsi="Arial" w:cs="Arial"/>
                <w:sz w:val="22"/>
                <w:szCs w:val="22"/>
              </w:rPr>
            </w:pPr>
          </w:p>
        </w:tc>
      </w:tr>
      <w:tr w:rsidR="00C3334A" w:rsidRPr="007D003C" w14:paraId="57E55688" w14:textId="77777777" w:rsidTr="00F90935">
        <w:tc>
          <w:tcPr>
            <w:tcW w:w="4917" w:type="dxa"/>
            <w:gridSpan w:val="2"/>
          </w:tcPr>
          <w:p w14:paraId="5DD75D29" w14:textId="77777777" w:rsidR="00C3334A" w:rsidRPr="007D003C" w:rsidRDefault="00C3334A" w:rsidP="00C3334A">
            <w:pPr>
              <w:jc w:val="both"/>
              <w:rPr>
                <w:rFonts w:ascii="Arial" w:hAnsi="Arial" w:cs="Arial"/>
                <w:sz w:val="22"/>
                <w:szCs w:val="22"/>
              </w:rPr>
            </w:pPr>
          </w:p>
        </w:tc>
        <w:tc>
          <w:tcPr>
            <w:tcW w:w="4819" w:type="dxa"/>
          </w:tcPr>
          <w:p w14:paraId="07DE9DAC" w14:textId="1CEE0FEE" w:rsidR="00C3334A" w:rsidRPr="007D003C" w:rsidRDefault="00C3334A" w:rsidP="00C3334A">
            <w:pPr>
              <w:jc w:val="both"/>
              <w:rPr>
                <w:rFonts w:ascii="Arial" w:hAnsi="Arial" w:cs="Arial"/>
                <w:sz w:val="22"/>
                <w:szCs w:val="22"/>
              </w:rPr>
            </w:pPr>
            <w:r w:rsidRPr="007D003C">
              <w:rPr>
                <w:rFonts w:ascii="Arial" w:hAnsi="Arial" w:cs="Arial"/>
                <w:sz w:val="22"/>
                <w:szCs w:val="22"/>
              </w:rPr>
              <w:t>Do not consider cash inflows, relates to the profit only, do not differentiate the period of profits earned (20%ARR in In Year 8 and 18% ARR in Year 6 have</w:t>
            </w:r>
            <w:r w:rsidR="00226BF7">
              <w:rPr>
                <w:rFonts w:ascii="Arial" w:hAnsi="Arial" w:cs="Arial"/>
                <w:sz w:val="22"/>
                <w:szCs w:val="22"/>
              </w:rPr>
              <w:t xml:space="preserve"> a</w:t>
            </w:r>
            <w:r w:rsidRPr="007D003C">
              <w:rPr>
                <w:rFonts w:ascii="Arial" w:hAnsi="Arial" w:cs="Arial"/>
                <w:sz w:val="22"/>
                <w:szCs w:val="22"/>
              </w:rPr>
              <w:t xml:space="preserve"> different value)</w:t>
            </w:r>
            <w:r w:rsidR="006A60E9" w:rsidRPr="007D003C">
              <w:rPr>
                <w:rFonts w:ascii="Arial" w:hAnsi="Arial" w:cs="Arial"/>
                <w:sz w:val="22"/>
                <w:szCs w:val="22"/>
              </w:rPr>
              <w:t xml:space="preserve"> (Weetman, 2013).</w:t>
            </w:r>
          </w:p>
          <w:p w14:paraId="2A1DE4F5" w14:textId="12B0133C" w:rsidR="00EE16F1" w:rsidRPr="007D003C" w:rsidRDefault="00EE16F1" w:rsidP="00C3334A">
            <w:pPr>
              <w:jc w:val="both"/>
              <w:rPr>
                <w:rFonts w:ascii="Arial" w:hAnsi="Arial" w:cs="Arial"/>
                <w:sz w:val="22"/>
                <w:szCs w:val="22"/>
              </w:rPr>
            </w:pPr>
          </w:p>
        </w:tc>
      </w:tr>
      <w:tr w:rsidR="00F90935" w:rsidRPr="007D003C" w14:paraId="084257C5" w14:textId="77777777" w:rsidTr="00F90935">
        <w:tc>
          <w:tcPr>
            <w:tcW w:w="4917" w:type="dxa"/>
            <w:gridSpan w:val="2"/>
            <w:shd w:val="clear" w:color="auto" w:fill="B8CCE4" w:themeFill="accent1" w:themeFillTint="66"/>
          </w:tcPr>
          <w:p w14:paraId="1CC7E032" w14:textId="77777777" w:rsidR="00F90935" w:rsidRDefault="00F90935" w:rsidP="00C3334A">
            <w:pPr>
              <w:jc w:val="both"/>
              <w:rPr>
                <w:rFonts w:ascii="Arial" w:hAnsi="Arial" w:cs="Arial"/>
                <w:sz w:val="22"/>
                <w:szCs w:val="22"/>
              </w:rPr>
            </w:pPr>
          </w:p>
          <w:p w14:paraId="7A5C262C" w14:textId="77777777" w:rsidR="00F90935" w:rsidRDefault="00F90935" w:rsidP="00F90935">
            <w:pPr>
              <w:jc w:val="center"/>
              <w:rPr>
                <w:rFonts w:ascii="Arial" w:hAnsi="Arial" w:cs="Arial"/>
                <w:i/>
                <w:iCs/>
                <w:sz w:val="22"/>
                <w:szCs w:val="22"/>
              </w:rPr>
            </w:pPr>
            <w:r w:rsidRPr="007D003C">
              <w:rPr>
                <w:rFonts w:ascii="Arial" w:hAnsi="Arial" w:cs="Arial"/>
                <w:i/>
                <w:iCs/>
                <w:sz w:val="22"/>
                <w:szCs w:val="22"/>
              </w:rPr>
              <w:t>Advantages</w:t>
            </w:r>
          </w:p>
          <w:p w14:paraId="52C16530" w14:textId="3AF0AE6A" w:rsidR="00F90935" w:rsidRPr="007D003C" w:rsidRDefault="00F90935" w:rsidP="00C3334A">
            <w:pPr>
              <w:jc w:val="both"/>
              <w:rPr>
                <w:rFonts w:ascii="Arial" w:hAnsi="Arial" w:cs="Arial"/>
                <w:sz w:val="22"/>
                <w:szCs w:val="22"/>
              </w:rPr>
            </w:pPr>
          </w:p>
        </w:tc>
        <w:tc>
          <w:tcPr>
            <w:tcW w:w="4819" w:type="dxa"/>
            <w:shd w:val="clear" w:color="auto" w:fill="B8CCE4" w:themeFill="accent1" w:themeFillTint="66"/>
          </w:tcPr>
          <w:p w14:paraId="64AC535B" w14:textId="77777777" w:rsidR="00F90935" w:rsidRDefault="00F90935" w:rsidP="00C3334A">
            <w:pPr>
              <w:jc w:val="both"/>
              <w:rPr>
                <w:rFonts w:ascii="Arial" w:hAnsi="Arial" w:cs="Arial"/>
                <w:i/>
                <w:iCs/>
                <w:sz w:val="22"/>
                <w:szCs w:val="22"/>
              </w:rPr>
            </w:pPr>
          </w:p>
          <w:p w14:paraId="6053C1E5" w14:textId="0051FEE5" w:rsidR="00F90935" w:rsidRPr="007D003C" w:rsidRDefault="00F90935" w:rsidP="00F90935">
            <w:pPr>
              <w:jc w:val="center"/>
              <w:rPr>
                <w:rFonts w:ascii="Arial" w:hAnsi="Arial" w:cs="Arial"/>
                <w:sz w:val="22"/>
                <w:szCs w:val="22"/>
              </w:rPr>
            </w:pPr>
            <w:r w:rsidRPr="007D003C">
              <w:rPr>
                <w:rFonts w:ascii="Arial" w:hAnsi="Arial" w:cs="Arial"/>
                <w:i/>
                <w:iCs/>
                <w:sz w:val="22"/>
                <w:szCs w:val="22"/>
              </w:rPr>
              <w:t>Disadvantages</w:t>
            </w:r>
          </w:p>
        </w:tc>
      </w:tr>
      <w:tr w:rsidR="001A4B84" w:rsidRPr="007D003C" w14:paraId="25E77582" w14:textId="77777777" w:rsidTr="00F90935">
        <w:trPr>
          <w:trHeight w:val="41"/>
        </w:trPr>
        <w:tc>
          <w:tcPr>
            <w:tcW w:w="9736" w:type="dxa"/>
            <w:gridSpan w:val="3"/>
            <w:shd w:val="clear" w:color="auto" w:fill="auto"/>
          </w:tcPr>
          <w:p w14:paraId="6E8D7478" w14:textId="77777777" w:rsidR="001134EF" w:rsidRDefault="001134EF" w:rsidP="001A4B84">
            <w:pPr>
              <w:jc w:val="center"/>
              <w:rPr>
                <w:rFonts w:ascii="Arial" w:hAnsi="Arial" w:cs="Arial"/>
                <w:i/>
                <w:iCs/>
                <w:sz w:val="22"/>
                <w:szCs w:val="22"/>
              </w:rPr>
            </w:pPr>
          </w:p>
          <w:p w14:paraId="66CFC76B" w14:textId="3F4FAC30" w:rsidR="001A4B84" w:rsidRPr="007D003C" w:rsidRDefault="001A4B84" w:rsidP="00F90935">
            <w:pPr>
              <w:jc w:val="center"/>
              <w:rPr>
                <w:rFonts w:ascii="Arial" w:hAnsi="Arial" w:cs="Arial"/>
                <w:i/>
                <w:iCs/>
                <w:sz w:val="22"/>
                <w:szCs w:val="22"/>
              </w:rPr>
            </w:pPr>
            <w:r w:rsidRPr="007D003C">
              <w:rPr>
                <w:rFonts w:ascii="Arial" w:hAnsi="Arial" w:cs="Arial"/>
                <w:i/>
                <w:iCs/>
                <w:sz w:val="22"/>
                <w:szCs w:val="22"/>
              </w:rPr>
              <w:t>Net Present value</w:t>
            </w:r>
          </w:p>
          <w:p w14:paraId="59BC3FC6" w14:textId="11D300BB" w:rsidR="00EE188A" w:rsidRPr="007D003C" w:rsidRDefault="00EE188A" w:rsidP="001A4B84">
            <w:pPr>
              <w:jc w:val="center"/>
              <w:rPr>
                <w:rFonts w:ascii="Arial" w:hAnsi="Arial" w:cs="Arial"/>
                <w:i/>
                <w:iCs/>
                <w:sz w:val="22"/>
                <w:szCs w:val="22"/>
              </w:rPr>
            </w:pPr>
          </w:p>
        </w:tc>
      </w:tr>
      <w:tr w:rsidR="00C3334A" w:rsidRPr="007D003C" w14:paraId="114D05D9" w14:textId="77777777" w:rsidTr="00F90935">
        <w:tc>
          <w:tcPr>
            <w:tcW w:w="4917" w:type="dxa"/>
            <w:gridSpan w:val="2"/>
          </w:tcPr>
          <w:p w14:paraId="00DB94A3" w14:textId="63A8813B" w:rsidR="00C3334A" w:rsidRPr="007D003C" w:rsidRDefault="0064289E" w:rsidP="00C3334A">
            <w:pPr>
              <w:jc w:val="both"/>
              <w:rPr>
                <w:rFonts w:ascii="Arial" w:hAnsi="Arial" w:cs="Arial"/>
                <w:sz w:val="22"/>
                <w:szCs w:val="22"/>
              </w:rPr>
            </w:pPr>
            <w:r w:rsidRPr="007D003C">
              <w:rPr>
                <w:rFonts w:ascii="Arial" w:hAnsi="Arial" w:cs="Arial"/>
                <w:sz w:val="22"/>
                <w:szCs w:val="22"/>
              </w:rPr>
              <w:t>Method “considers the concept of the time value of money (TVM) i.e., a pound today is worth more than a pound tomorrow owing to its earning capacity”</w:t>
            </w:r>
            <w:sdt>
              <w:sdtPr>
                <w:rPr>
                  <w:rFonts w:ascii="Arial" w:hAnsi="Arial" w:cs="Arial"/>
                  <w:sz w:val="22"/>
                  <w:szCs w:val="22"/>
                </w:rPr>
                <w:id w:val="-810096381"/>
                <w:citation/>
              </w:sdtPr>
              <w:sdtEndPr/>
              <w:sdtContent>
                <w:r w:rsidRPr="007D003C">
                  <w:rPr>
                    <w:rFonts w:ascii="Arial" w:hAnsi="Arial" w:cs="Arial"/>
                    <w:sz w:val="22"/>
                    <w:szCs w:val="22"/>
                  </w:rPr>
                  <w:fldChar w:fldCharType="begin"/>
                </w:r>
                <w:r w:rsidRPr="007D003C">
                  <w:rPr>
                    <w:rFonts w:ascii="Arial" w:hAnsi="Arial" w:cs="Arial"/>
                    <w:sz w:val="22"/>
                    <w:szCs w:val="22"/>
                  </w:rPr>
                  <w:instrText xml:space="preserve"> CITATION CFA21 \l 2057 </w:instrText>
                </w:r>
                <w:r w:rsidRPr="007D003C">
                  <w:rPr>
                    <w:rFonts w:ascii="Arial" w:hAnsi="Arial" w:cs="Arial"/>
                    <w:sz w:val="22"/>
                    <w:szCs w:val="22"/>
                  </w:rPr>
                  <w:fldChar w:fldCharType="separate"/>
                </w:r>
                <w:r w:rsidRPr="007D003C">
                  <w:rPr>
                    <w:rFonts w:ascii="Arial" w:hAnsi="Arial" w:cs="Arial"/>
                    <w:noProof/>
                    <w:sz w:val="22"/>
                    <w:szCs w:val="22"/>
                  </w:rPr>
                  <w:t xml:space="preserve"> (CFA Institute, 2021)</w:t>
                </w:r>
                <w:r w:rsidRPr="007D003C">
                  <w:rPr>
                    <w:rFonts w:ascii="Arial" w:hAnsi="Arial" w:cs="Arial"/>
                    <w:sz w:val="22"/>
                    <w:szCs w:val="22"/>
                  </w:rPr>
                  <w:fldChar w:fldCharType="end"/>
                </w:r>
              </w:sdtContent>
            </w:sdt>
            <w:r w:rsidR="00C64E96" w:rsidRPr="007D003C">
              <w:rPr>
                <w:rFonts w:ascii="Arial" w:hAnsi="Arial" w:cs="Arial"/>
                <w:sz w:val="22"/>
                <w:szCs w:val="22"/>
              </w:rPr>
              <w:t>.  It is crucial for construction, given the length of</w:t>
            </w:r>
            <w:r w:rsidR="00CD40E6" w:rsidRPr="007D003C">
              <w:rPr>
                <w:rFonts w:ascii="Arial" w:hAnsi="Arial" w:cs="Arial"/>
                <w:sz w:val="22"/>
                <w:szCs w:val="22"/>
              </w:rPr>
              <w:t xml:space="preserve"> time of</w:t>
            </w:r>
            <w:r w:rsidR="00C64E96" w:rsidRPr="007D003C">
              <w:rPr>
                <w:rFonts w:ascii="Arial" w:hAnsi="Arial" w:cs="Arial"/>
                <w:sz w:val="22"/>
                <w:szCs w:val="22"/>
              </w:rPr>
              <w:t xml:space="preserve"> the projects</w:t>
            </w:r>
          </w:p>
          <w:p w14:paraId="0C891D18" w14:textId="54274053" w:rsidR="00EE16F1" w:rsidRPr="007D003C" w:rsidRDefault="00EE16F1" w:rsidP="00C3334A">
            <w:pPr>
              <w:jc w:val="both"/>
              <w:rPr>
                <w:rFonts w:ascii="Arial" w:hAnsi="Arial" w:cs="Arial"/>
                <w:sz w:val="22"/>
                <w:szCs w:val="22"/>
              </w:rPr>
            </w:pPr>
          </w:p>
        </w:tc>
        <w:tc>
          <w:tcPr>
            <w:tcW w:w="4819" w:type="dxa"/>
          </w:tcPr>
          <w:p w14:paraId="063CDB02" w14:textId="37AC0253" w:rsidR="00E5381C" w:rsidRPr="007D003C" w:rsidRDefault="00E5381C" w:rsidP="00C3334A">
            <w:pPr>
              <w:jc w:val="both"/>
              <w:rPr>
                <w:rFonts w:ascii="Arial" w:hAnsi="Arial" w:cs="Arial"/>
                <w:sz w:val="22"/>
                <w:szCs w:val="22"/>
              </w:rPr>
            </w:pPr>
            <w:r w:rsidRPr="007D003C">
              <w:rPr>
                <w:rFonts w:ascii="Arial" w:hAnsi="Arial" w:cs="Arial"/>
                <w:sz w:val="22"/>
                <w:szCs w:val="22"/>
              </w:rPr>
              <w:t>Analysis “makes assumptions and estimates about the future events that may not be reliable”, often projects required additional unforeseen expenditure</w:t>
            </w:r>
            <w:r w:rsidR="00C64E96" w:rsidRPr="007D003C">
              <w:rPr>
                <w:rFonts w:ascii="Arial" w:hAnsi="Arial" w:cs="Arial"/>
                <w:sz w:val="22"/>
                <w:szCs w:val="22"/>
              </w:rPr>
              <w:t xml:space="preserve"> (CFA Institute, 2021)</w:t>
            </w:r>
          </w:p>
          <w:p w14:paraId="032DDB91" w14:textId="449E4153" w:rsidR="00C3334A" w:rsidRPr="007D003C" w:rsidRDefault="00E5381C" w:rsidP="00C3334A">
            <w:pPr>
              <w:jc w:val="both"/>
              <w:rPr>
                <w:rFonts w:ascii="Arial" w:hAnsi="Arial" w:cs="Arial"/>
                <w:sz w:val="22"/>
                <w:szCs w:val="22"/>
              </w:rPr>
            </w:pPr>
            <w:r w:rsidRPr="007D003C">
              <w:rPr>
                <w:rFonts w:ascii="Arial" w:hAnsi="Arial" w:cs="Arial"/>
                <w:sz w:val="22"/>
                <w:szCs w:val="22"/>
              </w:rPr>
              <w:t xml:space="preserve"> </w:t>
            </w:r>
          </w:p>
        </w:tc>
      </w:tr>
      <w:tr w:rsidR="00E5381C" w:rsidRPr="007D003C" w14:paraId="10D244F3" w14:textId="77777777" w:rsidTr="00F90935">
        <w:tc>
          <w:tcPr>
            <w:tcW w:w="4917" w:type="dxa"/>
            <w:gridSpan w:val="2"/>
          </w:tcPr>
          <w:p w14:paraId="553B5E56" w14:textId="619F0DE8" w:rsidR="00C64E96" w:rsidRPr="007D003C" w:rsidRDefault="00A05C55" w:rsidP="00C3334A">
            <w:pPr>
              <w:jc w:val="both"/>
              <w:rPr>
                <w:rFonts w:ascii="Arial" w:hAnsi="Arial" w:cs="Arial"/>
                <w:sz w:val="22"/>
                <w:szCs w:val="22"/>
              </w:rPr>
            </w:pPr>
            <w:r w:rsidRPr="007D003C">
              <w:rPr>
                <w:rFonts w:ascii="Arial" w:hAnsi="Arial" w:cs="Arial"/>
                <w:sz w:val="22"/>
                <w:szCs w:val="22"/>
              </w:rPr>
              <w:t xml:space="preserve">NPV provides an unmistakable most clear measure. </w:t>
            </w:r>
            <w:r w:rsidR="00C64E96" w:rsidRPr="007D003C">
              <w:rPr>
                <w:rFonts w:ascii="Arial" w:hAnsi="Arial" w:cs="Arial"/>
                <w:sz w:val="22"/>
                <w:szCs w:val="22"/>
              </w:rPr>
              <w:t>“</w:t>
            </w:r>
            <w:r w:rsidRPr="007D003C">
              <w:rPr>
                <w:rFonts w:ascii="Arial" w:hAnsi="Arial" w:cs="Arial"/>
                <w:sz w:val="22"/>
                <w:szCs w:val="22"/>
              </w:rPr>
              <w:t xml:space="preserve">It approximates wealth creation from the potential investment in today’s </w:t>
            </w:r>
            <w:r w:rsidR="00C64E96" w:rsidRPr="007D003C">
              <w:rPr>
                <w:rFonts w:ascii="Arial" w:hAnsi="Arial" w:cs="Arial"/>
                <w:sz w:val="22"/>
                <w:szCs w:val="22"/>
              </w:rPr>
              <w:t>money</w:t>
            </w:r>
            <w:r w:rsidRPr="007D003C">
              <w:rPr>
                <w:rFonts w:ascii="Arial" w:hAnsi="Arial" w:cs="Arial"/>
                <w:sz w:val="22"/>
                <w:szCs w:val="22"/>
              </w:rPr>
              <w:t>, given the applied discount rate</w:t>
            </w:r>
            <w:r w:rsidR="00C64E96" w:rsidRPr="007D003C">
              <w:rPr>
                <w:rFonts w:ascii="Arial" w:hAnsi="Arial" w:cs="Arial"/>
                <w:sz w:val="22"/>
                <w:szCs w:val="22"/>
              </w:rPr>
              <w:t>”</w:t>
            </w:r>
            <w:sdt>
              <w:sdtPr>
                <w:rPr>
                  <w:rFonts w:ascii="Arial" w:hAnsi="Arial" w:cs="Arial"/>
                  <w:sz w:val="22"/>
                  <w:szCs w:val="22"/>
                </w:rPr>
                <w:id w:val="1372257355"/>
                <w:citation/>
              </w:sdtPr>
              <w:sdtEndPr/>
              <w:sdtContent>
                <w:r w:rsidR="00C64E96" w:rsidRPr="007D003C">
                  <w:rPr>
                    <w:rFonts w:ascii="Arial" w:hAnsi="Arial" w:cs="Arial"/>
                    <w:sz w:val="22"/>
                    <w:szCs w:val="22"/>
                  </w:rPr>
                  <w:fldChar w:fldCharType="begin"/>
                </w:r>
                <w:r w:rsidR="00C64E96" w:rsidRPr="007D003C">
                  <w:rPr>
                    <w:rFonts w:ascii="Arial" w:hAnsi="Arial" w:cs="Arial"/>
                    <w:sz w:val="22"/>
                    <w:szCs w:val="22"/>
                  </w:rPr>
                  <w:instrText xml:space="preserve"> CITATION Men20 \l 2057 </w:instrText>
                </w:r>
                <w:r w:rsidR="00C64E96" w:rsidRPr="007D003C">
                  <w:rPr>
                    <w:rFonts w:ascii="Arial" w:hAnsi="Arial" w:cs="Arial"/>
                    <w:sz w:val="22"/>
                    <w:szCs w:val="22"/>
                  </w:rPr>
                  <w:fldChar w:fldCharType="separate"/>
                </w:r>
                <w:r w:rsidR="00C64E96" w:rsidRPr="007D003C">
                  <w:rPr>
                    <w:rFonts w:ascii="Arial" w:hAnsi="Arial" w:cs="Arial"/>
                    <w:noProof/>
                    <w:sz w:val="22"/>
                    <w:szCs w:val="22"/>
                  </w:rPr>
                  <w:t xml:space="preserve"> (Mendell, 2020)</w:t>
                </w:r>
                <w:r w:rsidR="00C64E96" w:rsidRPr="007D003C">
                  <w:rPr>
                    <w:rFonts w:ascii="Arial" w:hAnsi="Arial" w:cs="Arial"/>
                    <w:sz w:val="22"/>
                    <w:szCs w:val="22"/>
                  </w:rPr>
                  <w:fldChar w:fldCharType="end"/>
                </w:r>
              </w:sdtContent>
            </w:sdt>
          </w:p>
          <w:p w14:paraId="37D2DD7E" w14:textId="6424EB70" w:rsidR="00E5381C" w:rsidRPr="007D003C" w:rsidRDefault="00E5381C" w:rsidP="00C3334A">
            <w:pPr>
              <w:jc w:val="both"/>
              <w:rPr>
                <w:rFonts w:ascii="Arial" w:hAnsi="Arial" w:cs="Arial"/>
                <w:sz w:val="22"/>
                <w:szCs w:val="22"/>
              </w:rPr>
            </w:pPr>
          </w:p>
        </w:tc>
        <w:tc>
          <w:tcPr>
            <w:tcW w:w="4819" w:type="dxa"/>
          </w:tcPr>
          <w:p w14:paraId="41732885" w14:textId="77777777" w:rsidR="00E5381C" w:rsidRPr="007D003C" w:rsidRDefault="00EE16F1" w:rsidP="00C3334A">
            <w:pPr>
              <w:jc w:val="both"/>
              <w:rPr>
                <w:rFonts w:ascii="Arial" w:hAnsi="Arial" w:cs="Arial"/>
                <w:sz w:val="22"/>
                <w:szCs w:val="22"/>
              </w:rPr>
            </w:pPr>
            <w:r w:rsidRPr="007D003C">
              <w:rPr>
                <w:rFonts w:ascii="Arial" w:hAnsi="Arial" w:cs="Arial"/>
                <w:sz w:val="22"/>
                <w:szCs w:val="22"/>
              </w:rPr>
              <w:t>A company must select a discount rate, “the method assumes the discount rate is not changing over the life of the investment or project”. But discount rate is not the same from year-to-year, as well as “Opportunity costs change and vary across financiers” (Mendell, 2020).</w:t>
            </w:r>
          </w:p>
          <w:p w14:paraId="2F88091C" w14:textId="2DF8EB99" w:rsidR="00EE16F1" w:rsidRPr="007D003C" w:rsidRDefault="00EE16F1" w:rsidP="00C3334A">
            <w:pPr>
              <w:jc w:val="both"/>
              <w:rPr>
                <w:rFonts w:ascii="Arial" w:hAnsi="Arial" w:cs="Arial"/>
                <w:sz w:val="22"/>
                <w:szCs w:val="22"/>
              </w:rPr>
            </w:pPr>
          </w:p>
        </w:tc>
      </w:tr>
      <w:tr w:rsidR="00E5381C" w:rsidRPr="007D003C" w14:paraId="7861041A" w14:textId="77777777" w:rsidTr="00F90935">
        <w:tc>
          <w:tcPr>
            <w:tcW w:w="4917" w:type="dxa"/>
            <w:gridSpan w:val="2"/>
          </w:tcPr>
          <w:p w14:paraId="014BD7F2" w14:textId="4B42E7B5" w:rsidR="00E5381C" w:rsidRPr="007D003C" w:rsidRDefault="00C64E96" w:rsidP="00C3334A">
            <w:pPr>
              <w:jc w:val="both"/>
              <w:rPr>
                <w:rFonts w:ascii="Arial" w:hAnsi="Arial" w:cs="Arial"/>
                <w:sz w:val="22"/>
                <w:szCs w:val="22"/>
              </w:rPr>
            </w:pPr>
            <w:r w:rsidRPr="007D003C">
              <w:rPr>
                <w:rFonts w:ascii="Arial" w:hAnsi="Arial" w:cs="Arial"/>
                <w:sz w:val="22"/>
                <w:szCs w:val="22"/>
              </w:rPr>
              <w:t xml:space="preserve">“NPV accounts for investment size, it operates for comparing minor investments to multi-billion-pound projects or acquisitions” which is important for </w:t>
            </w:r>
            <w:r w:rsidR="00226BF7">
              <w:rPr>
                <w:rFonts w:ascii="Arial" w:hAnsi="Arial" w:cs="Arial"/>
                <w:sz w:val="22"/>
                <w:szCs w:val="22"/>
              </w:rPr>
              <w:t xml:space="preserve">the </w:t>
            </w:r>
            <w:r w:rsidRPr="007D003C">
              <w:rPr>
                <w:rFonts w:ascii="Arial" w:hAnsi="Arial" w:cs="Arial"/>
                <w:sz w:val="22"/>
                <w:szCs w:val="22"/>
              </w:rPr>
              <w:t>construction industry (Mendell, 2020)</w:t>
            </w:r>
          </w:p>
          <w:p w14:paraId="31E9913B" w14:textId="52D64618" w:rsidR="00C64E96" w:rsidRPr="007D003C" w:rsidRDefault="00C64E96" w:rsidP="00C3334A">
            <w:pPr>
              <w:jc w:val="both"/>
              <w:rPr>
                <w:rFonts w:ascii="Arial" w:hAnsi="Arial" w:cs="Arial"/>
                <w:sz w:val="22"/>
                <w:szCs w:val="22"/>
              </w:rPr>
            </w:pPr>
          </w:p>
        </w:tc>
        <w:tc>
          <w:tcPr>
            <w:tcW w:w="4819" w:type="dxa"/>
          </w:tcPr>
          <w:p w14:paraId="68755594" w14:textId="2C1B332C" w:rsidR="00E5381C" w:rsidRPr="007D003C" w:rsidRDefault="00002505" w:rsidP="00C3334A">
            <w:pPr>
              <w:jc w:val="both"/>
              <w:rPr>
                <w:rFonts w:ascii="Arial" w:hAnsi="Arial" w:cs="Arial"/>
                <w:sz w:val="22"/>
                <w:szCs w:val="22"/>
              </w:rPr>
            </w:pPr>
            <w:r w:rsidRPr="007D003C">
              <w:rPr>
                <w:rFonts w:ascii="Arial" w:hAnsi="Arial" w:cs="Arial"/>
                <w:sz w:val="22"/>
                <w:szCs w:val="22"/>
              </w:rPr>
              <w:t>There is no guidance on selecting the discount rate, required for calculations (CFA Institute, 2021)</w:t>
            </w:r>
          </w:p>
        </w:tc>
      </w:tr>
      <w:tr w:rsidR="00E5381C" w:rsidRPr="007D003C" w14:paraId="3C255B5E" w14:textId="77777777" w:rsidTr="00F90935">
        <w:tc>
          <w:tcPr>
            <w:tcW w:w="4917" w:type="dxa"/>
            <w:gridSpan w:val="2"/>
          </w:tcPr>
          <w:p w14:paraId="4D68B80B" w14:textId="129C02C5" w:rsidR="00E5381C" w:rsidRPr="007D003C" w:rsidRDefault="00C64E96" w:rsidP="00C3334A">
            <w:pPr>
              <w:jc w:val="both"/>
              <w:rPr>
                <w:rFonts w:ascii="Arial" w:hAnsi="Arial" w:cs="Arial"/>
                <w:sz w:val="22"/>
                <w:szCs w:val="22"/>
              </w:rPr>
            </w:pPr>
            <w:r w:rsidRPr="007D003C">
              <w:rPr>
                <w:rFonts w:ascii="Arial" w:hAnsi="Arial" w:cs="Arial"/>
                <w:sz w:val="22"/>
                <w:szCs w:val="22"/>
              </w:rPr>
              <w:t>“Method accounts cash flows rather than net earnings (which includes non-cash items such as depreciation)” (Mendell, 2020)</w:t>
            </w:r>
          </w:p>
          <w:p w14:paraId="1BF5B8EA" w14:textId="47456CB8" w:rsidR="00C64E96" w:rsidRPr="007D003C" w:rsidRDefault="00C64E96" w:rsidP="00C3334A">
            <w:pPr>
              <w:jc w:val="both"/>
              <w:rPr>
                <w:rFonts w:ascii="Arial" w:hAnsi="Arial" w:cs="Arial"/>
                <w:sz w:val="22"/>
                <w:szCs w:val="22"/>
              </w:rPr>
            </w:pPr>
          </w:p>
        </w:tc>
        <w:tc>
          <w:tcPr>
            <w:tcW w:w="4819" w:type="dxa"/>
          </w:tcPr>
          <w:p w14:paraId="3CC3BC8E" w14:textId="748723EF" w:rsidR="00E5381C" w:rsidRPr="007D003C" w:rsidRDefault="00002505" w:rsidP="00C3334A">
            <w:pPr>
              <w:jc w:val="both"/>
              <w:rPr>
                <w:rFonts w:ascii="Arial" w:hAnsi="Arial" w:cs="Arial"/>
                <w:sz w:val="22"/>
                <w:szCs w:val="22"/>
              </w:rPr>
            </w:pPr>
            <w:r w:rsidRPr="007D003C">
              <w:rPr>
                <w:rFonts w:ascii="Arial" w:hAnsi="Arial" w:cs="Arial"/>
                <w:sz w:val="22"/>
                <w:szCs w:val="22"/>
              </w:rPr>
              <w:t>Overconfidence in assuming</w:t>
            </w:r>
            <w:r w:rsidR="00226BF7">
              <w:rPr>
                <w:rFonts w:ascii="Arial" w:hAnsi="Arial" w:cs="Arial"/>
                <w:sz w:val="22"/>
                <w:szCs w:val="22"/>
              </w:rPr>
              <w:t xml:space="preserve"> the</w:t>
            </w:r>
            <w:r w:rsidRPr="007D003C">
              <w:rPr>
                <w:rFonts w:ascii="Arial" w:hAnsi="Arial" w:cs="Arial"/>
                <w:sz w:val="22"/>
                <w:szCs w:val="22"/>
              </w:rPr>
              <w:t xml:space="preserve"> accuracy of the predicted future cashflows, do not take account of hidden cost (</w:t>
            </w:r>
            <w:r w:rsidR="00226BF7">
              <w:rPr>
                <w:rFonts w:ascii="Arial" w:hAnsi="Arial" w:cs="Arial"/>
                <w:sz w:val="22"/>
                <w:szCs w:val="22"/>
              </w:rPr>
              <w:t xml:space="preserve">a </w:t>
            </w:r>
            <w:r w:rsidRPr="007D003C">
              <w:rPr>
                <w:rFonts w:ascii="Arial" w:hAnsi="Arial" w:cs="Arial"/>
                <w:sz w:val="22"/>
                <w:szCs w:val="22"/>
              </w:rPr>
              <w:t>sunk cost)</w:t>
            </w:r>
          </w:p>
        </w:tc>
      </w:tr>
      <w:tr w:rsidR="00E5381C" w:rsidRPr="007D003C" w14:paraId="2E4BF4B8" w14:textId="77777777" w:rsidTr="00F90935">
        <w:tc>
          <w:tcPr>
            <w:tcW w:w="4917" w:type="dxa"/>
            <w:gridSpan w:val="2"/>
          </w:tcPr>
          <w:p w14:paraId="08AFBDB2" w14:textId="31D85AFC" w:rsidR="00E5381C" w:rsidRPr="007D003C" w:rsidRDefault="00EE16F1" w:rsidP="00C3334A">
            <w:pPr>
              <w:jc w:val="both"/>
              <w:rPr>
                <w:rFonts w:ascii="Arial" w:hAnsi="Arial" w:cs="Arial"/>
                <w:sz w:val="22"/>
                <w:szCs w:val="22"/>
              </w:rPr>
            </w:pPr>
            <w:r w:rsidRPr="007D003C">
              <w:rPr>
                <w:rFonts w:ascii="Arial" w:hAnsi="Arial" w:cs="Arial"/>
                <w:sz w:val="22"/>
                <w:szCs w:val="22"/>
              </w:rPr>
              <w:t>“NPVs are additive, in case of multiple projects and excess capital, the projects can be added up to get an idea of cumulative wealth-creation from all investable ventures (Mendell, 2020).</w:t>
            </w:r>
          </w:p>
          <w:p w14:paraId="500DB803" w14:textId="06230627" w:rsidR="00C64E96" w:rsidRPr="007D003C" w:rsidRDefault="00C64E96" w:rsidP="00C3334A">
            <w:pPr>
              <w:jc w:val="both"/>
              <w:rPr>
                <w:rFonts w:ascii="Arial" w:hAnsi="Arial" w:cs="Arial"/>
                <w:sz w:val="22"/>
                <w:szCs w:val="22"/>
              </w:rPr>
            </w:pPr>
          </w:p>
        </w:tc>
        <w:tc>
          <w:tcPr>
            <w:tcW w:w="4819" w:type="dxa"/>
          </w:tcPr>
          <w:p w14:paraId="395934D0" w14:textId="16EFF243" w:rsidR="00E5381C" w:rsidRPr="007D003C" w:rsidRDefault="00002505" w:rsidP="00C3334A">
            <w:pPr>
              <w:jc w:val="both"/>
              <w:rPr>
                <w:rFonts w:ascii="Arial" w:hAnsi="Arial" w:cs="Arial"/>
                <w:sz w:val="22"/>
                <w:szCs w:val="22"/>
              </w:rPr>
            </w:pPr>
            <w:r w:rsidRPr="007D003C">
              <w:rPr>
                <w:rFonts w:ascii="Arial" w:hAnsi="Arial" w:cs="Arial"/>
                <w:sz w:val="22"/>
                <w:szCs w:val="22"/>
              </w:rPr>
              <w:t>Could be a hard method to understand, especially for</w:t>
            </w:r>
            <w:r w:rsidR="00226BF7">
              <w:rPr>
                <w:rFonts w:ascii="Arial" w:hAnsi="Arial" w:cs="Arial"/>
                <w:sz w:val="22"/>
                <w:szCs w:val="22"/>
              </w:rPr>
              <w:t xml:space="preserve"> a</w:t>
            </w:r>
            <w:r w:rsidRPr="007D003C">
              <w:rPr>
                <w:rFonts w:ascii="Arial" w:hAnsi="Arial" w:cs="Arial"/>
                <w:sz w:val="22"/>
                <w:szCs w:val="22"/>
              </w:rPr>
              <w:t xml:space="preserve"> non-financial population</w:t>
            </w:r>
          </w:p>
        </w:tc>
      </w:tr>
      <w:tr w:rsidR="00CD40E6" w:rsidRPr="007D003C" w14:paraId="233F330F" w14:textId="77777777" w:rsidTr="00F90935">
        <w:tc>
          <w:tcPr>
            <w:tcW w:w="4917" w:type="dxa"/>
            <w:gridSpan w:val="2"/>
          </w:tcPr>
          <w:p w14:paraId="7BD049B1" w14:textId="0C8B2090" w:rsidR="00CD40E6" w:rsidRPr="007D003C" w:rsidRDefault="00002505" w:rsidP="00C3334A">
            <w:pPr>
              <w:jc w:val="both"/>
              <w:rPr>
                <w:rFonts w:ascii="Arial" w:hAnsi="Arial" w:cs="Arial"/>
                <w:sz w:val="22"/>
                <w:szCs w:val="22"/>
              </w:rPr>
            </w:pPr>
            <w:r w:rsidRPr="007D003C">
              <w:rPr>
                <w:rFonts w:ascii="Arial" w:hAnsi="Arial" w:cs="Arial"/>
                <w:sz w:val="22"/>
                <w:szCs w:val="22"/>
              </w:rPr>
              <w:t>Enable the decision to select a project, it also</w:t>
            </w:r>
            <w:r w:rsidR="00226BF7">
              <w:rPr>
                <w:rFonts w:ascii="Arial" w:hAnsi="Arial" w:cs="Arial"/>
                <w:sz w:val="22"/>
                <w:szCs w:val="22"/>
              </w:rPr>
              <w:t xml:space="preserve"> a</w:t>
            </w:r>
            <w:r w:rsidRPr="007D003C">
              <w:rPr>
                <w:rFonts w:ascii="Arial" w:hAnsi="Arial" w:cs="Arial"/>
                <w:sz w:val="22"/>
                <w:szCs w:val="22"/>
              </w:rPr>
              <w:t xml:space="preserve"> g</w:t>
            </w:r>
            <w:r w:rsidR="00CD40E6" w:rsidRPr="007D003C">
              <w:rPr>
                <w:rFonts w:ascii="Arial" w:hAnsi="Arial" w:cs="Arial"/>
                <w:sz w:val="22"/>
                <w:szCs w:val="22"/>
              </w:rPr>
              <w:t>ood measure of profitability, especially when applied to mutually exclusive projects</w:t>
            </w:r>
            <w:sdt>
              <w:sdtPr>
                <w:rPr>
                  <w:rFonts w:ascii="Arial" w:hAnsi="Arial" w:cs="Arial"/>
                  <w:sz w:val="22"/>
                  <w:szCs w:val="22"/>
                </w:rPr>
                <w:id w:val="723412594"/>
                <w:citation/>
              </w:sdtPr>
              <w:sdtEndPr/>
              <w:sdtContent>
                <w:r w:rsidR="00CD40E6" w:rsidRPr="007D003C">
                  <w:rPr>
                    <w:rFonts w:ascii="Arial" w:hAnsi="Arial" w:cs="Arial"/>
                    <w:sz w:val="22"/>
                    <w:szCs w:val="22"/>
                  </w:rPr>
                  <w:fldChar w:fldCharType="begin"/>
                </w:r>
                <w:r w:rsidR="00CD40E6" w:rsidRPr="007D003C">
                  <w:rPr>
                    <w:rFonts w:ascii="Arial" w:hAnsi="Arial" w:cs="Arial"/>
                    <w:sz w:val="22"/>
                    <w:szCs w:val="22"/>
                  </w:rPr>
                  <w:instrText xml:space="preserve"> CITATION Fin21 \l 2057 </w:instrText>
                </w:r>
                <w:r w:rsidR="00CD40E6" w:rsidRPr="007D003C">
                  <w:rPr>
                    <w:rFonts w:ascii="Arial" w:hAnsi="Arial" w:cs="Arial"/>
                    <w:sz w:val="22"/>
                    <w:szCs w:val="22"/>
                  </w:rPr>
                  <w:fldChar w:fldCharType="separate"/>
                </w:r>
                <w:r w:rsidR="00CD40E6" w:rsidRPr="007D003C">
                  <w:rPr>
                    <w:rFonts w:ascii="Arial" w:hAnsi="Arial" w:cs="Arial"/>
                    <w:noProof/>
                    <w:sz w:val="22"/>
                    <w:szCs w:val="22"/>
                  </w:rPr>
                  <w:t xml:space="preserve"> (Financial Management , 2021)</w:t>
                </w:r>
                <w:r w:rsidR="00CD40E6" w:rsidRPr="007D003C">
                  <w:rPr>
                    <w:rFonts w:ascii="Arial" w:hAnsi="Arial" w:cs="Arial"/>
                    <w:sz w:val="22"/>
                    <w:szCs w:val="22"/>
                  </w:rPr>
                  <w:fldChar w:fldCharType="end"/>
                </w:r>
              </w:sdtContent>
            </w:sdt>
          </w:p>
          <w:p w14:paraId="737FD62F" w14:textId="14FAFD33" w:rsidR="00CD40E6" w:rsidRPr="007D003C" w:rsidRDefault="00CD40E6" w:rsidP="00C3334A">
            <w:pPr>
              <w:jc w:val="both"/>
              <w:rPr>
                <w:rFonts w:ascii="Arial" w:hAnsi="Arial" w:cs="Arial"/>
                <w:sz w:val="22"/>
                <w:szCs w:val="22"/>
              </w:rPr>
            </w:pPr>
          </w:p>
        </w:tc>
        <w:tc>
          <w:tcPr>
            <w:tcW w:w="4819" w:type="dxa"/>
          </w:tcPr>
          <w:p w14:paraId="51C25C23" w14:textId="5A8E8BA7" w:rsidR="00CD40E6" w:rsidRDefault="00002505" w:rsidP="00C3334A">
            <w:pPr>
              <w:jc w:val="both"/>
              <w:rPr>
                <w:rFonts w:ascii="Arial" w:hAnsi="Arial" w:cs="Arial"/>
                <w:sz w:val="22"/>
                <w:szCs w:val="22"/>
              </w:rPr>
            </w:pPr>
            <w:r w:rsidRPr="007D003C">
              <w:rPr>
                <w:rFonts w:ascii="Arial" w:hAnsi="Arial" w:cs="Arial"/>
                <w:sz w:val="22"/>
                <w:szCs w:val="22"/>
              </w:rPr>
              <w:t xml:space="preserve">Since the methods </w:t>
            </w:r>
            <w:r w:rsidR="00226BF7">
              <w:rPr>
                <w:rFonts w:ascii="Arial" w:hAnsi="Arial" w:cs="Arial"/>
                <w:sz w:val="22"/>
                <w:szCs w:val="22"/>
              </w:rPr>
              <w:t>are</w:t>
            </w:r>
            <w:r w:rsidRPr="007D003C">
              <w:rPr>
                <w:rFonts w:ascii="Arial" w:hAnsi="Arial" w:cs="Arial"/>
                <w:sz w:val="22"/>
                <w:szCs w:val="22"/>
              </w:rPr>
              <w:t xml:space="preserve"> absolute in figures and </w:t>
            </w:r>
            <w:r w:rsidR="00917618" w:rsidRPr="007D003C">
              <w:rPr>
                <w:rFonts w:ascii="Arial" w:hAnsi="Arial" w:cs="Arial"/>
                <w:sz w:val="22"/>
                <w:szCs w:val="22"/>
              </w:rPr>
              <w:t>not</w:t>
            </w:r>
            <w:r w:rsidR="00226BF7">
              <w:rPr>
                <w:rFonts w:ascii="Arial" w:hAnsi="Arial" w:cs="Arial"/>
                <w:sz w:val="22"/>
                <w:szCs w:val="22"/>
              </w:rPr>
              <w:t xml:space="preserve"> a</w:t>
            </w:r>
            <w:r w:rsidR="00917618" w:rsidRPr="007D003C">
              <w:rPr>
                <w:rFonts w:ascii="Arial" w:hAnsi="Arial" w:cs="Arial"/>
                <w:sz w:val="22"/>
                <w:szCs w:val="22"/>
              </w:rPr>
              <w:t xml:space="preserve"> percentage</w:t>
            </w:r>
            <w:r w:rsidRPr="007D003C">
              <w:rPr>
                <w:rFonts w:ascii="Arial" w:hAnsi="Arial" w:cs="Arial"/>
                <w:sz w:val="22"/>
                <w:szCs w:val="22"/>
              </w:rPr>
              <w:t>, it is hard to compare the projects of different sizes, as the larger projects inevitably will have a larger NPV than smaller one</w:t>
            </w:r>
            <w:r w:rsidR="00917618" w:rsidRPr="007D003C">
              <w:rPr>
                <w:rFonts w:ascii="Arial" w:hAnsi="Arial" w:cs="Arial"/>
                <w:sz w:val="22"/>
                <w:szCs w:val="22"/>
              </w:rPr>
              <w:t xml:space="preserve"> </w:t>
            </w:r>
            <w:r w:rsidRPr="007D003C">
              <w:rPr>
                <w:rFonts w:ascii="Arial" w:hAnsi="Arial" w:cs="Arial"/>
                <w:sz w:val="22"/>
                <w:szCs w:val="22"/>
              </w:rPr>
              <w:t>(CFA Institute, 2021)</w:t>
            </w:r>
          </w:p>
          <w:p w14:paraId="0A48BB1E" w14:textId="43BA00ED" w:rsidR="001134EF" w:rsidRPr="007D003C" w:rsidRDefault="001134EF" w:rsidP="00C3334A">
            <w:pPr>
              <w:jc w:val="both"/>
              <w:rPr>
                <w:rFonts w:ascii="Arial" w:hAnsi="Arial" w:cs="Arial"/>
                <w:sz w:val="22"/>
                <w:szCs w:val="22"/>
              </w:rPr>
            </w:pPr>
          </w:p>
        </w:tc>
      </w:tr>
    </w:tbl>
    <w:p w14:paraId="5EF1DA9A" w14:textId="77777777" w:rsidR="0014007B" w:rsidRPr="007D003C" w:rsidRDefault="0014007B" w:rsidP="00AD5FAA">
      <w:pPr>
        <w:jc w:val="both"/>
        <w:rPr>
          <w:rFonts w:ascii="Arial" w:hAnsi="Arial" w:cs="Arial"/>
          <w:sz w:val="22"/>
          <w:szCs w:val="22"/>
        </w:rPr>
      </w:pPr>
    </w:p>
    <w:p w14:paraId="3782C007" w14:textId="3B119750" w:rsidR="00EE188A" w:rsidRDefault="00917618" w:rsidP="000D481B">
      <w:pPr>
        <w:jc w:val="both"/>
        <w:rPr>
          <w:rFonts w:ascii="Arial" w:hAnsi="Arial" w:cs="Arial"/>
          <w:sz w:val="22"/>
          <w:szCs w:val="22"/>
        </w:rPr>
      </w:pPr>
      <w:r w:rsidRPr="007D003C">
        <w:rPr>
          <w:rFonts w:ascii="Arial" w:hAnsi="Arial" w:cs="Arial"/>
          <w:b/>
          <w:bCs/>
          <w:sz w:val="22"/>
          <w:szCs w:val="22"/>
        </w:rPr>
        <w:t xml:space="preserve">Non-financial factors </w:t>
      </w:r>
      <w:r w:rsidR="00C55659" w:rsidRPr="007D003C">
        <w:rPr>
          <w:rFonts w:ascii="Arial" w:hAnsi="Arial" w:cs="Arial"/>
          <w:sz w:val="22"/>
          <w:szCs w:val="22"/>
        </w:rPr>
        <w:t>take an</w:t>
      </w:r>
      <w:r w:rsidRPr="007D003C">
        <w:rPr>
          <w:rFonts w:ascii="Arial" w:hAnsi="Arial" w:cs="Arial"/>
          <w:sz w:val="22"/>
          <w:szCs w:val="22"/>
        </w:rPr>
        <w:t xml:space="preserve"> important part in</w:t>
      </w:r>
      <w:r w:rsidRPr="007D003C">
        <w:rPr>
          <w:rFonts w:ascii="Arial" w:hAnsi="Arial" w:cs="Arial"/>
          <w:b/>
          <w:bCs/>
          <w:sz w:val="22"/>
          <w:szCs w:val="22"/>
        </w:rPr>
        <w:t xml:space="preserve"> </w:t>
      </w:r>
      <w:r w:rsidRPr="007D003C">
        <w:rPr>
          <w:rFonts w:ascii="Arial" w:hAnsi="Arial" w:cs="Arial"/>
          <w:sz w:val="22"/>
          <w:szCs w:val="22"/>
        </w:rPr>
        <w:t>the decision-making process for</w:t>
      </w:r>
      <w:r w:rsidR="00C55659" w:rsidRPr="007D003C">
        <w:rPr>
          <w:rFonts w:ascii="Arial" w:hAnsi="Arial" w:cs="Arial"/>
          <w:sz w:val="22"/>
          <w:szCs w:val="22"/>
        </w:rPr>
        <w:t xml:space="preserve"> an</w:t>
      </w:r>
      <w:r w:rsidRPr="007D003C">
        <w:rPr>
          <w:rFonts w:ascii="Arial" w:hAnsi="Arial" w:cs="Arial"/>
          <w:sz w:val="22"/>
          <w:szCs w:val="22"/>
        </w:rPr>
        <w:t xml:space="preserve"> investment appraisal.  </w:t>
      </w:r>
      <w:r w:rsidR="000D481B" w:rsidRPr="007D003C">
        <w:rPr>
          <w:rFonts w:ascii="Arial" w:hAnsi="Arial" w:cs="Arial"/>
          <w:sz w:val="22"/>
          <w:szCs w:val="22"/>
        </w:rPr>
        <w:t xml:space="preserve">The areas of consideration </w:t>
      </w:r>
      <w:r w:rsidR="00226BF7">
        <w:rPr>
          <w:rFonts w:ascii="Arial" w:hAnsi="Arial" w:cs="Arial"/>
          <w:sz w:val="22"/>
          <w:szCs w:val="22"/>
        </w:rPr>
        <w:t xml:space="preserve">are </w:t>
      </w:r>
      <w:r w:rsidR="000D481B" w:rsidRPr="007D003C">
        <w:rPr>
          <w:rFonts w:ascii="Arial" w:hAnsi="Arial" w:cs="Arial"/>
          <w:sz w:val="22"/>
          <w:szCs w:val="22"/>
        </w:rPr>
        <w:t>linked to technical analysis, human and social factors, organi</w:t>
      </w:r>
      <w:r w:rsidR="00226BF7">
        <w:rPr>
          <w:rFonts w:ascii="Arial" w:hAnsi="Arial" w:cs="Arial"/>
          <w:sz w:val="22"/>
          <w:szCs w:val="22"/>
        </w:rPr>
        <w:t>s</w:t>
      </w:r>
      <w:r w:rsidR="000D481B" w:rsidRPr="007D003C">
        <w:rPr>
          <w:rFonts w:ascii="Arial" w:hAnsi="Arial" w:cs="Arial"/>
          <w:sz w:val="22"/>
          <w:szCs w:val="22"/>
        </w:rPr>
        <w:t>ational behaviour, legal analysis. The examples of s</w:t>
      </w:r>
      <w:r w:rsidRPr="007D003C">
        <w:rPr>
          <w:rFonts w:ascii="Arial" w:hAnsi="Arial" w:cs="Arial"/>
          <w:sz w:val="22"/>
          <w:szCs w:val="22"/>
        </w:rPr>
        <w:t>ome of</w:t>
      </w:r>
      <w:r w:rsidR="00226BF7">
        <w:rPr>
          <w:rFonts w:ascii="Arial" w:hAnsi="Arial" w:cs="Arial"/>
          <w:sz w:val="22"/>
          <w:szCs w:val="22"/>
        </w:rPr>
        <w:t xml:space="preserve"> the</w:t>
      </w:r>
      <w:r w:rsidRPr="007D003C">
        <w:rPr>
          <w:rFonts w:ascii="Arial" w:hAnsi="Arial" w:cs="Arial"/>
          <w:sz w:val="22"/>
          <w:szCs w:val="22"/>
        </w:rPr>
        <w:t xml:space="preserve"> </w:t>
      </w:r>
      <w:r w:rsidR="000D481B" w:rsidRPr="007D003C">
        <w:rPr>
          <w:rFonts w:ascii="Arial" w:hAnsi="Arial" w:cs="Arial"/>
          <w:sz w:val="22"/>
          <w:szCs w:val="22"/>
        </w:rPr>
        <w:t xml:space="preserve">factors: </w:t>
      </w:r>
      <w:r w:rsidR="00C55659" w:rsidRPr="007D003C">
        <w:rPr>
          <w:rFonts w:ascii="Arial" w:hAnsi="Arial" w:cs="Arial"/>
          <w:sz w:val="22"/>
          <w:szCs w:val="22"/>
        </w:rPr>
        <w:t xml:space="preserve">adhering to </w:t>
      </w:r>
      <w:r w:rsidRPr="007D003C">
        <w:rPr>
          <w:rFonts w:ascii="Arial" w:hAnsi="Arial" w:cs="Arial"/>
          <w:sz w:val="22"/>
          <w:szCs w:val="22"/>
        </w:rPr>
        <w:t xml:space="preserve">the requirements of </w:t>
      </w:r>
      <w:r w:rsidR="00C55659" w:rsidRPr="007D003C">
        <w:rPr>
          <w:rFonts w:ascii="Arial" w:hAnsi="Arial" w:cs="Arial"/>
          <w:sz w:val="22"/>
          <w:szCs w:val="22"/>
        </w:rPr>
        <w:t>existing</w:t>
      </w:r>
      <w:r w:rsidRPr="007D003C">
        <w:rPr>
          <w:rFonts w:ascii="Arial" w:hAnsi="Arial" w:cs="Arial"/>
          <w:sz w:val="22"/>
          <w:szCs w:val="22"/>
        </w:rPr>
        <w:t xml:space="preserve"> and future </w:t>
      </w:r>
      <w:r w:rsidR="00C55659" w:rsidRPr="007D003C">
        <w:rPr>
          <w:rFonts w:ascii="Arial" w:hAnsi="Arial" w:cs="Arial"/>
          <w:sz w:val="22"/>
          <w:szCs w:val="22"/>
        </w:rPr>
        <w:t>regulation, “matching industry standards and good practice”, allowing for a human factor - the moral, expertise, knowledge, developing relationships with contractors and consumers, keeping up a business reputation, relationship with the community and the impact of environmental issues, “anticipating and dealing with future threats, such as protecting intellectual property against potential competition”</w:t>
      </w:r>
      <w:sdt>
        <w:sdtPr>
          <w:rPr>
            <w:rFonts w:ascii="Arial" w:hAnsi="Arial" w:cs="Arial"/>
            <w:sz w:val="22"/>
            <w:szCs w:val="22"/>
          </w:rPr>
          <w:id w:val="-1436591875"/>
          <w:citation/>
        </w:sdtPr>
        <w:sdtEndPr/>
        <w:sdtContent>
          <w:r w:rsidR="00C55659" w:rsidRPr="007D003C">
            <w:rPr>
              <w:rFonts w:ascii="Arial" w:hAnsi="Arial" w:cs="Arial"/>
              <w:sz w:val="22"/>
              <w:szCs w:val="22"/>
            </w:rPr>
            <w:fldChar w:fldCharType="begin"/>
          </w:r>
          <w:r w:rsidR="00C55659" w:rsidRPr="007D003C">
            <w:rPr>
              <w:rFonts w:ascii="Arial" w:hAnsi="Arial" w:cs="Arial"/>
              <w:sz w:val="22"/>
              <w:szCs w:val="22"/>
            </w:rPr>
            <w:instrText xml:space="preserve"> CITATION NIB21 \l 2057 </w:instrText>
          </w:r>
          <w:r w:rsidR="00C55659" w:rsidRPr="007D003C">
            <w:rPr>
              <w:rFonts w:ascii="Arial" w:hAnsi="Arial" w:cs="Arial"/>
              <w:sz w:val="22"/>
              <w:szCs w:val="22"/>
            </w:rPr>
            <w:fldChar w:fldCharType="separate"/>
          </w:r>
          <w:r w:rsidR="00C55659" w:rsidRPr="007D003C">
            <w:rPr>
              <w:rFonts w:ascii="Arial" w:hAnsi="Arial" w:cs="Arial"/>
              <w:noProof/>
              <w:sz w:val="22"/>
              <w:szCs w:val="22"/>
            </w:rPr>
            <w:t xml:space="preserve"> (NIBusiness.co.uk, 2021)</w:t>
          </w:r>
          <w:r w:rsidR="00C55659" w:rsidRPr="007D003C">
            <w:rPr>
              <w:rFonts w:ascii="Arial" w:hAnsi="Arial" w:cs="Arial"/>
              <w:sz w:val="22"/>
              <w:szCs w:val="22"/>
            </w:rPr>
            <w:fldChar w:fldCharType="end"/>
          </w:r>
        </w:sdtContent>
      </w:sdt>
      <w:r w:rsidR="000D481B" w:rsidRPr="007D003C">
        <w:rPr>
          <w:rFonts w:ascii="Arial" w:hAnsi="Arial" w:cs="Arial"/>
          <w:sz w:val="22"/>
          <w:szCs w:val="22"/>
        </w:rPr>
        <w:t xml:space="preserve">.  In most cases a combination of financial and non-financial criteria </w:t>
      </w:r>
      <w:r w:rsidR="00CC2488" w:rsidRPr="007D003C">
        <w:rPr>
          <w:rFonts w:ascii="Arial" w:hAnsi="Arial" w:cs="Arial"/>
          <w:sz w:val="22"/>
          <w:szCs w:val="22"/>
        </w:rPr>
        <w:t>has</w:t>
      </w:r>
      <w:r w:rsidR="000D481B" w:rsidRPr="007D003C">
        <w:rPr>
          <w:rFonts w:ascii="Arial" w:hAnsi="Arial" w:cs="Arial"/>
          <w:sz w:val="22"/>
          <w:szCs w:val="22"/>
        </w:rPr>
        <w:t xml:space="preserve"> to be considered in </w:t>
      </w:r>
      <w:r w:rsidR="00226BF7">
        <w:rPr>
          <w:rFonts w:ascii="Arial" w:hAnsi="Arial" w:cs="Arial"/>
          <w:sz w:val="22"/>
          <w:szCs w:val="22"/>
        </w:rPr>
        <w:t xml:space="preserve">the </w:t>
      </w:r>
      <w:r w:rsidR="000D481B" w:rsidRPr="007D003C">
        <w:rPr>
          <w:rFonts w:ascii="Arial" w:hAnsi="Arial" w:cs="Arial"/>
          <w:sz w:val="22"/>
          <w:szCs w:val="22"/>
        </w:rPr>
        <w:t>appraisal of the project, moreover</w:t>
      </w:r>
      <w:r w:rsidR="00226BF7">
        <w:rPr>
          <w:rFonts w:ascii="Arial" w:hAnsi="Arial" w:cs="Arial"/>
          <w:sz w:val="22"/>
          <w:szCs w:val="22"/>
        </w:rPr>
        <w:t>,</w:t>
      </w:r>
      <w:r w:rsidR="000D481B" w:rsidRPr="007D003C">
        <w:rPr>
          <w:rFonts w:ascii="Arial" w:hAnsi="Arial" w:cs="Arial"/>
          <w:sz w:val="22"/>
          <w:szCs w:val="22"/>
        </w:rPr>
        <w:t xml:space="preserve"> the business has to allow for the non-financial factors specific to their trading industry and to fit well with the overall business strategy (NIBusiness.co.uk, 2021)</w:t>
      </w:r>
    </w:p>
    <w:p w14:paraId="764090EF" w14:textId="4AD2E670" w:rsidR="001134EF" w:rsidRDefault="001134EF" w:rsidP="000D481B">
      <w:pPr>
        <w:jc w:val="both"/>
        <w:rPr>
          <w:rFonts w:ascii="Arial" w:hAnsi="Arial" w:cs="Arial"/>
          <w:sz w:val="22"/>
          <w:szCs w:val="22"/>
        </w:rPr>
      </w:pPr>
    </w:p>
    <w:p w14:paraId="17DF30FB" w14:textId="12818775" w:rsidR="001134EF" w:rsidRDefault="001134EF" w:rsidP="000D481B">
      <w:pPr>
        <w:jc w:val="both"/>
        <w:rPr>
          <w:rFonts w:ascii="Arial" w:hAnsi="Arial" w:cs="Arial"/>
          <w:sz w:val="22"/>
          <w:szCs w:val="22"/>
        </w:rPr>
      </w:pPr>
    </w:p>
    <w:p w14:paraId="0E364A21" w14:textId="5416DF05" w:rsidR="001134EF" w:rsidRDefault="001134EF" w:rsidP="000D481B">
      <w:pPr>
        <w:jc w:val="both"/>
        <w:rPr>
          <w:rFonts w:ascii="Arial" w:hAnsi="Arial" w:cs="Arial"/>
          <w:sz w:val="22"/>
          <w:szCs w:val="22"/>
        </w:rPr>
      </w:pPr>
    </w:p>
    <w:p w14:paraId="0C76941E" w14:textId="455DD3C4" w:rsidR="001134EF" w:rsidRDefault="001134EF" w:rsidP="000D481B">
      <w:pPr>
        <w:jc w:val="both"/>
        <w:rPr>
          <w:rFonts w:ascii="Arial" w:hAnsi="Arial" w:cs="Arial"/>
          <w:sz w:val="22"/>
          <w:szCs w:val="22"/>
        </w:rPr>
      </w:pPr>
    </w:p>
    <w:p w14:paraId="4DDAB521" w14:textId="58AB86F8" w:rsidR="001134EF" w:rsidRDefault="001134EF" w:rsidP="000D481B">
      <w:pPr>
        <w:jc w:val="both"/>
        <w:rPr>
          <w:rFonts w:ascii="Arial" w:hAnsi="Arial" w:cs="Arial"/>
          <w:sz w:val="22"/>
          <w:szCs w:val="22"/>
        </w:rPr>
      </w:pPr>
    </w:p>
    <w:p w14:paraId="4765AFFC" w14:textId="77777777" w:rsidR="00226BF7" w:rsidRPr="007D003C" w:rsidRDefault="00226BF7" w:rsidP="000D481B">
      <w:pPr>
        <w:jc w:val="both"/>
        <w:rPr>
          <w:rFonts w:ascii="Arial" w:hAnsi="Arial" w:cs="Arial"/>
          <w:sz w:val="22"/>
          <w:szCs w:val="22"/>
        </w:rPr>
      </w:pPr>
    </w:p>
    <w:p w14:paraId="59D23175" w14:textId="77777777" w:rsidR="00163712" w:rsidRPr="007D003C" w:rsidRDefault="00163712" w:rsidP="00163712">
      <w:pPr>
        <w:pStyle w:val="Heading1"/>
        <w:jc w:val="left"/>
        <w:rPr>
          <w:rFonts w:ascii="Arial" w:hAnsi="Arial" w:cs="Arial"/>
          <w:sz w:val="22"/>
          <w:szCs w:val="22"/>
        </w:rPr>
      </w:pPr>
      <w:bookmarkStart w:id="6" w:name="_Toc61468825"/>
      <w:r w:rsidRPr="007D003C">
        <w:rPr>
          <w:rFonts w:ascii="Arial" w:hAnsi="Arial" w:cs="Arial"/>
          <w:sz w:val="22"/>
          <w:szCs w:val="22"/>
        </w:rPr>
        <w:t>REFERENCES</w:t>
      </w:r>
      <w:bookmarkEnd w:id="6"/>
    </w:p>
    <w:p w14:paraId="6FC0357C" w14:textId="77777777" w:rsidR="00163712" w:rsidRPr="007D003C" w:rsidRDefault="00163712" w:rsidP="00163712">
      <w:pPr>
        <w:pStyle w:val="Bibliography"/>
        <w:rPr>
          <w:rFonts w:ascii="Arial" w:hAnsi="Arial" w:cs="Arial"/>
          <w:noProof/>
          <w:sz w:val="22"/>
          <w:szCs w:val="22"/>
        </w:rPr>
      </w:pPr>
      <w:r w:rsidRPr="007D003C">
        <w:rPr>
          <w:rFonts w:ascii="Arial" w:hAnsi="Arial" w:cs="Arial"/>
          <w:sz w:val="22"/>
          <w:szCs w:val="22"/>
        </w:rPr>
        <w:fldChar w:fldCharType="begin"/>
      </w:r>
      <w:r w:rsidRPr="007D003C">
        <w:rPr>
          <w:rFonts w:ascii="Arial" w:hAnsi="Arial" w:cs="Arial"/>
          <w:sz w:val="22"/>
          <w:szCs w:val="22"/>
        </w:rPr>
        <w:instrText xml:space="preserve"> BIBLIOGRAPHY  \l 2057 </w:instrText>
      </w:r>
      <w:r w:rsidRPr="007D003C">
        <w:rPr>
          <w:rFonts w:ascii="Arial" w:hAnsi="Arial" w:cs="Arial"/>
          <w:sz w:val="22"/>
          <w:szCs w:val="22"/>
        </w:rPr>
        <w:fldChar w:fldCharType="separate"/>
      </w:r>
      <w:r w:rsidRPr="007D003C">
        <w:rPr>
          <w:rFonts w:ascii="Arial" w:hAnsi="Arial" w:cs="Arial"/>
          <w:noProof/>
          <w:sz w:val="22"/>
          <w:szCs w:val="22"/>
        </w:rPr>
        <w:t xml:space="preserve">AccountingCourse, 2021. </w:t>
      </w:r>
      <w:r w:rsidRPr="007D003C">
        <w:rPr>
          <w:rFonts w:ascii="Arial" w:hAnsi="Arial" w:cs="Arial"/>
          <w:i/>
          <w:iCs/>
          <w:noProof/>
          <w:sz w:val="22"/>
          <w:szCs w:val="22"/>
        </w:rPr>
        <w:t xml:space="preserve">Earnings per Share (EPS). </w:t>
      </w:r>
      <w:r w:rsidRPr="007D003C">
        <w:rPr>
          <w:rFonts w:ascii="Arial" w:hAnsi="Arial" w:cs="Arial"/>
          <w:noProof/>
          <w:sz w:val="22"/>
          <w:szCs w:val="22"/>
        </w:rPr>
        <w:t xml:space="preserve">[Online] </w:t>
      </w:r>
      <w:r w:rsidRPr="007D003C">
        <w:rPr>
          <w:rFonts w:ascii="Arial" w:hAnsi="Arial" w:cs="Arial"/>
          <w:noProof/>
          <w:sz w:val="22"/>
          <w:szCs w:val="22"/>
        </w:rPr>
        <w:br/>
        <w:t xml:space="preserve">Available at: </w:t>
      </w:r>
      <w:r w:rsidRPr="007D003C">
        <w:rPr>
          <w:rFonts w:ascii="Arial" w:hAnsi="Arial" w:cs="Arial"/>
          <w:noProof/>
          <w:sz w:val="22"/>
          <w:szCs w:val="22"/>
          <w:u w:val="single"/>
        </w:rPr>
        <w:t>the company is more profitable and the company has more profits to distribute to its shareholders.</w:t>
      </w:r>
      <w:r w:rsidRPr="007D003C">
        <w:rPr>
          <w:rFonts w:ascii="Arial" w:hAnsi="Arial" w:cs="Arial"/>
          <w:noProof/>
          <w:sz w:val="22"/>
          <w:szCs w:val="22"/>
        </w:rPr>
        <w:br/>
        <w:t>[Accessed 12 01 2021].</w:t>
      </w:r>
    </w:p>
    <w:p w14:paraId="3BD0CA09" w14:textId="77777777" w:rsidR="00163712" w:rsidRPr="007D003C" w:rsidRDefault="00163712" w:rsidP="00163712">
      <w:pPr>
        <w:pStyle w:val="Bibliography"/>
        <w:rPr>
          <w:rFonts w:ascii="Arial" w:hAnsi="Arial" w:cs="Arial"/>
          <w:noProof/>
          <w:sz w:val="22"/>
          <w:szCs w:val="22"/>
        </w:rPr>
      </w:pPr>
      <w:r w:rsidRPr="007D003C">
        <w:rPr>
          <w:rFonts w:ascii="Arial" w:hAnsi="Arial" w:cs="Arial"/>
          <w:noProof/>
          <w:sz w:val="22"/>
          <w:szCs w:val="22"/>
        </w:rPr>
        <w:t xml:space="preserve">Berkeley Group, 2020. </w:t>
      </w:r>
      <w:r w:rsidRPr="007D003C">
        <w:rPr>
          <w:rFonts w:ascii="Arial" w:hAnsi="Arial" w:cs="Arial"/>
          <w:i/>
          <w:iCs/>
          <w:noProof/>
          <w:sz w:val="22"/>
          <w:szCs w:val="22"/>
        </w:rPr>
        <w:t xml:space="preserve">Annual Report, </w:t>
      </w:r>
      <w:r w:rsidRPr="007D003C">
        <w:rPr>
          <w:rFonts w:ascii="Arial" w:hAnsi="Arial" w:cs="Arial"/>
          <w:noProof/>
          <w:sz w:val="22"/>
          <w:szCs w:val="22"/>
        </w:rPr>
        <w:t>London: Berkeley Group.</w:t>
      </w:r>
    </w:p>
    <w:p w14:paraId="53E39C00" w14:textId="4B6F8FAF" w:rsidR="00163712" w:rsidRPr="007D003C" w:rsidRDefault="00163712" w:rsidP="00163712">
      <w:pPr>
        <w:pStyle w:val="Bibliography"/>
        <w:rPr>
          <w:rFonts w:ascii="Arial" w:hAnsi="Arial" w:cs="Arial"/>
          <w:noProof/>
          <w:sz w:val="22"/>
          <w:szCs w:val="22"/>
        </w:rPr>
      </w:pPr>
      <w:r w:rsidRPr="007D003C">
        <w:rPr>
          <w:rFonts w:ascii="Arial" w:hAnsi="Arial" w:cs="Arial"/>
          <w:noProof/>
          <w:sz w:val="22"/>
          <w:szCs w:val="22"/>
        </w:rPr>
        <w:t xml:space="preserve">CFA Institute, 2021. </w:t>
      </w:r>
      <w:r w:rsidRPr="007D003C">
        <w:rPr>
          <w:rFonts w:ascii="Arial" w:hAnsi="Arial" w:cs="Arial"/>
          <w:i/>
          <w:iCs/>
          <w:noProof/>
          <w:sz w:val="22"/>
          <w:szCs w:val="22"/>
        </w:rPr>
        <w:t xml:space="preserve">Advantages and Disadvantages of NPV. </w:t>
      </w:r>
      <w:r w:rsidRPr="007D003C">
        <w:rPr>
          <w:rFonts w:ascii="Arial" w:hAnsi="Arial" w:cs="Arial"/>
          <w:noProof/>
          <w:sz w:val="22"/>
          <w:szCs w:val="22"/>
        </w:rPr>
        <w:t xml:space="preserve">[Online] </w:t>
      </w:r>
      <w:r w:rsidRPr="007D003C">
        <w:rPr>
          <w:rFonts w:ascii="Arial" w:hAnsi="Arial" w:cs="Arial"/>
          <w:noProof/>
          <w:sz w:val="22"/>
          <w:szCs w:val="22"/>
        </w:rPr>
        <w:br/>
        <w:t xml:space="preserve">Available at: </w:t>
      </w:r>
      <w:r w:rsidRPr="007D003C">
        <w:rPr>
          <w:rFonts w:ascii="Arial" w:hAnsi="Arial" w:cs="Arial"/>
          <w:noProof/>
          <w:sz w:val="22"/>
          <w:szCs w:val="22"/>
          <w:u w:val="single"/>
        </w:rPr>
        <w:t>Advantages and Disadvantages of NPV</w:t>
      </w:r>
      <w:r w:rsidRPr="007D003C">
        <w:rPr>
          <w:rFonts w:ascii="Arial" w:hAnsi="Arial" w:cs="Arial"/>
          <w:noProof/>
          <w:sz w:val="22"/>
          <w:szCs w:val="22"/>
        </w:rPr>
        <w:t xml:space="preserve"> [Accessed 10 01 2021].</w:t>
      </w:r>
    </w:p>
    <w:p w14:paraId="5DE498F2" w14:textId="77777777" w:rsidR="00163712" w:rsidRPr="007D003C" w:rsidRDefault="00163712" w:rsidP="00163712">
      <w:pPr>
        <w:pStyle w:val="Bibliography"/>
        <w:rPr>
          <w:rFonts w:ascii="Arial" w:hAnsi="Arial" w:cs="Arial"/>
          <w:noProof/>
          <w:sz w:val="22"/>
          <w:szCs w:val="22"/>
        </w:rPr>
      </w:pPr>
      <w:r w:rsidRPr="007D003C">
        <w:rPr>
          <w:rFonts w:ascii="Arial" w:hAnsi="Arial" w:cs="Arial"/>
          <w:noProof/>
          <w:sz w:val="22"/>
          <w:szCs w:val="22"/>
        </w:rPr>
        <w:t xml:space="preserve">CFI - Corporate Finance Institute, 2015. What are Profitability Ratios?. </w:t>
      </w:r>
      <w:r w:rsidRPr="007D003C">
        <w:rPr>
          <w:rFonts w:ascii="Arial" w:hAnsi="Arial" w:cs="Arial"/>
          <w:i/>
          <w:iCs/>
          <w:noProof/>
          <w:sz w:val="22"/>
          <w:szCs w:val="22"/>
        </w:rPr>
        <w:t xml:space="preserve">CFI, </w:t>
      </w:r>
      <w:r w:rsidRPr="007D003C">
        <w:rPr>
          <w:rFonts w:ascii="Arial" w:hAnsi="Arial" w:cs="Arial"/>
          <w:noProof/>
          <w:sz w:val="22"/>
          <w:szCs w:val="22"/>
        </w:rPr>
        <w:t>pp. [Online]. Available from:https://corporatefinanceinstitute.com/resources/knowledge/finance/profitability-ratios/ [Accessed 11/01/2021].</w:t>
      </w:r>
    </w:p>
    <w:p w14:paraId="25CC59CD" w14:textId="77777777" w:rsidR="00163712" w:rsidRPr="007D003C" w:rsidRDefault="00163712" w:rsidP="00163712">
      <w:pPr>
        <w:pStyle w:val="Bibliography"/>
        <w:rPr>
          <w:rFonts w:ascii="Arial" w:hAnsi="Arial" w:cs="Arial"/>
          <w:noProof/>
          <w:sz w:val="22"/>
          <w:szCs w:val="22"/>
        </w:rPr>
      </w:pPr>
      <w:r w:rsidRPr="007D003C">
        <w:rPr>
          <w:rFonts w:ascii="Arial" w:hAnsi="Arial" w:cs="Arial"/>
          <w:noProof/>
          <w:sz w:val="22"/>
          <w:szCs w:val="22"/>
        </w:rPr>
        <w:t xml:space="preserve">CFI , 2015. Return on Assets &amp; ROA Formula. </w:t>
      </w:r>
      <w:r w:rsidRPr="007D003C">
        <w:rPr>
          <w:rFonts w:ascii="Arial" w:hAnsi="Arial" w:cs="Arial"/>
          <w:i/>
          <w:iCs/>
          <w:noProof/>
          <w:sz w:val="22"/>
          <w:szCs w:val="22"/>
        </w:rPr>
        <w:t xml:space="preserve">CFI - Corporate Finance Institute, </w:t>
      </w:r>
      <w:r w:rsidRPr="007D003C">
        <w:rPr>
          <w:rFonts w:ascii="Arial" w:hAnsi="Arial" w:cs="Arial"/>
          <w:noProof/>
          <w:sz w:val="22"/>
          <w:szCs w:val="22"/>
        </w:rPr>
        <w:t>pp. [Online]. Available from: https://corporatefinanceinstitute.com/resources/knowledge/finance/return-on-assets-roa-formula/. [Accessed 29/12/2020].</w:t>
      </w:r>
    </w:p>
    <w:p w14:paraId="2B9DD7CE" w14:textId="1FB5525A" w:rsidR="00163712" w:rsidRPr="007D003C" w:rsidRDefault="00163712" w:rsidP="00163712">
      <w:pPr>
        <w:pStyle w:val="Bibliography"/>
        <w:rPr>
          <w:rFonts w:ascii="Arial" w:hAnsi="Arial" w:cs="Arial"/>
          <w:noProof/>
          <w:sz w:val="22"/>
          <w:szCs w:val="22"/>
        </w:rPr>
      </w:pPr>
      <w:r w:rsidRPr="007D003C">
        <w:rPr>
          <w:rFonts w:ascii="Arial" w:hAnsi="Arial" w:cs="Arial"/>
          <w:noProof/>
          <w:sz w:val="22"/>
          <w:szCs w:val="22"/>
        </w:rPr>
        <w:t xml:space="preserve">CFI, 2015-2021. What is a Liquidity Ratio?. </w:t>
      </w:r>
      <w:r w:rsidRPr="007D003C">
        <w:rPr>
          <w:rFonts w:ascii="Arial" w:hAnsi="Arial" w:cs="Arial"/>
          <w:i/>
          <w:iCs/>
          <w:noProof/>
          <w:sz w:val="22"/>
          <w:szCs w:val="22"/>
        </w:rPr>
        <w:t xml:space="preserve">Corporate Finance Institute, </w:t>
      </w:r>
      <w:r w:rsidRPr="007D003C">
        <w:rPr>
          <w:rFonts w:ascii="Arial" w:hAnsi="Arial" w:cs="Arial"/>
          <w:noProof/>
          <w:sz w:val="22"/>
          <w:szCs w:val="22"/>
        </w:rPr>
        <w:t>pp. [Online]. Available from:https://corporatefinanceinstitute.com/resources/knowledge/finance/liquidity-ratio/. [Accessed 20/12/2020].</w:t>
      </w:r>
    </w:p>
    <w:p w14:paraId="616CB481" w14:textId="77777777" w:rsidR="00163712" w:rsidRPr="007D003C" w:rsidRDefault="00163712" w:rsidP="00163712">
      <w:pPr>
        <w:pStyle w:val="Bibliography"/>
        <w:rPr>
          <w:rFonts w:ascii="Arial" w:hAnsi="Arial" w:cs="Arial"/>
          <w:noProof/>
          <w:sz w:val="22"/>
          <w:szCs w:val="22"/>
        </w:rPr>
      </w:pPr>
      <w:r w:rsidRPr="007D003C">
        <w:rPr>
          <w:rFonts w:ascii="Arial" w:hAnsi="Arial" w:cs="Arial"/>
          <w:noProof/>
          <w:sz w:val="22"/>
          <w:szCs w:val="22"/>
        </w:rPr>
        <w:t xml:space="preserve">Credit Guru Inc, 1999-2021. Financial Statement ratio analysis - eficiency ratios. </w:t>
      </w:r>
      <w:r w:rsidRPr="007D003C">
        <w:rPr>
          <w:rFonts w:ascii="Arial" w:hAnsi="Arial" w:cs="Arial"/>
          <w:i/>
          <w:iCs/>
          <w:noProof/>
          <w:sz w:val="22"/>
          <w:szCs w:val="22"/>
        </w:rPr>
        <w:t xml:space="preserve">Articles on financial statement analysis, </w:t>
      </w:r>
      <w:r w:rsidRPr="007D003C">
        <w:rPr>
          <w:rFonts w:ascii="Arial" w:hAnsi="Arial" w:cs="Arial"/>
          <w:noProof/>
          <w:sz w:val="22"/>
          <w:szCs w:val="22"/>
        </w:rPr>
        <w:t>pp. [Online]. Available from: https://www.creditguru.com/index.php/financial-analysis/financial-analysis-articles/32-financial-statement-ratio-analysis-efficiency-ratios. [Accessed 29/12/2020].</w:t>
      </w:r>
    </w:p>
    <w:p w14:paraId="22559B52" w14:textId="77777777" w:rsidR="00163712" w:rsidRPr="007D003C" w:rsidRDefault="00163712" w:rsidP="00163712">
      <w:pPr>
        <w:pStyle w:val="Bibliography"/>
        <w:rPr>
          <w:rFonts w:ascii="Arial" w:hAnsi="Arial" w:cs="Arial"/>
          <w:noProof/>
          <w:sz w:val="22"/>
          <w:szCs w:val="22"/>
        </w:rPr>
      </w:pPr>
      <w:r w:rsidRPr="007D003C">
        <w:rPr>
          <w:rFonts w:ascii="Arial" w:hAnsi="Arial" w:cs="Arial"/>
          <w:noProof/>
          <w:sz w:val="22"/>
          <w:szCs w:val="22"/>
        </w:rPr>
        <w:t xml:space="preserve">Daniel, A., 2020. Berkeley Group profits fall by a third after coronavirus lockdown. </w:t>
      </w:r>
      <w:r w:rsidRPr="007D003C">
        <w:rPr>
          <w:rFonts w:ascii="Arial" w:hAnsi="Arial" w:cs="Arial"/>
          <w:i/>
          <w:iCs/>
          <w:noProof/>
          <w:sz w:val="22"/>
          <w:szCs w:val="22"/>
        </w:rPr>
        <w:t xml:space="preserve">CITYA.M., </w:t>
      </w:r>
      <w:r w:rsidRPr="007D003C">
        <w:rPr>
          <w:rFonts w:ascii="Arial" w:hAnsi="Arial" w:cs="Arial"/>
          <w:noProof/>
          <w:sz w:val="22"/>
          <w:szCs w:val="22"/>
        </w:rPr>
        <w:t>pp. [Online]. Available from:https://www.cityam.com/berkeley-group-profits-fall-by-a-third-after-coronavirus-lockdown/. [Accecced 11/0/2021].</w:t>
      </w:r>
    </w:p>
    <w:p w14:paraId="49346631" w14:textId="4EADDC59" w:rsidR="00163712" w:rsidRPr="007D003C" w:rsidRDefault="00163712" w:rsidP="00163712">
      <w:pPr>
        <w:pStyle w:val="Bibliography"/>
        <w:rPr>
          <w:rFonts w:ascii="Arial" w:hAnsi="Arial" w:cs="Arial"/>
          <w:noProof/>
          <w:sz w:val="22"/>
          <w:szCs w:val="22"/>
        </w:rPr>
      </w:pPr>
      <w:r w:rsidRPr="007D003C">
        <w:rPr>
          <w:rFonts w:ascii="Arial" w:hAnsi="Arial" w:cs="Arial"/>
          <w:noProof/>
          <w:sz w:val="22"/>
          <w:szCs w:val="22"/>
        </w:rPr>
        <w:t xml:space="preserve">Fernando, J., 2020. </w:t>
      </w:r>
      <w:r w:rsidRPr="007D003C">
        <w:rPr>
          <w:rFonts w:ascii="Arial" w:hAnsi="Arial" w:cs="Arial"/>
          <w:i/>
          <w:iCs/>
          <w:noProof/>
          <w:sz w:val="22"/>
          <w:szCs w:val="22"/>
        </w:rPr>
        <w:t xml:space="preserve">Investopedia. </w:t>
      </w:r>
      <w:r w:rsidRPr="007D003C">
        <w:rPr>
          <w:rFonts w:ascii="Arial" w:hAnsi="Arial" w:cs="Arial"/>
          <w:noProof/>
          <w:sz w:val="22"/>
          <w:szCs w:val="22"/>
        </w:rPr>
        <w:t xml:space="preserve">[Online] Available at: </w:t>
      </w:r>
      <w:r w:rsidRPr="007D003C">
        <w:rPr>
          <w:rFonts w:ascii="Arial" w:hAnsi="Arial" w:cs="Arial"/>
          <w:noProof/>
          <w:sz w:val="22"/>
          <w:szCs w:val="22"/>
          <w:u w:val="single"/>
        </w:rPr>
        <w:t xml:space="preserve">Investopedia </w:t>
      </w:r>
      <w:r w:rsidRPr="007D003C">
        <w:rPr>
          <w:rFonts w:ascii="Arial" w:hAnsi="Arial" w:cs="Arial"/>
          <w:noProof/>
          <w:sz w:val="22"/>
          <w:szCs w:val="22"/>
        </w:rPr>
        <w:t>[Accessed 06 01 2021].</w:t>
      </w:r>
    </w:p>
    <w:p w14:paraId="7A4131A0" w14:textId="77777777" w:rsidR="00163712" w:rsidRPr="007D003C" w:rsidRDefault="00163712" w:rsidP="00163712">
      <w:pPr>
        <w:pStyle w:val="Bibliography"/>
        <w:rPr>
          <w:rFonts w:ascii="Arial" w:hAnsi="Arial" w:cs="Arial"/>
          <w:noProof/>
          <w:sz w:val="22"/>
          <w:szCs w:val="22"/>
        </w:rPr>
      </w:pPr>
      <w:r w:rsidRPr="007D003C">
        <w:rPr>
          <w:rFonts w:ascii="Arial" w:hAnsi="Arial" w:cs="Arial"/>
          <w:noProof/>
          <w:sz w:val="22"/>
          <w:szCs w:val="22"/>
        </w:rPr>
        <w:t xml:space="preserve">Financial Management , 2021. Advantages and Disadvantages of NPV. </w:t>
      </w:r>
      <w:r w:rsidRPr="007D003C">
        <w:rPr>
          <w:rFonts w:ascii="Arial" w:hAnsi="Arial" w:cs="Arial"/>
          <w:i/>
          <w:iCs/>
          <w:noProof/>
          <w:sz w:val="22"/>
          <w:szCs w:val="22"/>
        </w:rPr>
        <w:t xml:space="preserve">Financial Management Concepts In Layman Terms, </w:t>
      </w:r>
      <w:r w:rsidRPr="007D003C">
        <w:rPr>
          <w:rFonts w:ascii="Arial" w:hAnsi="Arial" w:cs="Arial"/>
          <w:noProof/>
          <w:sz w:val="22"/>
          <w:szCs w:val="22"/>
        </w:rPr>
        <w:t>pp. [Online]. Available from: https://efinancemanagement.com/investment-decisions/advantages-and-disadvantages-of-npv. [Accessed 11/01/2021].</w:t>
      </w:r>
    </w:p>
    <w:p w14:paraId="3219C06F" w14:textId="77777777" w:rsidR="00163712" w:rsidRPr="007D003C" w:rsidRDefault="00163712" w:rsidP="00163712">
      <w:pPr>
        <w:pStyle w:val="Bibliography"/>
        <w:rPr>
          <w:rFonts w:ascii="Arial" w:hAnsi="Arial" w:cs="Arial"/>
          <w:noProof/>
          <w:sz w:val="22"/>
          <w:szCs w:val="22"/>
        </w:rPr>
      </w:pPr>
      <w:r w:rsidRPr="007D003C">
        <w:rPr>
          <w:rFonts w:ascii="Arial" w:hAnsi="Arial" w:cs="Arial"/>
          <w:noProof/>
          <w:sz w:val="22"/>
          <w:szCs w:val="22"/>
        </w:rPr>
        <w:t xml:space="preserve">Financial Times, 2021. Equities. </w:t>
      </w:r>
      <w:r w:rsidRPr="007D003C">
        <w:rPr>
          <w:rFonts w:ascii="Arial" w:hAnsi="Arial" w:cs="Arial"/>
          <w:i/>
          <w:iCs/>
          <w:noProof/>
          <w:sz w:val="22"/>
          <w:szCs w:val="22"/>
        </w:rPr>
        <w:t xml:space="preserve">Financial Times, </w:t>
      </w:r>
      <w:r w:rsidRPr="007D003C">
        <w:rPr>
          <w:rFonts w:ascii="Arial" w:hAnsi="Arial" w:cs="Arial"/>
          <w:noProof/>
          <w:sz w:val="22"/>
          <w:szCs w:val="22"/>
        </w:rPr>
        <w:t>p. [\online]. Available from: https://markets.ft.com/data/equities/tearsheet/profile?s=BKG:LSE. [Accessed 10/01/2021].</w:t>
      </w:r>
    </w:p>
    <w:p w14:paraId="20F83F2A" w14:textId="77777777" w:rsidR="00163712" w:rsidRPr="007D003C" w:rsidRDefault="00163712" w:rsidP="00163712">
      <w:pPr>
        <w:pStyle w:val="Bibliography"/>
        <w:rPr>
          <w:rFonts w:ascii="Arial" w:hAnsi="Arial" w:cs="Arial"/>
          <w:noProof/>
          <w:sz w:val="22"/>
          <w:szCs w:val="22"/>
        </w:rPr>
      </w:pPr>
      <w:r w:rsidRPr="007D003C">
        <w:rPr>
          <w:rFonts w:ascii="Arial" w:hAnsi="Arial" w:cs="Arial"/>
          <w:noProof/>
          <w:sz w:val="22"/>
          <w:szCs w:val="22"/>
        </w:rPr>
        <w:t xml:space="preserve">Free Encyclopedia, 2020. Berkeley Group Holdings. </w:t>
      </w:r>
      <w:r w:rsidRPr="007D003C">
        <w:rPr>
          <w:rFonts w:ascii="Arial" w:hAnsi="Arial" w:cs="Arial"/>
          <w:i/>
          <w:iCs/>
          <w:noProof/>
          <w:sz w:val="22"/>
          <w:szCs w:val="22"/>
        </w:rPr>
        <w:t xml:space="preserve">Wikipedia, </w:t>
      </w:r>
      <w:r w:rsidRPr="007D003C">
        <w:rPr>
          <w:rFonts w:ascii="Arial" w:hAnsi="Arial" w:cs="Arial"/>
          <w:noProof/>
          <w:sz w:val="22"/>
          <w:szCs w:val="22"/>
        </w:rPr>
        <w:t>p. [Online]. Available from: https://en.wikipedia.org/wiki/Berkeley_Group_Holdings. [Accessed 02/01/2021].</w:t>
      </w:r>
    </w:p>
    <w:p w14:paraId="6E9BE3C1" w14:textId="77777777" w:rsidR="00163712" w:rsidRPr="007D003C" w:rsidRDefault="00163712" w:rsidP="00163712">
      <w:pPr>
        <w:pStyle w:val="Bibliography"/>
        <w:rPr>
          <w:rFonts w:ascii="Arial" w:hAnsi="Arial" w:cs="Arial"/>
          <w:noProof/>
          <w:sz w:val="22"/>
          <w:szCs w:val="22"/>
        </w:rPr>
      </w:pPr>
      <w:r w:rsidRPr="007D003C">
        <w:rPr>
          <w:rFonts w:ascii="Arial" w:hAnsi="Arial" w:cs="Arial"/>
          <w:noProof/>
          <w:sz w:val="22"/>
          <w:szCs w:val="22"/>
        </w:rPr>
        <w:t xml:space="preserve">Harris, P. E.-M. M., 2011. </w:t>
      </w:r>
      <w:r w:rsidRPr="007D003C">
        <w:rPr>
          <w:rFonts w:ascii="Arial" w:hAnsi="Arial" w:cs="Arial"/>
          <w:i/>
          <w:iCs/>
          <w:noProof/>
          <w:sz w:val="22"/>
          <w:szCs w:val="22"/>
        </w:rPr>
        <w:t xml:space="preserve">Review of Management Accounting Research. </w:t>
      </w:r>
      <w:r w:rsidRPr="007D003C">
        <w:rPr>
          <w:rFonts w:ascii="Arial" w:hAnsi="Arial" w:cs="Arial"/>
          <w:noProof/>
          <w:sz w:val="22"/>
          <w:szCs w:val="22"/>
        </w:rPr>
        <w:t>London: Palgrave Macmillan,.</w:t>
      </w:r>
    </w:p>
    <w:p w14:paraId="6D7D5779" w14:textId="77777777" w:rsidR="00163712" w:rsidRPr="007D003C" w:rsidRDefault="00163712" w:rsidP="00163712">
      <w:pPr>
        <w:pStyle w:val="Bibliography"/>
        <w:rPr>
          <w:rFonts w:ascii="Arial" w:hAnsi="Arial" w:cs="Arial"/>
          <w:noProof/>
          <w:sz w:val="22"/>
          <w:szCs w:val="22"/>
        </w:rPr>
      </w:pPr>
      <w:r w:rsidRPr="007D003C">
        <w:rPr>
          <w:rFonts w:ascii="Arial" w:hAnsi="Arial" w:cs="Arial"/>
          <w:noProof/>
          <w:sz w:val="22"/>
          <w:szCs w:val="22"/>
        </w:rPr>
        <w:t xml:space="preserve">Hayes, A. J. M., 2020. Asset Turnover Ratio. </w:t>
      </w:r>
      <w:r w:rsidRPr="007D003C">
        <w:rPr>
          <w:rFonts w:ascii="Arial" w:hAnsi="Arial" w:cs="Arial"/>
          <w:i/>
          <w:iCs/>
          <w:noProof/>
          <w:sz w:val="22"/>
          <w:szCs w:val="22"/>
        </w:rPr>
        <w:t xml:space="preserve">Investopdia, </w:t>
      </w:r>
      <w:r w:rsidRPr="007D003C">
        <w:rPr>
          <w:rFonts w:ascii="Arial" w:hAnsi="Arial" w:cs="Arial"/>
          <w:noProof/>
          <w:sz w:val="22"/>
          <w:szCs w:val="22"/>
        </w:rPr>
        <w:t>p. [Online]. Available from:https://www.investopedia.com/terms/a/assetturnover.asp. Accessed [10/01/2021].</w:t>
      </w:r>
    </w:p>
    <w:p w14:paraId="7C91C09A" w14:textId="77777777" w:rsidR="00163712" w:rsidRPr="007D003C" w:rsidRDefault="00163712" w:rsidP="00163712">
      <w:pPr>
        <w:pStyle w:val="Bibliography"/>
        <w:rPr>
          <w:rFonts w:ascii="Arial" w:hAnsi="Arial" w:cs="Arial"/>
          <w:noProof/>
          <w:sz w:val="22"/>
          <w:szCs w:val="22"/>
        </w:rPr>
      </w:pPr>
      <w:r w:rsidRPr="007D003C">
        <w:rPr>
          <w:rFonts w:ascii="Arial" w:hAnsi="Arial" w:cs="Arial"/>
          <w:noProof/>
          <w:sz w:val="22"/>
          <w:szCs w:val="22"/>
        </w:rPr>
        <w:t xml:space="preserve">Maverick, J., 2019. How Can a Company Improve on Its Return on Capital Employed (ROCE)?. </w:t>
      </w:r>
      <w:r w:rsidRPr="007D003C">
        <w:rPr>
          <w:rFonts w:ascii="Arial" w:hAnsi="Arial" w:cs="Arial"/>
          <w:i/>
          <w:iCs/>
          <w:noProof/>
          <w:sz w:val="22"/>
          <w:szCs w:val="22"/>
        </w:rPr>
        <w:t xml:space="preserve">Investopedia, </w:t>
      </w:r>
      <w:r w:rsidRPr="007D003C">
        <w:rPr>
          <w:rFonts w:ascii="Arial" w:hAnsi="Arial" w:cs="Arial"/>
          <w:noProof/>
          <w:sz w:val="22"/>
          <w:szCs w:val="22"/>
        </w:rPr>
        <w:t>pp. [Online]. Available from: https://www.investopedia.com/ask/answers/042415/what-are-some-ways-company-can-improve-its-return-capital-employed-roce.asp. [Accessed 19/01/2021].</w:t>
      </w:r>
    </w:p>
    <w:p w14:paraId="7E96D9B0" w14:textId="5BB49DDE" w:rsidR="00163712" w:rsidRPr="007D003C" w:rsidRDefault="00163712" w:rsidP="00163712">
      <w:pPr>
        <w:pStyle w:val="Bibliography"/>
        <w:rPr>
          <w:rFonts w:ascii="Arial" w:hAnsi="Arial" w:cs="Arial"/>
          <w:noProof/>
          <w:sz w:val="22"/>
          <w:szCs w:val="22"/>
        </w:rPr>
      </w:pPr>
      <w:r w:rsidRPr="007D003C">
        <w:rPr>
          <w:rFonts w:ascii="Arial" w:hAnsi="Arial" w:cs="Arial"/>
          <w:noProof/>
          <w:sz w:val="22"/>
          <w:szCs w:val="22"/>
        </w:rPr>
        <w:t xml:space="preserve">Maverick, J., 2019. </w:t>
      </w:r>
      <w:r w:rsidRPr="007D003C">
        <w:rPr>
          <w:rFonts w:ascii="Arial" w:hAnsi="Arial" w:cs="Arial"/>
          <w:i/>
          <w:iCs/>
          <w:noProof/>
          <w:sz w:val="22"/>
          <w:szCs w:val="22"/>
        </w:rPr>
        <w:t xml:space="preserve">Investopedia. </w:t>
      </w:r>
      <w:r w:rsidRPr="007D003C">
        <w:rPr>
          <w:rFonts w:ascii="Arial" w:hAnsi="Arial" w:cs="Arial"/>
          <w:noProof/>
          <w:sz w:val="22"/>
          <w:szCs w:val="22"/>
        </w:rPr>
        <w:t xml:space="preserve">[Online] </w:t>
      </w:r>
      <w:r w:rsidRPr="007D003C">
        <w:rPr>
          <w:rFonts w:ascii="Arial" w:hAnsi="Arial" w:cs="Arial"/>
          <w:noProof/>
          <w:sz w:val="22"/>
          <w:szCs w:val="22"/>
        </w:rPr>
        <w:br/>
        <w:t xml:space="preserve">Available at: </w:t>
      </w:r>
      <w:r w:rsidRPr="007D003C">
        <w:rPr>
          <w:rFonts w:ascii="Arial" w:hAnsi="Arial" w:cs="Arial"/>
          <w:noProof/>
          <w:sz w:val="22"/>
          <w:szCs w:val="22"/>
          <w:u w:val="single"/>
        </w:rPr>
        <w:t>https://www.investopedia.com/ask/answers/062915/what-are-some-limitations-and-drawbacks-using-payback-period-analysis.asp</w:t>
      </w:r>
      <w:r w:rsidRPr="007D003C">
        <w:rPr>
          <w:rFonts w:ascii="Arial" w:hAnsi="Arial" w:cs="Arial"/>
          <w:noProof/>
          <w:sz w:val="22"/>
          <w:szCs w:val="22"/>
        </w:rPr>
        <w:t>[Accessed 09 01 2021].</w:t>
      </w:r>
    </w:p>
    <w:p w14:paraId="7C2A3DFA" w14:textId="77777777" w:rsidR="00163712" w:rsidRPr="007D003C" w:rsidRDefault="00163712" w:rsidP="00163712">
      <w:pPr>
        <w:pStyle w:val="Bibliography"/>
        <w:rPr>
          <w:rFonts w:ascii="Arial" w:hAnsi="Arial" w:cs="Arial"/>
          <w:noProof/>
          <w:sz w:val="22"/>
          <w:szCs w:val="22"/>
        </w:rPr>
      </w:pPr>
      <w:r w:rsidRPr="007D003C">
        <w:rPr>
          <w:rFonts w:ascii="Arial" w:hAnsi="Arial" w:cs="Arial"/>
          <w:noProof/>
          <w:sz w:val="22"/>
          <w:szCs w:val="22"/>
        </w:rPr>
        <w:t xml:space="preserve">Mendell, B., 2020. Pros and Cons of Using Net Present Value (NPV). </w:t>
      </w:r>
      <w:r w:rsidRPr="007D003C">
        <w:rPr>
          <w:rFonts w:ascii="Arial" w:hAnsi="Arial" w:cs="Arial"/>
          <w:i/>
          <w:iCs/>
          <w:noProof/>
          <w:sz w:val="22"/>
          <w:szCs w:val="22"/>
        </w:rPr>
        <w:t xml:space="preserve">Forest Finance &amp; Economics, Timberlands, </w:t>
      </w:r>
      <w:r w:rsidRPr="007D003C">
        <w:rPr>
          <w:rFonts w:ascii="Arial" w:hAnsi="Arial" w:cs="Arial"/>
          <w:noProof/>
          <w:sz w:val="22"/>
          <w:szCs w:val="22"/>
        </w:rPr>
        <w:t>pp. [Online]. Avalable from:https://forisk.com/blog/2020/05/31/pros-and-cons-of-using-net-present-value-npv/. [Accessed 11/01/2021].</w:t>
      </w:r>
    </w:p>
    <w:p w14:paraId="7B98A890" w14:textId="77777777" w:rsidR="00163712" w:rsidRPr="007D003C" w:rsidRDefault="00163712" w:rsidP="00163712">
      <w:pPr>
        <w:pStyle w:val="Bibliography"/>
        <w:rPr>
          <w:rFonts w:ascii="Arial" w:hAnsi="Arial" w:cs="Arial"/>
          <w:noProof/>
          <w:sz w:val="22"/>
          <w:szCs w:val="22"/>
        </w:rPr>
      </w:pPr>
      <w:r w:rsidRPr="007D003C">
        <w:rPr>
          <w:rFonts w:ascii="Arial" w:hAnsi="Arial" w:cs="Arial"/>
          <w:noProof/>
          <w:sz w:val="22"/>
          <w:szCs w:val="22"/>
        </w:rPr>
        <w:t xml:space="preserve">Newman, A., 2019. Berkeley Group back to normal. </w:t>
      </w:r>
      <w:r w:rsidRPr="007D003C">
        <w:rPr>
          <w:rFonts w:ascii="Arial" w:hAnsi="Arial" w:cs="Arial"/>
          <w:i/>
          <w:iCs/>
          <w:noProof/>
          <w:sz w:val="22"/>
          <w:szCs w:val="22"/>
        </w:rPr>
        <w:t xml:space="preserve">Investors' Chronicle, </w:t>
      </w:r>
      <w:r w:rsidRPr="007D003C">
        <w:rPr>
          <w:rFonts w:ascii="Arial" w:hAnsi="Arial" w:cs="Arial"/>
          <w:noProof/>
          <w:sz w:val="22"/>
          <w:szCs w:val="22"/>
        </w:rPr>
        <w:t>pp. [Online]. Available from: https://www.investorschronicle.co.uk/shares/2019/12/06/berkeley-group-back-to-normal/. [Accessed 11/01/2021].</w:t>
      </w:r>
    </w:p>
    <w:p w14:paraId="2A87892F" w14:textId="77777777" w:rsidR="00163712" w:rsidRPr="007D003C" w:rsidRDefault="00163712" w:rsidP="00163712">
      <w:pPr>
        <w:pStyle w:val="Bibliography"/>
        <w:rPr>
          <w:rFonts w:ascii="Arial" w:hAnsi="Arial" w:cs="Arial"/>
          <w:noProof/>
          <w:sz w:val="22"/>
          <w:szCs w:val="22"/>
        </w:rPr>
      </w:pPr>
      <w:r w:rsidRPr="007D003C">
        <w:rPr>
          <w:rFonts w:ascii="Arial" w:hAnsi="Arial" w:cs="Arial"/>
          <w:noProof/>
          <w:sz w:val="22"/>
          <w:szCs w:val="22"/>
        </w:rPr>
        <w:t xml:space="preserve">NIBusiness.co.uk, 2021. </w:t>
      </w:r>
      <w:r w:rsidRPr="007D003C">
        <w:rPr>
          <w:rFonts w:ascii="Arial" w:hAnsi="Arial" w:cs="Arial"/>
          <w:i/>
          <w:iCs/>
          <w:noProof/>
          <w:sz w:val="22"/>
          <w:szCs w:val="22"/>
        </w:rPr>
        <w:t xml:space="preserve">Investment appraisal techniques. </w:t>
      </w:r>
      <w:r w:rsidRPr="007D003C">
        <w:rPr>
          <w:rFonts w:ascii="Arial" w:hAnsi="Arial" w:cs="Arial"/>
          <w:noProof/>
          <w:sz w:val="22"/>
          <w:szCs w:val="22"/>
        </w:rPr>
        <w:t xml:space="preserve">[Online] </w:t>
      </w:r>
      <w:r w:rsidRPr="007D003C">
        <w:rPr>
          <w:rFonts w:ascii="Arial" w:hAnsi="Arial" w:cs="Arial"/>
          <w:noProof/>
          <w:sz w:val="22"/>
          <w:szCs w:val="22"/>
        </w:rPr>
        <w:br/>
        <w:t xml:space="preserve">Available at: </w:t>
      </w:r>
      <w:r w:rsidRPr="007D003C">
        <w:rPr>
          <w:rFonts w:ascii="Arial" w:hAnsi="Arial" w:cs="Arial"/>
          <w:noProof/>
          <w:sz w:val="22"/>
          <w:szCs w:val="22"/>
          <w:u w:val="single"/>
        </w:rPr>
        <w:t>https://www.nibusinessinfo.co.uk/content/non-financial-factors-investment-appraisal</w:t>
      </w:r>
      <w:r w:rsidRPr="007D003C">
        <w:rPr>
          <w:rFonts w:ascii="Arial" w:hAnsi="Arial" w:cs="Arial"/>
          <w:noProof/>
          <w:sz w:val="22"/>
          <w:szCs w:val="22"/>
        </w:rPr>
        <w:br/>
        <w:t>[Accessed 11 01 2021].</w:t>
      </w:r>
    </w:p>
    <w:p w14:paraId="2CA6A711" w14:textId="77777777" w:rsidR="00163712" w:rsidRPr="007D003C" w:rsidRDefault="00163712" w:rsidP="00163712">
      <w:pPr>
        <w:rPr>
          <w:rFonts w:ascii="Arial" w:hAnsi="Arial" w:cs="Arial"/>
          <w:sz w:val="22"/>
          <w:szCs w:val="22"/>
        </w:rPr>
      </w:pPr>
      <w:r w:rsidRPr="007D003C">
        <w:rPr>
          <w:rFonts w:ascii="Arial" w:hAnsi="Arial" w:cs="Arial"/>
          <w:sz w:val="22"/>
          <w:szCs w:val="22"/>
        </w:rPr>
        <w:t xml:space="preserve">RESI Awards 2016". </w:t>
      </w:r>
      <w:r w:rsidRPr="007D003C">
        <w:rPr>
          <w:rFonts w:ascii="Arial" w:hAnsi="Arial" w:cs="Arial"/>
          <w:i/>
          <w:iCs/>
          <w:sz w:val="22"/>
          <w:szCs w:val="22"/>
        </w:rPr>
        <w:t>resiawards.com.</w:t>
      </w:r>
      <w:r w:rsidRPr="007D003C">
        <w:rPr>
          <w:rFonts w:ascii="Arial" w:hAnsi="Arial" w:cs="Arial"/>
          <w:sz w:val="22"/>
          <w:szCs w:val="22"/>
        </w:rPr>
        <w:t xml:space="preserve"> Retrieved 6 January 2021</w:t>
      </w:r>
    </w:p>
    <w:p w14:paraId="10640C99" w14:textId="77777777" w:rsidR="00163712" w:rsidRPr="007D003C" w:rsidRDefault="00163712" w:rsidP="00163712">
      <w:pPr>
        <w:pStyle w:val="Bibliography"/>
        <w:rPr>
          <w:rFonts w:ascii="Arial" w:hAnsi="Arial" w:cs="Arial"/>
          <w:noProof/>
          <w:sz w:val="22"/>
          <w:szCs w:val="22"/>
        </w:rPr>
      </w:pPr>
      <w:r w:rsidRPr="007D003C">
        <w:rPr>
          <w:rFonts w:ascii="Arial" w:hAnsi="Arial" w:cs="Arial"/>
          <w:noProof/>
          <w:sz w:val="22"/>
          <w:szCs w:val="22"/>
        </w:rPr>
        <w:t xml:space="preserve">Saleem, Q. R. R., 2011. Impacts of liquidity ratios on profitability. </w:t>
      </w:r>
      <w:r w:rsidRPr="007D003C">
        <w:rPr>
          <w:rFonts w:ascii="Arial" w:hAnsi="Arial" w:cs="Arial"/>
          <w:i/>
          <w:iCs/>
          <w:noProof/>
          <w:sz w:val="22"/>
          <w:szCs w:val="22"/>
        </w:rPr>
        <w:t xml:space="preserve">Interdisciplinary Journal of Research in Business, </w:t>
      </w:r>
      <w:r w:rsidRPr="007D003C">
        <w:rPr>
          <w:rFonts w:ascii="Arial" w:hAnsi="Arial" w:cs="Arial"/>
          <w:noProof/>
          <w:sz w:val="22"/>
          <w:szCs w:val="22"/>
        </w:rPr>
        <w:t>1(7), pp. 95-98.</w:t>
      </w:r>
    </w:p>
    <w:p w14:paraId="6943FFC1" w14:textId="77777777" w:rsidR="00163712" w:rsidRPr="007D003C" w:rsidRDefault="00163712" w:rsidP="00163712">
      <w:pPr>
        <w:pStyle w:val="Bibliography"/>
        <w:rPr>
          <w:rFonts w:ascii="Arial" w:hAnsi="Arial" w:cs="Arial"/>
          <w:noProof/>
          <w:sz w:val="22"/>
          <w:szCs w:val="22"/>
        </w:rPr>
      </w:pPr>
      <w:r w:rsidRPr="007D003C">
        <w:rPr>
          <w:rFonts w:ascii="Arial" w:hAnsi="Arial" w:cs="Arial"/>
          <w:noProof/>
          <w:sz w:val="22"/>
          <w:szCs w:val="22"/>
        </w:rPr>
        <w:t xml:space="preserve">Stocks That Have Raised Dividends for 10 Years, 2018. Stocks That Have Raised Dividends for 10 Years. </w:t>
      </w:r>
      <w:r w:rsidRPr="007D003C">
        <w:rPr>
          <w:rFonts w:ascii="Arial" w:hAnsi="Arial" w:cs="Arial"/>
          <w:i/>
          <w:iCs/>
          <w:noProof/>
          <w:sz w:val="22"/>
          <w:szCs w:val="22"/>
        </w:rPr>
        <w:t>Morning star</w:t>
      </w:r>
      <w:r w:rsidRPr="007D003C">
        <w:rPr>
          <w:rFonts w:ascii="Arial" w:hAnsi="Arial" w:cs="Arial"/>
          <w:noProof/>
          <w:sz w:val="22"/>
          <w:szCs w:val="22"/>
        </w:rPr>
        <w:t>, 09 11, p. https://www.morningstar.co.uk/uk/.</w:t>
      </w:r>
    </w:p>
    <w:p w14:paraId="70B77576" w14:textId="77777777" w:rsidR="00163712" w:rsidRPr="007D003C" w:rsidRDefault="00163712" w:rsidP="00163712">
      <w:pPr>
        <w:pStyle w:val="Bibliography"/>
        <w:rPr>
          <w:rFonts w:ascii="Arial" w:hAnsi="Arial" w:cs="Arial"/>
          <w:noProof/>
          <w:sz w:val="22"/>
          <w:szCs w:val="22"/>
        </w:rPr>
      </w:pPr>
      <w:r w:rsidRPr="007D003C">
        <w:rPr>
          <w:rFonts w:ascii="Arial" w:hAnsi="Arial" w:cs="Arial"/>
          <w:noProof/>
          <w:sz w:val="22"/>
          <w:szCs w:val="22"/>
        </w:rPr>
        <w:t xml:space="preserve">Weetman, P., 2013. </w:t>
      </w:r>
      <w:r w:rsidRPr="007D003C">
        <w:rPr>
          <w:rFonts w:ascii="Arial" w:hAnsi="Arial" w:cs="Arial"/>
          <w:i/>
          <w:iCs/>
          <w:noProof/>
          <w:sz w:val="22"/>
          <w:szCs w:val="22"/>
        </w:rPr>
        <w:t xml:space="preserve">Financial and management accounting. </w:t>
      </w:r>
      <w:r w:rsidRPr="007D003C">
        <w:rPr>
          <w:rFonts w:ascii="Arial" w:hAnsi="Arial" w:cs="Arial"/>
          <w:noProof/>
          <w:sz w:val="22"/>
          <w:szCs w:val="22"/>
        </w:rPr>
        <w:t>6 ed. Harlow: Pearson Eduction.</w:t>
      </w:r>
    </w:p>
    <w:p w14:paraId="492234B7" w14:textId="77777777" w:rsidR="00163712" w:rsidRPr="007D003C" w:rsidRDefault="00163712" w:rsidP="00163712">
      <w:pPr>
        <w:jc w:val="both"/>
        <w:rPr>
          <w:rFonts w:ascii="Arial" w:hAnsi="Arial" w:cs="Arial"/>
          <w:sz w:val="22"/>
          <w:szCs w:val="22"/>
        </w:rPr>
      </w:pPr>
      <w:r w:rsidRPr="007D003C">
        <w:rPr>
          <w:rFonts w:ascii="Arial" w:hAnsi="Arial" w:cs="Arial"/>
          <w:sz w:val="22"/>
          <w:szCs w:val="22"/>
        </w:rPr>
        <w:fldChar w:fldCharType="end"/>
      </w:r>
    </w:p>
    <w:p w14:paraId="404D2C45" w14:textId="77777777" w:rsidR="00163712" w:rsidRPr="007D003C" w:rsidRDefault="00163712" w:rsidP="00163712">
      <w:pPr>
        <w:jc w:val="both"/>
        <w:rPr>
          <w:rFonts w:ascii="Arial" w:hAnsi="Arial" w:cs="Arial"/>
          <w:sz w:val="22"/>
          <w:szCs w:val="22"/>
        </w:rPr>
      </w:pPr>
    </w:p>
    <w:p w14:paraId="6BA81A19" w14:textId="77777777" w:rsidR="00163712" w:rsidRPr="007D003C" w:rsidRDefault="00163712" w:rsidP="00163712">
      <w:pPr>
        <w:jc w:val="both"/>
        <w:rPr>
          <w:rFonts w:ascii="Arial" w:hAnsi="Arial" w:cs="Arial"/>
          <w:sz w:val="22"/>
          <w:szCs w:val="22"/>
        </w:rPr>
      </w:pPr>
    </w:p>
    <w:p w14:paraId="2AFE126A" w14:textId="77777777" w:rsidR="00163712" w:rsidRPr="007D003C" w:rsidRDefault="00163712" w:rsidP="00163712">
      <w:pPr>
        <w:jc w:val="both"/>
        <w:rPr>
          <w:rFonts w:ascii="Arial" w:hAnsi="Arial" w:cs="Arial"/>
          <w:sz w:val="22"/>
          <w:szCs w:val="22"/>
        </w:rPr>
      </w:pPr>
    </w:p>
    <w:p w14:paraId="7015448C" w14:textId="77777777" w:rsidR="00163712" w:rsidRPr="007D003C" w:rsidRDefault="00163712" w:rsidP="00163712">
      <w:pPr>
        <w:jc w:val="both"/>
        <w:rPr>
          <w:rFonts w:ascii="Arial" w:hAnsi="Arial" w:cs="Arial"/>
          <w:sz w:val="22"/>
          <w:szCs w:val="22"/>
        </w:rPr>
      </w:pPr>
    </w:p>
    <w:p w14:paraId="7AF3991B" w14:textId="77777777" w:rsidR="00163712" w:rsidRPr="007D003C" w:rsidRDefault="00163712" w:rsidP="00163712">
      <w:pPr>
        <w:jc w:val="both"/>
        <w:rPr>
          <w:rFonts w:ascii="Arial" w:hAnsi="Arial" w:cs="Arial"/>
          <w:sz w:val="22"/>
          <w:szCs w:val="22"/>
        </w:rPr>
      </w:pPr>
    </w:p>
    <w:p w14:paraId="6E459086" w14:textId="77777777" w:rsidR="00163712" w:rsidRPr="007D003C" w:rsidRDefault="00163712" w:rsidP="00163712">
      <w:pPr>
        <w:jc w:val="both"/>
        <w:rPr>
          <w:rFonts w:ascii="Arial" w:hAnsi="Arial" w:cs="Arial"/>
          <w:sz w:val="22"/>
          <w:szCs w:val="22"/>
        </w:rPr>
      </w:pPr>
    </w:p>
    <w:p w14:paraId="7DC65E49" w14:textId="77777777" w:rsidR="00163712" w:rsidRPr="007D003C" w:rsidRDefault="00163712" w:rsidP="00163712">
      <w:pPr>
        <w:jc w:val="both"/>
        <w:rPr>
          <w:rFonts w:ascii="Arial" w:hAnsi="Arial" w:cs="Arial"/>
          <w:sz w:val="22"/>
          <w:szCs w:val="22"/>
        </w:rPr>
      </w:pPr>
    </w:p>
    <w:p w14:paraId="3E1C0F3B" w14:textId="11E81840" w:rsidR="00163712" w:rsidRPr="007D003C" w:rsidRDefault="00163712" w:rsidP="00163712">
      <w:pPr>
        <w:jc w:val="both"/>
        <w:rPr>
          <w:rFonts w:ascii="Arial" w:hAnsi="Arial" w:cs="Arial"/>
          <w:sz w:val="22"/>
          <w:szCs w:val="22"/>
        </w:rPr>
      </w:pPr>
    </w:p>
    <w:p w14:paraId="0FF70367" w14:textId="124A4A15" w:rsidR="00163712" w:rsidRPr="007D003C" w:rsidRDefault="00163712" w:rsidP="00163712">
      <w:pPr>
        <w:jc w:val="both"/>
        <w:rPr>
          <w:rFonts w:ascii="Arial" w:hAnsi="Arial" w:cs="Arial"/>
          <w:sz w:val="22"/>
          <w:szCs w:val="22"/>
        </w:rPr>
      </w:pPr>
    </w:p>
    <w:p w14:paraId="558115E3" w14:textId="77777777" w:rsidR="00163712" w:rsidRPr="007D003C" w:rsidRDefault="00163712" w:rsidP="00163712">
      <w:pPr>
        <w:jc w:val="both"/>
        <w:rPr>
          <w:rFonts w:ascii="Arial" w:hAnsi="Arial" w:cs="Arial"/>
          <w:sz w:val="22"/>
          <w:szCs w:val="22"/>
        </w:rPr>
      </w:pPr>
    </w:p>
    <w:p w14:paraId="67A90282" w14:textId="77777777" w:rsidR="00163712" w:rsidRPr="007D003C" w:rsidRDefault="00163712" w:rsidP="000D481B">
      <w:pPr>
        <w:jc w:val="both"/>
        <w:rPr>
          <w:rFonts w:ascii="Arial" w:hAnsi="Arial" w:cs="Arial"/>
          <w:sz w:val="22"/>
          <w:szCs w:val="22"/>
        </w:rPr>
      </w:pPr>
    </w:p>
    <w:p w14:paraId="270BF02C" w14:textId="6A2503F8" w:rsidR="008C5695" w:rsidRPr="007D003C" w:rsidRDefault="00454817" w:rsidP="00454817">
      <w:pPr>
        <w:pStyle w:val="Heading1"/>
        <w:jc w:val="left"/>
        <w:rPr>
          <w:rFonts w:ascii="Arial" w:hAnsi="Arial" w:cs="Arial"/>
          <w:sz w:val="22"/>
          <w:szCs w:val="22"/>
        </w:rPr>
      </w:pPr>
      <w:bookmarkStart w:id="7" w:name="_Toc61468826"/>
      <w:r w:rsidRPr="007D003C">
        <w:rPr>
          <w:rFonts w:ascii="Arial" w:hAnsi="Arial" w:cs="Arial"/>
          <w:sz w:val="22"/>
          <w:szCs w:val="22"/>
        </w:rPr>
        <w:t>APPENDI</w:t>
      </w:r>
      <w:r w:rsidR="001D628F" w:rsidRPr="007D003C">
        <w:rPr>
          <w:rFonts w:ascii="Arial" w:hAnsi="Arial" w:cs="Arial"/>
          <w:sz w:val="22"/>
          <w:szCs w:val="22"/>
        </w:rPr>
        <w:t>CES</w:t>
      </w:r>
      <w:bookmarkEnd w:id="7"/>
    </w:p>
    <w:p w14:paraId="35758B0E" w14:textId="1BAC5A73" w:rsidR="001D628F" w:rsidRPr="00F90935" w:rsidRDefault="00C51CC3" w:rsidP="00F90935">
      <w:pPr>
        <w:pStyle w:val="Heading2"/>
        <w:jc w:val="left"/>
        <w:rPr>
          <w:rFonts w:ascii="Arial" w:hAnsi="Arial" w:cs="Arial"/>
          <w:sz w:val="22"/>
          <w:szCs w:val="22"/>
        </w:rPr>
      </w:pPr>
      <w:bookmarkStart w:id="8" w:name="_Toc61468827"/>
      <w:r w:rsidRPr="00F90935">
        <w:rPr>
          <w:rFonts w:ascii="Arial" w:hAnsi="Arial" w:cs="Arial"/>
          <w:sz w:val="22"/>
          <w:szCs w:val="22"/>
        </w:rPr>
        <w:t>Appendix 1 Berkeley Group, Data from the audited financial statements</w:t>
      </w:r>
      <w:bookmarkEnd w:id="8"/>
    </w:p>
    <w:p w14:paraId="062F148E" w14:textId="3E16BBDA" w:rsidR="001D628F" w:rsidRPr="007D003C" w:rsidRDefault="001D628F" w:rsidP="001D628F">
      <w:pPr>
        <w:rPr>
          <w:rFonts w:ascii="Arial" w:hAnsi="Arial" w:cs="Arial"/>
          <w:sz w:val="22"/>
          <w:szCs w:val="22"/>
        </w:rPr>
      </w:pPr>
      <w:r w:rsidRPr="007D003C">
        <w:rPr>
          <w:rFonts w:ascii="Arial" w:hAnsi="Arial" w:cs="Arial"/>
          <w:noProof/>
          <w:sz w:val="22"/>
          <w:szCs w:val="22"/>
        </w:rPr>
        <w:drawing>
          <wp:inline distT="0" distB="0" distL="0" distR="0" wp14:anchorId="5B6134CC" wp14:editId="3A4918D5">
            <wp:extent cx="5318293" cy="8086354"/>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321447" cy="8091149"/>
                    </a:xfrm>
                    <a:prstGeom prst="rect">
                      <a:avLst/>
                    </a:prstGeom>
                  </pic:spPr>
                </pic:pic>
              </a:graphicData>
            </a:graphic>
          </wp:inline>
        </w:drawing>
      </w:r>
    </w:p>
    <w:p w14:paraId="09317E61" w14:textId="4AC9FD18" w:rsidR="00C51CC3" w:rsidRPr="007D003C" w:rsidRDefault="00C51CC3" w:rsidP="001D628F">
      <w:pPr>
        <w:rPr>
          <w:rFonts w:ascii="Arial" w:hAnsi="Arial" w:cs="Arial"/>
          <w:sz w:val="22"/>
          <w:szCs w:val="22"/>
        </w:rPr>
      </w:pPr>
    </w:p>
    <w:p w14:paraId="41FF61DA" w14:textId="6B65D6E5" w:rsidR="00C51CC3" w:rsidRPr="00F90935" w:rsidRDefault="00C51CC3" w:rsidP="00F90935">
      <w:pPr>
        <w:pStyle w:val="Heading2"/>
        <w:jc w:val="left"/>
        <w:rPr>
          <w:rFonts w:ascii="Arial" w:hAnsi="Arial" w:cs="Arial"/>
          <w:sz w:val="22"/>
          <w:szCs w:val="22"/>
        </w:rPr>
      </w:pPr>
      <w:bookmarkStart w:id="9" w:name="_Toc61468828"/>
      <w:r w:rsidRPr="00F90935">
        <w:rPr>
          <w:rFonts w:ascii="Arial" w:hAnsi="Arial" w:cs="Arial"/>
          <w:sz w:val="22"/>
          <w:szCs w:val="22"/>
        </w:rPr>
        <w:t>Appendix 2</w:t>
      </w:r>
      <w:r w:rsidR="00311B44">
        <w:rPr>
          <w:rFonts w:ascii="Arial" w:hAnsi="Arial" w:cs="Arial"/>
          <w:sz w:val="22"/>
          <w:szCs w:val="22"/>
        </w:rPr>
        <w:t xml:space="preserve"> Berkeley - Financial Reports for the year ended April 2020, April 2019</w:t>
      </w:r>
      <w:bookmarkEnd w:id="9"/>
    </w:p>
    <w:p w14:paraId="23CB0F7B" w14:textId="6B5C8D8F" w:rsidR="00454817" w:rsidRPr="007D003C" w:rsidRDefault="00454817" w:rsidP="00454817">
      <w:pPr>
        <w:rPr>
          <w:rFonts w:ascii="Arial" w:hAnsi="Arial" w:cs="Arial"/>
          <w:sz w:val="22"/>
          <w:szCs w:val="22"/>
        </w:rPr>
      </w:pPr>
      <w:r w:rsidRPr="007D003C">
        <w:rPr>
          <w:rFonts w:ascii="Arial" w:hAnsi="Arial" w:cs="Arial"/>
          <w:noProof/>
          <w:sz w:val="22"/>
          <w:szCs w:val="22"/>
        </w:rPr>
        <w:drawing>
          <wp:inline distT="0" distB="0" distL="0" distR="0" wp14:anchorId="72F80981" wp14:editId="5A64E2C5">
            <wp:extent cx="6188710" cy="7636510"/>
            <wp:effectExtent l="0" t="0" r="2540"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188710" cy="7636510"/>
                    </a:xfrm>
                    <a:prstGeom prst="rect">
                      <a:avLst/>
                    </a:prstGeom>
                  </pic:spPr>
                </pic:pic>
              </a:graphicData>
            </a:graphic>
          </wp:inline>
        </w:drawing>
      </w:r>
    </w:p>
    <w:p w14:paraId="58AF99AA" w14:textId="63862DDF" w:rsidR="00454817" w:rsidRPr="007D003C" w:rsidRDefault="00454817" w:rsidP="00454817">
      <w:pPr>
        <w:rPr>
          <w:rFonts w:ascii="Arial" w:hAnsi="Arial" w:cs="Arial"/>
          <w:sz w:val="22"/>
          <w:szCs w:val="22"/>
        </w:rPr>
      </w:pPr>
    </w:p>
    <w:p w14:paraId="2D9AC0D8" w14:textId="24E4E979" w:rsidR="00163712" w:rsidRPr="007D003C" w:rsidRDefault="00163712" w:rsidP="00454817">
      <w:pPr>
        <w:rPr>
          <w:rFonts w:ascii="Arial" w:hAnsi="Arial" w:cs="Arial"/>
          <w:sz w:val="22"/>
          <w:szCs w:val="22"/>
        </w:rPr>
      </w:pPr>
    </w:p>
    <w:p w14:paraId="7CDD99F9" w14:textId="59E20C60" w:rsidR="00163712" w:rsidRPr="007D003C" w:rsidRDefault="00163712" w:rsidP="00F90935">
      <w:pPr>
        <w:pStyle w:val="Heading2"/>
        <w:jc w:val="left"/>
        <w:rPr>
          <w:rFonts w:ascii="Arial" w:hAnsi="Arial" w:cs="Arial"/>
          <w:sz w:val="22"/>
          <w:szCs w:val="22"/>
        </w:rPr>
      </w:pPr>
      <w:bookmarkStart w:id="10" w:name="_Toc61468829"/>
      <w:r w:rsidRPr="007D003C">
        <w:rPr>
          <w:rFonts w:ascii="Arial" w:hAnsi="Arial" w:cs="Arial"/>
          <w:sz w:val="22"/>
          <w:szCs w:val="22"/>
        </w:rPr>
        <w:t>Appendix 2.1 Berkeley - Financial reports for the year ended 2020; 2019</w:t>
      </w:r>
      <w:bookmarkEnd w:id="10"/>
    </w:p>
    <w:p w14:paraId="5EEF8EE5" w14:textId="5F373BA7" w:rsidR="00454817" w:rsidRPr="007D003C" w:rsidRDefault="00454817" w:rsidP="00454817">
      <w:pPr>
        <w:rPr>
          <w:rFonts w:ascii="Arial" w:hAnsi="Arial" w:cs="Arial"/>
          <w:sz w:val="22"/>
          <w:szCs w:val="22"/>
        </w:rPr>
      </w:pPr>
    </w:p>
    <w:p w14:paraId="3B783336" w14:textId="429995D3" w:rsidR="00C51CC3" w:rsidRPr="007D003C" w:rsidRDefault="00454817" w:rsidP="00454817">
      <w:pPr>
        <w:rPr>
          <w:rFonts w:ascii="Arial" w:hAnsi="Arial" w:cs="Arial"/>
          <w:sz w:val="22"/>
          <w:szCs w:val="22"/>
        </w:rPr>
      </w:pPr>
      <w:r w:rsidRPr="007D003C">
        <w:rPr>
          <w:rFonts w:ascii="Arial" w:hAnsi="Arial" w:cs="Arial"/>
          <w:noProof/>
          <w:sz w:val="22"/>
          <w:szCs w:val="22"/>
        </w:rPr>
        <w:drawing>
          <wp:inline distT="0" distB="0" distL="0" distR="0" wp14:anchorId="05A5F140" wp14:editId="6E83A67F">
            <wp:extent cx="5730817" cy="7997036"/>
            <wp:effectExtent l="0" t="0" r="3810" b="444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4991" cy="8002861"/>
                    </a:xfrm>
                    <a:prstGeom prst="rect">
                      <a:avLst/>
                    </a:prstGeom>
                  </pic:spPr>
                </pic:pic>
              </a:graphicData>
            </a:graphic>
          </wp:inline>
        </w:drawing>
      </w:r>
    </w:p>
    <w:p w14:paraId="08A0FC87" w14:textId="23046A7C" w:rsidR="00C51CC3" w:rsidRPr="007D003C" w:rsidRDefault="00C51CC3" w:rsidP="00454817">
      <w:pPr>
        <w:rPr>
          <w:rFonts w:ascii="Arial" w:hAnsi="Arial" w:cs="Arial"/>
          <w:sz w:val="22"/>
          <w:szCs w:val="22"/>
        </w:rPr>
      </w:pPr>
    </w:p>
    <w:p w14:paraId="762B6BB2" w14:textId="00315FEB" w:rsidR="00C51CC3" w:rsidRPr="007D003C" w:rsidRDefault="00C51CC3" w:rsidP="00F90935">
      <w:pPr>
        <w:pStyle w:val="Heading2"/>
        <w:jc w:val="left"/>
        <w:rPr>
          <w:rFonts w:ascii="Arial" w:hAnsi="Arial" w:cs="Arial"/>
          <w:sz w:val="22"/>
          <w:szCs w:val="22"/>
        </w:rPr>
      </w:pPr>
      <w:bookmarkStart w:id="11" w:name="_Toc61468830"/>
      <w:r w:rsidRPr="007D003C">
        <w:rPr>
          <w:rFonts w:ascii="Arial" w:hAnsi="Arial" w:cs="Arial"/>
          <w:sz w:val="22"/>
          <w:szCs w:val="22"/>
        </w:rPr>
        <w:t>Appendix 3 Berkeley Group, Financial Reports for the year ended 2018; 2017</w:t>
      </w:r>
      <w:bookmarkEnd w:id="11"/>
    </w:p>
    <w:p w14:paraId="7B75EDA9" w14:textId="77777777" w:rsidR="00C51CC3" w:rsidRPr="007D003C" w:rsidRDefault="00C51CC3" w:rsidP="00454817">
      <w:pPr>
        <w:rPr>
          <w:rFonts w:ascii="Arial" w:hAnsi="Arial" w:cs="Arial"/>
          <w:sz w:val="22"/>
          <w:szCs w:val="22"/>
        </w:rPr>
      </w:pPr>
    </w:p>
    <w:p w14:paraId="415C724C" w14:textId="2562B367" w:rsidR="00454817" w:rsidRPr="007D003C" w:rsidRDefault="00454817" w:rsidP="00454817">
      <w:pPr>
        <w:rPr>
          <w:rFonts w:ascii="Arial" w:hAnsi="Arial" w:cs="Arial"/>
          <w:sz w:val="22"/>
          <w:szCs w:val="22"/>
        </w:rPr>
      </w:pPr>
      <w:r w:rsidRPr="007D003C">
        <w:rPr>
          <w:rFonts w:ascii="Arial" w:hAnsi="Arial" w:cs="Arial"/>
          <w:noProof/>
          <w:sz w:val="22"/>
          <w:szCs w:val="22"/>
        </w:rPr>
        <w:drawing>
          <wp:inline distT="0" distB="0" distL="0" distR="0" wp14:anchorId="6FC51667" wp14:editId="63B9754B">
            <wp:extent cx="5724096" cy="7764472"/>
            <wp:effectExtent l="0" t="0" r="0" b="825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28637" cy="7770631"/>
                    </a:xfrm>
                    <a:prstGeom prst="rect">
                      <a:avLst/>
                    </a:prstGeom>
                  </pic:spPr>
                </pic:pic>
              </a:graphicData>
            </a:graphic>
          </wp:inline>
        </w:drawing>
      </w:r>
    </w:p>
    <w:p w14:paraId="56892C11" w14:textId="55A5CA04" w:rsidR="00454817" w:rsidRPr="007D003C" w:rsidRDefault="00454817" w:rsidP="00454817">
      <w:pPr>
        <w:rPr>
          <w:rFonts w:ascii="Arial" w:hAnsi="Arial" w:cs="Arial"/>
          <w:sz w:val="22"/>
          <w:szCs w:val="22"/>
        </w:rPr>
      </w:pPr>
    </w:p>
    <w:p w14:paraId="49E189D7" w14:textId="65F6B798" w:rsidR="00C51CC3" w:rsidRPr="007D003C" w:rsidRDefault="00C51CC3" w:rsidP="00F90935">
      <w:pPr>
        <w:pStyle w:val="Heading2"/>
        <w:jc w:val="left"/>
        <w:rPr>
          <w:rFonts w:ascii="Arial" w:hAnsi="Arial" w:cs="Arial"/>
          <w:sz w:val="22"/>
          <w:szCs w:val="22"/>
        </w:rPr>
      </w:pPr>
      <w:bookmarkStart w:id="12" w:name="_Toc61468831"/>
      <w:r w:rsidRPr="007D003C">
        <w:rPr>
          <w:rFonts w:ascii="Arial" w:hAnsi="Arial" w:cs="Arial"/>
          <w:sz w:val="22"/>
          <w:szCs w:val="22"/>
        </w:rPr>
        <w:t>Appendix 4 Berkeley Group, Financial Reports for the year ended 2018; 2017</w:t>
      </w:r>
      <w:bookmarkEnd w:id="12"/>
    </w:p>
    <w:p w14:paraId="5443D8D0" w14:textId="77777777" w:rsidR="00C51CC3" w:rsidRPr="007D003C" w:rsidRDefault="00C51CC3" w:rsidP="00454817">
      <w:pPr>
        <w:rPr>
          <w:rFonts w:ascii="Arial" w:hAnsi="Arial" w:cs="Arial"/>
          <w:sz w:val="22"/>
          <w:szCs w:val="22"/>
        </w:rPr>
      </w:pPr>
    </w:p>
    <w:p w14:paraId="07577E4D" w14:textId="2641FEB2" w:rsidR="00454817" w:rsidRPr="007D003C" w:rsidRDefault="00454817" w:rsidP="00454817">
      <w:pPr>
        <w:rPr>
          <w:rFonts w:ascii="Arial" w:hAnsi="Arial" w:cs="Arial"/>
          <w:sz w:val="22"/>
          <w:szCs w:val="22"/>
        </w:rPr>
      </w:pPr>
      <w:r w:rsidRPr="007D003C">
        <w:rPr>
          <w:rFonts w:ascii="Arial" w:hAnsi="Arial" w:cs="Arial"/>
          <w:noProof/>
          <w:sz w:val="22"/>
          <w:szCs w:val="22"/>
        </w:rPr>
        <w:drawing>
          <wp:inline distT="0" distB="0" distL="0" distR="0" wp14:anchorId="4CD4CA7B" wp14:editId="37D085B2">
            <wp:extent cx="5614661" cy="7653475"/>
            <wp:effectExtent l="0" t="0" r="5715" b="508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618284" cy="7658414"/>
                    </a:xfrm>
                    <a:prstGeom prst="rect">
                      <a:avLst/>
                    </a:prstGeom>
                  </pic:spPr>
                </pic:pic>
              </a:graphicData>
            </a:graphic>
          </wp:inline>
        </w:drawing>
      </w:r>
    </w:p>
    <w:p w14:paraId="58646931" w14:textId="2225CA02" w:rsidR="00454817" w:rsidRPr="007D003C" w:rsidRDefault="00454817" w:rsidP="00454817">
      <w:pPr>
        <w:rPr>
          <w:rFonts w:ascii="Arial" w:hAnsi="Arial" w:cs="Arial"/>
          <w:sz w:val="22"/>
          <w:szCs w:val="22"/>
        </w:rPr>
      </w:pPr>
    </w:p>
    <w:p w14:paraId="1EC38233" w14:textId="6801B983" w:rsidR="00C51CC3" w:rsidRPr="007D003C" w:rsidRDefault="00C51CC3" w:rsidP="00F90935">
      <w:pPr>
        <w:pStyle w:val="Heading2"/>
        <w:jc w:val="left"/>
        <w:rPr>
          <w:rFonts w:ascii="Arial" w:hAnsi="Arial" w:cs="Arial"/>
          <w:sz w:val="22"/>
          <w:szCs w:val="22"/>
        </w:rPr>
      </w:pPr>
      <w:bookmarkStart w:id="13" w:name="_Toc61468832"/>
      <w:r w:rsidRPr="007D003C">
        <w:rPr>
          <w:rFonts w:ascii="Arial" w:hAnsi="Arial" w:cs="Arial"/>
          <w:sz w:val="22"/>
          <w:szCs w:val="22"/>
        </w:rPr>
        <w:t>Appendix 5 Berkeley Group, Financial Reports for the year ended 2017; 2016</w:t>
      </w:r>
      <w:bookmarkEnd w:id="13"/>
    </w:p>
    <w:p w14:paraId="50FCD929" w14:textId="48CD34B4" w:rsidR="00454817" w:rsidRPr="007D003C" w:rsidRDefault="00F30246" w:rsidP="00454817">
      <w:pPr>
        <w:rPr>
          <w:rFonts w:ascii="Arial" w:hAnsi="Arial" w:cs="Arial"/>
          <w:sz w:val="22"/>
          <w:szCs w:val="22"/>
        </w:rPr>
      </w:pPr>
      <w:r w:rsidRPr="007D003C">
        <w:rPr>
          <w:rFonts w:ascii="Arial" w:hAnsi="Arial" w:cs="Arial"/>
          <w:noProof/>
          <w:sz w:val="22"/>
          <w:szCs w:val="22"/>
        </w:rPr>
        <w:drawing>
          <wp:inline distT="0" distB="0" distL="0" distR="0" wp14:anchorId="2C0A02CF" wp14:editId="72B9465C">
            <wp:extent cx="6188710" cy="7969250"/>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188710" cy="7969250"/>
                    </a:xfrm>
                    <a:prstGeom prst="rect">
                      <a:avLst/>
                    </a:prstGeom>
                  </pic:spPr>
                </pic:pic>
              </a:graphicData>
            </a:graphic>
          </wp:inline>
        </w:drawing>
      </w:r>
    </w:p>
    <w:p w14:paraId="6DE419D1" w14:textId="7F8EA7E8" w:rsidR="00F30246" w:rsidRPr="007D003C" w:rsidRDefault="00F30246" w:rsidP="00454817">
      <w:pPr>
        <w:rPr>
          <w:rFonts w:ascii="Arial" w:hAnsi="Arial" w:cs="Arial"/>
          <w:sz w:val="22"/>
          <w:szCs w:val="22"/>
        </w:rPr>
      </w:pPr>
    </w:p>
    <w:p w14:paraId="1ECC7DB9" w14:textId="2378BA04" w:rsidR="00C51CC3" w:rsidRPr="007D003C" w:rsidRDefault="00C51CC3" w:rsidP="00F90935">
      <w:pPr>
        <w:pStyle w:val="Heading2"/>
        <w:jc w:val="left"/>
        <w:rPr>
          <w:rFonts w:ascii="Arial" w:hAnsi="Arial" w:cs="Arial"/>
          <w:sz w:val="22"/>
          <w:szCs w:val="22"/>
        </w:rPr>
      </w:pPr>
      <w:bookmarkStart w:id="14" w:name="_Toc61468833"/>
      <w:r w:rsidRPr="007D003C">
        <w:rPr>
          <w:rFonts w:ascii="Arial" w:hAnsi="Arial" w:cs="Arial"/>
          <w:sz w:val="22"/>
          <w:szCs w:val="22"/>
        </w:rPr>
        <w:t>Appendix 6 Berkeley Group, Financial Reports for the year ended 2017; 2016</w:t>
      </w:r>
      <w:bookmarkEnd w:id="14"/>
    </w:p>
    <w:p w14:paraId="5F5DC2C7" w14:textId="47B55158" w:rsidR="00F30246" w:rsidRPr="007D003C" w:rsidRDefault="00F30246" w:rsidP="00454817">
      <w:pPr>
        <w:rPr>
          <w:rFonts w:ascii="Arial" w:hAnsi="Arial" w:cs="Arial"/>
          <w:sz w:val="22"/>
          <w:szCs w:val="22"/>
        </w:rPr>
      </w:pPr>
      <w:r w:rsidRPr="007D003C">
        <w:rPr>
          <w:rFonts w:ascii="Arial" w:hAnsi="Arial" w:cs="Arial"/>
          <w:noProof/>
          <w:sz w:val="22"/>
          <w:szCs w:val="22"/>
        </w:rPr>
        <w:drawing>
          <wp:inline distT="0" distB="0" distL="0" distR="0" wp14:anchorId="30CCAB77" wp14:editId="505556C8">
            <wp:extent cx="6188710" cy="7733030"/>
            <wp:effectExtent l="0" t="0" r="2540" b="127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188710" cy="7733030"/>
                    </a:xfrm>
                    <a:prstGeom prst="rect">
                      <a:avLst/>
                    </a:prstGeom>
                  </pic:spPr>
                </pic:pic>
              </a:graphicData>
            </a:graphic>
          </wp:inline>
        </w:drawing>
      </w:r>
    </w:p>
    <w:p w14:paraId="11FE66DA" w14:textId="74EEECC3" w:rsidR="00C51CC3" w:rsidRPr="007D003C" w:rsidRDefault="00C51CC3" w:rsidP="00F90935">
      <w:pPr>
        <w:pStyle w:val="Heading2"/>
        <w:jc w:val="left"/>
        <w:rPr>
          <w:rFonts w:ascii="Arial" w:hAnsi="Arial" w:cs="Arial"/>
          <w:sz w:val="22"/>
          <w:szCs w:val="22"/>
        </w:rPr>
      </w:pPr>
      <w:bookmarkStart w:id="15" w:name="_Toc61468834"/>
      <w:r w:rsidRPr="007D003C">
        <w:rPr>
          <w:rFonts w:ascii="Arial" w:hAnsi="Arial" w:cs="Arial"/>
          <w:sz w:val="22"/>
          <w:szCs w:val="22"/>
        </w:rPr>
        <w:t>Appendix 7 Berkeley Group, Financial Reports for the year ended 2015; 2014</w:t>
      </w:r>
      <w:bookmarkEnd w:id="15"/>
    </w:p>
    <w:p w14:paraId="1854DA53" w14:textId="1D40BE32" w:rsidR="00706B31" w:rsidRPr="007D003C" w:rsidRDefault="00706B31" w:rsidP="000D481B">
      <w:pPr>
        <w:jc w:val="both"/>
        <w:rPr>
          <w:rFonts w:ascii="Arial" w:hAnsi="Arial" w:cs="Arial"/>
          <w:sz w:val="22"/>
          <w:szCs w:val="22"/>
        </w:rPr>
      </w:pPr>
      <w:r w:rsidRPr="007D003C">
        <w:rPr>
          <w:rFonts w:ascii="Arial" w:hAnsi="Arial" w:cs="Arial"/>
          <w:noProof/>
          <w:sz w:val="22"/>
          <w:szCs w:val="22"/>
        </w:rPr>
        <w:drawing>
          <wp:inline distT="0" distB="0" distL="0" distR="0" wp14:anchorId="45F1B7C6" wp14:editId="7EE73202">
            <wp:extent cx="6188710" cy="834517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188710" cy="8345170"/>
                    </a:xfrm>
                    <a:prstGeom prst="rect">
                      <a:avLst/>
                    </a:prstGeom>
                  </pic:spPr>
                </pic:pic>
              </a:graphicData>
            </a:graphic>
          </wp:inline>
        </w:drawing>
      </w:r>
    </w:p>
    <w:p w14:paraId="77C815A4" w14:textId="6FB4C033" w:rsidR="00C51CC3" w:rsidRPr="007D003C" w:rsidRDefault="00C51CC3" w:rsidP="00F90935">
      <w:pPr>
        <w:pStyle w:val="Heading2"/>
        <w:jc w:val="left"/>
        <w:rPr>
          <w:rFonts w:ascii="Arial" w:hAnsi="Arial" w:cs="Arial"/>
          <w:sz w:val="22"/>
          <w:szCs w:val="22"/>
        </w:rPr>
      </w:pPr>
      <w:bookmarkStart w:id="16" w:name="_Toc61468835"/>
      <w:r w:rsidRPr="007D003C">
        <w:rPr>
          <w:rFonts w:ascii="Arial" w:hAnsi="Arial" w:cs="Arial"/>
          <w:sz w:val="22"/>
          <w:szCs w:val="22"/>
        </w:rPr>
        <w:t>Appendix 8 Berkeley Group, Financial Reports for the year ended 2015; 2014</w:t>
      </w:r>
      <w:bookmarkEnd w:id="16"/>
    </w:p>
    <w:p w14:paraId="57CD3DC8" w14:textId="77777777" w:rsidR="00C51CC3" w:rsidRPr="007D003C" w:rsidRDefault="00C51CC3" w:rsidP="000D481B">
      <w:pPr>
        <w:jc w:val="both"/>
        <w:rPr>
          <w:rFonts w:ascii="Arial" w:hAnsi="Arial" w:cs="Arial"/>
          <w:sz w:val="22"/>
          <w:szCs w:val="22"/>
        </w:rPr>
      </w:pPr>
    </w:p>
    <w:p w14:paraId="077B9448" w14:textId="5119FDE2" w:rsidR="00706B31" w:rsidRPr="007D003C" w:rsidRDefault="00706B31" w:rsidP="000D481B">
      <w:pPr>
        <w:jc w:val="both"/>
        <w:rPr>
          <w:rFonts w:ascii="Arial" w:hAnsi="Arial" w:cs="Arial"/>
          <w:sz w:val="22"/>
          <w:szCs w:val="22"/>
        </w:rPr>
      </w:pPr>
    </w:p>
    <w:p w14:paraId="6D2DAC41" w14:textId="7139016A" w:rsidR="00706B31" w:rsidRPr="007D003C" w:rsidRDefault="00706B31" w:rsidP="000D481B">
      <w:pPr>
        <w:jc w:val="both"/>
        <w:rPr>
          <w:rFonts w:ascii="Arial" w:hAnsi="Arial" w:cs="Arial"/>
          <w:sz w:val="22"/>
          <w:szCs w:val="22"/>
        </w:rPr>
      </w:pPr>
      <w:r w:rsidRPr="007D003C">
        <w:rPr>
          <w:rFonts w:ascii="Arial" w:hAnsi="Arial" w:cs="Arial"/>
          <w:noProof/>
          <w:sz w:val="22"/>
          <w:szCs w:val="22"/>
        </w:rPr>
        <w:drawing>
          <wp:inline distT="0" distB="0" distL="0" distR="0" wp14:anchorId="74BFBCB0" wp14:editId="2D920B6B">
            <wp:extent cx="5914800" cy="7960037"/>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918245" cy="7964674"/>
                    </a:xfrm>
                    <a:prstGeom prst="rect">
                      <a:avLst/>
                    </a:prstGeom>
                  </pic:spPr>
                </pic:pic>
              </a:graphicData>
            </a:graphic>
          </wp:inline>
        </w:drawing>
      </w:r>
    </w:p>
    <w:p w14:paraId="32F829C2" w14:textId="0B459214" w:rsidR="00C51CC3" w:rsidRPr="007D003C" w:rsidRDefault="00C51CC3" w:rsidP="00F90935">
      <w:pPr>
        <w:pStyle w:val="Heading2"/>
        <w:jc w:val="left"/>
        <w:rPr>
          <w:rFonts w:ascii="Arial" w:hAnsi="Arial" w:cs="Arial"/>
          <w:sz w:val="22"/>
          <w:szCs w:val="22"/>
        </w:rPr>
      </w:pPr>
      <w:bookmarkStart w:id="17" w:name="_Toc61468836"/>
      <w:r w:rsidRPr="007D003C">
        <w:rPr>
          <w:rFonts w:ascii="Arial" w:hAnsi="Arial" w:cs="Arial"/>
          <w:sz w:val="22"/>
          <w:szCs w:val="22"/>
        </w:rPr>
        <w:t xml:space="preserve">Appendix 9 Berkeley Group, </w:t>
      </w:r>
      <w:r w:rsidR="00F90935" w:rsidRPr="007D003C">
        <w:rPr>
          <w:rFonts w:ascii="Arial" w:hAnsi="Arial" w:cs="Arial"/>
          <w:sz w:val="22"/>
          <w:szCs w:val="22"/>
        </w:rPr>
        <w:t>share</w:t>
      </w:r>
      <w:r w:rsidRPr="007D003C">
        <w:rPr>
          <w:rFonts w:ascii="Arial" w:hAnsi="Arial" w:cs="Arial"/>
          <w:sz w:val="22"/>
          <w:szCs w:val="22"/>
        </w:rPr>
        <w:t xml:space="preserve"> price for the year ended 2015</w:t>
      </w:r>
      <w:bookmarkEnd w:id="17"/>
    </w:p>
    <w:p w14:paraId="4DB73022" w14:textId="3E4DBF3B" w:rsidR="00B07CD3" w:rsidRPr="007D003C" w:rsidRDefault="00B07CD3" w:rsidP="000D481B">
      <w:pPr>
        <w:jc w:val="both"/>
        <w:rPr>
          <w:rFonts w:ascii="Arial" w:hAnsi="Arial" w:cs="Arial"/>
          <w:sz w:val="22"/>
          <w:szCs w:val="22"/>
        </w:rPr>
      </w:pPr>
      <w:r w:rsidRPr="007D003C">
        <w:rPr>
          <w:rFonts w:ascii="Arial" w:hAnsi="Arial" w:cs="Arial"/>
          <w:noProof/>
          <w:sz w:val="22"/>
          <w:szCs w:val="22"/>
        </w:rPr>
        <w:drawing>
          <wp:inline distT="0" distB="0" distL="0" distR="0" wp14:anchorId="3E78067D" wp14:editId="0F475327">
            <wp:extent cx="6188710" cy="829437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188710" cy="8294370"/>
                    </a:xfrm>
                    <a:prstGeom prst="rect">
                      <a:avLst/>
                    </a:prstGeom>
                  </pic:spPr>
                </pic:pic>
              </a:graphicData>
            </a:graphic>
          </wp:inline>
        </w:drawing>
      </w:r>
    </w:p>
    <w:p w14:paraId="47AE1FE3" w14:textId="722C1CF3" w:rsidR="00B07CD3" w:rsidRPr="007D003C" w:rsidRDefault="00163712" w:rsidP="00311B44">
      <w:pPr>
        <w:pStyle w:val="Heading2"/>
        <w:jc w:val="left"/>
        <w:rPr>
          <w:rFonts w:ascii="Arial" w:hAnsi="Arial" w:cs="Arial"/>
          <w:sz w:val="22"/>
          <w:szCs w:val="22"/>
        </w:rPr>
      </w:pPr>
      <w:bookmarkStart w:id="18" w:name="_Toc61468837"/>
      <w:r w:rsidRPr="007D003C">
        <w:rPr>
          <w:rFonts w:ascii="Arial" w:hAnsi="Arial" w:cs="Arial"/>
          <w:sz w:val="22"/>
          <w:szCs w:val="22"/>
        </w:rPr>
        <w:t>Appendix 10 Berkeley Group, Dividend breakdown 2018</w:t>
      </w:r>
      <w:bookmarkEnd w:id="18"/>
    </w:p>
    <w:p w14:paraId="73E6A44E" w14:textId="74EF1969" w:rsidR="00B07CD3" w:rsidRPr="007D003C" w:rsidRDefault="00B07CD3" w:rsidP="000D481B">
      <w:pPr>
        <w:jc w:val="both"/>
        <w:rPr>
          <w:rFonts w:ascii="Arial" w:hAnsi="Arial" w:cs="Arial"/>
          <w:sz w:val="22"/>
          <w:szCs w:val="22"/>
        </w:rPr>
      </w:pPr>
    </w:p>
    <w:p w14:paraId="13AEBA6C" w14:textId="68879C2C" w:rsidR="00F30246" w:rsidRPr="007D003C" w:rsidRDefault="00F30246" w:rsidP="000D481B">
      <w:pPr>
        <w:jc w:val="both"/>
        <w:rPr>
          <w:rFonts w:ascii="Arial" w:hAnsi="Arial" w:cs="Arial"/>
          <w:sz w:val="22"/>
          <w:szCs w:val="22"/>
        </w:rPr>
      </w:pPr>
      <w:r w:rsidRPr="007D003C">
        <w:rPr>
          <w:rFonts w:ascii="Arial" w:hAnsi="Arial" w:cs="Arial"/>
          <w:noProof/>
          <w:sz w:val="22"/>
          <w:szCs w:val="22"/>
        </w:rPr>
        <w:drawing>
          <wp:inline distT="0" distB="0" distL="0" distR="0" wp14:anchorId="059783A0" wp14:editId="1EABF06B">
            <wp:extent cx="6188710" cy="6315075"/>
            <wp:effectExtent l="0" t="0" r="2540"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188710" cy="6315075"/>
                    </a:xfrm>
                    <a:prstGeom prst="rect">
                      <a:avLst/>
                    </a:prstGeom>
                  </pic:spPr>
                </pic:pic>
              </a:graphicData>
            </a:graphic>
          </wp:inline>
        </w:drawing>
      </w:r>
    </w:p>
    <w:p w14:paraId="357F3F78" w14:textId="6DB29F41" w:rsidR="00163712" w:rsidRPr="007D003C" w:rsidRDefault="00163712" w:rsidP="000D481B">
      <w:pPr>
        <w:jc w:val="both"/>
        <w:rPr>
          <w:rFonts w:ascii="Arial" w:hAnsi="Arial" w:cs="Arial"/>
          <w:sz w:val="22"/>
          <w:szCs w:val="22"/>
        </w:rPr>
      </w:pPr>
    </w:p>
    <w:p w14:paraId="78947772" w14:textId="72B753E9" w:rsidR="00163712" w:rsidRPr="007D003C" w:rsidRDefault="00163712" w:rsidP="000D481B">
      <w:pPr>
        <w:jc w:val="both"/>
        <w:rPr>
          <w:rFonts w:ascii="Arial" w:hAnsi="Arial" w:cs="Arial"/>
          <w:sz w:val="22"/>
          <w:szCs w:val="22"/>
        </w:rPr>
      </w:pPr>
    </w:p>
    <w:p w14:paraId="7E1B0974" w14:textId="6E469210" w:rsidR="00163712" w:rsidRPr="007D003C" w:rsidRDefault="00163712" w:rsidP="000D481B">
      <w:pPr>
        <w:jc w:val="both"/>
        <w:rPr>
          <w:rFonts w:ascii="Arial" w:hAnsi="Arial" w:cs="Arial"/>
          <w:sz w:val="22"/>
          <w:szCs w:val="22"/>
        </w:rPr>
      </w:pPr>
    </w:p>
    <w:p w14:paraId="245E5172" w14:textId="51674FF7" w:rsidR="00163712" w:rsidRPr="007D003C" w:rsidRDefault="00163712" w:rsidP="000D481B">
      <w:pPr>
        <w:jc w:val="both"/>
        <w:rPr>
          <w:rFonts w:ascii="Arial" w:hAnsi="Arial" w:cs="Arial"/>
          <w:sz w:val="22"/>
          <w:szCs w:val="22"/>
        </w:rPr>
      </w:pPr>
    </w:p>
    <w:p w14:paraId="03739080" w14:textId="037B22D8" w:rsidR="00163712" w:rsidRPr="007D003C" w:rsidRDefault="00163712" w:rsidP="000D481B">
      <w:pPr>
        <w:jc w:val="both"/>
        <w:rPr>
          <w:rFonts w:ascii="Arial" w:hAnsi="Arial" w:cs="Arial"/>
          <w:sz w:val="22"/>
          <w:szCs w:val="22"/>
        </w:rPr>
      </w:pPr>
    </w:p>
    <w:p w14:paraId="25F46F9E" w14:textId="2D6ACE40" w:rsidR="00163712" w:rsidRPr="007D003C" w:rsidRDefault="00163712" w:rsidP="000D481B">
      <w:pPr>
        <w:jc w:val="both"/>
        <w:rPr>
          <w:rFonts w:ascii="Arial" w:hAnsi="Arial" w:cs="Arial"/>
          <w:sz w:val="22"/>
          <w:szCs w:val="22"/>
        </w:rPr>
      </w:pPr>
    </w:p>
    <w:p w14:paraId="6058066C" w14:textId="429909E7" w:rsidR="00163712" w:rsidRPr="007D003C" w:rsidRDefault="00163712" w:rsidP="00311B44">
      <w:pPr>
        <w:pStyle w:val="Heading2"/>
        <w:jc w:val="left"/>
        <w:rPr>
          <w:rFonts w:ascii="Arial" w:hAnsi="Arial" w:cs="Arial"/>
          <w:sz w:val="22"/>
          <w:szCs w:val="22"/>
        </w:rPr>
      </w:pPr>
      <w:bookmarkStart w:id="19" w:name="_Toc61468838"/>
      <w:r w:rsidRPr="007D003C">
        <w:rPr>
          <w:rFonts w:ascii="Arial" w:hAnsi="Arial" w:cs="Arial"/>
          <w:sz w:val="22"/>
          <w:szCs w:val="22"/>
        </w:rPr>
        <w:t>Appendix 11 Berkeley Group, Market Share price 2016-2018</w:t>
      </w:r>
      <w:bookmarkEnd w:id="19"/>
    </w:p>
    <w:p w14:paraId="4E6DFAD2" w14:textId="1975976F" w:rsidR="00F30246" w:rsidRPr="007D003C" w:rsidRDefault="00F30246" w:rsidP="000D481B">
      <w:pPr>
        <w:jc w:val="both"/>
        <w:rPr>
          <w:rFonts w:ascii="Arial" w:hAnsi="Arial" w:cs="Arial"/>
          <w:sz w:val="22"/>
          <w:szCs w:val="22"/>
        </w:rPr>
      </w:pPr>
      <w:r w:rsidRPr="007D003C">
        <w:rPr>
          <w:rFonts w:ascii="Arial" w:hAnsi="Arial" w:cs="Arial"/>
          <w:noProof/>
          <w:sz w:val="22"/>
          <w:szCs w:val="22"/>
        </w:rPr>
        <w:drawing>
          <wp:inline distT="0" distB="0" distL="0" distR="0" wp14:anchorId="660B2F1D" wp14:editId="16B31F6B">
            <wp:extent cx="6188710" cy="8365490"/>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188710" cy="8365490"/>
                    </a:xfrm>
                    <a:prstGeom prst="rect">
                      <a:avLst/>
                    </a:prstGeom>
                  </pic:spPr>
                </pic:pic>
              </a:graphicData>
            </a:graphic>
          </wp:inline>
        </w:drawing>
      </w:r>
    </w:p>
    <w:p w14:paraId="4F3F3A2A" w14:textId="03FBEEDC" w:rsidR="00163712" w:rsidRPr="007D003C" w:rsidRDefault="00163712" w:rsidP="00311B44">
      <w:pPr>
        <w:pStyle w:val="Heading2"/>
        <w:jc w:val="left"/>
        <w:rPr>
          <w:rFonts w:ascii="Arial" w:hAnsi="Arial" w:cs="Arial"/>
          <w:sz w:val="22"/>
          <w:szCs w:val="22"/>
        </w:rPr>
      </w:pPr>
      <w:bookmarkStart w:id="20" w:name="_Toc61468839"/>
      <w:r w:rsidRPr="007D003C">
        <w:rPr>
          <w:rFonts w:ascii="Arial" w:hAnsi="Arial" w:cs="Arial"/>
          <w:sz w:val="22"/>
          <w:szCs w:val="22"/>
        </w:rPr>
        <w:t>Appendix 12 Balfour Beatty, Market Share Price 2019</w:t>
      </w:r>
      <w:bookmarkEnd w:id="20"/>
    </w:p>
    <w:p w14:paraId="14D4F06D" w14:textId="73071E19" w:rsidR="009A3998" w:rsidRPr="007D003C" w:rsidRDefault="00B07CD3" w:rsidP="000D481B">
      <w:pPr>
        <w:jc w:val="both"/>
        <w:rPr>
          <w:rFonts w:ascii="Arial" w:hAnsi="Arial" w:cs="Arial"/>
          <w:sz w:val="22"/>
          <w:szCs w:val="22"/>
        </w:rPr>
      </w:pPr>
      <w:r w:rsidRPr="007D003C">
        <w:rPr>
          <w:rFonts w:ascii="Arial" w:hAnsi="Arial" w:cs="Arial"/>
          <w:noProof/>
          <w:sz w:val="22"/>
          <w:szCs w:val="22"/>
        </w:rPr>
        <w:drawing>
          <wp:inline distT="0" distB="0" distL="0" distR="0" wp14:anchorId="7497205F" wp14:editId="227AE4EB">
            <wp:extent cx="6188710" cy="8512175"/>
            <wp:effectExtent l="0" t="0" r="2540"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188710" cy="8512175"/>
                    </a:xfrm>
                    <a:prstGeom prst="rect">
                      <a:avLst/>
                    </a:prstGeom>
                  </pic:spPr>
                </pic:pic>
              </a:graphicData>
            </a:graphic>
          </wp:inline>
        </w:drawing>
      </w:r>
    </w:p>
    <w:sectPr w:rsidR="009A3998" w:rsidRPr="007D003C" w:rsidSect="009C7BC4">
      <w:type w:val="continuous"/>
      <w:pgSz w:w="11906" w:h="16838"/>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5E1DC0" w14:textId="77777777" w:rsidR="00446AF2" w:rsidRDefault="00446AF2" w:rsidP="005956DC">
      <w:pPr>
        <w:spacing w:after="0" w:line="240" w:lineRule="auto"/>
      </w:pPr>
      <w:r>
        <w:separator/>
      </w:r>
    </w:p>
  </w:endnote>
  <w:endnote w:type="continuationSeparator" w:id="0">
    <w:p w14:paraId="0A4D5288" w14:textId="77777777" w:rsidR="00446AF2" w:rsidRDefault="00446AF2" w:rsidP="00595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8924688"/>
      <w:docPartObj>
        <w:docPartGallery w:val="Page Numbers (Bottom of Page)"/>
        <w:docPartUnique/>
      </w:docPartObj>
    </w:sdtPr>
    <w:sdtEndPr/>
    <w:sdtContent>
      <w:p w14:paraId="51E1A384" w14:textId="492F83A5" w:rsidR="001B5157" w:rsidRDefault="001B5157">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AFA3CD3" w14:textId="77777777" w:rsidR="001B5157" w:rsidRDefault="001B51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DF3A16" w14:textId="77777777" w:rsidR="00446AF2" w:rsidRDefault="00446AF2" w:rsidP="005956DC">
      <w:pPr>
        <w:spacing w:after="0" w:line="240" w:lineRule="auto"/>
      </w:pPr>
      <w:r>
        <w:separator/>
      </w:r>
    </w:p>
  </w:footnote>
  <w:footnote w:type="continuationSeparator" w:id="0">
    <w:p w14:paraId="7CD37AC8" w14:textId="77777777" w:rsidR="00446AF2" w:rsidRDefault="00446AF2" w:rsidP="005956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54CC8"/>
    <w:multiLevelType w:val="multilevel"/>
    <w:tmpl w:val="A9F471A8"/>
    <w:lvl w:ilvl="0">
      <w:start w:val="1"/>
      <w:numFmt w:val="decimal"/>
      <w:lvlText w:val="%1.0"/>
      <w:lvlJc w:val="left"/>
      <w:pPr>
        <w:ind w:left="370" w:hanging="370"/>
      </w:pPr>
      <w:rPr>
        <w:rFonts w:hint="default"/>
      </w:rPr>
    </w:lvl>
    <w:lvl w:ilvl="1">
      <w:start w:val="1"/>
      <w:numFmt w:val="decimal"/>
      <w:lvlText w:val="%1.%2"/>
      <w:lvlJc w:val="left"/>
      <w:pPr>
        <w:ind w:left="1090" w:hanging="37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ABA380C"/>
    <w:multiLevelType w:val="hybridMultilevel"/>
    <w:tmpl w:val="36C44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894227"/>
    <w:multiLevelType w:val="multilevel"/>
    <w:tmpl w:val="1676FE5C"/>
    <w:lvl w:ilvl="0">
      <w:start w:val="1"/>
      <w:numFmt w:val="decimal"/>
      <w:lvlText w:val="%1.0"/>
      <w:lvlJc w:val="left"/>
      <w:pPr>
        <w:ind w:left="370" w:hanging="370"/>
      </w:pPr>
      <w:rPr>
        <w:rFonts w:hint="default"/>
      </w:rPr>
    </w:lvl>
    <w:lvl w:ilvl="1">
      <w:start w:val="1"/>
      <w:numFmt w:val="decimal"/>
      <w:lvlText w:val="%1.%2"/>
      <w:lvlJc w:val="left"/>
      <w:pPr>
        <w:ind w:left="1090" w:hanging="37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30C41D7E"/>
    <w:multiLevelType w:val="hybridMultilevel"/>
    <w:tmpl w:val="C4D6C48C"/>
    <w:lvl w:ilvl="0" w:tplc="F4808AEA">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28728D"/>
    <w:multiLevelType w:val="hybridMultilevel"/>
    <w:tmpl w:val="9650E1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604D29"/>
    <w:multiLevelType w:val="hybridMultilevel"/>
    <w:tmpl w:val="B0645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A81C20"/>
    <w:multiLevelType w:val="hybridMultilevel"/>
    <w:tmpl w:val="7512BAC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6"/>
  </w:num>
  <w:num w:numId="4">
    <w:abstractNumId w:val="3"/>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633"/>
    <w:rsid w:val="000011B9"/>
    <w:rsid w:val="00001243"/>
    <w:rsid w:val="00002505"/>
    <w:rsid w:val="00036044"/>
    <w:rsid w:val="000419BF"/>
    <w:rsid w:val="00043F6A"/>
    <w:rsid w:val="00060E07"/>
    <w:rsid w:val="00062D97"/>
    <w:rsid w:val="00067CF7"/>
    <w:rsid w:val="00084901"/>
    <w:rsid w:val="00097D86"/>
    <w:rsid w:val="000C0878"/>
    <w:rsid w:val="000C2C80"/>
    <w:rsid w:val="000D481B"/>
    <w:rsid w:val="000E1E5F"/>
    <w:rsid w:val="000E5DC2"/>
    <w:rsid w:val="000F0523"/>
    <w:rsid w:val="000F14EF"/>
    <w:rsid w:val="001134EF"/>
    <w:rsid w:val="00124BB1"/>
    <w:rsid w:val="0014007B"/>
    <w:rsid w:val="00151464"/>
    <w:rsid w:val="00163712"/>
    <w:rsid w:val="0017290F"/>
    <w:rsid w:val="001757B3"/>
    <w:rsid w:val="00177F47"/>
    <w:rsid w:val="00185015"/>
    <w:rsid w:val="001873B6"/>
    <w:rsid w:val="00194386"/>
    <w:rsid w:val="001A4B84"/>
    <w:rsid w:val="001B5157"/>
    <w:rsid w:val="001B7BD5"/>
    <w:rsid w:val="001D203F"/>
    <w:rsid w:val="001D3F18"/>
    <w:rsid w:val="001D628F"/>
    <w:rsid w:val="00226BF7"/>
    <w:rsid w:val="00232D55"/>
    <w:rsid w:val="0024279C"/>
    <w:rsid w:val="002732F5"/>
    <w:rsid w:val="0028728F"/>
    <w:rsid w:val="002A45AC"/>
    <w:rsid w:val="002A71A5"/>
    <w:rsid w:val="002B76DB"/>
    <w:rsid w:val="002D38B4"/>
    <w:rsid w:val="002E7700"/>
    <w:rsid w:val="002F572F"/>
    <w:rsid w:val="00300B25"/>
    <w:rsid w:val="00311B44"/>
    <w:rsid w:val="00312D49"/>
    <w:rsid w:val="00313622"/>
    <w:rsid w:val="00341E47"/>
    <w:rsid w:val="003437F3"/>
    <w:rsid w:val="0034554E"/>
    <w:rsid w:val="00345DDA"/>
    <w:rsid w:val="00354389"/>
    <w:rsid w:val="003623A4"/>
    <w:rsid w:val="00364A89"/>
    <w:rsid w:val="0039555D"/>
    <w:rsid w:val="00397EFA"/>
    <w:rsid w:val="003A12C8"/>
    <w:rsid w:val="003B6861"/>
    <w:rsid w:val="003C1F52"/>
    <w:rsid w:val="003C5633"/>
    <w:rsid w:val="003C5B72"/>
    <w:rsid w:val="003F0A05"/>
    <w:rsid w:val="004153A4"/>
    <w:rsid w:val="0042165A"/>
    <w:rsid w:val="00425CAE"/>
    <w:rsid w:val="00446AF2"/>
    <w:rsid w:val="00454817"/>
    <w:rsid w:val="004553E6"/>
    <w:rsid w:val="004803E4"/>
    <w:rsid w:val="00495CA5"/>
    <w:rsid w:val="00496D13"/>
    <w:rsid w:val="004A0521"/>
    <w:rsid w:val="004A5069"/>
    <w:rsid w:val="004B7B23"/>
    <w:rsid w:val="004D3B82"/>
    <w:rsid w:val="004E1B7C"/>
    <w:rsid w:val="005028B5"/>
    <w:rsid w:val="00525F82"/>
    <w:rsid w:val="00530E52"/>
    <w:rsid w:val="00564888"/>
    <w:rsid w:val="00577FCA"/>
    <w:rsid w:val="00584B1C"/>
    <w:rsid w:val="00585710"/>
    <w:rsid w:val="0059328A"/>
    <w:rsid w:val="005956DC"/>
    <w:rsid w:val="005A4268"/>
    <w:rsid w:val="005B07AD"/>
    <w:rsid w:val="005B5D80"/>
    <w:rsid w:val="005C2A2C"/>
    <w:rsid w:val="005C55EA"/>
    <w:rsid w:val="005E07F9"/>
    <w:rsid w:val="005F1BCF"/>
    <w:rsid w:val="00611E2B"/>
    <w:rsid w:val="0064133B"/>
    <w:rsid w:val="0064289E"/>
    <w:rsid w:val="006473C7"/>
    <w:rsid w:val="006546B2"/>
    <w:rsid w:val="0065573A"/>
    <w:rsid w:val="00657879"/>
    <w:rsid w:val="0066503A"/>
    <w:rsid w:val="006728D7"/>
    <w:rsid w:val="00683CEA"/>
    <w:rsid w:val="00686946"/>
    <w:rsid w:val="006A2841"/>
    <w:rsid w:val="006A60E9"/>
    <w:rsid w:val="006B09DC"/>
    <w:rsid w:val="006B6B05"/>
    <w:rsid w:val="006D0EFE"/>
    <w:rsid w:val="006D609E"/>
    <w:rsid w:val="006D7758"/>
    <w:rsid w:val="006F037B"/>
    <w:rsid w:val="006F163F"/>
    <w:rsid w:val="006F2FD7"/>
    <w:rsid w:val="006F40BA"/>
    <w:rsid w:val="00704B67"/>
    <w:rsid w:val="00706B31"/>
    <w:rsid w:val="00715E5D"/>
    <w:rsid w:val="00751C7F"/>
    <w:rsid w:val="0076611D"/>
    <w:rsid w:val="007678D5"/>
    <w:rsid w:val="007D003C"/>
    <w:rsid w:val="007D4024"/>
    <w:rsid w:val="007E76C9"/>
    <w:rsid w:val="007E7A64"/>
    <w:rsid w:val="007F6F9F"/>
    <w:rsid w:val="0080026E"/>
    <w:rsid w:val="008045B0"/>
    <w:rsid w:val="0081085C"/>
    <w:rsid w:val="008254B8"/>
    <w:rsid w:val="0084159B"/>
    <w:rsid w:val="00847FF7"/>
    <w:rsid w:val="00850467"/>
    <w:rsid w:val="00850F3D"/>
    <w:rsid w:val="008732A2"/>
    <w:rsid w:val="00897B5E"/>
    <w:rsid w:val="008A122E"/>
    <w:rsid w:val="008A693F"/>
    <w:rsid w:val="008B6C66"/>
    <w:rsid w:val="008B7168"/>
    <w:rsid w:val="008C5695"/>
    <w:rsid w:val="008D45B6"/>
    <w:rsid w:val="008E42F3"/>
    <w:rsid w:val="008F6978"/>
    <w:rsid w:val="00912D65"/>
    <w:rsid w:val="00917618"/>
    <w:rsid w:val="00924D60"/>
    <w:rsid w:val="00946C52"/>
    <w:rsid w:val="00956D5A"/>
    <w:rsid w:val="0099662F"/>
    <w:rsid w:val="009A3998"/>
    <w:rsid w:val="009C1B13"/>
    <w:rsid w:val="009C3827"/>
    <w:rsid w:val="009C7762"/>
    <w:rsid w:val="009C7BC4"/>
    <w:rsid w:val="00A0179A"/>
    <w:rsid w:val="00A05C55"/>
    <w:rsid w:val="00A26022"/>
    <w:rsid w:val="00A33972"/>
    <w:rsid w:val="00A57415"/>
    <w:rsid w:val="00A60479"/>
    <w:rsid w:val="00A676D4"/>
    <w:rsid w:val="00A712BF"/>
    <w:rsid w:val="00A76E70"/>
    <w:rsid w:val="00A77E5E"/>
    <w:rsid w:val="00A8225B"/>
    <w:rsid w:val="00A92553"/>
    <w:rsid w:val="00AB1251"/>
    <w:rsid w:val="00AD5FAA"/>
    <w:rsid w:val="00AD7D30"/>
    <w:rsid w:val="00AE7020"/>
    <w:rsid w:val="00AF7167"/>
    <w:rsid w:val="00B05BC0"/>
    <w:rsid w:val="00B07CD3"/>
    <w:rsid w:val="00B17E92"/>
    <w:rsid w:val="00B4238F"/>
    <w:rsid w:val="00B57FAF"/>
    <w:rsid w:val="00B64951"/>
    <w:rsid w:val="00B73EB0"/>
    <w:rsid w:val="00B76704"/>
    <w:rsid w:val="00BC1E0B"/>
    <w:rsid w:val="00BC45DA"/>
    <w:rsid w:val="00BD0037"/>
    <w:rsid w:val="00BF2B8E"/>
    <w:rsid w:val="00BF6678"/>
    <w:rsid w:val="00C332EE"/>
    <w:rsid w:val="00C3334A"/>
    <w:rsid w:val="00C42852"/>
    <w:rsid w:val="00C43B3C"/>
    <w:rsid w:val="00C4624C"/>
    <w:rsid w:val="00C51CC3"/>
    <w:rsid w:val="00C55659"/>
    <w:rsid w:val="00C64E96"/>
    <w:rsid w:val="00CC2488"/>
    <w:rsid w:val="00CC6E46"/>
    <w:rsid w:val="00CC7AC5"/>
    <w:rsid w:val="00CD131D"/>
    <w:rsid w:val="00CD40E6"/>
    <w:rsid w:val="00CD4CA9"/>
    <w:rsid w:val="00CE149B"/>
    <w:rsid w:val="00CE353F"/>
    <w:rsid w:val="00D03BC9"/>
    <w:rsid w:val="00D635BE"/>
    <w:rsid w:val="00D66ABF"/>
    <w:rsid w:val="00D73858"/>
    <w:rsid w:val="00D911C4"/>
    <w:rsid w:val="00DB53DF"/>
    <w:rsid w:val="00DC08AB"/>
    <w:rsid w:val="00DC3B3F"/>
    <w:rsid w:val="00DD3BA7"/>
    <w:rsid w:val="00E0317E"/>
    <w:rsid w:val="00E03E1A"/>
    <w:rsid w:val="00E0749C"/>
    <w:rsid w:val="00E07DE1"/>
    <w:rsid w:val="00E131B7"/>
    <w:rsid w:val="00E239BB"/>
    <w:rsid w:val="00E5381C"/>
    <w:rsid w:val="00E6495C"/>
    <w:rsid w:val="00E8790F"/>
    <w:rsid w:val="00E92E73"/>
    <w:rsid w:val="00EA06A3"/>
    <w:rsid w:val="00EA2F00"/>
    <w:rsid w:val="00EA6C3B"/>
    <w:rsid w:val="00EB2FF5"/>
    <w:rsid w:val="00ED15E8"/>
    <w:rsid w:val="00ED1847"/>
    <w:rsid w:val="00EE16F1"/>
    <w:rsid w:val="00EE188A"/>
    <w:rsid w:val="00F01597"/>
    <w:rsid w:val="00F03874"/>
    <w:rsid w:val="00F05BDA"/>
    <w:rsid w:val="00F15CEC"/>
    <w:rsid w:val="00F23AC4"/>
    <w:rsid w:val="00F30246"/>
    <w:rsid w:val="00F6304A"/>
    <w:rsid w:val="00F7291F"/>
    <w:rsid w:val="00F8601E"/>
    <w:rsid w:val="00F90552"/>
    <w:rsid w:val="00F90935"/>
    <w:rsid w:val="00FA4753"/>
    <w:rsid w:val="00FC213E"/>
    <w:rsid w:val="00FD23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9F1B5"/>
  <w15:chartTrackingRefBased/>
  <w15:docId w15:val="{A4A56AC1-FBE6-47C1-90DF-E3FF72ACA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6DC"/>
  </w:style>
  <w:style w:type="paragraph" w:styleId="Heading1">
    <w:name w:val="heading 1"/>
    <w:basedOn w:val="Normal"/>
    <w:next w:val="Normal"/>
    <w:link w:val="Heading1Char"/>
    <w:uiPriority w:val="9"/>
    <w:qFormat/>
    <w:rsid w:val="005956DC"/>
    <w:pPr>
      <w:keepNext/>
      <w:keepLines/>
      <w:spacing w:before="320" w:after="80" w:line="240" w:lineRule="auto"/>
      <w:jc w:val="center"/>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5956DC"/>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5956DC"/>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5956DC"/>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5956DC"/>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5956DC"/>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5956DC"/>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5956DC"/>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5956DC"/>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4268"/>
    <w:pPr>
      <w:ind w:left="720"/>
      <w:contextualSpacing/>
    </w:pPr>
  </w:style>
  <w:style w:type="paragraph" w:styleId="Title">
    <w:name w:val="Title"/>
    <w:basedOn w:val="Normal"/>
    <w:next w:val="Normal"/>
    <w:link w:val="TitleChar"/>
    <w:uiPriority w:val="10"/>
    <w:qFormat/>
    <w:rsid w:val="005956DC"/>
    <w:pPr>
      <w:pBdr>
        <w:top w:val="single" w:sz="6" w:space="8" w:color="9BBB59" w:themeColor="accent3"/>
        <w:bottom w:val="single" w:sz="6" w:space="8" w:color="9BBB59" w:themeColor="accent3"/>
      </w:pBdr>
      <w:spacing w:after="400" w:line="240" w:lineRule="auto"/>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leChar">
    <w:name w:val="Title Char"/>
    <w:basedOn w:val="DefaultParagraphFont"/>
    <w:link w:val="Title"/>
    <w:uiPriority w:val="10"/>
    <w:rsid w:val="005956DC"/>
    <w:rPr>
      <w:rFonts w:asciiTheme="majorHAnsi" w:eastAsiaTheme="majorEastAsia" w:hAnsiTheme="majorHAnsi" w:cstheme="majorBidi"/>
      <w:caps/>
      <w:color w:val="1F497D" w:themeColor="text2"/>
      <w:spacing w:val="30"/>
      <w:sz w:val="72"/>
      <w:szCs w:val="72"/>
    </w:rPr>
  </w:style>
  <w:style w:type="table" w:styleId="TableGrid">
    <w:name w:val="Table Grid"/>
    <w:basedOn w:val="TableNormal"/>
    <w:uiPriority w:val="59"/>
    <w:rsid w:val="003C56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A5069"/>
    <w:rPr>
      <w:color w:val="0000FF" w:themeColor="hyperlink"/>
      <w:u w:val="single"/>
    </w:rPr>
  </w:style>
  <w:style w:type="character" w:styleId="FollowedHyperlink">
    <w:name w:val="FollowedHyperlink"/>
    <w:basedOn w:val="DefaultParagraphFont"/>
    <w:uiPriority w:val="99"/>
    <w:semiHidden/>
    <w:unhideWhenUsed/>
    <w:rsid w:val="004A5069"/>
    <w:rPr>
      <w:color w:val="800080" w:themeColor="followedHyperlink"/>
      <w:u w:val="single"/>
    </w:rPr>
  </w:style>
  <w:style w:type="character" w:styleId="CommentReference">
    <w:name w:val="annotation reference"/>
    <w:basedOn w:val="DefaultParagraphFont"/>
    <w:uiPriority w:val="99"/>
    <w:semiHidden/>
    <w:unhideWhenUsed/>
    <w:rsid w:val="00A676D4"/>
    <w:rPr>
      <w:sz w:val="16"/>
      <w:szCs w:val="16"/>
    </w:rPr>
  </w:style>
  <w:style w:type="paragraph" w:styleId="CommentText">
    <w:name w:val="annotation text"/>
    <w:basedOn w:val="Normal"/>
    <w:link w:val="CommentTextChar"/>
    <w:uiPriority w:val="99"/>
    <w:semiHidden/>
    <w:unhideWhenUsed/>
    <w:rsid w:val="00A676D4"/>
    <w:pPr>
      <w:spacing w:line="240" w:lineRule="auto"/>
    </w:pPr>
    <w:rPr>
      <w:sz w:val="20"/>
      <w:szCs w:val="20"/>
    </w:rPr>
  </w:style>
  <w:style w:type="character" w:customStyle="1" w:styleId="CommentTextChar">
    <w:name w:val="Comment Text Char"/>
    <w:basedOn w:val="DefaultParagraphFont"/>
    <w:link w:val="CommentText"/>
    <w:uiPriority w:val="99"/>
    <w:semiHidden/>
    <w:rsid w:val="00A676D4"/>
    <w:rPr>
      <w:sz w:val="20"/>
      <w:szCs w:val="20"/>
    </w:rPr>
  </w:style>
  <w:style w:type="paragraph" w:styleId="CommentSubject">
    <w:name w:val="annotation subject"/>
    <w:basedOn w:val="CommentText"/>
    <w:next w:val="CommentText"/>
    <w:link w:val="CommentSubjectChar"/>
    <w:uiPriority w:val="99"/>
    <w:semiHidden/>
    <w:unhideWhenUsed/>
    <w:rsid w:val="00A676D4"/>
    <w:rPr>
      <w:b/>
      <w:bCs/>
    </w:rPr>
  </w:style>
  <w:style w:type="character" w:customStyle="1" w:styleId="CommentSubjectChar">
    <w:name w:val="Comment Subject Char"/>
    <w:basedOn w:val="CommentTextChar"/>
    <w:link w:val="CommentSubject"/>
    <w:uiPriority w:val="99"/>
    <w:semiHidden/>
    <w:rsid w:val="00A676D4"/>
    <w:rPr>
      <w:b/>
      <w:bCs/>
      <w:sz w:val="20"/>
      <w:szCs w:val="20"/>
    </w:rPr>
  </w:style>
  <w:style w:type="character" w:styleId="UnresolvedMention">
    <w:name w:val="Unresolved Mention"/>
    <w:basedOn w:val="DefaultParagraphFont"/>
    <w:uiPriority w:val="99"/>
    <w:semiHidden/>
    <w:unhideWhenUsed/>
    <w:rsid w:val="00C42852"/>
    <w:rPr>
      <w:color w:val="605E5C"/>
      <w:shd w:val="clear" w:color="auto" w:fill="E1DFDD"/>
    </w:rPr>
  </w:style>
  <w:style w:type="paragraph" w:styleId="NoSpacing">
    <w:name w:val="No Spacing"/>
    <w:link w:val="NoSpacingChar"/>
    <w:uiPriority w:val="1"/>
    <w:qFormat/>
    <w:rsid w:val="005956DC"/>
    <w:pPr>
      <w:spacing w:after="0" w:line="240" w:lineRule="auto"/>
    </w:pPr>
  </w:style>
  <w:style w:type="character" w:customStyle="1" w:styleId="NoSpacingChar">
    <w:name w:val="No Spacing Char"/>
    <w:basedOn w:val="DefaultParagraphFont"/>
    <w:link w:val="NoSpacing"/>
    <w:uiPriority w:val="1"/>
    <w:rsid w:val="003A12C8"/>
  </w:style>
  <w:style w:type="paragraph" w:styleId="Bibliography">
    <w:name w:val="Bibliography"/>
    <w:basedOn w:val="Normal"/>
    <w:next w:val="Normal"/>
    <w:uiPriority w:val="37"/>
    <w:unhideWhenUsed/>
    <w:rsid w:val="00EE188A"/>
  </w:style>
  <w:style w:type="character" w:customStyle="1" w:styleId="Heading1Char">
    <w:name w:val="Heading 1 Char"/>
    <w:basedOn w:val="DefaultParagraphFont"/>
    <w:link w:val="Heading1"/>
    <w:uiPriority w:val="9"/>
    <w:rsid w:val="005956DC"/>
    <w:rPr>
      <w:rFonts w:asciiTheme="majorHAnsi" w:eastAsiaTheme="majorEastAsia" w:hAnsiTheme="majorHAnsi" w:cstheme="majorBidi"/>
      <w:color w:val="365F91" w:themeColor="accent1" w:themeShade="BF"/>
      <w:sz w:val="40"/>
      <w:szCs w:val="40"/>
    </w:rPr>
  </w:style>
  <w:style w:type="paragraph" w:styleId="TOCHeading">
    <w:name w:val="TOC Heading"/>
    <w:basedOn w:val="Heading1"/>
    <w:next w:val="Normal"/>
    <w:uiPriority w:val="39"/>
    <w:unhideWhenUsed/>
    <w:qFormat/>
    <w:rsid w:val="005956DC"/>
    <w:pPr>
      <w:outlineLvl w:val="9"/>
    </w:pPr>
  </w:style>
  <w:style w:type="paragraph" w:styleId="Header">
    <w:name w:val="header"/>
    <w:basedOn w:val="Normal"/>
    <w:link w:val="HeaderChar"/>
    <w:uiPriority w:val="99"/>
    <w:unhideWhenUsed/>
    <w:rsid w:val="005956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56DC"/>
  </w:style>
  <w:style w:type="paragraph" w:styleId="Footer">
    <w:name w:val="footer"/>
    <w:basedOn w:val="Normal"/>
    <w:link w:val="FooterChar"/>
    <w:uiPriority w:val="99"/>
    <w:unhideWhenUsed/>
    <w:rsid w:val="005956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56DC"/>
  </w:style>
  <w:style w:type="character" w:customStyle="1" w:styleId="Heading2Char">
    <w:name w:val="Heading 2 Char"/>
    <w:basedOn w:val="DefaultParagraphFont"/>
    <w:link w:val="Heading2"/>
    <w:uiPriority w:val="9"/>
    <w:rsid w:val="005956DC"/>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5956DC"/>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5956DC"/>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5956DC"/>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5956DC"/>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5956DC"/>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5956DC"/>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5956DC"/>
    <w:rPr>
      <w:b/>
      <w:bCs/>
      <w:i/>
      <w:iCs/>
    </w:rPr>
  </w:style>
  <w:style w:type="paragraph" w:styleId="Caption">
    <w:name w:val="caption"/>
    <w:basedOn w:val="Normal"/>
    <w:next w:val="Normal"/>
    <w:uiPriority w:val="35"/>
    <w:semiHidden/>
    <w:unhideWhenUsed/>
    <w:qFormat/>
    <w:rsid w:val="005956DC"/>
    <w:pPr>
      <w:spacing w:line="240" w:lineRule="auto"/>
    </w:pPr>
    <w:rPr>
      <w:b/>
      <w:bCs/>
      <w:color w:val="404040" w:themeColor="text1" w:themeTint="BF"/>
      <w:sz w:val="16"/>
      <w:szCs w:val="16"/>
    </w:rPr>
  </w:style>
  <w:style w:type="paragraph" w:styleId="Subtitle">
    <w:name w:val="Subtitle"/>
    <w:basedOn w:val="Normal"/>
    <w:next w:val="Normal"/>
    <w:link w:val="SubtitleChar"/>
    <w:uiPriority w:val="11"/>
    <w:qFormat/>
    <w:rsid w:val="005956DC"/>
    <w:pPr>
      <w:numPr>
        <w:ilvl w:val="1"/>
      </w:numPr>
      <w:jc w:val="center"/>
    </w:pPr>
    <w:rPr>
      <w:color w:val="1F497D" w:themeColor="text2"/>
      <w:sz w:val="28"/>
      <w:szCs w:val="28"/>
    </w:rPr>
  </w:style>
  <w:style w:type="character" w:customStyle="1" w:styleId="SubtitleChar">
    <w:name w:val="Subtitle Char"/>
    <w:basedOn w:val="DefaultParagraphFont"/>
    <w:link w:val="Subtitle"/>
    <w:uiPriority w:val="11"/>
    <w:rsid w:val="005956DC"/>
    <w:rPr>
      <w:color w:val="1F497D" w:themeColor="text2"/>
      <w:sz w:val="28"/>
      <w:szCs w:val="28"/>
    </w:rPr>
  </w:style>
  <w:style w:type="character" w:styleId="Strong">
    <w:name w:val="Strong"/>
    <w:basedOn w:val="DefaultParagraphFont"/>
    <w:uiPriority w:val="22"/>
    <w:qFormat/>
    <w:rsid w:val="005956DC"/>
    <w:rPr>
      <w:b/>
      <w:bCs/>
    </w:rPr>
  </w:style>
  <w:style w:type="character" w:styleId="Emphasis">
    <w:name w:val="Emphasis"/>
    <w:basedOn w:val="DefaultParagraphFont"/>
    <w:uiPriority w:val="20"/>
    <w:qFormat/>
    <w:rsid w:val="005956DC"/>
    <w:rPr>
      <w:i/>
      <w:iCs/>
      <w:color w:val="000000" w:themeColor="text1"/>
    </w:rPr>
  </w:style>
  <w:style w:type="paragraph" w:styleId="Quote">
    <w:name w:val="Quote"/>
    <w:basedOn w:val="Normal"/>
    <w:next w:val="Normal"/>
    <w:link w:val="QuoteChar"/>
    <w:uiPriority w:val="29"/>
    <w:qFormat/>
    <w:rsid w:val="005956DC"/>
    <w:pPr>
      <w:spacing w:before="160"/>
      <w:ind w:left="720" w:right="720"/>
      <w:jc w:val="center"/>
    </w:pPr>
    <w:rPr>
      <w:i/>
      <w:iCs/>
      <w:color w:val="76923C" w:themeColor="accent3" w:themeShade="BF"/>
      <w:sz w:val="24"/>
      <w:szCs w:val="24"/>
    </w:rPr>
  </w:style>
  <w:style w:type="character" w:customStyle="1" w:styleId="QuoteChar">
    <w:name w:val="Quote Char"/>
    <w:basedOn w:val="DefaultParagraphFont"/>
    <w:link w:val="Quote"/>
    <w:uiPriority w:val="29"/>
    <w:rsid w:val="005956DC"/>
    <w:rPr>
      <w:i/>
      <w:iCs/>
      <w:color w:val="76923C" w:themeColor="accent3" w:themeShade="BF"/>
      <w:sz w:val="24"/>
      <w:szCs w:val="24"/>
    </w:rPr>
  </w:style>
  <w:style w:type="paragraph" w:styleId="IntenseQuote">
    <w:name w:val="Intense Quote"/>
    <w:basedOn w:val="Normal"/>
    <w:next w:val="Normal"/>
    <w:link w:val="IntenseQuoteChar"/>
    <w:uiPriority w:val="30"/>
    <w:qFormat/>
    <w:rsid w:val="005956DC"/>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IntenseQuoteChar">
    <w:name w:val="Intense Quote Char"/>
    <w:basedOn w:val="DefaultParagraphFont"/>
    <w:link w:val="IntenseQuote"/>
    <w:uiPriority w:val="30"/>
    <w:rsid w:val="005956DC"/>
    <w:rPr>
      <w:rFonts w:asciiTheme="majorHAnsi" w:eastAsiaTheme="majorEastAsia" w:hAnsiTheme="majorHAnsi" w:cstheme="majorBidi"/>
      <w:caps/>
      <w:color w:val="365F91" w:themeColor="accent1" w:themeShade="BF"/>
      <w:sz w:val="28"/>
      <w:szCs w:val="28"/>
    </w:rPr>
  </w:style>
  <w:style w:type="character" w:styleId="SubtleEmphasis">
    <w:name w:val="Subtle Emphasis"/>
    <w:basedOn w:val="DefaultParagraphFont"/>
    <w:uiPriority w:val="19"/>
    <w:qFormat/>
    <w:rsid w:val="005956DC"/>
    <w:rPr>
      <w:i/>
      <w:iCs/>
      <w:color w:val="595959" w:themeColor="text1" w:themeTint="A6"/>
    </w:rPr>
  </w:style>
  <w:style w:type="character" w:styleId="IntenseEmphasis">
    <w:name w:val="Intense Emphasis"/>
    <w:basedOn w:val="DefaultParagraphFont"/>
    <w:uiPriority w:val="21"/>
    <w:qFormat/>
    <w:rsid w:val="005956DC"/>
    <w:rPr>
      <w:b/>
      <w:bCs/>
      <w:i/>
      <w:iCs/>
      <w:color w:val="auto"/>
    </w:rPr>
  </w:style>
  <w:style w:type="character" w:styleId="SubtleReference">
    <w:name w:val="Subtle Reference"/>
    <w:basedOn w:val="DefaultParagraphFont"/>
    <w:uiPriority w:val="31"/>
    <w:qFormat/>
    <w:rsid w:val="005956DC"/>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5956DC"/>
    <w:rPr>
      <w:b/>
      <w:bCs/>
      <w:caps w:val="0"/>
      <w:smallCaps/>
      <w:color w:val="auto"/>
      <w:spacing w:val="0"/>
      <w:u w:val="single"/>
    </w:rPr>
  </w:style>
  <w:style w:type="character" w:styleId="BookTitle">
    <w:name w:val="Book Title"/>
    <w:basedOn w:val="DefaultParagraphFont"/>
    <w:uiPriority w:val="33"/>
    <w:qFormat/>
    <w:rsid w:val="005956DC"/>
    <w:rPr>
      <w:b/>
      <w:bCs/>
      <w:caps w:val="0"/>
      <w:smallCaps/>
      <w:spacing w:val="0"/>
    </w:rPr>
  </w:style>
  <w:style w:type="paragraph" w:styleId="TOC1">
    <w:name w:val="toc 1"/>
    <w:basedOn w:val="Normal"/>
    <w:next w:val="Normal"/>
    <w:autoRedefine/>
    <w:uiPriority w:val="39"/>
    <w:unhideWhenUsed/>
    <w:rsid w:val="00454817"/>
    <w:pPr>
      <w:spacing w:after="100"/>
    </w:pPr>
  </w:style>
  <w:style w:type="paragraph" w:styleId="TOC2">
    <w:name w:val="toc 2"/>
    <w:basedOn w:val="Normal"/>
    <w:next w:val="Normal"/>
    <w:autoRedefine/>
    <w:uiPriority w:val="39"/>
    <w:unhideWhenUsed/>
    <w:rsid w:val="00F90935"/>
    <w:pPr>
      <w:spacing w:after="100"/>
      <w:ind w:left="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603485">
      <w:bodyDiv w:val="1"/>
      <w:marLeft w:val="0"/>
      <w:marRight w:val="0"/>
      <w:marTop w:val="0"/>
      <w:marBottom w:val="0"/>
      <w:divBdr>
        <w:top w:val="none" w:sz="0" w:space="0" w:color="auto"/>
        <w:left w:val="none" w:sz="0" w:space="0" w:color="auto"/>
        <w:bottom w:val="none" w:sz="0" w:space="0" w:color="auto"/>
        <w:right w:val="none" w:sz="0" w:space="0" w:color="auto"/>
      </w:divBdr>
    </w:div>
    <w:div w:id="106314610">
      <w:bodyDiv w:val="1"/>
      <w:marLeft w:val="0"/>
      <w:marRight w:val="0"/>
      <w:marTop w:val="0"/>
      <w:marBottom w:val="0"/>
      <w:divBdr>
        <w:top w:val="none" w:sz="0" w:space="0" w:color="auto"/>
        <w:left w:val="none" w:sz="0" w:space="0" w:color="auto"/>
        <w:bottom w:val="none" w:sz="0" w:space="0" w:color="auto"/>
        <w:right w:val="none" w:sz="0" w:space="0" w:color="auto"/>
      </w:divBdr>
    </w:div>
    <w:div w:id="124154502">
      <w:bodyDiv w:val="1"/>
      <w:marLeft w:val="0"/>
      <w:marRight w:val="0"/>
      <w:marTop w:val="0"/>
      <w:marBottom w:val="0"/>
      <w:divBdr>
        <w:top w:val="none" w:sz="0" w:space="0" w:color="auto"/>
        <w:left w:val="none" w:sz="0" w:space="0" w:color="auto"/>
        <w:bottom w:val="none" w:sz="0" w:space="0" w:color="auto"/>
        <w:right w:val="none" w:sz="0" w:space="0" w:color="auto"/>
      </w:divBdr>
    </w:div>
    <w:div w:id="131215816">
      <w:bodyDiv w:val="1"/>
      <w:marLeft w:val="0"/>
      <w:marRight w:val="0"/>
      <w:marTop w:val="0"/>
      <w:marBottom w:val="0"/>
      <w:divBdr>
        <w:top w:val="none" w:sz="0" w:space="0" w:color="auto"/>
        <w:left w:val="none" w:sz="0" w:space="0" w:color="auto"/>
        <w:bottom w:val="none" w:sz="0" w:space="0" w:color="auto"/>
        <w:right w:val="none" w:sz="0" w:space="0" w:color="auto"/>
      </w:divBdr>
    </w:div>
    <w:div w:id="304556279">
      <w:bodyDiv w:val="1"/>
      <w:marLeft w:val="0"/>
      <w:marRight w:val="0"/>
      <w:marTop w:val="0"/>
      <w:marBottom w:val="0"/>
      <w:divBdr>
        <w:top w:val="none" w:sz="0" w:space="0" w:color="auto"/>
        <w:left w:val="none" w:sz="0" w:space="0" w:color="auto"/>
        <w:bottom w:val="none" w:sz="0" w:space="0" w:color="auto"/>
        <w:right w:val="none" w:sz="0" w:space="0" w:color="auto"/>
      </w:divBdr>
    </w:div>
    <w:div w:id="314455365">
      <w:bodyDiv w:val="1"/>
      <w:marLeft w:val="0"/>
      <w:marRight w:val="0"/>
      <w:marTop w:val="0"/>
      <w:marBottom w:val="0"/>
      <w:divBdr>
        <w:top w:val="none" w:sz="0" w:space="0" w:color="auto"/>
        <w:left w:val="none" w:sz="0" w:space="0" w:color="auto"/>
        <w:bottom w:val="none" w:sz="0" w:space="0" w:color="auto"/>
        <w:right w:val="none" w:sz="0" w:space="0" w:color="auto"/>
      </w:divBdr>
    </w:div>
    <w:div w:id="352271412">
      <w:bodyDiv w:val="1"/>
      <w:marLeft w:val="0"/>
      <w:marRight w:val="0"/>
      <w:marTop w:val="0"/>
      <w:marBottom w:val="0"/>
      <w:divBdr>
        <w:top w:val="none" w:sz="0" w:space="0" w:color="auto"/>
        <w:left w:val="none" w:sz="0" w:space="0" w:color="auto"/>
        <w:bottom w:val="none" w:sz="0" w:space="0" w:color="auto"/>
        <w:right w:val="none" w:sz="0" w:space="0" w:color="auto"/>
      </w:divBdr>
    </w:div>
    <w:div w:id="355234382">
      <w:bodyDiv w:val="1"/>
      <w:marLeft w:val="0"/>
      <w:marRight w:val="0"/>
      <w:marTop w:val="0"/>
      <w:marBottom w:val="0"/>
      <w:divBdr>
        <w:top w:val="none" w:sz="0" w:space="0" w:color="auto"/>
        <w:left w:val="none" w:sz="0" w:space="0" w:color="auto"/>
        <w:bottom w:val="none" w:sz="0" w:space="0" w:color="auto"/>
        <w:right w:val="none" w:sz="0" w:space="0" w:color="auto"/>
      </w:divBdr>
    </w:div>
    <w:div w:id="357120378">
      <w:bodyDiv w:val="1"/>
      <w:marLeft w:val="0"/>
      <w:marRight w:val="0"/>
      <w:marTop w:val="0"/>
      <w:marBottom w:val="0"/>
      <w:divBdr>
        <w:top w:val="none" w:sz="0" w:space="0" w:color="auto"/>
        <w:left w:val="none" w:sz="0" w:space="0" w:color="auto"/>
        <w:bottom w:val="none" w:sz="0" w:space="0" w:color="auto"/>
        <w:right w:val="none" w:sz="0" w:space="0" w:color="auto"/>
      </w:divBdr>
    </w:div>
    <w:div w:id="410394248">
      <w:bodyDiv w:val="1"/>
      <w:marLeft w:val="0"/>
      <w:marRight w:val="0"/>
      <w:marTop w:val="0"/>
      <w:marBottom w:val="0"/>
      <w:divBdr>
        <w:top w:val="none" w:sz="0" w:space="0" w:color="auto"/>
        <w:left w:val="none" w:sz="0" w:space="0" w:color="auto"/>
        <w:bottom w:val="none" w:sz="0" w:space="0" w:color="auto"/>
        <w:right w:val="none" w:sz="0" w:space="0" w:color="auto"/>
      </w:divBdr>
    </w:div>
    <w:div w:id="413671522">
      <w:bodyDiv w:val="1"/>
      <w:marLeft w:val="0"/>
      <w:marRight w:val="0"/>
      <w:marTop w:val="0"/>
      <w:marBottom w:val="0"/>
      <w:divBdr>
        <w:top w:val="none" w:sz="0" w:space="0" w:color="auto"/>
        <w:left w:val="none" w:sz="0" w:space="0" w:color="auto"/>
        <w:bottom w:val="none" w:sz="0" w:space="0" w:color="auto"/>
        <w:right w:val="none" w:sz="0" w:space="0" w:color="auto"/>
      </w:divBdr>
    </w:div>
    <w:div w:id="443964479">
      <w:bodyDiv w:val="1"/>
      <w:marLeft w:val="0"/>
      <w:marRight w:val="0"/>
      <w:marTop w:val="0"/>
      <w:marBottom w:val="0"/>
      <w:divBdr>
        <w:top w:val="none" w:sz="0" w:space="0" w:color="auto"/>
        <w:left w:val="none" w:sz="0" w:space="0" w:color="auto"/>
        <w:bottom w:val="none" w:sz="0" w:space="0" w:color="auto"/>
        <w:right w:val="none" w:sz="0" w:space="0" w:color="auto"/>
      </w:divBdr>
    </w:div>
    <w:div w:id="558636800">
      <w:bodyDiv w:val="1"/>
      <w:marLeft w:val="0"/>
      <w:marRight w:val="0"/>
      <w:marTop w:val="0"/>
      <w:marBottom w:val="0"/>
      <w:divBdr>
        <w:top w:val="none" w:sz="0" w:space="0" w:color="auto"/>
        <w:left w:val="none" w:sz="0" w:space="0" w:color="auto"/>
        <w:bottom w:val="none" w:sz="0" w:space="0" w:color="auto"/>
        <w:right w:val="none" w:sz="0" w:space="0" w:color="auto"/>
      </w:divBdr>
    </w:div>
    <w:div w:id="610236280">
      <w:bodyDiv w:val="1"/>
      <w:marLeft w:val="0"/>
      <w:marRight w:val="0"/>
      <w:marTop w:val="0"/>
      <w:marBottom w:val="0"/>
      <w:divBdr>
        <w:top w:val="none" w:sz="0" w:space="0" w:color="auto"/>
        <w:left w:val="none" w:sz="0" w:space="0" w:color="auto"/>
        <w:bottom w:val="none" w:sz="0" w:space="0" w:color="auto"/>
        <w:right w:val="none" w:sz="0" w:space="0" w:color="auto"/>
      </w:divBdr>
    </w:div>
    <w:div w:id="696656804">
      <w:bodyDiv w:val="1"/>
      <w:marLeft w:val="0"/>
      <w:marRight w:val="0"/>
      <w:marTop w:val="0"/>
      <w:marBottom w:val="0"/>
      <w:divBdr>
        <w:top w:val="none" w:sz="0" w:space="0" w:color="auto"/>
        <w:left w:val="none" w:sz="0" w:space="0" w:color="auto"/>
        <w:bottom w:val="none" w:sz="0" w:space="0" w:color="auto"/>
        <w:right w:val="none" w:sz="0" w:space="0" w:color="auto"/>
      </w:divBdr>
    </w:div>
    <w:div w:id="780297380">
      <w:bodyDiv w:val="1"/>
      <w:marLeft w:val="0"/>
      <w:marRight w:val="0"/>
      <w:marTop w:val="0"/>
      <w:marBottom w:val="0"/>
      <w:divBdr>
        <w:top w:val="none" w:sz="0" w:space="0" w:color="auto"/>
        <w:left w:val="none" w:sz="0" w:space="0" w:color="auto"/>
        <w:bottom w:val="none" w:sz="0" w:space="0" w:color="auto"/>
        <w:right w:val="none" w:sz="0" w:space="0" w:color="auto"/>
      </w:divBdr>
    </w:div>
    <w:div w:id="787355370">
      <w:bodyDiv w:val="1"/>
      <w:marLeft w:val="0"/>
      <w:marRight w:val="0"/>
      <w:marTop w:val="0"/>
      <w:marBottom w:val="0"/>
      <w:divBdr>
        <w:top w:val="none" w:sz="0" w:space="0" w:color="auto"/>
        <w:left w:val="none" w:sz="0" w:space="0" w:color="auto"/>
        <w:bottom w:val="none" w:sz="0" w:space="0" w:color="auto"/>
        <w:right w:val="none" w:sz="0" w:space="0" w:color="auto"/>
      </w:divBdr>
    </w:div>
    <w:div w:id="802578572">
      <w:bodyDiv w:val="1"/>
      <w:marLeft w:val="0"/>
      <w:marRight w:val="0"/>
      <w:marTop w:val="0"/>
      <w:marBottom w:val="0"/>
      <w:divBdr>
        <w:top w:val="none" w:sz="0" w:space="0" w:color="auto"/>
        <w:left w:val="none" w:sz="0" w:space="0" w:color="auto"/>
        <w:bottom w:val="none" w:sz="0" w:space="0" w:color="auto"/>
        <w:right w:val="none" w:sz="0" w:space="0" w:color="auto"/>
      </w:divBdr>
    </w:div>
    <w:div w:id="804470582">
      <w:bodyDiv w:val="1"/>
      <w:marLeft w:val="0"/>
      <w:marRight w:val="0"/>
      <w:marTop w:val="0"/>
      <w:marBottom w:val="0"/>
      <w:divBdr>
        <w:top w:val="none" w:sz="0" w:space="0" w:color="auto"/>
        <w:left w:val="none" w:sz="0" w:space="0" w:color="auto"/>
        <w:bottom w:val="none" w:sz="0" w:space="0" w:color="auto"/>
        <w:right w:val="none" w:sz="0" w:space="0" w:color="auto"/>
      </w:divBdr>
    </w:div>
    <w:div w:id="841046483">
      <w:bodyDiv w:val="1"/>
      <w:marLeft w:val="0"/>
      <w:marRight w:val="0"/>
      <w:marTop w:val="0"/>
      <w:marBottom w:val="0"/>
      <w:divBdr>
        <w:top w:val="none" w:sz="0" w:space="0" w:color="auto"/>
        <w:left w:val="none" w:sz="0" w:space="0" w:color="auto"/>
        <w:bottom w:val="none" w:sz="0" w:space="0" w:color="auto"/>
        <w:right w:val="none" w:sz="0" w:space="0" w:color="auto"/>
      </w:divBdr>
    </w:div>
    <w:div w:id="967391487">
      <w:bodyDiv w:val="1"/>
      <w:marLeft w:val="0"/>
      <w:marRight w:val="0"/>
      <w:marTop w:val="0"/>
      <w:marBottom w:val="0"/>
      <w:divBdr>
        <w:top w:val="none" w:sz="0" w:space="0" w:color="auto"/>
        <w:left w:val="none" w:sz="0" w:space="0" w:color="auto"/>
        <w:bottom w:val="none" w:sz="0" w:space="0" w:color="auto"/>
        <w:right w:val="none" w:sz="0" w:space="0" w:color="auto"/>
      </w:divBdr>
    </w:div>
    <w:div w:id="990059764">
      <w:bodyDiv w:val="1"/>
      <w:marLeft w:val="0"/>
      <w:marRight w:val="0"/>
      <w:marTop w:val="0"/>
      <w:marBottom w:val="0"/>
      <w:divBdr>
        <w:top w:val="none" w:sz="0" w:space="0" w:color="auto"/>
        <w:left w:val="none" w:sz="0" w:space="0" w:color="auto"/>
        <w:bottom w:val="none" w:sz="0" w:space="0" w:color="auto"/>
        <w:right w:val="none" w:sz="0" w:space="0" w:color="auto"/>
      </w:divBdr>
    </w:div>
    <w:div w:id="999310500">
      <w:bodyDiv w:val="1"/>
      <w:marLeft w:val="0"/>
      <w:marRight w:val="0"/>
      <w:marTop w:val="0"/>
      <w:marBottom w:val="0"/>
      <w:divBdr>
        <w:top w:val="none" w:sz="0" w:space="0" w:color="auto"/>
        <w:left w:val="none" w:sz="0" w:space="0" w:color="auto"/>
        <w:bottom w:val="none" w:sz="0" w:space="0" w:color="auto"/>
        <w:right w:val="none" w:sz="0" w:space="0" w:color="auto"/>
      </w:divBdr>
    </w:div>
    <w:div w:id="1005085292">
      <w:bodyDiv w:val="1"/>
      <w:marLeft w:val="0"/>
      <w:marRight w:val="0"/>
      <w:marTop w:val="0"/>
      <w:marBottom w:val="0"/>
      <w:divBdr>
        <w:top w:val="none" w:sz="0" w:space="0" w:color="auto"/>
        <w:left w:val="none" w:sz="0" w:space="0" w:color="auto"/>
        <w:bottom w:val="none" w:sz="0" w:space="0" w:color="auto"/>
        <w:right w:val="none" w:sz="0" w:space="0" w:color="auto"/>
      </w:divBdr>
    </w:div>
    <w:div w:id="1036853139">
      <w:bodyDiv w:val="1"/>
      <w:marLeft w:val="0"/>
      <w:marRight w:val="0"/>
      <w:marTop w:val="0"/>
      <w:marBottom w:val="0"/>
      <w:divBdr>
        <w:top w:val="none" w:sz="0" w:space="0" w:color="auto"/>
        <w:left w:val="none" w:sz="0" w:space="0" w:color="auto"/>
        <w:bottom w:val="none" w:sz="0" w:space="0" w:color="auto"/>
        <w:right w:val="none" w:sz="0" w:space="0" w:color="auto"/>
      </w:divBdr>
    </w:div>
    <w:div w:id="1079137301">
      <w:bodyDiv w:val="1"/>
      <w:marLeft w:val="0"/>
      <w:marRight w:val="0"/>
      <w:marTop w:val="0"/>
      <w:marBottom w:val="0"/>
      <w:divBdr>
        <w:top w:val="none" w:sz="0" w:space="0" w:color="auto"/>
        <w:left w:val="none" w:sz="0" w:space="0" w:color="auto"/>
        <w:bottom w:val="none" w:sz="0" w:space="0" w:color="auto"/>
        <w:right w:val="none" w:sz="0" w:space="0" w:color="auto"/>
      </w:divBdr>
    </w:div>
    <w:div w:id="1139490975">
      <w:bodyDiv w:val="1"/>
      <w:marLeft w:val="0"/>
      <w:marRight w:val="0"/>
      <w:marTop w:val="0"/>
      <w:marBottom w:val="0"/>
      <w:divBdr>
        <w:top w:val="none" w:sz="0" w:space="0" w:color="auto"/>
        <w:left w:val="none" w:sz="0" w:space="0" w:color="auto"/>
        <w:bottom w:val="none" w:sz="0" w:space="0" w:color="auto"/>
        <w:right w:val="none" w:sz="0" w:space="0" w:color="auto"/>
      </w:divBdr>
    </w:div>
    <w:div w:id="1153833083">
      <w:bodyDiv w:val="1"/>
      <w:marLeft w:val="0"/>
      <w:marRight w:val="0"/>
      <w:marTop w:val="0"/>
      <w:marBottom w:val="0"/>
      <w:divBdr>
        <w:top w:val="none" w:sz="0" w:space="0" w:color="auto"/>
        <w:left w:val="none" w:sz="0" w:space="0" w:color="auto"/>
        <w:bottom w:val="none" w:sz="0" w:space="0" w:color="auto"/>
        <w:right w:val="none" w:sz="0" w:space="0" w:color="auto"/>
      </w:divBdr>
    </w:div>
    <w:div w:id="1203789300">
      <w:bodyDiv w:val="1"/>
      <w:marLeft w:val="0"/>
      <w:marRight w:val="0"/>
      <w:marTop w:val="0"/>
      <w:marBottom w:val="0"/>
      <w:divBdr>
        <w:top w:val="none" w:sz="0" w:space="0" w:color="auto"/>
        <w:left w:val="none" w:sz="0" w:space="0" w:color="auto"/>
        <w:bottom w:val="none" w:sz="0" w:space="0" w:color="auto"/>
        <w:right w:val="none" w:sz="0" w:space="0" w:color="auto"/>
      </w:divBdr>
    </w:div>
    <w:div w:id="1212621359">
      <w:bodyDiv w:val="1"/>
      <w:marLeft w:val="0"/>
      <w:marRight w:val="0"/>
      <w:marTop w:val="0"/>
      <w:marBottom w:val="0"/>
      <w:divBdr>
        <w:top w:val="none" w:sz="0" w:space="0" w:color="auto"/>
        <w:left w:val="none" w:sz="0" w:space="0" w:color="auto"/>
        <w:bottom w:val="none" w:sz="0" w:space="0" w:color="auto"/>
        <w:right w:val="none" w:sz="0" w:space="0" w:color="auto"/>
      </w:divBdr>
    </w:div>
    <w:div w:id="1220629121">
      <w:bodyDiv w:val="1"/>
      <w:marLeft w:val="0"/>
      <w:marRight w:val="0"/>
      <w:marTop w:val="0"/>
      <w:marBottom w:val="0"/>
      <w:divBdr>
        <w:top w:val="none" w:sz="0" w:space="0" w:color="auto"/>
        <w:left w:val="none" w:sz="0" w:space="0" w:color="auto"/>
        <w:bottom w:val="none" w:sz="0" w:space="0" w:color="auto"/>
        <w:right w:val="none" w:sz="0" w:space="0" w:color="auto"/>
      </w:divBdr>
    </w:div>
    <w:div w:id="1318993628">
      <w:bodyDiv w:val="1"/>
      <w:marLeft w:val="0"/>
      <w:marRight w:val="0"/>
      <w:marTop w:val="0"/>
      <w:marBottom w:val="0"/>
      <w:divBdr>
        <w:top w:val="none" w:sz="0" w:space="0" w:color="auto"/>
        <w:left w:val="none" w:sz="0" w:space="0" w:color="auto"/>
        <w:bottom w:val="none" w:sz="0" w:space="0" w:color="auto"/>
        <w:right w:val="none" w:sz="0" w:space="0" w:color="auto"/>
      </w:divBdr>
    </w:div>
    <w:div w:id="1333215698">
      <w:bodyDiv w:val="1"/>
      <w:marLeft w:val="0"/>
      <w:marRight w:val="0"/>
      <w:marTop w:val="0"/>
      <w:marBottom w:val="0"/>
      <w:divBdr>
        <w:top w:val="none" w:sz="0" w:space="0" w:color="auto"/>
        <w:left w:val="none" w:sz="0" w:space="0" w:color="auto"/>
        <w:bottom w:val="none" w:sz="0" w:space="0" w:color="auto"/>
        <w:right w:val="none" w:sz="0" w:space="0" w:color="auto"/>
      </w:divBdr>
    </w:div>
    <w:div w:id="1334526300">
      <w:bodyDiv w:val="1"/>
      <w:marLeft w:val="0"/>
      <w:marRight w:val="0"/>
      <w:marTop w:val="0"/>
      <w:marBottom w:val="0"/>
      <w:divBdr>
        <w:top w:val="none" w:sz="0" w:space="0" w:color="auto"/>
        <w:left w:val="none" w:sz="0" w:space="0" w:color="auto"/>
        <w:bottom w:val="none" w:sz="0" w:space="0" w:color="auto"/>
        <w:right w:val="none" w:sz="0" w:space="0" w:color="auto"/>
      </w:divBdr>
    </w:div>
    <w:div w:id="1468472589">
      <w:bodyDiv w:val="1"/>
      <w:marLeft w:val="0"/>
      <w:marRight w:val="0"/>
      <w:marTop w:val="0"/>
      <w:marBottom w:val="0"/>
      <w:divBdr>
        <w:top w:val="none" w:sz="0" w:space="0" w:color="auto"/>
        <w:left w:val="none" w:sz="0" w:space="0" w:color="auto"/>
        <w:bottom w:val="none" w:sz="0" w:space="0" w:color="auto"/>
        <w:right w:val="none" w:sz="0" w:space="0" w:color="auto"/>
      </w:divBdr>
    </w:div>
    <w:div w:id="1506555235">
      <w:bodyDiv w:val="1"/>
      <w:marLeft w:val="0"/>
      <w:marRight w:val="0"/>
      <w:marTop w:val="0"/>
      <w:marBottom w:val="0"/>
      <w:divBdr>
        <w:top w:val="none" w:sz="0" w:space="0" w:color="auto"/>
        <w:left w:val="none" w:sz="0" w:space="0" w:color="auto"/>
        <w:bottom w:val="none" w:sz="0" w:space="0" w:color="auto"/>
        <w:right w:val="none" w:sz="0" w:space="0" w:color="auto"/>
      </w:divBdr>
    </w:div>
    <w:div w:id="1507863259">
      <w:bodyDiv w:val="1"/>
      <w:marLeft w:val="0"/>
      <w:marRight w:val="0"/>
      <w:marTop w:val="0"/>
      <w:marBottom w:val="0"/>
      <w:divBdr>
        <w:top w:val="none" w:sz="0" w:space="0" w:color="auto"/>
        <w:left w:val="none" w:sz="0" w:space="0" w:color="auto"/>
        <w:bottom w:val="none" w:sz="0" w:space="0" w:color="auto"/>
        <w:right w:val="none" w:sz="0" w:space="0" w:color="auto"/>
      </w:divBdr>
    </w:div>
    <w:div w:id="1538812457">
      <w:bodyDiv w:val="1"/>
      <w:marLeft w:val="0"/>
      <w:marRight w:val="0"/>
      <w:marTop w:val="0"/>
      <w:marBottom w:val="0"/>
      <w:divBdr>
        <w:top w:val="none" w:sz="0" w:space="0" w:color="auto"/>
        <w:left w:val="none" w:sz="0" w:space="0" w:color="auto"/>
        <w:bottom w:val="none" w:sz="0" w:space="0" w:color="auto"/>
        <w:right w:val="none" w:sz="0" w:space="0" w:color="auto"/>
      </w:divBdr>
    </w:div>
    <w:div w:id="1682925409">
      <w:bodyDiv w:val="1"/>
      <w:marLeft w:val="0"/>
      <w:marRight w:val="0"/>
      <w:marTop w:val="0"/>
      <w:marBottom w:val="0"/>
      <w:divBdr>
        <w:top w:val="none" w:sz="0" w:space="0" w:color="auto"/>
        <w:left w:val="none" w:sz="0" w:space="0" w:color="auto"/>
        <w:bottom w:val="none" w:sz="0" w:space="0" w:color="auto"/>
        <w:right w:val="none" w:sz="0" w:space="0" w:color="auto"/>
      </w:divBdr>
    </w:div>
    <w:div w:id="1684285565">
      <w:bodyDiv w:val="1"/>
      <w:marLeft w:val="0"/>
      <w:marRight w:val="0"/>
      <w:marTop w:val="0"/>
      <w:marBottom w:val="0"/>
      <w:divBdr>
        <w:top w:val="none" w:sz="0" w:space="0" w:color="auto"/>
        <w:left w:val="none" w:sz="0" w:space="0" w:color="auto"/>
        <w:bottom w:val="none" w:sz="0" w:space="0" w:color="auto"/>
        <w:right w:val="none" w:sz="0" w:space="0" w:color="auto"/>
      </w:divBdr>
    </w:div>
    <w:div w:id="1712416666">
      <w:bodyDiv w:val="1"/>
      <w:marLeft w:val="0"/>
      <w:marRight w:val="0"/>
      <w:marTop w:val="0"/>
      <w:marBottom w:val="0"/>
      <w:divBdr>
        <w:top w:val="none" w:sz="0" w:space="0" w:color="auto"/>
        <w:left w:val="none" w:sz="0" w:space="0" w:color="auto"/>
        <w:bottom w:val="none" w:sz="0" w:space="0" w:color="auto"/>
        <w:right w:val="none" w:sz="0" w:space="0" w:color="auto"/>
      </w:divBdr>
    </w:div>
    <w:div w:id="1715889554">
      <w:bodyDiv w:val="1"/>
      <w:marLeft w:val="0"/>
      <w:marRight w:val="0"/>
      <w:marTop w:val="0"/>
      <w:marBottom w:val="0"/>
      <w:divBdr>
        <w:top w:val="none" w:sz="0" w:space="0" w:color="auto"/>
        <w:left w:val="none" w:sz="0" w:space="0" w:color="auto"/>
        <w:bottom w:val="none" w:sz="0" w:space="0" w:color="auto"/>
        <w:right w:val="none" w:sz="0" w:space="0" w:color="auto"/>
      </w:divBdr>
    </w:div>
    <w:div w:id="1784570295">
      <w:bodyDiv w:val="1"/>
      <w:marLeft w:val="0"/>
      <w:marRight w:val="0"/>
      <w:marTop w:val="0"/>
      <w:marBottom w:val="0"/>
      <w:divBdr>
        <w:top w:val="none" w:sz="0" w:space="0" w:color="auto"/>
        <w:left w:val="none" w:sz="0" w:space="0" w:color="auto"/>
        <w:bottom w:val="none" w:sz="0" w:space="0" w:color="auto"/>
        <w:right w:val="none" w:sz="0" w:space="0" w:color="auto"/>
      </w:divBdr>
    </w:div>
    <w:div w:id="1817146464">
      <w:bodyDiv w:val="1"/>
      <w:marLeft w:val="0"/>
      <w:marRight w:val="0"/>
      <w:marTop w:val="0"/>
      <w:marBottom w:val="0"/>
      <w:divBdr>
        <w:top w:val="none" w:sz="0" w:space="0" w:color="auto"/>
        <w:left w:val="none" w:sz="0" w:space="0" w:color="auto"/>
        <w:bottom w:val="none" w:sz="0" w:space="0" w:color="auto"/>
        <w:right w:val="none" w:sz="0" w:space="0" w:color="auto"/>
      </w:divBdr>
    </w:div>
    <w:div w:id="1887638273">
      <w:bodyDiv w:val="1"/>
      <w:marLeft w:val="0"/>
      <w:marRight w:val="0"/>
      <w:marTop w:val="0"/>
      <w:marBottom w:val="0"/>
      <w:divBdr>
        <w:top w:val="none" w:sz="0" w:space="0" w:color="auto"/>
        <w:left w:val="none" w:sz="0" w:space="0" w:color="auto"/>
        <w:bottom w:val="none" w:sz="0" w:space="0" w:color="auto"/>
        <w:right w:val="none" w:sz="0" w:space="0" w:color="auto"/>
      </w:divBdr>
    </w:div>
    <w:div w:id="1895971839">
      <w:bodyDiv w:val="1"/>
      <w:marLeft w:val="0"/>
      <w:marRight w:val="0"/>
      <w:marTop w:val="0"/>
      <w:marBottom w:val="0"/>
      <w:divBdr>
        <w:top w:val="none" w:sz="0" w:space="0" w:color="auto"/>
        <w:left w:val="none" w:sz="0" w:space="0" w:color="auto"/>
        <w:bottom w:val="none" w:sz="0" w:space="0" w:color="auto"/>
        <w:right w:val="none" w:sz="0" w:space="0" w:color="auto"/>
      </w:divBdr>
    </w:div>
    <w:div w:id="1906181268">
      <w:bodyDiv w:val="1"/>
      <w:marLeft w:val="0"/>
      <w:marRight w:val="0"/>
      <w:marTop w:val="0"/>
      <w:marBottom w:val="0"/>
      <w:divBdr>
        <w:top w:val="none" w:sz="0" w:space="0" w:color="auto"/>
        <w:left w:val="none" w:sz="0" w:space="0" w:color="auto"/>
        <w:bottom w:val="none" w:sz="0" w:space="0" w:color="auto"/>
        <w:right w:val="none" w:sz="0" w:space="0" w:color="auto"/>
      </w:divBdr>
    </w:div>
    <w:div w:id="1909539354">
      <w:bodyDiv w:val="1"/>
      <w:marLeft w:val="0"/>
      <w:marRight w:val="0"/>
      <w:marTop w:val="0"/>
      <w:marBottom w:val="0"/>
      <w:divBdr>
        <w:top w:val="none" w:sz="0" w:space="0" w:color="auto"/>
        <w:left w:val="none" w:sz="0" w:space="0" w:color="auto"/>
        <w:bottom w:val="none" w:sz="0" w:space="0" w:color="auto"/>
        <w:right w:val="none" w:sz="0" w:space="0" w:color="auto"/>
      </w:divBdr>
    </w:div>
    <w:div w:id="1931039233">
      <w:bodyDiv w:val="1"/>
      <w:marLeft w:val="0"/>
      <w:marRight w:val="0"/>
      <w:marTop w:val="0"/>
      <w:marBottom w:val="0"/>
      <w:divBdr>
        <w:top w:val="none" w:sz="0" w:space="0" w:color="auto"/>
        <w:left w:val="none" w:sz="0" w:space="0" w:color="auto"/>
        <w:bottom w:val="none" w:sz="0" w:space="0" w:color="auto"/>
        <w:right w:val="none" w:sz="0" w:space="0" w:color="auto"/>
      </w:divBdr>
    </w:div>
    <w:div w:id="1932813993">
      <w:bodyDiv w:val="1"/>
      <w:marLeft w:val="0"/>
      <w:marRight w:val="0"/>
      <w:marTop w:val="0"/>
      <w:marBottom w:val="0"/>
      <w:divBdr>
        <w:top w:val="none" w:sz="0" w:space="0" w:color="auto"/>
        <w:left w:val="none" w:sz="0" w:space="0" w:color="auto"/>
        <w:bottom w:val="none" w:sz="0" w:space="0" w:color="auto"/>
        <w:right w:val="none" w:sz="0" w:space="0" w:color="auto"/>
      </w:divBdr>
    </w:div>
    <w:div w:id="2024238663">
      <w:bodyDiv w:val="1"/>
      <w:marLeft w:val="0"/>
      <w:marRight w:val="0"/>
      <w:marTop w:val="0"/>
      <w:marBottom w:val="0"/>
      <w:divBdr>
        <w:top w:val="none" w:sz="0" w:space="0" w:color="auto"/>
        <w:left w:val="none" w:sz="0" w:space="0" w:color="auto"/>
        <w:bottom w:val="none" w:sz="0" w:space="0" w:color="auto"/>
        <w:right w:val="none" w:sz="0" w:space="0" w:color="auto"/>
      </w:divBdr>
    </w:div>
    <w:div w:id="2024673006">
      <w:bodyDiv w:val="1"/>
      <w:marLeft w:val="0"/>
      <w:marRight w:val="0"/>
      <w:marTop w:val="0"/>
      <w:marBottom w:val="0"/>
      <w:divBdr>
        <w:top w:val="none" w:sz="0" w:space="0" w:color="auto"/>
        <w:left w:val="none" w:sz="0" w:space="0" w:color="auto"/>
        <w:bottom w:val="none" w:sz="0" w:space="0" w:color="auto"/>
        <w:right w:val="none" w:sz="0" w:space="0" w:color="auto"/>
      </w:divBdr>
    </w:div>
    <w:div w:id="2087993275">
      <w:bodyDiv w:val="1"/>
      <w:marLeft w:val="0"/>
      <w:marRight w:val="0"/>
      <w:marTop w:val="0"/>
      <w:marBottom w:val="0"/>
      <w:divBdr>
        <w:top w:val="none" w:sz="0" w:space="0" w:color="auto"/>
        <w:left w:val="none" w:sz="0" w:space="0" w:color="auto"/>
        <w:bottom w:val="none" w:sz="0" w:space="0" w:color="auto"/>
        <w:right w:val="none" w:sz="0" w:space="0" w:color="auto"/>
      </w:divBdr>
    </w:div>
    <w:div w:id="2113234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image" Target="media/image9.png"/><Relationship Id="rId26" Type="http://schemas.openxmlformats.org/officeDocument/2006/relationships/image" Target="media/image17.emf"/><Relationship Id="rId39" Type="http://schemas.openxmlformats.org/officeDocument/2006/relationships/image" Target="media/image29.png"/><Relationship Id="rId21" Type="http://schemas.openxmlformats.org/officeDocument/2006/relationships/image" Target="media/image12.emf"/><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hyperlink" Target="http://www.morningstar.co.uk/uk/news/111721/top-20-ftse-350-dividend-paying-stocks.asp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2.emf"/><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emf"/><Relationship Id="rId36" Type="http://schemas.openxmlformats.org/officeDocument/2006/relationships/image" Target="media/image26.pn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1.emf"/><Relationship Id="rId44" Type="http://schemas.openxmlformats.org/officeDocument/2006/relationships/image" Target="media/image34.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emf"/><Relationship Id="rId22" Type="http://schemas.openxmlformats.org/officeDocument/2006/relationships/image" Target="media/image13.png"/><Relationship Id="rId27" Type="http://schemas.openxmlformats.org/officeDocument/2006/relationships/image" Target="media/image18.emf"/><Relationship Id="rId30" Type="http://schemas.openxmlformats.org/officeDocument/2006/relationships/image" Target="media/image20.emf"/><Relationship Id="rId35" Type="http://schemas.openxmlformats.org/officeDocument/2006/relationships/image" Target="media/image25.png"/><Relationship Id="rId43" Type="http://schemas.openxmlformats.org/officeDocument/2006/relationships/image" Target="media/image33.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emf"/><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fontTable" Target="fontTable.xml"/><Relationship Id="rId20" Type="http://schemas.openxmlformats.org/officeDocument/2006/relationships/image" Target="media/image11.png"/><Relationship Id="rId41"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2021-01-13T00:00:00</PublishDate>
  <Abstract/>
  <CompanyAddress>MODULE LEADER   JIA MIAO</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Wee13</b:Tag>
    <b:SourceType>Book</b:SourceType>
    <b:Guid>{A184C3E0-D7B3-4C07-BFFA-5BE45BA75B57}</b:Guid>
    <b:Title>Financial and management accounting</b:Title>
    <b:Year>2013</b:Year>
    <b:Author>
      <b:Author>
        <b:NameList>
          <b:Person>
            <b:Last>Weetman</b:Last>
            <b:First>P</b:First>
          </b:Person>
        </b:NameList>
      </b:Author>
    </b:Author>
    <b:City>Harlow</b:City>
    <b:Publisher>Pearson Eduction</b:Publisher>
    <b:Edition>6</b:Edition>
    <b:RefOrder>16</b:RefOrder>
  </b:Source>
  <b:Source>
    <b:Tag>Fer20</b:Tag>
    <b:SourceType>DocumentFromInternetSite</b:SourceType>
    <b:Guid>{04BBD98F-7542-40D7-A2CE-B496DDA947F1}</b:Guid>
    <b:Title>Investopedia</b:Title>
    <b:Year>2020</b:Year>
    <b:Author>
      <b:Author>
        <b:NameList>
          <b:Person>
            <b:Last>Fernando</b:Last>
            <b:First>J</b:First>
          </b:Person>
        </b:NameList>
      </b:Author>
    </b:Author>
    <b:YearAccessed>2021</b:YearAccessed>
    <b:MonthAccessed>01</b:MonthAccessed>
    <b:DayAccessed>06</b:DayAccessed>
    <b:URL>Investopedia </b:URL>
    <b:Month>11</b:Month>
    <b:Day>13</b:Day>
    <b:RefOrder>17</b:RefOrder>
  </b:Source>
  <b:Source>
    <b:Tag>Har11</b:Tag>
    <b:SourceType>Book</b:SourceType>
    <b:Guid>{87E5B032-E805-4AAF-805E-77294EA21CE4}</b:Guid>
    <b:Title>Review of Management Accounting Research</b:Title>
    <b:Year>2011</b:Year>
    <b:Author>
      <b:Author>
        <b:NameList>
          <b:Person>
            <b:Last>Harris</b:Last>
            <b:First>P</b:First>
            <b:Middle>El-Massri, M</b:Middle>
          </b:Person>
        </b:NameList>
      </b:Author>
    </b:Author>
    <b:City>London</b:City>
    <b:Publisher>Palgrave Macmillan,</b:Publisher>
    <b:RefOrder>15</b:RefOrder>
  </b:Source>
  <b:Source>
    <b:Tag>CFA21</b:Tag>
    <b:SourceType>InternetSite</b:SourceType>
    <b:Guid>{3AAF932B-461A-40AE-9299-9B553642CAF7}</b:Guid>
    <b:Title>Advantages and Disadvantages of NPV</b:Title>
    <b:Year>2021</b:Year>
    <b:Author>
      <b:Author>
        <b:Corporate>CFA Institute</b:Corporate>
      </b:Author>
    </b:Author>
    <b:YearAccessed>2021</b:YearAccessed>
    <b:MonthAccessed>01</b:MonthAccessed>
    <b:DayAccessed>10</b:DayAccessed>
    <b:URL>Advantages and Disadvantages of NPV</b:URL>
    <b:RefOrder>19</b:RefOrder>
  </b:Source>
  <b:Source>
    <b:Tag>Men20</b:Tag>
    <b:SourceType>JournalArticle</b:SourceType>
    <b:Guid>{ECC33437-ECC2-43CC-8A41-E9B10326DE46}</b:Guid>
    <b:Title>Pros and Cons of Using Net Present Value (NPV)</b:Title>
    <b:Year>2020</b:Year>
    <b:Author>
      <b:Author>
        <b:NameList>
          <b:Person>
            <b:Last>Mendell</b:Last>
            <b:First>B</b:First>
          </b:Person>
        </b:NameList>
      </b:Author>
    </b:Author>
    <b:JournalName>Forest Finance &amp; Economics, Timberlands</b:JournalName>
    <b:Pages>[Online]. Avalable from:https://forisk.com/blog/2020/05/31/pros-and-cons-of-using-net-present-value-npv/. [Accessed 11/01/2021]</b:Pages>
    <b:RefOrder>20</b:RefOrder>
  </b:Source>
  <b:Source>
    <b:Tag>Fin21</b:Tag>
    <b:SourceType>JournalArticle</b:SourceType>
    <b:Guid>{C761161C-97CF-497C-8E90-3404AC8DF205}</b:Guid>
    <b:Author>
      <b:Author>
        <b:Corporate>Financial Management </b:Corporate>
      </b:Author>
    </b:Author>
    <b:Title>Advantages and Disadvantages of NPV</b:Title>
    <b:JournalName>Financial Management Concepts In Layman Terms</b:JournalName>
    <b:Year>2021</b:Year>
    <b:Pages>[Online]. Available from: https://efinancemanagement.com/investment-decisions/advantages-and-disadvantages-of-npv. [Accessed 11/01/2021]</b:Pages>
    <b:RefOrder>21</b:RefOrder>
  </b:Source>
  <b:Source>
    <b:Tag>NIB21</b:Tag>
    <b:SourceType>InternetSite</b:SourceType>
    <b:Guid>{80510451-2DF6-4537-B26F-92303F72D20D}</b:Guid>
    <b:Title>Investment appraisal techniques</b:Title>
    <b:Year>2021</b:Year>
    <b:Author>
      <b:Author>
        <b:Corporate>NIBusiness.co.uk</b:Corporate>
      </b:Author>
    </b:Author>
    <b:YearAccessed>2021</b:YearAccessed>
    <b:MonthAccessed>01</b:MonthAccessed>
    <b:DayAccessed>11</b:DayAccessed>
    <b:URL>https://www.nibusinessinfo.co.uk/content/non-financial-factors-investment-appraisal</b:URL>
    <b:RefOrder>22</b:RefOrder>
  </b:Source>
  <b:Source>
    <b:Tag>Mav19</b:Tag>
    <b:SourceType>DocumentFromInternetSite</b:SourceType>
    <b:Guid>{EBC3CFE7-5D6B-4659-B4D8-CD7E863F15F0}</b:Guid>
    <b:Title>Investopedia</b:Title>
    <b:Year>2019</b:Year>
    <b:YearAccessed>2021</b:YearAccessed>
    <b:MonthAccessed>01</b:MonthAccessed>
    <b:DayAccessed>09</b:DayAccessed>
    <b:URL>https://www.investopedia.com/ask/answers/062915/what-are-some-limitations-and-drawbacks-using-payback-period-analysis.asp</b:URL>
    <b:Author>
      <b:Author>
        <b:NameList>
          <b:Person>
            <b:Last>Maverick</b:Last>
            <b:First>J</b:First>
          </b:Person>
        </b:NameList>
      </b:Author>
    </b:Author>
    <b:Month>02</b:Month>
    <b:Day>18</b:Day>
    <b:RefOrder>18</b:RefOrder>
  </b:Source>
  <b:Source>
    <b:Tag>Fin211</b:Tag>
    <b:SourceType>JournalArticle</b:SourceType>
    <b:Guid>{8163B2A5-9917-486C-ABE1-F602E50FEC15}</b:Guid>
    <b:Title>Equities</b:Title>
    <b:Year>2021</b:Year>
    <b:Author>
      <b:Author>
        <b:Corporate>Financial Times</b:Corporate>
      </b:Author>
    </b:Author>
    <b:JournalName>Financial Times</b:JournalName>
    <b:Pages>[\online]. Available from: https://markets.ft.com/data/equities/tearsheet/profile?s=BKG:LSE. [Accessed 10/01/2021]</b:Pages>
    <b:RefOrder>1</b:RefOrder>
  </b:Source>
  <b:Source>
    <b:Tag>Fre20</b:Tag>
    <b:SourceType>JournalArticle</b:SourceType>
    <b:Guid>{029909D4-7607-4201-9A12-0B5824EFF9FF}</b:Guid>
    <b:Author>
      <b:Author>
        <b:Corporate>Free Encyclopedia</b:Corporate>
      </b:Author>
    </b:Author>
    <b:Title>Berkeley Group Holdings</b:Title>
    <b:JournalName>Wikipedia</b:JournalName>
    <b:Year>2020</b:Year>
    <b:Pages>[Online]. Available from: https://en.wikipedia.org/wiki/Berkeley_Group_Holdings. [Accessed 02/01/2021]</b:Pages>
    <b:RefOrder>2</b:RefOrder>
  </b:Source>
  <b:Source>
    <b:Tag>Ber20</b:Tag>
    <b:SourceType>Report</b:SourceType>
    <b:Guid>{B775C70C-A0F1-41DB-AA5D-D9288A7F0BA0}</b:Guid>
    <b:Title>Annual Report</b:Title>
    <b:Year>2020</b:Year>
    <b:Author>
      <b:Author>
        <b:Corporate>Berkeley Group</b:Corporate>
      </b:Author>
    </b:Author>
    <b:Publisher>Berkeley Group</b:Publisher>
    <b:City>London</b:City>
    <b:RefOrder>3</b:RefOrder>
  </b:Source>
  <b:Source>
    <b:Tag>CFI15</b:Tag>
    <b:SourceType>JournalArticle</b:SourceType>
    <b:Guid>{F7ADC6B2-30DD-4782-BD26-2C39F0CA0464}</b:Guid>
    <b:Title>What are Profitability Ratios?</b:Title>
    <b:Year>2015</b:Year>
    <b:Author>
      <b:Author>
        <b:Corporate>CFI - Corporate Finance Institute</b:Corporate>
      </b:Author>
    </b:Author>
    <b:JournalName>CFI</b:JournalName>
    <b:Pages>[Online].  Available from:https://corporatefinanceinstitute.com/resources/knowledge/finance/profitability-ratios/ [Accessed 11/01/2021]</b:Pages>
    <b:RefOrder>4</b:RefOrder>
  </b:Source>
  <b:Source>
    <b:Tag>Mav191</b:Tag>
    <b:SourceType>JournalArticle</b:SourceType>
    <b:Guid>{E4140BFA-B7B7-40C3-9837-2071275C1B86}</b:Guid>
    <b:Author>
      <b:Author>
        <b:NameList>
          <b:Person>
            <b:Last>Maverick</b:Last>
            <b:First>J</b:First>
          </b:Person>
        </b:NameList>
      </b:Author>
    </b:Author>
    <b:Title>How Can a Company Improve on Its Return on Capital Employed (ROCE)?</b:Title>
    <b:JournalName>Investopedia</b:JournalName>
    <b:Year>2019</b:Year>
    <b:Pages>[Online]. Available from: https://www.investopedia.com/ask/answers/042415/what-are-some-ways-company-can-improve-its-return-capital-employed-roce.asp. [Accessed 19/01/2021]</b:Pages>
    <b:RefOrder>5</b:RefOrder>
  </b:Source>
  <b:Source>
    <b:Tag>New19</b:Tag>
    <b:SourceType>JournalArticle</b:SourceType>
    <b:Guid>{CD3E7720-B644-4BBC-99B0-23531322D8CB}</b:Guid>
    <b:Author>
      <b:Author>
        <b:NameList>
          <b:Person>
            <b:Last>Newman</b:Last>
            <b:First>A</b:First>
          </b:Person>
        </b:NameList>
      </b:Author>
    </b:Author>
    <b:Title>Berkeley Group back to normal</b:Title>
    <b:JournalName>Investors' Chronicle</b:JournalName>
    <b:Year>2019</b:Year>
    <b:Pages>[Online]. Available from: https://www.investorschronicle.co.uk/shares/2019/12/06/berkeley-group-back-to-normal/. [Accessed 11/01/2021]</b:Pages>
    <b:RefOrder>6</b:RefOrder>
  </b:Source>
  <b:Source>
    <b:Tag>CFI151</b:Tag>
    <b:SourceType>JournalArticle</b:SourceType>
    <b:Guid>{322A4FAE-FB27-44F1-9125-2BF61B166EFD}</b:Guid>
    <b:Title>Return on Assets &amp; ROA Formula</b:Title>
    <b:Year>2015</b:Year>
    <b:Author>
      <b:Author>
        <b:Corporate>CFI </b:Corporate>
      </b:Author>
    </b:Author>
    <b:JournalName>CFI - Corporate Finance Institute</b:JournalName>
    <b:Pages>[Online]. Available from: https://corporatefinanceinstitute.com/resources/knowledge/finance/return-on-assets-roa-formula/. [Accessed 29/12/2020]</b:Pages>
    <b:RefOrder>7</b:RefOrder>
  </b:Source>
  <b:Source>
    <b:Tag>Dan20</b:Tag>
    <b:SourceType>JournalArticle</b:SourceType>
    <b:Guid>{82CF51F2-2D57-4640-A739-12169B116661}</b:Guid>
    <b:Author>
      <b:Author>
        <b:NameList>
          <b:Person>
            <b:Last>Daniel</b:Last>
            <b:First>A</b:First>
          </b:Person>
        </b:NameList>
      </b:Author>
    </b:Author>
    <b:Title>Berkeley Group profits fall by a third after coronavirus lockdown</b:Title>
    <b:JournalName>CITYA.M.</b:JournalName>
    <b:Year>2020</b:Year>
    <b:Pages>[Online]. Available from:https://www.cityam.com/berkeley-group-profits-fall-by-a-third-after-coronavirus-lockdown/. [Accecced 11/0/2021]</b:Pages>
    <b:RefOrder>8</b:RefOrder>
  </b:Source>
  <b:Source>
    <b:Tag>CFI21</b:Tag>
    <b:SourceType>JournalArticle</b:SourceType>
    <b:Guid>{23FE9FFE-B19C-49B5-9208-7D49FF81F8C0}</b:Guid>
    <b:Author>
      <b:Author>
        <b:Corporate>CFI</b:Corporate>
      </b:Author>
    </b:Author>
    <b:Title>What is a Liquidity Ratio?</b:Title>
    <b:JournalName>Corporate Finance Institute</b:JournalName>
    <b:Year>2015-2021</b:Year>
    <b:Pages>[Online]. Available from:https://corporatefinanceinstitute.com/resources/knowledge/finance/liquidity-ratio/. [Accessed 20/12/2020]</b:Pages>
    <b:RefOrder>9</b:RefOrder>
  </b:Source>
  <b:Source>
    <b:Tag>Sal11</b:Tag>
    <b:SourceType>JournalArticle</b:SourceType>
    <b:Guid>{69A80AEC-D249-411E-964D-ECD6530050D3}</b:Guid>
    <b:Author>
      <b:Author>
        <b:NameList>
          <b:Person>
            <b:Last>Saleem</b:Last>
            <b:First>Q,</b:First>
            <b:Middle>Rehman, R</b:Middle>
          </b:Person>
        </b:NameList>
      </b:Author>
    </b:Author>
    <b:Title>Impacts of liquidity ratios on profitability</b:Title>
    <b:JournalName>Interdisciplinary Journal of Research in Business</b:JournalName>
    <b:Year>2011</b:Year>
    <b:Pages>95-98</b:Pages>
    <b:Volume>1</b:Volume>
    <b:Issue>7</b:Issue>
    <b:RefOrder>10</b:RefOrder>
  </b:Source>
  <b:Source>
    <b:Tag>Cre21</b:Tag>
    <b:SourceType>JournalArticle</b:SourceType>
    <b:Guid>{D3A931E2-6314-412F-A39C-8071E10945BB}</b:Guid>
    <b:Author>
      <b:Author>
        <b:Corporate>Credit Guru Inc</b:Corporate>
      </b:Author>
    </b:Author>
    <b:Title>Financial Statement ratio analysis - eficiency ratios</b:Title>
    <b:JournalName>Articles on financial statement analysis</b:JournalName>
    <b:Year>1999-2021</b:Year>
    <b:Pages>[Online]. Available from: https://www.creditguru.com/index.php/financial-analysis/financial-analysis-articles/32-financial-statement-ratio-analysis-efficiency-ratios. [Accessed 29/12/2020]</b:Pages>
    <b:RefOrder>11</b:RefOrder>
  </b:Source>
  <b:Source>
    <b:Tag>Hay20</b:Tag>
    <b:SourceType>JournalArticle</b:SourceType>
    <b:Guid>{5562C000-2D68-4CFF-80BB-FBF8B60A7C3D}</b:Guid>
    <b:Author>
      <b:Author>
        <b:NameList>
          <b:Person>
            <b:Last>Hayes</b:Last>
            <b:First>A</b:First>
            <b:Middle>James, M</b:Middle>
          </b:Person>
        </b:NameList>
      </b:Author>
    </b:Author>
    <b:Title>Asset Turnover Ratio</b:Title>
    <b:JournalName>Investopdia</b:JournalName>
    <b:Year>2020</b:Year>
    <b:Pages>[Online]. Available from:https://www.investopedia.com/terms/a/assetturnover.asp. Accessed [10/01/2021]</b:Pages>
    <b:RefOrder>12</b:RefOrder>
  </b:Source>
  <b:Source>
    <b:Tag>Acc21</b:Tag>
    <b:SourceType>InternetSite</b:SourceType>
    <b:Guid>{BDB7C6AB-C80C-4337-B843-7022F6A05902}</b:Guid>
    <b:Author>
      <b:Author>
        <b:Corporate>AccountingCourse</b:Corporate>
      </b:Author>
    </b:Author>
    <b:Title>Earnings per Share (EPS)</b:Title>
    <b:Year>2021</b:Year>
    <b:YearAccessed>2021</b:YearAccessed>
    <b:MonthAccessed>01</b:MonthAccessed>
    <b:DayAccessed>12</b:DayAccessed>
    <b:URL>the company is more profitable and the company has more profits to distribute to its shareholders.</b:URL>
    <b:RefOrder>13</b:RefOrder>
  </b:Source>
  <b:Source>
    <b:Tag>Sto18</b:Tag>
    <b:SourceType>ArticleInAPeriodical</b:SourceType>
    <b:Guid>{9493FFB5-FF6F-4773-83C9-A10F80883794}</b:Guid>
    <b:Title>Stocks That Have Raised Dividends for 10 Years</b:Title>
    <b:Year>2018</b:Year>
    <b:Author>
      <b:Author>
        <b:Corporate>Stocks That Have Raised Dividends for 10 Years</b:Corporate>
      </b:Author>
    </b:Author>
    <b:PeriodicalTitle>Morning star</b:PeriodicalTitle>
    <b:Month>11</b:Month>
    <b:Day>09</b:Day>
    <b:Pages>https://www.morningstar.co.uk/uk/</b:Pages>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032D81-07CB-415C-BBBE-9C0C422CA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7067</Words>
  <Characters>40282</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FINANCIAL MANAGEMENT</vt:lpstr>
    </vt:vector>
  </TitlesOfParts>
  <Company>DUDAK BEATA STUDENT NUMBER 2010697</Company>
  <LinksUpToDate>false</LinksUpToDate>
  <CharactersWithSpaces>47255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MANAGEMENT</dc:title>
  <dc:subject>ASSIGNMENT</dc:subject>
  <dc:creator>LCMB 7002</dc:creator>
  <cp:keywords/>
  <dc:description/>
  <cp:lastModifiedBy>Beata Dudak</cp:lastModifiedBy>
  <cp:revision>2</cp:revision>
  <dcterms:created xsi:type="dcterms:W3CDTF">2021-01-13T23:22:00Z</dcterms:created>
  <dcterms:modified xsi:type="dcterms:W3CDTF">2021-01-13T23:22:00Z</dcterms:modified>
</cp:coreProperties>
</file>