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4D6A" w:rsidRPr="00F76613" w:rsidRDefault="00F76613" w:rsidP="00F76613">
      <w:pPr>
        <w:jc w:val="center"/>
        <w:rPr>
          <w:sz w:val="28"/>
          <w:u w:val="single"/>
        </w:rPr>
      </w:pPr>
      <w:r w:rsidRPr="00F76613">
        <w:rPr>
          <w:sz w:val="28"/>
          <w:u w:val="single"/>
        </w:rPr>
        <w:t>Encyclopaedia Entry</w:t>
      </w:r>
    </w:p>
    <w:p w:rsidR="00F76613" w:rsidRDefault="00F76613" w:rsidP="00F76613">
      <w:pPr>
        <w:jc w:val="center"/>
        <w:rPr>
          <w:sz w:val="28"/>
          <w:u w:val="single"/>
        </w:rPr>
      </w:pPr>
    </w:p>
    <w:p w:rsidR="00A17512" w:rsidRPr="00A17512" w:rsidRDefault="00F76613" w:rsidP="00A17512">
      <w:pPr>
        <w:spacing w:line="360" w:lineRule="auto"/>
        <w:jc w:val="center"/>
        <w:rPr>
          <w:sz w:val="28"/>
          <w:u w:val="single"/>
        </w:rPr>
      </w:pPr>
      <w:r w:rsidRPr="00F76613">
        <w:rPr>
          <w:sz w:val="28"/>
          <w:u w:val="single"/>
        </w:rPr>
        <w:t>Yom Kippur</w:t>
      </w:r>
    </w:p>
    <w:p w:rsidR="007A03E2" w:rsidRDefault="007A03E2" w:rsidP="00EB0880">
      <w:pPr>
        <w:rPr>
          <w:sz w:val="28"/>
        </w:rPr>
      </w:pPr>
      <w:r>
        <w:rPr>
          <w:sz w:val="28"/>
        </w:rPr>
        <w:t>The festival of Yom Kippur occurs on the tenth day of Tishri, which is the seventh month in the Jewish calendar. The word ‘Yom’ means ‘day’ and the root meaning of ‘Kippur’ (which is the form most usually found for ‘atonement’) is ‘to e</w:t>
      </w:r>
      <w:r w:rsidR="00DE4BDE">
        <w:rPr>
          <w:sz w:val="28"/>
        </w:rPr>
        <w:t>rase’ or ‘to cleanse thoroughly’.</w:t>
      </w:r>
      <w:r w:rsidR="00DE4BDE">
        <w:rPr>
          <w:rStyle w:val="FootnoteReference"/>
          <w:sz w:val="28"/>
        </w:rPr>
        <w:footnoteReference w:id="2"/>
      </w:r>
      <w:r w:rsidR="005137D4">
        <w:rPr>
          <w:sz w:val="28"/>
        </w:rPr>
        <w:t xml:space="preserve"> </w:t>
      </w:r>
      <w:r w:rsidR="001B7EA2">
        <w:rPr>
          <w:sz w:val="28"/>
        </w:rPr>
        <w:t>Yom Kippur is, therefore, also known as the ‘Day of Atonement.’ Yom Kippur has great significance in the Jewish religion</w:t>
      </w:r>
      <w:r w:rsidR="00EB0880">
        <w:rPr>
          <w:sz w:val="28"/>
        </w:rPr>
        <w:t xml:space="preserve">. </w:t>
      </w:r>
      <w:r w:rsidR="00CA31F8">
        <w:rPr>
          <w:sz w:val="28"/>
        </w:rPr>
        <w:t xml:space="preserve">Its significance is explained in Leviticus 16:30 which says, “on this day the Lord will make atonement for you to purify you from all your sins.” </w:t>
      </w:r>
      <w:r w:rsidR="00EB0880">
        <w:rPr>
          <w:sz w:val="28"/>
        </w:rPr>
        <w:t>The festival of Yom Kippur occurs ten days after Rosh Hashanah. These ten days between Rosh Hashanah a</w:t>
      </w:r>
      <w:r w:rsidR="00CB65D5">
        <w:rPr>
          <w:sz w:val="28"/>
        </w:rPr>
        <w:t>nd Yom Kippur are known as the ‘Ten Days of R</w:t>
      </w:r>
      <w:r w:rsidR="00EB0880">
        <w:rPr>
          <w:sz w:val="28"/>
        </w:rPr>
        <w:t>epentance</w:t>
      </w:r>
      <w:r w:rsidR="00CB65D5">
        <w:rPr>
          <w:sz w:val="28"/>
        </w:rPr>
        <w:t>’</w:t>
      </w:r>
      <w:r w:rsidR="00EB0880">
        <w:rPr>
          <w:sz w:val="28"/>
        </w:rPr>
        <w:t>.</w:t>
      </w:r>
      <w:r w:rsidR="00C043E2">
        <w:rPr>
          <w:rStyle w:val="FootnoteReference"/>
          <w:sz w:val="28"/>
        </w:rPr>
        <w:footnoteReference w:id="3"/>
      </w:r>
      <w:r w:rsidR="00EB0880">
        <w:rPr>
          <w:sz w:val="28"/>
        </w:rPr>
        <w:t xml:space="preserve"> Yom Kippur is, therefore, regarded as a day where God judges all people for their past deeds</w:t>
      </w:r>
      <w:r w:rsidR="00CF7611">
        <w:rPr>
          <w:sz w:val="28"/>
        </w:rPr>
        <w:t xml:space="preserve"> unless they repent</w:t>
      </w:r>
      <w:r w:rsidR="00EB0880">
        <w:rPr>
          <w:sz w:val="28"/>
        </w:rPr>
        <w:t>. As a result</w:t>
      </w:r>
      <w:r w:rsidR="00465550">
        <w:rPr>
          <w:sz w:val="28"/>
        </w:rPr>
        <w:t>, all Jews, including the less pious, tend to</w:t>
      </w:r>
      <w:r w:rsidR="00EB0880">
        <w:rPr>
          <w:sz w:val="28"/>
        </w:rPr>
        <w:t xml:space="preserve"> spend the entire day in the synagogue in contemplation and prayer</w:t>
      </w:r>
      <w:r w:rsidR="005973BF">
        <w:rPr>
          <w:sz w:val="28"/>
        </w:rPr>
        <w:t>,</w:t>
      </w:r>
      <w:r w:rsidR="00CF7611">
        <w:rPr>
          <w:sz w:val="28"/>
        </w:rPr>
        <w:t xml:space="preserve"> seeking forgiveness from God</w:t>
      </w:r>
      <w:r w:rsidR="00EB0880">
        <w:rPr>
          <w:sz w:val="28"/>
        </w:rPr>
        <w:t>.</w:t>
      </w:r>
    </w:p>
    <w:p w:rsidR="00A17512" w:rsidRPr="00A17512" w:rsidRDefault="00A17512" w:rsidP="00EB0880">
      <w:pPr>
        <w:rPr>
          <w:sz w:val="28"/>
          <w:u w:val="single"/>
        </w:rPr>
      </w:pPr>
      <w:r w:rsidRPr="00A17512">
        <w:rPr>
          <w:sz w:val="28"/>
          <w:u w:val="single"/>
        </w:rPr>
        <w:t>Fasting</w:t>
      </w:r>
    </w:p>
    <w:p w:rsidR="00465550" w:rsidRDefault="00465550" w:rsidP="00EB0880">
      <w:pPr>
        <w:rPr>
          <w:sz w:val="28"/>
        </w:rPr>
      </w:pPr>
      <w:r>
        <w:rPr>
          <w:sz w:val="28"/>
        </w:rPr>
        <w:t>A key feature of the festival of Yom Kippur is the fast. All able Jews are expected to fast from sunset the day before Yom Kippur to nightfall the following day. On the eve of Yom Kippur, before the fast begins, all Jews enjoy a final meal known as ‘seudah</w:t>
      </w:r>
      <w:r w:rsidR="00524264">
        <w:rPr>
          <w:sz w:val="28"/>
        </w:rPr>
        <w:t xml:space="preserve"> </w:t>
      </w:r>
      <w:r>
        <w:rPr>
          <w:sz w:val="28"/>
        </w:rPr>
        <w:t>hamafseket’.</w:t>
      </w:r>
      <w:r w:rsidR="00496602">
        <w:rPr>
          <w:rStyle w:val="FootnoteReference"/>
          <w:sz w:val="28"/>
        </w:rPr>
        <w:footnoteReference w:id="4"/>
      </w:r>
      <w:r w:rsidR="00F7258A">
        <w:rPr>
          <w:sz w:val="28"/>
        </w:rPr>
        <w:t xml:space="preserve"> The meal should be a festive occasion and festival candles should be lit. Jews are expected to dress up nicely and eat well in order to build up streng</w:t>
      </w:r>
      <w:r w:rsidR="00A33BAD">
        <w:rPr>
          <w:sz w:val="28"/>
        </w:rPr>
        <w:t>th before the fast</w:t>
      </w:r>
      <w:r w:rsidR="00DE4BDE">
        <w:rPr>
          <w:sz w:val="28"/>
        </w:rPr>
        <w:t>.</w:t>
      </w:r>
      <w:r w:rsidR="00DE4BDE">
        <w:rPr>
          <w:rStyle w:val="FootnoteReference"/>
          <w:sz w:val="28"/>
        </w:rPr>
        <w:footnoteReference w:id="5"/>
      </w:r>
      <w:r w:rsidR="005137D4">
        <w:rPr>
          <w:sz w:val="28"/>
        </w:rPr>
        <w:t xml:space="preserve"> </w:t>
      </w:r>
      <w:r w:rsidR="00F7258A">
        <w:rPr>
          <w:sz w:val="28"/>
        </w:rPr>
        <w:t>Other prohi</w:t>
      </w:r>
      <w:r w:rsidR="00965E11">
        <w:rPr>
          <w:sz w:val="28"/>
        </w:rPr>
        <w:t>bitions that Jews must follow</w:t>
      </w:r>
      <w:r w:rsidR="00F7258A">
        <w:rPr>
          <w:sz w:val="28"/>
        </w:rPr>
        <w:t xml:space="preserve"> during Yom Kippur are that they should also refrain from using cosmetics and lo</w:t>
      </w:r>
      <w:r w:rsidR="00A80157">
        <w:rPr>
          <w:sz w:val="28"/>
        </w:rPr>
        <w:t>tions, washing the body, marita</w:t>
      </w:r>
      <w:r w:rsidR="00F7258A">
        <w:rPr>
          <w:sz w:val="28"/>
        </w:rPr>
        <w:t>l relations, and wea</w:t>
      </w:r>
      <w:r w:rsidR="00A33BAD">
        <w:rPr>
          <w:sz w:val="28"/>
        </w:rPr>
        <w:t>ring leather shoes</w:t>
      </w:r>
      <w:r w:rsidR="00DE4BDE">
        <w:rPr>
          <w:sz w:val="28"/>
        </w:rPr>
        <w:t>.</w:t>
      </w:r>
      <w:r w:rsidR="00DE4BDE">
        <w:rPr>
          <w:rStyle w:val="FootnoteReference"/>
          <w:sz w:val="28"/>
        </w:rPr>
        <w:footnoteReference w:id="6"/>
      </w:r>
      <w:r w:rsidR="005137D4">
        <w:rPr>
          <w:sz w:val="28"/>
        </w:rPr>
        <w:t xml:space="preserve"> </w:t>
      </w:r>
      <w:r w:rsidR="000B7250">
        <w:rPr>
          <w:sz w:val="28"/>
        </w:rPr>
        <w:t>The main reason for fasting and self-restraint on Yom Kippur is so that the Jew can show God that their desire to gain f</w:t>
      </w:r>
      <w:r w:rsidR="00B829BC">
        <w:rPr>
          <w:sz w:val="28"/>
        </w:rPr>
        <w:t>orgiveness</w:t>
      </w:r>
      <w:r w:rsidR="000B7250">
        <w:rPr>
          <w:sz w:val="28"/>
        </w:rPr>
        <w:t xml:space="preserve"> is genuine; </w:t>
      </w:r>
      <w:r w:rsidR="000B7250">
        <w:rPr>
          <w:sz w:val="28"/>
        </w:rPr>
        <w:lastRenderedPageBreak/>
        <w:t>the Jew is willing to give up physical needs and devote their time to focusing on prayer, worship and the needs of the spirit.</w:t>
      </w:r>
    </w:p>
    <w:p w:rsidR="00A17512" w:rsidRPr="00A17512" w:rsidRDefault="00A17512" w:rsidP="00EB0880">
      <w:pPr>
        <w:rPr>
          <w:sz w:val="28"/>
          <w:u w:val="single"/>
        </w:rPr>
      </w:pPr>
      <w:r>
        <w:rPr>
          <w:sz w:val="28"/>
          <w:u w:val="single"/>
        </w:rPr>
        <w:t xml:space="preserve">The Synagogue </w:t>
      </w:r>
    </w:p>
    <w:p w:rsidR="00A82846" w:rsidRDefault="004E1C4B" w:rsidP="00A82846">
      <w:pPr>
        <w:rPr>
          <w:sz w:val="28"/>
        </w:rPr>
      </w:pPr>
      <w:r w:rsidRPr="004E1C4B">
        <w:rPr>
          <w:noProof/>
          <w:sz w:val="28"/>
          <w:lang w:val="en-US" w:eastAsia="zh-TW"/>
        </w:rPr>
        <w:pict>
          <v:shapetype id="_x0000_t202" coordsize="21600,21600" o:spt="202" path="m,l,21600r21600,l21600,xe">
            <v:stroke joinstyle="miter"/>
            <v:path gradientshapeok="t" o:connecttype="rect"/>
          </v:shapetype>
          <v:shape id="_x0000_s1026" type="#_x0000_t202" style="position:absolute;margin-left:-.75pt;margin-top:166.1pt;width:130.5pt;height:38.4pt;z-index:251660288;mso-width-relative:margin;mso-height-relative:margin">
            <v:textbox>
              <w:txbxContent>
                <w:p w:rsidR="00FF2927" w:rsidRDefault="006C2E0E" w:rsidP="00FF2927">
                  <w:pPr>
                    <w:jc w:val="center"/>
                  </w:pPr>
                  <w:r>
                    <w:t xml:space="preserve">Figure 1 - </w:t>
                  </w:r>
                  <w:r w:rsidR="00FF2927">
                    <w:t>The Synagogue During Yom Kippur</w:t>
                  </w:r>
                </w:p>
              </w:txbxContent>
            </v:textbox>
            <w10:wrap type="square"/>
          </v:shape>
        </w:pict>
      </w:r>
      <w:r w:rsidR="00FF2927">
        <w:rPr>
          <w:noProof/>
          <w:sz w:val="28"/>
          <w:lang w:eastAsia="en-GB"/>
        </w:rPr>
        <w:drawing>
          <wp:anchor distT="0" distB="0" distL="114300" distR="114300" simplePos="0" relativeHeight="251661312" behindDoc="0" locked="0" layoutInCell="1" allowOverlap="1">
            <wp:simplePos x="0" y="0"/>
            <wp:positionH relativeFrom="column">
              <wp:posOffset>19050</wp:posOffset>
            </wp:positionH>
            <wp:positionV relativeFrom="paragraph">
              <wp:posOffset>1023620</wp:posOffset>
            </wp:positionV>
            <wp:extent cx="1619250" cy="1079500"/>
            <wp:effectExtent l="19050" t="0" r="0" b="0"/>
            <wp:wrapSquare wrapText="bothSides"/>
            <wp:docPr id="1" name="Picture 1" descr="Yom Kippur -Synagogue draped in 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om Kippur -Synagogue draped in white"/>
                    <pic:cNvPicPr>
                      <a:picLocks noChangeAspect="1" noChangeArrowheads="1"/>
                    </pic:cNvPicPr>
                  </pic:nvPicPr>
                  <pic:blipFill>
                    <a:blip r:embed="rId7" cstate="print"/>
                    <a:srcRect/>
                    <a:stretch>
                      <a:fillRect/>
                    </a:stretch>
                  </pic:blipFill>
                  <pic:spPr bwMode="auto">
                    <a:xfrm>
                      <a:off x="0" y="0"/>
                      <a:ext cx="1619250" cy="1079500"/>
                    </a:xfrm>
                    <a:prstGeom prst="rect">
                      <a:avLst/>
                    </a:prstGeom>
                    <a:noFill/>
                    <a:ln w="9525">
                      <a:noFill/>
                      <a:miter lim="800000"/>
                      <a:headEnd/>
                      <a:tailEnd/>
                    </a:ln>
                  </pic:spPr>
                </pic:pic>
              </a:graphicData>
            </a:graphic>
          </wp:anchor>
        </w:drawing>
      </w:r>
      <w:r w:rsidR="000B7250">
        <w:rPr>
          <w:sz w:val="28"/>
        </w:rPr>
        <w:t>The synagogue also plays a key role in the festival of Yom Kippur. Many Jews spend virtually the entire waking day in the synagogue taking part in services, praying, and worship</w:t>
      </w:r>
      <w:r w:rsidR="00CB65D5">
        <w:rPr>
          <w:sz w:val="28"/>
        </w:rPr>
        <w:t>p</w:t>
      </w:r>
      <w:r w:rsidR="000B7250">
        <w:rPr>
          <w:sz w:val="28"/>
        </w:rPr>
        <w:t xml:space="preserve">ing God. </w:t>
      </w:r>
      <w:r w:rsidR="00A82846">
        <w:rPr>
          <w:sz w:val="28"/>
        </w:rPr>
        <w:t xml:space="preserve">Some Jews also choose to spend the entire twenty-four hours in the synagogue; spending the night chanting hymns and reciting scripture until daybreak. The </w:t>
      </w:r>
      <w:r w:rsidR="00A82846">
        <w:rPr>
          <w:i/>
          <w:sz w:val="28"/>
        </w:rPr>
        <w:t xml:space="preserve">tallit </w:t>
      </w:r>
      <w:r w:rsidR="00A82846">
        <w:rPr>
          <w:sz w:val="28"/>
        </w:rPr>
        <w:t>(prayer sh</w:t>
      </w:r>
      <w:r w:rsidR="007908F0">
        <w:rPr>
          <w:sz w:val="28"/>
        </w:rPr>
        <w:t>awl) is worn throughout all of the synagogue services. A white curtain (</w:t>
      </w:r>
      <w:r w:rsidR="007908F0" w:rsidRPr="004958F8">
        <w:rPr>
          <w:i/>
          <w:sz w:val="28"/>
        </w:rPr>
        <w:t>parokhet</w:t>
      </w:r>
      <w:r w:rsidR="007908F0">
        <w:rPr>
          <w:sz w:val="28"/>
        </w:rPr>
        <w:t>) covers the Ark and all other furnishings are a</w:t>
      </w:r>
      <w:r w:rsidR="00FF2927">
        <w:rPr>
          <w:sz w:val="28"/>
        </w:rPr>
        <w:t xml:space="preserve">lso covered in white </w:t>
      </w:r>
      <w:r w:rsidR="00A33BAD">
        <w:rPr>
          <w:sz w:val="28"/>
        </w:rPr>
        <w:t>cloth</w:t>
      </w:r>
      <w:r w:rsidR="0054700B">
        <w:rPr>
          <w:sz w:val="28"/>
        </w:rPr>
        <w:t>.</w:t>
      </w:r>
      <w:r w:rsidR="0054700B">
        <w:rPr>
          <w:rStyle w:val="FootnoteReference"/>
          <w:sz w:val="28"/>
        </w:rPr>
        <w:footnoteReference w:id="7"/>
      </w:r>
      <w:r w:rsidR="00CF2842">
        <w:rPr>
          <w:sz w:val="28"/>
        </w:rPr>
        <w:t xml:space="preserve"> </w:t>
      </w:r>
      <w:r w:rsidR="00A82846" w:rsidRPr="007908F0">
        <w:rPr>
          <w:sz w:val="28"/>
        </w:rPr>
        <w:t>Five</w:t>
      </w:r>
      <w:r w:rsidR="00A82846">
        <w:rPr>
          <w:sz w:val="28"/>
        </w:rPr>
        <w:t xml:space="preserve"> synagogue services are celebrated during Yom Kippur. These </w:t>
      </w:r>
      <w:r w:rsidR="00CA31F8">
        <w:rPr>
          <w:sz w:val="28"/>
        </w:rPr>
        <w:t>are,</w:t>
      </w:r>
      <w:r w:rsidR="00A82846">
        <w:rPr>
          <w:sz w:val="28"/>
        </w:rPr>
        <w:t xml:space="preserve"> the evening service (</w:t>
      </w:r>
      <w:r w:rsidR="00A82846" w:rsidRPr="00A82846">
        <w:rPr>
          <w:i/>
          <w:sz w:val="28"/>
        </w:rPr>
        <w:t>Kol</w:t>
      </w:r>
      <w:r w:rsidR="00BF5972">
        <w:rPr>
          <w:i/>
          <w:sz w:val="28"/>
        </w:rPr>
        <w:t xml:space="preserve"> </w:t>
      </w:r>
      <w:r w:rsidR="00A82846" w:rsidRPr="00A82846">
        <w:rPr>
          <w:i/>
          <w:sz w:val="28"/>
        </w:rPr>
        <w:t>Nidrei</w:t>
      </w:r>
      <w:r w:rsidR="00A82846">
        <w:rPr>
          <w:sz w:val="28"/>
        </w:rPr>
        <w:t>), which takes place at sunset on the previous day, the morning service, the additional service, the afternoon</w:t>
      </w:r>
      <w:r w:rsidR="00FF2927">
        <w:rPr>
          <w:sz w:val="28"/>
        </w:rPr>
        <w:t xml:space="preserve"> </w:t>
      </w:r>
      <w:r w:rsidR="00A82846">
        <w:rPr>
          <w:sz w:val="28"/>
        </w:rPr>
        <w:t xml:space="preserve">service, and the </w:t>
      </w:r>
      <w:r w:rsidR="00A82846">
        <w:rPr>
          <w:i/>
          <w:sz w:val="28"/>
        </w:rPr>
        <w:t>Ne’ilah</w:t>
      </w:r>
      <w:r w:rsidR="00BF5972">
        <w:rPr>
          <w:i/>
          <w:sz w:val="28"/>
        </w:rPr>
        <w:t xml:space="preserve"> </w:t>
      </w:r>
      <w:r w:rsidR="00A82846">
        <w:rPr>
          <w:sz w:val="28"/>
        </w:rPr>
        <w:t>service, which ta</w:t>
      </w:r>
      <w:r w:rsidR="00A33BAD">
        <w:rPr>
          <w:sz w:val="28"/>
        </w:rPr>
        <w:t>kes place at sundown</w:t>
      </w:r>
      <w:r w:rsidR="0054700B">
        <w:rPr>
          <w:sz w:val="28"/>
        </w:rPr>
        <w:t>.</w:t>
      </w:r>
      <w:r w:rsidR="0054700B">
        <w:rPr>
          <w:rStyle w:val="FootnoteReference"/>
          <w:sz w:val="28"/>
        </w:rPr>
        <w:footnoteReference w:id="8"/>
      </w:r>
    </w:p>
    <w:p w:rsidR="00A17512" w:rsidRPr="00A17512" w:rsidRDefault="00A17512" w:rsidP="00A82846">
      <w:pPr>
        <w:rPr>
          <w:sz w:val="28"/>
          <w:u w:val="single"/>
        </w:rPr>
      </w:pPr>
      <w:r>
        <w:rPr>
          <w:sz w:val="28"/>
          <w:u w:val="single"/>
        </w:rPr>
        <w:t>Important Services</w:t>
      </w:r>
    </w:p>
    <w:p w:rsidR="00A17512" w:rsidRDefault="007908F0" w:rsidP="00EB0880">
      <w:pPr>
        <w:rPr>
          <w:sz w:val="28"/>
        </w:rPr>
      </w:pPr>
      <w:r>
        <w:rPr>
          <w:sz w:val="28"/>
        </w:rPr>
        <w:t xml:space="preserve">The first service of Yom Kippur is known as </w:t>
      </w:r>
      <w:r w:rsidRPr="007908F0">
        <w:rPr>
          <w:i/>
          <w:sz w:val="28"/>
        </w:rPr>
        <w:t>Kol</w:t>
      </w:r>
      <w:r w:rsidR="00BF5972">
        <w:rPr>
          <w:i/>
          <w:sz w:val="28"/>
        </w:rPr>
        <w:t xml:space="preserve"> </w:t>
      </w:r>
      <w:r w:rsidRPr="007908F0">
        <w:rPr>
          <w:i/>
          <w:sz w:val="28"/>
        </w:rPr>
        <w:t>Nidrei</w:t>
      </w:r>
      <w:r>
        <w:rPr>
          <w:sz w:val="28"/>
        </w:rPr>
        <w:t xml:space="preserve">; it is performed just before the onset of Yom Kippur. </w:t>
      </w:r>
      <w:r>
        <w:rPr>
          <w:i/>
          <w:sz w:val="28"/>
        </w:rPr>
        <w:t>Kol</w:t>
      </w:r>
      <w:r w:rsidR="00BF5972">
        <w:rPr>
          <w:i/>
          <w:sz w:val="28"/>
        </w:rPr>
        <w:t xml:space="preserve"> </w:t>
      </w:r>
      <w:r>
        <w:rPr>
          <w:i/>
          <w:sz w:val="28"/>
        </w:rPr>
        <w:t>Nidrei</w:t>
      </w:r>
      <w:r w:rsidR="00BF5972">
        <w:rPr>
          <w:i/>
          <w:sz w:val="28"/>
        </w:rPr>
        <w:t xml:space="preserve"> </w:t>
      </w:r>
      <w:r w:rsidR="001A4268">
        <w:rPr>
          <w:sz w:val="28"/>
        </w:rPr>
        <w:t>i</w:t>
      </w:r>
      <w:r>
        <w:rPr>
          <w:sz w:val="28"/>
        </w:rPr>
        <w:t>s known as the ‘declaration for the annulment of vows’; it symbolises the absolution of past promises that were not fulfilled and the desire to avoid creating un-kept promises in the future.</w:t>
      </w:r>
      <w:r w:rsidR="00D71255">
        <w:rPr>
          <w:i/>
          <w:sz w:val="28"/>
        </w:rPr>
        <w:t xml:space="preserve"> </w:t>
      </w:r>
      <w:r>
        <w:rPr>
          <w:i/>
          <w:sz w:val="28"/>
        </w:rPr>
        <w:t>Kol</w:t>
      </w:r>
      <w:r w:rsidR="00BF5972">
        <w:rPr>
          <w:i/>
          <w:sz w:val="28"/>
        </w:rPr>
        <w:t xml:space="preserve"> </w:t>
      </w:r>
      <w:r>
        <w:rPr>
          <w:i/>
          <w:sz w:val="28"/>
        </w:rPr>
        <w:t>Nidrei</w:t>
      </w:r>
      <w:r w:rsidR="00BF5972">
        <w:rPr>
          <w:i/>
          <w:sz w:val="28"/>
        </w:rPr>
        <w:t xml:space="preserve"> </w:t>
      </w:r>
      <w:r>
        <w:rPr>
          <w:sz w:val="28"/>
        </w:rPr>
        <w:t>is an important service due to the fact that the Torah places great importance on keeping vows; it teaches that one of the worst sins is to break an oath</w:t>
      </w:r>
      <w:r w:rsidR="0054700B">
        <w:rPr>
          <w:sz w:val="28"/>
        </w:rPr>
        <w:t>.</w:t>
      </w:r>
      <w:r w:rsidR="0054700B">
        <w:rPr>
          <w:rStyle w:val="FootnoteReference"/>
          <w:sz w:val="28"/>
        </w:rPr>
        <w:footnoteReference w:id="9"/>
      </w:r>
      <w:r w:rsidR="00F3317A">
        <w:rPr>
          <w:sz w:val="28"/>
        </w:rPr>
        <w:t xml:space="preserve"> The focus of all of the services on Yom Kippur, but particularly the additional service, is seeking forgiveness for sins committed against God. Recitations of confessions for sins (</w:t>
      </w:r>
      <w:r w:rsidR="00F3317A">
        <w:rPr>
          <w:i/>
          <w:sz w:val="28"/>
        </w:rPr>
        <w:t>vidui</w:t>
      </w:r>
      <w:r w:rsidR="00F3317A">
        <w:rPr>
          <w:sz w:val="28"/>
        </w:rPr>
        <w:t xml:space="preserve">) are repeated throughout the day; along with pleas for divine mercy. These confessions are expressed in plural form. Throughout the day the congregation unites in saying “we have trespassed, we have dealt treacherously, we have stolen, we have spoken slander and done wickedly” and so on; the confession is ended by saying “oh </w:t>
      </w:r>
      <w:r w:rsidR="00F3317A">
        <w:rPr>
          <w:sz w:val="28"/>
        </w:rPr>
        <w:lastRenderedPageBreak/>
        <w:t>may it be acceptable in thy presence, O Eternal, our God, and the God of our Fathers, to be pardoned</w:t>
      </w:r>
      <w:r w:rsidR="00FE1C58">
        <w:rPr>
          <w:sz w:val="28"/>
        </w:rPr>
        <w:t xml:space="preserve"> of</w:t>
      </w:r>
      <w:r w:rsidR="00F3317A">
        <w:rPr>
          <w:sz w:val="28"/>
        </w:rPr>
        <w:t xml:space="preserve"> all our sins”</w:t>
      </w:r>
      <w:r w:rsidR="0054700B">
        <w:rPr>
          <w:sz w:val="28"/>
        </w:rPr>
        <w:t>.</w:t>
      </w:r>
      <w:r w:rsidR="0054700B">
        <w:rPr>
          <w:rStyle w:val="FootnoteReference"/>
          <w:sz w:val="28"/>
        </w:rPr>
        <w:footnoteReference w:id="10"/>
      </w:r>
      <w:r w:rsidR="00F3317A">
        <w:rPr>
          <w:sz w:val="28"/>
        </w:rPr>
        <w:t xml:space="preserve"> The additional service, however, also includes a section of silent prayer, so that members of the congregation can make personal appeals to God asking for forgiveness. However, repentance and confession of sins on Yom Kippur can only atone for sins </w:t>
      </w:r>
      <w:r w:rsidR="00A17512">
        <w:rPr>
          <w:sz w:val="28"/>
        </w:rPr>
        <w:t>against God. Thus, sins committed against another person can only be atoned once forgiveness has been sought from the person who was wronged. Jews are expected to have achieved forgiveness with those whom they have wronged throughout the year by the eve of Yom K</w:t>
      </w:r>
      <w:r w:rsidR="004958F8">
        <w:rPr>
          <w:sz w:val="28"/>
        </w:rPr>
        <w:t xml:space="preserve">ippur; </w:t>
      </w:r>
      <w:r w:rsidR="00A17512">
        <w:rPr>
          <w:sz w:val="28"/>
        </w:rPr>
        <w:t>during the ‘Ten Days of Repentance’ after Rosh Hashanah.</w:t>
      </w:r>
      <w:r w:rsidR="008E370E">
        <w:rPr>
          <w:rStyle w:val="FootnoteReference"/>
          <w:sz w:val="28"/>
        </w:rPr>
        <w:footnoteReference w:id="11"/>
      </w:r>
    </w:p>
    <w:p w:rsidR="00A17512" w:rsidRPr="0017479E" w:rsidRDefault="00A17512" w:rsidP="00EB0880">
      <w:pPr>
        <w:rPr>
          <w:sz w:val="28"/>
        </w:rPr>
      </w:pPr>
      <w:r>
        <w:rPr>
          <w:sz w:val="28"/>
        </w:rPr>
        <w:t xml:space="preserve">The final service of Yom Kippur is known as </w:t>
      </w:r>
      <w:r>
        <w:rPr>
          <w:i/>
          <w:sz w:val="28"/>
        </w:rPr>
        <w:t>Ni’lah</w:t>
      </w:r>
      <w:r>
        <w:rPr>
          <w:sz w:val="28"/>
        </w:rPr>
        <w:t xml:space="preserve">. This service occurs at twilight on the evening of Yom Kippur. The word </w:t>
      </w:r>
      <w:r>
        <w:rPr>
          <w:i/>
          <w:sz w:val="28"/>
        </w:rPr>
        <w:t>Ni’lah</w:t>
      </w:r>
      <w:r w:rsidR="00BF5972">
        <w:rPr>
          <w:i/>
          <w:sz w:val="28"/>
        </w:rPr>
        <w:t xml:space="preserve"> </w:t>
      </w:r>
      <w:r>
        <w:rPr>
          <w:sz w:val="28"/>
        </w:rPr>
        <w:t>means ‘closing’; it has been interpreted to mean the closing of the gates of heaven</w:t>
      </w:r>
      <w:r w:rsidR="00F93CC4">
        <w:rPr>
          <w:sz w:val="28"/>
        </w:rPr>
        <w:t>.</w:t>
      </w:r>
      <w:r w:rsidR="00F93CC4">
        <w:rPr>
          <w:rStyle w:val="FootnoteReference"/>
          <w:sz w:val="28"/>
        </w:rPr>
        <w:footnoteReference w:id="12"/>
      </w:r>
      <w:r>
        <w:rPr>
          <w:sz w:val="28"/>
        </w:rPr>
        <w:t xml:space="preserve"> In this moment</w:t>
      </w:r>
      <w:r w:rsidR="0017479E">
        <w:rPr>
          <w:sz w:val="28"/>
        </w:rPr>
        <w:t xml:space="preserve"> the closing prayers of Yo</w:t>
      </w:r>
      <w:r w:rsidR="006C2E0E">
        <w:rPr>
          <w:sz w:val="28"/>
        </w:rPr>
        <w:t>m Kippur are recited</w:t>
      </w:r>
      <w:r w:rsidR="0017479E">
        <w:rPr>
          <w:sz w:val="28"/>
        </w:rPr>
        <w:t xml:space="preserve"> and</w:t>
      </w:r>
      <w:r>
        <w:rPr>
          <w:sz w:val="28"/>
        </w:rPr>
        <w:t xml:space="preserve"> Jews have the final opportunity to ask for forgiveness wholeheartedly and plead for a</w:t>
      </w:r>
      <w:r w:rsidR="001A4268">
        <w:rPr>
          <w:sz w:val="28"/>
        </w:rPr>
        <w:t xml:space="preserve"> good year. The congregation then recites</w:t>
      </w:r>
      <w:bookmarkStart w:id="0" w:name="_GoBack"/>
      <w:bookmarkEnd w:id="0"/>
      <w:r w:rsidR="00BF5972">
        <w:rPr>
          <w:sz w:val="28"/>
        </w:rPr>
        <w:t xml:space="preserve"> </w:t>
      </w:r>
      <w:r w:rsidR="0017479E">
        <w:rPr>
          <w:sz w:val="28"/>
        </w:rPr>
        <w:t xml:space="preserve">“the Lord is our God” seven times. The </w:t>
      </w:r>
      <w:r w:rsidR="0017479E" w:rsidRPr="0017479E">
        <w:rPr>
          <w:i/>
          <w:sz w:val="28"/>
        </w:rPr>
        <w:t xml:space="preserve">shofar </w:t>
      </w:r>
      <w:r w:rsidR="0017479E">
        <w:rPr>
          <w:sz w:val="28"/>
        </w:rPr>
        <w:t xml:space="preserve">(ram’s horn) is then blown and the congregation recites </w:t>
      </w:r>
      <w:r w:rsidR="0017479E" w:rsidRPr="0017479E">
        <w:rPr>
          <w:rStyle w:val="tgc"/>
          <w:i/>
          <w:sz w:val="28"/>
          <w:szCs w:val="28"/>
        </w:rPr>
        <w:t>L'Shana</w:t>
      </w:r>
      <w:r w:rsidR="00BF5972">
        <w:rPr>
          <w:rStyle w:val="tgc"/>
          <w:i/>
          <w:sz w:val="28"/>
          <w:szCs w:val="28"/>
        </w:rPr>
        <w:t xml:space="preserve"> </w:t>
      </w:r>
      <w:r w:rsidR="0017479E" w:rsidRPr="0017479E">
        <w:rPr>
          <w:rStyle w:val="tgc"/>
          <w:i/>
          <w:sz w:val="28"/>
          <w:szCs w:val="28"/>
        </w:rPr>
        <w:t>Haba'ah</w:t>
      </w:r>
      <w:r w:rsidR="00BF5972">
        <w:rPr>
          <w:rStyle w:val="tgc"/>
          <w:i/>
          <w:sz w:val="28"/>
          <w:szCs w:val="28"/>
        </w:rPr>
        <w:t xml:space="preserve"> </w:t>
      </w:r>
      <w:r w:rsidR="0017479E" w:rsidRPr="0017479E">
        <w:rPr>
          <w:rStyle w:val="tgc"/>
          <w:i/>
          <w:sz w:val="28"/>
          <w:szCs w:val="28"/>
        </w:rPr>
        <w:t>B'Yerushalayim</w:t>
      </w:r>
      <w:r w:rsidR="0017479E">
        <w:rPr>
          <w:rStyle w:val="tgc"/>
          <w:sz w:val="28"/>
          <w:szCs w:val="28"/>
        </w:rPr>
        <w:t xml:space="preserve"> (‘Next Year in Jerusalem’).</w:t>
      </w:r>
      <w:r w:rsidR="00EF6A91">
        <w:rPr>
          <w:rStyle w:val="FootnoteReference"/>
          <w:sz w:val="28"/>
          <w:szCs w:val="28"/>
        </w:rPr>
        <w:footnoteReference w:id="13"/>
      </w:r>
      <w:r w:rsidR="0017479E">
        <w:rPr>
          <w:rStyle w:val="tgc"/>
          <w:sz w:val="28"/>
          <w:szCs w:val="28"/>
        </w:rPr>
        <w:t xml:space="preserve"> The congregation then exchange good wishes for the N</w:t>
      </w:r>
      <w:r w:rsidR="00F83978">
        <w:rPr>
          <w:rStyle w:val="tgc"/>
          <w:sz w:val="28"/>
          <w:szCs w:val="28"/>
        </w:rPr>
        <w:t>ew Year, before</w:t>
      </w:r>
      <w:r w:rsidR="0017479E">
        <w:rPr>
          <w:rStyle w:val="tgc"/>
          <w:sz w:val="28"/>
          <w:szCs w:val="28"/>
        </w:rPr>
        <w:t xml:space="preserve"> venturing home.</w:t>
      </w:r>
    </w:p>
    <w:p w:rsidR="0017479E" w:rsidRDefault="00037066" w:rsidP="00EB0880">
      <w:pPr>
        <w:rPr>
          <w:sz w:val="28"/>
          <w:u w:val="single"/>
        </w:rPr>
      </w:pPr>
      <w:r>
        <w:rPr>
          <w:sz w:val="28"/>
          <w:u w:val="single"/>
        </w:rPr>
        <w:t>Significance of the festival of Yom Kippur</w:t>
      </w:r>
    </w:p>
    <w:p w:rsidR="00B66420" w:rsidRDefault="00037066" w:rsidP="00037066">
      <w:pPr>
        <w:rPr>
          <w:sz w:val="28"/>
        </w:rPr>
      </w:pPr>
      <w:r>
        <w:rPr>
          <w:sz w:val="28"/>
        </w:rPr>
        <w:t xml:space="preserve">The main purpose of the festival of Yom Kippur is, therefore, to cleanse oneself from the sins of the previous year in order to begin the New Year with a fresh and clean slate. </w:t>
      </w:r>
      <w:r w:rsidR="00DE6679">
        <w:rPr>
          <w:sz w:val="28"/>
        </w:rPr>
        <w:t>The liturgy of the synagogue services on Yom Kippur focus</w:t>
      </w:r>
      <w:r w:rsidR="004958F8">
        <w:rPr>
          <w:sz w:val="28"/>
        </w:rPr>
        <w:t>es</w:t>
      </w:r>
      <w:r w:rsidR="00DE6679">
        <w:rPr>
          <w:sz w:val="28"/>
        </w:rPr>
        <w:t xml:space="preserve"> on repentance and forgiveness of sins. The aim of the services on Yom Kippur, particularly the confession of sins and repentance, is to prepare all Jews for the final judgement in which</w:t>
      </w:r>
      <w:r w:rsidR="004958F8">
        <w:rPr>
          <w:sz w:val="28"/>
        </w:rPr>
        <w:t xml:space="preserve"> Jews believe that</w:t>
      </w:r>
      <w:r w:rsidR="00DE6679">
        <w:rPr>
          <w:sz w:val="28"/>
        </w:rPr>
        <w:t xml:space="preserve"> God decides, based on one’s actions, who will have a good year and who will have a bad year, and who will live and who will die. However, </w:t>
      </w:r>
      <w:r w:rsidR="00B66420">
        <w:rPr>
          <w:sz w:val="28"/>
        </w:rPr>
        <w:t>despite this intense and stern imagery of final judgement, there is a joyous tone to Yom Kippur. As Eliezer Segal</w:t>
      </w:r>
      <w:r w:rsidR="00F93CC4">
        <w:rPr>
          <w:rStyle w:val="FootnoteReference"/>
          <w:sz w:val="28"/>
        </w:rPr>
        <w:footnoteReference w:id="14"/>
      </w:r>
      <w:r w:rsidR="00B66420">
        <w:rPr>
          <w:sz w:val="28"/>
        </w:rPr>
        <w:t xml:space="preserve"> says: </w:t>
      </w:r>
    </w:p>
    <w:p w:rsidR="004B013C" w:rsidRDefault="00B66420" w:rsidP="004B013C">
      <w:pPr>
        <w:ind w:left="720" w:right="1304"/>
        <w:rPr>
          <w:sz w:val="28"/>
        </w:rPr>
      </w:pPr>
      <w:r>
        <w:rPr>
          <w:sz w:val="28"/>
        </w:rPr>
        <w:lastRenderedPageBreak/>
        <w:t>[Yom Kippur] reflects the profound confidence that God is, after all, a merciful and loving parent who can be relied upon to grant forgiveness. Thus, the worshippers should emerge from the intense experience with the feeling that they have been spiritually and morally cleansed and are ready to fac</w:t>
      </w:r>
      <w:r w:rsidR="004B013C">
        <w:rPr>
          <w:sz w:val="28"/>
        </w:rPr>
        <w:t>e the New Year with confidence.</w:t>
      </w:r>
    </w:p>
    <w:p w:rsidR="00037066" w:rsidRDefault="004B013C" w:rsidP="004B013C">
      <w:pPr>
        <w:ind w:right="170"/>
        <w:rPr>
          <w:sz w:val="28"/>
        </w:rPr>
      </w:pPr>
      <w:r>
        <w:rPr>
          <w:sz w:val="28"/>
        </w:rPr>
        <w:t>Therefore</w:t>
      </w:r>
      <w:r w:rsidR="00B66420">
        <w:rPr>
          <w:sz w:val="28"/>
        </w:rPr>
        <w:t>, Yom Kippur is also significant</w:t>
      </w:r>
      <w:r w:rsidR="00E77562">
        <w:rPr>
          <w:sz w:val="28"/>
        </w:rPr>
        <w:t xml:space="preserve"> to Jews</w:t>
      </w:r>
      <w:r w:rsidR="00B66420">
        <w:rPr>
          <w:sz w:val="28"/>
        </w:rPr>
        <w:t xml:space="preserve"> because it revives the close relationship between the individual and God. The experience of Yom Kippur encourages Jews to trust God; to trust that he will be merciful in delivering </w:t>
      </w:r>
      <w:r>
        <w:rPr>
          <w:sz w:val="28"/>
        </w:rPr>
        <w:t>judgement upon them. Furthermore</w:t>
      </w:r>
      <w:r w:rsidR="00B66420">
        <w:rPr>
          <w:sz w:val="28"/>
        </w:rPr>
        <w:t xml:space="preserve">, </w:t>
      </w:r>
      <w:r w:rsidR="00E77562">
        <w:rPr>
          <w:sz w:val="28"/>
        </w:rPr>
        <w:t>Yom Kippur also brings the individ</w:t>
      </w:r>
      <w:r>
        <w:rPr>
          <w:sz w:val="28"/>
        </w:rPr>
        <w:t>ual Jew closer to God as on</w:t>
      </w:r>
      <w:r w:rsidR="00E77562">
        <w:rPr>
          <w:sz w:val="28"/>
        </w:rPr>
        <w:t xml:space="preserve"> Yom Kippur </w:t>
      </w:r>
      <w:r>
        <w:rPr>
          <w:sz w:val="28"/>
        </w:rPr>
        <w:t>Jews are cleansed of their sins.</w:t>
      </w:r>
      <w:r w:rsidR="00E77562">
        <w:rPr>
          <w:sz w:val="28"/>
        </w:rPr>
        <w:t xml:space="preserve"> Jews believe that through sin people move away from God and can only enter into a close relationship with God once again when these sins have been forgiven.</w:t>
      </w:r>
    </w:p>
    <w:p w:rsidR="00BF5972" w:rsidRDefault="00BF5972" w:rsidP="00F93CC4">
      <w:pPr>
        <w:pBdr>
          <w:bottom w:val="single" w:sz="12" w:space="1" w:color="auto"/>
        </w:pBdr>
        <w:rPr>
          <w:b/>
          <w:sz w:val="24"/>
          <w:u w:val="single"/>
        </w:rPr>
      </w:pPr>
    </w:p>
    <w:p w:rsidR="00F93CC4" w:rsidRPr="00251216" w:rsidRDefault="00F93CC4" w:rsidP="00F93CC4">
      <w:pPr>
        <w:rPr>
          <w:b/>
          <w:sz w:val="24"/>
          <w:u w:val="single"/>
        </w:rPr>
      </w:pPr>
      <w:r w:rsidRPr="00251216">
        <w:rPr>
          <w:b/>
          <w:sz w:val="24"/>
          <w:u w:val="single"/>
        </w:rPr>
        <w:t>Images</w:t>
      </w:r>
    </w:p>
    <w:p w:rsidR="00F93CC4" w:rsidRDefault="00F93CC4" w:rsidP="00F93CC4">
      <w:pPr>
        <w:rPr>
          <w:sz w:val="24"/>
        </w:rPr>
      </w:pPr>
      <w:r>
        <w:rPr>
          <w:sz w:val="24"/>
        </w:rPr>
        <w:t xml:space="preserve">Figure 1 – Bindi Seth, </w:t>
      </w:r>
      <w:r w:rsidRPr="00F93CC4">
        <w:rPr>
          <w:i/>
          <w:sz w:val="24"/>
        </w:rPr>
        <w:t>Yom Kippur – Synagogue Draped in White</w:t>
      </w:r>
      <w:r>
        <w:rPr>
          <w:i/>
          <w:sz w:val="24"/>
        </w:rPr>
        <w:t xml:space="preserve">, </w:t>
      </w:r>
      <w:r>
        <w:rPr>
          <w:sz w:val="24"/>
        </w:rPr>
        <w:t xml:space="preserve">(2014) available at: </w:t>
      </w:r>
      <w:hyperlink r:id="rId8" w:history="1">
        <w:r w:rsidRPr="00F160CB">
          <w:rPr>
            <w:rStyle w:val="Hyperlink"/>
            <w:sz w:val="24"/>
          </w:rPr>
          <w:t>http://tasveerjournal.com/2014/08/13/i-am-a-seed-of-the-tree</w:t>
        </w:r>
      </w:hyperlink>
      <w:r>
        <w:rPr>
          <w:sz w:val="24"/>
        </w:rPr>
        <w:t xml:space="preserve"> [accessed 17 October 2017]</w:t>
      </w:r>
    </w:p>
    <w:p w:rsidR="00F93CC4" w:rsidRDefault="00F93CC4" w:rsidP="00EB0880">
      <w:pPr>
        <w:rPr>
          <w:b/>
          <w:sz w:val="24"/>
          <w:u w:val="single"/>
        </w:rPr>
      </w:pPr>
      <w:r>
        <w:rPr>
          <w:b/>
          <w:sz w:val="24"/>
          <w:u w:val="single"/>
        </w:rPr>
        <w:t>Bibliography</w:t>
      </w:r>
    </w:p>
    <w:p w:rsidR="005B4388" w:rsidRPr="005B4388" w:rsidRDefault="005B4388" w:rsidP="00EB0880">
      <w:pPr>
        <w:rPr>
          <w:sz w:val="24"/>
        </w:rPr>
      </w:pPr>
      <w:r>
        <w:rPr>
          <w:sz w:val="24"/>
        </w:rPr>
        <w:t xml:space="preserve">Black, Naomis, ed., </w:t>
      </w:r>
      <w:r>
        <w:rPr>
          <w:i/>
          <w:sz w:val="24"/>
        </w:rPr>
        <w:t xml:space="preserve">Celebration: The Book of Jewish Festivals </w:t>
      </w:r>
      <w:r>
        <w:rPr>
          <w:sz w:val="24"/>
        </w:rPr>
        <w:t>(New York: Jonathan David Publishers, 1987)</w:t>
      </w:r>
    </w:p>
    <w:p w:rsidR="005B4388" w:rsidRPr="005B4388" w:rsidRDefault="005B4388" w:rsidP="00EB0880">
      <w:pPr>
        <w:rPr>
          <w:sz w:val="24"/>
        </w:rPr>
      </w:pPr>
      <w:r>
        <w:rPr>
          <w:sz w:val="24"/>
        </w:rPr>
        <w:t xml:space="preserve">Burnet, William, ‘The Day of Atonement as Observed by the Modern Jews’, in </w:t>
      </w:r>
      <w:r>
        <w:rPr>
          <w:i/>
          <w:sz w:val="24"/>
        </w:rPr>
        <w:t xml:space="preserve">Quiver, </w:t>
      </w:r>
      <w:r>
        <w:rPr>
          <w:sz w:val="24"/>
        </w:rPr>
        <w:t>(1888), 803-805 &lt;</w:t>
      </w:r>
      <w:hyperlink r:id="rId9" w:history="1">
        <w:r w:rsidRPr="00F160CB">
          <w:rPr>
            <w:rStyle w:val="Hyperlink"/>
            <w:sz w:val="24"/>
          </w:rPr>
          <w:t>https://search-proquest-com.ezproxy.uwtsd.ac.uk/docview/3840277</w:t>
        </w:r>
      </w:hyperlink>
      <w:r>
        <w:rPr>
          <w:sz w:val="24"/>
        </w:rPr>
        <w:t>&gt;</w:t>
      </w:r>
    </w:p>
    <w:p w:rsidR="005B4388" w:rsidRDefault="005B4388" w:rsidP="00EB0880">
      <w:pPr>
        <w:rPr>
          <w:sz w:val="24"/>
        </w:rPr>
      </w:pPr>
      <w:r>
        <w:rPr>
          <w:sz w:val="24"/>
        </w:rPr>
        <w:t xml:space="preserve">Cohn-Sherbok, Dan, </w:t>
      </w:r>
      <w:r>
        <w:rPr>
          <w:i/>
          <w:sz w:val="24"/>
        </w:rPr>
        <w:t xml:space="preserve">The Jewish Faith </w:t>
      </w:r>
      <w:r>
        <w:rPr>
          <w:sz w:val="24"/>
        </w:rPr>
        <w:t>(London: SPCK, 1993)</w:t>
      </w:r>
    </w:p>
    <w:p w:rsidR="005B4388" w:rsidRPr="005B4388" w:rsidRDefault="005B4388" w:rsidP="00EB0880">
      <w:pPr>
        <w:rPr>
          <w:sz w:val="24"/>
        </w:rPr>
      </w:pPr>
      <w:r>
        <w:rPr>
          <w:sz w:val="24"/>
        </w:rPr>
        <w:t xml:space="preserve">Jacobs, Louis, </w:t>
      </w:r>
      <w:r>
        <w:rPr>
          <w:i/>
          <w:sz w:val="24"/>
        </w:rPr>
        <w:t xml:space="preserve">A Concise Companion to Jewish Religion </w:t>
      </w:r>
      <w:r>
        <w:rPr>
          <w:sz w:val="24"/>
        </w:rPr>
        <w:t>(Oxford: Oxford University Press, 1999)</w:t>
      </w:r>
    </w:p>
    <w:p w:rsidR="00F93CC4" w:rsidRDefault="00F93CC4" w:rsidP="00EB0880">
      <w:pPr>
        <w:rPr>
          <w:sz w:val="24"/>
        </w:rPr>
      </w:pPr>
      <w:r>
        <w:rPr>
          <w:sz w:val="24"/>
        </w:rPr>
        <w:t xml:space="preserve">Lachs, Samuel T., and Saul P. Wachs, </w:t>
      </w:r>
      <w:r>
        <w:rPr>
          <w:i/>
          <w:sz w:val="24"/>
        </w:rPr>
        <w:t xml:space="preserve">Judaism </w:t>
      </w:r>
      <w:r>
        <w:rPr>
          <w:sz w:val="24"/>
        </w:rPr>
        <w:t>(Illnois: Argus Communications, 1979)</w:t>
      </w:r>
    </w:p>
    <w:p w:rsidR="005B4388" w:rsidRPr="005B4388" w:rsidRDefault="005B4388" w:rsidP="00F93CC4">
      <w:pPr>
        <w:rPr>
          <w:sz w:val="24"/>
        </w:rPr>
      </w:pPr>
      <w:r>
        <w:rPr>
          <w:sz w:val="24"/>
        </w:rPr>
        <w:t xml:space="preserve">Schauss, Hayyim, </w:t>
      </w:r>
      <w:r>
        <w:rPr>
          <w:i/>
          <w:sz w:val="24"/>
        </w:rPr>
        <w:t xml:space="preserve">The Jewish Festivals </w:t>
      </w:r>
      <w:r>
        <w:rPr>
          <w:sz w:val="24"/>
        </w:rPr>
        <w:t>(London: Jewish Chronicle Publications, 1986)</w:t>
      </w:r>
    </w:p>
    <w:p w:rsidR="00F93CC4" w:rsidRDefault="00F93CC4" w:rsidP="00F93CC4">
      <w:pPr>
        <w:rPr>
          <w:sz w:val="24"/>
        </w:rPr>
      </w:pPr>
      <w:r>
        <w:rPr>
          <w:sz w:val="24"/>
        </w:rPr>
        <w:t xml:space="preserve">Segal, Eliezer, </w:t>
      </w:r>
      <w:r>
        <w:rPr>
          <w:i/>
          <w:sz w:val="24"/>
        </w:rPr>
        <w:t xml:space="preserve">Introducing Judaism </w:t>
      </w:r>
      <w:r>
        <w:rPr>
          <w:sz w:val="24"/>
        </w:rPr>
        <w:t>(Oxon: Routledge, 2009)</w:t>
      </w:r>
    </w:p>
    <w:p w:rsidR="00F76613" w:rsidRPr="00FF7805" w:rsidRDefault="005B4388" w:rsidP="00F76613">
      <w:pPr>
        <w:rPr>
          <w:sz w:val="24"/>
        </w:rPr>
      </w:pPr>
      <w:r>
        <w:rPr>
          <w:sz w:val="24"/>
        </w:rPr>
        <w:t xml:space="preserve">Woodward, Peter, Riadh El-Droubie and Cherry Gould, ed., </w:t>
      </w:r>
      <w:r>
        <w:rPr>
          <w:i/>
          <w:sz w:val="24"/>
        </w:rPr>
        <w:t xml:space="preserve">Festivals in World Religions </w:t>
      </w:r>
      <w:r>
        <w:rPr>
          <w:sz w:val="24"/>
        </w:rPr>
        <w:t>(Norfolk: Shap Working Party, 1998)</w:t>
      </w:r>
    </w:p>
    <w:sectPr w:rsidR="00F76613" w:rsidRPr="00FF7805" w:rsidSect="00B54D6A">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A6001" w:rsidRDefault="006A6001" w:rsidP="00DE4BDE">
      <w:pPr>
        <w:spacing w:after="0" w:line="240" w:lineRule="auto"/>
      </w:pPr>
      <w:r>
        <w:separator/>
      </w:r>
    </w:p>
  </w:endnote>
  <w:endnote w:type="continuationSeparator" w:id="1">
    <w:p w:rsidR="006A6001" w:rsidRDefault="006A6001" w:rsidP="00DE4BD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A6001" w:rsidRDefault="006A6001" w:rsidP="00DE4BDE">
      <w:pPr>
        <w:spacing w:after="0" w:line="240" w:lineRule="auto"/>
      </w:pPr>
      <w:r>
        <w:separator/>
      </w:r>
    </w:p>
  </w:footnote>
  <w:footnote w:type="continuationSeparator" w:id="1">
    <w:p w:rsidR="006A6001" w:rsidRDefault="006A6001" w:rsidP="00DE4BDE">
      <w:pPr>
        <w:spacing w:after="0" w:line="240" w:lineRule="auto"/>
      </w:pPr>
      <w:r>
        <w:continuationSeparator/>
      </w:r>
    </w:p>
  </w:footnote>
  <w:footnote w:id="2">
    <w:p w:rsidR="00DE4BDE" w:rsidRPr="00DE4BDE" w:rsidRDefault="00DE4BDE">
      <w:pPr>
        <w:pStyle w:val="FootnoteText"/>
      </w:pPr>
      <w:r>
        <w:rPr>
          <w:rStyle w:val="FootnoteReference"/>
        </w:rPr>
        <w:footnoteRef/>
      </w:r>
      <w:r>
        <w:t xml:space="preserve"> Louis Jacobs, </w:t>
      </w:r>
      <w:r>
        <w:rPr>
          <w:i/>
        </w:rPr>
        <w:t xml:space="preserve">A Concise Companion to Jewish Religion </w:t>
      </w:r>
      <w:r>
        <w:t>(Oxford: Oxford University Press, 1999), p.78.</w:t>
      </w:r>
    </w:p>
  </w:footnote>
  <w:footnote w:id="3">
    <w:p w:rsidR="00C043E2" w:rsidRPr="006E2349" w:rsidRDefault="00C043E2">
      <w:pPr>
        <w:pStyle w:val="FootnoteText"/>
      </w:pPr>
      <w:r>
        <w:rPr>
          <w:rStyle w:val="FootnoteReference"/>
        </w:rPr>
        <w:footnoteRef/>
      </w:r>
      <w:r>
        <w:t xml:space="preserve"> </w:t>
      </w:r>
      <w:r w:rsidR="006E2349">
        <w:t xml:space="preserve">Samuel T. Lachs and Saul P. Wachs, </w:t>
      </w:r>
      <w:r w:rsidR="006E2349">
        <w:rPr>
          <w:i/>
        </w:rPr>
        <w:t xml:space="preserve">Judaism </w:t>
      </w:r>
      <w:r w:rsidR="006E2349">
        <w:t>(Illinois: Argus Communications, 1979), p.85.</w:t>
      </w:r>
    </w:p>
  </w:footnote>
  <w:footnote w:id="4">
    <w:p w:rsidR="00496602" w:rsidRPr="00496602" w:rsidRDefault="00496602">
      <w:pPr>
        <w:pStyle w:val="FootnoteText"/>
      </w:pPr>
      <w:r>
        <w:rPr>
          <w:rStyle w:val="FootnoteReference"/>
        </w:rPr>
        <w:footnoteRef/>
      </w:r>
      <w:r>
        <w:t xml:space="preserve"> Dan Cohn-Sherbok, </w:t>
      </w:r>
      <w:r>
        <w:rPr>
          <w:i/>
        </w:rPr>
        <w:t xml:space="preserve">The Jewish Faith </w:t>
      </w:r>
      <w:r>
        <w:t>(London: SPCK, 1993), p.179.</w:t>
      </w:r>
    </w:p>
  </w:footnote>
  <w:footnote w:id="5">
    <w:p w:rsidR="00DE4BDE" w:rsidRPr="00DE4BDE" w:rsidRDefault="00DE4BDE">
      <w:pPr>
        <w:pStyle w:val="FootnoteText"/>
      </w:pPr>
      <w:r>
        <w:rPr>
          <w:rStyle w:val="FootnoteReference"/>
        </w:rPr>
        <w:footnoteRef/>
      </w:r>
      <w:r>
        <w:t xml:space="preserve"> Angela Wood and Hugo Gryn, ‘Jewish Festivals’, in </w:t>
      </w:r>
      <w:r>
        <w:rPr>
          <w:i/>
        </w:rPr>
        <w:t xml:space="preserve">Festivals in World Religions, </w:t>
      </w:r>
      <w:r>
        <w:t>ed. by Peter Woodward, Riadh El-Droubie and Cherry Gould (Norfolk: Shap Working Party, 1998), pp.90-109 (p.103).</w:t>
      </w:r>
    </w:p>
  </w:footnote>
  <w:footnote w:id="6">
    <w:p w:rsidR="00DE4BDE" w:rsidRPr="00DE4BDE" w:rsidRDefault="00DE4BDE">
      <w:pPr>
        <w:pStyle w:val="FootnoteText"/>
      </w:pPr>
      <w:r>
        <w:rPr>
          <w:rStyle w:val="FootnoteReference"/>
        </w:rPr>
        <w:footnoteRef/>
      </w:r>
      <w:r>
        <w:t xml:space="preserve"> Dan Cohn-Sherbok, </w:t>
      </w:r>
      <w:r w:rsidR="00E54E1B">
        <w:rPr>
          <w:i/>
        </w:rPr>
        <w:t>The Jewish Faith</w:t>
      </w:r>
      <w:r>
        <w:t>, p.178.</w:t>
      </w:r>
    </w:p>
  </w:footnote>
  <w:footnote w:id="7">
    <w:p w:rsidR="0054700B" w:rsidRPr="0054700B" w:rsidRDefault="0054700B">
      <w:pPr>
        <w:pStyle w:val="FootnoteText"/>
      </w:pPr>
      <w:r>
        <w:rPr>
          <w:rStyle w:val="FootnoteReference"/>
        </w:rPr>
        <w:footnoteRef/>
      </w:r>
      <w:r>
        <w:t xml:space="preserve"> Dan Cohn-Sherbok, </w:t>
      </w:r>
      <w:r>
        <w:rPr>
          <w:i/>
        </w:rPr>
        <w:t xml:space="preserve">The Jewish Faith, </w:t>
      </w:r>
      <w:r>
        <w:t>p.179.</w:t>
      </w:r>
    </w:p>
  </w:footnote>
  <w:footnote w:id="8">
    <w:p w:rsidR="0054700B" w:rsidRPr="0054700B" w:rsidRDefault="0054700B">
      <w:pPr>
        <w:pStyle w:val="FootnoteText"/>
      </w:pPr>
      <w:r>
        <w:rPr>
          <w:rStyle w:val="FootnoteReference"/>
        </w:rPr>
        <w:footnoteRef/>
      </w:r>
      <w:r>
        <w:t xml:space="preserve"> Samuel T. Lachs and Saul P. Wachs, </w:t>
      </w:r>
      <w:r w:rsidR="00AE1364">
        <w:rPr>
          <w:i/>
        </w:rPr>
        <w:t>Judaism</w:t>
      </w:r>
      <w:r>
        <w:t>, p.87.</w:t>
      </w:r>
    </w:p>
  </w:footnote>
  <w:footnote w:id="9">
    <w:p w:rsidR="0054700B" w:rsidRPr="0054700B" w:rsidRDefault="0054700B">
      <w:pPr>
        <w:pStyle w:val="FootnoteText"/>
      </w:pPr>
      <w:r>
        <w:rPr>
          <w:rStyle w:val="FootnoteReference"/>
        </w:rPr>
        <w:footnoteRef/>
      </w:r>
      <w:r>
        <w:t xml:space="preserve"> Yossi Prager, ‘Rosh Hashanah and Yom Kippur, in </w:t>
      </w:r>
      <w:r>
        <w:rPr>
          <w:i/>
        </w:rPr>
        <w:t>Celebration: The Book of Jewish Festivals</w:t>
      </w:r>
      <w:r>
        <w:t xml:space="preserve">, ed. by Naomi Black (New York: Jonathan David Publishers, 1987), pp.10-30 (p.16). </w:t>
      </w:r>
    </w:p>
  </w:footnote>
  <w:footnote w:id="10">
    <w:p w:rsidR="0054700B" w:rsidRPr="0054700B" w:rsidRDefault="0054700B">
      <w:pPr>
        <w:pStyle w:val="FootnoteText"/>
      </w:pPr>
      <w:r>
        <w:rPr>
          <w:rStyle w:val="FootnoteReference"/>
        </w:rPr>
        <w:footnoteRef/>
      </w:r>
      <w:r>
        <w:t xml:space="preserve"> William Burnett, ‘The Day of Atonement as Observed by the Modern Jews’, </w:t>
      </w:r>
      <w:r>
        <w:rPr>
          <w:i/>
        </w:rPr>
        <w:t xml:space="preserve">Quiver, </w:t>
      </w:r>
      <w:r>
        <w:t>(1888), 803-805 &lt;</w:t>
      </w:r>
      <w:r w:rsidRPr="005B4388">
        <w:rPr>
          <w:color w:val="0070C0"/>
          <w:u w:val="single"/>
        </w:rPr>
        <w:t>https://search-proquest-com.ezproxy.uwtsd.ac.uk/docview/3840277</w:t>
      </w:r>
      <w:r>
        <w:t xml:space="preserve">&gt; [accessed 6 October 2017] (p.804). </w:t>
      </w:r>
    </w:p>
  </w:footnote>
  <w:footnote w:id="11">
    <w:p w:rsidR="008E370E" w:rsidRPr="00420F66" w:rsidRDefault="008E370E">
      <w:pPr>
        <w:pStyle w:val="FootnoteText"/>
      </w:pPr>
      <w:r>
        <w:rPr>
          <w:rStyle w:val="FootnoteReference"/>
        </w:rPr>
        <w:footnoteRef/>
      </w:r>
      <w:r>
        <w:t xml:space="preserve"> </w:t>
      </w:r>
      <w:r w:rsidR="00420F66">
        <w:t xml:space="preserve">Samuel T. Lachs and Saul P. Wachs, </w:t>
      </w:r>
      <w:r w:rsidR="00420F66">
        <w:rPr>
          <w:i/>
        </w:rPr>
        <w:t xml:space="preserve">Judaism, </w:t>
      </w:r>
      <w:r w:rsidR="00420F66">
        <w:t>p.85.</w:t>
      </w:r>
    </w:p>
  </w:footnote>
  <w:footnote w:id="12">
    <w:p w:rsidR="00F93CC4" w:rsidRPr="00F93CC4" w:rsidRDefault="00F93CC4">
      <w:pPr>
        <w:pStyle w:val="FootnoteText"/>
      </w:pPr>
      <w:r>
        <w:rPr>
          <w:rStyle w:val="FootnoteReference"/>
        </w:rPr>
        <w:footnoteRef/>
      </w:r>
      <w:r>
        <w:t xml:space="preserve">HayyimSchauss, </w:t>
      </w:r>
      <w:r>
        <w:rPr>
          <w:i/>
        </w:rPr>
        <w:t xml:space="preserve">The Jewish Festivals </w:t>
      </w:r>
      <w:r>
        <w:t>(London: Jewish Chronicle Publications, 1986), p.154.</w:t>
      </w:r>
    </w:p>
  </w:footnote>
  <w:footnote w:id="13">
    <w:p w:rsidR="00EF6A91" w:rsidRPr="00EF6A91" w:rsidRDefault="00EF6A91">
      <w:pPr>
        <w:pStyle w:val="FootnoteText"/>
      </w:pPr>
      <w:r>
        <w:rPr>
          <w:rStyle w:val="FootnoteReference"/>
        </w:rPr>
        <w:footnoteRef/>
      </w:r>
      <w:r>
        <w:t xml:space="preserve"> Dan Cohn-Sherbok, </w:t>
      </w:r>
      <w:r>
        <w:rPr>
          <w:i/>
        </w:rPr>
        <w:t xml:space="preserve">The Jewish Faith, </w:t>
      </w:r>
      <w:r>
        <w:t>p.180.</w:t>
      </w:r>
    </w:p>
  </w:footnote>
  <w:footnote w:id="14">
    <w:p w:rsidR="00F93CC4" w:rsidRPr="00F93CC4" w:rsidRDefault="00F93CC4">
      <w:pPr>
        <w:pStyle w:val="FootnoteText"/>
      </w:pPr>
      <w:r>
        <w:rPr>
          <w:rStyle w:val="FootnoteReference"/>
        </w:rPr>
        <w:footnoteRef/>
      </w:r>
      <w:r>
        <w:t xml:space="preserve"> Eliezer Segal, </w:t>
      </w:r>
      <w:r>
        <w:rPr>
          <w:i/>
        </w:rPr>
        <w:t xml:space="preserve">Introducing Judaism </w:t>
      </w:r>
      <w:r>
        <w:t>(Oxon: Routledge, 2009), p.288.</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F76613"/>
    <w:rsid w:val="00023F82"/>
    <w:rsid w:val="00037066"/>
    <w:rsid w:val="000B7250"/>
    <w:rsid w:val="00103F20"/>
    <w:rsid w:val="0017479E"/>
    <w:rsid w:val="001A4268"/>
    <w:rsid w:val="001B7EA2"/>
    <w:rsid w:val="00420F66"/>
    <w:rsid w:val="00465550"/>
    <w:rsid w:val="004958F8"/>
    <w:rsid w:val="00496602"/>
    <w:rsid w:val="004B013C"/>
    <w:rsid w:val="004E1C4B"/>
    <w:rsid w:val="005137D4"/>
    <w:rsid w:val="00524264"/>
    <w:rsid w:val="0054700B"/>
    <w:rsid w:val="005973BF"/>
    <w:rsid w:val="005B3AFE"/>
    <w:rsid w:val="005B4388"/>
    <w:rsid w:val="006A6001"/>
    <w:rsid w:val="006B3CEB"/>
    <w:rsid w:val="006C2E0E"/>
    <w:rsid w:val="006E2349"/>
    <w:rsid w:val="007908F0"/>
    <w:rsid w:val="007A03E2"/>
    <w:rsid w:val="007B368E"/>
    <w:rsid w:val="007C26FB"/>
    <w:rsid w:val="008738AD"/>
    <w:rsid w:val="008E370E"/>
    <w:rsid w:val="00965E11"/>
    <w:rsid w:val="009C4D14"/>
    <w:rsid w:val="00A17512"/>
    <w:rsid w:val="00A33BAD"/>
    <w:rsid w:val="00A80157"/>
    <w:rsid w:val="00A82846"/>
    <w:rsid w:val="00AE1364"/>
    <w:rsid w:val="00B54D6A"/>
    <w:rsid w:val="00B62247"/>
    <w:rsid w:val="00B66420"/>
    <w:rsid w:val="00B829BC"/>
    <w:rsid w:val="00BF5972"/>
    <w:rsid w:val="00C043E2"/>
    <w:rsid w:val="00C8750C"/>
    <w:rsid w:val="00CA31F8"/>
    <w:rsid w:val="00CB65D5"/>
    <w:rsid w:val="00CE5316"/>
    <w:rsid w:val="00CF2842"/>
    <w:rsid w:val="00CF7611"/>
    <w:rsid w:val="00D71255"/>
    <w:rsid w:val="00DE4BDE"/>
    <w:rsid w:val="00DE6679"/>
    <w:rsid w:val="00E14DBE"/>
    <w:rsid w:val="00E52791"/>
    <w:rsid w:val="00E54E1B"/>
    <w:rsid w:val="00E77562"/>
    <w:rsid w:val="00EB0880"/>
    <w:rsid w:val="00EF6A91"/>
    <w:rsid w:val="00F3317A"/>
    <w:rsid w:val="00F475C9"/>
    <w:rsid w:val="00F7258A"/>
    <w:rsid w:val="00F76613"/>
    <w:rsid w:val="00F83978"/>
    <w:rsid w:val="00F93CC4"/>
    <w:rsid w:val="00FE1C58"/>
    <w:rsid w:val="00FF2927"/>
    <w:rsid w:val="00FF780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4D6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gc">
    <w:name w:val="_tgc"/>
    <w:basedOn w:val="DefaultParagraphFont"/>
    <w:rsid w:val="0017479E"/>
  </w:style>
  <w:style w:type="paragraph" w:styleId="FootnoteText">
    <w:name w:val="footnote text"/>
    <w:basedOn w:val="Normal"/>
    <w:link w:val="FootnoteTextChar"/>
    <w:uiPriority w:val="99"/>
    <w:semiHidden/>
    <w:unhideWhenUsed/>
    <w:rsid w:val="00DE4BD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E4BDE"/>
    <w:rPr>
      <w:sz w:val="20"/>
      <w:szCs w:val="20"/>
    </w:rPr>
  </w:style>
  <w:style w:type="character" w:styleId="FootnoteReference">
    <w:name w:val="footnote reference"/>
    <w:basedOn w:val="DefaultParagraphFont"/>
    <w:uiPriority w:val="99"/>
    <w:semiHidden/>
    <w:unhideWhenUsed/>
    <w:rsid w:val="00DE4BDE"/>
    <w:rPr>
      <w:vertAlign w:val="superscript"/>
    </w:rPr>
  </w:style>
  <w:style w:type="character" w:styleId="Hyperlink">
    <w:name w:val="Hyperlink"/>
    <w:basedOn w:val="DefaultParagraphFont"/>
    <w:uiPriority w:val="99"/>
    <w:unhideWhenUsed/>
    <w:rsid w:val="0054700B"/>
    <w:rPr>
      <w:color w:val="0000FF" w:themeColor="hyperlink"/>
      <w:u w:val="single"/>
    </w:rPr>
  </w:style>
  <w:style w:type="character" w:styleId="FollowedHyperlink">
    <w:name w:val="FollowedHyperlink"/>
    <w:basedOn w:val="DefaultParagraphFont"/>
    <w:uiPriority w:val="99"/>
    <w:semiHidden/>
    <w:unhideWhenUsed/>
    <w:rsid w:val="00F93CC4"/>
    <w:rPr>
      <w:color w:val="800080" w:themeColor="followedHyperlink"/>
      <w:u w:val="single"/>
    </w:rPr>
  </w:style>
  <w:style w:type="paragraph" w:styleId="BalloonText">
    <w:name w:val="Balloon Text"/>
    <w:basedOn w:val="Normal"/>
    <w:link w:val="BalloonTextChar"/>
    <w:uiPriority w:val="99"/>
    <w:semiHidden/>
    <w:unhideWhenUsed/>
    <w:rsid w:val="00BF59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597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tasveerjournal.com/2014/08/13/i-am-a-seed-of-the-tree"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search-proquest-com.ezproxy.uwtsd.ac.uk/docview/384027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5269F1-A931-43BC-A781-0303AE0182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4</Pages>
  <Words>1164</Words>
  <Characters>6637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 hewson</dc:creator>
  <cp:lastModifiedBy>Dan hewson</cp:lastModifiedBy>
  <cp:revision>44</cp:revision>
  <dcterms:created xsi:type="dcterms:W3CDTF">2017-10-13T10:55:00Z</dcterms:created>
  <dcterms:modified xsi:type="dcterms:W3CDTF">2017-10-26T11:50:00Z</dcterms:modified>
</cp:coreProperties>
</file>