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Curriculum Adventure; Problem based learning</w:t>
      </w:r>
      <w:r>
        <w:rPr>
          <w:rFonts w:ascii="Times New Roman" w:hAnsi="Times New Roman"/>
          <w:b w:val="0"/>
          <w:bCs w:val="0"/>
          <w:sz w:val="24"/>
          <w:szCs w:val="24"/>
          <w:u w:val="none"/>
          <w:rtl w:val="0"/>
          <w:lang w:val="en-US"/>
        </w:rPr>
        <w:t xml:space="preserve">  2500 words </w:t>
      </w: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Paper for the senior management team of TSD Secondary </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We currently live in a world where sedentary lifestyles are the norm and physical inactivity is on the rise. Children and young people should be engaging in physical activity for at least 1hr a day across the week (Welsh Government, 2022a) but recent statistics show that obesity prevalence in year 6 school children in the UK has increased to 25.5% (NHS Digital, 2021). If this epidemic of inactivity continues the way it has, it is predicted that in 2030, the UK population will be 35% less active than it was in the 1960s (OHID, 2022).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This is not only detrimental to physical health but also to mental well-being. The NHS recommends physical activity as one of their 5 steps to mental wellbeing (NHS, 2019) and studies have shown the positive link between physical activity and reductions in self-reported levels of anxiety and depression (Tyson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2010). Mental health in young people in Wales is already a significant concern with over 60% experiencing issues at least once a week (Mental Health Wales, 2020) and increases in economic instability and the impacts of COVID-19 are thought to make these issues even more apparent (Kirk, 2021).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Facilitating physical education from a salutogenesis perspective (an approach to health that maintains wellness; focusing on prevention not cure) (Kirk, 2021) can be an opportunity to address these concerning figures and trends. This approach to health is a concept that T</w:t>
      </w:r>
      <w:r>
        <w:rPr>
          <w:rFonts w:ascii="Times New Roman" w:hAnsi="Times New Roman"/>
          <w:sz w:val="24"/>
          <w:szCs w:val="24"/>
          <w:rtl w:val="0"/>
          <w:lang w:val="en-US"/>
        </w:rPr>
        <w:t xml:space="preserve">he </w:t>
      </w:r>
      <w:r>
        <w:rPr>
          <w:rFonts w:ascii="Times New Roman" w:hAnsi="Times New Roman"/>
          <w:sz w:val="24"/>
          <w:szCs w:val="24"/>
          <w:rtl w:val="0"/>
          <w:lang w:val="en-US"/>
        </w:rPr>
        <w:t>W</w:t>
      </w:r>
      <w:r>
        <w:rPr>
          <w:rFonts w:ascii="Times New Roman" w:hAnsi="Times New Roman"/>
          <w:sz w:val="24"/>
          <w:szCs w:val="24"/>
          <w:rtl w:val="0"/>
          <w:lang w:val="en-US"/>
        </w:rPr>
        <w:t xml:space="preserve">ellbeing of </w:t>
      </w:r>
      <w:r>
        <w:rPr>
          <w:rFonts w:ascii="Times New Roman" w:hAnsi="Times New Roman"/>
          <w:sz w:val="24"/>
          <w:szCs w:val="24"/>
          <w:rtl w:val="0"/>
          <w:lang w:val="en-US"/>
        </w:rPr>
        <w:t>F</w:t>
      </w:r>
      <w:r>
        <w:rPr>
          <w:rFonts w:ascii="Times New Roman" w:hAnsi="Times New Roman"/>
          <w:sz w:val="24"/>
          <w:szCs w:val="24"/>
          <w:rtl w:val="0"/>
          <w:lang w:val="en-US"/>
        </w:rPr>
        <w:t xml:space="preserve">uture </w:t>
      </w:r>
      <w:r>
        <w:rPr>
          <w:rFonts w:ascii="Times New Roman" w:hAnsi="Times New Roman"/>
          <w:sz w:val="24"/>
          <w:szCs w:val="24"/>
          <w:rtl w:val="0"/>
          <w:lang w:val="en-US"/>
        </w:rPr>
        <w:t>G</w:t>
      </w:r>
      <w:r>
        <w:rPr>
          <w:rFonts w:ascii="Times New Roman" w:hAnsi="Times New Roman"/>
          <w:sz w:val="24"/>
          <w:szCs w:val="24"/>
          <w:rtl w:val="0"/>
          <w:lang w:val="fr-FR"/>
        </w:rPr>
        <w:t xml:space="preserve">enerations </w:t>
      </w:r>
      <w:r>
        <w:rPr>
          <w:rFonts w:ascii="Times New Roman" w:hAnsi="Times New Roman"/>
          <w:sz w:val="24"/>
          <w:szCs w:val="24"/>
          <w:rtl w:val="0"/>
          <w:lang w:val="en-US"/>
        </w:rPr>
        <w:t>A</w:t>
      </w:r>
      <w:r>
        <w:rPr>
          <w:rFonts w:ascii="Times New Roman" w:hAnsi="Times New Roman"/>
          <w:sz w:val="24"/>
          <w:szCs w:val="24"/>
          <w:rtl w:val="0"/>
          <w:lang w:val="en-US"/>
        </w:rPr>
        <w:t>ct</w:t>
      </w:r>
      <w:r>
        <w:rPr>
          <w:rFonts w:ascii="Times New Roman" w:hAnsi="Times New Roman"/>
          <w:sz w:val="24"/>
          <w:szCs w:val="24"/>
          <w:rtl w:val="0"/>
          <w:lang w:val="en-US"/>
        </w:rPr>
        <w:t>,</w:t>
      </w:r>
      <w:r>
        <w:rPr>
          <w:rFonts w:ascii="Times New Roman" w:hAnsi="Times New Roman"/>
          <w:sz w:val="24"/>
          <w:szCs w:val="24"/>
          <w:rtl w:val="0"/>
          <w:lang w:val="en-US"/>
        </w:rPr>
        <w:t xml:space="preserve"> Wales has incorporated into their philosophy as a part of the </w:t>
      </w:r>
      <w:r>
        <w:rPr>
          <w:rFonts w:ascii="Times New Roman" w:hAnsi="Times New Roman" w:hint="default"/>
          <w:sz w:val="24"/>
          <w:szCs w:val="24"/>
          <w:rtl w:val="1"/>
          <w:lang w:val="ar-SA" w:bidi="ar-SA"/>
        </w:rPr>
        <w:t>“</w:t>
      </w:r>
      <w:r>
        <w:rPr>
          <w:rFonts w:ascii="Times New Roman" w:hAnsi="Times New Roman"/>
          <w:sz w:val="24"/>
          <w:szCs w:val="24"/>
          <w:rtl w:val="0"/>
          <w:lang w:val="en-US"/>
        </w:rPr>
        <w:t>A healthier Wales</w:t>
      </w:r>
      <w:r>
        <w:rPr>
          <w:rFonts w:ascii="Times New Roman" w:hAnsi="Times New Roman" w:hint="default"/>
          <w:sz w:val="24"/>
          <w:szCs w:val="24"/>
          <w:rtl w:val="0"/>
        </w:rPr>
        <w:t xml:space="preserve">” </w:t>
      </w:r>
      <w:r>
        <w:rPr>
          <w:rFonts w:ascii="Times New Roman" w:hAnsi="Times New Roman"/>
          <w:sz w:val="24"/>
          <w:szCs w:val="24"/>
          <w:rtl w:val="0"/>
          <w:lang w:val="en-US"/>
        </w:rPr>
        <w:t>goal (FGCW, 2015, p3)</w:t>
      </w:r>
      <w:r>
        <w:rPr>
          <w:rFonts w:ascii="Times New Roman" w:hAnsi="Times New Roman"/>
          <w:sz w:val="24"/>
          <w:szCs w:val="24"/>
          <w:rtl w:val="0"/>
          <w:lang w:val="en-US"/>
        </w:rPr>
        <w:t xml:space="preserve">, acknowledging that health is on a continuum and that preventative approaches are needed for a healthier society. The new Curriculum for Wales with its Areas of Learning and Experience (AoLE) can be the perfect opportunity to start employing this salutogenesis approach to health through fulfilment of the </w:t>
      </w:r>
      <w:r>
        <w:rPr>
          <w:rFonts w:ascii="Times New Roman" w:hAnsi="Times New Roman" w:hint="default"/>
          <w:sz w:val="24"/>
          <w:szCs w:val="24"/>
          <w:rtl w:val="0"/>
          <w:lang w:val="en-US"/>
        </w:rPr>
        <w:t>“</w:t>
      </w:r>
      <w:r>
        <w:rPr>
          <w:rFonts w:ascii="Times New Roman" w:hAnsi="Times New Roman"/>
          <w:sz w:val="24"/>
          <w:szCs w:val="24"/>
          <w:rtl w:val="0"/>
          <w:lang w:val="en-US"/>
        </w:rPr>
        <w:t>What Matters Statements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the Health and Wellbeing AoLE, particularly; </w:t>
      </w:r>
      <w:r>
        <w:rPr>
          <w:rFonts w:ascii="Times New Roman" w:hAnsi="Times New Roman" w:hint="default"/>
          <w:sz w:val="24"/>
          <w:szCs w:val="24"/>
          <w:rtl w:val="0"/>
          <w:lang w:val="en-US"/>
        </w:rPr>
        <w:t>“</w:t>
      </w:r>
      <w:r>
        <w:rPr>
          <w:rFonts w:ascii="Times New Roman" w:hAnsi="Times New Roman"/>
          <w:sz w:val="24"/>
          <w:szCs w:val="24"/>
          <w:rtl w:val="0"/>
          <w:lang w:val="en-US"/>
        </w:rPr>
        <w:t>1.Developing physical health and wellbeing has lifelong benefits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2. How we process and respond to our experiences affects our mental health and emotional well-being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(Welsh Government, 2020).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These school grounds have been designed with both the AoLE of Health and Well-being and the development of young people</w:t>
      </w:r>
      <w:r>
        <w:rPr>
          <w:rFonts w:ascii="Times New Roman" w:hAnsi="Times New Roman" w:hint="default"/>
          <w:sz w:val="24"/>
          <w:szCs w:val="24"/>
          <w:rtl w:val="0"/>
          <w:lang w:val="en-US"/>
        </w:rPr>
        <w:t>’</w:t>
      </w:r>
      <w:r>
        <w:rPr>
          <w:rFonts w:ascii="Times New Roman" w:hAnsi="Times New Roman"/>
          <w:sz w:val="24"/>
          <w:szCs w:val="24"/>
          <w:rtl w:val="0"/>
          <w:lang w:val="en-US"/>
        </w:rPr>
        <w:t xml:space="preserve">s physical literacy in mind. Physical literacy can be described as </w:t>
      </w:r>
      <w:r>
        <w:rPr>
          <w:rFonts w:ascii="Times New Roman" w:hAnsi="Times New Roman"/>
          <w:sz w:val="24"/>
          <w:szCs w:val="24"/>
          <w:rtl w:val="0"/>
          <w:lang w:val="it-IT"/>
        </w:rPr>
        <w:t>a person</w:t>
      </w:r>
      <w:r>
        <w:rPr>
          <w:rFonts w:ascii="Times New Roman" w:hAnsi="Times New Roman" w:hint="default"/>
          <w:sz w:val="24"/>
          <w:szCs w:val="24"/>
          <w:rtl w:val="1"/>
        </w:rPr>
        <w:t>’</w:t>
      </w:r>
      <w:r>
        <w:rPr>
          <w:rFonts w:ascii="Times New Roman" w:hAnsi="Times New Roman"/>
          <w:sz w:val="24"/>
          <w:szCs w:val="24"/>
          <w:rtl w:val="0"/>
        </w:rPr>
        <w:t xml:space="preserve">s </w:t>
      </w:r>
      <w:r>
        <w:rPr>
          <w:rFonts w:ascii="Times New Roman" w:hAnsi="Times New Roman" w:hint="default"/>
          <w:sz w:val="24"/>
          <w:szCs w:val="24"/>
          <w:rtl w:val="1"/>
          <w:lang w:val="ar-SA" w:bidi="ar-SA"/>
        </w:rPr>
        <w:t>“</w:t>
      </w:r>
      <w:r>
        <w:rPr>
          <w:rFonts w:ascii="Times New Roman" w:hAnsi="Times New Roman"/>
          <w:sz w:val="24"/>
          <w:szCs w:val="24"/>
          <w:rtl w:val="0"/>
          <w:lang w:val="en-US"/>
        </w:rPr>
        <w:t>motivation, confidence, physical competence, knowledge and understanding to value and take responsibility for engagement in physical activities for life.</w:t>
      </w:r>
      <w:r>
        <w:rPr>
          <w:rFonts w:ascii="Times New Roman" w:hAnsi="Times New Roman" w:hint="default"/>
          <w:sz w:val="24"/>
          <w:szCs w:val="24"/>
          <w:rtl w:val="0"/>
        </w:rPr>
        <w:t xml:space="preserve">” </w:t>
      </w:r>
      <w:r>
        <w:rPr>
          <w:rFonts w:ascii="Times New Roman" w:hAnsi="Times New Roman"/>
          <w:sz w:val="24"/>
          <w:szCs w:val="24"/>
          <w:rtl w:val="0"/>
          <w:lang w:val="en-US"/>
        </w:rPr>
        <w:t>(Whitehead, 2010, p11).</w:t>
      </w:r>
      <w:r>
        <w:rPr>
          <w:rFonts w:ascii="Times New Roman" w:hAnsi="Times New Roman"/>
          <w:sz w:val="24"/>
          <w:szCs w:val="24"/>
          <w:rtl w:val="0"/>
          <w:lang w:val="en-US"/>
        </w:rPr>
        <w:t xml:space="preserve"> It is a philosophy that adopts the concept of monism; the interconnectedness of mind and body; therefore if the body is nurtured, the mind will be too (Whitehead, 2013). This means that by supporting physical literacy development in physical education, young people can maintain their wellness physically, mentally and emotionally.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So why do school grounds need to change in order to achieve this? </w:t>
      </w:r>
      <w:r>
        <w:rPr>
          <w:rFonts w:ascii="Times New Roman" w:hAnsi="Times New Roman"/>
          <w:sz w:val="24"/>
          <w:szCs w:val="24"/>
          <w:rtl w:val="0"/>
          <w:lang w:val="en-US"/>
        </w:rPr>
        <w:t xml:space="preserve">While current school grounds offer facilities for </w:t>
      </w:r>
      <w:r>
        <w:rPr>
          <w:rFonts w:ascii="Times New Roman" w:hAnsi="Times New Roman"/>
          <w:sz w:val="24"/>
          <w:szCs w:val="24"/>
          <w:rtl w:val="0"/>
          <w:lang w:val="en-US"/>
        </w:rPr>
        <w:t xml:space="preserve">traditional </w:t>
      </w:r>
      <w:r>
        <w:rPr>
          <w:rFonts w:ascii="Times New Roman" w:hAnsi="Times New Roman"/>
          <w:sz w:val="24"/>
          <w:szCs w:val="24"/>
          <w:rtl w:val="0"/>
          <w:lang w:val="en-US"/>
        </w:rPr>
        <w:t>sport, there is a huge missed opportunity with the lack of natural outdoor and adventurous developments.</w:t>
      </w:r>
      <w:r>
        <w:rPr>
          <w:rFonts w:ascii="Times New Roman" w:hAnsi="Times New Roman"/>
          <w:sz w:val="24"/>
          <w:szCs w:val="24"/>
          <w:rtl w:val="0"/>
          <w:lang w:val="en-US"/>
        </w:rPr>
        <w:t xml:space="preserve"> An enriched movement environment can be considered the first step towards the development of physical literacy (</w:t>
      </w:r>
      <w:r>
        <w:rPr>
          <w:rFonts w:ascii="Times New Roman" w:hAnsi="Times New Roman"/>
          <w:sz w:val="24"/>
          <w:szCs w:val="24"/>
          <w:rtl w:val="0"/>
        </w:rPr>
        <w:t>Jurbala</w:t>
      </w:r>
      <w:r>
        <w:rPr>
          <w:rFonts w:ascii="Times New Roman" w:hAnsi="Times New Roman"/>
          <w:sz w:val="24"/>
          <w:szCs w:val="24"/>
          <w:rtl w:val="0"/>
          <w:lang w:val="en-US"/>
        </w:rPr>
        <w:t xml:space="preserve">, </w:t>
      </w:r>
      <w:r>
        <w:rPr>
          <w:rFonts w:ascii="Times New Roman" w:hAnsi="Times New Roman"/>
          <w:sz w:val="24"/>
          <w:szCs w:val="24"/>
          <w:rtl w:val="0"/>
        </w:rPr>
        <w:t>2015)</w:t>
      </w:r>
      <w:r>
        <w:rPr>
          <w:rFonts w:ascii="Times New Roman" w:hAnsi="Times New Roman"/>
          <w:sz w:val="24"/>
          <w:szCs w:val="24"/>
          <w:rtl w:val="0"/>
          <w:lang w:val="en-US"/>
        </w:rPr>
        <w:t xml:space="preserve"> and natural outdoor and adventurous environments/facilities provide a range of affordances for different movement competencies to be developed. Gibson (1986) coined the word </w:t>
      </w:r>
      <w:r>
        <w:rPr>
          <w:rFonts w:ascii="Times New Roman" w:hAnsi="Times New Roman"/>
          <w:i w:val="1"/>
          <w:iCs w:val="1"/>
          <w:sz w:val="24"/>
          <w:szCs w:val="24"/>
          <w:rtl w:val="0"/>
          <w:lang w:val="en-US"/>
        </w:rPr>
        <w:t>affordances</w:t>
      </w:r>
      <w:r>
        <w:rPr>
          <w:rFonts w:ascii="Times New Roman" w:hAnsi="Times New Roman"/>
          <w:sz w:val="24"/>
          <w:szCs w:val="24"/>
          <w:rtl w:val="0"/>
          <w:lang w:val="en-US"/>
        </w:rPr>
        <w:t xml:space="preserve"> to describe a surface or object in the environment that inspires some kind of action depending on how it is perceived. In the context of these new school grounds, affordances will include trees with low branches, boulders, fallen trees, uneven surfaces and sloped terrain. Including a range of different ecological features encourages a variety of different movement skills to be developed (Fiskum and Jacobsen, 2013) which is essential for promoting physical literacy.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 addition to the physical benefits, outdoor and adventurous activities offer authentic experiences that can be used to develop skills such as problem solving, critical thinking, collaboration and risk management. There are concerns that students are not developing these kinds of skills that are needed for the modern workplace and life in general and so outdoor/adventurous activities requiring these skills can help to remedy this deficit (Arslantas and Bavli, 2022). Furthermore, outdoor learning can give subject matter real world context and typically requires collaboration with peers (Arslantas and Bavli, 2022) and therefore students can be more engaged in learning than they might be in a classroom setting.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new school ground developments can be split into three areas; the Woodland Area, the Multipurpose Trail and Pump Track  and the Rock Climbing Area. These have all been designed with physical literacy development, student wellbeing and curriculum fulfilment in mind. A large section of the Woodland Area is the Wellbeing Zone: a</w:t>
      </w:r>
      <w:r>
        <w:rPr>
          <w:rFonts w:ascii="Times New Roman" w:hAnsi="Times New Roman"/>
          <w:sz w:val="24"/>
          <w:szCs w:val="24"/>
          <w:rtl w:val="0"/>
          <w:lang w:val="en-US"/>
        </w:rPr>
        <w:t xml:space="preserve"> spacious zone with circular picnic benches, climbable trees and places for students to put up hammocks and slack lines in their break times. </w:t>
      </w:r>
      <w:r>
        <w:rPr>
          <w:rFonts w:ascii="Times New Roman" w:hAnsi="Times New Roman"/>
          <w:sz w:val="24"/>
          <w:szCs w:val="24"/>
          <w:rtl w:val="0"/>
          <w:lang w:val="en-US"/>
        </w:rPr>
        <w:t xml:space="preserve">The Wellbeing Zone provides a space for students to relax, socialise and play in a natural outdoor environment.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The Wellbeing Zone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Wellbeing Zone is situated in the Woodland Area due to the mental health benefits of nature for young people. Young people are spending less time outdoors in natural environments resulting in what Louv (2005) has termed Nature Deficit Disorder. In an attempt to combat this, the Wellbeing zone will be integrated seamlessly into the natural environment so that experiences with nature can be facilitated at school (depending on home life factors, some students may not get the opportunity to connect with nature at any other time). Connection with nature as well as outdoor play has been identified as a protective factor for mental health in adolescents (Piccininni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2018), making the Wellbeing Zone an important development for the mental and emotional well-being of students.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slack lines that can be loaned from the equipment shed provide an opportunity for play, socialisation and development of physical literacy to take place in students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free time.  Slack lining requires core strength, whole body coordination and balance; movement competencies that are essential to many other more complex movement patterns (</w:t>
      </w:r>
      <w:r>
        <w:rPr>
          <w:rFonts w:ascii="Times New Roman" w:hAnsi="Times New Roman"/>
          <w:sz w:val="24"/>
          <w:szCs w:val="24"/>
          <w:rtl w:val="0"/>
          <w:lang w:val="en-US"/>
        </w:rPr>
        <w:t>Durden-Myers, Green and Whitehead</w:t>
      </w:r>
      <w:r>
        <w:rPr>
          <w:rFonts w:ascii="Times New Roman" w:hAnsi="Times New Roman"/>
          <w:sz w:val="24"/>
          <w:szCs w:val="24"/>
          <w:rtl w:val="0"/>
          <w:lang w:val="en-US"/>
        </w:rPr>
        <w:t>,</w:t>
      </w:r>
      <w:r>
        <w:rPr>
          <w:rFonts w:ascii="Times New Roman" w:hAnsi="Times New Roman"/>
          <w:sz w:val="24"/>
          <w:szCs w:val="24"/>
          <w:rtl w:val="0"/>
        </w:rPr>
        <w:t xml:space="preserve"> 2018</w:t>
      </w:r>
      <w:r>
        <w:rPr>
          <w:rFonts w:ascii="Times New Roman" w:hAnsi="Times New Roman"/>
          <w:sz w:val="24"/>
          <w:szCs w:val="24"/>
          <w:rtl w:val="0"/>
          <w:lang w:val="en-US"/>
        </w:rPr>
        <w:t xml:space="preserve">). This means that the movement competencies developed in slack lining can be applied to other activities like rock climbing. Furthermore, it is a new and emerging adventurous activity that can be considered more interesting than traditional adventurous activities (Williams &amp; Wainwright, 2019) which could mean that more students will be motivated to take part in their free time.  Slack lining has elements of challenge and low consequence risk (most likely just bumps and bruises from falling a foot or two) which means that it is an activity that will promote aspects of the 4 purposes of the Curriculum (Welsh Government, 2015) Including </w:t>
      </w:r>
      <w:r>
        <w:rPr>
          <w:rFonts w:ascii="Times New Roman" w:hAnsi="Times New Roman" w:hint="default"/>
          <w:sz w:val="24"/>
          <w:szCs w:val="24"/>
          <w:rtl w:val="0"/>
          <w:lang w:val="en-US"/>
        </w:rPr>
        <w:t>“</w:t>
      </w:r>
      <w:r>
        <w:rPr>
          <w:rFonts w:ascii="Times New Roman" w:hAnsi="Times New Roman"/>
          <w:sz w:val="24"/>
          <w:szCs w:val="24"/>
          <w:rtl w:val="0"/>
          <w:lang w:val="en-US"/>
        </w:rPr>
        <w:t>Healthy, confident individuals who:</w:t>
      </w:r>
      <w:r>
        <w:rPr>
          <w:rFonts w:ascii="Times New Roman" w:hAnsi="Times New Roman" w:hint="default"/>
          <w:sz w:val="24"/>
          <w:szCs w:val="24"/>
          <w:rtl w:val="0"/>
          <w:lang w:val="en-US"/>
        </w:rPr>
        <w:t>…</w:t>
      </w:r>
      <w:r>
        <w:rPr>
          <w:rFonts w:ascii="Times New Roman" w:hAnsi="Times New Roman"/>
          <w:sz w:val="24"/>
          <w:szCs w:val="24"/>
          <w:rtl w:val="0"/>
          <w:lang w:val="en-US"/>
        </w:rPr>
        <w:t>take part in physical activity,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face and overcome challenge</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take measured decisions about lifestyle and manage risk</w:t>
      </w:r>
      <w:r>
        <w:rPr>
          <w:rFonts w:ascii="Times New Roman" w:hAnsi="Times New Roman" w:hint="default"/>
          <w:sz w:val="24"/>
          <w:szCs w:val="24"/>
          <w:rtl w:val="0"/>
          <w:lang w:val="en-US"/>
        </w:rPr>
        <w:t xml:space="preserve">” </w:t>
      </w:r>
      <w:r>
        <w:rPr>
          <w:rFonts w:ascii="Times New Roman" w:hAnsi="Times New Roman"/>
          <w:sz w:val="24"/>
          <w:szCs w:val="24"/>
          <w:rtl w:val="0"/>
          <w:lang w:val="en-US"/>
        </w:rPr>
        <w:t>(p1).</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Wellbeing Zone will also include some of the natural affordances previously mentioned; </w:t>
      </w:r>
      <w:r>
        <w:rPr>
          <w:rFonts w:ascii="Times New Roman" w:hAnsi="Times New Roman"/>
          <w:sz w:val="24"/>
          <w:szCs w:val="24"/>
          <w:rtl w:val="0"/>
          <w:lang w:val="en-US"/>
        </w:rPr>
        <w:t>trees with low branches, fallen trees, uneven surfaces, and sloped terrain</w:t>
      </w:r>
      <w:r>
        <w:rPr>
          <w:rFonts w:ascii="Times New Roman" w:hAnsi="Times New Roman"/>
          <w:sz w:val="24"/>
          <w:szCs w:val="24"/>
          <w:rtl w:val="0"/>
          <w:lang w:val="en-US"/>
        </w:rPr>
        <w:t>. It has been shown that physical activity is enhanced by natural environments as it affords a range of different movements and skill development (Fiskum and Jacobsen, 2013). This enhanced physical activity in free time can be used to mitigate the stress of action regulation required to sit still in classrooms for long periods of time (Fiskum and Jacobsen, 2013) meaning that concentration can be improved in lessons and the overall wellbeing of students can be maintained while at school.</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Outdoor Classrooms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Just outside the Woodland Area and the Rock Climbing Area there will be outdoor classrooms. This development focuses mainly on the Health and Wellbeing AoLE as well as proving opportunities to facilitate other AoLEs.They will be circular in shape with benches surrounding a fire bowl in the middle. Gaps between the walled sections and the covering tarp will allow nature to be seen from the inside. These gaps are an important feature as even when aspects of nature (particularly plants) aren</w:t>
      </w:r>
      <w:r>
        <w:rPr>
          <w:rFonts w:ascii="Times New Roman" w:hAnsi="Times New Roman" w:hint="default"/>
          <w:sz w:val="24"/>
          <w:szCs w:val="24"/>
          <w:rtl w:val="0"/>
          <w:lang w:val="en-US"/>
        </w:rPr>
        <w:t>’</w:t>
      </w:r>
      <w:r>
        <w:rPr>
          <w:rFonts w:ascii="Times New Roman" w:hAnsi="Times New Roman"/>
          <w:sz w:val="24"/>
          <w:szCs w:val="24"/>
          <w:rtl w:val="0"/>
          <w:lang w:val="en-US"/>
        </w:rPr>
        <w:t xml:space="preserve">t our object of focus, having them in your field of view can reduce stress and promote attention restoration </w:t>
      </w:r>
      <w:r>
        <w:rPr>
          <w:rFonts w:ascii="Times New Roman" w:hAnsi="Times New Roman"/>
          <w:sz w:val="24"/>
          <w:szCs w:val="24"/>
          <w:rtl w:val="0"/>
          <w:lang w:val="da-DK"/>
        </w:rPr>
        <w:t>(Grinde &amp; Patil, 2009)</w:t>
      </w:r>
      <w:r>
        <w:rPr>
          <w:rFonts w:ascii="Times New Roman" w:hAnsi="Times New Roman"/>
          <w:sz w:val="24"/>
          <w:szCs w:val="24"/>
          <w:rtl w:val="0"/>
          <w:lang w:val="en-US"/>
        </w:rPr>
        <w:t xml:space="preserve">. These classrooms can provide a more calming and focus enhancing environment to take sit-down lessons in and this effect of nature can even be used as a discussion point about emotional well-being and communicating feelings, aligning with the 2nd </w:t>
      </w:r>
      <w:r>
        <w:rPr>
          <w:rFonts w:ascii="Times New Roman" w:hAnsi="Times New Roman" w:hint="default"/>
          <w:sz w:val="24"/>
          <w:szCs w:val="24"/>
          <w:rtl w:val="0"/>
          <w:lang w:val="en-US"/>
        </w:rPr>
        <w:t>“</w:t>
      </w:r>
      <w:r>
        <w:rPr>
          <w:rFonts w:ascii="Times New Roman" w:hAnsi="Times New Roman"/>
          <w:sz w:val="24"/>
          <w:szCs w:val="24"/>
          <w:rtl w:val="0"/>
          <w:lang w:val="en-US"/>
        </w:rPr>
        <w:t>What Matters Statement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the Health and Wellbeing AoLE.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r>
        <w:rPr>
          <w:rFonts w:ascii="Times New Roman" w:hAnsi="Times New Roman"/>
          <w:sz w:val="24"/>
          <w:szCs w:val="24"/>
          <w:rtl w:val="0"/>
          <w:lang w:val="en-US"/>
        </w:rPr>
        <w:t xml:space="preserve">Encouraging communication and facilitating discussion is a main objective for these circular outdoor classrooms. The circular shape and seating arrangements will encourage learners to communicate and collaborate with one another as well as facilitating the sharing of ideas and imaginations </w:t>
      </w:r>
      <w:r>
        <w:rPr>
          <w:rFonts w:ascii="Times New Roman" w:hAnsi="Times New Roman"/>
          <w:sz w:val="24"/>
          <w:szCs w:val="24"/>
          <w:rtl w:val="0"/>
        </w:rPr>
        <w:t>(Falout, 2014)</w:t>
      </w:r>
      <w:r>
        <w:rPr>
          <w:rFonts w:ascii="Times New Roman" w:hAnsi="Times New Roman"/>
          <w:sz w:val="24"/>
          <w:szCs w:val="24"/>
          <w:rtl w:val="0"/>
          <w:lang w:val="en-US"/>
        </w:rPr>
        <w:t xml:space="preserve">. It further fosters a sense of belonging </w:t>
      </w:r>
      <w:r>
        <w:rPr>
          <w:rFonts w:ascii="Times New Roman" w:hAnsi="Times New Roman" w:hint="default"/>
          <w:sz w:val="24"/>
          <w:szCs w:val="24"/>
          <w:rtl w:val="0"/>
          <w:lang w:val="en-US"/>
        </w:rPr>
        <w:t>“</w:t>
      </w:r>
      <w:r>
        <w:rPr>
          <w:rFonts w:ascii="Times New Roman" w:hAnsi="Times New Roman"/>
          <w:sz w:val="24"/>
          <w:szCs w:val="24"/>
          <w:rtl w:val="0"/>
          <w:lang w:val="en-US"/>
        </w:rPr>
        <w:t>with overall positive effects on learning, emotions, and wellbeing.</w:t>
      </w:r>
      <w:r>
        <w:rPr>
          <w:rFonts w:ascii="Times New Roman" w:hAnsi="Times New Roman" w:hint="default"/>
          <w:sz w:val="24"/>
          <w:szCs w:val="24"/>
          <w:rtl w:val="0"/>
        </w:rPr>
        <w:t>”</w:t>
      </w:r>
      <w:r>
        <w:rPr>
          <w:rFonts w:ascii="Times New Roman" w:hAnsi="Times New Roman"/>
          <w:sz w:val="24"/>
          <w:szCs w:val="24"/>
          <w:rtl w:val="0"/>
          <w:lang w:val="en-US"/>
        </w:rPr>
        <w:t xml:space="preserve"> (p275). This feature facilitates fulfilment of aspects of the 4 purposes; </w:t>
      </w:r>
      <w:r>
        <w:rPr>
          <w:rFonts w:ascii="Times New Roman" w:hAnsi="Times New Roman" w:hint="default"/>
          <w:sz w:val="24"/>
          <w:szCs w:val="24"/>
          <w:rtl w:val="0"/>
          <w:lang w:val="en-US"/>
        </w:rPr>
        <w:t>“</w:t>
      </w:r>
      <w:r>
        <w:rPr>
          <w:rFonts w:ascii="Times New Roman" w:hAnsi="Times New Roman"/>
          <w:sz w:val="24"/>
          <w:szCs w:val="24"/>
          <w:rtl w:val="0"/>
          <w:lang w:val="en-US"/>
        </w:rPr>
        <w:t>Ambitious, capable learners who:..can communicate effectively in different forms and settings, using both Welsh and English, can explain the ideas and concepts they are learning about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(Welsh Government, 2015, p1), the Healthy Relationships statement in the health and wellbeing AoLE and pedagogical principles of the curriculum including </w:t>
      </w:r>
      <w:r>
        <w:rPr>
          <w:rFonts w:ascii="Times New Roman" w:hAnsi="Times New Roman" w:hint="default"/>
          <w:sz w:val="24"/>
          <w:szCs w:val="24"/>
          <w:rtl w:val="0"/>
          <w:lang w:val="en-US"/>
        </w:rPr>
        <w:t>“</w:t>
      </w:r>
      <w:r>
        <w:rPr>
          <w:rFonts w:ascii="Times New Roman" w:hAnsi="Times New Roman"/>
          <w:sz w:val="24"/>
          <w:szCs w:val="24"/>
          <w:rtl w:val="0"/>
          <w:lang w:val="en-US"/>
        </w:rPr>
        <w:t>encourages collaboration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supports social and emotional development and positive relationships</w:t>
      </w:r>
      <w:r>
        <w:rPr>
          <w:rFonts w:ascii="Times New Roman" w:hAnsi="Times New Roman" w:hint="default"/>
          <w:sz w:val="24"/>
          <w:szCs w:val="24"/>
          <w:rtl w:val="0"/>
          <w:lang w:val="en-US"/>
        </w:rPr>
        <w:t xml:space="preserve">” </w:t>
      </w:r>
      <w:r>
        <w:rPr>
          <w:rFonts w:ascii="Times New Roman" w:hAnsi="Times New Roman"/>
          <w:sz w:val="24"/>
          <w:szCs w:val="24"/>
          <w:rtl w:val="0"/>
          <w:lang w:val="en-US"/>
        </w:rPr>
        <w:t>(Welsh Government, 2022b, p1). These classrooms are a versatile space that can be used for other AoLEs and by being outdoors it may be easier to go out and relate subject matter to real world context.</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Multipurpose Trail and Pump Track </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next main area of new developments is the multipurpose trail and pump track. The trail will run the perimeter of the school grounds and link into a pump track designed for mountain bikes and BMXs. The trail will be lined with native trees and can be walked or cycled on, encouraging participation in green exercise. It has been found that green exercise is more effective than exercise alone at contributing to positive effects on self esteem (Pretty, Peacock, Sellens &amp; Griffin, 2005) and therefore the avenue of trees lining the trail is an important feature for the wellbeing of students.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Many primary schools have balance bikes and tricycles available for children to use at playtimes and get used to the body awareness needed to ride a bike. The fleet of mountain bikes, trail and pump track will offer progression from this for secondary school aged children. The multipurpose trail can be used for developing basic riding skills in a controlled environment with options for longer rides for increased cardiovascular and muscular endurance. The pump track will offer further progression with berms and small jumps - requiring a higher level of skill and bike and body control. Cycling in general requires many movement competencies such as core strength, balance and bilateral coordination, the latter being a more complex skill (</w:t>
      </w:r>
      <w:r>
        <w:rPr>
          <w:rFonts w:ascii="Times New Roman" w:hAnsi="Times New Roman"/>
          <w:sz w:val="24"/>
          <w:szCs w:val="24"/>
          <w:rtl w:val="0"/>
          <w:lang w:val="en-US"/>
        </w:rPr>
        <w:t>Durden-Myers, Green and Whitehead</w:t>
      </w:r>
      <w:r>
        <w:rPr>
          <w:rFonts w:ascii="Times New Roman" w:hAnsi="Times New Roman"/>
          <w:sz w:val="24"/>
          <w:szCs w:val="24"/>
          <w:rtl w:val="0"/>
          <w:lang w:val="en-US"/>
        </w:rPr>
        <w:t>,</w:t>
      </w:r>
      <w:r>
        <w:rPr>
          <w:rFonts w:ascii="Times New Roman" w:hAnsi="Times New Roman"/>
          <w:sz w:val="24"/>
          <w:szCs w:val="24"/>
          <w:rtl w:val="0"/>
        </w:rPr>
        <w:t xml:space="preserve"> 2018</w:t>
      </w:r>
      <w:r>
        <w:rPr>
          <w:rFonts w:ascii="Times New Roman" w:hAnsi="Times New Roman"/>
          <w:sz w:val="24"/>
          <w:szCs w:val="24"/>
          <w:rtl w:val="0"/>
          <w:lang w:val="en-US"/>
        </w:rPr>
        <w:t>) offering further development for student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physical literacy with the option of the pump track.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mountain biking fits perfectly within the new pedagogical model for outdoor adventure in PE. It checks the boxes of the 4 non-negotiable features of adventurous activities; mainly outdoors, experiential learning, challenge by choice and managed risk (Williams &amp; Wainwright, 2019). The challenge by choice feature is particularly applicable to mountain biking as there are a number of opportunities for progression and challenge depending on a learners current ability and confidence. The multipurpose trail can be used to build up skills and challenge learners through a series of increasingly difficult obstacle courses and the pump track as an even further option for challenge. Providing these options for learners means that they may be empowered to choose how they will engage with the activity and take responsibility for their own learning (Williams &amp; Wainwright, 2019) and the latter fulfils one of the pedagogical principles of the new curriculum as well as supporting aspects of the 4 purposes including </w:t>
      </w:r>
      <w:r>
        <w:rPr>
          <w:rFonts w:ascii="Times New Roman" w:hAnsi="Times New Roman" w:hint="default"/>
          <w:sz w:val="24"/>
          <w:szCs w:val="24"/>
          <w:rtl w:val="0"/>
          <w:lang w:val="en-US"/>
        </w:rPr>
        <w:t>“</w:t>
      </w:r>
      <w:r>
        <w:rPr>
          <w:rFonts w:ascii="Times New Roman" w:hAnsi="Times New Roman"/>
          <w:sz w:val="24"/>
          <w:szCs w:val="24"/>
          <w:rtl w:val="0"/>
          <w:lang w:val="en-US"/>
        </w:rPr>
        <w:t>Ambitious, capable learners who: set themselves high standards and seek and enjoy challenge</w:t>
      </w:r>
      <w:r>
        <w:rPr>
          <w:rFonts w:ascii="Times New Roman" w:hAnsi="Times New Roman" w:hint="default"/>
          <w:sz w:val="24"/>
          <w:szCs w:val="24"/>
          <w:rtl w:val="0"/>
          <w:lang w:val="en-US"/>
        </w:rPr>
        <w:t xml:space="preserve">… </w:t>
      </w:r>
      <w:r>
        <w:rPr>
          <w:rFonts w:ascii="Times New Roman" w:hAnsi="Times New Roman"/>
          <w:sz w:val="24"/>
          <w:szCs w:val="24"/>
          <w:rtl w:val="0"/>
          <w:lang w:val="en-US"/>
        </w:rPr>
        <w:t>Enterprising, creative contributors who:</w:t>
      </w:r>
      <w:r>
        <w:rPr>
          <w:rFonts w:ascii="Times New Roman" w:hAnsi="Times New Roman" w:hint="default"/>
          <w:sz w:val="24"/>
          <w:szCs w:val="24"/>
          <w:rtl w:val="0"/>
          <w:lang w:val="en-US"/>
        </w:rPr>
        <w:t>…</w:t>
      </w:r>
      <w:r>
        <w:rPr>
          <w:rFonts w:ascii="Times New Roman" w:hAnsi="Times New Roman"/>
          <w:sz w:val="24"/>
          <w:szCs w:val="24"/>
          <w:rtl w:val="0"/>
          <w:lang w:val="en-US"/>
        </w:rPr>
        <w:t>take measured risks.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(Welsh Government, 2015, p1). </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 xml:space="preserve">Rock Climbing Area  </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Rock Climbing Area will consist of a large, indoor climbing wall for roped climbing (so that bad weather does not limit opportunities for adventurous activities), a bouldering wall and outside there will be a number of real boulders where learners can test the skills they have learned on real rock in free time (boulder mats can be loaned from the nearby equipment shed).</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Some primary schools already have bouldering traverse walls. This development will offer progression through the option of more technically and physically demanding routes in the bouldering area. The roped climbing wall will offer progression and development of muscular strength and endurance (Siegel and Fryer, 2017) and it also offers opportunities to get students involved in route setting and rope skills which requires both creativity and development of fine motor skills. Since the school is located near the coast, there are many different climbing opportunities outside of school that students can engage in as their skills progress.</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In terms of physical literacy development, climbing involves manipulation; grasping, holding and gripping, balance; on one or two feet and transference of body weight and locomotion; pulling and pushing (</w:t>
      </w:r>
      <w:r>
        <w:rPr>
          <w:rFonts w:ascii="Times New Roman" w:hAnsi="Times New Roman"/>
          <w:sz w:val="24"/>
          <w:szCs w:val="24"/>
          <w:rtl w:val="0"/>
          <w:lang w:val="en-US"/>
        </w:rPr>
        <w:t>Durden-Myers, Green and Whitehead</w:t>
      </w:r>
      <w:r>
        <w:rPr>
          <w:rFonts w:ascii="Times New Roman" w:hAnsi="Times New Roman"/>
          <w:sz w:val="24"/>
          <w:szCs w:val="24"/>
          <w:rtl w:val="0"/>
          <w:lang w:val="en-US"/>
        </w:rPr>
        <w:t>,</w:t>
      </w:r>
      <w:r>
        <w:rPr>
          <w:rFonts w:ascii="Times New Roman" w:hAnsi="Times New Roman"/>
          <w:sz w:val="24"/>
          <w:szCs w:val="24"/>
          <w:rtl w:val="0"/>
        </w:rPr>
        <w:t xml:space="preserve"> 2018</w:t>
      </w:r>
      <w:r>
        <w:rPr>
          <w:rFonts w:ascii="Times New Roman" w:hAnsi="Times New Roman"/>
          <w:sz w:val="24"/>
          <w:szCs w:val="24"/>
          <w:rtl w:val="0"/>
          <w:lang w:val="en-US"/>
        </w:rPr>
        <w:t>). These are all Foundation movement patterns which are essential for developing more complex movement patterns that can also be applied to rock climbing as learners progress. It is important to note that skills developed through slacklining can be directly applied to rock climbing enabling students to apply what they have developed in a different context.</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Linking different movements together in climbing requires creativity and problem solving before the route is even climbed. Route reading is a skill that refers to simulating or visualising how the route will be climbed which requires visual information processing, memory and decision making </w:t>
      </w:r>
      <w:r>
        <w:rPr>
          <w:rFonts w:ascii="Times New Roman" w:hAnsi="Times New Roman"/>
          <w:sz w:val="24"/>
          <w:szCs w:val="24"/>
          <w:rtl w:val="0"/>
          <w:lang w:val="en-US"/>
        </w:rPr>
        <w:t>(Sugi, Nitu and Ishihara, 2022)</w:t>
      </w:r>
      <w:r>
        <w:rPr>
          <w:rFonts w:ascii="Times New Roman" w:hAnsi="Times New Roman"/>
          <w:sz w:val="24"/>
          <w:szCs w:val="24"/>
          <w:rtl w:val="0"/>
          <w:lang w:val="en-US"/>
        </w:rPr>
        <w:t xml:space="preserve">. This promotion for problem solving and decision making aligns with the pedagogical principle of </w:t>
      </w:r>
      <w:r>
        <w:rPr>
          <w:rFonts w:ascii="Times New Roman" w:hAnsi="Times New Roman" w:hint="default"/>
          <w:sz w:val="24"/>
          <w:szCs w:val="24"/>
          <w:rtl w:val="0"/>
          <w:lang w:val="en-US"/>
        </w:rPr>
        <w:t>“</w:t>
      </w:r>
      <w:r>
        <w:rPr>
          <w:rFonts w:ascii="Times New Roman" w:hAnsi="Times New Roman"/>
          <w:sz w:val="24"/>
          <w:szCs w:val="24"/>
          <w:rtl w:val="0"/>
          <w:lang w:val="en-US"/>
        </w:rPr>
        <w:t>promote problem solving, creative and critical thinking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(Welsh Government, 2022b) and the </w:t>
      </w:r>
      <w:r>
        <w:rPr>
          <w:rFonts w:ascii="Times New Roman" w:hAnsi="Times New Roman" w:hint="default"/>
          <w:sz w:val="24"/>
          <w:szCs w:val="24"/>
          <w:rtl w:val="0"/>
          <w:lang w:val="en-US"/>
        </w:rPr>
        <w:t>“</w:t>
      </w:r>
      <w:r>
        <w:rPr>
          <w:rFonts w:ascii="Times New Roman" w:hAnsi="Times New Roman"/>
          <w:sz w:val="24"/>
          <w:szCs w:val="24"/>
          <w:rtl w:val="0"/>
          <w:lang w:val="en-US"/>
        </w:rPr>
        <w:t>Enterprising, creative contributors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purpose </w:t>
      </w:r>
      <w:r>
        <w:rPr>
          <w:rFonts w:ascii="Times New Roman" w:hAnsi="Times New Roman" w:hint="default"/>
          <w:sz w:val="24"/>
          <w:szCs w:val="24"/>
          <w:rtl w:val="0"/>
          <w:lang w:val="en-US"/>
        </w:rPr>
        <w:t>“</w:t>
      </w:r>
      <w:r>
        <w:rPr>
          <w:rFonts w:ascii="Times New Roman" w:hAnsi="Times New Roman"/>
          <w:sz w:val="24"/>
          <w:szCs w:val="24"/>
          <w:rtl w:val="0"/>
          <w:lang w:val="en-US"/>
        </w:rPr>
        <w:t>who:</w:t>
      </w:r>
      <w:r>
        <w:rPr>
          <w:rFonts w:ascii="Times New Roman" w:hAnsi="Times New Roman" w:hint="default"/>
          <w:sz w:val="24"/>
          <w:szCs w:val="24"/>
          <w:rtl w:val="0"/>
          <w:lang w:val="en-US"/>
        </w:rPr>
        <w:t>…</w:t>
      </w:r>
      <w:r>
        <w:rPr>
          <w:rFonts w:ascii="Times New Roman" w:hAnsi="Times New Roman"/>
          <w:sz w:val="24"/>
          <w:szCs w:val="24"/>
          <w:rtl w:val="0"/>
          <w:lang w:val="en-US"/>
        </w:rPr>
        <w:t>think creatively to reframe and solve problems</w:t>
      </w:r>
      <w:r>
        <w:rPr>
          <w:rFonts w:ascii="Times New Roman" w:hAnsi="Times New Roman" w:hint="default"/>
          <w:sz w:val="24"/>
          <w:szCs w:val="24"/>
          <w:rtl w:val="0"/>
          <w:lang w:val="en-US"/>
        </w:rPr>
        <w:t xml:space="preserve">” </w:t>
      </w:r>
      <w:r>
        <w:rPr>
          <w:rFonts w:ascii="Times New Roman" w:hAnsi="Times New Roman"/>
          <w:sz w:val="24"/>
          <w:szCs w:val="24"/>
          <w:rtl w:val="0"/>
          <w:lang w:val="en-US"/>
        </w:rPr>
        <w:t>(Welsh Government, 2015, p1).</w:t>
      </w:r>
    </w:p>
    <w:p>
      <w:pPr>
        <w:pStyle w:val="Body"/>
        <w:rPr>
          <w:rFonts w:ascii="Times New Roman" w:cs="Times New Roman" w:hAnsi="Times New Roman" w:eastAsia="Times New Roman"/>
          <w:sz w:val="24"/>
          <w:szCs w:val="24"/>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Rock climbing can also facilitate learning in other AoLEs such as Science and Technology and Mathematics and Numeracy. Climbing (especially with ropes and other safety equipment) can be used to explore forces, gravity, friction, fall velocity, and angles. These cross overs into other AoLEs can enable students to see how these concepts apply to real world context through authentic experiential learning, which is another important factor in the pedagogical model for adventurous activities (Williams &amp; Wainwright, 2019).</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In conclusion, it is clear that with inactivity and mental health issues on the rise, schools have a responsibility to consider the wellness of their students of the upmost importance and to provide them as much as possible with the facilities that will maintain their physical, mental and emotional health. Current school grounds simply do not provide these facilities and affordances necessary to nurture their students in this way. However, with a few developments that promote outdoor and adventurous activities, we have the chance to help young people flourish and fulfil their full potential as healthy, lifelong learners.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Word count: 2479</w:t>
      </w:r>
    </w:p>
    <w:p>
      <w:pPr>
        <w:pStyle w:val="Body"/>
        <w:rPr>
          <w:rFonts w:ascii="Times New Roman" w:cs="Times New Roman" w:hAnsi="Times New Roman" w:eastAsia="Times New Roman"/>
          <w:sz w:val="24"/>
          <w:szCs w:val="24"/>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See appendix for layout of school grounds.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References</w:t>
      </w:r>
    </w:p>
    <w:p>
      <w:pPr>
        <w:pStyle w:val="Body"/>
        <w:rPr>
          <w:rFonts w:ascii="Times New Roman" w:cs="Times New Roman" w:hAnsi="Times New Roman" w:eastAsia="Times New Roman"/>
          <w:sz w:val="24"/>
          <w:szCs w:val="24"/>
          <w:u w:val="single"/>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rPr>
        <w:t>Arslantas</w:t>
      </w:r>
      <w:r>
        <w:rPr>
          <w:rFonts w:ascii="Times New Roman" w:hAnsi="Times New Roman" w:hint="default"/>
          <w:rtl w:val="0"/>
        </w:rPr>
        <w:t>̧</w:t>
      </w:r>
      <w:r>
        <w:rPr>
          <w:rFonts w:ascii="Times New Roman" w:hAnsi="Times New Roman"/>
          <w:rtl w:val="0"/>
          <w:lang w:val="en-US"/>
        </w:rPr>
        <w:t xml:space="preserve">, </w:t>
      </w:r>
      <w:r>
        <w:rPr>
          <w:rFonts w:ascii="Times New Roman" w:hAnsi="Times New Roman" w:hint="default"/>
          <w:rtl w:val="0"/>
        </w:rPr>
        <w:t>Ç</w:t>
      </w:r>
      <w:r>
        <w:rPr>
          <w:rFonts w:ascii="Times New Roman" w:hAnsi="Times New Roman"/>
          <w:rtl w:val="0"/>
        </w:rPr>
        <w:t>.N. &amp; Bavl</w:t>
      </w:r>
      <w:r>
        <w:rPr>
          <w:rFonts w:ascii="Times New Roman" w:hAnsi="Times New Roman" w:hint="default"/>
          <w:rtl w:val="0"/>
        </w:rPr>
        <w:t>ı</w:t>
      </w:r>
      <w:r>
        <w:rPr>
          <w:rFonts w:ascii="Times New Roman" w:hAnsi="Times New Roman"/>
          <w:rtl w:val="0"/>
          <w:lang w:val="en-US"/>
        </w:rPr>
        <w:t>, B.</w:t>
      </w:r>
      <w:r>
        <w:rPr>
          <w:rFonts w:ascii="Times New Roman" w:hAnsi="Times New Roman"/>
          <w:rtl w:val="0"/>
          <w:lang w:val="en-US"/>
        </w:rPr>
        <w:t xml:space="preserve"> (2022): School-based outdoor education: a neglected practice at secondary level, Journal of Adventure Education and Outdoor Learning, DOI: 10.1080/14729679.2022.2143385</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Durden-Myers, E.J., Green, N.R., and Whitehead, M.E. (2018) Implications for Promoting Physical Literacy. Journal of Teaching in Physical Education, 37, 262-271</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Falout, J. (2014) </w:t>
      </w:r>
      <w:r>
        <w:rPr>
          <w:rFonts w:ascii="Times New Roman" w:hAnsi="Times New Roman"/>
          <w:i w:val="1"/>
          <w:iCs w:val="1"/>
          <w:sz w:val="24"/>
          <w:szCs w:val="24"/>
          <w:rtl w:val="0"/>
          <w:lang w:val="en-US"/>
        </w:rPr>
        <w:t>Circular seating arrangements: Approaching the social crux in language classrooms</w:t>
      </w:r>
      <w:r>
        <w:rPr>
          <w:rFonts w:ascii="Times New Roman" w:hAnsi="Times New Roman"/>
          <w:sz w:val="24"/>
          <w:szCs w:val="24"/>
          <w:rtl w:val="0"/>
          <w:lang w:val="en-US"/>
        </w:rPr>
        <w:t xml:space="preserve">. Studies in Second Language Learning and Teaching. Department of English Studies, Faculty of Pedagogy and Fine Arts, Adam Mickiewicz University, Kalisz SSLLT 4 (2). 2014. 275-300 DOI: 10.14746/ssllt.2014.4.2.6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"http://www.ssllt.amu.edu.pl"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http://www.ssllt.amu.edu.pl</w:t>
      </w:r>
      <w:r>
        <w:rPr>
          <w:rFonts w:ascii="Times New Roman" w:cs="Times New Roman" w:hAnsi="Times New Roman" w:eastAsia="Times New Roman"/>
          <w:sz w:val="24"/>
          <w:szCs w:val="24"/>
        </w:rPr>
        <w:fldChar w:fldCharType="end" w:fldLock="0"/>
      </w:r>
    </w:p>
    <w:p>
      <w:pPr>
        <w:pStyle w:val="Body"/>
        <w:rPr>
          <w:rFonts w:ascii="Times New Roman" w:cs="Times New Roman" w:hAnsi="Times New Roman" w:eastAsia="Times New Roman"/>
          <w:sz w:val="24"/>
          <w:szCs w:val="24"/>
        </w:rPr>
      </w:pPr>
    </w:p>
    <w:p>
      <w:pPr>
        <w:pStyle w:val="Default"/>
        <w:bidi w:val="0"/>
        <w:spacing w:before="0" w:line="240" w:lineRule="auto"/>
        <w:ind w:left="0" w:right="1368" w:firstLine="0"/>
        <w:jc w:val="left"/>
        <w:rPr>
          <w:rFonts w:ascii="Times New Roman" w:cs="Times New Roman" w:hAnsi="Times New Roman" w:eastAsia="Times New Roman"/>
          <w:rtl w:val="0"/>
        </w:rPr>
      </w:pPr>
      <w:r>
        <w:rPr>
          <w:rFonts w:ascii="Times New Roman" w:hAnsi="Times New Roman"/>
          <w:rtl w:val="0"/>
        </w:rPr>
        <w:t>Fisku</w:t>
      </w:r>
      <w:r>
        <w:rPr>
          <w:rFonts w:ascii="Times New Roman" w:hAnsi="Times New Roman"/>
          <w:rtl w:val="0"/>
          <w:lang w:val="en-US"/>
        </w:rPr>
        <w:t xml:space="preserve">m, T.A., &amp; Jacobsen, K. (2013) </w:t>
      </w:r>
      <w:r>
        <w:rPr>
          <w:rFonts w:ascii="Times New Roman" w:hAnsi="Times New Roman" w:hint="default"/>
          <w:rtl w:val="0"/>
          <w:lang w:val="en-US"/>
        </w:rPr>
        <w:t>“</w:t>
      </w:r>
      <w:r>
        <w:rPr>
          <w:rFonts w:ascii="Times New Roman" w:hAnsi="Times New Roman"/>
          <w:rtl w:val="0"/>
          <w:lang w:val="en-US"/>
        </w:rPr>
        <w:t xml:space="preserve">Outdoor Education gives fewer demands for action regulation and an increased variability of affordances </w:t>
      </w:r>
      <w:r>
        <w:rPr>
          <w:rFonts w:ascii="Times New Roman" w:hAnsi="Times New Roman" w:hint="default"/>
          <w:rtl w:val="0"/>
          <w:lang w:val="en-US"/>
        </w:rPr>
        <w:t xml:space="preserve">“ </w:t>
      </w:r>
      <w:r>
        <w:rPr>
          <w:rFonts w:ascii="Times New Roman" w:hAnsi="Times New Roman"/>
          <w:rtl w:val="0"/>
          <w:lang w:val="en-US"/>
        </w:rPr>
        <w:t xml:space="preserve">Journal of Adventure Education &amp; Outdoor Learning. </w:t>
      </w:r>
      <w:r>
        <w:rPr>
          <w:rFonts w:ascii="Times New Roman" w:hAnsi="Times New Roman"/>
          <w:rtl w:val="0"/>
          <w:lang w:val="it-IT"/>
        </w:rPr>
        <w:t>Vol. 13, No. 1, 76</w:t>
      </w:r>
      <w:r>
        <w:rPr>
          <w:rFonts w:ascii="Times New Roman" w:hAnsi="Times New Roman" w:hint="default"/>
          <w:rtl w:val="0"/>
        </w:rPr>
        <w:t>–</w:t>
      </w:r>
      <w:r>
        <w:rPr>
          <w:rFonts w:ascii="Times New Roman" w:hAnsi="Times New Roman"/>
          <w:rtl w:val="0"/>
        </w:rPr>
        <w:t xml:space="preserve">99, </w:t>
      </w:r>
      <w:r>
        <w:rPr>
          <w:rStyle w:val="Hyperlink.1"/>
          <w:rFonts w:ascii="Times New Roman" w:cs="Times New Roman" w:hAnsi="Times New Roman" w:eastAsia="Times New Roman"/>
          <w:rtl w:val="0"/>
        </w:rPr>
        <w:fldChar w:fldCharType="begin" w:fldLock="0"/>
      </w:r>
      <w:r>
        <w:rPr>
          <w:rStyle w:val="Hyperlink.1"/>
          <w:rFonts w:ascii="Times New Roman" w:cs="Times New Roman" w:hAnsi="Times New Roman" w:eastAsia="Times New Roman"/>
          <w:rtl w:val="0"/>
        </w:rPr>
        <w:instrText xml:space="preserve"> HYPERLINK "http://dx.doi.org/10.1080/14729679.2012.702532"</w:instrText>
      </w:r>
      <w:r>
        <w:rPr>
          <w:rStyle w:val="Hyperlink.1"/>
          <w:rFonts w:ascii="Times New Roman" w:cs="Times New Roman" w:hAnsi="Times New Roman" w:eastAsia="Times New Roman"/>
          <w:rtl w:val="0"/>
        </w:rPr>
        <w:fldChar w:fldCharType="separate" w:fldLock="0"/>
      </w:r>
      <w:r>
        <w:rPr>
          <w:rStyle w:val="Hyperlink.1"/>
          <w:rFonts w:ascii="Times New Roman" w:hAnsi="Times New Roman"/>
          <w:rtl w:val="0"/>
          <w:lang w:val="en-US"/>
        </w:rPr>
        <w:t>http://dx.doi.org/10.1080/14729679.2012.702532</w:t>
      </w:r>
      <w:r>
        <w:rPr>
          <w:rFonts w:ascii="Times New Roman" w:cs="Times New Roman" w:hAnsi="Times New Roman" w:eastAsia="Times New Roman"/>
          <w:rtl w:val="0"/>
        </w:rPr>
        <w:fldChar w:fldCharType="end" w:fldLock="0"/>
      </w:r>
    </w:p>
    <w:p>
      <w:pPr>
        <w:pStyle w:val="Default"/>
        <w:bidi w:val="0"/>
        <w:spacing w:before="0" w:line="240" w:lineRule="auto"/>
        <w:ind w:left="0" w:right="1368" w:firstLine="0"/>
        <w:jc w:val="left"/>
        <w:rPr>
          <w:rFonts w:ascii="Times New Roman" w:cs="Times New Roman" w:hAnsi="Times New Roman" w:eastAsia="Times New Roman"/>
          <w:rtl w:val="0"/>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Future Generations Commissioner for Wales (2015) Well-being of Future Generations (Wales) Act; A Healthier Wales; An active nation.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"https://www.futuregenerations.wales/wp-content/uploads/2019/11/FINAL-Healthier-Wales-Topic-2.pdf"</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https://www.futuregenerations.wales/wp-content/uploads/2019/11/FINAL-Healthier-Wales-Topic-2.pdf</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on: 30th November 2022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Gibson, J.J. (1986) The Ecological Approach To Visual Perception. Lawrence Erlbaum Associates, Publishers: Hillsdale, New Jersey.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Grinde, B., &amp; Patil, G.G. (2009) </w:t>
      </w:r>
      <w:r>
        <w:rPr>
          <w:rStyle w:val="None"/>
          <w:rFonts w:ascii="Times New Roman" w:hAnsi="Times New Roman"/>
          <w:i w:val="1"/>
          <w:iCs w:val="1"/>
          <w:sz w:val="24"/>
          <w:szCs w:val="24"/>
          <w:rtl w:val="0"/>
          <w:lang w:val="en-US"/>
        </w:rPr>
        <w:t xml:space="preserve">Biophilia: </w:t>
      </w:r>
      <w:r>
        <w:rPr>
          <w:rStyle w:val="None"/>
          <w:rFonts w:ascii="Times New Roman" w:hAnsi="Times New Roman"/>
          <w:i w:val="1"/>
          <w:iCs w:val="1"/>
          <w:sz w:val="24"/>
          <w:szCs w:val="24"/>
          <w:rtl w:val="0"/>
          <w:lang w:val="en-US"/>
        </w:rPr>
        <w:t>Does Visual Contact with Nature Impact on Health and Well-Being?</w:t>
      </w:r>
      <w:r>
        <w:rPr>
          <w:rFonts w:ascii="Times New Roman" w:hAnsi="Times New Roman"/>
          <w:sz w:val="24"/>
          <w:szCs w:val="24"/>
          <w:rtl w:val="0"/>
          <w:lang w:val="en-US"/>
        </w:rPr>
        <w:t xml:space="preserve"> </w:t>
      </w:r>
      <w:r>
        <w:rPr>
          <w:rFonts w:ascii="Times New Roman" w:hAnsi="Times New Roman"/>
          <w:sz w:val="24"/>
          <w:szCs w:val="24"/>
          <w:rtl w:val="0"/>
          <w:lang w:val="en-US"/>
        </w:rPr>
        <w:t>Int. J. Environ. Res. Public Health</w:t>
      </w:r>
      <w:r>
        <w:rPr>
          <w:rFonts w:ascii="Times New Roman" w:hAnsi="Times New Roman"/>
          <w:sz w:val="24"/>
          <w:szCs w:val="24"/>
          <w:rtl w:val="0"/>
          <w:lang w:val="en-US"/>
        </w:rPr>
        <w:t>)</w:t>
      </w:r>
      <w:r>
        <w:rPr>
          <w:rFonts w:ascii="Times New Roman" w:hAnsi="Times New Roman"/>
          <w:sz w:val="24"/>
          <w:szCs w:val="24"/>
          <w:rtl w:val="0"/>
        </w:rPr>
        <w:t xml:space="preserve"> 2009, 6, 2332-2343; doi:10.3390/ijerph6092332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rPr>
        <w:t>Jurbala</w:t>
      </w:r>
      <w:r>
        <w:rPr>
          <w:rFonts w:ascii="Times New Roman" w:hAnsi="Times New Roman"/>
          <w:rtl w:val="0"/>
          <w:lang w:val="en-US"/>
        </w:rPr>
        <w:t>, P.</w:t>
      </w:r>
      <w:r>
        <w:rPr>
          <w:rFonts w:ascii="Times New Roman" w:hAnsi="Times New Roman"/>
          <w:rtl w:val="0"/>
          <w:lang w:val="en-US"/>
        </w:rPr>
        <w:t xml:space="preserve"> (2015) What Is Physical Literacy, Really?, Quest, 67:4, 367-383, DOI: 10.1080/00336297.2015.1084341</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Kirk, D. (2021)</w:t>
      </w:r>
      <w:r>
        <w:rPr>
          <w:rStyle w:val="None"/>
          <w:rFonts w:ascii="Times New Roman" w:hAnsi="Times New Roman"/>
          <w:i w:val="1"/>
          <w:iCs w:val="1"/>
          <w:rtl w:val="0"/>
          <w:lang w:val="en-US"/>
        </w:rPr>
        <w:t xml:space="preserve"> </w:t>
      </w:r>
      <w:r>
        <w:rPr>
          <w:rStyle w:val="None"/>
          <w:rFonts w:ascii="Times New Roman" w:hAnsi="Times New Roman"/>
          <w:i w:val="1"/>
          <w:iCs w:val="1"/>
          <w:rtl w:val="0"/>
        </w:rPr>
        <w:t>P</w:t>
      </w:r>
      <w:r>
        <w:rPr>
          <w:rStyle w:val="None"/>
          <w:rFonts w:ascii="Times New Roman" w:hAnsi="Times New Roman"/>
          <w:i w:val="1"/>
          <w:iCs w:val="1"/>
          <w:rtl w:val="0"/>
          <w:lang w:val="en-US"/>
        </w:rPr>
        <w:t>recarity, The Health and Wellbeing of Children and Young People, and Pedagogies of Affect in Physical Education-as-Health Promotion</w:t>
      </w:r>
      <w:r>
        <w:rPr>
          <w:rFonts w:ascii="Times New Roman" w:hAnsi="Times New Roman"/>
          <w:rtl w:val="0"/>
          <w:lang w:val="en-US"/>
        </w:rPr>
        <w:t xml:space="preserve">. </w:t>
      </w:r>
      <w:r>
        <w:rPr>
          <w:rFonts w:ascii="Times New Roman" w:hAnsi="Times New Roman" w:hint="default"/>
          <w:rtl w:val="0"/>
          <w:lang w:val="fr-FR"/>
        </w:rPr>
        <w:t>É</w:t>
      </w:r>
      <w:r>
        <w:rPr>
          <w:rFonts w:ascii="Times New Roman" w:hAnsi="Times New Roman"/>
          <w:rtl w:val="0"/>
          <w:lang w:val="fr-FR"/>
        </w:rPr>
        <w:t>ducation &amp; Didactique, 2021, vol. 15, n</w:t>
      </w:r>
      <w:r>
        <w:rPr>
          <w:rFonts w:ascii="Times New Roman" w:hAnsi="Times New Roman"/>
          <w:rtl w:val="0"/>
          <w:lang w:val="en-US"/>
        </w:rPr>
        <w:t>o.</w:t>
      </w:r>
      <w:r>
        <w:rPr>
          <w:rStyle w:val="None"/>
          <w:rFonts w:ascii="Times New Roman" w:hAnsi="Times New Roman"/>
          <w:position w:val="8"/>
          <w:sz w:val="16"/>
          <w:szCs w:val="16"/>
          <w:rtl w:val="0"/>
        </w:rPr>
        <w:t xml:space="preserve"> </w:t>
      </w:r>
      <w:r>
        <w:rPr>
          <w:rFonts w:ascii="Times New Roman" w:hAnsi="Times New Roman"/>
          <w:rtl w:val="0"/>
        </w:rPr>
        <w:t>3, p. 165-178</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Louv, R. (2005) </w:t>
      </w:r>
      <w:r>
        <w:rPr>
          <w:rFonts w:ascii="Times New Roman" w:hAnsi="Times New Roman"/>
          <w:rtl w:val="0"/>
          <w:lang w:val="en-US"/>
        </w:rPr>
        <w:t>Last child in the Woods. saving our childre</w:t>
      </w:r>
      <w:r>
        <w:rPr>
          <w:rFonts w:ascii="Times New Roman" w:hAnsi="Times New Roman"/>
          <w:rtl w:val="0"/>
          <w:lang w:val="en-US"/>
        </w:rPr>
        <w:t>n</w:t>
      </w:r>
      <w:r>
        <w:rPr>
          <w:rFonts w:ascii="Times New Roman" w:hAnsi="Times New Roman"/>
          <w:rtl w:val="0"/>
          <w:lang w:val="en-US"/>
        </w:rPr>
        <w:t xml:space="preserve"> from Nature -Deficit Disorder.</w:t>
      </w:r>
      <w:r>
        <w:rPr>
          <w:rFonts w:ascii="Times New Roman" w:hAnsi="Times New Roman" w:hint="default"/>
          <w:rtl w:val="0"/>
        </w:rPr>
        <w:t> </w:t>
      </w:r>
      <w:r>
        <w:rPr>
          <w:rFonts w:ascii="Times New Roman" w:hAnsi="Times New Roman"/>
          <w:rtl w:val="0"/>
          <w:lang w:val="en-US"/>
        </w:rPr>
        <w:t>London: Atlantic books.</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Mental Health Wales (2020) </w:t>
      </w:r>
      <w:r>
        <w:rPr>
          <w:rStyle w:val="None"/>
          <w:rFonts w:ascii="Times New Roman" w:hAnsi="Times New Roman"/>
          <w:i w:val="1"/>
          <w:iCs w:val="1"/>
          <w:rtl w:val="0"/>
          <w:lang w:val="en-US"/>
        </w:rPr>
        <w:t>Three out of five children and young people coping with emotional and mental health issues every week in Wales</w:t>
      </w:r>
      <w:r>
        <w:rPr>
          <w:rStyle w:val="None"/>
          <w:rFonts w:ascii="Times New Roman" w:hAnsi="Times New Roman"/>
          <w:i w:val="1"/>
          <w:iCs w:val="1"/>
          <w:rtl w:val="0"/>
          <w:lang w:val="en-US"/>
        </w:rPr>
        <w:t xml:space="preserve">. </w:t>
      </w:r>
      <w:r>
        <w:rPr>
          <w:rFonts w:ascii="Times New Roman" w:hAnsi="Times New Roman"/>
          <w:rtl w:val="0"/>
          <w:lang w:val="en-US"/>
        </w:rPr>
        <w:t xml:space="preserve">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"https://www.mentalhealthwales.net/2020/10/three-out-of-five-children-and-young-people-coping-with-emotional-and-mental-health-issues-every-week-in-wales/"</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https://www.mentalhealthwales.net/2020/10/three-out-of-five-children-and-young-people-coping-with-emotional-and-mental-health-issues-every-week-in-wales/</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on: </w:t>
      </w:r>
      <w:r>
        <w:rPr>
          <w:rFonts w:ascii="Times New Roman" w:hAnsi="Times New Roman"/>
          <w:rtl w:val="0"/>
          <w:lang w:val="en-US"/>
        </w:rPr>
        <w:t>26th November 2022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NHS (2019) 5 Steps to mental wellbeing.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"https://www.nhs.uk/mental-health/self-help/guides-tools-and-activities/five-steps-to-mental-wellbeing/"</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https://www.nhs.uk/mental-health/self-help/guides-tools-and-activities/five-steps-to-mental-wellbeing/</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on: </w:t>
      </w:r>
      <w:r>
        <w:rPr>
          <w:rFonts w:ascii="Times New Roman" w:hAnsi="Times New Roman"/>
          <w:rtl w:val="0"/>
          <w:lang w:val="en-US"/>
        </w:rPr>
        <w:t>26th November 2022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NHS Digital (2021) Significant increases in obesity rates among primary-aged children, latest statistics show. Available at: </w:t>
      </w:r>
      <w:r>
        <w:rPr>
          <w:rFonts w:ascii="Times New Roman" w:hAnsi="Times New Roman"/>
          <w:rtl w:val="0"/>
          <w:lang w:val="en-US"/>
        </w:rPr>
        <w:t>https://digital.nhs.uk/news/2021/significant-increase-in-obesity-rates-among-primary-aged-children-latest-statistics-show</w:t>
      </w:r>
      <w:r>
        <w:rPr>
          <w:rFonts w:ascii="Times New Roman" w:hAnsi="Times New Roman"/>
          <w:rtl w:val="0"/>
          <w:lang w:val="en-US"/>
        </w:rPr>
        <w:t>. Accessed on: 30th November 2022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Office for Health Improvement &amp; Disparities (2022) Guidance. Physical Activity: applying All Our Health.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"https://www.gov.uk/government/publications/physical-activity-applying-all-our-health/physical-activity-applying-all-our-health"</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https://www.gov.uk/government/publications/physical-activity-applying-all-our-health/physical-activity-applying-all-our-health</w:t>
      </w:r>
      <w:r>
        <w:rPr>
          <w:rFonts w:ascii="Times New Roman" w:cs="Times New Roman" w:hAnsi="Times New Roman" w:eastAsia="Times New Roman"/>
          <w:rtl w:val="0"/>
        </w:rPr>
        <w:fldChar w:fldCharType="end" w:fldLock="0"/>
      </w:r>
      <w:r>
        <w:rPr>
          <w:rFonts w:ascii="Times New Roman" w:hAnsi="Times New Roman"/>
          <w:rtl w:val="0"/>
          <w:lang w:val="en-US"/>
        </w:rPr>
        <w:t xml:space="preserve">. </w:t>
      </w:r>
      <w:r>
        <w:rPr>
          <w:rFonts w:ascii="Times New Roman" w:hAnsi="Times New Roman"/>
          <w:rtl w:val="0"/>
          <w:lang w:val="en-US"/>
        </w:rPr>
        <w:t>Accessed on: 30th November 2022</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Piccininni, C., Michaelson, V., Janssen, I., &amp; Pickett, W. (2018) Outdoor play and nature connectedness as potential correlates of internalised mental health symptoms among Canadian adolescents. Preventative Medicine 112 (2018) 168-175</w:t>
      </w:r>
    </w:p>
    <w:p>
      <w:pPr>
        <w:pStyle w:val="Default"/>
        <w:bidi w:val="0"/>
        <w:spacing w:before="0" w:line="240" w:lineRule="auto"/>
        <w:ind w:left="0" w:right="1368" w:firstLine="0"/>
        <w:jc w:val="left"/>
        <w:rPr>
          <w:rFonts w:ascii="Times New Roman" w:cs="Times New Roman" w:hAnsi="Times New Roman" w:eastAsia="Times New Roman"/>
          <w:sz w:val="32"/>
          <w:szCs w:val="32"/>
          <w:rtl w:val="0"/>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Pretty, J., Peacock, J.,  Sellens, M., &amp; Griffin, M. (2005) </w:t>
      </w:r>
      <w:r>
        <w:rPr>
          <w:rStyle w:val="None"/>
          <w:rFonts w:ascii="Times New Roman" w:hAnsi="Times New Roman"/>
          <w:i w:val="1"/>
          <w:iCs w:val="1"/>
          <w:sz w:val="24"/>
          <w:szCs w:val="24"/>
          <w:rtl w:val="0"/>
          <w:lang w:val="en-US"/>
        </w:rPr>
        <w:t>The mental and physical health outcomes of green exercise</w:t>
      </w:r>
      <w:r>
        <w:rPr>
          <w:rFonts w:ascii="Times New Roman" w:hAnsi="Times New Roman"/>
          <w:sz w:val="24"/>
          <w:szCs w:val="24"/>
          <w:rtl w:val="0"/>
          <w:lang w:val="en-US"/>
        </w:rPr>
        <w:t>. International Journal of Environmental Health Research. 15(5): 319-337</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Siegel</w:t>
      </w:r>
      <w:r>
        <w:rPr>
          <w:rFonts w:ascii="Times New Roman" w:hAnsi="Times New Roman"/>
          <w:shd w:val="clear" w:color="auto" w:fill="ffffff"/>
          <w:rtl w:val="0"/>
          <w:lang w:val="en-US"/>
        </w:rPr>
        <w:t>,</w:t>
      </w:r>
      <w:r>
        <w:rPr>
          <w:rFonts w:ascii="Times New Roman" w:hAnsi="Times New Roman"/>
          <w:shd w:val="clear" w:color="auto" w:fill="ffffff"/>
          <w:rtl w:val="0"/>
        </w:rPr>
        <w:t xml:space="preserve"> S</w:t>
      </w:r>
      <w:r>
        <w:rPr>
          <w:rFonts w:ascii="Times New Roman" w:hAnsi="Times New Roman"/>
          <w:shd w:val="clear" w:color="auto" w:fill="ffffff"/>
          <w:rtl w:val="0"/>
          <w:lang w:val="en-US"/>
        </w:rPr>
        <w:t>.</w:t>
      </w:r>
      <w:r>
        <w:rPr>
          <w:rFonts w:ascii="Times New Roman" w:hAnsi="Times New Roman"/>
          <w:shd w:val="clear" w:color="auto" w:fill="ffffff"/>
          <w:rtl w:val="0"/>
        </w:rPr>
        <w:t>R</w:t>
      </w:r>
      <w:r>
        <w:rPr>
          <w:rFonts w:ascii="Times New Roman" w:hAnsi="Times New Roman"/>
          <w:shd w:val="clear" w:color="auto" w:fill="ffffff"/>
          <w:rtl w:val="0"/>
          <w:lang w:val="en-US"/>
        </w:rPr>
        <w:t>.</w:t>
      </w:r>
      <w:r>
        <w:rPr>
          <w:rFonts w:ascii="Times New Roman" w:hAnsi="Times New Roman"/>
          <w:shd w:val="clear" w:color="auto" w:fill="ffffff"/>
          <w:rtl w:val="0"/>
        </w:rPr>
        <w:t>,</w:t>
      </w:r>
      <w:r>
        <w:rPr>
          <w:rFonts w:ascii="Times New Roman" w:hAnsi="Times New Roman"/>
          <w:shd w:val="clear" w:color="auto" w:fill="ffffff"/>
          <w:rtl w:val="0"/>
          <w:lang w:val="en-US"/>
        </w:rPr>
        <w:t xml:space="preserve"> and</w:t>
      </w:r>
      <w:r>
        <w:rPr>
          <w:rFonts w:ascii="Times New Roman" w:hAnsi="Times New Roman"/>
          <w:shd w:val="clear" w:color="auto" w:fill="ffffff"/>
          <w:rtl w:val="0"/>
          <w:lang w:val="en-US"/>
        </w:rPr>
        <w:t xml:space="preserve"> Fryer</w:t>
      </w:r>
      <w:r>
        <w:rPr>
          <w:rFonts w:ascii="Times New Roman" w:hAnsi="Times New Roman"/>
          <w:shd w:val="clear" w:color="auto" w:fill="ffffff"/>
          <w:rtl w:val="0"/>
          <w:lang w:val="en-US"/>
        </w:rPr>
        <w:t>,</w:t>
      </w:r>
      <w:r>
        <w:rPr>
          <w:rFonts w:ascii="Times New Roman" w:hAnsi="Times New Roman"/>
          <w:shd w:val="clear" w:color="auto" w:fill="ffffff"/>
          <w:rtl w:val="0"/>
        </w:rPr>
        <w:t xml:space="preserve"> S</w:t>
      </w:r>
      <w:r>
        <w:rPr>
          <w:rFonts w:ascii="Times New Roman" w:hAnsi="Times New Roman"/>
          <w:shd w:val="clear" w:color="auto" w:fill="ffffff"/>
          <w:rtl w:val="0"/>
          <w:lang w:val="en-US"/>
        </w:rPr>
        <w:t>.</w:t>
      </w:r>
      <w:r>
        <w:rPr>
          <w:rFonts w:ascii="Times New Roman" w:hAnsi="Times New Roman"/>
          <w:shd w:val="clear" w:color="auto" w:fill="ffffff"/>
          <w:rtl w:val="0"/>
        </w:rPr>
        <w:t xml:space="preserve">M. </w:t>
      </w:r>
      <w:r>
        <w:rPr>
          <w:rFonts w:ascii="Times New Roman" w:hAnsi="Times New Roman"/>
          <w:shd w:val="clear" w:color="auto" w:fill="ffffff"/>
          <w:rtl w:val="0"/>
          <w:lang w:val="en-US"/>
        </w:rPr>
        <w:t xml:space="preserve">(2017) </w:t>
      </w:r>
      <w:r>
        <w:rPr>
          <w:rFonts w:ascii="Times New Roman" w:hAnsi="Times New Roman"/>
          <w:shd w:val="clear" w:color="auto" w:fill="ffffff"/>
          <w:rtl w:val="0"/>
          <w:lang w:val="en-US"/>
        </w:rPr>
        <w:t xml:space="preserve">Rock Climbing for Promoting Physical Activity in Youth. </w:t>
      </w:r>
      <w:r>
        <w:rPr>
          <w:rStyle w:val="None"/>
          <w:rFonts w:ascii="Times New Roman" w:hAnsi="Times New Roman"/>
          <w:i w:val="1"/>
          <w:iCs w:val="1"/>
          <w:shd w:val="clear" w:color="auto" w:fill="ffffff"/>
          <w:rtl w:val="0"/>
          <w:lang w:val="en-US"/>
        </w:rPr>
        <w:t>American Journal of Lifestyle Medicine</w:t>
      </w:r>
      <w:r>
        <w:rPr>
          <w:rFonts w:ascii="Times New Roman" w:hAnsi="Times New Roman"/>
          <w:shd w:val="clear" w:color="auto" w:fill="ffffff"/>
          <w:rtl w:val="0"/>
        </w:rPr>
        <w:t>. 2017;11(3):243-251. doi:</w:t>
      </w:r>
      <w:r>
        <w:rPr>
          <w:rStyle w:val="Hyperlink.2"/>
          <w:rFonts w:ascii="Times New Roman" w:cs="Times New Roman" w:hAnsi="Times New Roman" w:eastAsia="Times New Roman"/>
          <w:shd w:val="clear" w:color="auto" w:fill="ffffff"/>
          <w:rtl w:val="0"/>
        </w:rPr>
        <w:fldChar w:fldCharType="begin" w:fldLock="0"/>
      </w:r>
      <w:r>
        <w:rPr>
          <w:rStyle w:val="Hyperlink.2"/>
          <w:rFonts w:ascii="Times New Roman" w:cs="Times New Roman" w:hAnsi="Times New Roman" w:eastAsia="Times New Roman"/>
          <w:shd w:val="clear" w:color="auto" w:fill="ffffff"/>
          <w:rtl w:val="0"/>
        </w:rPr>
        <w:instrText xml:space="preserve"> HYPERLINK "https://doi.org/10.1177/1559827615592345"</w:instrText>
      </w:r>
      <w:r>
        <w:rPr>
          <w:rStyle w:val="Hyperlink.2"/>
          <w:rFonts w:ascii="Times New Roman" w:cs="Times New Roman" w:hAnsi="Times New Roman" w:eastAsia="Times New Roman"/>
          <w:shd w:val="clear" w:color="auto" w:fill="ffffff"/>
          <w:rtl w:val="0"/>
        </w:rPr>
        <w:fldChar w:fldCharType="separate" w:fldLock="0"/>
      </w:r>
      <w:r>
        <w:rPr>
          <w:rStyle w:val="Hyperlink.2"/>
          <w:rFonts w:ascii="Times New Roman" w:hAnsi="Times New Roman"/>
          <w:shd w:val="clear" w:color="auto" w:fill="ffffff"/>
          <w:rtl w:val="0"/>
          <w:lang w:val="pt-PT"/>
        </w:rPr>
        <w:t>10.1177/1559827615592345</w:t>
      </w:r>
      <w:r>
        <w:rPr>
          <w:rFonts w:ascii="Times New Roman" w:cs="Times New Roman" w:hAnsi="Times New Roman" w:eastAsia="Times New Roman"/>
          <w:shd w:val="clear" w:color="auto" w:fill="ffffff"/>
          <w:rtl w:val="0"/>
        </w:rPr>
        <w:fldChar w:fldCharType="end" w:fldLock="0"/>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Sugi, T., Nitu, A.M., and Ishihara, M. (2022) The Effect of Simulating Climbing Movements on Rock Memory and Exploratory Movement in Rock Climbing. Perceptual and Motor Skills. Vol.129(3) 528-553</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Tyson, P., Wilson, K., Crone, D., Brailsford, R., and Laws, K. </w:t>
      </w:r>
      <w:r>
        <w:rPr>
          <w:rFonts w:ascii="Times New Roman" w:hAnsi="Times New Roman"/>
          <w:rtl w:val="0"/>
        </w:rPr>
        <w:t xml:space="preserve">(2010) </w:t>
      </w:r>
      <w:r>
        <w:rPr>
          <w:rStyle w:val="None"/>
          <w:rFonts w:ascii="Times New Roman" w:hAnsi="Times New Roman"/>
          <w:i w:val="1"/>
          <w:iCs w:val="1"/>
          <w:rtl w:val="0"/>
          <w:lang w:val="en-US"/>
        </w:rPr>
        <w:t>Physical activity and mental health in a student population</w:t>
      </w:r>
      <w:r>
        <w:rPr>
          <w:rStyle w:val="None"/>
          <w:rFonts w:ascii="Times New Roman" w:hAnsi="Times New Roman"/>
          <w:i w:val="1"/>
          <w:iCs w:val="1"/>
          <w:rtl w:val="0"/>
          <w:lang w:val="en-US"/>
        </w:rPr>
        <w:t>.</w:t>
      </w:r>
      <w:r>
        <w:rPr>
          <w:rFonts w:ascii="Times New Roman" w:hAnsi="Times New Roman"/>
          <w:rtl w:val="0"/>
          <w:lang w:val="en-US"/>
        </w:rPr>
        <w:t xml:space="preserve"> Journal of Mental Health, 19:6, 492-499, DOI: 10.3109/09638230902968308</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Welsh Government (2020) Area of Learning and Experience: Health and Wellbeing.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"https://hwb.gov.wales/curriculum-for-wales/health-and-well-being/"</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https://hwb.gov.wales/curriculum-for-wales/health-and-well-being/</w:t>
      </w:r>
      <w:r>
        <w:rPr>
          <w:rFonts w:ascii="Times New Roman" w:cs="Times New Roman" w:hAnsi="Times New Roman" w:eastAsia="Times New Roman"/>
          <w:rtl w:val="0"/>
        </w:rPr>
        <w:fldChar w:fldCharType="end" w:fldLock="0"/>
      </w:r>
      <w:r>
        <w:rPr>
          <w:rFonts w:ascii="Times New Roman" w:hAnsi="Times New Roman"/>
          <w:rtl w:val="0"/>
          <w:lang w:val="en-US"/>
        </w:rPr>
        <w:t xml:space="preserve"> </w:t>
      </w:r>
      <w:r>
        <w:rPr>
          <w:rFonts w:ascii="Times New Roman" w:hAnsi="Times New Roman"/>
          <w:rtl w:val="0"/>
          <w:lang w:val="en-US"/>
        </w:rPr>
        <w:t>Accessed on: 3rd December 2022</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Welsh Government (2022b) Implementation and practical considerations.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"https://hwb.gov.wales/curriculum-for-wales/designing-your-curriculum/implementation-and-practical-considerations/#pedagogy"</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https://hwb.gov.wales/curriculum-for-wales/designing-your-curriculum/implementation-and-practical-considerations/#pedagogy</w:t>
      </w:r>
      <w:r>
        <w:rPr>
          <w:rFonts w:ascii="Times New Roman" w:cs="Times New Roman" w:hAnsi="Times New Roman" w:eastAsia="Times New Roman"/>
          <w:rtl w:val="0"/>
        </w:rPr>
        <w:fldChar w:fldCharType="end" w:fldLock="0"/>
      </w:r>
      <w:r>
        <w:rPr>
          <w:rFonts w:ascii="Times New Roman" w:hAnsi="Times New Roman"/>
          <w:rtl w:val="0"/>
          <w:lang w:val="en-US"/>
        </w:rPr>
        <w:t xml:space="preserve"> </w:t>
      </w:r>
      <w:r>
        <w:rPr>
          <w:rFonts w:ascii="Times New Roman" w:hAnsi="Times New Roman"/>
          <w:rtl w:val="0"/>
          <w:lang w:val="en-US"/>
        </w:rPr>
        <w:t>Accessed: 12th December 2022</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Welsh Government (</w:t>
      </w:r>
      <w:r>
        <w:rPr>
          <w:rFonts w:ascii="Times New Roman" w:hAnsi="Times New Roman"/>
          <w:sz w:val="24"/>
          <w:szCs w:val="24"/>
          <w:rtl w:val="0"/>
        </w:rPr>
        <w:t>20</w:t>
      </w:r>
      <w:r>
        <w:rPr>
          <w:rFonts w:ascii="Times New Roman" w:hAnsi="Times New Roman"/>
          <w:sz w:val="24"/>
          <w:szCs w:val="24"/>
          <w:rtl w:val="0"/>
          <w:lang w:val="en-US"/>
        </w:rPr>
        <w:t xml:space="preserve">22a) </w:t>
      </w:r>
      <w:r>
        <w:rPr>
          <w:rStyle w:val="None"/>
          <w:rFonts w:ascii="Times New Roman" w:hAnsi="Times New Roman"/>
          <w:i w:val="1"/>
          <w:iCs w:val="1"/>
          <w:sz w:val="24"/>
          <w:szCs w:val="24"/>
          <w:rtl w:val="0"/>
          <w:lang w:val="en-US"/>
        </w:rPr>
        <w:t xml:space="preserve">Physical Activity for children and young people (5-18 Years).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"https://gov.wales/sites/default/files/publications/2022-03/physical-activity-for-children-and-young-people-5-18-years.pdf"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https://gov.wales/sites/default/files/publications/2022-03/physical-activity-for-children-and-young-people-5-18-years.pdf</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26th November 2022 </w:t>
      </w:r>
    </w:p>
    <w:p>
      <w:pPr>
        <w:pStyle w:val="Body"/>
        <w:rPr>
          <w:rFonts w:ascii="Times New Roman" w:cs="Times New Roman" w:hAnsi="Times New Roman" w:eastAsia="Times New Roman"/>
          <w:sz w:val="24"/>
          <w:szCs w:val="24"/>
        </w:rPr>
      </w:pP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Welsh Government (2015) The 4 purposes of the curriculum for Wales. Available at: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"https://gov.wales/sites/default/files/publications/2018-03/the-four-purposes-of-the-curriculum-for-wales.pdf"</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https://gov.wales/sites/default/files/publications/2018-03/the-four-purposes-of-the-curriculum-for-wales.pdf</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12th December 2022 </w:t>
      </w:r>
    </w:p>
    <w:p>
      <w:pPr>
        <w:pStyle w:val="Default"/>
        <w:bidi w:val="0"/>
        <w:spacing w:before="0" w:after="24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Whitehead, M. (2010) Physical Literacy: Throughout the life course. Oxon. Routledge </w:t>
      </w:r>
    </w:p>
    <w:p>
      <w:pPr>
        <w:pStyle w:val="Default"/>
        <w:bidi w:val="0"/>
        <w:spacing w:before="0" w:line="240" w:lineRule="auto"/>
        <w:ind w:left="0" w:right="1368" w:firstLine="0"/>
        <w:jc w:val="left"/>
        <w:rPr>
          <w:rStyle w:val="None"/>
          <w:rFonts w:ascii="Times New Roman" w:cs="Times New Roman" w:hAnsi="Times New Roman" w:eastAsia="Times New Roman"/>
          <w:sz w:val="24"/>
          <w:szCs w:val="24"/>
          <w:rtl w:val="0"/>
        </w:rPr>
      </w:pPr>
      <w:r>
        <w:rPr>
          <w:rStyle w:val="None"/>
          <w:rFonts w:ascii="Times New Roman" w:hAnsi="Times New Roman"/>
          <w:sz w:val="24"/>
          <w:szCs w:val="24"/>
          <w:rtl w:val="0"/>
          <w:lang w:val="en-US"/>
        </w:rPr>
        <w:t xml:space="preserve">Whitehead, M. (2013) </w:t>
      </w:r>
      <w:r>
        <w:rPr>
          <w:rStyle w:val="None"/>
          <w:rFonts w:ascii="Times New Roman" w:hAnsi="Times New Roman" w:hint="default"/>
          <w:sz w:val="24"/>
          <w:szCs w:val="24"/>
          <w:rtl w:val="1"/>
        </w:rPr>
        <w:t>‘</w:t>
      </w:r>
      <w:r>
        <w:rPr>
          <w:rStyle w:val="None"/>
          <w:rFonts w:ascii="Times New Roman" w:hAnsi="Times New Roman"/>
          <w:sz w:val="24"/>
          <w:szCs w:val="24"/>
          <w:rtl w:val="0"/>
          <w:lang w:val="en-US"/>
        </w:rPr>
        <w:t>What is physical literacy and how does it impact on physical education?</w:t>
      </w:r>
      <w:r>
        <w:rPr>
          <w:rStyle w:val="None"/>
          <w:rFonts w:ascii="Times New Roman" w:hAnsi="Times New Roman" w:hint="default"/>
          <w:sz w:val="24"/>
          <w:szCs w:val="24"/>
          <w:rtl w:val="1"/>
        </w:rPr>
        <w:t>’</w:t>
      </w:r>
      <w:r>
        <w:rPr>
          <w:rStyle w:val="None"/>
          <w:rFonts w:ascii="Times New Roman" w:hAnsi="Times New Roman"/>
          <w:sz w:val="24"/>
          <w:szCs w:val="24"/>
          <w:rtl w:val="0"/>
          <w:lang w:val="en-US"/>
        </w:rPr>
        <w:t>, in Capel, S. and Whitehead, M.</w:t>
      </w:r>
      <w:r>
        <w:rPr>
          <w:rStyle w:val="None"/>
          <w:rFonts w:ascii="Times New Roman" w:hAnsi="Times New Roman" w:hint="default"/>
          <w:sz w:val="24"/>
          <w:szCs w:val="24"/>
          <w:rtl w:val="0"/>
        </w:rPr>
        <w:t xml:space="preserve">  </w:t>
      </w:r>
      <w:r>
        <w:rPr>
          <w:rStyle w:val="None"/>
          <w:rFonts w:ascii="Times New Roman" w:hAnsi="Times New Roman"/>
          <w:sz w:val="24"/>
          <w:szCs w:val="24"/>
          <w:rtl w:val="0"/>
          <w:lang w:val="en-US"/>
        </w:rPr>
        <w:t>Debates in Physical Education. Oxon: Routledge.</w:t>
      </w:r>
      <w:r>
        <w:rPr>
          <w:rStyle w:val="None"/>
          <w:rFonts w:ascii="Times New Roman" w:hAnsi="Times New Roman" w:hint="default"/>
          <w:sz w:val="24"/>
          <w:szCs w:val="24"/>
          <w:rtl w:val="0"/>
        </w:rPr>
        <w:t> </w:t>
      </w:r>
    </w:p>
    <w:p>
      <w:pPr>
        <w:pStyle w:val="Default"/>
        <w:bidi w:val="0"/>
        <w:spacing w:before="0" w:line="240" w:lineRule="auto"/>
        <w:ind w:left="0" w:right="1368" w:firstLine="0"/>
        <w:jc w:val="left"/>
        <w:rPr>
          <w:rFonts w:ascii="Times New Roman" w:cs="Times New Roman" w:hAnsi="Times New Roman" w:eastAsia="Times New Roman"/>
          <w:sz w:val="32"/>
          <w:szCs w:val="32"/>
          <w:rtl w:val="0"/>
        </w:rPr>
      </w:pPr>
      <w:r>
        <w:rPr>
          <w:rFonts w:ascii="Times New Roman" w:hAnsi="Times New Roman"/>
          <w:sz w:val="32"/>
          <w:szCs w:val="32"/>
          <w:rtl w:val="0"/>
        </w:rPr>
        <w:t xml:space="preserve"> </w:t>
      </w:r>
    </w:p>
    <w:p>
      <w:pPr>
        <w:pStyle w:val="Default"/>
        <w:bidi w:val="0"/>
        <w:spacing w:before="0" w:line="240" w:lineRule="auto"/>
        <w:ind w:left="0" w:right="1368" w:firstLine="0"/>
        <w:jc w:val="left"/>
        <w:rPr>
          <w:rFonts w:ascii="Times New Roman" w:cs="Times New Roman" w:hAnsi="Times New Roman" w:eastAsia="Times New Roman"/>
          <w:rtl w:val="0"/>
        </w:rPr>
      </w:pPr>
      <w:r>
        <w:rPr>
          <w:rFonts w:ascii="Times New Roman" w:hAnsi="Times New Roman"/>
          <w:rtl w:val="0"/>
          <w:lang w:val="en-US"/>
        </w:rPr>
        <w:t xml:space="preserve">Williams, A. &amp; Wainwright, N. (2019) Re-thinking adventurous activities in physical education: models-based approaches, Journal of Adventure Education and Outdoor Learning, DOI: 10.1080/14729679.2019.1634599 </w:t>
      </w:r>
    </w:p>
    <w:p>
      <w:pPr>
        <w:pStyle w:val="Default"/>
        <w:bidi w:val="0"/>
        <w:spacing w:before="0" w:line="240" w:lineRule="auto"/>
        <w:ind w:left="0" w:right="1368" w:firstLine="0"/>
        <w:jc w:val="left"/>
        <w:rPr>
          <w:rFonts w:ascii="Times New Roman" w:cs="Times New Roman" w:hAnsi="Times New Roman" w:eastAsia="Times New Roman"/>
          <w:rtl w:val="0"/>
        </w:rPr>
      </w:pPr>
    </w:p>
    <w:p>
      <w:pPr>
        <w:pStyle w:val="Body"/>
        <w:rPr>
          <w:rFonts w:ascii="Times New Roman" w:cs="Times New Roman" w:hAnsi="Times New Roman" w:eastAsia="Times New Roman"/>
          <w:sz w:val="24"/>
          <w:szCs w:val="24"/>
        </w:rPr>
      </w:pPr>
    </w:p>
    <w:p>
      <w:pPr>
        <w:pStyle w:val="Default"/>
        <w:bidi w:val="0"/>
        <w:spacing w:before="0" w:after="240" w:line="240" w:lineRule="auto"/>
        <w:ind w:left="0" w:right="0" w:firstLine="0"/>
        <w:jc w:val="left"/>
        <w:rPr>
          <w:rFonts w:ascii="Times New Roman" w:cs="Times New Roman" w:hAnsi="Times New Roman" w:eastAsia="Times New Roman"/>
          <w:rtl w:val="0"/>
        </w:rPr>
      </w:pPr>
    </w:p>
    <w:p>
      <w:pPr>
        <w:pStyle w:val="Default"/>
        <w:bidi w:val="0"/>
        <w:spacing w:before="0" w:after="240" w:line="240" w:lineRule="auto"/>
        <w:ind w:left="0" w:right="0" w:firstLine="0"/>
        <w:jc w:val="left"/>
        <w:rPr>
          <w:rtl w:val="0"/>
        </w:rPr>
      </w:pPr>
      <w:r>
        <w:rPr>
          <w:rFonts w:ascii="Times New Roman" w:cs="Times New Roman" w:hAnsi="Times New Roman" w:eastAsia="Times New Roman"/>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u w:val="single" w:color="0000ff"/>
    </w:rPr>
  </w:style>
  <w:style w:type="character" w:styleId="Hyperlink.2">
    <w:name w:val="Hyperlink.2"/>
    <w:basedOn w:val="None"/>
    <w:next w:val="Hyperlink.2"/>
    <w:rPr>
      <w:u w:val="single" w:color="006acc"/>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