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AC21C" w14:textId="77777777" w:rsidR="00D672C5" w:rsidRPr="006A2821" w:rsidRDefault="00D672C5">
      <w:pPr>
        <w:rPr>
          <w:rFonts w:cs="Arial"/>
        </w:rPr>
      </w:pPr>
    </w:p>
    <w:p w14:paraId="7CC57406" w14:textId="77777777" w:rsidR="00D672C5" w:rsidRPr="006A2821" w:rsidRDefault="00D672C5">
      <w:pPr>
        <w:rPr>
          <w:rFonts w:cs="Arial"/>
        </w:rPr>
      </w:pPr>
    </w:p>
    <w:p w14:paraId="3E0111CD" w14:textId="77777777" w:rsidR="00D672C5" w:rsidRPr="006A2821" w:rsidRDefault="00D672C5">
      <w:pPr>
        <w:rPr>
          <w:rFonts w:cs="Arial"/>
        </w:rPr>
      </w:pPr>
    </w:p>
    <w:p w14:paraId="17A900FF" w14:textId="77777777" w:rsidR="00D672C5" w:rsidRPr="006A2821" w:rsidRDefault="00D672C5">
      <w:pPr>
        <w:rPr>
          <w:rFonts w:cs="Arial"/>
        </w:rPr>
      </w:pPr>
    </w:p>
    <w:p w14:paraId="781A6977" w14:textId="371AB196" w:rsidR="00D672C5" w:rsidRPr="006A2821" w:rsidRDefault="00AE0D96" w:rsidP="004543B1">
      <w:pPr>
        <w:ind w:right="1134"/>
        <w:jc w:val="left"/>
        <w:rPr>
          <w:rFonts w:cs="Arial"/>
        </w:rPr>
      </w:pPr>
      <w:r w:rsidRPr="006A2821">
        <w:rPr>
          <w:rFonts w:cs="Arial"/>
          <w:b/>
        </w:rPr>
        <w:t xml:space="preserve">Student name: </w:t>
      </w:r>
      <w:r w:rsidRPr="006A2821">
        <w:rPr>
          <w:rFonts w:cs="Arial"/>
        </w:rPr>
        <w:t xml:space="preserve">Monika </w:t>
      </w:r>
      <w:proofErr w:type="spellStart"/>
      <w:r w:rsidRPr="006A2821">
        <w:rPr>
          <w:rFonts w:cs="Arial"/>
        </w:rPr>
        <w:t>D</w:t>
      </w:r>
      <w:r w:rsidR="00302F79">
        <w:rPr>
          <w:rFonts w:cs="Arial"/>
        </w:rPr>
        <w:t>a</w:t>
      </w:r>
      <w:r w:rsidRPr="006A2821">
        <w:rPr>
          <w:rFonts w:cs="Arial"/>
        </w:rPr>
        <w:t>bkowska</w:t>
      </w:r>
      <w:proofErr w:type="spellEnd"/>
    </w:p>
    <w:p w14:paraId="284CFB1C" w14:textId="5825ECA0" w:rsidR="00D672C5" w:rsidRPr="006A2821" w:rsidRDefault="00AE0D96" w:rsidP="000E2082">
      <w:pPr>
        <w:ind w:right="1134"/>
        <w:jc w:val="left"/>
        <w:rPr>
          <w:rFonts w:cs="Arial"/>
        </w:rPr>
      </w:pPr>
      <w:r w:rsidRPr="006A2821">
        <w:rPr>
          <w:rFonts w:cs="Arial"/>
          <w:b/>
        </w:rPr>
        <w:t xml:space="preserve">Student ID number: </w:t>
      </w:r>
      <w:r w:rsidR="00302F79">
        <w:rPr>
          <w:rFonts w:cs="Arial"/>
        </w:rPr>
        <w:t>2508842</w:t>
      </w:r>
    </w:p>
    <w:p w14:paraId="2C4A24D5" w14:textId="77777777" w:rsidR="00D672C5" w:rsidRPr="006A2821" w:rsidRDefault="00AE0D96" w:rsidP="000E2082">
      <w:pPr>
        <w:ind w:right="1134"/>
        <w:jc w:val="left"/>
        <w:rPr>
          <w:rFonts w:cs="Arial"/>
        </w:rPr>
      </w:pPr>
      <w:r w:rsidRPr="006A2821">
        <w:rPr>
          <w:rFonts w:cs="Arial"/>
          <w:b/>
        </w:rPr>
        <w:t xml:space="preserve">Programme: </w:t>
      </w:r>
      <w:r w:rsidRPr="006A2821">
        <w:rPr>
          <w:rFonts w:cs="Arial"/>
        </w:rPr>
        <w:t>Certificate of Higher Education Skills for the Workplace (Health &amp; Social Care)</w:t>
      </w:r>
    </w:p>
    <w:p w14:paraId="3373DA0B" w14:textId="77777777" w:rsidR="00D672C5" w:rsidRPr="006A2821" w:rsidRDefault="00AE0D96" w:rsidP="000E2082">
      <w:pPr>
        <w:ind w:right="1134"/>
        <w:jc w:val="left"/>
        <w:rPr>
          <w:rFonts w:cs="Arial"/>
        </w:rPr>
      </w:pPr>
      <w:r w:rsidRPr="006A2821">
        <w:rPr>
          <w:rFonts w:cs="Arial"/>
          <w:b/>
        </w:rPr>
        <w:t xml:space="preserve">Module: </w:t>
      </w:r>
      <w:r w:rsidRPr="006A2821">
        <w:rPr>
          <w:rFonts w:cs="Arial"/>
        </w:rPr>
        <w:t>Psychology in Health and Social Care</w:t>
      </w:r>
    </w:p>
    <w:p w14:paraId="7E80A997" w14:textId="77777777" w:rsidR="00D672C5" w:rsidRPr="006A2821" w:rsidRDefault="00AE0D96" w:rsidP="000E2082">
      <w:pPr>
        <w:ind w:right="1134"/>
        <w:jc w:val="left"/>
        <w:rPr>
          <w:rFonts w:cs="Arial"/>
        </w:rPr>
      </w:pPr>
      <w:r w:rsidRPr="006A2821">
        <w:rPr>
          <w:rFonts w:cs="Arial"/>
          <w:b/>
        </w:rPr>
        <w:t xml:space="preserve">Module code: </w:t>
      </w:r>
      <w:r w:rsidRPr="006A2821">
        <w:rPr>
          <w:rFonts w:cs="Arial"/>
        </w:rPr>
        <w:t>LCHS4010</w:t>
      </w:r>
    </w:p>
    <w:p w14:paraId="28F6FEA4" w14:textId="77777777" w:rsidR="00D672C5" w:rsidRPr="006A2821" w:rsidRDefault="00AE0D96" w:rsidP="000E2082">
      <w:pPr>
        <w:ind w:right="1134"/>
        <w:jc w:val="left"/>
        <w:rPr>
          <w:rFonts w:cs="Arial"/>
        </w:rPr>
      </w:pPr>
      <w:r w:rsidRPr="006A2821">
        <w:rPr>
          <w:rFonts w:cs="Arial"/>
          <w:b/>
        </w:rPr>
        <w:t xml:space="preserve">Lecturer / Module Leader: </w:t>
      </w:r>
      <w:r w:rsidRPr="006A2821">
        <w:rPr>
          <w:rFonts w:cs="Arial"/>
        </w:rPr>
        <w:t>Shepherd Ziko</w:t>
      </w:r>
    </w:p>
    <w:p w14:paraId="0B960DD3" w14:textId="15909061" w:rsidR="00D672C5" w:rsidRPr="006A2821" w:rsidRDefault="00D672C5" w:rsidP="000E2082">
      <w:pPr>
        <w:ind w:right="1134"/>
        <w:jc w:val="left"/>
        <w:rPr>
          <w:rFonts w:cs="Arial"/>
        </w:rPr>
      </w:pPr>
    </w:p>
    <w:p w14:paraId="169D006B" w14:textId="77777777" w:rsidR="00D672C5" w:rsidRPr="006A2821" w:rsidRDefault="00AE0D96">
      <w:pPr>
        <w:rPr>
          <w:rFonts w:cs="Arial"/>
        </w:rPr>
      </w:pPr>
      <w:r w:rsidRPr="006A2821">
        <w:rPr>
          <w:rFonts w:cs="Arial"/>
        </w:rPr>
        <w:br w:type="page"/>
      </w:r>
    </w:p>
    <w:p w14:paraId="03121E99" w14:textId="77777777" w:rsidR="009078F4" w:rsidRDefault="009078F4">
      <w:pPr>
        <w:pStyle w:val="Nagwek1"/>
        <w:rPr>
          <w:rFonts w:ascii="Arial" w:hAnsi="Arial" w:cs="Arial"/>
        </w:rPr>
      </w:pPr>
      <w:r>
        <w:rPr>
          <w:rFonts w:ascii="Arial" w:hAnsi="Arial" w:cs="Arial"/>
        </w:rPr>
        <w:lastRenderedPageBreak/>
        <w:t>The Impact of Social Media on Adolescent Mental Health:</w:t>
      </w:r>
    </w:p>
    <w:p w14:paraId="692C7E4A" w14:textId="77777777" w:rsidR="009078F4" w:rsidRDefault="009078F4" w:rsidP="009078F4"/>
    <w:p w14:paraId="6AF5D6C0" w14:textId="77777777" w:rsidR="009078F4" w:rsidRPr="00595AE9" w:rsidRDefault="009078F4" w:rsidP="009078F4">
      <w:pPr>
        <w:rPr>
          <w:b/>
          <w:bCs/>
        </w:rPr>
      </w:pPr>
      <w:r w:rsidRPr="00595AE9">
        <w:rPr>
          <w:b/>
          <w:bCs/>
        </w:rPr>
        <w:t>An Analysis Using Erikson’s Psychosocial Theory and Bowlby’s Attachment Theory</w:t>
      </w:r>
    </w:p>
    <w:p w14:paraId="743C6AA0" w14:textId="77777777" w:rsidR="009078F4" w:rsidRDefault="009078F4" w:rsidP="009078F4"/>
    <w:p w14:paraId="4CD36519" w14:textId="77777777" w:rsidR="009078F4" w:rsidRPr="009078F4" w:rsidRDefault="009078F4" w:rsidP="009078F4"/>
    <w:p w14:paraId="2025B528" w14:textId="70A748E8" w:rsidR="00D672C5" w:rsidRPr="006A2821" w:rsidRDefault="00AE0D96">
      <w:pPr>
        <w:pStyle w:val="Nagwek1"/>
        <w:rPr>
          <w:rFonts w:ascii="Arial" w:hAnsi="Arial" w:cs="Arial"/>
        </w:rPr>
      </w:pPr>
      <w:r w:rsidRPr="006A2821">
        <w:rPr>
          <w:rFonts w:ascii="Arial" w:hAnsi="Arial" w:cs="Arial"/>
        </w:rPr>
        <w:t>Introduction</w:t>
      </w:r>
    </w:p>
    <w:p w14:paraId="61A3806B" w14:textId="77777777" w:rsidR="00D672C5" w:rsidRPr="006A2821" w:rsidRDefault="00AE0D96">
      <w:pPr>
        <w:rPr>
          <w:rFonts w:cs="Arial"/>
        </w:rPr>
      </w:pPr>
      <w:r w:rsidRPr="006A2821">
        <w:rPr>
          <w:rFonts w:cs="Arial"/>
        </w:rPr>
        <w:t>Social media is now a normal part of adolescent life. Platforms such as TikTok, Instagram, Snapchat and YouTube are used for communication, entertainment, identity expression and maintaining friendships. However, concerns have increased about possible links with depression, anxiety, low self-esteem, poor sleep and self-harm. The evidence does not show that social media affects every young person in the same way. Its impact depends on how it is used, what content is viewed, the quality of online relationship</w:t>
      </w:r>
      <w:r w:rsidRPr="006A2821">
        <w:rPr>
          <w:rFonts w:cs="Arial"/>
        </w:rPr>
        <w:t>s and the adolescent’s existing vulnerabilities. This essay discusses the impact of social media on adolescent mental health through Erikson’s psychosocial theory and Bowlby’s attachment theory. It also considers biological and environmental influences, evaluates the strengths and limitations of both theories, and identifies practical responses for health and social care.</w:t>
      </w:r>
    </w:p>
    <w:p w14:paraId="58826E3F" w14:textId="77777777" w:rsidR="00D672C5" w:rsidRPr="006A2821" w:rsidRDefault="00AE0D96">
      <w:pPr>
        <w:pStyle w:val="Nagwek1"/>
        <w:rPr>
          <w:rFonts w:ascii="Arial" w:hAnsi="Arial" w:cs="Arial"/>
        </w:rPr>
      </w:pPr>
      <w:r w:rsidRPr="006A2821">
        <w:rPr>
          <w:rFonts w:ascii="Arial" w:hAnsi="Arial" w:cs="Arial"/>
        </w:rPr>
        <w:t>Evidence on social media and adolescent mental health</w:t>
      </w:r>
    </w:p>
    <w:p w14:paraId="1ECC5DE0" w14:textId="77777777" w:rsidR="00D672C5" w:rsidRPr="006A2821" w:rsidRDefault="00AE0D96">
      <w:pPr>
        <w:rPr>
          <w:rFonts w:cs="Arial"/>
        </w:rPr>
      </w:pPr>
      <w:r w:rsidRPr="006A2821">
        <w:rPr>
          <w:rFonts w:cs="Arial"/>
        </w:rPr>
        <w:t xml:space="preserve">Several studies identify associations between intensive or problematic social media use and poorer mental health. Keles, McCrae and Grealish (2020) reviewed 13 studies and found links with depression, anxiety and psychological distress. However, 12 of the studies were cross-sectional, so they could not establish whether social media caused the difficulties or whether distressed adolescents were more likely to use social media heavily. A large UK study of 10,904 fourteen-year-olds found that heavier use was </w:t>
      </w:r>
      <w:r w:rsidRPr="006A2821">
        <w:rPr>
          <w:rFonts w:cs="Arial"/>
        </w:rPr>
        <w:t>associated with more depressive symptoms, particularly among girls. Cyberbullying, reduced sleep, low self-esteem and dissatisfaction with body image partly explained the relationship (Kelly et al., 2019). Woods and Scott (2016) similarly found that night-time use and strong emotional investment in social media were associated with poorer sleep, anxiety, depression and lower self-esteem.</w:t>
      </w:r>
    </w:p>
    <w:p w14:paraId="213A1EF0" w14:textId="77777777" w:rsidR="00D672C5" w:rsidRPr="006A2821" w:rsidRDefault="00AE0D96">
      <w:pPr>
        <w:rPr>
          <w:rFonts w:cs="Arial"/>
        </w:rPr>
      </w:pPr>
      <w:r w:rsidRPr="006A2821">
        <w:rPr>
          <w:rFonts w:cs="Arial"/>
        </w:rPr>
        <w:t>These findings should not be interpreted as proof that social media is a single or direct cause of mental illness. Ivie et al. (2020) found only a small overall association between social media use and depressive symptoms, with considerable differences between studies. Orben and Przybylski (2019) also reported that digital technology use explained only a very small proportion of variation in adolescent wellbeing. An umbrella review concluded that associations are generally weak or inconsistent and that effe</w:t>
      </w:r>
      <w:r w:rsidRPr="006A2821">
        <w:rPr>
          <w:rFonts w:cs="Arial"/>
        </w:rPr>
        <w:t xml:space="preserve">cts differ greatly between </w:t>
      </w:r>
      <w:r w:rsidRPr="006A2821">
        <w:rPr>
          <w:rFonts w:cs="Arial"/>
        </w:rPr>
        <w:lastRenderedPageBreak/>
        <w:t>individuals (Valkenburg, Meier and Beyens, 2022). Therefore, the quality and context of use may be more important than the number of hours alone.</w:t>
      </w:r>
    </w:p>
    <w:p w14:paraId="4DC19861" w14:textId="77777777" w:rsidR="00D672C5" w:rsidRPr="006A2821" w:rsidRDefault="00AE0D96">
      <w:pPr>
        <w:rPr>
          <w:rFonts w:cs="Arial"/>
        </w:rPr>
      </w:pPr>
      <w:r w:rsidRPr="006A2821">
        <w:rPr>
          <w:rFonts w:cs="Arial"/>
        </w:rPr>
        <w:t>Adolescence includes biological changes that may increase sensitivity to online experiences. Brain systems involved in reward, emotion and social evaluation develop alongside, but not always at the same speed as, systems supporting self-control and long-term decision-making. Adolescents also become more sensitive to peer approval and rejection (Blakemore and Mills, 2014). Likes, comments, follower counts and constant notifications can therefore make social feedback highly visible and immediate. Environmenta</w:t>
      </w:r>
      <w:r w:rsidRPr="006A2821">
        <w:rPr>
          <w:rFonts w:cs="Arial"/>
        </w:rPr>
        <w:t>l factors are equally important. Family relationships, bullying, school pressure, poverty, discrimination and access to supportive friendships may either increase risk or provide protection. Social media can also have positive effects by maintaining relationships, reducing isolation, supporting identity exploration and allowing young people to find communities that understand their experiences. This mixed picture supports a balanced rather than purely negative explanation (Odgers and Jensen, 2020). It is al</w:t>
      </w:r>
      <w:r w:rsidRPr="006A2821">
        <w:rPr>
          <w:rFonts w:cs="Arial"/>
        </w:rPr>
        <w:t>so important to distinguish between different patterns of use. Private communication with supportive friends may strengthen connection, whereas passive comparison, repeated checking and exposure to hostile or appearance-focused content may increase distress. Even this distinction is not absolute, because the same activity can have different meanings for different adolescents. A young person who feels isolated may benefit from an online community, while another may become more anxious through constant monito</w:t>
      </w:r>
      <w:r w:rsidRPr="006A2821">
        <w:rPr>
          <w:rFonts w:cs="Arial"/>
        </w:rPr>
        <w:t>ring of peer approval. Social media may also provide useful mental health information, but inaccurate advice, idealised recovery stories and harmful content can create additional risks.</w:t>
      </w:r>
    </w:p>
    <w:p w14:paraId="16FFAE1D" w14:textId="77777777" w:rsidR="00D672C5" w:rsidRPr="006A2821" w:rsidRDefault="00AE0D96">
      <w:pPr>
        <w:pStyle w:val="Nagwek1"/>
        <w:rPr>
          <w:rFonts w:ascii="Arial" w:hAnsi="Arial" w:cs="Arial"/>
        </w:rPr>
      </w:pPr>
      <w:r w:rsidRPr="006A2821">
        <w:rPr>
          <w:rFonts w:ascii="Arial" w:hAnsi="Arial" w:cs="Arial"/>
        </w:rPr>
        <w:t>Erikson’s psychosocial theory</w:t>
      </w:r>
    </w:p>
    <w:p w14:paraId="69C73F16" w14:textId="77777777" w:rsidR="00D672C5" w:rsidRPr="006A2821" w:rsidRDefault="00AE0D96">
      <w:pPr>
        <w:rPr>
          <w:rFonts w:cs="Arial"/>
        </w:rPr>
      </w:pPr>
      <w:r w:rsidRPr="006A2821">
        <w:rPr>
          <w:rFonts w:cs="Arial"/>
        </w:rPr>
        <w:t>Erikson described adolescence as the stage of identity versus role confusion. During this period, the young person explores values, roles, relationships and possible futures before developing a more stable sense of identity (Erikson, 1968). Social media can support this process. Adolescents can express interests, experiment with presentation, communicate with people outside their immediate environment and find groups based on culture, disability, sexuality, hobbies or personal experiences. Positive feedback</w:t>
      </w:r>
      <w:r w:rsidRPr="006A2821">
        <w:rPr>
          <w:rFonts w:cs="Arial"/>
        </w:rPr>
        <w:t xml:space="preserve"> and a sense of belonging may strengthen confidence and help a young person feel recognised.</w:t>
      </w:r>
    </w:p>
    <w:p w14:paraId="1BCC23CF" w14:textId="77777777" w:rsidR="00D672C5" w:rsidRPr="006A2821" w:rsidRDefault="00AE0D96">
      <w:pPr>
        <w:rPr>
          <w:rFonts w:cs="Arial"/>
        </w:rPr>
      </w:pPr>
      <w:r w:rsidRPr="006A2821">
        <w:rPr>
          <w:rFonts w:cs="Arial"/>
        </w:rPr>
        <w:t>At the same time, social media may make identity development more difficult. Online profiles encourage users to select and edit what other people see. This can create pressure to present an attractive, successful or popular version of the self. Adolescents may compare their ordinary lives with highly filtered images and carefully chosen achievements posted by others. When self-worth becomes dependent on likes, views or comments, identity can become externally controlled rather than internally developed. Neg</w:t>
      </w:r>
      <w:r w:rsidRPr="006A2821">
        <w:rPr>
          <w:rFonts w:cs="Arial"/>
        </w:rPr>
        <w:t xml:space="preserve">ative feedback, exclusion </w:t>
      </w:r>
      <w:r w:rsidRPr="006A2821">
        <w:rPr>
          <w:rFonts w:cs="Arial"/>
        </w:rPr>
        <w:lastRenderedPageBreak/>
        <w:t>from group chats or low engagement with a post may be experienced as evidence that the person is unpopular or inadequate. Orben et al. (2024) argue that social media may interact with developmental sensitivity through social comparison, self-presentation, social exclusion and responsiveness to feedback.</w:t>
      </w:r>
    </w:p>
    <w:p w14:paraId="0186767F" w14:textId="77777777" w:rsidR="00D672C5" w:rsidRPr="006A2821" w:rsidRDefault="00AE0D96">
      <w:pPr>
        <w:rPr>
          <w:rFonts w:cs="Arial"/>
        </w:rPr>
      </w:pPr>
      <w:r w:rsidRPr="006A2821">
        <w:rPr>
          <w:rFonts w:cs="Arial"/>
        </w:rPr>
        <w:t>Erikson’s theory is useful because it explains why social media may be especially influential during adolescence rather than having the same meaning at every age. It also recognises that identity development involves interaction between the individual and society. Nevertheless, the theory has limitations. Its stages can appear too universal and linear, while identity develops differently across cultures, families and individual circumstances. It also does not explain why the same platform harms one adolesce</w:t>
      </w:r>
      <w:r w:rsidRPr="006A2821">
        <w:rPr>
          <w:rFonts w:cs="Arial"/>
        </w:rPr>
        <w:t>nt, benefits another and has little effect on a third. The theory should therefore be combined with evidence about personal vulnerability, platform features and the young person’s offline environment.</w:t>
      </w:r>
    </w:p>
    <w:p w14:paraId="1E7CA5C1" w14:textId="77777777" w:rsidR="00D672C5" w:rsidRPr="006A2821" w:rsidRDefault="00AE0D96">
      <w:pPr>
        <w:pStyle w:val="Nagwek1"/>
        <w:rPr>
          <w:rFonts w:ascii="Arial" w:hAnsi="Arial" w:cs="Arial"/>
        </w:rPr>
      </w:pPr>
      <w:r w:rsidRPr="006A2821">
        <w:rPr>
          <w:rFonts w:ascii="Arial" w:hAnsi="Arial" w:cs="Arial"/>
        </w:rPr>
        <w:t>Bowlby’s attachment theory</w:t>
      </w:r>
    </w:p>
    <w:p w14:paraId="2EEF98C2" w14:textId="77777777" w:rsidR="00D672C5" w:rsidRPr="006A2821" w:rsidRDefault="00AE0D96">
      <w:pPr>
        <w:rPr>
          <w:rFonts w:cs="Arial"/>
        </w:rPr>
      </w:pPr>
      <w:r w:rsidRPr="006A2821">
        <w:rPr>
          <w:rFonts w:cs="Arial"/>
        </w:rPr>
        <w:t>Bowlby’s attachment theory proposes that early relationships with caregivers shape expectations about whether other people are available, trustworthy and supportive. A secure attachment provides a safe base from which the child can explore the world and manage distress (Bowlby, 1988). Although the theory began with parent-child relationships, attachment patterns remain relevant in adolescence, when peer relationships become increasingly important.</w:t>
      </w:r>
    </w:p>
    <w:p w14:paraId="38C41FEF" w14:textId="77777777" w:rsidR="00D672C5" w:rsidRPr="006A2821" w:rsidRDefault="00AE0D96">
      <w:pPr>
        <w:rPr>
          <w:rFonts w:cs="Arial"/>
        </w:rPr>
      </w:pPr>
      <w:r w:rsidRPr="006A2821">
        <w:rPr>
          <w:rFonts w:cs="Arial"/>
        </w:rPr>
        <w:t>Social media can support attachment needs by allowing adolescents to maintain contact, seek reassurance and receive emotional support. A securely attached young person may use online communication as one part of a wider network that also includes trusted adults and face-to-face friendships. In contrast, an adolescent with attachment anxiety may repeatedly check messages, monitor other people’s activity or seek reassurance through posts and reactions. Delayed replies, being left on “read” or seeing friends s</w:t>
      </w:r>
      <w:r w:rsidRPr="006A2821">
        <w:rPr>
          <w:rFonts w:cs="Arial"/>
        </w:rPr>
        <w:t>ocialise without them may intensify fears of rejection. An avoidantly attached adolescent may prefer the control and emotional distance of online communication, but this may also limit deeper help-seeking when distress becomes serious.</w:t>
      </w:r>
    </w:p>
    <w:p w14:paraId="5709E0A9" w14:textId="77777777" w:rsidR="00D672C5" w:rsidRPr="006A2821" w:rsidRDefault="00AE0D96">
      <w:pPr>
        <w:rPr>
          <w:rFonts w:cs="Arial"/>
        </w:rPr>
      </w:pPr>
      <w:r w:rsidRPr="006A2821">
        <w:rPr>
          <w:rFonts w:cs="Arial"/>
        </w:rPr>
        <w:t>Research provides some support for this application. D’Arienzo, Boursier and Griffiths (2019) found that insecure attachment was associated with more intensive and dysfunctional internet and social media use. Venta et al. (2019) also found that parent-child attachment and mentalising were related to adolescents’ online behaviour. Bowlby’s theory therefore helps explain why the emotional meaning of social media differs between adolescents. However, it can become overly deterministic if early attachment is tr</w:t>
      </w:r>
      <w:r w:rsidRPr="006A2821">
        <w:rPr>
          <w:rFonts w:cs="Arial"/>
        </w:rPr>
        <w:t xml:space="preserve">eated as a permanent cause. Relationships can change, and adolescent mental health is influenced by many </w:t>
      </w:r>
      <w:r w:rsidRPr="006A2821">
        <w:rPr>
          <w:rFonts w:cs="Arial"/>
        </w:rPr>
        <w:lastRenderedPageBreak/>
        <w:t>social, cultural and biological factors. The theory also cannot fully explain commercial platform design, algorithms, appearance-based content or cyberbullying.</w:t>
      </w:r>
    </w:p>
    <w:p w14:paraId="30FCAAE8" w14:textId="77777777" w:rsidR="00D672C5" w:rsidRPr="006A2821" w:rsidRDefault="00AE0D96">
      <w:pPr>
        <w:pStyle w:val="Nagwek1"/>
        <w:rPr>
          <w:rFonts w:ascii="Arial" w:hAnsi="Arial" w:cs="Arial"/>
        </w:rPr>
      </w:pPr>
      <w:r w:rsidRPr="006A2821">
        <w:rPr>
          <w:rFonts w:ascii="Arial" w:hAnsi="Arial" w:cs="Arial"/>
        </w:rPr>
        <w:t>Implications for health and social care practice</w:t>
      </w:r>
    </w:p>
    <w:p w14:paraId="68355541" w14:textId="77777777" w:rsidR="00D672C5" w:rsidRPr="006A2821" w:rsidRDefault="00AE0D96">
      <w:pPr>
        <w:rPr>
          <w:rFonts w:cs="Arial"/>
        </w:rPr>
      </w:pPr>
      <w:r w:rsidRPr="006A2821">
        <w:rPr>
          <w:rFonts w:cs="Arial"/>
        </w:rPr>
        <w:t>Health and social care professionals should avoid assuming that all social media use is harmful. Assessment should consider what the adolescent does online, how they feel before and after using it, whether use interferes with sleep, education or relationships, and whether they experience cyberbullying, pressure, harmful content or compulsive checking. A person-centred approach is more useful than a simple daily time limit. Professionals should also ask about protective factors, including supportive online f</w:t>
      </w:r>
      <w:r w:rsidRPr="006A2821">
        <w:rPr>
          <w:rFonts w:cs="Arial"/>
        </w:rPr>
        <w:t>riendships, trusted adults, enjoyable activities and the adolescent’s ability to leave upsetting content. The young person should be involved in agreeing realistic changes, because rules imposed without explanation may reduce honesty and move problematic use out of adults’ view.</w:t>
      </w:r>
    </w:p>
    <w:p w14:paraId="611489AF" w14:textId="77777777" w:rsidR="00D672C5" w:rsidRPr="006A2821" w:rsidRDefault="00AE0D96">
      <w:pPr>
        <w:rPr>
          <w:rFonts w:cs="Arial"/>
        </w:rPr>
      </w:pPr>
      <w:r w:rsidRPr="006A2821">
        <w:rPr>
          <w:rFonts w:cs="Arial"/>
        </w:rPr>
        <w:t>Interventions linked to Erikson’s theory can support healthy identity development through digital literacy, discussion of edited images, recognition of social comparison and opportunities to build confidence in offline roles. Interventions linked to attachment theory can strengthen communication with trusted adults, encourage supportive family routines and reduce punitive responses that may stop the young person disclosing online problems. Practical strategies may include turning off notifications at night,</w:t>
      </w:r>
      <w:r w:rsidRPr="006A2821">
        <w:rPr>
          <w:rFonts w:cs="Arial"/>
        </w:rPr>
        <w:t xml:space="preserve"> keeping phones away from the bed, using blocking and reporting tools, and involving school safeguarding staff when harassment occurs. Where depression, anxiety, self-harm or severe family conflict is present, timely referral to appropriate mental health or family support services is required.</w:t>
      </w:r>
    </w:p>
    <w:p w14:paraId="6BF2EE11" w14:textId="77777777" w:rsidR="00D672C5" w:rsidRPr="006A2821" w:rsidRDefault="00AE0D96">
      <w:pPr>
        <w:pStyle w:val="Nagwek1"/>
        <w:rPr>
          <w:rFonts w:ascii="Arial" w:hAnsi="Arial" w:cs="Arial"/>
        </w:rPr>
      </w:pPr>
      <w:r w:rsidRPr="006A2821">
        <w:rPr>
          <w:rFonts w:ascii="Arial" w:hAnsi="Arial" w:cs="Arial"/>
        </w:rPr>
        <w:t>Conclusion</w:t>
      </w:r>
    </w:p>
    <w:p w14:paraId="61A3E6CE" w14:textId="77777777" w:rsidR="00D672C5" w:rsidRPr="006A2821" w:rsidRDefault="00AE0D96">
      <w:pPr>
        <w:rPr>
          <w:rFonts w:cs="Arial"/>
        </w:rPr>
      </w:pPr>
      <w:r w:rsidRPr="006A2821">
        <w:rPr>
          <w:rFonts w:cs="Arial"/>
        </w:rPr>
        <w:t>Social media can both support and threaten adolescent mental health. Research identifies links with depression, anxiety, sleep problems, low self-esteem and body-image concerns, but average effects are usually small and causation remains uncertain. Erikson’s theory shows how online feedback and comparison may influence identity development, while Bowlby’s theory explains why attachment security and fears of rejection may shape individual responses. Neither theory is sufficient alone. The most convincing exp</w:t>
      </w:r>
      <w:r w:rsidRPr="006A2821">
        <w:rPr>
          <w:rFonts w:cs="Arial"/>
        </w:rPr>
        <w:t>lanation combines developmental psychology with biological sensitivity, family relationships, peer experiences and platform design. For health and social care practice, the priority should be individual assessment, safe and supportive relationships, digital literacy and early action when online experiences are causing clear harm.</w:t>
      </w:r>
    </w:p>
    <w:p w14:paraId="67DA4493" w14:textId="77777777" w:rsidR="00D672C5" w:rsidRPr="006A2821" w:rsidRDefault="00AE0D96">
      <w:pPr>
        <w:pStyle w:val="Nagwek1"/>
        <w:pageBreakBefore/>
        <w:rPr>
          <w:rFonts w:ascii="Arial" w:hAnsi="Arial" w:cs="Arial"/>
        </w:rPr>
      </w:pPr>
      <w:r w:rsidRPr="006A2821">
        <w:rPr>
          <w:rFonts w:ascii="Arial" w:hAnsi="Arial" w:cs="Arial"/>
        </w:rPr>
        <w:lastRenderedPageBreak/>
        <w:t>Reference list</w:t>
      </w:r>
    </w:p>
    <w:p w14:paraId="3B85B024" w14:textId="77777777" w:rsidR="00D672C5" w:rsidRPr="006A2821" w:rsidRDefault="00AE0D96">
      <w:pPr>
        <w:spacing w:after="80"/>
        <w:ind w:left="720" w:hanging="720"/>
        <w:jc w:val="left"/>
        <w:rPr>
          <w:rFonts w:cs="Arial"/>
        </w:rPr>
      </w:pPr>
      <w:r w:rsidRPr="006A2821">
        <w:rPr>
          <w:rFonts w:cs="Arial"/>
        </w:rPr>
        <w:t>Blakemore, S.-J. and Mills, K.L. (2014) ‘Is adolescence a sensitive period for sociocultural processing?’, Annual Review of Psychology, 65, pp. 187–207. doi: 10.1146/annurev-psych-010213-115202.</w:t>
      </w:r>
    </w:p>
    <w:p w14:paraId="12C32EC5" w14:textId="77777777" w:rsidR="00D672C5" w:rsidRPr="006A2821" w:rsidRDefault="00AE0D96">
      <w:pPr>
        <w:spacing w:after="80"/>
        <w:ind w:left="720" w:hanging="720"/>
        <w:jc w:val="left"/>
        <w:rPr>
          <w:rFonts w:cs="Arial"/>
        </w:rPr>
      </w:pPr>
      <w:r w:rsidRPr="006A2821">
        <w:rPr>
          <w:rFonts w:cs="Arial"/>
        </w:rPr>
        <w:t>Bowlby, J. (1988) A secure base: Parent-child attachment and healthy human development. London: Routledge.</w:t>
      </w:r>
    </w:p>
    <w:p w14:paraId="64E5FF4D" w14:textId="77777777" w:rsidR="00D672C5" w:rsidRPr="006A2821" w:rsidRDefault="00AE0D96">
      <w:pPr>
        <w:spacing w:after="80"/>
        <w:ind w:left="720" w:hanging="720"/>
        <w:jc w:val="left"/>
        <w:rPr>
          <w:rFonts w:cs="Arial"/>
        </w:rPr>
      </w:pPr>
      <w:r w:rsidRPr="006A2821">
        <w:rPr>
          <w:rFonts w:cs="Arial"/>
        </w:rPr>
        <w:t>D’Arienzo, M.C., Boursier, V. and Griffiths, M.D. (2019) ‘Addiction to social media and attachment styles: A systematic literature review’, International Journal of Mental Health and Addiction, 17(4), pp. 1094–1118. doi: 10.1007/s11469-019-00082-5.</w:t>
      </w:r>
    </w:p>
    <w:p w14:paraId="66800E9A" w14:textId="77777777" w:rsidR="00D672C5" w:rsidRPr="006A2821" w:rsidRDefault="00AE0D96">
      <w:pPr>
        <w:spacing w:after="80"/>
        <w:ind w:left="720" w:hanging="720"/>
        <w:jc w:val="left"/>
        <w:rPr>
          <w:rFonts w:cs="Arial"/>
        </w:rPr>
      </w:pPr>
      <w:r w:rsidRPr="006A2821">
        <w:rPr>
          <w:rFonts w:cs="Arial"/>
        </w:rPr>
        <w:t>Erikson, E.H. (1968) Identity: Youth and crisis. New York: W.W. Norton.</w:t>
      </w:r>
    </w:p>
    <w:p w14:paraId="59BD1DC9" w14:textId="77777777" w:rsidR="00D672C5" w:rsidRPr="006A2821" w:rsidRDefault="00AE0D96">
      <w:pPr>
        <w:spacing w:after="80"/>
        <w:ind w:left="720" w:hanging="720"/>
        <w:jc w:val="left"/>
        <w:rPr>
          <w:rFonts w:cs="Arial"/>
        </w:rPr>
      </w:pPr>
      <w:r w:rsidRPr="006A2821">
        <w:rPr>
          <w:rFonts w:cs="Arial"/>
        </w:rPr>
        <w:t>Ivie, E.J., Pettitt, A., Moses, L.J. and Allen, N.B. (2020) ‘A meta-analysis of the association between adolescent social media use and depressive symptoms’, Journal of Affective Disorders, 275, pp. 165–174. doi: 10.1016/j.jad.2020.06.014.</w:t>
      </w:r>
    </w:p>
    <w:p w14:paraId="472C7AD1" w14:textId="77777777" w:rsidR="00D672C5" w:rsidRPr="006A2821" w:rsidRDefault="00AE0D96">
      <w:pPr>
        <w:spacing w:after="80"/>
        <w:ind w:left="720" w:hanging="720"/>
        <w:jc w:val="left"/>
        <w:rPr>
          <w:rFonts w:cs="Arial"/>
        </w:rPr>
      </w:pPr>
      <w:r w:rsidRPr="006A2821">
        <w:rPr>
          <w:rFonts w:cs="Arial"/>
        </w:rPr>
        <w:t>Keles, B., McCrae, N. and Grealish, A. (2020) ‘A systematic review: The influence of social media on depression, anxiety and psychological distress in adolescents’, International Journal of Adolescence and Youth, 25(1), pp. 79–93. doi: 10.1080/02673843.2019.1590851.</w:t>
      </w:r>
    </w:p>
    <w:p w14:paraId="107072C1" w14:textId="77777777" w:rsidR="00D672C5" w:rsidRPr="006A2821" w:rsidRDefault="00AE0D96">
      <w:pPr>
        <w:spacing w:after="80"/>
        <w:ind w:left="720" w:hanging="720"/>
        <w:jc w:val="left"/>
        <w:rPr>
          <w:rFonts w:cs="Arial"/>
        </w:rPr>
      </w:pPr>
      <w:r w:rsidRPr="006A2821">
        <w:rPr>
          <w:rFonts w:cs="Arial"/>
        </w:rPr>
        <w:t>Kelly, Y., Zilanawala, A., Booker, C. and Sacker, A. (2019) ‘Social media use and adolescent mental health: Findings from the UK Millennium Cohort Study’, EClinicalMedicine, 6, pp. 59–68. doi: 10.1016/j.eclinm.2018.12.005.</w:t>
      </w:r>
    </w:p>
    <w:p w14:paraId="44EF0CE3" w14:textId="77777777" w:rsidR="00D672C5" w:rsidRPr="006A2821" w:rsidRDefault="00AE0D96">
      <w:pPr>
        <w:spacing w:after="80"/>
        <w:ind w:left="720" w:hanging="720"/>
        <w:jc w:val="left"/>
        <w:rPr>
          <w:rFonts w:cs="Arial"/>
        </w:rPr>
      </w:pPr>
      <w:r w:rsidRPr="006A2821">
        <w:rPr>
          <w:rFonts w:cs="Arial"/>
        </w:rPr>
        <w:t>Odgers, C.L. and Jensen, M.R. (2020) ‘Annual research review: Adolescent mental health in the digital age: Facts, fears, and future directions’, Journal of Child Psychology and Psychiatry, 61(3), pp. 336–348. doi: 10.1111/jcpp.13190.</w:t>
      </w:r>
    </w:p>
    <w:p w14:paraId="21CE31D7" w14:textId="77777777" w:rsidR="00D672C5" w:rsidRPr="006A2821" w:rsidRDefault="00AE0D96">
      <w:pPr>
        <w:spacing w:after="80"/>
        <w:ind w:left="720" w:hanging="720"/>
        <w:jc w:val="left"/>
        <w:rPr>
          <w:rFonts w:cs="Arial"/>
        </w:rPr>
      </w:pPr>
      <w:r w:rsidRPr="006A2821">
        <w:rPr>
          <w:rFonts w:cs="Arial"/>
        </w:rPr>
        <w:t>Orben, A., Meier, A., Dalgleish, T. and Blakemore, S.-J. (2024) ‘Mechanisms linking social media use to adolescent mental health vulnerability’, Nature Reviews Psychology, 3(6), pp. 407–423. doi: 10.1038/s44159-024-00307-y.</w:t>
      </w:r>
    </w:p>
    <w:p w14:paraId="7E5AC29E" w14:textId="77777777" w:rsidR="00D672C5" w:rsidRPr="006A2821" w:rsidRDefault="00AE0D96">
      <w:pPr>
        <w:spacing w:after="80"/>
        <w:ind w:left="720" w:hanging="720"/>
        <w:jc w:val="left"/>
        <w:rPr>
          <w:rFonts w:cs="Arial"/>
        </w:rPr>
      </w:pPr>
      <w:r w:rsidRPr="006A2821">
        <w:rPr>
          <w:rFonts w:cs="Arial"/>
        </w:rPr>
        <w:t>Orben, A. and Przybylski, A.K. (2019) ‘The association between adolescent well-being and digital technology use’, Nature Human Behaviour, 3(2), pp. 173–182. doi: 10.1038/s41562-018-0506-1.</w:t>
      </w:r>
    </w:p>
    <w:p w14:paraId="7AE92C78" w14:textId="77777777" w:rsidR="00D672C5" w:rsidRPr="006A2821" w:rsidRDefault="00AE0D96">
      <w:pPr>
        <w:spacing w:after="80"/>
        <w:ind w:left="720" w:hanging="720"/>
        <w:jc w:val="left"/>
        <w:rPr>
          <w:rFonts w:cs="Arial"/>
        </w:rPr>
      </w:pPr>
      <w:r w:rsidRPr="006A2821">
        <w:rPr>
          <w:rFonts w:cs="Arial"/>
        </w:rPr>
        <w:t>Valkenburg, P.M., Meier, A. and Beyens, I. (2022) ‘Social media use and its impact on adolescent mental health: An umbrella review of the evidence’, Current Opinion in Psychology, 44, pp. 58–68. doi: 10.1016/j.copsyc.2021.08.017.</w:t>
      </w:r>
    </w:p>
    <w:p w14:paraId="5E5BE836" w14:textId="77777777" w:rsidR="00D672C5" w:rsidRPr="006A2821" w:rsidRDefault="00AE0D96">
      <w:pPr>
        <w:spacing w:after="80"/>
        <w:ind w:left="720" w:hanging="720"/>
        <w:jc w:val="left"/>
        <w:rPr>
          <w:rFonts w:cs="Arial"/>
        </w:rPr>
      </w:pPr>
      <w:r w:rsidRPr="006A2821">
        <w:rPr>
          <w:rFonts w:cs="Arial"/>
        </w:rPr>
        <w:lastRenderedPageBreak/>
        <w:t>Venta, A., Harmon, J., Abate, A., Marshall, K. and Mouton-Odum, S. (2019) ‘Pilot data supporting an attachment-based theory of adolescent social media use’, Child and Adolescent Mental Health, 24(3), pp. 274–282. doi: 10.1111/camh.12329.</w:t>
      </w:r>
    </w:p>
    <w:p w14:paraId="06E839C2" w14:textId="77777777" w:rsidR="00D672C5" w:rsidRPr="006A2821" w:rsidRDefault="00AE0D96">
      <w:pPr>
        <w:spacing w:after="80"/>
        <w:ind w:left="720" w:hanging="720"/>
        <w:jc w:val="left"/>
        <w:rPr>
          <w:rFonts w:cs="Arial"/>
        </w:rPr>
      </w:pPr>
      <w:r w:rsidRPr="006A2821">
        <w:rPr>
          <w:rFonts w:cs="Arial"/>
        </w:rPr>
        <w:t>Woods, H.C. and Scott, H. (2016) ‘#Sleepyteens: Social media use in adolescence is associated with poor sleep quality, anxiety, depression and low self-esteem’, Journal of Adolescence, 51, pp. 41–49. doi: 10.1016/j.adolescence.2016.05.008.</w:t>
      </w:r>
    </w:p>
    <w:sectPr w:rsidR="00D672C5" w:rsidRPr="006A2821" w:rsidSect="00034616">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04645" w14:textId="77777777" w:rsidR="00483B56" w:rsidRDefault="00483B56">
      <w:pPr>
        <w:spacing w:line="240" w:lineRule="auto"/>
      </w:pPr>
      <w:r>
        <w:separator/>
      </w:r>
    </w:p>
  </w:endnote>
  <w:endnote w:type="continuationSeparator" w:id="0">
    <w:p w14:paraId="4646AF78" w14:textId="77777777" w:rsidR="00483B56" w:rsidRDefault="00483B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B24ED9" w14:textId="77777777" w:rsidR="00D672C5" w:rsidRDefault="00AE0D96">
    <w:pPr>
      <w:pStyle w:val="Stopka"/>
      <w:jc w:val="center"/>
    </w:pPr>
    <w:r>
      <w:rPr>
        <w:sz w:val="20"/>
      </w:rPr>
      <w:fldChar w:fldCharType="begin"/>
    </w:r>
    <w:r>
      <w:rPr>
        <w:sz w:val="20"/>
      </w:rPr>
      <w:instrText xml:space="preserve"> PAGE </w:instrText>
    </w:r>
    <w:r>
      <w:rPr>
        <w:sz w:val="20"/>
      </w:rPr>
      <w:fldChar w:fldCharType="separate"/>
    </w:r>
    <w:r w:rsidR="00BC7AB0">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F1DA9" w14:textId="77777777" w:rsidR="00483B56" w:rsidRDefault="00483B56">
      <w:pPr>
        <w:spacing w:line="240" w:lineRule="auto"/>
      </w:pPr>
      <w:r>
        <w:separator/>
      </w:r>
    </w:p>
  </w:footnote>
  <w:footnote w:type="continuationSeparator" w:id="0">
    <w:p w14:paraId="4D5384BF" w14:textId="77777777" w:rsidR="00483B56" w:rsidRDefault="00483B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wana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wana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punktowana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punktowana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anumerowan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apunktowana"/>
      <w:lvlText w:val=""/>
      <w:lvlJc w:val="left"/>
      <w:pPr>
        <w:tabs>
          <w:tab w:val="num" w:pos="360"/>
        </w:tabs>
        <w:ind w:left="360" w:hanging="360"/>
      </w:pPr>
      <w:rPr>
        <w:rFonts w:ascii="Symbol" w:hAnsi="Symbol" w:hint="default"/>
      </w:rPr>
    </w:lvl>
  </w:abstractNum>
  <w:num w:numId="1" w16cid:durableId="1253465001">
    <w:abstractNumId w:val="8"/>
  </w:num>
  <w:num w:numId="2" w16cid:durableId="829097585">
    <w:abstractNumId w:val="6"/>
  </w:num>
  <w:num w:numId="3" w16cid:durableId="1838498414">
    <w:abstractNumId w:val="5"/>
  </w:num>
  <w:num w:numId="4" w16cid:durableId="2009094412">
    <w:abstractNumId w:val="4"/>
  </w:num>
  <w:num w:numId="5" w16cid:durableId="1216040611">
    <w:abstractNumId w:val="7"/>
  </w:num>
  <w:num w:numId="6" w16cid:durableId="1610159079">
    <w:abstractNumId w:val="3"/>
  </w:num>
  <w:num w:numId="7" w16cid:durableId="1439564856">
    <w:abstractNumId w:val="2"/>
  </w:num>
  <w:num w:numId="8" w16cid:durableId="1935046266">
    <w:abstractNumId w:val="1"/>
  </w:num>
  <w:num w:numId="9" w16cid:durableId="940793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defaultTabStop w:val="720"/>
  <w:hyphenationZone w:val="425"/>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2082"/>
    <w:rsid w:val="0015074B"/>
    <w:rsid w:val="0029639D"/>
    <w:rsid w:val="00302F79"/>
    <w:rsid w:val="00326F90"/>
    <w:rsid w:val="004543B1"/>
    <w:rsid w:val="00483B56"/>
    <w:rsid w:val="00536A6B"/>
    <w:rsid w:val="00595AE9"/>
    <w:rsid w:val="006A2821"/>
    <w:rsid w:val="009078F4"/>
    <w:rsid w:val="00AA1D8D"/>
    <w:rsid w:val="00AE0D96"/>
    <w:rsid w:val="00B47730"/>
    <w:rsid w:val="00BC7AB0"/>
    <w:rsid w:val="00CB0664"/>
    <w:rsid w:val="00D672C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9D0A094"/>
  <w14:defaultImageDpi w14:val="300"/>
  <w15:docId w15:val="{B5A1BBF2-94A8-AF40-85A8-6B61007D2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FC693F"/>
    <w:pPr>
      <w:spacing w:after="0" w:line="360" w:lineRule="auto"/>
      <w:jc w:val="both"/>
    </w:pPr>
    <w:rPr>
      <w:rFonts w:ascii="Arial" w:eastAsia="Arial" w:hAnsi="Arial"/>
    </w:rPr>
  </w:style>
  <w:style w:type="paragraph" w:styleId="Nagwek1">
    <w:name w:val="heading 1"/>
    <w:basedOn w:val="Normalny"/>
    <w:next w:val="Normalny"/>
    <w:link w:val="Nagwek1Znak"/>
    <w:uiPriority w:val="9"/>
    <w:qFormat/>
    <w:rsid w:val="00FC693F"/>
    <w:pPr>
      <w:keepNext/>
      <w:keepLines/>
      <w:spacing w:before="160" w:after="80"/>
      <w:outlineLvl w:val="0"/>
    </w:pPr>
    <w:rPr>
      <w:rFonts w:asciiTheme="majorHAnsi" w:eastAsiaTheme="majorEastAsia" w:hAnsiTheme="majorHAnsi" w:cstheme="majorBidi"/>
      <w:b/>
      <w:bCs/>
      <w:color w:val="000000"/>
      <w:szCs w:val="28"/>
    </w:rPr>
  </w:style>
  <w:style w:type="paragraph" w:styleId="Nagwek2">
    <w:name w:val="heading 2"/>
    <w:basedOn w:val="Normalny"/>
    <w:next w:val="Normalny"/>
    <w:link w:val="Nagwek2Znak"/>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next w:val="Normalny"/>
    <w:link w:val="Nagwek3Znak"/>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Nagwek4">
    <w:name w:val="heading 4"/>
    <w:basedOn w:val="Normalny"/>
    <w:next w:val="Normalny"/>
    <w:link w:val="Nagwek4Znak"/>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Nagwek5">
    <w:name w:val="heading 5"/>
    <w:basedOn w:val="Normalny"/>
    <w:next w:val="Normalny"/>
    <w:link w:val="Nagwek5Znak"/>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Nagwek6">
    <w:name w:val="heading 6"/>
    <w:basedOn w:val="Normalny"/>
    <w:next w:val="Normalny"/>
    <w:link w:val="Nagwek6Znak"/>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Nagwek7">
    <w:name w:val="heading 7"/>
    <w:basedOn w:val="Normalny"/>
    <w:next w:val="Normalny"/>
    <w:link w:val="Nagwek7Znak"/>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Nagwek8">
    <w:name w:val="heading 8"/>
    <w:basedOn w:val="Normalny"/>
    <w:next w:val="Normalny"/>
    <w:link w:val="Nagwek8Znak"/>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Nagwek9">
    <w:name w:val="heading 9"/>
    <w:basedOn w:val="Normalny"/>
    <w:next w:val="Normalny"/>
    <w:link w:val="Nagwek9Znak"/>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agwek">
    <w:name w:val="header"/>
    <w:basedOn w:val="Normalny"/>
    <w:link w:val="NagwekZnak"/>
    <w:uiPriority w:val="99"/>
    <w:unhideWhenUsed/>
    <w:rsid w:val="00E618BF"/>
    <w:pPr>
      <w:tabs>
        <w:tab w:val="center" w:pos="4680"/>
        <w:tab w:val="right" w:pos="9360"/>
      </w:tabs>
      <w:spacing w:line="240" w:lineRule="auto"/>
    </w:pPr>
  </w:style>
  <w:style w:type="character" w:customStyle="1" w:styleId="NagwekZnak">
    <w:name w:val="Nagłówek Znak"/>
    <w:basedOn w:val="Domylnaczcionkaakapitu"/>
    <w:link w:val="Nagwek"/>
    <w:uiPriority w:val="99"/>
    <w:rsid w:val="00E618BF"/>
  </w:style>
  <w:style w:type="paragraph" w:styleId="Stopka">
    <w:name w:val="footer"/>
    <w:basedOn w:val="Normalny"/>
    <w:link w:val="StopkaZnak"/>
    <w:uiPriority w:val="99"/>
    <w:unhideWhenUsed/>
    <w:rsid w:val="00E618BF"/>
    <w:pPr>
      <w:tabs>
        <w:tab w:val="center" w:pos="4680"/>
        <w:tab w:val="right" w:pos="9360"/>
      </w:tabs>
      <w:spacing w:line="240" w:lineRule="auto"/>
    </w:pPr>
  </w:style>
  <w:style w:type="character" w:customStyle="1" w:styleId="StopkaZnak">
    <w:name w:val="Stopka Znak"/>
    <w:basedOn w:val="Domylnaczcionkaakapitu"/>
    <w:link w:val="Stopka"/>
    <w:uiPriority w:val="99"/>
    <w:rsid w:val="00E618BF"/>
  </w:style>
  <w:style w:type="paragraph" w:styleId="Bezodstpw">
    <w:name w:val="No Spacing"/>
    <w:uiPriority w:val="1"/>
    <w:qFormat/>
    <w:rsid w:val="00FC693F"/>
    <w:pPr>
      <w:spacing w:after="0" w:line="240" w:lineRule="auto"/>
    </w:pPr>
  </w:style>
  <w:style w:type="character" w:customStyle="1" w:styleId="Nagwek1Znak">
    <w:name w:val="Nagłówek 1 Znak"/>
    <w:basedOn w:val="Domylnaczcionkaakapitu"/>
    <w:link w:val="Nagwek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Nagwek2Znak">
    <w:name w:val="Nagłówek 2 Znak"/>
    <w:basedOn w:val="Domylnaczcionkaakapitu"/>
    <w:link w:val="Nagwek2"/>
    <w:uiPriority w:val="9"/>
    <w:rsid w:val="00FC693F"/>
    <w:rPr>
      <w:rFonts w:asciiTheme="majorHAnsi" w:eastAsiaTheme="majorEastAsia" w:hAnsiTheme="majorHAnsi" w:cstheme="majorBidi"/>
      <w:b/>
      <w:bCs/>
      <w:color w:val="4F81BD" w:themeColor="accent1"/>
      <w:sz w:val="26"/>
      <w:szCs w:val="26"/>
    </w:rPr>
  </w:style>
  <w:style w:type="character" w:customStyle="1" w:styleId="Nagwek3Znak">
    <w:name w:val="Nagłówek 3 Znak"/>
    <w:basedOn w:val="Domylnaczcionkaakapitu"/>
    <w:link w:val="Nagwek3"/>
    <w:uiPriority w:val="9"/>
    <w:rsid w:val="00FC693F"/>
    <w:rPr>
      <w:rFonts w:asciiTheme="majorHAnsi" w:eastAsiaTheme="majorEastAsia" w:hAnsiTheme="majorHAnsi" w:cstheme="majorBidi"/>
      <w:b/>
      <w:bCs/>
      <w:color w:val="4F81BD" w:themeColor="accent1"/>
    </w:rPr>
  </w:style>
  <w:style w:type="paragraph" w:styleId="Tytu">
    <w:name w:val="Title"/>
    <w:basedOn w:val="Normalny"/>
    <w:next w:val="Normalny"/>
    <w:link w:val="TytuZnak"/>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ytuZnak">
    <w:name w:val="Tytuł Znak"/>
    <w:basedOn w:val="Domylnaczcionkaakapitu"/>
    <w:link w:val="Tyt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Podtytu">
    <w:name w:val="Subtitle"/>
    <w:basedOn w:val="Normalny"/>
    <w:next w:val="Normalny"/>
    <w:link w:val="PodtytuZnak"/>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PodtytuZnak">
    <w:name w:val="Podtytuł Znak"/>
    <w:basedOn w:val="Domylnaczcionkaakapitu"/>
    <w:link w:val="Podtytu"/>
    <w:uiPriority w:val="11"/>
    <w:rsid w:val="00FC693F"/>
    <w:rPr>
      <w:rFonts w:asciiTheme="majorHAnsi" w:eastAsiaTheme="majorEastAsia" w:hAnsiTheme="majorHAnsi" w:cstheme="majorBidi"/>
      <w:i/>
      <w:iCs/>
      <w:color w:val="4F81BD" w:themeColor="accent1"/>
      <w:spacing w:val="15"/>
      <w:sz w:val="24"/>
      <w:szCs w:val="24"/>
    </w:rPr>
  </w:style>
  <w:style w:type="paragraph" w:styleId="Akapitzlist">
    <w:name w:val="List Paragraph"/>
    <w:basedOn w:val="Normalny"/>
    <w:uiPriority w:val="34"/>
    <w:qFormat/>
    <w:rsid w:val="00FC693F"/>
    <w:pPr>
      <w:ind w:left="720"/>
      <w:contextualSpacing/>
    </w:pPr>
  </w:style>
  <w:style w:type="paragraph" w:styleId="Tekstpodstawowy">
    <w:name w:val="Body Text"/>
    <w:basedOn w:val="Normalny"/>
    <w:link w:val="TekstpodstawowyZnak"/>
    <w:uiPriority w:val="99"/>
    <w:unhideWhenUsed/>
    <w:rsid w:val="00AA1D8D"/>
    <w:pPr>
      <w:spacing w:after="120"/>
    </w:pPr>
  </w:style>
  <w:style w:type="character" w:customStyle="1" w:styleId="TekstpodstawowyZnak">
    <w:name w:val="Tekst podstawowy Znak"/>
    <w:basedOn w:val="Domylnaczcionkaakapitu"/>
    <w:link w:val="Tekstpodstawowy"/>
    <w:uiPriority w:val="99"/>
    <w:rsid w:val="00AA1D8D"/>
  </w:style>
  <w:style w:type="paragraph" w:styleId="Tekstpodstawowy2">
    <w:name w:val="Body Text 2"/>
    <w:basedOn w:val="Normalny"/>
    <w:link w:val="Tekstpodstawowy2Znak"/>
    <w:uiPriority w:val="99"/>
    <w:unhideWhenUsed/>
    <w:rsid w:val="00AA1D8D"/>
    <w:pPr>
      <w:spacing w:after="120" w:line="480" w:lineRule="auto"/>
    </w:pPr>
  </w:style>
  <w:style w:type="character" w:customStyle="1" w:styleId="Tekstpodstawowy2Znak">
    <w:name w:val="Tekst podstawowy 2 Znak"/>
    <w:basedOn w:val="Domylnaczcionkaakapitu"/>
    <w:link w:val="Tekstpodstawowy2"/>
    <w:uiPriority w:val="99"/>
    <w:rsid w:val="00AA1D8D"/>
  </w:style>
  <w:style w:type="paragraph" w:styleId="Tekstpodstawowy3">
    <w:name w:val="Body Text 3"/>
    <w:basedOn w:val="Normalny"/>
    <w:link w:val="Tekstpodstawowy3Znak"/>
    <w:uiPriority w:val="99"/>
    <w:unhideWhenUsed/>
    <w:rsid w:val="00AA1D8D"/>
    <w:pPr>
      <w:spacing w:after="120"/>
    </w:pPr>
    <w:rPr>
      <w:sz w:val="16"/>
      <w:szCs w:val="16"/>
    </w:rPr>
  </w:style>
  <w:style w:type="character" w:customStyle="1" w:styleId="Tekstpodstawowy3Znak">
    <w:name w:val="Tekst podstawowy 3 Znak"/>
    <w:basedOn w:val="Domylnaczcionkaakapitu"/>
    <w:link w:val="Tekstpodstawowy3"/>
    <w:uiPriority w:val="99"/>
    <w:rsid w:val="00AA1D8D"/>
    <w:rPr>
      <w:sz w:val="16"/>
      <w:szCs w:val="16"/>
    </w:rPr>
  </w:style>
  <w:style w:type="paragraph" w:styleId="Lista">
    <w:name w:val="List"/>
    <w:basedOn w:val="Normalny"/>
    <w:uiPriority w:val="99"/>
    <w:unhideWhenUsed/>
    <w:rsid w:val="00AA1D8D"/>
    <w:pPr>
      <w:ind w:left="360" w:hanging="360"/>
      <w:contextualSpacing/>
    </w:pPr>
  </w:style>
  <w:style w:type="paragraph" w:styleId="Lista2">
    <w:name w:val="List 2"/>
    <w:basedOn w:val="Normalny"/>
    <w:uiPriority w:val="99"/>
    <w:unhideWhenUsed/>
    <w:rsid w:val="00326F90"/>
    <w:pPr>
      <w:ind w:left="720" w:hanging="360"/>
      <w:contextualSpacing/>
    </w:pPr>
  </w:style>
  <w:style w:type="paragraph" w:styleId="Lista3">
    <w:name w:val="List 3"/>
    <w:basedOn w:val="Normalny"/>
    <w:uiPriority w:val="99"/>
    <w:unhideWhenUsed/>
    <w:rsid w:val="00326F90"/>
    <w:pPr>
      <w:ind w:left="1080" w:hanging="360"/>
      <w:contextualSpacing/>
    </w:pPr>
  </w:style>
  <w:style w:type="paragraph" w:styleId="Listapunktowana">
    <w:name w:val="List Bullet"/>
    <w:basedOn w:val="Normalny"/>
    <w:uiPriority w:val="99"/>
    <w:unhideWhenUsed/>
    <w:rsid w:val="00326F90"/>
    <w:pPr>
      <w:numPr>
        <w:numId w:val="1"/>
      </w:numPr>
      <w:contextualSpacing/>
    </w:pPr>
  </w:style>
  <w:style w:type="paragraph" w:styleId="Listapunktowana2">
    <w:name w:val="List Bullet 2"/>
    <w:basedOn w:val="Normalny"/>
    <w:uiPriority w:val="99"/>
    <w:unhideWhenUsed/>
    <w:rsid w:val="00326F90"/>
    <w:pPr>
      <w:numPr>
        <w:numId w:val="2"/>
      </w:numPr>
      <w:contextualSpacing/>
    </w:pPr>
  </w:style>
  <w:style w:type="paragraph" w:styleId="Listapunktowana3">
    <w:name w:val="List Bullet 3"/>
    <w:basedOn w:val="Normalny"/>
    <w:uiPriority w:val="99"/>
    <w:unhideWhenUsed/>
    <w:rsid w:val="00326F90"/>
    <w:pPr>
      <w:numPr>
        <w:numId w:val="3"/>
      </w:numPr>
      <w:contextualSpacing/>
    </w:pPr>
  </w:style>
  <w:style w:type="paragraph" w:styleId="Listanumerowana">
    <w:name w:val="List Number"/>
    <w:basedOn w:val="Normalny"/>
    <w:uiPriority w:val="99"/>
    <w:unhideWhenUsed/>
    <w:rsid w:val="00326F90"/>
    <w:pPr>
      <w:numPr>
        <w:numId w:val="5"/>
      </w:numPr>
      <w:contextualSpacing/>
    </w:pPr>
  </w:style>
  <w:style w:type="paragraph" w:styleId="Listanumerowana2">
    <w:name w:val="List Number 2"/>
    <w:basedOn w:val="Normalny"/>
    <w:uiPriority w:val="99"/>
    <w:unhideWhenUsed/>
    <w:rsid w:val="0029639D"/>
    <w:pPr>
      <w:numPr>
        <w:numId w:val="6"/>
      </w:numPr>
      <w:contextualSpacing/>
    </w:pPr>
  </w:style>
  <w:style w:type="paragraph" w:styleId="Listanumerowana3">
    <w:name w:val="List Number 3"/>
    <w:basedOn w:val="Normalny"/>
    <w:uiPriority w:val="99"/>
    <w:unhideWhenUsed/>
    <w:rsid w:val="0029639D"/>
    <w:pPr>
      <w:numPr>
        <w:numId w:val="7"/>
      </w:numPr>
      <w:contextualSpacing/>
    </w:pPr>
  </w:style>
  <w:style w:type="paragraph" w:styleId="Lista-kontynuacja">
    <w:name w:val="List Continue"/>
    <w:basedOn w:val="Normalny"/>
    <w:uiPriority w:val="99"/>
    <w:unhideWhenUsed/>
    <w:rsid w:val="0029639D"/>
    <w:pPr>
      <w:spacing w:after="120"/>
      <w:ind w:left="360"/>
      <w:contextualSpacing/>
    </w:pPr>
  </w:style>
  <w:style w:type="paragraph" w:styleId="Lista-kontynuacja2">
    <w:name w:val="List Continue 2"/>
    <w:basedOn w:val="Normalny"/>
    <w:uiPriority w:val="99"/>
    <w:unhideWhenUsed/>
    <w:rsid w:val="0029639D"/>
    <w:pPr>
      <w:spacing w:after="120"/>
      <w:ind w:left="720"/>
      <w:contextualSpacing/>
    </w:pPr>
  </w:style>
  <w:style w:type="paragraph" w:styleId="Lista-kontynuacja3">
    <w:name w:val="List Continue 3"/>
    <w:basedOn w:val="Normalny"/>
    <w:uiPriority w:val="99"/>
    <w:unhideWhenUsed/>
    <w:rsid w:val="0029639D"/>
    <w:pPr>
      <w:spacing w:after="120"/>
      <w:ind w:left="1080"/>
      <w:contextualSpacing/>
    </w:pPr>
  </w:style>
  <w:style w:type="paragraph" w:styleId="Tekstmakra">
    <w:name w:val="macro"/>
    <w:link w:val="TekstmakraZnak"/>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kstmakraZnak">
    <w:name w:val="Tekst makra Znak"/>
    <w:basedOn w:val="Domylnaczcionkaakapitu"/>
    <w:link w:val="Tekstmakra"/>
    <w:uiPriority w:val="99"/>
    <w:rsid w:val="0029639D"/>
    <w:rPr>
      <w:rFonts w:ascii="Courier" w:hAnsi="Courier"/>
      <w:sz w:val="20"/>
      <w:szCs w:val="20"/>
    </w:rPr>
  </w:style>
  <w:style w:type="paragraph" w:styleId="Cytat">
    <w:name w:val="Quote"/>
    <w:basedOn w:val="Normalny"/>
    <w:next w:val="Normalny"/>
    <w:link w:val="CytatZnak"/>
    <w:uiPriority w:val="29"/>
    <w:qFormat/>
    <w:rsid w:val="00FC693F"/>
    <w:rPr>
      <w:i/>
      <w:iCs/>
      <w:color w:val="000000" w:themeColor="text1"/>
    </w:rPr>
  </w:style>
  <w:style w:type="character" w:customStyle="1" w:styleId="CytatZnak">
    <w:name w:val="Cytat Znak"/>
    <w:basedOn w:val="Domylnaczcionkaakapitu"/>
    <w:link w:val="Cytat"/>
    <w:uiPriority w:val="29"/>
    <w:rsid w:val="00FC693F"/>
    <w:rPr>
      <w:i/>
      <w:iCs/>
      <w:color w:val="000000" w:themeColor="text1"/>
    </w:rPr>
  </w:style>
  <w:style w:type="character" w:customStyle="1" w:styleId="Nagwek4Znak">
    <w:name w:val="Nagłówek 4 Znak"/>
    <w:basedOn w:val="Domylnaczcionkaakapitu"/>
    <w:link w:val="Nagwek4"/>
    <w:uiPriority w:val="9"/>
    <w:semiHidden/>
    <w:rsid w:val="00FC693F"/>
    <w:rPr>
      <w:rFonts w:asciiTheme="majorHAnsi" w:eastAsiaTheme="majorEastAsia" w:hAnsiTheme="majorHAnsi" w:cstheme="majorBidi"/>
      <w:b/>
      <w:bCs/>
      <w:i/>
      <w:iCs/>
      <w:color w:val="4F81BD" w:themeColor="accent1"/>
    </w:rPr>
  </w:style>
  <w:style w:type="character" w:customStyle="1" w:styleId="Nagwek5Znak">
    <w:name w:val="Nagłówek 5 Znak"/>
    <w:basedOn w:val="Domylnaczcionkaakapitu"/>
    <w:link w:val="Nagwek5"/>
    <w:uiPriority w:val="9"/>
    <w:semiHidden/>
    <w:rsid w:val="00FC693F"/>
    <w:rPr>
      <w:rFonts w:asciiTheme="majorHAnsi" w:eastAsiaTheme="majorEastAsia" w:hAnsiTheme="majorHAnsi" w:cstheme="majorBidi"/>
      <w:color w:val="243F60" w:themeColor="accent1" w:themeShade="7F"/>
    </w:rPr>
  </w:style>
  <w:style w:type="character" w:customStyle="1" w:styleId="Nagwek6Znak">
    <w:name w:val="Nagłówek 6 Znak"/>
    <w:basedOn w:val="Domylnaczcionkaakapitu"/>
    <w:link w:val="Nagwek6"/>
    <w:uiPriority w:val="9"/>
    <w:semiHidden/>
    <w:rsid w:val="00FC693F"/>
    <w:rPr>
      <w:rFonts w:asciiTheme="majorHAnsi" w:eastAsiaTheme="majorEastAsia" w:hAnsiTheme="majorHAnsi" w:cstheme="majorBidi"/>
      <w:i/>
      <w:iCs/>
      <w:color w:val="243F60" w:themeColor="accent1" w:themeShade="7F"/>
    </w:rPr>
  </w:style>
  <w:style w:type="character" w:customStyle="1" w:styleId="Nagwek7Znak">
    <w:name w:val="Nagłówek 7 Znak"/>
    <w:basedOn w:val="Domylnaczcionkaakapitu"/>
    <w:link w:val="Nagwek7"/>
    <w:uiPriority w:val="9"/>
    <w:semiHidden/>
    <w:rsid w:val="00FC693F"/>
    <w:rPr>
      <w:rFonts w:asciiTheme="majorHAnsi" w:eastAsiaTheme="majorEastAsia" w:hAnsiTheme="majorHAnsi" w:cstheme="majorBidi"/>
      <w:i/>
      <w:iCs/>
      <w:color w:val="404040" w:themeColor="text1" w:themeTint="BF"/>
    </w:rPr>
  </w:style>
  <w:style w:type="character" w:customStyle="1" w:styleId="Nagwek8Znak">
    <w:name w:val="Nagłówek 8 Znak"/>
    <w:basedOn w:val="Domylnaczcionkaakapitu"/>
    <w:link w:val="Nagwek8"/>
    <w:uiPriority w:val="9"/>
    <w:semiHidden/>
    <w:rsid w:val="00FC693F"/>
    <w:rPr>
      <w:rFonts w:asciiTheme="majorHAnsi" w:eastAsiaTheme="majorEastAsia" w:hAnsiTheme="majorHAnsi" w:cstheme="majorBidi"/>
      <w:color w:val="4F81BD" w:themeColor="accent1"/>
      <w:sz w:val="20"/>
      <w:szCs w:val="20"/>
    </w:rPr>
  </w:style>
  <w:style w:type="character" w:customStyle="1" w:styleId="Nagwek9Znak">
    <w:name w:val="Nagłówek 9 Znak"/>
    <w:basedOn w:val="Domylnaczcionkaakapitu"/>
    <w:link w:val="Nagwek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a">
    <w:name w:val="caption"/>
    <w:basedOn w:val="Normalny"/>
    <w:next w:val="Normalny"/>
    <w:uiPriority w:val="35"/>
    <w:semiHidden/>
    <w:unhideWhenUsed/>
    <w:qFormat/>
    <w:rsid w:val="00FC693F"/>
    <w:pPr>
      <w:spacing w:line="240" w:lineRule="auto"/>
    </w:pPr>
    <w:rPr>
      <w:b/>
      <w:bCs/>
      <w:color w:val="4F81BD" w:themeColor="accent1"/>
      <w:sz w:val="18"/>
      <w:szCs w:val="18"/>
    </w:rPr>
  </w:style>
  <w:style w:type="character" w:styleId="Pogrubienie">
    <w:name w:val="Strong"/>
    <w:basedOn w:val="Domylnaczcionkaakapitu"/>
    <w:uiPriority w:val="22"/>
    <w:qFormat/>
    <w:rsid w:val="00FC693F"/>
    <w:rPr>
      <w:b/>
      <w:bCs/>
    </w:rPr>
  </w:style>
  <w:style w:type="character" w:styleId="Uwydatnienie">
    <w:name w:val="Emphasis"/>
    <w:basedOn w:val="Domylnaczcionkaakapitu"/>
    <w:uiPriority w:val="20"/>
    <w:qFormat/>
    <w:rsid w:val="00FC693F"/>
    <w:rPr>
      <w:i/>
      <w:iCs/>
    </w:rPr>
  </w:style>
  <w:style w:type="paragraph" w:styleId="Cytatintensywny">
    <w:name w:val="Intense Quote"/>
    <w:basedOn w:val="Normalny"/>
    <w:next w:val="Normalny"/>
    <w:link w:val="CytatintensywnyZnak"/>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ytatintensywnyZnak">
    <w:name w:val="Cytat intensywny Znak"/>
    <w:basedOn w:val="Domylnaczcionkaakapitu"/>
    <w:link w:val="Cytatintensywny"/>
    <w:uiPriority w:val="30"/>
    <w:rsid w:val="00FC693F"/>
    <w:rPr>
      <w:b/>
      <w:bCs/>
      <w:i/>
      <w:iCs/>
      <w:color w:val="4F81BD" w:themeColor="accent1"/>
    </w:rPr>
  </w:style>
  <w:style w:type="character" w:styleId="Wyrnieniedelikatne">
    <w:name w:val="Subtle Emphasis"/>
    <w:basedOn w:val="Domylnaczcionkaakapitu"/>
    <w:uiPriority w:val="19"/>
    <w:qFormat/>
    <w:rsid w:val="00FC693F"/>
    <w:rPr>
      <w:i/>
      <w:iCs/>
      <w:color w:val="808080" w:themeColor="text1" w:themeTint="7F"/>
    </w:rPr>
  </w:style>
  <w:style w:type="character" w:styleId="Wyrnienieintensywne">
    <w:name w:val="Intense Emphasis"/>
    <w:basedOn w:val="Domylnaczcionkaakapitu"/>
    <w:uiPriority w:val="21"/>
    <w:qFormat/>
    <w:rsid w:val="00FC693F"/>
    <w:rPr>
      <w:b/>
      <w:bCs/>
      <w:i/>
      <w:iCs/>
      <w:color w:val="4F81BD" w:themeColor="accent1"/>
    </w:rPr>
  </w:style>
  <w:style w:type="character" w:styleId="Odwoaniedelikatne">
    <w:name w:val="Subtle Reference"/>
    <w:basedOn w:val="Domylnaczcionkaakapitu"/>
    <w:uiPriority w:val="31"/>
    <w:qFormat/>
    <w:rsid w:val="00FC693F"/>
    <w:rPr>
      <w:smallCaps/>
      <w:color w:val="C0504D" w:themeColor="accent2"/>
      <w:u w:val="single"/>
    </w:rPr>
  </w:style>
  <w:style w:type="character" w:styleId="Odwoanieintensywne">
    <w:name w:val="Intense Reference"/>
    <w:basedOn w:val="Domylnaczcionkaakapitu"/>
    <w:uiPriority w:val="32"/>
    <w:qFormat/>
    <w:rsid w:val="00FC693F"/>
    <w:rPr>
      <w:b/>
      <w:bCs/>
      <w:smallCaps/>
      <w:color w:val="C0504D" w:themeColor="accent2"/>
      <w:spacing w:val="5"/>
      <w:u w:val="single"/>
    </w:rPr>
  </w:style>
  <w:style w:type="character" w:styleId="Tytuksiki">
    <w:name w:val="Book Title"/>
    <w:basedOn w:val="Domylnaczcionkaakapitu"/>
    <w:uiPriority w:val="33"/>
    <w:qFormat/>
    <w:rsid w:val="00FC693F"/>
    <w:rPr>
      <w:b/>
      <w:bCs/>
      <w:smallCaps/>
      <w:spacing w:val="5"/>
    </w:rPr>
  </w:style>
  <w:style w:type="paragraph" w:styleId="Nagwekspisutreci">
    <w:name w:val="TOC Heading"/>
    <w:basedOn w:val="Nagwek1"/>
    <w:next w:val="Normalny"/>
    <w:uiPriority w:val="39"/>
    <w:semiHidden/>
    <w:unhideWhenUsed/>
    <w:qFormat/>
    <w:rsid w:val="00FC693F"/>
    <w:pPr>
      <w:outlineLvl w:val="9"/>
    </w:pPr>
  </w:style>
  <w:style w:type="table" w:styleId="Tabela-Siatka">
    <w:name w:val="Table Grid"/>
    <w:basedOn w:val="Standardowy"/>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Jasnecieniowanie">
    <w:name w:val="Light Shading"/>
    <w:basedOn w:val="Standardowy"/>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Jasnecieniowanieakcent1">
    <w:name w:val="Light Shading Accent 1"/>
    <w:basedOn w:val="Standardowy"/>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Jasnecieniowanieakcent2">
    <w:name w:val="Light Shading Accent 2"/>
    <w:basedOn w:val="Standardowy"/>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Jasnecieniowanieakcent3">
    <w:name w:val="Light Shading Accent 3"/>
    <w:basedOn w:val="Standardowy"/>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Jasnecieniowanieakcent4">
    <w:name w:val="Light Shading Accent 4"/>
    <w:basedOn w:val="Standardowy"/>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Jasnecieniowanieakcent5">
    <w:name w:val="Light Shading Accent 5"/>
    <w:basedOn w:val="Standardowy"/>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Jasnecieniowanieakcent6">
    <w:name w:val="Light Shading Accent 6"/>
    <w:basedOn w:val="Standardowy"/>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Jasnalista">
    <w:name w:val="Light List"/>
    <w:basedOn w:val="Standardowy"/>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Jasnalistaakcent1">
    <w:name w:val="Light List Accent 1"/>
    <w:basedOn w:val="Standardowy"/>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Jasnalistaakcent2">
    <w:name w:val="Light List Accent 2"/>
    <w:basedOn w:val="Standardowy"/>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Jasnalistaakcent3">
    <w:name w:val="Light List Accent 3"/>
    <w:basedOn w:val="Standardowy"/>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Jasnalistaakcent4">
    <w:name w:val="Light List Accent 4"/>
    <w:basedOn w:val="Standardowy"/>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Jasnalistaakcent5">
    <w:name w:val="Light List Accent 5"/>
    <w:basedOn w:val="Standardowy"/>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Jasnalistaakcent6">
    <w:name w:val="Light List Accent 6"/>
    <w:basedOn w:val="Standardowy"/>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Jasnasiatka">
    <w:name w:val="Light Grid"/>
    <w:basedOn w:val="Standardowy"/>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Jasnasiatkaakcent1">
    <w:name w:val="Light Grid Accent 1"/>
    <w:basedOn w:val="Standardowy"/>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Jasnasiatkaakcent2">
    <w:name w:val="Light Grid Accent 2"/>
    <w:basedOn w:val="Standardowy"/>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Jasnasiatkaakcent3">
    <w:name w:val="Light Grid Accent 3"/>
    <w:basedOn w:val="Standardowy"/>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Jasnasiatkaakcent4">
    <w:name w:val="Light Grid Accent 4"/>
    <w:basedOn w:val="Standardowy"/>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Jasnasiatkaakcent5">
    <w:name w:val="Light Grid Accent 5"/>
    <w:basedOn w:val="Standardowy"/>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Jasnasiatkaakcent6">
    <w:name w:val="Light Grid Accent 6"/>
    <w:basedOn w:val="Standardowy"/>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redniecieniowanie1">
    <w:name w:val="Medium Shading 1"/>
    <w:basedOn w:val="Standardowy"/>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redniecieniowanie1akcent1">
    <w:name w:val="Medium Shading 1 Accent 1"/>
    <w:basedOn w:val="Standardowy"/>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redniecieniowanie1akcent2">
    <w:name w:val="Medium Shading 1 Accent 2"/>
    <w:basedOn w:val="Standardowy"/>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redniecieniowanie1akcent3">
    <w:name w:val="Medium Shading 1 Accent 3"/>
    <w:basedOn w:val="Standardowy"/>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redniecieniowanie1akcent4">
    <w:name w:val="Medium Shading 1 Accent 4"/>
    <w:basedOn w:val="Standardowy"/>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redniecieniowanie1akcent5">
    <w:name w:val="Medium Shading 1 Accent 5"/>
    <w:basedOn w:val="Standardowy"/>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redniecieniowanie1akcent6">
    <w:name w:val="Medium Shading 1 Accent 6"/>
    <w:basedOn w:val="Standardowy"/>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redniecieniowanie2">
    <w:name w:val="Medium Shading 2"/>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1">
    <w:name w:val="Medium Shading 2 Accent 1"/>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2">
    <w:name w:val="Medium Shading 2 Accent 2"/>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3">
    <w:name w:val="Medium Shading 2 Accent 3"/>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4">
    <w:name w:val="Medium Shading 2 Accent 4"/>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5">
    <w:name w:val="Medium Shading 2 Accent 5"/>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6">
    <w:name w:val="Medium Shading 2 Accent 6"/>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alista1">
    <w:name w:val="Medium List 1"/>
    <w:basedOn w:val="Standardowy"/>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rednialista1akcent1">
    <w:name w:val="Medium List 1 Accent 1"/>
    <w:basedOn w:val="Standardowy"/>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rednialista1akcent2">
    <w:name w:val="Medium List 1 Accent 2"/>
    <w:basedOn w:val="Standardowy"/>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rednialista1akcent3">
    <w:name w:val="Medium List 1 Accent 3"/>
    <w:basedOn w:val="Standardowy"/>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rednialista1akcent4">
    <w:name w:val="Medium List 1 Accent 4"/>
    <w:basedOn w:val="Standardowy"/>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rednialista1akcent5">
    <w:name w:val="Medium List 1 Accent 5"/>
    <w:basedOn w:val="Standardowy"/>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rednialista1akcent6">
    <w:name w:val="Medium List 1 Accent 6"/>
    <w:basedOn w:val="Standardowy"/>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rednialista2">
    <w:name w:val="Medium List 2"/>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1">
    <w:name w:val="Medium List 2 Accent 1"/>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2">
    <w:name w:val="Medium List 2 Accent 2"/>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3">
    <w:name w:val="Medium List 2 Accent 3"/>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4">
    <w:name w:val="Medium List 2 Accent 4"/>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5">
    <w:name w:val="Medium List 2 Accent 5"/>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6">
    <w:name w:val="Medium List 2 Accent 6"/>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siatka1">
    <w:name w:val="Medium Grid 1"/>
    <w:basedOn w:val="Standardowy"/>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redniasiatka1akcent1">
    <w:name w:val="Medium Grid 1 Accent 1"/>
    <w:basedOn w:val="Standardowy"/>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redniasiatka1akcent2">
    <w:name w:val="Medium Grid 1 Accent 2"/>
    <w:basedOn w:val="Standardowy"/>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redniasiatka1akcent3">
    <w:name w:val="Medium Grid 1 Accent 3"/>
    <w:basedOn w:val="Standardowy"/>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redniasiatka1akcent4">
    <w:name w:val="Medium Grid 1 Accent 4"/>
    <w:basedOn w:val="Standardowy"/>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redniasiatka1akcent5">
    <w:name w:val="Medium Grid 1 Accent 5"/>
    <w:basedOn w:val="Standardowy"/>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redniasiatka1akcent6">
    <w:name w:val="Medium Grid 1 Accent 6"/>
    <w:basedOn w:val="Standardowy"/>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redniasiatka2">
    <w:name w:val="Medium Grid 2"/>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redniasiatka2akcent1">
    <w:name w:val="Medium Grid 2 Accent 1"/>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redniasiatka2akcent2">
    <w:name w:val="Medium Grid 2 Accent 2"/>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redniasiatka2akcent3">
    <w:name w:val="Medium Grid 2 Accent 3"/>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redniasiatka2akcent4">
    <w:name w:val="Medium Grid 2 Accent 4"/>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redniasiatka2akcent5">
    <w:name w:val="Medium Grid 2 Accent 5"/>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redniasiatka2akcent6">
    <w:name w:val="Medium Grid 2 Accent 6"/>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redniasiatka3">
    <w:name w:val="Medium Grid 3"/>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redniasiatka3akcent1">
    <w:name w:val="Medium Grid 3 Accent 1"/>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redniasiatka3akcent2">
    <w:name w:val="Medium Grid 3 Accent 2"/>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redniasiatka3akcent3">
    <w:name w:val="Medium Grid 3 Accent 3"/>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redniasiatka3akcent4">
    <w:name w:val="Medium Grid 3 Accent 4"/>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redniasiatka3akcent5">
    <w:name w:val="Medium Grid 3 Accent 5"/>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redniasiatka3akcent6">
    <w:name w:val="Medium Grid 3 Accent 6"/>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Ciemnalista">
    <w:name w:val="Dark List"/>
    <w:basedOn w:val="Standardowy"/>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Ciemnalista2akcent1">
    <w:name w:val="Dark List Accent 1"/>
    <w:basedOn w:val="Standardowy"/>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Ciemnalistaakcent2">
    <w:name w:val="Dark List Accent 2"/>
    <w:basedOn w:val="Standardowy"/>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Ciemnalistaakcent3">
    <w:name w:val="Dark List Accent 3"/>
    <w:basedOn w:val="Standardowy"/>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Ciemnalistaakcent4">
    <w:name w:val="Dark List Accent 4"/>
    <w:basedOn w:val="Standardowy"/>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Ciemnalistaakcent5">
    <w:name w:val="Dark List Accent 5"/>
    <w:basedOn w:val="Standardowy"/>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Ciemnalistaakcent6">
    <w:name w:val="Dark List Accent 6"/>
    <w:basedOn w:val="Standardowy"/>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Kolorowecieniowanie">
    <w:name w:val="Colorful Shading"/>
    <w:basedOn w:val="Standardowy"/>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Kolorowecieniowanieakcent1">
    <w:name w:val="Colorful Shading Accent 1"/>
    <w:basedOn w:val="Standardowy"/>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Kolorowecieniowanieakcent2">
    <w:name w:val="Colorful Shading Accent 2"/>
    <w:basedOn w:val="Standardowy"/>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Kolorowecieniowanieakcent3">
    <w:name w:val="Colorful Shading Accent 3"/>
    <w:basedOn w:val="Standardowy"/>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Kolorowecieniowanieakcent4">
    <w:name w:val="Colorful Shading Accent 4"/>
    <w:basedOn w:val="Standardowy"/>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Kolorowecieniowanieakcent5">
    <w:name w:val="Colorful Shading Accent 5"/>
    <w:basedOn w:val="Standardowy"/>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Kolorowecieniowanieakcent6">
    <w:name w:val="Colorful Shading Accent 6"/>
    <w:basedOn w:val="Standardowy"/>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Kolorowalista">
    <w:name w:val="Colorful List"/>
    <w:basedOn w:val="Standardowy"/>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Kolorowalistaakcent1">
    <w:name w:val="Colorful List Accent 1"/>
    <w:basedOn w:val="Standardowy"/>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Kolorowalistaakcent2">
    <w:name w:val="Colorful List Accent 2"/>
    <w:basedOn w:val="Standardowy"/>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Kolorowalistaakcent3">
    <w:name w:val="Colorful List Accent 3"/>
    <w:basedOn w:val="Standardowy"/>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Kolorowalistaakcent4">
    <w:name w:val="Colorful List Accent 4"/>
    <w:basedOn w:val="Standardowy"/>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Kolorowalistaakcent5">
    <w:name w:val="Colorful List Accent 5"/>
    <w:basedOn w:val="Standardowy"/>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Kolorowalistaakcent6">
    <w:name w:val="Colorful List Accent 6"/>
    <w:basedOn w:val="Standardowy"/>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Kolorowasiatka">
    <w:name w:val="Colorful Grid"/>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Kolorowasiatkaakcent1">
    <w:name w:val="Colorful Grid Accent 1"/>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Kolorowasiatkaakcent2">
    <w:name w:val="Colorful Grid Accent 2"/>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Kolorowasiatkaakcent3">
    <w:name w:val="Colorful Grid Accent 3"/>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Kolorowasiatkaakcent4">
    <w:name w:val="Colorful Grid Accent 4"/>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Kolorowasiatkaakcent5">
    <w:name w:val="Colorful Grid Accent 5"/>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Kolorowasiatkaakcent6">
    <w:name w:val="Colorful Grid Accent 6"/>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2012</Words>
  <Characters>12075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14059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Social Media on Adolescent Mental Health</dc:title>
  <dc:subject>LCHS4010 Component 2 Essay</dc:subject>
  <dc:creator>Monika Dąbkowska</dc:creator>
  <cp:keywords>social media, adolescent mental health, Erikson, Bowlby, attachment, identity</cp:keywords>
  <dc:description>generated by python-docx</dc:description>
  <cp:lastModifiedBy>monika dab</cp:lastModifiedBy>
  <cp:revision>2</cp:revision>
  <dcterms:created xsi:type="dcterms:W3CDTF">2026-08-04T16:37:00Z</dcterms:created>
  <dcterms:modified xsi:type="dcterms:W3CDTF">2026-08-04T16:37:00Z</dcterms:modified>
  <cp:category/>
</cp:coreProperties>
</file>