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91F1E" w14:textId="77777777" w:rsidR="00A568CC" w:rsidRDefault="00A568CC" w:rsidP="00A568CC">
      <w:pPr>
        <w:pStyle w:val="NormalWeb"/>
        <w:jc w:val="center"/>
      </w:pPr>
      <w:r>
        <w:rPr>
          <w:noProof/>
        </w:rPr>
        <w:drawing>
          <wp:inline distT="0" distB="0" distL="0" distR="0" wp14:anchorId="29A02C6E" wp14:editId="00D54E5C">
            <wp:extent cx="2584450" cy="1151488"/>
            <wp:effectExtent l="0" t="0" r="6350" b="0"/>
            <wp:docPr id="4" name="Picture 4" descr="C:\Users\ASUS\AppData\Local\Packages\Microsoft.Windows.Photos_8wekyb3d8bbwe\TempState\ShareServiceTempFolder\download (4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ASUS\AppData\Local\Packages\Microsoft.Windows.Photos_8wekyb3d8bbwe\TempState\ShareServiceTempFolder\download (40).jpe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84450" cy="1151488"/>
                    </a:xfrm>
                    <a:prstGeom prst="rect">
                      <a:avLst/>
                    </a:prstGeom>
                    <a:noFill/>
                    <a:ln>
                      <a:noFill/>
                    </a:ln>
                  </pic:spPr>
                </pic:pic>
              </a:graphicData>
            </a:graphic>
          </wp:inline>
        </w:drawing>
      </w:r>
    </w:p>
    <w:p w14:paraId="66DB69C2" w14:textId="77777777" w:rsidR="00A568CC" w:rsidRDefault="00A568CC" w:rsidP="00A568CC">
      <w:pPr>
        <w:jc w:val="center"/>
        <w:rPr>
          <w:b/>
          <w:sz w:val="40"/>
          <w:u w:val="single"/>
        </w:rPr>
      </w:pPr>
      <w:r w:rsidRPr="00A568CC">
        <w:rPr>
          <w:b/>
          <w:sz w:val="40"/>
          <w:u w:val="single"/>
        </w:rPr>
        <w:t>Community Engagement</w:t>
      </w:r>
    </w:p>
    <w:p w14:paraId="0A752999" w14:textId="77777777" w:rsidR="00A568CC" w:rsidRPr="00A568CC" w:rsidRDefault="00A568CC" w:rsidP="00A568CC">
      <w:pPr>
        <w:jc w:val="center"/>
        <w:rPr>
          <w:b/>
          <w:sz w:val="40"/>
          <w:u w:val="single"/>
        </w:rPr>
      </w:pPr>
    </w:p>
    <w:p w14:paraId="4BC97832" w14:textId="77777777" w:rsidR="00A568CC" w:rsidRPr="00A568CC" w:rsidRDefault="00A568CC" w:rsidP="00A568CC">
      <w:pPr>
        <w:jc w:val="center"/>
        <w:rPr>
          <w:b/>
          <w:sz w:val="36"/>
        </w:rPr>
      </w:pPr>
      <w:r w:rsidRPr="00A568CC">
        <w:rPr>
          <w:b/>
          <w:sz w:val="36"/>
        </w:rPr>
        <w:t>Component 2</w:t>
      </w:r>
    </w:p>
    <w:p w14:paraId="70C504B1" w14:textId="77777777" w:rsidR="00395B1A" w:rsidRDefault="00A568CC" w:rsidP="00A568CC">
      <w:pPr>
        <w:jc w:val="center"/>
        <w:rPr>
          <w:b/>
          <w:sz w:val="36"/>
        </w:rPr>
      </w:pPr>
      <w:r w:rsidRPr="00A568CC">
        <w:rPr>
          <w:b/>
          <w:sz w:val="36"/>
        </w:rPr>
        <w:t>Coursework: Reflective Evaluation (Report)</w:t>
      </w:r>
    </w:p>
    <w:p w14:paraId="4FADE7ED" w14:textId="77777777" w:rsidR="00395B1A" w:rsidRDefault="00395B1A" w:rsidP="00A568CC">
      <w:pPr>
        <w:jc w:val="center"/>
        <w:rPr>
          <w:b/>
          <w:sz w:val="36"/>
        </w:rPr>
      </w:pPr>
    </w:p>
    <w:p w14:paraId="74559FFD" w14:textId="77777777" w:rsidR="00395B1A" w:rsidRPr="00395B1A" w:rsidRDefault="00395B1A" w:rsidP="00A568CC">
      <w:pPr>
        <w:jc w:val="center"/>
        <w:rPr>
          <w:b/>
          <w:szCs w:val="24"/>
        </w:rPr>
      </w:pPr>
    </w:p>
    <w:p w14:paraId="3AD1FD74" w14:textId="7F10239D" w:rsidR="00395B1A" w:rsidRPr="00395B1A" w:rsidRDefault="00395B1A" w:rsidP="00A568CC">
      <w:pPr>
        <w:jc w:val="center"/>
        <w:rPr>
          <w:b/>
          <w:szCs w:val="24"/>
        </w:rPr>
      </w:pPr>
      <w:r w:rsidRPr="00395B1A">
        <w:rPr>
          <w:b/>
          <w:szCs w:val="24"/>
        </w:rPr>
        <w:t>Student name: Gabriela Vasilica Coteneanu</w:t>
      </w:r>
    </w:p>
    <w:p w14:paraId="0B14F70D" w14:textId="71BA0C25" w:rsidR="00A568CC" w:rsidRDefault="00395B1A" w:rsidP="00A568CC">
      <w:pPr>
        <w:jc w:val="center"/>
        <w:rPr>
          <w:rFonts w:eastAsiaTheme="majorEastAsia" w:cstheme="majorBidi"/>
          <w:b/>
          <w:color w:val="2E74B5" w:themeColor="accent1" w:themeShade="BF"/>
          <w:sz w:val="32"/>
          <w:szCs w:val="32"/>
        </w:rPr>
      </w:pPr>
      <w:r w:rsidRPr="00395B1A">
        <w:rPr>
          <w:b/>
          <w:szCs w:val="24"/>
        </w:rPr>
        <w:t>Student Id: 2243467</w:t>
      </w:r>
      <w:r w:rsidR="00A568CC">
        <w:br w:type="page"/>
      </w:r>
    </w:p>
    <w:sdt>
      <w:sdtPr>
        <w:rPr>
          <w:rFonts w:eastAsiaTheme="minorHAnsi" w:cstheme="minorBidi"/>
          <w:b w:val="0"/>
          <w:color w:val="auto"/>
          <w:sz w:val="24"/>
          <w:szCs w:val="22"/>
        </w:rPr>
        <w:id w:val="1071154200"/>
        <w:docPartObj>
          <w:docPartGallery w:val="Table of Contents"/>
          <w:docPartUnique/>
        </w:docPartObj>
      </w:sdtPr>
      <w:sdtEndPr>
        <w:rPr>
          <w:bCs/>
          <w:noProof/>
        </w:rPr>
      </w:sdtEndPr>
      <w:sdtContent>
        <w:p w14:paraId="3E565BE1" w14:textId="77777777" w:rsidR="00A568CC" w:rsidRDefault="00A568CC" w:rsidP="00A568CC">
          <w:pPr>
            <w:pStyle w:val="Heading1"/>
          </w:pPr>
          <w:r>
            <w:t>Table of Contents</w:t>
          </w:r>
        </w:p>
        <w:p w14:paraId="120F9C62" w14:textId="77777777" w:rsidR="00A568CC" w:rsidRPr="00A568CC" w:rsidRDefault="00A568CC" w:rsidP="00A568CC">
          <w:pPr>
            <w:pStyle w:val="TOC1"/>
            <w:tabs>
              <w:tab w:val="right" w:leader="dot" w:pos="9350"/>
            </w:tabs>
            <w:spacing w:line="360" w:lineRule="auto"/>
            <w:rPr>
              <w:b/>
              <w:noProof/>
            </w:rPr>
          </w:pPr>
          <w:r>
            <w:fldChar w:fldCharType="begin"/>
          </w:r>
          <w:r>
            <w:instrText xml:space="preserve"> TOC \o "1-3" \h \z \u </w:instrText>
          </w:r>
          <w:r>
            <w:fldChar w:fldCharType="separate"/>
          </w:r>
          <w:hyperlink w:anchor="_Toc153959251" w:history="1">
            <w:r w:rsidRPr="00A568CC">
              <w:rPr>
                <w:rStyle w:val="Hyperlink"/>
                <w:b/>
                <w:noProof/>
              </w:rPr>
              <w:t>Introduction</w:t>
            </w:r>
            <w:r w:rsidRPr="00A568CC">
              <w:rPr>
                <w:b/>
                <w:noProof/>
                <w:webHidden/>
              </w:rPr>
              <w:tab/>
            </w:r>
            <w:r w:rsidRPr="00A568CC">
              <w:rPr>
                <w:b/>
                <w:noProof/>
                <w:webHidden/>
              </w:rPr>
              <w:fldChar w:fldCharType="begin"/>
            </w:r>
            <w:r w:rsidRPr="00A568CC">
              <w:rPr>
                <w:b/>
                <w:noProof/>
                <w:webHidden/>
              </w:rPr>
              <w:instrText xml:space="preserve"> PAGEREF _Toc153959251 \h </w:instrText>
            </w:r>
            <w:r w:rsidRPr="00A568CC">
              <w:rPr>
                <w:b/>
                <w:noProof/>
                <w:webHidden/>
              </w:rPr>
            </w:r>
            <w:r w:rsidRPr="00A568CC">
              <w:rPr>
                <w:b/>
                <w:noProof/>
                <w:webHidden/>
              </w:rPr>
              <w:fldChar w:fldCharType="separate"/>
            </w:r>
            <w:r w:rsidRPr="00A568CC">
              <w:rPr>
                <w:b/>
                <w:noProof/>
                <w:webHidden/>
              </w:rPr>
              <w:t>3</w:t>
            </w:r>
            <w:r w:rsidRPr="00A568CC">
              <w:rPr>
                <w:b/>
                <w:noProof/>
                <w:webHidden/>
              </w:rPr>
              <w:fldChar w:fldCharType="end"/>
            </w:r>
          </w:hyperlink>
        </w:p>
        <w:p w14:paraId="7BEF26AD" w14:textId="77777777" w:rsidR="00A568CC" w:rsidRPr="00A568CC" w:rsidRDefault="00495D28" w:rsidP="00A568CC">
          <w:pPr>
            <w:pStyle w:val="TOC1"/>
            <w:tabs>
              <w:tab w:val="right" w:leader="dot" w:pos="9350"/>
            </w:tabs>
            <w:spacing w:line="360" w:lineRule="auto"/>
            <w:rPr>
              <w:b/>
              <w:noProof/>
            </w:rPr>
          </w:pPr>
          <w:hyperlink w:anchor="_Toc153959252" w:history="1">
            <w:r w:rsidR="00A568CC" w:rsidRPr="00A568CC">
              <w:rPr>
                <w:rStyle w:val="Hyperlink"/>
                <w:b/>
                <w:noProof/>
              </w:rPr>
              <w:t>Project Description</w:t>
            </w:r>
            <w:r w:rsidR="00A568CC" w:rsidRPr="00A568CC">
              <w:rPr>
                <w:b/>
                <w:noProof/>
                <w:webHidden/>
              </w:rPr>
              <w:tab/>
            </w:r>
            <w:r w:rsidR="00A568CC" w:rsidRPr="00A568CC">
              <w:rPr>
                <w:b/>
                <w:noProof/>
                <w:webHidden/>
              </w:rPr>
              <w:fldChar w:fldCharType="begin"/>
            </w:r>
            <w:r w:rsidR="00A568CC" w:rsidRPr="00A568CC">
              <w:rPr>
                <w:b/>
                <w:noProof/>
                <w:webHidden/>
              </w:rPr>
              <w:instrText xml:space="preserve"> PAGEREF _Toc153959252 \h </w:instrText>
            </w:r>
            <w:r w:rsidR="00A568CC" w:rsidRPr="00A568CC">
              <w:rPr>
                <w:b/>
                <w:noProof/>
                <w:webHidden/>
              </w:rPr>
            </w:r>
            <w:r w:rsidR="00A568CC" w:rsidRPr="00A568CC">
              <w:rPr>
                <w:b/>
                <w:noProof/>
                <w:webHidden/>
              </w:rPr>
              <w:fldChar w:fldCharType="separate"/>
            </w:r>
            <w:r w:rsidR="00A568CC" w:rsidRPr="00A568CC">
              <w:rPr>
                <w:b/>
                <w:noProof/>
                <w:webHidden/>
              </w:rPr>
              <w:t>4</w:t>
            </w:r>
            <w:r w:rsidR="00A568CC" w:rsidRPr="00A568CC">
              <w:rPr>
                <w:b/>
                <w:noProof/>
                <w:webHidden/>
              </w:rPr>
              <w:fldChar w:fldCharType="end"/>
            </w:r>
          </w:hyperlink>
        </w:p>
        <w:p w14:paraId="20ABBB34" w14:textId="77777777" w:rsidR="00A568CC" w:rsidRPr="00A568CC" w:rsidRDefault="00495D28" w:rsidP="00A568CC">
          <w:pPr>
            <w:pStyle w:val="TOC2"/>
            <w:tabs>
              <w:tab w:val="right" w:leader="dot" w:pos="9350"/>
            </w:tabs>
            <w:spacing w:line="360" w:lineRule="auto"/>
            <w:rPr>
              <w:b/>
              <w:noProof/>
            </w:rPr>
          </w:pPr>
          <w:hyperlink w:anchor="_Toc153959253" w:history="1">
            <w:r w:rsidR="00A568CC" w:rsidRPr="00A568CC">
              <w:rPr>
                <w:rStyle w:val="Hyperlink"/>
                <w:b/>
                <w:noProof/>
              </w:rPr>
              <w:t>Project Overview and Gibbs' Reflective Cycle 'Description'</w:t>
            </w:r>
            <w:r w:rsidR="00A568CC" w:rsidRPr="00A568CC">
              <w:rPr>
                <w:b/>
                <w:noProof/>
                <w:webHidden/>
              </w:rPr>
              <w:tab/>
            </w:r>
            <w:r w:rsidR="00A568CC" w:rsidRPr="00A568CC">
              <w:rPr>
                <w:b/>
                <w:noProof/>
                <w:webHidden/>
              </w:rPr>
              <w:fldChar w:fldCharType="begin"/>
            </w:r>
            <w:r w:rsidR="00A568CC" w:rsidRPr="00A568CC">
              <w:rPr>
                <w:b/>
                <w:noProof/>
                <w:webHidden/>
              </w:rPr>
              <w:instrText xml:space="preserve"> PAGEREF _Toc153959253 \h </w:instrText>
            </w:r>
            <w:r w:rsidR="00A568CC" w:rsidRPr="00A568CC">
              <w:rPr>
                <w:b/>
                <w:noProof/>
                <w:webHidden/>
              </w:rPr>
            </w:r>
            <w:r w:rsidR="00A568CC" w:rsidRPr="00A568CC">
              <w:rPr>
                <w:b/>
                <w:noProof/>
                <w:webHidden/>
              </w:rPr>
              <w:fldChar w:fldCharType="separate"/>
            </w:r>
            <w:r w:rsidR="00A568CC" w:rsidRPr="00A568CC">
              <w:rPr>
                <w:b/>
                <w:noProof/>
                <w:webHidden/>
              </w:rPr>
              <w:t>4</w:t>
            </w:r>
            <w:r w:rsidR="00A568CC" w:rsidRPr="00A568CC">
              <w:rPr>
                <w:b/>
                <w:noProof/>
                <w:webHidden/>
              </w:rPr>
              <w:fldChar w:fldCharType="end"/>
            </w:r>
          </w:hyperlink>
        </w:p>
        <w:p w14:paraId="77397335" w14:textId="77777777" w:rsidR="00A568CC" w:rsidRPr="00A568CC" w:rsidRDefault="00495D28" w:rsidP="00A568CC">
          <w:pPr>
            <w:pStyle w:val="TOC2"/>
            <w:tabs>
              <w:tab w:val="right" w:leader="dot" w:pos="9350"/>
            </w:tabs>
            <w:spacing w:line="360" w:lineRule="auto"/>
            <w:rPr>
              <w:b/>
              <w:noProof/>
            </w:rPr>
          </w:pPr>
          <w:hyperlink w:anchor="_Toc153959254" w:history="1">
            <w:r w:rsidR="00A568CC" w:rsidRPr="00A568CC">
              <w:rPr>
                <w:rStyle w:val="Hyperlink"/>
                <w:b/>
                <w:noProof/>
              </w:rPr>
              <w:t>Theoretical Justification of Aims and Objectives</w:t>
            </w:r>
            <w:r w:rsidR="00A568CC" w:rsidRPr="00A568CC">
              <w:rPr>
                <w:b/>
                <w:noProof/>
                <w:webHidden/>
              </w:rPr>
              <w:tab/>
            </w:r>
            <w:r w:rsidR="00A568CC" w:rsidRPr="00A568CC">
              <w:rPr>
                <w:b/>
                <w:noProof/>
                <w:webHidden/>
              </w:rPr>
              <w:fldChar w:fldCharType="begin"/>
            </w:r>
            <w:r w:rsidR="00A568CC" w:rsidRPr="00A568CC">
              <w:rPr>
                <w:b/>
                <w:noProof/>
                <w:webHidden/>
              </w:rPr>
              <w:instrText xml:space="preserve"> PAGEREF _Toc153959254 \h </w:instrText>
            </w:r>
            <w:r w:rsidR="00A568CC" w:rsidRPr="00A568CC">
              <w:rPr>
                <w:b/>
                <w:noProof/>
                <w:webHidden/>
              </w:rPr>
            </w:r>
            <w:r w:rsidR="00A568CC" w:rsidRPr="00A568CC">
              <w:rPr>
                <w:b/>
                <w:noProof/>
                <w:webHidden/>
              </w:rPr>
              <w:fldChar w:fldCharType="separate"/>
            </w:r>
            <w:r w:rsidR="00A568CC" w:rsidRPr="00A568CC">
              <w:rPr>
                <w:b/>
                <w:noProof/>
                <w:webHidden/>
              </w:rPr>
              <w:t>4</w:t>
            </w:r>
            <w:r w:rsidR="00A568CC" w:rsidRPr="00A568CC">
              <w:rPr>
                <w:b/>
                <w:noProof/>
                <w:webHidden/>
              </w:rPr>
              <w:fldChar w:fldCharType="end"/>
            </w:r>
          </w:hyperlink>
        </w:p>
        <w:p w14:paraId="7205B6BB" w14:textId="77777777" w:rsidR="00A568CC" w:rsidRPr="00A568CC" w:rsidRDefault="00495D28" w:rsidP="00A568CC">
          <w:pPr>
            <w:pStyle w:val="TOC1"/>
            <w:tabs>
              <w:tab w:val="right" w:leader="dot" w:pos="9350"/>
            </w:tabs>
            <w:spacing w:line="360" w:lineRule="auto"/>
            <w:rPr>
              <w:b/>
              <w:noProof/>
            </w:rPr>
          </w:pPr>
          <w:hyperlink w:anchor="_Toc153959255" w:history="1">
            <w:r w:rsidR="00A568CC" w:rsidRPr="00A568CC">
              <w:rPr>
                <w:rStyle w:val="Hyperlink"/>
                <w:b/>
                <w:noProof/>
              </w:rPr>
              <w:t>Evaluation of Community Engagement Approaches</w:t>
            </w:r>
            <w:r w:rsidR="00A568CC" w:rsidRPr="00A568CC">
              <w:rPr>
                <w:b/>
                <w:noProof/>
                <w:webHidden/>
              </w:rPr>
              <w:tab/>
            </w:r>
            <w:r w:rsidR="00A568CC" w:rsidRPr="00A568CC">
              <w:rPr>
                <w:b/>
                <w:noProof/>
                <w:webHidden/>
              </w:rPr>
              <w:fldChar w:fldCharType="begin"/>
            </w:r>
            <w:r w:rsidR="00A568CC" w:rsidRPr="00A568CC">
              <w:rPr>
                <w:b/>
                <w:noProof/>
                <w:webHidden/>
              </w:rPr>
              <w:instrText xml:space="preserve"> PAGEREF _Toc153959255 \h </w:instrText>
            </w:r>
            <w:r w:rsidR="00A568CC" w:rsidRPr="00A568CC">
              <w:rPr>
                <w:b/>
                <w:noProof/>
                <w:webHidden/>
              </w:rPr>
            </w:r>
            <w:r w:rsidR="00A568CC" w:rsidRPr="00A568CC">
              <w:rPr>
                <w:b/>
                <w:noProof/>
                <w:webHidden/>
              </w:rPr>
              <w:fldChar w:fldCharType="separate"/>
            </w:r>
            <w:r w:rsidR="00A568CC" w:rsidRPr="00A568CC">
              <w:rPr>
                <w:b/>
                <w:noProof/>
                <w:webHidden/>
              </w:rPr>
              <w:t>5</w:t>
            </w:r>
            <w:r w:rsidR="00A568CC" w:rsidRPr="00A568CC">
              <w:rPr>
                <w:b/>
                <w:noProof/>
                <w:webHidden/>
              </w:rPr>
              <w:fldChar w:fldCharType="end"/>
            </w:r>
          </w:hyperlink>
        </w:p>
        <w:p w14:paraId="60401526" w14:textId="77777777" w:rsidR="00A568CC" w:rsidRPr="00A568CC" w:rsidRDefault="00495D28" w:rsidP="00A568CC">
          <w:pPr>
            <w:pStyle w:val="TOC2"/>
            <w:tabs>
              <w:tab w:val="right" w:leader="dot" w:pos="9350"/>
            </w:tabs>
            <w:spacing w:line="360" w:lineRule="auto"/>
            <w:rPr>
              <w:b/>
              <w:noProof/>
            </w:rPr>
          </w:pPr>
          <w:hyperlink w:anchor="_Toc153959256" w:history="1">
            <w:r w:rsidR="00A568CC" w:rsidRPr="00A568CC">
              <w:rPr>
                <w:rStyle w:val="Hyperlink"/>
                <w:b/>
                <w:noProof/>
              </w:rPr>
              <w:t>Analysis of Engagement Strategies within Theoretical Frameworks</w:t>
            </w:r>
            <w:r w:rsidR="00A568CC" w:rsidRPr="00A568CC">
              <w:rPr>
                <w:b/>
                <w:noProof/>
                <w:webHidden/>
              </w:rPr>
              <w:tab/>
            </w:r>
            <w:r w:rsidR="00A568CC" w:rsidRPr="00A568CC">
              <w:rPr>
                <w:b/>
                <w:noProof/>
                <w:webHidden/>
              </w:rPr>
              <w:fldChar w:fldCharType="begin"/>
            </w:r>
            <w:r w:rsidR="00A568CC" w:rsidRPr="00A568CC">
              <w:rPr>
                <w:b/>
                <w:noProof/>
                <w:webHidden/>
              </w:rPr>
              <w:instrText xml:space="preserve"> PAGEREF _Toc153959256 \h </w:instrText>
            </w:r>
            <w:r w:rsidR="00A568CC" w:rsidRPr="00A568CC">
              <w:rPr>
                <w:b/>
                <w:noProof/>
                <w:webHidden/>
              </w:rPr>
            </w:r>
            <w:r w:rsidR="00A568CC" w:rsidRPr="00A568CC">
              <w:rPr>
                <w:b/>
                <w:noProof/>
                <w:webHidden/>
              </w:rPr>
              <w:fldChar w:fldCharType="separate"/>
            </w:r>
            <w:r w:rsidR="00A568CC" w:rsidRPr="00A568CC">
              <w:rPr>
                <w:b/>
                <w:noProof/>
                <w:webHidden/>
              </w:rPr>
              <w:t>5</w:t>
            </w:r>
            <w:r w:rsidR="00A568CC" w:rsidRPr="00A568CC">
              <w:rPr>
                <w:b/>
                <w:noProof/>
                <w:webHidden/>
              </w:rPr>
              <w:fldChar w:fldCharType="end"/>
            </w:r>
          </w:hyperlink>
        </w:p>
        <w:p w14:paraId="15783E54" w14:textId="77777777" w:rsidR="00A568CC" w:rsidRPr="00A568CC" w:rsidRDefault="00495D28" w:rsidP="00A568CC">
          <w:pPr>
            <w:pStyle w:val="TOC2"/>
            <w:tabs>
              <w:tab w:val="right" w:leader="dot" w:pos="9350"/>
            </w:tabs>
            <w:spacing w:line="360" w:lineRule="auto"/>
            <w:rPr>
              <w:b/>
              <w:noProof/>
            </w:rPr>
          </w:pPr>
          <w:hyperlink w:anchor="_Toc153959257" w:history="1">
            <w:r w:rsidR="00A568CC" w:rsidRPr="00A568CC">
              <w:rPr>
                <w:rStyle w:val="Hyperlink"/>
                <w:b/>
                <w:noProof/>
              </w:rPr>
              <w:t>Critical Evaluation of Engagement Challenges and Limitations</w:t>
            </w:r>
            <w:r w:rsidR="00A568CC" w:rsidRPr="00A568CC">
              <w:rPr>
                <w:b/>
                <w:noProof/>
                <w:webHidden/>
              </w:rPr>
              <w:tab/>
            </w:r>
            <w:r w:rsidR="00A568CC" w:rsidRPr="00A568CC">
              <w:rPr>
                <w:b/>
                <w:noProof/>
                <w:webHidden/>
              </w:rPr>
              <w:fldChar w:fldCharType="begin"/>
            </w:r>
            <w:r w:rsidR="00A568CC" w:rsidRPr="00A568CC">
              <w:rPr>
                <w:b/>
                <w:noProof/>
                <w:webHidden/>
              </w:rPr>
              <w:instrText xml:space="preserve"> PAGEREF _Toc153959257 \h </w:instrText>
            </w:r>
            <w:r w:rsidR="00A568CC" w:rsidRPr="00A568CC">
              <w:rPr>
                <w:b/>
                <w:noProof/>
                <w:webHidden/>
              </w:rPr>
            </w:r>
            <w:r w:rsidR="00A568CC" w:rsidRPr="00A568CC">
              <w:rPr>
                <w:b/>
                <w:noProof/>
                <w:webHidden/>
              </w:rPr>
              <w:fldChar w:fldCharType="separate"/>
            </w:r>
            <w:r w:rsidR="00A568CC" w:rsidRPr="00A568CC">
              <w:rPr>
                <w:b/>
                <w:noProof/>
                <w:webHidden/>
              </w:rPr>
              <w:t>6</w:t>
            </w:r>
            <w:r w:rsidR="00A568CC" w:rsidRPr="00A568CC">
              <w:rPr>
                <w:b/>
                <w:noProof/>
                <w:webHidden/>
              </w:rPr>
              <w:fldChar w:fldCharType="end"/>
            </w:r>
          </w:hyperlink>
        </w:p>
        <w:p w14:paraId="40FBE918" w14:textId="77777777" w:rsidR="00A568CC" w:rsidRPr="00A568CC" w:rsidRDefault="00495D28" w:rsidP="00A568CC">
          <w:pPr>
            <w:pStyle w:val="TOC2"/>
            <w:tabs>
              <w:tab w:val="right" w:leader="dot" w:pos="9350"/>
            </w:tabs>
            <w:spacing w:line="360" w:lineRule="auto"/>
            <w:rPr>
              <w:b/>
              <w:noProof/>
            </w:rPr>
          </w:pPr>
          <w:hyperlink w:anchor="_Toc153959258" w:history="1">
            <w:r w:rsidR="00A568CC" w:rsidRPr="00A568CC">
              <w:rPr>
                <w:rStyle w:val="Hyperlink"/>
                <w:b/>
                <w:noProof/>
              </w:rPr>
              <w:t>Reflecting on Best Practices and Effectiveness</w:t>
            </w:r>
            <w:r w:rsidR="00A568CC" w:rsidRPr="00A568CC">
              <w:rPr>
                <w:b/>
                <w:noProof/>
                <w:webHidden/>
              </w:rPr>
              <w:tab/>
            </w:r>
            <w:r w:rsidR="00A568CC" w:rsidRPr="00A568CC">
              <w:rPr>
                <w:b/>
                <w:noProof/>
                <w:webHidden/>
              </w:rPr>
              <w:fldChar w:fldCharType="begin"/>
            </w:r>
            <w:r w:rsidR="00A568CC" w:rsidRPr="00A568CC">
              <w:rPr>
                <w:b/>
                <w:noProof/>
                <w:webHidden/>
              </w:rPr>
              <w:instrText xml:space="preserve"> PAGEREF _Toc153959258 \h </w:instrText>
            </w:r>
            <w:r w:rsidR="00A568CC" w:rsidRPr="00A568CC">
              <w:rPr>
                <w:b/>
                <w:noProof/>
                <w:webHidden/>
              </w:rPr>
            </w:r>
            <w:r w:rsidR="00A568CC" w:rsidRPr="00A568CC">
              <w:rPr>
                <w:b/>
                <w:noProof/>
                <w:webHidden/>
              </w:rPr>
              <w:fldChar w:fldCharType="separate"/>
            </w:r>
            <w:r w:rsidR="00A568CC" w:rsidRPr="00A568CC">
              <w:rPr>
                <w:b/>
                <w:noProof/>
                <w:webHidden/>
              </w:rPr>
              <w:t>6</w:t>
            </w:r>
            <w:r w:rsidR="00A568CC" w:rsidRPr="00A568CC">
              <w:rPr>
                <w:b/>
                <w:noProof/>
                <w:webHidden/>
              </w:rPr>
              <w:fldChar w:fldCharType="end"/>
            </w:r>
          </w:hyperlink>
        </w:p>
        <w:p w14:paraId="1B2A09A0" w14:textId="77777777" w:rsidR="00A568CC" w:rsidRPr="00A568CC" w:rsidRDefault="00495D28" w:rsidP="00A568CC">
          <w:pPr>
            <w:pStyle w:val="TOC1"/>
            <w:tabs>
              <w:tab w:val="right" w:leader="dot" w:pos="9350"/>
            </w:tabs>
            <w:spacing w:line="360" w:lineRule="auto"/>
            <w:rPr>
              <w:b/>
              <w:noProof/>
            </w:rPr>
          </w:pPr>
          <w:hyperlink w:anchor="_Toc153959259" w:history="1">
            <w:r w:rsidR="00A568CC" w:rsidRPr="00A568CC">
              <w:rPr>
                <w:rStyle w:val="Hyperlink"/>
                <w:b/>
                <w:noProof/>
              </w:rPr>
              <w:t>Critical Reflection and Alternative Approaches</w:t>
            </w:r>
            <w:r w:rsidR="00A568CC" w:rsidRPr="00A568CC">
              <w:rPr>
                <w:b/>
                <w:noProof/>
                <w:webHidden/>
              </w:rPr>
              <w:tab/>
            </w:r>
            <w:r w:rsidR="00A568CC" w:rsidRPr="00A568CC">
              <w:rPr>
                <w:b/>
                <w:noProof/>
                <w:webHidden/>
              </w:rPr>
              <w:fldChar w:fldCharType="begin"/>
            </w:r>
            <w:r w:rsidR="00A568CC" w:rsidRPr="00A568CC">
              <w:rPr>
                <w:b/>
                <w:noProof/>
                <w:webHidden/>
              </w:rPr>
              <w:instrText xml:space="preserve"> PAGEREF _Toc153959259 \h </w:instrText>
            </w:r>
            <w:r w:rsidR="00A568CC" w:rsidRPr="00A568CC">
              <w:rPr>
                <w:b/>
                <w:noProof/>
                <w:webHidden/>
              </w:rPr>
            </w:r>
            <w:r w:rsidR="00A568CC" w:rsidRPr="00A568CC">
              <w:rPr>
                <w:b/>
                <w:noProof/>
                <w:webHidden/>
              </w:rPr>
              <w:fldChar w:fldCharType="separate"/>
            </w:r>
            <w:r w:rsidR="00A568CC" w:rsidRPr="00A568CC">
              <w:rPr>
                <w:b/>
                <w:noProof/>
                <w:webHidden/>
              </w:rPr>
              <w:t>7</w:t>
            </w:r>
            <w:r w:rsidR="00A568CC" w:rsidRPr="00A568CC">
              <w:rPr>
                <w:b/>
                <w:noProof/>
                <w:webHidden/>
              </w:rPr>
              <w:fldChar w:fldCharType="end"/>
            </w:r>
          </w:hyperlink>
        </w:p>
        <w:p w14:paraId="36BFF2AD" w14:textId="77777777" w:rsidR="00A568CC" w:rsidRPr="00A568CC" w:rsidRDefault="00495D28" w:rsidP="00A568CC">
          <w:pPr>
            <w:pStyle w:val="TOC2"/>
            <w:tabs>
              <w:tab w:val="right" w:leader="dot" w:pos="9350"/>
            </w:tabs>
            <w:spacing w:line="360" w:lineRule="auto"/>
            <w:rPr>
              <w:b/>
              <w:noProof/>
            </w:rPr>
          </w:pPr>
          <w:hyperlink w:anchor="_Toc153959260" w:history="1">
            <w:r w:rsidR="00A568CC" w:rsidRPr="00A568CC">
              <w:rPr>
                <w:rStyle w:val="Hyperlink"/>
                <w:b/>
                <w:noProof/>
              </w:rPr>
              <w:t>Exploring Alternative Strategies and Rationale</w:t>
            </w:r>
            <w:r w:rsidR="00A568CC" w:rsidRPr="00A568CC">
              <w:rPr>
                <w:b/>
                <w:noProof/>
                <w:webHidden/>
              </w:rPr>
              <w:tab/>
            </w:r>
            <w:r w:rsidR="00A568CC" w:rsidRPr="00A568CC">
              <w:rPr>
                <w:b/>
                <w:noProof/>
                <w:webHidden/>
              </w:rPr>
              <w:fldChar w:fldCharType="begin"/>
            </w:r>
            <w:r w:rsidR="00A568CC" w:rsidRPr="00A568CC">
              <w:rPr>
                <w:b/>
                <w:noProof/>
                <w:webHidden/>
              </w:rPr>
              <w:instrText xml:space="preserve"> PAGEREF _Toc153959260 \h </w:instrText>
            </w:r>
            <w:r w:rsidR="00A568CC" w:rsidRPr="00A568CC">
              <w:rPr>
                <w:b/>
                <w:noProof/>
                <w:webHidden/>
              </w:rPr>
            </w:r>
            <w:r w:rsidR="00A568CC" w:rsidRPr="00A568CC">
              <w:rPr>
                <w:b/>
                <w:noProof/>
                <w:webHidden/>
              </w:rPr>
              <w:fldChar w:fldCharType="separate"/>
            </w:r>
            <w:r w:rsidR="00A568CC" w:rsidRPr="00A568CC">
              <w:rPr>
                <w:b/>
                <w:noProof/>
                <w:webHidden/>
              </w:rPr>
              <w:t>7</w:t>
            </w:r>
            <w:r w:rsidR="00A568CC" w:rsidRPr="00A568CC">
              <w:rPr>
                <w:b/>
                <w:noProof/>
                <w:webHidden/>
              </w:rPr>
              <w:fldChar w:fldCharType="end"/>
            </w:r>
          </w:hyperlink>
        </w:p>
        <w:p w14:paraId="7CCDAF7C" w14:textId="77777777" w:rsidR="00A568CC" w:rsidRPr="00A568CC" w:rsidRDefault="00495D28" w:rsidP="00A568CC">
          <w:pPr>
            <w:pStyle w:val="TOC2"/>
            <w:tabs>
              <w:tab w:val="right" w:leader="dot" w:pos="9350"/>
            </w:tabs>
            <w:spacing w:line="360" w:lineRule="auto"/>
            <w:rPr>
              <w:b/>
              <w:noProof/>
            </w:rPr>
          </w:pPr>
          <w:hyperlink w:anchor="_Toc153959261" w:history="1">
            <w:r w:rsidR="00A568CC" w:rsidRPr="00A568CC">
              <w:rPr>
                <w:rStyle w:val="Hyperlink"/>
                <w:b/>
                <w:noProof/>
              </w:rPr>
              <w:t>Reflecting on Potential Improvements</w:t>
            </w:r>
            <w:r w:rsidR="00A568CC" w:rsidRPr="00A568CC">
              <w:rPr>
                <w:b/>
                <w:noProof/>
                <w:webHidden/>
              </w:rPr>
              <w:tab/>
            </w:r>
            <w:r w:rsidR="00A568CC" w:rsidRPr="00A568CC">
              <w:rPr>
                <w:b/>
                <w:noProof/>
                <w:webHidden/>
              </w:rPr>
              <w:fldChar w:fldCharType="begin"/>
            </w:r>
            <w:r w:rsidR="00A568CC" w:rsidRPr="00A568CC">
              <w:rPr>
                <w:b/>
                <w:noProof/>
                <w:webHidden/>
              </w:rPr>
              <w:instrText xml:space="preserve"> PAGEREF _Toc153959261 \h </w:instrText>
            </w:r>
            <w:r w:rsidR="00A568CC" w:rsidRPr="00A568CC">
              <w:rPr>
                <w:b/>
                <w:noProof/>
                <w:webHidden/>
              </w:rPr>
            </w:r>
            <w:r w:rsidR="00A568CC" w:rsidRPr="00A568CC">
              <w:rPr>
                <w:b/>
                <w:noProof/>
                <w:webHidden/>
              </w:rPr>
              <w:fldChar w:fldCharType="separate"/>
            </w:r>
            <w:r w:rsidR="00A568CC" w:rsidRPr="00A568CC">
              <w:rPr>
                <w:b/>
                <w:noProof/>
                <w:webHidden/>
              </w:rPr>
              <w:t>7</w:t>
            </w:r>
            <w:r w:rsidR="00A568CC" w:rsidRPr="00A568CC">
              <w:rPr>
                <w:b/>
                <w:noProof/>
                <w:webHidden/>
              </w:rPr>
              <w:fldChar w:fldCharType="end"/>
            </w:r>
          </w:hyperlink>
        </w:p>
        <w:p w14:paraId="79D223AD" w14:textId="77777777" w:rsidR="00A568CC" w:rsidRPr="00A568CC" w:rsidRDefault="00495D28" w:rsidP="00A568CC">
          <w:pPr>
            <w:pStyle w:val="TOC1"/>
            <w:tabs>
              <w:tab w:val="right" w:leader="dot" w:pos="9350"/>
            </w:tabs>
            <w:spacing w:line="360" w:lineRule="auto"/>
            <w:rPr>
              <w:b/>
              <w:noProof/>
            </w:rPr>
          </w:pPr>
          <w:hyperlink w:anchor="_Toc153959262" w:history="1">
            <w:r w:rsidR="00A568CC" w:rsidRPr="00A568CC">
              <w:rPr>
                <w:rStyle w:val="Hyperlink"/>
                <w:b/>
                <w:noProof/>
              </w:rPr>
              <w:t>Impact Analysis</w:t>
            </w:r>
            <w:r w:rsidR="00A568CC" w:rsidRPr="00A568CC">
              <w:rPr>
                <w:b/>
                <w:noProof/>
                <w:webHidden/>
              </w:rPr>
              <w:tab/>
            </w:r>
            <w:r w:rsidR="00A568CC" w:rsidRPr="00A568CC">
              <w:rPr>
                <w:b/>
                <w:noProof/>
                <w:webHidden/>
              </w:rPr>
              <w:fldChar w:fldCharType="begin"/>
            </w:r>
            <w:r w:rsidR="00A568CC" w:rsidRPr="00A568CC">
              <w:rPr>
                <w:b/>
                <w:noProof/>
                <w:webHidden/>
              </w:rPr>
              <w:instrText xml:space="preserve"> PAGEREF _Toc153959262 \h </w:instrText>
            </w:r>
            <w:r w:rsidR="00A568CC" w:rsidRPr="00A568CC">
              <w:rPr>
                <w:b/>
                <w:noProof/>
                <w:webHidden/>
              </w:rPr>
            </w:r>
            <w:r w:rsidR="00A568CC" w:rsidRPr="00A568CC">
              <w:rPr>
                <w:b/>
                <w:noProof/>
                <w:webHidden/>
              </w:rPr>
              <w:fldChar w:fldCharType="separate"/>
            </w:r>
            <w:r w:rsidR="00A568CC" w:rsidRPr="00A568CC">
              <w:rPr>
                <w:b/>
                <w:noProof/>
                <w:webHidden/>
              </w:rPr>
              <w:t>8</w:t>
            </w:r>
            <w:r w:rsidR="00A568CC" w:rsidRPr="00A568CC">
              <w:rPr>
                <w:b/>
                <w:noProof/>
                <w:webHidden/>
              </w:rPr>
              <w:fldChar w:fldCharType="end"/>
            </w:r>
          </w:hyperlink>
        </w:p>
        <w:p w14:paraId="0DAF98F7" w14:textId="77777777" w:rsidR="00A568CC" w:rsidRPr="00A568CC" w:rsidRDefault="00495D28" w:rsidP="00A568CC">
          <w:pPr>
            <w:pStyle w:val="TOC2"/>
            <w:tabs>
              <w:tab w:val="right" w:leader="dot" w:pos="9350"/>
            </w:tabs>
            <w:spacing w:line="360" w:lineRule="auto"/>
            <w:rPr>
              <w:b/>
              <w:noProof/>
            </w:rPr>
          </w:pPr>
          <w:hyperlink w:anchor="_Toc153959263" w:history="1">
            <w:r w:rsidR="00A568CC" w:rsidRPr="00A568CC">
              <w:rPr>
                <w:rStyle w:val="Hyperlink"/>
                <w:b/>
                <w:noProof/>
              </w:rPr>
              <w:t>Assessing the Impact of Community Engagement and Collaboration</w:t>
            </w:r>
            <w:r w:rsidR="00A568CC" w:rsidRPr="00A568CC">
              <w:rPr>
                <w:b/>
                <w:noProof/>
                <w:webHidden/>
              </w:rPr>
              <w:tab/>
            </w:r>
            <w:r w:rsidR="00A568CC" w:rsidRPr="00A568CC">
              <w:rPr>
                <w:b/>
                <w:noProof/>
                <w:webHidden/>
              </w:rPr>
              <w:fldChar w:fldCharType="begin"/>
            </w:r>
            <w:r w:rsidR="00A568CC" w:rsidRPr="00A568CC">
              <w:rPr>
                <w:b/>
                <w:noProof/>
                <w:webHidden/>
              </w:rPr>
              <w:instrText xml:space="preserve"> PAGEREF _Toc153959263 \h </w:instrText>
            </w:r>
            <w:r w:rsidR="00A568CC" w:rsidRPr="00A568CC">
              <w:rPr>
                <w:b/>
                <w:noProof/>
                <w:webHidden/>
              </w:rPr>
            </w:r>
            <w:r w:rsidR="00A568CC" w:rsidRPr="00A568CC">
              <w:rPr>
                <w:b/>
                <w:noProof/>
                <w:webHidden/>
              </w:rPr>
              <w:fldChar w:fldCharType="separate"/>
            </w:r>
            <w:r w:rsidR="00A568CC" w:rsidRPr="00A568CC">
              <w:rPr>
                <w:b/>
                <w:noProof/>
                <w:webHidden/>
              </w:rPr>
              <w:t>8</w:t>
            </w:r>
            <w:r w:rsidR="00A568CC" w:rsidRPr="00A568CC">
              <w:rPr>
                <w:b/>
                <w:noProof/>
                <w:webHidden/>
              </w:rPr>
              <w:fldChar w:fldCharType="end"/>
            </w:r>
          </w:hyperlink>
        </w:p>
        <w:p w14:paraId="248BEB9D" w14:textId="77777777" w:rsidR="00A568CC" w:rsidRPr="00A568CC" w:rsidRDefault="00495D28" w:rsidP="00A568CC">
          <w:pPr>
            <w:pStyle w:val="TOC2"/>
            <w:tabs>
              <w:tab w:val="right" w:leader="dot" w:pos="9350"/>
            </w:tabs>
            <w:spacing w:line="360" w:lineRule="auto"/>
            <w:rPr>
              <w:b/>
              <w:noProof/>
            </w:rPr>
          </w:pPr>
          <w:hyperlink w:anchor="_Toc153959264" w:history="1">
            <w:r w:rsidR="00A568CC" w:rsidRPr="00A568CC">
              <w:rPr>
                <w:rStyle w:val="Hyperlink"/>
                <w:b/>
                <w:noProof/>
              </w:rPr>
              <w:t>Evaluating Research Methods and Digital Engagement</w:t>
            </w:r>
            <w:r w:rsidR="00A568CC" w:rsidRPr="00A568CC">
              <w:rPr>
                <w:b/>
                <w:noProof/>
                <w:webHidden/>
              </w:rPr>
              <w:tab/>
            </w:r>
            <w:r w:rsidR="00A568CC" w:rsidRPr="00A568CC">
              <w:rPr>
                <w:b/>
                <w:noProof/>
                <w:webHidden/>
              </w:rPr>
              <w:fldChar w:fldCharType="begin"/>
            </w:r>
            <w:r w:rsidR="00A568CC" w:rsidRPr="00A568CC">
              <w:rPr>
                <w:b/>
                <w:noProof/>
                <w:webHidden/>
              </w:rPr>
              <w:instrText xml:space="preserve"> PAGEREF _Toc153959264 \h </w:instrText>
            </w:r>
            <w:r w:rsidR="00A568CC" w:rsidRPr="00A568CC">
              <w:rPr>
                <w:b/>
                <w:noProof/>
                <w:webHidden/>
              </w:rPr>
            </w:r>
            <w:r w:rsidR="00A568CC" w:rsidRPr="00A568CC">
              <w:rPr>
                <w:b/>
                <w:noProof/>
                <w:webHidden/>
              </w:rPr>
              <w:fldChar w:fldCharType="separate"/>
            </w:r>
            <w:r w:rsidR="00A568CC" w:rsidRPr="00A568CC">
              <w:rPr>
                <w:b/>
                <w:noProof/>
                <w:webHidden/>
              </w:rPr>
              <w:t>8</w:t>
            </w:r>
            <w:r w:rsidR="00A568CC" w:rsidRPr="00A568CC">
              <w:rPr>
                <w:b/>
                <w:noProof/>
                <w:webHidden/>
              </w:rPr>
              <w:fldChar w:fldCharType="end"/>
            </w:r>
          </w:hyperlink>
        </w:p>
        <w:p w14:paraId="26DA9C23" w14:textId="77777777" w:rsidR="00A568CC" w:rsidRPr="00A568CC" w:rsidRDefault="00495D28" w:rsidP="00A568CC">
          <w:pPr>
            <w:pStyle w:val="TOC1"/>
            <w:tabs>
              <w:tab w:val="right" w:leader="dot" w:pos="9350"/>
            </w:tabs>
            <w:spacing w:line="360" w:lineRule="auto"/>
            <w:rPr>
              <w:b/>
              <w:noProof/>
            </w:rPr>
          </w:pPr>
          <w:hyperlink w:anchor="_Toc153959265" w:history="1">
            <w:r w:rsidR="00A568CC" w:rsidRPr="00A568CC">
              <w:rPr>
                <w:rStyle w:val="Hyperlink"/>
                <w:b/>
                <w:noProof/>
              </w:rPr>
              <w:t>Conclusion</w:t>
            </w:r>
            <w:r w:rsidR="00A568CC" w:rsidRPr="00A568CC">
              <w:rPr>
                <w:b/>
                <w:noProof/>
                <w:webHidden/>
              </w:rPr>
              <w:tab/>
            </w:r>
            <w:r w:rsidR="00A568CC" w:rsidRPr="00A568CC">
              <w:rPr>
                <w:b/>
                <w:noProof/>
                <w:webHidden/>
              </w:rPr>
              <w:fldChar w:fldCharType="begin"/>
            </w:r>
            <w:r w:rsidR="00A568CC" w:rsidRPr="00A568CC">
              <w:rPr>
                <w:b/>
                <w:noProof/>
                <w:webHidden/>
              </w:rPr>
              <w:instrText xml:space="preserve"> PAGEREF _Toc153959265 \h </w:instrText>
            </w:r>
            <w:r w:rsidR="00A568CC" w:rsidRPr="00A568CC">
              <w:rPr>
                <w:b/>
                <w:noProof/>
                <w:webHidden/>
              </w:rPr>
            </w:r>
            <w:r w:rsidR="00A568CC" w:rsidRPr="00A568CC">
              <w:rPr>
                <w:b/>
                <w:noProof/>
                <w:webHidden/>
              </w:rPr>
              <w:fldChar w:fldCharType="separate"/>
            </w:r>
            <w:r w:rsidR="00A568CC" w:rsidRPr="00A568CC">
              <w:rPr>
                <w:b/>
                <w:noProof/>
                <w:webHidden/>
              </w:rPr>
              <w:t>9</w:t>
            </w:r>
            <w:r w:rsidR="00A568CC" w:rsidRPr="00A568CC">
              <w:rPr>
                <w:b/>
                <w:noProof/>
                <w:webHidden/>
              </w:rPr>
              <w:fldChar w:fldCharType="end"/>
            </w:r>
          </w:hyperlink>
        </w:p>
        <w:p w14:paraId="2BA4A3BD" w14:textId="77777777" w:rsidR="00A568CC" w:rsidRPr="00A568CC" w:rsidRDefault="00495D28" w:rsidP="00A568CC">
          <w:pPr>
            <w:pStyle w:val="TOC1"/>
            <w:tabs>
              <w:tab w:val="right" w:leader="dot" w:pos="9350"/>
            </w:tabs>
            <w:spacing w:line="360" w:lineRule="auto"/>
            <w:rPr>
              <w:b/>
              <w:noProof/>
            </w:rPr>
          </w:pPr>
          <w:hyperlink w:anchor="_Toc153959266" w:history="1">
            <w:r w:rsidR="00A568CC" w:rsidRPr="00A568CC">
              <w:rPr>
                <w:rStyle w:val="Hyperlink"/>
                <w:b/>
                <w:noProof/>
              </w:rPr>
              <w:t>References</w:t>
            </w:r>
            <w:r w:rsidR="00A568CC" w:rsidRPr="00A568CC">
              <w:rPr>
                <w:b/>
                <w:noProof/>
                <w:webHidden/>
              </w:rPr>
              <w:tab/>
            </w:r>
            <w:r w:rsidR="00A568CC" w:rsidRPr="00A568CC">
              <w:rPr>
                <w:b/>
                <w:noProof/>
                <w:webHidden/>
              </w:rPr>
              <w:fldChar w:fldCharType="begin"/>
            </w:r>
            <w:r w:rsidR="00A568CC" w:rsidRPr="00A568CC">
              <w:rPr>
                <w:b/>
                <w:noProof/>
                <w:webHidden/>
              </w:rPr>
              <w:instrText xml:space="preserve"> PAGEREF _Toc153959266 \h </w:instrText>
            </w:r>
            <w:r w:rsidR="00A568CC" w:rsidRPr="00A568CC">
              <w:rPr>
                <w:b/>
                <w:noProof/>
                <w:webHidden/>
              </w:rPr>
            </w:r>
            <w:r w:rsidR="00A568CC" w:rsidRPr="00A568CC">
              <w:rPr>
                <w:b/>
                <w:noProof/>
                <w:webHidden/>
              </w:rPr>
              <w:fldChar w:fldCharType="separate"/>
            </w:r>
            <w:r w:rsidR="00A568CC" w:rsidRPr="00A568CC">
              <w:rPr>
                <w:b/>
                <w:noProof/>
                <w:webHidden/>
              </w:rPr>
              <w:t>10</w:t>
            </w:r>
            <w:r w:rsidR="00A568CC" w:rsidRPr="00A568CC">
              <w:rPr>
                <w:b/>
                <w:noProof/>
                <w:webHidden/>
              </w:rPr>
              <w:fldChar w:fldCharType="end"/>
            </w:r>
          </w:hyperlink>
        </w:p>
        <w:p w14:paraId="662A45E7" w14:textId="77777777" w:rsidR="00A568CC" w:rsidRDefault="00A568CC">
          <w:r>
            <w:rPr>
              <w:b/>
              <w:bCs/>
              <w:noProof/>
            </w:rPr>
            <w:fldChar w:fldCharType="end"/>
          </w:r>
        </w:p>
      </w:sdtContent>
    </w:sdt>
    <w:p w14:paraId="7EC88A41" w14:textId="77777777" w:rsidR="00A568CC" w:rsidRDefault="00A568CC">
      <w:pPr>
        <w:jc w:val="left"/>
        <w:rPr>
          <w:rFonts w:eastAsiaTheme="majorEastAsia" w:cstheme="majorBidi"/>
          <w:b/>
          <w:color w:val="2E74B5" w:themeColor="accent1" w:themeShade="BF"/>
          <w:sz w:val="32"/>
          <w:szCs w:val="32"/>
        </w:rPr>
      </w:pPr>
      <w:r>
        <w:br w:type="page"/>
      </w:r>
    </w:p>
    <w:p w14:paraId="6E6CC98F" w14:textId="77777777" w:rsidR="00144666" w:rsidRDefault="00E22F11" w:rsidP="005C4DD1">
      <w:pPr>
        <w:pStyle w:val="Heading1"/>
        <w:spacing w:line="360" w:lineRule="auto"/>
      </w:pPr>
      <w:bookmarkStart w:id="0" w:name="_Toc153959251"/>
      <w:r>
        <w:lastRenderedPageBreak/>
        <w:t>Introduction</w:t>
      </w:r>
      <w:bookmarkEnd w:id="0"/>
    </w:p>
    <w:p w14:paraId="5E7D6D28" w14:textId="77777777" w:rsidR="00E22F11" w:rsidRDefault="00297035" w:rsidP="005C4DD1">
      <w:pPr>
        <w:spacing w:line="360" w:lineRule="auto"/>
      </w:pPr>
      <w:r w:rsidRPr="00297035">
        <w:t>The South Kilburn Community Garden Project, a far-sighted undertaking in London's most disadvantaged district, provides the focus for this reflective assessment. This community-led project tackles problems of poverty and loneliness over food. It provides a visual example of change from ground upwards. Using communal strength and creativity as a foundation, this project has transformed waste land in the city into a garden full of life. Not only is it about cultivating crops; more importantly there are various skills involved, and there's also a lot of joy among people's hearts. To explore how deep and what kind of impact this initiative is having, this report employs relevant theoretical frameworks like social capital theory and stakeholder theory</w:t>
      </w:r>
      <w:r w:rsidR="00E64E36">
        <w:t xml:space="preserve"> and as a reflective model the report will discuss Gibbs’ Reflective Cycle model</w:t>
      </w:r>
      <w:r w:rsidRPr="00297035">
        <w:t>. Social capital theory, which stresses the value of social networks and connections among people, furnishes a key for comprehending how this garden project has affected community solidarity and mass action. Otherwise, stakeholder theory serves to analyze different kinds of interests and contributions made by local residents, businesses and government offices at all levels. This report will slice through these frameworks to explore precisely the complex choreography of community engagement and collaboration that f</w:t>
      </w:r>
      <w:r>
        <w:t>orms the basis for this project</w:t>
      </w:r>
      <w:r w:rsidRPr="00297035">
        <w:t>. Taking an analytical approach allows a complete appraisal of the project, including both its short-term results and its longer term consequences for community growth and participation.</w:t>
      </w:r>
    </w:p>
    <w:p w14:paraId="0CD17B44" w14:textId="77777777" w:rsidR="00E22F11" w:rsidRDefault="00E22F11" w:rsidP="005C4DD1">
      <w:pPr>
        <w:pStyle w:val="Heading1"/>
        <w:spacing w:line="360" w:lineRule="auto"/>
      </w:pPr>
      <w:bookmarkStart w:id="1" w:name="_Toc153959252"/>
      <w:r>
        <w:lastRenderedPageBreak/>
        <w:t>Project Description</w:t>
      </w:r>
      <w:bookmarkEnd w:id="1"/>
    </w:p>
    <w:p w14:paraId="5B728A1C" w14:textId="77777777" w:rsidR="00E64E36" w:rsidRDefault="00E22F11" w:rsidP="00E64E36">
      <w:pPr>
        <w:pStyle w:val="Heading2"/>
        <w:spacing w:line="360" w:lineRule="auto"/>
      </w:pPr>
      <w:bookmarkStart w:id="2" w:name="_Toc153959253"/>
      <w:r>
        <w:t>Project Overview and Gibbs' Reflective Cycle 'Description'</w:t>
      </w:r>
      <w:bookmarkEnd w:id="2"/>
    </w:p>
    <w:p w14:paraId="54294D08" w14:textId="77777777" w:rsidR="00E64E36" w:rsidRDefault="00E64E36" w:rsidP="00872E70">
      <w:pPr>
        <w:pStyle w:val="NormalWeb"/>
        <w:jc w:val="center"/>
      </w:pPr>
      <w:r>
        <w:rPr>
          <w:noProof/>
        </w:rPr>
        <w:drawing>
          <wp:inline distT="0" distB="0" distL="0" distR="0" wp14:anchorId="122BBD19" wp14:editId="330218DD">
            <wp:extent cx="2527300" cy="2615509"/>
            <wp:effectExtent l="0" t="0" r="6350" b="0"/>
            <wp:docPr id="3" name="Picture 3" descr="C:\Users\ASUS\AppData\Local\Packages\Microsoft.Windows.Photos_8wekyb3d8bbwe\TempState\ShareServiceTempFolder\Screenshot (36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SUS\AppData\Local\Packages\Microsoft.Windows.Photos_8wekyb3d8bbwe\TempState\ShareServiceTempFolder\Screenshot (364).jpe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527312" cy="2615521"/>
                    </a:xfrm>
                    <a:prstGeom prst="rect">
                      <a:avLst/>
                    </a:prstGeom>
                    <a:noFill/>
                    <a:ln>
                      <a:noFill/>
                    </a:ln>
                  </pic:spPr>
                </pic:pic>
              </a:graphicData>
            </a:graphic>
          </wp:inline>
        </w:drawing>
      </w:r>
    </w:p>
    <w:p w14:paraId="4F7D0538" w14:textId="77777777" w:rsidR="00E64E36" w:rsidRPr="00872E70" w:rsidRDefault="00872E70" w:rsidP="00872E70">
      <w:pPr>
        <w:pStyle w:val="NormalWeb"/>
        <w:spacing w:line="360" w:lineRule="auto"/>
        <w:jc w:val="center"/>
        <w:rPr>
          <w:rFonts w:ascii="Arial" w:hAnsi="Arial" w:cs="Arial"/>
        </w:rPr>
      </w:pPr>
      <w:r w:rsidRPr="00872E70">
        <w:rPr>
          <w:rFonts w:ascii="Arial" w:hAnsi="Arial" w:cs="Arial"/>
        </w:rPr>
        <w:t>Figure: Gibbs' Reflective Cycle Model (ResearchGate, 2023)</w:t>
      </w:r>
    </w:p>
    <w:p w14:paraId="0A3E22F8" w14:textId="77777777" w:rsidR="00E22F11" w:rsidRDefault="00437D2C" w:rsidP="005C4DD1">
      <w:pPr>
        <w:spacing w:line="360" w:lineRule="auto"/>
      </w:pPr>
      <w:r w:rsidRPr="00437D2C">
        <w:t>South Kilburn Community Garden Project it grew in the heart of a neighborhood whose economic fortunes were on decline. The plan of the local community aimed at turning a neglected space into an oasis, successfully dealing with problems involving lack of food and social isolation. This project was not just about horticulture, and as Gibbs' 'Description' phase of the Reflective Cycle model demonstrates (Markkanen et al., 2020), it occupied an important position to stimulate feeling in the community that we are all one team. It also promoted the residents 'skills and their sense of well-being. It became an area, whether physical or symbolic, in which to strengthen communities and promote a pursuit of health.</w:t>
      </w:r>
    </w:p>
    <w:p w14:paraId="0CD02D9C" w14:textId="77777777" w:rsidR="00E22F11" w:rsidRDefault="00E22F11" w:rsidP="005C4DD1">
      <w:pPr>
        <w:pStyle w:val="Heading2"/>
        <w:spacing w:line="360" w:lineRule="auto"/>
      </w:pPr>
      <w:bookmarkStart w:id="3" w:name="_Toc153959254"/>
      <w:r>
        <w:t>Theoretical Justification of Aims and Objectives</w:t>
      </w:r>
      <w:bookmarkEnd w:id="3"/>
    </w:p>
    <w:p w14:paraId="29725EEA" w14:textId="77777777" w:rsidR="00751FF1" w:rsidRDefault="00437D2C" w:rsidP="00751FF1">
      <w:pPr>
        <w:spacing w:line="360" w:lineRule="auto"/>
      </w:pPr>
      <w:r>
        <w:t xml:space="preserve">The purposes and goals of the project were closely connected to theories about social capital, stakeholders. A key theme of the project is social capital theory, which emphasizes that networks and relationships are very important. It suggests a desire to reduce loneliness in society and build better community spirit. (Swanson et al., 2020). </w:t>
      </w:r>
      <w:r w:rsidR="00751FF1">
        <w:lastRenderedPageBreak/>
        <w:t>Thus, this garden project can be regarded as acting like a catalyst strengthening social relations and increasing trust levels.</w:t>
      </w:r>
    </w:p>
    <w:p w14:paraId="23AFF50D" w14:textId="77777777" w:rsidR="00751FF1" w:rsidRDefault="00751FF1" w:rsidP="00751FF1">
      <w:pPr>
        <w:spacing w:line="360" w:lineRule="auto"/>
      </w:pPr>
      <w:r>
        <w:t>Following stakeholder theory, the project aimed to consider everyone's needs and interests (Freeman et al., 2021). Members of the local community--including area businesses and government offices-were actively involved in this project. Thus what went into it had many points of view, and everyone who took part felt proprietary toward the contents. Its unrestricted, flexible mentality allowed the garden to become a source for fresh vegetables. But it also became an educational and recreational area of society itself.</w:t>
      </w:r>
    </w:p>
    <w:p w14:paraId="3058B67C" w14:textId="77777777" w:rsidR="00E22F11" w:rsidRDefault="00751FF1" w:rsidP="00751FF1">
      <w:pPr>
        <w:spacing w:line="360" w:lineRule="auto"/>
      </w:pPr>
      <w:r>
        <w:t>The project, which is very efficient at taking advantage of the community's energy and getting everyone participating was indeed successful. But examination reveals that perhaps it may have gotten to a point where interest could no longer be sustained or ensured everyone accepted participation. It was also possible that some contributed too little and others too much, because the work depended on volunteers. This may have an adverse effect on the project's long-term benefit.</w:t>
      </w:r>
    </w:p>
    <w:p w14:paraId="565D86D1" w14:textId="77777777" w:rsidR="00E22F11" w:rsidRDefault="00E22F11" w:rsidP="005C4DD1">
      <w:pPr>
        <w:pStyle w:val="Heading1"/>
        <w:spacing w:line="360" w:lineRule="auto"/>
      </w:pPr>
      <w:bookmarkStart w:id="4" w:name="_Toc153959255"/>
      <w:r>
        <w:t>Evaluation of Community Engagement Approaches</w:t>
      </w:r>
      <w:bookmarkEnd w:id="4"/>
    </w:p>
    <w:p w14:paraId="5D09DC9C" w14:textId="77777777" w:rsidR="00E22F11" w:rsidRDefault="00E22F11" w:rsidP="005C4DD1">
      <w:pPr>
        <w:pStyle w:val="Heading2"/>
        <w:spacing w:line="360" w:lineRule="auto"/>
      </w:pPr>
      <w:bookmarkStart w:id="5" w:name="_Toc153959256"/>
      <w:r>
        <w:t>Analysis of Engagement Strategies within Theoretical Frameworks</w:t>
      </w:r>
      <w:bookmarkEnd w:id="5"/>
    </w:p>
    <w:p w14:paraId="5E6140F6" w14:textId="77777777" w:rsidR="00437D2C" w:rsidRDefault="00751FF1" w:rsidP="00437D2C">
      <w:pPr>
        <w:spacing w:line="360" w:lineRule="auto"/>
      </w:pPr>
      <w:r w:rsidRPr="00751FF1">
        <w:t>Deeply rooted in social capital and stakeholder theories, means of engagement for South Kilburn Community Garden Project. According to social capital theory, public forums and workshops promoted trust an</w:t>
      </w:r>
      <w:r>
        <w:t>d networks within the community</w:t>
      </w:r>
      <w:r w:rsidR="00437D2C">
        <w:t>. Helping residents to voice their complaints and make suggestions encouraged this kind of interaction or collectivity (Key et al., 2019). From the point of view of stakeholder theory, the project could indeed get onto its feet by bringing such major stakeholders as local businesses and governmental entities aboard, taking into account all aspects related to needs in a larger community.</w:t>
      </w:r>
    </w:p>
    <w:p w14:paraId="5405F39C" w14:textId="77777777" w:rsidR="00E22F11" w:rsidRDefault="00437D2C" w:rsidP="00437D2C">
      <w:pPr>
        <w:spacing w:line="360" w:lineRule="auto"/>
      </w:pPr>
      <w:r>
        <w:t>However, when seen through the lens of those theories these strategies have some holes. Although they encouraged civic involvement, public forums may have overlooked some--those with special perspectives. This aspect also casts doubt on the range of engagement and social capital generated (Adhikari et al., 2020). In the same vein stakeholder theory recommends a win-win situation with all interests represented but there is reason to believe that when local business people are also included in such participation, what has been given most attention until now may have wound up fading into second place.</w:t>
      </w:r>
    </w:p>
    <w:p w14:paraId="035F8423" w14:textId="77777777" w:rsidR="00E22F11" w:rsidRDefault="00E22F11" w:rsidP="005C4DD1">
      <w:pPr>
        <w:pStyle w:val="Heading2"/>
        <w:spacing w:line="360" w:lineRule="auto"/>
      </w:pPr>
      <w:bookmarkStart w:id="6" w:name="_Toc153959257"/>
      <w:r>
        <w:t>Critical Evaluation of Engage</w:t>
      </w:r>
      <w:r w:rsidR="005C4DD1">
        <w:t>ment Challenges and Limitations</w:t>
      </w:r>
      <w:bookmarkEnd w:id="6"/>
    </w:p>
    <w:p w14:paraId="025CEBBD" w14:textId="77777777" w:rsidR="002722E1" w:rsidRDefault="002722E1" w:rsidP="002722E1">
      <w:pPr>
        <w:spacing w:line="360" w:lineRule="auto"/>
      </w:pPr>
      <w:r>
        <w:t>But despite its successes, the project had problems. Maintaining continued involvement was a serious problem, a typical headache for voluntary community projects. After a while, interest can dissipate, affecting the pace of development and the long-term viability of the project. This situation highlights the need to devise ongoing involvement and development schemes, maybe through periodic milestones awarding badges of honor or even just recognition of contributions from members of the community</w:t>
      </w:r>
      <w:r w:rsidR="00D85930">
        <w:t xml:space="preserve"> (</w:t>
      </w:r>
      <w:proofErr w:type="spellStart"/>
      <w:r w:rsidR="00D85930">
        <w:t>Kahila-Tani</w:t>
      </w:r>
      <w:proofErr w:type="spellEnd"/>
      <w:r w:rsidR="00D85930">
        <w:t xml:space="preserve"> et al., 2019)</w:t>
      </w:r>
      <w:r>
        <w:t>.</w:t>
      </w:r>
    </w:p>
    <w:p w14:paraId="41CC6DE7" w14:textId="77777777" w:rsidR="00E22F11" w:rsidRDefault="002722E1" w:rsidP="002722E1">
      <w:pPr>
        <w:spacing w:line="360" w:lineRule="auto"/>
      </w:pPr>
      <w:r>
        <w:t>Secondly, while the reach of social media expanded the scope of the project into another dimension, it also incurred a danger that those without access or experience using these platforms would be left out</w:t>
      </w:r>
      <w:r w:rsidR="00D85930">
        <w:t xml:space="preserve"> (Chen and Wang, 2021)</w:t>
      </w:r>
      <w:r>
        <w:t>. The interviewer's reliance on digital communications could have excluded certain strata in the community, namely those who are elderly or less tech-savvy.</w:t>
      </w:r>
    </w:p>
    <w:p w14:paraId="5AA11242" w14:textId="77777777" w:rsidR="00E22F11" w:rsidRDefault="00E22F11" w:rsidP="005C4DD1">
      <w:pPr>
        <w:pStyle w:val="Heading2"/>
        <w:spacing w:line="360" w:lineRule="auto"/>
      </w:pPr>
      <w:bookmarkStart w:id="7" w:name="_Toc153959258"/>
      <w:r>
        <w:t>Reflecting on B</w:t>
      </w:r>
      <w:r w:rsidR="005C4DD1">
        <w:t>est Practices and Effectiveness</w:t>
      </w:r>
      <w:bookmarkEnd w:id="7"/>
    </w:p>
    <w:p w14:paraId="70464890" w14:textId="77777777" w:rsidR="002722E1" w:rsidRDefault="002722E1" w:rsidP="002722E1">
      <w:pPr>
        <w:spacing w:line="360" w:lineRule="auto"/>
      </w:pPr>
      <w:r>
        <w:t>Looking back with the use of Gibbs' Reflective Cycle 'Evaluation' and 'Analysis', it is apparent that the most effective practice was creating opportunities for direct, hand-on involvement</w:t>
      </w:r>
      <w:r w:rsidR="00D85930">
        <w:t xml:space="preserve"> (Contreras et al., 2020)</w:t>
      </w:r>
      <w:r>
        <w:t>. Gardening skills workshops not only developed individual capabilities, but also helped bring the community together. These sessions in practical terms were social capital theory enacted, spaces for shared learning and working together.</w:t>
      </w:r>
    </w:p>
    <w:p w14:paraId="535AAD4E" w14:textId="77777777" w:rsidR="00E22F11" w:rsidRDefault="002722E1" w:rsidP="002722E1">
      <w:pPr>
        <w:spacing w:line="360" w:lineRule="auto"/>
      </w:pPr>
      <w:r>
        <w:t>The project’s regular surveying and meetings with the community were a praiseworthy effort. This ensured that the project adapted to community needs and preferences, a key part of stakeholder engagement. But after implementation the project could have used more organized feedback channels to track how it affects the long run, and allow for adjustment as needs in the community change</w:t>
      </w:r>
      <w:r w:rsidR="00E22F11">
        <w:t>.</w:t>
      </w:r>
    </w:p>
    <w:p w14:paraId="58B75FE0" w14:textId="77777777" w:rsidR="00E22F11" w:rsidRDefault="00E22F11" w:rsidP="005C4DD1">
      <w:pPr>
        <w:pStyle w:val="Heading1"/>
        <w:spacing w:line="360" w:lineRule="auto"/>
      </w:pPr>
      <w:bookmarkStart w:id="8" w:name="_Toc153959259"/>
      <w:r>
        <w:t>Critical Reflection and Alternative Approaches</w:t>
      </w:r>
      <w:bookmarkEnd w:id="8"/>
    </w:p>
    <w:p w14:paraId="0DE60CB7" w14:textId="77777777" w:rsidR="00E22F11" w:rsidRDefault="00E22F11" w:rsidP="005C4DD1">
      <w:pPr>
        <w:pStyle w:val="Heading2"/>
        <w:spacing w:line="360" w:lineRule="auto"/>
      </w:pPr>
      <w:bookmarkStart w:id="9" w:name="_Toc153959260"/>
      <w:r>
        <w:t>Exploring Alter</w:t>
      </w:r>
      <w:r w:rsidR="005C4DD1">
        <w:t>native Strategies and Rationale</w:t>
      </w:r>
      <w:bookmarkEnd w:id="9"/>
    </w:p>
    <w:p w14:paraId="4D827104" w14:textId="77777777" w:rsidR="002722E1" w:rsidRDefault="002722E1" w:rsidP="002722E1">
      <w:pPr>
        <w:spacing w:line="360" w:lineRule="auto"/>
      </w:pPr>
      <w:r>
        <w:t>Looking back, the South Kilburn Community Garden Project is successful yet gives rise to new possibilities for the future. With the speed at which digital platforms are changing, the emphasis on this aspect seemed a bit light</w:t>
      </w:r>
      <w:r w:rsidR="0012449F">
        <w:t xml:space="preserve"> (</w:t>
      </w:r>
      <w:proofErr w:type="spellStart"/>
      <w:r w:rsidR="0012449F">
        <w:t>ElMassah</w:t>
      </w:r>
      <w:proofErr w:type="spellEnd"/>
      <w:r w:rsidR="0012449F">
        <w:t xml:space="preserve"> and </w:t>
      </w:r>
      <w:proofErr w:type="spellStart"/>
      <w:r w:rsidR="0012449F">
        <w:t>Mohieldin</w:t>
      </w:r>
      <w:proofErr w:type="spellEnd"/>
      <w:r w:rsidR="0012449F" w:rsidRPr="0012449F">
        <w:t>, 2020</w:t>
      </w:r>
      <w:r w:rsidR="0012449F">
        <w:t>)</w:t>
      </w:r>
      <w:r>
        <w:t>. One thought might have been to direct more efforts toward digital engagement. The scope of engagement could be widened to interactive online workshops or virtual tours of the garden, aimed at a younger age group and increasing its appeal via technology. But there is a danger here that this method will exclude the less-digitally literate parts of the community, and so it needs to be balanced with an overall multi-channel strategy.</w:t>
      </w:r>
    </w:p>
    <w:p w14:paraId="20368A8F" w14:textId="77777777" w:rsidR="00E22F11" w:rsidRDefault="002722E1" w:rsidP="002722E1">
      <w:pPr>
        <w:spacing w:line="360" w:lineRule="auto"/>
      </w:pPr>
      <w:r>
        <w:t xml:space="preserve">Another possibility could have been a model relying on more systematic cooperation with local firms and educational establishments. </w:t>
      </w:r>
      <w:r w:rsidR="00437D2C" w:rsidRPr="00437D2C">
        <w:t>Such partnerships could offer mutual benefits: From businesses providing the garden with money or other resources, through to schools making it a focus of their educational efforts and weaving sustainability into every aspect of its curriculum (Holmes et al., 2019)</w:t>
      </w:r>
      <w:r>
        <w:t>. This approach can provide extra resources and stability, but it also runs the risk of commercialization or deviating from garden's community-based spirit.</w:t>
      </w:r>
    </w:p>
    <w:p w14:paraId="676E5D33" w14:textId="77777777" w:rsidR="00E22F11" w:rsidRDefault="00E22F11" w:rsidP="005C4DD1">
      <w:pPr>
        <w:pStyle w:val="Heading2"/>
        <w:spacing w:line="360" w:lineRule="auto"/>
      </w:pPr>
      <w:bookmarkStart w:id="10" w:name="_Toc153959261"/>
      <w:r>
        <w:t>Reflecting on Potential Improvements</w:t>
      </w:r>
      <w:bookmarkEnd w:id="10"/>
    </w:p>
    <w:p w14:paraId="0FFA51C9" w14:textId="77777777" w:rsidR="00B903D1" w:rsidRDefault="00B903D1" w:rsidP="00B903D1">
      <w:pPr>
        <w:spacing w:line="360" w:lineRule="auto"/>
      </w:pPr>
      <w:r>
        <w:t>A personal perspective on this analysis Looking over the project through Gibbs 's Reflective Cycle, focusing especially in the stage of feelings. Everyone is proud of what this community has achieved, but we can see where things could be done better (Contreras et al., 2020). As another example, the project did get a wide cross section of society actively involved. But once more youths and older persons were drawn in too perhaps they lost this broadly representative participation. Adding more age-friendly activities or platforms could have endowed the entire community with a certain degree of holistic quality.</w:t>
      </w:r>
    </w:p>
    <w:p w14:paraId="112040D9" w14:textId="77777777" w:rsidR="002722E1" w:rsidRDefault="00B903D1" w:rsidP="00B903D1">
      <w:pPr>
        <w:spacing w:line="360" w:lineRule="auto"/>
      </w:pPr>
      <w:r>
        <w:t>Also, the project's reliance on voluntary participation was both its strength and weakness at the same time. It may be that this also resulted in unequal contributions and burnout on the part of some key participants, because it afforded a certain sense of possession.</w:t>
      </w:r>
      <w:r w:rsidR="002722E1">
        <w:t xml:space="preserve"> Otherwise, if they had imposed a more orderly schedule for volunteers or used small incentives, the participation model ought to have been sustainable and equitable.</w:t>
      </w:r>
    </w:p>
    <w:p w14:paraId="1D647A7C" w14:textId="77777777" w:rsidR="00E22F11" w:rsidRDefault="002722E1" w:rsidP="002722E1">
      <w:pPr>
        <w:spacing w:line="360" w:lineRule="auto"/>
      </w:pPr>
      <w:r>
        <w:t>Finally, looking back at the South Kilburn Community Garden Project, we see that while many of the measures were effective, there was still need for different approaches and room for improvements to meet changing community conditions.</w:t>
      </w:r>
    </w:p>
    <w:p w14:paraId="32BB9C9F" w14:textId="77777777" w:rsidR="00E22F11" w:rsidRDefault="00E22F11" w:rsidP="005C4DD1">
      <w:pPr>
        <w:pStyle w:val="Heading1"/>
        <w:spacing w:line="360" w:lineRule="auto"/>
      </w:pPr>
      <w:bookmarkStart w:id="11" w:name="_Toc153959262"/>
      <w:r>
        <w:t>Impact Analysis</w:t>
      </w:r>
      <w:bookmarkEnd w:id="11"/>
    </w:p>
    <w:p w14:paraId="627454BB" w14:textId="77777777" w:rsidR="00E22F11" w:rsidRDefault="00E22F11" w:rsidP="005C4DD1">
      <w:pPr>
        <w:pStyle w:val="Heading2"/>
        <w:spacing w:line="360" w:lineRule="auto"/>
      </w:pPr>
      <w:bookmarkStart w:id="12" w:name="_Toc153959263"/>
      <w:r>
        <w:t>Assessing the Impact of Community Engagement and Collaboration</w:t>
      </w:r>
      <w:bookmarkEnd w:id="12"/>
    </w:p>
    <w:p w14:paraId="23E36306" w14:textId="77777777" w:rsidR="002722E1" w:rsidRDefault="002722E1" w:rsidP="002722E1">
      <w:pPr>
        <w:spacing w:line="360" w:lineRule="auto"/>
      </w:pPr>
      <w:r>
        <w:t>Through active consultation, communication and stakeholder engagement, the South Kilburn Community Garden Project has shown major effects. Moreover, the active consultation process including public forums and workshops was key to residents feeling a sense of ownership and agency. As forums promoting exchange of ideas, as venues for community formation and thus in accordance with the dictates of social capital theory</w:t>
      </w:r>
      <w:r w:rsidR="0012449F">
        <w:t xml:space="preserve"> (Haldane et al., 2019)</w:t>
      </w:r>
      <w:r>
        <w:t>. But seen with a critical eye, although active consultation proved to be conducive, perhaps it only canvassed the more outspoken and action-minded members of the community? The quieter but equally important voices may still have been left in obscurity.</w:t>
      </w:r>
    </w:p>
    <w:p w14:paraId="655AB5E5" w14:textId="77777777" w:rsidR="00E22F11" w:rsidRDefault="002722E1" w:rsidP="002722E1">
      <w:pPr>
        <w:spacing w:line="360" w:lineRule="auto"/>
      </w:pPr>
      <w:r>
        <w:t>The project's diversity and inclusion work, especially with regard to the participation of minority groups, was well done. This approach also guaranteed a more balanced and equal participation, in the spirit of stakeholder theory which includes the different needs within the community. But how was this inclusion to be maintained throughout the project? Because as active participation can change, so too does a group's representation.</w:t>
      </w:r>
    </w:p>
    <w:p w14:paraId="6400EE6D" w14:textId="77777777" w:rsidR="00E22F11" w:rsidRDefault="00E22F11" w:rsidP="005C4DD1">
      <w:pPr>
        <w:pStyle w:val="Heading2"/>
        <w:spacing w:line="360" w:lineRule="auto"/>
      </w:pPr>
      <w:bookmarkStart w:id="13" w:name="_Toc153959264"/>
      <w:r>
        <w:t>Evaluating Research Methods and Digital Engagement</w:t>
      </w:r>
      <w:bookmarkEnd w:id="13"/>
    </w:p>
    <w:p w14:paraId="12C7BC71" w14:textId="77777777" w:rsidR="002722E1" w:rsidRDefault="002722E1" w:rsidP="002722E1">
      <w:pPr>
        <w:spacing w:line="360" w:lineRule="auto"/>
      </w:pPr>
      <w:r>
        <w:t>And the project's research methods--community mapping, surveys, interviews--were critical in shaping a project to suit the needs of this single community</w:t>
      </w:r>
      <w:r w:rsidR="0012449F">
        <w:t xml:space="preserve"> (Greenhalgh et al</w:t>
      </w:r>
      <w:r w:rsidR="0012449F" w:rsidRPr="0012449F">
        <w:t>.,</w:t>
      </w:r>
      <w:r w:rsidR="0012449F">
        <w:t xml:space="preserve"> 2019)</w:t>
      </w:r>
      <w:r>
        <w:t>. The key areas for the garden were determined by community mapping, so that it would be accessible to most people. Surveys and interviews yielded information about individual tastes and demands, which enabled more personalized service. But the critical viewpoint would argue that perhaps these various methods were limited by the willingness and ability of the respondents to participate, which could result in biased or incomplete data collected.</w:t>
      </w:r>
    </w:p>
    <w:p w14:paraId="139503A9" w14:textId="77777777" w:rsidR="00E22F11" w:rsidRDefault="002722E1" w:rsidP="002722E1">
      <w:pPr>
        <w:spacing w:line="360" w:lineRule="auto"/>
      </w:pPr>
      <w:r>
        <w:t>The project reached beyond its base of older community members through active involvement with social media</w:t>
      </w:r>
      <w:r w:rsidR="00A568CC">
        <w:t xml:space="preserve"> (</w:t>
      </w:r>
      <w:proofErr w:type="spellStart"/>
      <w:r w:rsidR="00A568CC">
        <w:t>Busalim</w:t>
      </w:r>
      <w:proofErr w:type="spellEnd"/>
      <w:r w:rsidR="00A568CC" w:rsidRPr="00A568CC">
        <w:t xml:space="preserve"> an</w:t>
      </w:r>
      <w:r w:rsidR="00A568CC">
        <w:t xml:space="preserve">d </w:t>
      </w:r>
      <w:proofErr w:type="spellStart"/>
      <w:r w:rsidR="00A568CC">
        <w:t>Ghabban</w:t>
      </w:r>
      <w:proofErr w:type="spellEnd"/>
      <w:r w:rsidR="00A568CC">
        <w:t>, 2021)</w:t>
      </w:r>
      <w:r>
        <w:t xml:space="preserve">. </w:t>
      </w:r>
      <w:r w:rsidR="00B903D1" w:rsidRPr="00B903D1">
        <w:t>Continuous communication and participation were essential to maintaining interest and involvement. However, social media's dependence also prompts concerns about digital exclusion for those who lack access or understanding of these platforms. Its scope is open to question! In brief, the community garden project beneficial; but examining the different ways it engaged people also points to its room for improvement.</w:t>
      </w:r>
    </w:p>
    <w:p w14:paraId="56BA1E3E" w14:textId="77777777" w:rsidR="00E22F11" w:rsidRDefault="00E22F11" w:rsidP="005C4DD1">
      <w:pPr>
        <w:pStyle w:val="Heading1"/>
        <w:spacing w:line="360" w:lineRule="auto"/>
      </w:pPr>
      <w:bookmarkStart w:id="14" w:name="_Toc153959265"/>
      <w:r>
        <w:t>Conclusion</w:t>
      </w:r>
      <w:bookmarkEnd w:id="14"/>
    </w:p>
    <w:p w14:paraId="3D27250A" w14:textId="77777777" w:rsidR="00E22F11" w:rsidRDefault="002722E1" w:rsidP="005C4DD1">
      <w:pPr>
        <w:spacing w:line="360" w:lineRule="auto"/>
      </w:pPr>
      <w:r w:rsidRPr="002722E1">
        <w:t>When I consider my reflection on the South Kilburn Community Garden Project, it offers a tremendous solution to handling these key social problems through community involvement. Participatory strategies-public forums and workshops, digital media-formed a factor the project introduced in its approach. This method helped build up this sense of unity and responsibility. This experience has helped me understand that community involvement is essential to their success. It has taught me about the power of cooperative effort in turning unused spaces into valuable neighborhood resources, improving community solidarity and an individual's well-being. Looking back at the project through Gibbs' Reflective Cycle, I see that it is so important to have ongoing and balanced participation in some kind of balance, particularly for community projects which must maintain the momentum. It's also been a salutary lesson on the difficulties that can arise, including volunteer burnout and digital exclusion. I believe that these insights will be useful to me in my future work of community involvement and urban planning. Knowing how to sense and respond correctly to the diverse needs of communities will prove essential in this area. Looking ahead, however, I think it’s important to establish mechanisms that will create and maintain enthusiasm in order to overcome the limitations. Examples could be setting up organized volunteer programs to avoid burnout and incorporating off-line engagement techniques to broaden its reach. Moreover, a feedback mechanism could be established to tailor the project to residents 'needs as they develop. The lessons of the South Kilburn Community Garden Project go beyond this particular situation, and have important things to teach urban planners and community organizers alike. It shows how a well-thought-out and executed community project can not only meet urgent needs, but also create solidarity and mutual aid. In the future, these lessons will influence my thinking on community engagement and the focus must be on sustainable practices that are inclusive, adaptable and widespread.</w:t>
      </w:r>
    </w:p>
    <w:p w14:paraId="21C4B56B" w14:textId="77777777" w:rsidR="00A568CC" w:rsidRDefault="00A568CC" w:rsidP="00A568CC">
      <w:pPr>
        <w:pStyle w:val="Heading1"/>
      </w:pPr>
      <w:bookmarkStart w:id="15" w:name="_Toc153959266"/>
      <w:r>
        <w:t>References</w:t>
      </w:r>
      <w:bookmarkEnd w:id="15"/>
    </w:p>
    <w:p w14:paraId="127099F9" w14:textId="77777777" w:rsidR="00A568CC" w:rsidRDefault="00A568CC" w:rsidP="00A568CC">
      <w:pPr>
        <w:spacing w:line="360" w:lineRule="auto"/>
      </w:pPr>
      <w:r>
        <w:rPr>
          <w:rFonts w:cs="Arial"/>
          <w:color w:val="222222"/>
          <w:szCs w:val="24"/>
          <w:shd w:val="clear" w:color="auto" w:fill="FFFFFF"/>
        </w:rPr>
        <w:t>Adhikari, B., Pell, C. and Cheah, P.Y., (2020) Community engagement and ethical global health research. </w:t>
      </w:r>
      <w:r>
        <w:rPr>
          <w:i/>
          <w:iCs/>
        </w:rPr>
        <w:t>Global Bioethics</w:t>
      </w:r>
      <w:r>
        <w:t>, </w:t>
      </w:r>
      <w:r>
        <w:rPr>
          <w:i/>
          <w:iCs/>
        </w:rPr>
        <w:t>31</w:t>
      </w:r>
      <w:r>
        <w:t>(1), pp.1-12.</w:t>
      </w:r>
    </w:p>
    <w:p w14:paraId="04CF9F9B" w14:textId="77777777" w:rsidR="00A568CC" w:rsidRDefault="00A568CC" w:rsidP="00A568CC">
      <w:pPr>
        <w:spacing w:line="360" w:lineRule="auto"/>
      </w:pPr>
      <w:proofErr w:type="spellStart"/>
      <w:r>
        <w:rPr>
          <w:rFonts w:cs="Arial"/>
          <w:color w:val="222222"/>
          <w:szCs w:val="24"/>
          <w:shd w:val="clear" w:color="auto" w:fill="FFFFFF"/>
        </w:rPr>
        <w:t>Busalim</w:t>
      </w:r>
      <w:proofErr w:type="spellEnd"/>
      <w:r>
        <w:rPr>
          <w:rFonts w:cs="Arial"/>
          <w:color w:val="222222"/>
          <w:szCs w:val="24"/>
          <w:shd w:val="clear" w:color="auto" w:fill="FFFFFF"/>
        </w:rPr>
        <w:t xml:space="preserve">, A.H. and </w:t>
      </w:r>
      <w:proofErr w:type="spellStart"/>
      <w:r>
        <w:rPr>
          <w:rFonts w:cs="Arial"/>
          <w:color w:val="222222"/>
          <w:szCs w:val="24"/>
          <w:shd w:val="clear" w:color="auto" w:fill="FFFFFF"/>
        </w:rPr>
        <w:t>Ghabban</w:t>
      </w:r>
      <w:proofErr w:type="spellEnd"/>
      <w:r>
        <w:rPr>
          <w:rFonts w:cs="Arial"/>
          <w:color w:val="222222"/>
          <w:szCs w:val="24"/>
          <w:shd w:val="clear" w:color="auto" w:fill="FFFFFF"/>
        </w:rPr>
        <w:t xml:space="preserve">, F., (2021) Customer engagement </w:t>
      </w:r>
      <w:proofErr w:type="spellStart"/>
      <w:r>
        <w:rPr>
          <w:rFonts w:cs="Arial"/>
          <w:color w:val="222222"/>
          <w:szCs w:val="24"/>
          <w:shd w:val="clear" w:color="auto" w:fill="FFFFFF"/>
        </w:rPr>
        <w:t>behaviour</w:t>
      </w:r>
      <w:proofErr w:type="spellEnd"/>
      <w:r>
        <w:rPr>
          <w:rFonts w:cs="Arial"/>
          <w:color w:val="222222"/>
          <w:szCs w:val="24"/>
          <w:shd w:val="clear" w:color="auto" w:fill="FFFFFF"/>
        </w:rPr>
        <w:t xml:space="preserve"> on social commerce platforms: An empirical study. </w:t>
      </w:r>
      <w:r>
        <w:rPr>
          <w:i/>
          <w:iCs/>
        </w:rPr>
        <w:t>Technology in Society</w:t>
      </w:r>
      <w:r>
        <w:t>, </w:t>
      </w:r>
      <w:r>
        <w:rPr>
          <w:i/>
          <w:iCs/>
        </w:rPr>
        <w:t>64</w:t>
      </w:r>
      <w:r>
        <w:t>, p.101437.</w:t>
      </w:r>
    </w:p>
    <w:p w14:paraId="2C2AAEFD" w14:textId="77777777" w:rsidR="00A568CC" w:rsidRDefault="00A568CC" w:rsidP="00A568CC">
      <w:pPr>
        <w:spacing w:line="360" w:lineRule="auto"/>
      </w:pPr>
      <w:r>
        <w:rPr>
          <w:rFonts w:cs="Arial"/>
          <w:color w:val="222222"/>
          <w:szCs w:val="24"/>
          <w:shd w:val="clear" w:color="auto" w:fill="FFFFFF"/>
        </w:rPr>
        <w:t>Chen, J. and Wang, Y., (2021) Social media use for health purposes: systematic review. </w:t>
      </w:r>
      <w:r>
        <w:rPr>
          <w:i/>
          <w:iCs/>
        </w:rPr>
        <w:t>Journal of medical Internet research</w:t>
      </w:r>
      <w:r>
        <w:t>, </w:t>
      </w:r>
      <w:r>
        <w:rPr>
          <w:i/>
          <w:iCs/>
        </w:rPr>
        <w:t>23</w:t>
      </w:r>
      <w:r>
        <w:t>(5), p.e17917.</w:t>
      </w:r>
    </w:p>
    <w:p w14:paraId="7C87E3CB" w14:textId="77777777" w:rsidR="00A568CC" w:rsidRDefault="00A568CC" w:rsidP="00A568CC">
      <w:pPr>
        <w:spacing w:line="360" w:lineRule="auto"/>
        <w:rPr>
          <w:rFonts w:cs="Arial"/>
          <w:color w:val="222222"/>
          <w:szCs w:val="24"/>
          <w:shd w:val="clear" w:color="auto" w:fill="FFFFFF"/>
        </w:rPr>
      </w:pPr>
      <w:r>
        <w:rPr>
          <w:rFonts w:cs="Arial"/>
          <w:color w:val="222222"/>
          <w:szCs w:val="24"/>
          <w:shd w:val="clear" w:color="auto" w:fill="FFFFFF"/>
        </w:rPr>
        <w:t>Contreras, J.A., Edwards</w:t>
      </w:r>
      <w:r>
        <w:rPr>
          <w:rFonts w:ascii="Cambria Math" w:hAnsi="Cambria Math" w:cs="Cambria Math"/>
          <w:color w:val="222222"/>
          <w:szCs w:val="24"/>
          <w:shd w:val="clear" w:color="auto" w:fill="FFFFFF"/>
        </w:rPr>
        <w:t>‐</w:t>
      </w:r>
      <w:r>
        <w:rPr>
          <w:rFonts w:cs="Arial"/>
          <w:color w:val="222222"/>
          <w:szCs w:val="24"/>
          <w:shd w:val="clear" w:color="auto" w:fill="FFFFFF"/>
        </w:rPr>
        <w:t>Maddox, S., Hall, A. and Lee, M.A., (2020) Effects of reflective practice on baccalaureate nursing students’ stress, anxiety and competency: An integrative review. </w:t>
      </w:r>
      <w:r>
        <w:rPr>
          <w:i/>
          <w:iCs/>
        </w:rPr>
        <w:t>Worldviews on Evidence</w:t>
      </w:r>
      <w:r>
        <w:rPr>
          <w:rFonts w:ascii="Cambria Math" w:hAnsi="Cambria Math" w:cs="Cambria Math"/>
          <w:i/>
          <w:iCs/>
          <w:color w:val="222222"/>
          <w:szCs w:val="24"/>
          <w:shd w:val="clear" w:color="auto" w:fill="FFFFFF"/>
        </w:rPr>
        <w:t>‐</w:t>
      </w:r>
      <w:r>
        <w:rPr>
          <w:rFonts w:cs="Arial"/>
          <w:i/>
          <w:iCs/>
          <w:color w:val="222222"/>
          <w:szCs w:val="24"/>
          <w:shd w:val="clear" w:color="auto" w:fill="FFFFFF"/>
        </w:rPr>
        <w:t>Based Nursing</w:t>
      </w:r>
      <w:r>
        <w:rPr>
          <w:rFonts w:cs="Arial"/>
          <w:color w:val="222222"/>
          <w:szCs w:val="24"/>
          <w:shd w:val="clear" w:color="auto" w:fill="FFFFFF"/>
        </w:rPr>
        <w:t>, </w:t>
      </w:r>
      <w:r>
        <w:rPr>
          <w:rFonts w:cs="Arial"/>
          <w:i/>
          <w:iCs/>
          <w:color w:val="222222"/>
          <w:szCs w:val="24"/>
          <w:shd w:val="clear" w:color="auto" w:fill="FFFFFF"/>
        </w:rPr>
        <w:t>17</w:t>
      </w:r>
      <w:r>
        <w:rPr>
          <w:rFonts w:cs="Arial"/>
          <w:color w:val="222222"/>
          <w:szCs w:val="24"/>
          <w:shd w:val="clear" w:color="auto" w:fill="FFFFFF"/>
        </w:rPr>
        <w:t>(3), pp.239-245.</w:t>
      </w:r>
    </w:p>
    <w:p w14:paraId="043AD251" w14:textId="77777777" w:rsidR="00A568CC" w:rsidRDefault="00A568CC" w:rsidP="00A568CC">
      <w:pPr>
        <w:spacing w:line="360" w:lineRule="auto"/>
      </w:pPr>
      <w:proofErr w:type="spellStart"/>
      <w:r>
        <w:rPr>
          <w:rFonts w:cs="Arial"/>
          <w:color w:val="222222"/>
          <w:szCs w:val="24"/>
          <w:shd w:val="clear" w:color="auto" w:fill="FFFFFF"/>
        </w:rPr>
        <w:t>ElMassah</w:t>
      </w:r>
      <w:proofErr w:type="spellEnd"/>
      <w:r>
        <w:rPr>
          <w:rFonts w:cs="Arial"/>
          <w:color w:val="222222"/>
          <w:szCs w:val="24"/>
          <w:shd w:val="clear" w:color="auto" w:fill="FFFFFF"/>
        </w:rPr>
        <w:t xml:space="preserve">, S. and </w:t>
      </w:r>
      <w:proofErr w:type="spellStart"/>
      <w:r>
        <w:rPr>
          <w:rFonts w:cs="Arial"/>
          <w:color w:val="222222"/>
          <w:szCs w:val="24"/>
          <w:shd w:val="clear" w:color="auto" w:fill="FFFFFF"/>
        </w:rPr>
        <w:t>Mohieldin</w:t>
      </w:r>
      <w:proofErr w:type="spellEnd"/>
      <w:r>
        <w:rPr>
          <w:rFonts w:cs="Arial"/>
          <w:color w:val="222222"/>
          <w:szCs w:val="24"/>
          <w:shd w:val="clear" w:color="auto" w:fill="FFFFFF"/>
        </w:rPr>
        <w:t>, M., (2020) Digital transformation and localizing the sustainable development goals (SDGs). </w:t>
      </w:r>
      <w:r>
        <w:rPr>
          <w:i/>
          <w:iCs/>
        </w:rPr>
        <w:t>Ecological Economics</w:t>
      </w:r>
      <w:r>
        <w:t>, </w:t>
      </w:r>
      <w:r>
        <w:rPr>
          <w:i/>
          <w:iCs/>
        </w:rPr>
        <w:t>169</w:t>
      </w:r>
      <w:r>
        <w:t>, p.106490.</w:t>
      </w:r>
    </w:p>
    <w:p w14:paraId="5FA332BC" w14:textId="77777777" w:rsidR="00A568CC" w:rsidRDefault="00A568CC" w:rsidP="00A568CC">
      <w:pPr>
        <w:spacing w:line="360" w:lineRule="auto"/>
      </w:pPr>
      <w:r>
        <w:rPr>
          <w:rFonts w:cs="Arial"/>
          <w:color w:val="222222"/>
          <w:szCs w:val="24"/>
          <w:shd w:val="clear" w:color="auto" w:fill="FFFFFF"/>
        </w:rPr>
        <w:t xml:space="preserve">Freeman, R.E., </w:t>
      </w:r>
      <w:proofErr w:type="spellStart"/>
      <w:r>
        <w:rPr>
          <w:rFonts w:cs="Arial"/>
          <w:color w:val="222222"/>
          <w:szCs w:val="24"/>
          <w:shd w:val="clear" w:color="auto" w:fill="FFFFFF"/>
        </w:rPr>
        <w:t>Dmytriyev</w:t>
      </w:r>
      <w:proofErr w:type="spellEnd"/>
      <w:r>
        <w:rPr>
          <w:rFonts w:cs="Arial"/>
          <w:color w:val="222222"/>
          <w:szCs w:val="24"/>
          <w:shd w:val="clear" w:color="auto" w:fill="FFFFFF"/>
        </w:rPr>
        <w:t>, S.D. and Phillips, R.A., (2021) Stakeholder theory and the resource-based view of the firm. </w:t>
      </w:r>
      <w:r>
        <w:rPr>
          <w:i/>
          <w:iCs/>
        </w:rPr>
        <w:t>Journal of Management</w:t>
      </w:r>
      <w:r>
        <w:t>, </w:t>
      </w:r>
      <w:r>
        <w:rPr>
          <w:i/>
          <w:iCs/>
        </w:rPr>
        <w:t>47</w:t>
      </w:r>
      <w:r>
        <w:t>(7), pp.1757-1770.</w:t>
      </w:r>
    </w:p>
    <w:p w14:paraId="12DE30D0" w14:textId="77777777" w:rsidR="00A568CC" w:rsidRDefault="00A568CC" w:rsidP="00A568CC">
      <w:pPr>
        <w:spacing w:line="360" w:lineRule="auto"/>
      </w:pPr>
      <w:r>
        <w:rPr>
          <w:rFonts w:cs="Arial"/>
          <w:color w:val="222222"/>
          <w:szCs w:val="24"/>
          <w:shd w:val="clear" w:color="auto" w:fill="FFFFFF"/>
        </w:rPr>
        <w:t>Greenhalgh, T., Hinton, L., Finlay, T., Macfarlane, A., Fahy, N., Clyde, B. and Chant, A., (2019) Frameworks for supporting patient and public involvement in research: systematic review and co</w:t>
      </w:r>
      <w:r>
        <w:rPr>
          <w:rFonts w:ascii="Cambria Math" w:hAnsi="Cambria Math" w:cs="Cambria Math"/>
          <w:color w:val="222222"/>
          <w:szCs w:val="24"/>
          <w:shd w:val="clear" w:color="auto" w:fill="FFFFFF"/>
        </w:rPr>
        <w:t>‐</w:t>
      </w:r>
      <w:r>
        <w:rPr>
          <w:rFonts w:cs="Arial"/>
          <w:color w:val="222222"/>
          <w:szCs w:val="24"/>
          <w:shd w:val="clear" w:color="auto" w:fill="FFFFFF"/>
        </w:rPr>
        <w:t>design pilot. </w:t>
      </w:r>
      <w:r>
        <w:rPr>
          <w:i/>
          <w:iCs/>
        </w:rPr>
        <w:t>Health expectations</w:t>
      </w:r>
      <w:r>
        <w:t>, </w:t>
      </w:r>
      <w:r>
        <w:rPr>
          <w:i/>
          <w:iCs/>
        </w:rPr>
        <w:t>22</w:t>
      </w:r>
      <w:r>
        <w:t>(4), pp.785-801.</w:t>
      </w:r>
    </w:p>
    <w:p w14:paraId="71035F38" w14:textId="77777777" w:rsidR="00A568CC" w:rsidRDefault="00A568CC" w:rsidP="00A568CC">
      <w:pPr>
        <w:spacing w:line="360" w:lineRule="auto"/>
      </w:pPr>
      <w:r>
        <w:rPr>
          <w:rFonts w:cs="Arial"/>
          <w:color w:val="222222"/>
          <w:szCs w:val="24"/>
          <w:shd w:val="clear" w:color="auto" w:fill="FFFFFF"/>
        </w:rPr>
        <w:t xml:space="preserve">Haldane, V., </w:t>
      </w:r>
      <w:proofErr w:type="spellStart"/>
      <w:r>
        <w:rPr>
          <w:rFonts w:cs="Arial"/>
          <w:color w:val="222222"/>
          <w:szCs w:val="24"/>
          <w:shd w:val="clear" w:color="auto" w:fill="FFFFFF"/>
        </w:rPr>
        <w:t>Chuah</w:t>
      </w:r>
      <w:proofErr w:type="spellEnd"/>
      <w:r>
        <w:rPr>
          <w:rFonts w:cs="Arial"/>
          <w:color w:val="222222"/>
          <w:szCs w:val="24"/>
          <w:shd w:val="clear" w:color="auto" w:fill="FFFFFF"/>
        </w:rPr>
        <w:t xml:space="preserve">, F.L., Srivastava, A., Singh, S.R., Koh, G.C., Seng, C.K. and </w:t>
      </w:r>
      <w:proofErr w:type="spellStart"/>
      <w:r>
        <w:rPr>
          <w:rFonts w:cs="Arial"/>
          <w:color w:val="222222"/>
          <w:szCs w:val="24"/>
          <w:shd w:val="clear" w:color="auto" w:fill="FFFFFF"/>
        </w:rPr>
        <w:t>Legido</w:t>
      </w:r>
      <w:proofErr w:type="spellEnd"/>
      <w:r>
        <w:rPr>
          <w:rFonts w:cs="Arial"/>
          <w:color w:val="222222"/>
          <w:szCs w:val="24"/>
          <w:shd w:val="clear" w:color="auto" w:fill="FFFFFF"/>
        </w:rPr>
        <w:t>-Quigley, H., (2019) Community participation in health services development, implementation, and evaluation: A systematic review of empowerment, health, community, and process outcomes. </w:t>
      </w:r>
      <w:proofErr w:type="spellStart"/>
      <w:r>
        <w:rPr>
          <w:i/>
          <w:iCs/>
        </w:rPr>
        <w:t>PloS</w:t>
      </w:r>
      <w:proofErr w:type="spellEnd"/>
      <w:r>
        <w:rPr>
          <w:i/>
          <w:iCs/>
        </w:rPr>
        <w:t xml:space="preserve"> one</w:t>
      </w:r>
      <w:r>
        <w:t>, </w:t>
      </w:r>
      <w:r>
        <w:rPr>
          <w:i/>
          <w:iCs/>
        </w:rPr>
        <w:t>14</w:t>
      </w:r>
      <w:r>
        <w:t>(5), p.e0216112.</w:t>
      </w:r>
    </w:p>
    <w:p w14:paraId="2968E85F" w14:textId="77777777" w:rsidR="00A568CC" w:rsidRDefault="00A568CC" w:rsidP="00A568CC">
      <w:pPr>
        <w:spacing w:line="360" w:lineRule="auto"/>
      </w:pPr>
      <w:r>
        <w:rPr>
          <w:rFonts w:cs="Arial"/>
          <w:color w:val="222222"/>
          <w:szCs w:val="24"/>
          <w:shd w:val="clear" w:color="auto" w:fill="FFFFFF"/>
        </w:rPr>
        <w:t xml:space="preserve">Holmes, L., </w:t>
      </w:r>
      <w:proofErr w:type="spellStart"/>
      <w:r>
        <w:rPr>
          <w:rFonts w:cs="Arial"/>
          <w:color w:val="222222"/>
          <w:szCs w:val="24"/>
          <w:shd w:val="clear" w:color="auto" w:fill="FFFFFF"/>
        </w:rPr>
        <w:t>Cresswell</w:t>
      </w:r>
      <w:proofErr w:type="spellEnd"/>
      <w:r>
        <w:rPr>
          <w:rFonts w:cs="Arial"/>
          <w:color w:val="222222"/>
          <w:szCs w:val="24"/>
          <w:shd w:val="clear" w:color="auto" w:fill="FFFFFF"/>
        </w:rPr>
        <w:t>, K., Williams, S., Parsons, S., Keane, A., Wilson, C., Islam, S., Joseph, O., Miah, J., Robinson, E. and Starling, B., (2019) Innovating public engagement and patient involvement through strategic collaboration and practice. </w:t>
      </w:r>
      <w:r>
        <w:rPr>
          <w:i/>
          <w:iCs/>
        </w:rPr>
        <w:t>Research involvement and engagement</w:t>
      </w:r>
      <w:r>
        <w:t>, </w:t>
      </w:r>
      <w:r>
        <w:rPr>
          <w:i/>
          <w:iCs/>
        </w:rPr>
        <w:t>5</w:t>
      </w:r>
      <w:r>
        <w:t>, pp.1-12.</w:t>
      </w:r>
    </w:p>
    <w:p w14:paraId="38A75642" w14:textId="77777777" w:rsidR="00A568CC" w:rsidRDefault="00A568CC" w:rsidP="00A568CC">
      <w:pPr>
        <w:spacing w:line="360" w:lineRule="auto"/>
      </w:pPr>
      <w:proofErr w:type="spellStart"/>
      <w:r>
        <w:rPr>
          <w:rFonts w:cs="Arial"/>
          <w:color w:val="222222"/>
          <w:szCs w:val="24"/>
          <w:shd w:val="clear" w:color="auto" w:fill="FFFFFF"/>
        </w:rPr>
        <w:t>Kahila-Tani</w:t>
      </w:r>
      <w:proofErr w:type="spellEnd"/>
      <w:r>
        <w:rPr>
          <w:rFonts w:cs="Arial"/>
          <w:color w:val="222222"/>
          <w:szCs w:val="24"/>
          <w:shd w:val="clear" w:color="auto" w:fill="FFFFFF"/>
        </w:rPr>
        <w:t xml:space="preserve">, M., </w:t>
      </w:r>
      <w:proofErr w:type="spellStart"/>
      <w:r>
        <w:rPr>
          <w:rFonts w:cs="Arial"/>
          <w:color w:val="222222"/>
          <w:szCs w:val="24"/>
          <w:shd w:val="clear" w:color="auto" w:fill="FFFFFF"/>
        </w:rPr>
        <w:t>Kytta</w:t>
      </w:r>
      <w:proofErr w:type="spellEnd"/>
      <w:r>
        <w:rPr>
          <w:rFonts w:cs="Arial"/>
          <w:color w:val="222222"/>
          <w:szCs w:val="24"/>
          <w:shd w:val="clear" w:color="auto" w:fill="FFFFFF"/>
        </w:rPr>
        <w:t xml:space="preserve">, M. and </w:t>
      </w:r>
      <w:proofErr w:type="spellStart"/>
      <w:r>
        <w:rPr>
          <w:rFonts w:cs="Arial"/>
          <w:color w:val="222222"/>
          <w:szCs w:val="24"/>
          <w:shd w:val="clear" w:color="auto" w:fill="FFFFFF"/>
        </w:rPr>
        <w:t>Geertman</w:t>
      </w:r>
      <w:proofErr w:type="spellEnd"/>
      <w:r>
        <w:rPr>
          <w:rFonts w:cs="Arial"/>
          <w:color w:val="222222"/>
          <w:szCs w:val="24"/>
          <w:shd w:val="clear" w:color="auto" w:fill="FFFFFF"/>
        </w:rPr>
        <w:t>, S., (2019) Does mapping improve public participation? Exploring the pros and cons of using public participation GIS in urban planning practices. </w:t>
      </w:r>
      <w:r>
        <w:rPr>
          <w:i/>
          <w:iCs/>
        </w:rPr>
        <w:t>Landscape and urban planning</w:t>
      </w:r>
      <w:r>
        <w:t>, </w:t>
      </w:r>
      <w:r>
        <w:rPr>
          <w:i/>
          <w:iCs/>
        </w:rPr>
        <w:t>186</w:t>
      </w:r>
      <w:r>
        <w:t>, pp.45-55.</w:t>
      </w:r>
    </w:p>
    <w:p w14:paraId="06A50257" w14:textId="77777777" w:rsidR="00A568CC" w:rsidRDefault="00A568CC" w:rsidP="00A568CC">
      <w:pPr>
        <w:spacing w:line="360" w:lineRule="auto"/>
      </w:pPr>
      <w:r>
        <w:rPr>
          <w:rFonts w:cs="Arial"/>
          <w:color w:val="222222"/>
          <w:szCs w:val="24"/>
          <w:shd w:val="clear" w:color="auto" w:fill="FFFFFF"/>
        </w:rPr>
        <w:t>Key, K.D., Furr-Holden, D., Lewis, E.Y., Cunningham, R., Zimmerman, M.A., Johnson-Lawrence, V. and Selig, S., (2019) The continuum of community engagement in research: a roadmap for understanding and assessing progress. </w:t>
      </w:r>
      <w:r>
        <w:rPr>
          <w:i/>
          <w:iCs/>
        </w:rPr>
        <w:t>Progress in community health partnerships: research, education, and action</w:t>
      </w:r>
      <w:r>
        <w:t>, </w:t>
      </w:r>
      <w:r>
        <w:rPr>
          <w:i/>
          <w:iCs/>
        </w:rPr>
        <w:t>13</w:t>
      </w:r>
      <w:r>
        <w:t>(4), pp.427-434.</w:t>
      </w:r>
    </w:p>
    <w:p w14:paraId="0357675A" w14:textId="77777777" w:rsidR="00A568CC" w:rsidRDefault="00A568CC" w:rsidP="00A568CC">
      <w:pPr>
        <w:spacing w:line="360" w:lineRule="auto"/>
      </w:pPr>
      <w:r>
        <w:rPr>
          <w:rFonts w:cs="Arial"/>
          <w:color w:val="222222"/>
          <w:szCs w:val="24"/>
          <w:shd w:val="clear" w:color="auto" w:fill="FFFFFF"/>
        </w:rPr>
        <w:t xml:space="preserve">Markkanen, P., </w:t>
      </w:r>
      <w:proofErr w:type="spellStart"/>
      <w:r>
        <w:rPr>
          <w:rFonts w:cs="Arial"/>
          <w:color w:val="222222"/>
          <w:szCs w:val="24"/>
          <w:shd w:val="clear" w:color="auto" w:fill="FFFFFF"/>
        </w:rPr>
        <w:t>Välimäki</w:t>
      </w:r>
      <w:proofErr w:type="spellEnd"/>
      <w:r>
        <w:rPr>
          <w:rFonts w:cs="Arial"/>
          <w:color w:val="222222"/>
          <w:szCs w:val="24"/>
          <w:shd w:val="clear" w:color="auto" w:fill="FFFFFF"/>
        </w:rPr>
        <w:t xml:space="preserve">, M., </w:t>
      </w:r>
      <w:proofErr w:type="spellStart"/>
      <w:r>
        <w:rPr>
          <w:rFonts w:cs="Arial"/>
          <w:color w:val="222222"/>
          <w:szCs w:val="24"/>
          <w:shd w:val="clear" w:color="auto" w:fill="FFFFFF"/>
        </w:rPr>
        <w:t>Anttila</w:t>
      </w:r>
      <w:proofErr w:type="spellEnd"/>
      <w:r>
        <w:rPr>
          <w:rFonts w:cs="Arial"/>
          <w:color w:val="222222"/>
          <w:szCs w:val="24"/>
          <w:shd w:val="clear" w:color="auto" w:fill="FFFFFF"/>
        </w:rPr>
        <w:t xml:space="preserve">, M. and </w:t>
      </w:r>
      <w:proofErr w:type="spellStart"/>
      <w:r>
        <w:rPr>
          <w:rFonts w:cs="Arial"/>
          <w:color w:val="222222"/>
          <w:szCs w:val="24"/>
          <w:shd w:val="clear" w:color="auto" w:fill="FFFFFF"/>
        </w:rPr>
        <w:t>Kuuskorpi</w:t>
      </w:r>
      <w:proofErr w:type="spellEnd"/>
      <w:r>
        <w:rPr>
          <w:rFonts w:cs="Arial"/>
          <w:color w:val="222222"/>
          <w:szCs w:val="24"/>
          <w:shd w:val="clear" w:color="auto" w:fill="FFFFFF"/>
        </w:rPr>
        <w:t>, M., (2020) A reflective cycle: Understanding challenging situations in a school setting. </w:t>
      </w:r>
      <w:r>
        <w:rPr>
          <w:i/>
          <w:iCs/>
        </w:rPr>
        <w:t>Educational Research</w:t>
      </w:r>
      <w:r>
        <w:t>, </w:t>
      </w:r>
      <w:r>
        <w:rPr>
          <w:i/>
          <w:iCs/>
        </w:rPr>
        <w:t>62</w:t>
      </w:r>
      <w:r>
        <w:t>(1), pp.46-62.</w:t>
      </w:r>
    </w:p>
    <w:p w14:paraId="4B248D75" w14:textId="77777777" w:rsidR="00A568CC" w:rsidRDefault="00A568CC" w:rsidP="00A568CC">
      <w:pPr>
        <w:spacing w:line="360" w:lineRule="auto"/>
        <w:rPr>
          <w:rFonts w:cs="Arial"/>
          <w:szCs w:val="24"/>
        </w:rPr>
      </w:pPr>
      <w:r>
        <w:rPr>
          <w:rFonts w:cs="Arial"/>
          <w:szCs w:val="24"/>
        </w:rPr>
        <w:t xml:space="preserve">ResearchGate., (2023) Reflection and peer assessment to promote self-directed learning in higher education. [online] available at: </w:t>
      </w:r>
      <w:hyperlink r:id="rId7" w:history="1">
        <w:r>
          <w:rPr>
            <w:rStyle w:val="Hyperlink"/>
            <w:rFonts w:cs="Arial"/>
            <w:szCs w:val="24"/>
          </w:rPr>
          <w:t>https://www.researchgate.net/figure/Gibbs-reflective-cycle-Adapted-from-Gibbs-1988_fig1_371536633</w:t>
        </w:r>
      </w:hyperlink>
    </w:p>
    <w:p w14:paraId="5453B052" w14:textId="77777777" w:rsidR="00A568CC" w:rsidRPr="00A568CC" w:rsidRDefault="00A568CC" w:rsidP="00A568CC">
      <w:pPr>
        <w:spacing w:line="360" w:lineRule="auto"/>
      </w:pPr>
      <w:r>
        <w:rPr>
          <w:rFonts w:cs="Arial"/>
          <w:color w:val="222222"/>
          <w:szCs w:val="24"/>
          <w:shd w:val="clear" w:color="auto" w:fill="FFFFFF"/>
        </w:rPr>
        <w:t>Swanson, E., Kim, S., Lee, S.M., Yang, J.J. and Lee, Y.K., (2020) The effect of leader competencies on knowledge sharing and job performance: Social capital theory. </w:t>
      </w:r>
      <w:r>
        <w:rPr>
          <w:i/>
          <w:iCs/>
        </w:rPr>
        <w:t>Journal of Hospitality and Tourism Management</w:t>
      </w:r>
      <w:r>
        <w:t>, </w:t>
      </w:r>
      <w:r>
        <w:rPr>
          <w:i/>
          <w:iCs/>
        </w:rPr>
        <w:t>42</w:t>
      </w:r>
      <w:r>
        <w:t>, pp.88-96.</w:t>
      </w:r>
    </w:p>
    <w:sectPr w:rsidR="00A568CC" w:rsidRPr="00A568C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4666"/>
    <w:rsid w:val="0012449F"/>
    <w:rsid w:val="00144666"/>
    <w:rsid w:val="002722E1"/>
    <w:rsid w:val="00297035"/>
    <w:rsid w:val="00395B1A"/>
    <w:rsid w:val="00437D2C"/>
    <w:rsid w:val="00495D28"/>
    <w:rsid w:val="005C4DD1"/>
    <w:rsid w:val="00751FF1"/>
    <w:rsid w:val="00842443"/>
    <w:rsid w:val="00872E70"/>
    <w:rsid w:val="00942D9C"/>
    <w:rsid w:val="009815E5"/>
    <w:rsid w:val="00A568CC"/>
    <w:rsid w:val="00AC5F9A"/>
    <w:rsid w:val="00B903D1"/>
    <w:rsid w:val="00CD7143"/>
    <w:rsid w:val="00D85930"/>
    <w:rsid w:val="00E22F11"/>
    <w:rsid w:val="00E64E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19B46D"/>
  <w15:chartTrackingRefBased/>
  <w15:docId w15:val="{71093E21-5A21-4AC7-9CB2-C645B15C8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7143"/>
    <w:pPr>
      <w:jc w:val="both"/>
    </w:pPr>
    <w:rPr>
      <w:rFonts w:ascii="Arial" w:hAnsi="Arial"/>
      <w:sz w:val="24"/>
    </w:rPr>
  </w:style>
  <w:style w:type="paragraph" w:styleId="Heading1">
    <w:name w:val="heading 1"/>
    <w:basedOn w:val="Normal"/>
    <w:next w:val="Normal"/>
    <w:link w:val="Heading1Char"/>
    <w:uiPriority w:val="9"/>
    <w:qFormat/>
    <w:rsid w:val="00CD7143"/>
    <w:pPr>
      <w:keepNext/>
      <w:keepLines/>
      <w:spacing w:before="120" w:after="12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942D9C"/>
    <w:pPr>
      <w:keepNext/>
      <w:keepLines/>
      <w:spacing w:before="160" w:after="12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semiHidden/>
    <w:unhideWhenUsed/>
    <w:qFormat/>
    <w:rsid w:val="00842443"/>
    <w:pPr>
      <w:keepNext/>
      <w:keepLines/>
      <w:spacing w:before="160" w:after="12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7143"/>
    <w:rPr>
      <w:rFonts w:ascii="Arial" w:eastAsiaTheme="majorEastAsia" w:hAnsi="Arial" w:cstheme="majorBidi"/>
      <w:b/>
      <w:color w:val="2E74B5" w:themeColor="accent1" w:themeShade="BF"/>
      <w:sz w:val="32"/>
      <w:szCs w:val="32"/>
    </w:rPr>
  </w:style>
  <w:style w:type="character" w:customStyle="1" w:styleId="Heading2Char">
    <w:name w:val="Heading 2 Char"/>
    <w:basedOn w:val="DefaultParagraphFont"/>
    <w:link w:val="Heading2"/>
    <w:uiPriority w:val="9"/>
    <w:rsid w:val="00942D9C"/>
    <w:rPr>
      <w:rFonts w:ascii="Arial" w:eastAsiaTheme="majorEastAsia" w:hAnsi="Arial" w:cstheme="majorBidi"/>
      <w:b/>
      <w:color w:val="2E74B5" w:themeColor="accent1" w:themeShade="BF"/>
      <w:sz w:val="26"/>
      <w:szCs w:val="26"/>
    </w:rPr>
  </w:style>
  <w:style w:type="character" w:customStyle="1" w:styleId="Heading3Char">
    <w:name w:val="Heading 3 Char"/>
    <w:basedOn w:val="DefaultParagraphFont"/>
    <w:link w:val="Heading3"/>
    <w:uiPriority w:val="9"/>
    <w:semiHidden/>
    <w:rsid w:val="00842443"/>
    <w:rPr>
      <w:rFonts w:ascii="Arial" w:eastAsiaTheme="majorEastAsia" w:hAnsi="Arial" w:cstheme="majorBidi"/>
      <w:b/>
      <w:color w:val="1F4D78" w:themeColor="accent1" w:themeShade="7F"/>
      <w:sz w:val="24"/>
      <w:szCs w:val="24"/>
    </w:rPr>
  </w:style>
  <w:style w:type="paragraph" w:styleId="NormalWeb">
    <w:name w:val="Normal (Web)"/>
    <w:basedOn w:val="Normal"/>
    <w:uiPriority w:val="99"/>
    <w:unhideWhenUsed/>
    <w:rsid w:val="00E64E36"/>
    <w:pPr>
      <w:spacing w:before="100" w:beforeAutospacing="1" w:after="100" w:afterAutospacing="1" w:line="240" w:lineRule="auto"/>
      <w:jc w:val="left"/>
    </w:pPr>
    <w:rPr>
      <w:rFonts w:ascii="Times New Roman" w:eastAsia="Times New Roman" w:hAnsi="Times New Roman" w:cs="Times New Roman"/>
      <w:szCs w:val="24"/>
    </w:rPr>
  </w:style>
  <w:style w:type="character" w:styleId="Hyperlink">
    <w:name w:val="Hyperlink"/>
    <w:basedOn w:val="DefaultParagraphFont"/>
    <w:uiPriority w:val="99"/>
    <w:unhideWhenUsed/>
    <w:rsid w:val="00A568CC"/>
    <w:rPr>
      <w:color w:val="0563C1" w:themeColor="hyperlink"/>
      <w:u w:val="single"/>
    </w:rPr>
  </w:style>
  <w:style w:type="paragraph" w:styleId="TOCHeading">
    <w:name w:val="TOC Heading"/>
    <w:basedOn w:val="Heading1"/>
    <w:next w:val="Normal"/>
    <w:uiPriority w:val="39"/>
    <w:unhideWhenUsed/>
    <w:qFormat/>
    <w:rsid w:val="00A568CC"/>
    <w:pPr>
      <w:spacing w:before="240" w:after="0"/>
      <w:jc w:val="left"/>
      <w:outlineLvl w:val="9"/>
    </w:pPr>
    <w:rPr>
      <w:rFonts w:asciiTheme="majorHAnsi" w:hAnsiTheme="majorHAnsi"/>
      <w:b w:val="0"/>
    </w:rPr>
  </w:style>
  <w:style w:type="paragraph" w:styleId="TOC1">
    <w:name w:val="toc 1"/>
    <w:basedOn w:val="Normal"/>
    <w:next w:val="Normal"/>
    <w:autoRedefine/>
    <w:uiPriority w:val="39"/>
    <w:unhideWhenUsed/>
    <w:rsid w:val="00A568CC"/>
    <w:pPr>
      <w:spacing w:after="100"/>
    </w:pPr>
  </w:style>
  <w:style w:type="paragraph" w:styleId="TOC2">
    <w:name w:val="toc 2"/>
    <w:basedOn w:val="Normal"/>
    <w:next w:val="Normal"/>
    <w:autoRedefine/>
    <w:uiPriority w:val="39"/>
    <w:unhideWhenUsed/>
    <w:rsid w:val="00A568C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167466">
      <w:bodyDiv w:val="1"/>
      <w:marLeft w:val="0"/>
      <w:marRight w:val="0"/>
      <w:marTop w:val="0"/>
      <w:marBottom w:val="0"/>
      <w:divBdr>
        <w:top w:val="none" w:sz="0" w:space="0" w:color="auto"/>
        <w:left w:val="none" w:sz="0" w:space="0" w:color="auto"/>
        <w:bottom w:val="none" w:sz="0" w:space="0" w:color="auto"/>
        <w:right w:val="none" w:sz="0" w:space="0" w:color="auto"/>
      </w:divBdr>
    </w:div>
    <w:div w:id="451024020">
      <w:bodyDiv w:val="1"/>
      <w:marLeft w:val="0"/>
      <w:marRight w:val="0"/>
      <w:marTop w:val="0"/>
      <w:marBottom w:val="0"/>
      <w:divBdr>
        <w:top w:val="none" w:sz="0" w:space="0" w:color="auto"/>
        <w:left w:val="none" w:sz="0" w:space="0" w:color="auto"/>
        <w:bottom w:val="none" w:sz="0" w:space="0" w:color="auto"/>
        <w:right w:val="none" w:sz="0" w:space="0" w:color="auto"/>
      </w:divBdr>
    </w:div>
    <w:div w:id="1288047299">
      <w:bodyDiv w:val="1"/>
      <w:marLeft w:val="0"/>
      <w:marRight w:val="0"/>
      <w:marTop w:val="0"/>
      <w:marBottom w:val="0"/>
      <w:divBdr>
        <w:top w:val="none" w:sz="0" w:space="0" w:color="auto"/>
        <w:left w:val="none" w:sz="0" w:space="0" w:color="auto"/>
        <w:bottom w:val="none" w:sz="0" w:space="0" w:color="auto"/>
        <w:right w:val="none" w:sz="0" w:space="0" w:color="auto"/>
      </w:divBdr>
    </w:div>
    <w:div w:id="1794597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researchgate.net/figure/Gibbs-reflective-cycle-Adapted-from-Gibbs-1988_fig1_371536633"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image" Target="media/image2.jpeg" /><Relationship Id="rId5" Type="http://schemas.openxmlformats.org/officeDocument/2006/relationships/image" Target="media/image1.jpeg"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98CFF9-6011-4CA6-9885-6534825D2B7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2651</Words>
  <Characters>16765</Characters>
  <Application>Microsoft Office Word</Application>
  <DocSecurity>0</DocSecurity>
  <Lines>139</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Gabriela Coteneanu</cp:lastModifiedBy>
  <cp:revision>2</cp:revision>
  <dcterms:created xsi:type="dcterms:W3CDTF">2023-12-23T13:43:00Z</dcterms:created>
  <dcterms:modified xsi:type="dcterms:W3CDTF">2023-12-23T13:43:00Z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d478e192-697b-4c51-961a-80b5d971ddd5</vt:lpwstr>
  </property>
</Properties>
</file>