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479CCD" w14:textId="77777777" w:rsidR="00B4148B" w:rsidRDefault="00501642">
      <w:pPr>
        <w:spacing w:after="240"/>
      </w:pPr>
      <w:r>
        <w:t xml:space="preserve">Essay: Measles </w:t>
      </w:r>
    </w:p>
    <w:p w14:paraId="13575D56" w14:textId="77777777" w:rsidR="00B4148B" w:rsidRDefault="00501642">
      <w:pPr>
        <w:spacing w:before="240" w:after="240"/>
      </w:pPr>
      <w:r>
        <w:t xml:space="preserve">[Sharon Roberts- 2114727] </w:t>
      </w:r>
    </w:p>
    <w:p w14:paraId="19A45F32" w14:textId="3B4C26D7" w:rsidR="00B4148B" w:rsidRDefault="00B4148B">
      <w:pPr>
        <w:spacing w:before="240" w:after="240"/>
      </w:pPr>
    </w:p>
    <w:p w14:paraId="51E4C86C" w14:textId="77777777" w:rsidR="00B4148B" w:rsidRDefault="00501642">
      <w:pPr>
        <w:spacing w:before="240" w:after="240"/>
      </w:pPr>
      <w:r>
        <w:t xml:space="preserve">Measles </w:t>
      </w:r>
    </w:p>
    <w:p w14:paraId="50E9A71B" w14:textId="45FAD6AC" w:rsidR="00B4148B" w:rsidRDefault="00501642" w:rsidP="003D118F">
      <w:pPr>
        <w:spacing w:before="240" w:after="240" w:line="360" w:lineRule="auto"/>
      </w:pPr>
      <w:r>
        <w:t>Communicable diseases are illnesses caused by the infection, presence, and growth of pathogenic (disease-causing) biological agents in a single human or another animal host. Measles is also a highly contagious disease that affects both children and adults</w:t>
      </w:r>
      <w:r w:rsidR="00F3455D">
        <w:t xml:space="preserve">, and it is transmitted through </w:t>
      </w:r>
      <w:r w:rsidR="00F3455D" w:rsidRPr="00F3455D">
        <w:t>coughing and sneezing</w:t>
      </w:r>
      <w:r>
        <w:t>. Infected mucus and saliva are spread by contact. When a virus-infected particle flies through the air and hits something, it can infect anyone who comes in contact with it. Children, especially those who have not been vaccinated, are more susceptible to illness. Common symptoms of measles are rash, watery eyes, dry cough and fever. It can take up to a week for the virus to take hold of the body</w:t>
      </w:r>
      <w:r w:rsidR="00F3455D">
        <w:t xml:space="preserve"> (Hall et al., 2017)</w:t>
      </w:r>
      <w:r>
        <w:t xml:space="preserve">. Thus, it is possible that symptoms do not appear for a while (Thornton, 2019). The mortality rate due to infection is 0.1 to 0.2 %. It is therefore recommended that a person get vaccinated to stay safe (Plans-Rubió, 2019). People with the measles virus should avoid close contact with other people to prevent the spread of the disease and the contamination of parts. When doctors are aware of a patient's symptoms, they can usually rule out measles as the cause of his condition. </w:t>
      </w:r>
      <w:r w:rsidR="00F3455D">
        <w:t>Measles can cause some problems</w:t>
      </w:r>
      <w:r>
        <w:t xml:space="preserve">, such as otitis media being as severe as brain damage (Düx et al., 2020). After a person gets measles, they are immune to it all the person's life (Plans-Rubió, 2019). </w:t>
      </w:r>
    </w:p>
    <w:p w14:paraId="2EBCA8C7" w14:textId="2C9E67BC" w:rsidR="00B4148B" w:rsidRDefault="00501642">
      <w:pPr>
        <w:spacing w:before="240" w:after="240"/>
      </w:pPr>
      <w:r w:rsidRPr="00465D52">
        <w:t>The measles virus takes nine to fourteen days to infect and create symptoms. The rash is the most visible sign of measles. Only redness and irritation are present (Laksono et al., 2018). The rash goes typically away in seven days. A rash may appear three to four days following viral contact (Guerra et al., 2017). In two to three days, the rash spreads to other body regions (Angelo et al., 2019). The rash's red patches continue to expand and mix, causing irritation and swelling.</w:t>
      </w:r>
      <w:r>
        <w:t xml:space="preserve"> </w:t>
      </w:r>
      <w:r w:rsidR="00E35396">
        <w:t xml:space="preserve">As it gets worse, the rash becomes reddish. Measles rash can be </w:t>
      </w:r>
      <w:r w:rsidR="498004B3">
        <w:t>extremely</w:t>
      </w:r>
      <w:r w:rsidR="00E35396">
        <w:t xml:space="preserve"> dangerous and increase the chances of getting the disease (Orenstein et al., 2018). If a person suspects a person may have measles, a person should seek medical advice immediately. </w:t>
      </w:r>
    </w:p>
    <w:p w14:paraId="0930F8A4" w14:textId="61C46F1A" w:rsidR="00745314" w:rsidRDefault="00501642">
      <w:pPr>
        <w:spacing w:before="240" w:after="240"/>
      </w:pPr>
      <w:r>
        <w:t>Contact with a person infected with the virus causes highly contagious measles (Plans-Rubió, 2019). The measles virus can live on the surface for many hours before spreading</w:t>
      </w:r>
      <w:r w:rsidR="000F3044">
        <w:t xml:space="preserve"> </w:t>
      </w:r>
      <w:r w:rsidR="000F3044" w:rsidRPr="000F3044">
        <w:t>mucus and saliva, and the measles virus can live on surfaces for many hours.</w:t>
      </w:r>
      <w:r>
        <w:t xml:space="preserve"> Although measles is often linked to children, measles can affect anyone at any age (Hall et al., 2017). As a local disease, measles is widespread, and the human immune system can fight it. People who become infected with the virus and never have measles are at risk of death or severe illness (Leung et al., 2018). </w:t>
      </w:r>
    </w:p>
    <w:p w14:paraId="6B573EC7" w14:textId="6CB6D7B4" w:rsidR="00745314" w:rsidRDefault="00501642">
      <w:pPr>
        <w:spacing w:before="240" w:after="240"/>
      </w:pPr>
      <w:r w:rsidRPr="00745314">
        <w:t xml:space="preserve">It is critical to understand the symptoms of measles and the several treatments and preventions available. Fever is another indication of the measles virus that should be avoided. A person's temperature may be elevated or decreased, and as the rash spreads, the temperature may fall before returning to normal (Mina et al., 2019). Runny nose, body aches, weariness, lack of appetite, </w:t>
      </w:r>
      <w:r w:rsidR="537331AA">
        <w:t>diarrhea</w:t>
      </w:r>
      <w:r w:rsidRPr="00745314">
        <w:t xml:space="preserve">, vomiting, cough, and sore throat are all possible symptoms of measles. Additionally, a person who has measles may be light sensitive. Eye inflammation is a frequent sign of measles (Hernandez et al., 2019). Additionally, click spots develop on the lips, cheeks, and throat, which are measles symptoms. Brownish pallor and a hesitant look </w:t>
      </w:r>
      <w:r w:rsidR="12BFA07F">
        <w:t>characterize</w:t>
      </w:r>
      <w:r w:rsidRPr="00745314">
        <w:t xml:space="preserve"> mouth patches (Patel et al., 2020).</w:t>
      </w:r>
    </w:p>
    <w:p w14:paraId="37ACA022" w14:textId="196FA69B" w:rsidR="00B4148B" w:rsidRDefault="00501642">
      <w:pPr>
        <w:spacing w:before="240" w:after="240"/>
      </w:pPr>
      <w:r>
        <w:t xml:space="preserve">Unvaccinated individuals are at risk of developing measles if they contact an infected individual or have not been vaccinated. For instance, a person has not received the measles vaccine and live with someone who has received it, the chances of getting measles increase by 90 per cent. </w:t>
      </w:r>
      <w:r w:rsidR="00745314" w:rsidRPr="00745314">
        <w:t>Contact with an infected individual spreads measles (Cutts et al., 2021). Anyone who comes into touch with a sick individual will get infected. Uninfected persons may get the virus by handling contaminated surfaces and then putting their hands in their mouths, wiping their noses or mouths, or touching their eyes (World Health Organization, 2017). This is known as cross-contamination. Coughing or sneezing on an infected individual in the presence of people who are not afflicted with the sickness may also spread the disease (Dabbagh et al., 2018).</w:t>
      </w:r>
    </w:p>
    <w:p w14:paraId="70BA93ED" w14:textId="472347C4" w:rsidR="00B4148B" w:rsidRDefault="00501642">
      <w:pPr>
        <w:spacing w:before="240" w:after="240"/>
      </w:pPr>
      <w:r>
        <w:t xml:space="preserve">Only a few scenarios require the use of herd immunity. High immunity can only be conferred by pathogens inherent in only one host species (Patel et al., 2019). Epidemics are the result of the arbitrary mixing of people. The vulnerable tend to congregate in groups according to age, ethnicity and socioeconomic status in free societies. Regardless of the general level of immunity in a community, epidemics require many susceptible people to be present. Measles is an excellent description of these problems (Hviid et al., 2019). In the United Kingdom, measles is still thought to occur in unvaccinated people who live in poor social and economic conditions, are very young, or have religious beliefs that prevent them from being vaccinated (Paules, Marston and Fauci, 2019). The ultimate goal of a community-wide vaccination campaign is to reduce the risk of infection in the community as a whole, not just its subgroup. </w:t>
      </w:r>
    </w:p>
    <w:p w14:paraId="6EA63788" w14:textId="4F5EA966" w:rsidR="00B4148B" w:rsidRDefault="00501642">
      <w:pPr>
        <w:spacing w:before="240" w:after="240"/>
      </w:pPr>
      <w:r>
        <w:t xml:space="preserve">The best way to avoid getting the measles virus is MMR vaccination. The MMR vaccine prevents measles, mumps and rubella. Measles vaccines can be effective in preventing the spread of infection. MMR vaccination can be given to infants up to one year of age. Repeated dosing is possible from 4-6 years of age (Cutts et al., 2021). </w:t>
      </w:r>
    </w:p>
    <w:p w14:paraId="0BE9CEF5" w14:textId="226D6118" w:rsidR="00B4148B" w:rsidRDefault="00501642">
      <w:pPr>
        <w:spacing w:before="240" w:after="240"/>
      </w:pPr>
      <w:r>
        <w:t xml:space="preserve">While measles cases have increased in recent years, the MMR vaccine has kept the illness at bay in the United Kingdom. Prior to 1968, hundreds of thousands of incidents occurred each year. The healthcare system is made tremendous progress in limiting measles outbreaks and expanding MMR vaccination coverage. Measures to maintain and expand MMR vaccination coverage are included in the NHS Long Term Plan. Improved local collaboration may also help to increase vaccine coverage in each region by concentrating on low-uptake populations. MMR screening for children aged 10 and 11 is now covered in the GP contract (Ghebrehewet et al., 2016). </w:t>
      </w:r>
    </w:p>
    <w:p w14:paraId="32C2C643" w14:textId="222F1689" w:rsidR="00B4148B" w:rsidRDefault="00501642">
      <w:pPr>
        <w:spacing w:before="240" w:after="240"/>
      </w:pPr>
      <w:r>
        <w:t>The most current Government Green Paper on preventi</w:t>
      </w:r>
      <w:r w:rsidR="00745314">
        <w:t>on</w:t>
      </w:r>
      <w:r>
        <w:t xml:space="preserve">, in addition to the existing Measles and Rubella Elimination Strategy, advised </w:t>
      </w:r>
      <w:r w:rsidR="2A9CC3AD">
        <w:t>immunization</w:t>
      </w:r>
      <w:r w:rsidR="22728E03">
        <w:t>.</w:t>
      </w:r>
      <w:r>
        <w:t xml:space="preserve"> This comprehensive plan will be released in the fall by the Department of Health and Social Care. PHE is initiating a public-facing campaign called The Value of Vaccines to raise awareness about the significance of </w:t>
      </w:r>
      <w:r w:rsidR="7800BC81">
        <w:t>immunization</w:t>
      </w:r>
      <w:r>
        <w:t xml:space="preserve">, especially the MMR vaccine. Maintaining and enhancing MMR coverage is crucial for eradication (Ghebrehewet et al., 2016). The status of elimination reintroduces the requirement for </w:t>
      </w:r>
      <w:r w:rsidR="30CFED0C">
        <w:t>immunization</w:t>
      </w:r>
      <w:r>
        <w:t xml:space="preserve"> for all eligible individuals. It is a perfect moment to educate people about the dangers of measles, the necessity of vaccination, and the need of reporting suspicious cases as soon as possible. </w:t>
      </w:r>
    </w:p>
    <w:p w14:paraId="753CD7B8" w14:textId="77777777" w:rsidR="00B4148B" w:rsidRDefault="00501642">
      <w:pPr>
        <w:spacing w:before="240" w:after="240"/>
      </w:pPr>
      <w:r>
        <w:t xml:space="preserve">Unvaccinated adults can do this at any time under the supervision of a doctor. Pregnant women or women who could become pregnant should not be vaccinated. Given the prevalence of measles and the lack of specific vaccine treatments, avoiding the disease is the best way to stay healthy (Orenstein et al., 2018). It is achieved through vaccination, which makes it impossible to get the measles virus. </w:t>
      </w:r>
    </w:p>
    <w:p w14:paraId="49B8AD0D" w14:textId="77777777" w:rsidR="00745314" w:rsidRDefault="00501642">
      <w:r>
        <w:br w:type="page"/>
      </w:r>
    </w:p>
    <w:p w14:paraId="606E24E6" w14:textId="6BD4471A" w:rsidR="00B4148B" w:rsidRDefault="00501642">
      <w:pPr>
        <w:spacing w:before="240" w:after="240"/>
      </w:pPr>
      <w:r>
        <w:t xml:space="preserve">References </w:t>
      </w:r>
    </w:p>
    <w:p w14:paraId="184F288B" w14:textId="77777777" w:rsidR="00745314" w:rsidRDefault="00501642">
      <w:pPr>
        <w:spacing w:before="240" w:after="240"/>
      </w:pPr>
      <w:r>
        <w:t xml:space="preserve">Angelo, K.M., Gastañaduy, P.A., Walker, A.T., Patel, M., Reef, S., Lee, C.V. and Nemhauser, J., 2019. Spread of measles in Europe and implications for US travellers. Pediatrics, 144(1). </w:t>
      </w:r>
    </w:p>
    <w:p w14:paraId="2FD32D0C" w14:textId="77777777" w:rsidR="00745314" w:rsidRDefault="00501642">
      <w:pPr>
        <w:spacing w:before="240" w:after="240"/>
      </w:pPr>
      <w:r>
        <w:t xml:space="preserve">Cutts, F.T., Ferrari, M.J., Krause, L.K., Tatem, A.J. and Mosser, J.F., 2021. Vaccination strategies for measles control and elimination: time to strengthen local initiatives. BMC medicine, 19(1), pp.1-8. </w:t>
      </w:r>
    </w:p>
    <w:p w14:paraId="5373E2F3" w14:textId="77777777" w:rsidR="00745314" w:rsidRDefault="00501642">
      <w:pPr>
        <w:spacing w:before="240" w:after="240"/>
      </w:pPr>
      <w:r>
        <w:t xml:space="preserve">Dabbagh, A., Laws, R.L., Steulet, C., Dumolard, L., Mulders, MN, Kretsinger, K., Alexander, J.P., Rota, P.A. and Goodson, J.L., 2018. Progress toward regional measles elimination—worldwide, 2000–2017. Morbidity and Mortality Weekly Report, 67(47), p.1323. </w:t>
      </w:r>
    </w:p>
    <w:p w14:paraId="1FD669F5" w14:textId="77777777" w:rsidR="00745314" w:rsidRDefault="00501642">
      <w:pPr>
        <w:spacing w:before="240" w:after="240"/>
      </w:pPr>
      <w:r>
        <w:t xml:space="preserve">Düx, A., Lequime, S., Patrono, L.V., Vrancken, B., Boral, S., Gogarten, J.F., Hilbig, A., Horst, D., Merkel, K., Prepoint, B. and Santibanez, S., 2020. Measles virus and rinderpest virus divergence dated to the sixth century BCE. Science, 368(6497), pp.1367-1370. </w:t>
      </w:r>
    </w:p>
    <w:p w14:paraId="7FABA222" w14:textId="77777777" w:rsidR="00745314" w:rsidRDefault="00501642">
      <w:pPr>
        <w:spacing w:before="240" w:after="240"/>
      </w:pPr>
      <w:r>
        <w:t xml:space="preserve">Ghebrehewet, S., Thorrington, D., Farmer, S., Kearney, J., Blissett, D., McLeod, H. and Keenan, A., 2016. The economic cost of measles: healthcare, public health and societal costs of the 2012–13 outbreak in Merseyside, UK. Vaccine, 34(15), pp.1823-1831. </w:t>
      </w:r>
    </w:p>
    <w:p w14:paraId="7677F326" w14:textId="77777777" w:rsidR="00745314" w:rsidRDefault="00501642">
      <w:pPr>
        <w:spacing w:before="240" w:after="240"/>
      </w:pPr>
      <w:r>
        <w:t xml:space="preserve">Griffin, D.E., 2018. Measles vaccine. Viral immunology, 31(2), pp.86-95. </w:t>
      </w:r>
    </w:p>
    <w:p w14:paraId="72B8024C" w14:textId="63C471A5" w:rsidR="00745314" w:rsidRDefault="00501642">
      <w:pPr>
        <w:spacing w:before="240" w:after="240"/>
      </w:pPr>
      <w:r>
        <w:t xml:space="preserve">Guerra, F.M., Bolotin, S., Lim, G., Heffernan, J., </w:t>
      </w:r>
      <w:r w:rsidR="3C440F41">
        <w:t>Deeks'</w:t>
      </w:r>
      <w:r>
        <w:t xml:space="preserve">, S.L., Li, Y. and Crowcroft, N.S., 2017. The primary reproduction number (R0) of measles: a systematic review. The Lancet Infectious Diseases, 17(12), pp.e420-e428. </w:t>
      </w:r>
    </w:p>
    <w:p w14:paraId="183D0371" w14:textId="320EA92B" w:rsidR="00745314" w:rsidRDefault="00501642">
      <w:pPr>
        <w:spacing w:before="240" w:after="240"/>
      </w:pPr>
      <w:r>
        <w:t>Hall, V., Banerjee, E., Kenyon, C., Strain, A., Griffith, J., Como-Sabetti, K., Heath, J., Bahta, L., Martin, K., McMahon, M. and Johnson, D., 2017. Measles outbreak—Minnesota April–</w:t>
      </w:r>
      <w:r w:rsidR="7E19B6E2">
        <w:t>May</w:t>
      </w:r>
      <w:r>
        <w:t xml:space="preserve"> 2017. MMWR. Morbidity and mortality weekly report, 66(27), p.713. </w:t>
      </w:r>
    </w:p>
    <w:p w14:paraId="77B9B3D4" w14:textId="77777777" w:rsidR="00745314" w:rsidRDefault="00501642">
      <w:pPr>
        <w:spacing w:before="240" w:after="240"/>
      </w:pPr>
      <w:r>
        <w:t xml:space="preserve">Hernandez, N., Bucciol, G., Moens, L., Le Pen, J., Shahrooei, M., Goudouris, E., Shirkani, A., Changi-Ashtiani, M., Rokni-Zadeh, H., Sayar, E.H. and Reisli, I., 2019. Inherited IFNAR1 deficiency in otherwise healthy patients with adverse reaction to measles and yellow fever live vaccines. The Journal of experimental medicine, 216(9), pp.2057-2070. </w:t>
      </w:r>
    </w:p>
    <w:p w14:paraId="2A34CB8C" w14:textId="77777777" w:rsidR="00745314" w:rsidRDefault="00501642">
      <w:pPr>
        <w:spacing w:before="240" w:after="240"/>
      </w:pPr>
      <w:r>
        <w:t xml:space="preserve">Hörner, C., Schürmann, C., Auste, A., Ebenig, A., Muraleedharan, S., Dinnon, K.H., Scholz, T., Herrmann, M., Schnierle, B.S., Baric, R.S. and Mühlebach, M.D., 2020. A highly immunogenic and effective measles virus-based Th1-biased COVID-19 vaccine. Proceedings of the National Academy of Sciences, 117(51), pp.32657-32666. </w:t>
      </w:r>
    </w:p>
    <w:p w14:paraId="46717354" w14:textId="77777777" w:rsidR="00745314" w:rsidRDefault="00501642">
      <w:pPr>
        <w:spacing w:before="240" w:after="240"/>
      </w:pPr>
      <w:r>
        <w:t xml:space="preserve">Hviid, A., Hansen, J.V., Frisch, M. and Melbye, M., 2019. Measles, mumps, rubella vaccination and autism: a nationwide cohort study. Annals of internal medicine, 170(8), pp.513-520. </w:t>
      </w:r>
    </w:p>
    <w:p w14:paraId="09624392" w14:textId="77777777" w:rsidR="00745314" w:rsidRDefault="00501642">
      <w:pPr>
        <w:spacing w:before="240" w:after="240"/>
      </w:pPr>
      <w:r>
        <w:t xml:space="preserve">Laksono, B.M., de Vries, R.D., Verburgh, R.J., Visser, E.G., de Jong, A., Fraaij, P.L., Ruijs, W.L., Nieuwenhuijse, D.F., van den Ham, H.J., Koopmans, M.P. and van Zelm, M.C., 2018. Studies into the mechanism of measles-associated immune suppression during a measles outbreak in the Netherlands. Nature communications, 9(1), pp.1-10. </w:t>
      </w:r>
    </w:p>
    <w:p w14:paraId="19C6FAA7" w14:textId="77777777" w:rsidR="00745314" w:rsidRDefault="00501642">
      <w:pPr>
        <w:spacing w:before="240" w:after="240"/>
      </w:pPr>
      <w:r>
        <w:t xml:space="preserve">Leung, A.K., Hon, K.L., Leong, K.F. and Sergi, C.M., 2018. Measles: a disease often forgotten but not gone. Hong Kong Med J, 24(5), pp.512-20. </w:t>
      </w:r>
    </w:p>
    <w:p w14:paraId="018A9E81" w14:textId="77777777" w:rsidR="00745314" w:rsidRDefault="00501642">
      <w:pPr>
        <w:spacing w:before="240" w:after="240"/>
      </w:pPr>
      <w:r>
        <w:t xml:space="preserve">Mina, M.J., Kula, T., Leng, Y., Li, M., De Vries, R.D., Knip, M., Siljander, H., Rewers, M., Choy, D.F., Wilson, M.S. and Larman, H.B., 2019. Measles virus infection diminishes preexisting antibodies that offer protection from other pathogens. Science, 366(6465), pp.599-606. </w:t>
      </w:r>
    </w:p>
    <w:p w14:paraId="3DEF796E" w14:textId="77777777" w:rsidR="00745314" w:rsidRDefault="00501642">
      <w:pPr>
        <w:spacing w:before="240" w:after="240"/>
      </w:pPr>
      <w:r>
        <w:t xml:space="preserve">Orenstein, W.A., Hinman, A., Nkowane, B., Olive, J.M. and Reingold, A., 2018. Measles and rubella global strategic plan 2012–2020 midterm review. Vaccine, 36, pp.A1-A34. </w:t>
      </w:r>
    </w:p>
    <w:p w14:paraId="27123E24" w14:textId="77777777" w:rsidR="00745314" w:rsidRDefault="00501642">
      <w:pPr>
        <w:spacing w:before="240" w:after="240"/>
      </w:pPr>
      <w:r>
        <w:t xml:space="preserve">Patel, M., 2019. Increase in measles cases—United States, January 1–April 26, 2019. MMWR. Morbidity and mortality weekly report, 68. </w:t>
      </w:r>
    </w:p>
    <w:p w14:paraId="01E6AD78" w14:textId="77777777" w:rsidR="00745314" w:rsidRDefault="00501642">
      <w:pPr>
        <w:spacing w:before="240" w:after="240"/>
      </w:pPr>
      <w:r>
        <w:t xml:space="preserve">Patel, M., Lee, A.D., Clemmons, N.S., Redd, S.B., Poser, S., Blog, D., Zucker, J.R., Leung, J., Link-Gelles, R., Pham, H. and Arciuolo, R.J., 2019. National update on measles cases and outbreaks—United States, January 1–October 1, 2019. Morbidity and Mortality Weekly Report, 68(40), p.893. </w:t>
      </w:r>
    </w:p>
    <w:p w14:paraId="09998587" w14:textId="77777777" w:rsidR="00745314" w:rsidRDefault="00501642">
      <w:pPr>
        <w:spacing w:before="240" w:after="240"/>
      </w:pPr>
      <w:r>
        <w:t xml:space="preserve">Patel, M.K., Dumolard, L., Nedelec, Y., Sodha, S.V., Steulet, C., Gacic-Dobo, M., Kretsinger, K., McFarland, J., Rota, P.A. and Goodson, J.L., 2019. Progress toward regional measles elimination—worldwide, 2000–2018. Morbidity and Mortality Weekly Report, 68(48), p.1105. </w:t>
      </w:r>
    </w:p>
    <w:p w14:paraId="61A4309C" w14:textId="77777777" w:rsidR="00745314" w:rsidRDefault="00501642">
      <w:pPr>
        <w:spacing w:before="240" w:after="240"/>
      </w:pPr>
      <w:r>
        <w:t xml:space="preserve">Patel, M.K., Goodson, J.L., Alexander Jr, JP, Kretsinger, K., Sodha, S.V., Steulet, C., Gacic-Dobo, M., Rota, P.A., McFarland, J., Menning, L. and Mulders, MN, 2020. Progress toward regional measles elimination—worldwide, 2000–2019. Morbidity and Mortality Weekly Report, 69(45), p.1700. </w:t>
      </w:r>
    </w:p>
    <w:p w14:paraId="72E9B3B7" w14:textId="77777777" w:rsidR="00745314" w:rsidRDefault="00501642">
      <w:pPr>
        <w:spacing w:before="240" w:after="240"/>
      </w:pPr>
      <w:r>
        <w:t xml:space="preserve">Paules, C.I., Marston, H.D. and Fauci, A.S., 2019. Measles in 2019—going backward. New England Journal of Medicine, 380(23), pp.2185-2187. </w:t>
      </w:r>
    </w:p>
    <w:p w14:paraId="0AA06959" w14:textId="77777777" w:rsidR="00745314" w:rsidRDefault="00501642">
      <w:pPr>
        <w:spacing w:before="240" w:after="240"/>
      </w:pPr>
      <w:r>
        <w:t xml:space="preserve">Plans-Rubió, P., 2019. Low percentages of measles vaccination coverage with two doses of vaccine and low herd immunity levels explain measles incidence and persistence of measles in the European Union in 2017–2018. European Journal of Clinical Microbiology &amp; Infectious Diseases, 38(9), pp.1719-1729. </w:t>
      </w:r>
    </w:p>
    <w:p w14:paraId="46F6242B" w14:textId="77777777" w:rsidR="00745314" w:rsidRDefault="00501642">
      <w:pPr>
        <w:spacing w:before="240" w:after="240"/>
      </w:pPr>
      <w:r>
        <w:t xml:space="preserve">Thornton, J., 2019. Measles cases in Europe tripled from 2017 to 2018. </w:t>
      </w:r>
    </w:p>
    <w:p w14:paraId="6BD65F3C" w14:textId="6A1C8CDC" w:rsidR="00745314" w:rsidRDefault="00501642">
      <w:pPr>
        <w:spacing w:before="240" w:after="240"/>
      </w:pPr>
      <w:r>
        <w:t xml:space="preserve">World Health Organization, 2017. </w:t>
      </w:r>
      <w:r w:rsidR="009F5BDE">
        <w:t>Immunization</w:t>
      </w:r>
      <w:r>
        <w:t xml:space="preserve"> achievements in South-East Asia: the platform for measles elimination. </w:t>
      </w:r>
    </w:p>
    <w:sectPr w:rsidR="00745314">
      <w:headerReference w:type="default" r:id="rId7"/>
      <w:footerReference w:type="default" r:id="rId8"/>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73C291" w14:textId="77777777" w:rsidR="002A600D" w:rsidRDefault="002A600D" w:rsidP="002A600D">
      <w:r>
        <w:separator/>
      </w:r>
    </w:p>
  </w:endnote>
  <w:endnote w:type="continuationSeparator" w:id="0">
    <w:p w14:paraId="4BF8E5BF" w14:textId="77777777" w:rsidR="002A600D" w:rsidRDefault="002A600D" w:rsidP="002A600D">
      <w:r>
        <w:continuationSeparator/>
      </w:r>
    </w:p>
  </w:endnote>
  <w:endnote w:type="continuationNotice" w:id="1">
    <w:p w14:paraId="6FF43EC8" w14:textId="77777777" w:rsidR="002A600D" w:rsidRDefault="002A600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28FC12C" w14:paraId="515083D0" w14:textId="77777777" w:rsidTr="528FC12C">
      <w:tc>
        <w:tcPr>
          <w:tcW w:w="3120" w:type="dxa"/>
        </w:tcPr>
        <w:p w14:paraId="6889B16B" w14:textId="780D6383" w:rsidR="528FC12C" w:rsidRDefault="528FC12C" w:rsidP="528FC12C">
          <w:pPr>
            <w:pStyle w:val="Header"/>
            <w:ind w:left="-115"/>
          </w:pPr>
        </w:p>
      </w:tc>
      <w:tc>
        <w:tcPr>
          <w:tcW w:w="3120" w:type="dxa"/>
        </w:tcPr>
        <w:p w14:paraId="45B0BA8F" w14:textId="773AAF90" w:rsidR="528FC12C" w:rsidRDefault="528FC12C" w:rsidP="528FC12C">
          <w:pPr>
            <w:pStyle w:val="Header"/>
            <w:jc w:val="center"/>
          </w:pPr>
        </w:p>
      </w:tc>
      <w:tc>
        <w:tcPr>
          <w:tcW w:w="3120" w:type="dxa"/>
        </w:tcPr>
        <w:p w14:paraId="368ED339" w14:textId="74E1AA3F" w:rsidR="528FC12C" w:rsidRDefault="528FC12C" w:rsidP="528FC12C">
          <w:pPr>
            <w:pStyle w:val="Header"/>
            <w:ind w:right="-115"/>
            <w:jc w:val="right"/>
          </w:pPr>
        </w:p>
      </w:tc>
    </w:tr>
  </w:tbl>
  <w:p w14:paraId="49256AB4" w14:textId="0B33994D" w:rsidR="002A600D" w:rsidRDefault="002A60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FBEF7" w14:textId="77777777" w:rsidR="002A600D" w:rsidRDefault="002A600D" w:rsidP="002A600D">
      <w:r>
        <w:separator/>
      </w:r>
    </w:p>
  </w:footnote>
  <w:footnote w:type="continuationSeparator" w:id="0">
    <w:p w14:paraId="7D083194" w14:textId="77777777" w:rsidR="002A600D" w:rsidRDefault="002A600D" w:rsidP="002A600D">
      <w:r>
        <w:continuationSeparator/>
      </w:r>
    </w:p>
  </w:footnote>
  <w:footnote w:type="continuationNotice" w:id="1">
    <w:p w14:paraId="228BAE2E" w14:textId="77777777" w:rsidR="002A600D" w:rsidRDefault="002A600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28FC12C" w14:paraId="6F6E6E74" w14:textId="77777777" w:rsidTr="528FC12C">
      <w:tc>
        <w:tcPr>
          <w:tcW w:w="3120" w:type="dxa"/>
        </w:tcPr>
        <w:p w14:paraId="4BB977B3" w14:textId="49FEE5DA" w:rsidR="528FC12C" w:rsidRDefault="528FC12C" w:rsidP="528FC12C">
          <w:pPr>
            <w:pStyle w:val="Header"/>
            <w:ind w:left="-115"/>
          </w:pPr>
        </w:p>
      </w:tc>
      <w:tc>
        <w:tcPr>
          <w:tcW w:w="3120" w:type="dxa"/>
        </w:tcPr>
        <w:p w14:paraId="6F6CAC58" w14:textId="3774E9A6" w:rsidR="528FC12C" w:rsidRDefault="528FC12C" w:rsidP="528FC12C">
          <w:pPr>
            <w:pStyle w:val="Header"/>
            <w:jc w:val="center"/>
          </w:pPr>
        </w:p>
      </w:tc>
      <w:tc>
        <w:tcPr>
          <w:tcW w:w="3120" w:type="dxa"/>
        </w:tcPr>
        <w:p w14:paraId="02D17804" w14:textId="01702470" w:rsidR="528FC12C" w:rsidRDefault="528FC12C" w:rsidP="528FC12C">
          <w:pPr>
            <w:pStyle w:val="Header"/>
            <w:ind w:right="-115"/>
            <w:jc w:val="right"/>
          </w:pPr>
        </w:p>
      </w:tc>
    </w:tr>
  </w:tbl>
  <w:p w14:paraId="5486ECB6" w14:textId="3AF84BC1" w:rsidR="002A600D" w:rsidRDefault="002A600D">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632083149-2004318071 324492630-2004318071 430202674-994846423 1373948012-2004318071 1357489947-1174066860 784115911-748578748 154204324-1640263450 1800879815-1823922100 934060066-426747547 1891275757-1193494468 1856386952-1331603814 807123505-320137065 851625539-808326745 1966921656-2004318071 1236839693-2004318071 1617831142-1809073946 407840907-2004318071 802368780-2004318071 1400103667-2004318071 534145525-2004318071 2141954594-2004318071 1987572518-2004318071 1924661836-1673818533 406651761-839821611 2008658900-2004318071 708103052-2004318071 1181840212-2004318071 157434770-2004318071 432470695-2004318071 25861761-2004318071 1039104366-2004318071 655506980-2004318071 31894904-2004318071 161056135-2004318071 1638150300-2004318071 1927918519-2004318071 178284889-2004318071 1190536235-2004318071 1809211196-1780255964 1270446003-1241441754 1869392984-930408870 47282180-24126576 1418128566-989350849 1753854315-2014143363 1169209999-2000334736 915329849-1960946239 1227188916-187930957"/>
  </int:OnDemandWorkflows>
  <int:IntelligenceSettings>
    <int:extLst>
      <oel:ext uri="74B372B9-2EFF-4315-9A3F-32BA87CA82B1">
        <int:Goals Version="1" Formality="1"/>
      </oel:ext>
    </int:extLst>
  </int:IntelligenceSettings>
  <int:Manifest>
    <int:ParagraphRange paragraphId="1039104366" textId="2004318071" start="159" length="4" invalidationStart="159" invalidationLength="4" id="6WGvfGKI"/>
    <int:ParagraphRange paragraphId="1924661836" textId="2004318071" start="208" length="4" invalidationStart="208" invalidationLength="4" id="TaPU4E81"/>
    <int:WordHash hashCode="+C5SsPd357LMBM" id="qJ2T6K0F"/>
    <int:WordHash hashCode="CJsDJ/JQZXFz7u" id="OZMjSyzc"/>
    <int:WordHash hashCode="l/jKvuzib0YKJD" id="xqztUMgL"/>
    <int:WordHash hashCode="UbLPVe808W8F7e" id="iUEbESMF"/>
    <int:WordHash hashCode="IhzrA2qaVaa5q0" id="1/rYdvNU"/>
    <int:WordHash hashCode="qMnGTwf5zlJiqJ" id="VVI3PRj9"/>
    <int:WordHash hashCode="bm/6+YQmeUz8iJ" id="MwYrkZGj"/>
    <int:WordHash hashCode="WZyz7tWe1QCOh7" id="0PlrrcBI"/>
    <int:WordHash hashCode="JM75onzNUZugIH" id="IxlEFKu/"/>
    <int:WordHash hashCode="GKyDy3FoBVYTV5" id="C9vKVyBc"/>
    <int:WordHash hashCode="+xs4XW4lnq24zd" id="HTpaiTb1"/>
    <int:WordHash hashCode="PwNjZ5PB/rmkaI" id="R5JV1twE"/>
    <int:WordHash hashCode="3UL/yw95fe0ccr" id="yUAlqeyb"/>
    <int:WordHash hashCode="x2QsUzcmfpcAYV" id="Oto8GlG1"/>
    <int:WordHash hashCode="UARBkxyIEk71Ts" id="SpcIh1i1"/>
    <int:WordHash hashCode="DrclWRu1wXyybO" id="JXEwspTc"/>
    <int:WordHash hashCode="M9Dl9FuSlyxmL0" id="kAo+TjSz"/>
    <int:WordHash hashCode="lpPXUPq50hgbhS" id="MIzqXo+L"/>
    <int:WordHash hashCode="Q5NfWl4+7Pwx0+" id="yKV3LJuy"/>
    <int:WordHash hashCode="qfUiS1bR/ANvgP" id="e4DI7CWa"/>
    <int:WordHash hashCode="xTbcPDfPGuBf2F" id="vi+lIbok"/>
    <int:WordHash hashCode="w7h3cgK1y8vb9V" id="B2LvfGA4"/>
    <int:WordHash hashCode="04A1nkLzfjDGSs" id="WKfaf6Cp"/>
    <int:WordHash hashCode="6BBaMAfcEM4yh2" id="7XLVs6eu"/>
    <int:WordHash hashCode="vXQNpXeVAHgjpu" id="9lTVobdN"/>
    <int:WordHash hashCode="QxVgBD1bfo3hbg" id="muHN1eSh"/>
    <int:WordHash hashCode="JFkNQNGOZjdPJL" id="Rgy421cG"/>
    <int:WordHash hashCode="gkx0rSz2FRcJEi" id="6PtYy/BA"/>
    <int:WordHash hashCode="FWzOIrb0aLyKwP" id="FtyrNPWY"/>
    <int:WordHash hashCode="rwtqX1XUx022XR" id="UQqkbJeF"/>
    <int:WordHash hashCode="zC5dbNSJhV2Wf3" id="hnZSM8AS"/>
    <int:WordHash hashCode="yRO0b5Wr5kcuhn" id="7DEkHC3j"/>
    <int:WordHash hashCode="th+yWlyBtRK8ve" id="lPt23KxU"/>
    <int:WordHash hashCode="C6A+P7x9LYP8Cg" id="8txyqln5"/>
    <int:WordHash hashCode="G0XpM4k2E43HEL" id="FeNRp5Hl"/>
    <int:WordHash hashCode="3JRD0kYrzYU8/r" id="c9wwI1Fn"/>
    <int:WordHash hashCode="P/xKiOpwTIPWWp" id="OXZzDVNQ"/>
    <int:WordHash hashCode="PnzlC+gY9xrDTS" id="eB9TSAeS"/>
    <int:ParagraphRange paragraphId="2141954594" textId="2004318071" start="0" length="105" invalidationStart="0" invalidationLength="105" id="itoWglWN"/>
    <int:EntireDocument id="7J1m5Uif"/>
    <int:WordHash hashCode="DcSijAZ8FpA5KM" id="KPp2lX08"/>
    <int:WordHash hashCode="6xX40Nbu8SUY24" id="qdT/Q+mz"/>
    <int:WordHash hashCode="/aQyNkdITfgrv4" id="4bqepgfY"/>
    <int:WordHash hashCode="fmxpVDPnH5hzCh" id="DfbqxGnr"/>
    <int:WordHash hashCode="ORrOfPRhhxidNI" id="4Aw9ioSi"/>
    <int:WordHash hashCode="HN54bxs7hYHd5K" id="adC2M6QK"/>
    <int:WordHash hashCode="1g65/CrXTpq8vd" id="QTjAFrFJ"/>
    <int:WordHash hashCode="971Sq2KKTCw3x3" id="Wz/dfXV6"/>
    <int:ParagraphRange paragraphId="1357489947" textId="1174066860" start="457" length="21" invalidationStart="457" invalidationLength="21" id="BF1k0Htr"/>
    <int:ParagraphRange paragraphId="1357489947" textId="1174066860" start="390" length="21" invalidationStart="390" invalidationLength="21" id="HR1deGY0"/>
  </int:Manifest>
  <int:Observations>
    <int:Content id="6WGvfGKI">
      <int:Rejection type="LegacyProofing"/>
    </int:Content>
    <int:Content id="TaPU4E81">
      <int:Rejection type="LegacyProofing"/>
    </int:Content>
    <int:Content id="qJ2T6K0F">
      <int:Rejection type="LegacyProofing"/>
    </int:Content>
    <int:Content id="OZMjSyzc">
      <int:Rejection type="LegacyProofing"/>
    </int:Content>
    <int:Content id="xqztUMgL">
      <int:Rejection type="LegacyProofing"/>
    </int:Content>
    <int:Content id="iUEbESMF">
      <int:Rejection type="LegacyProofing"/>
    </int:Content>
    <int:Content id="1/rYdvNU">
      <int:Rejection type="LegacyProofing"/>
    </int:Content>
    <int:Content id="VVI3PRj9">
      <int:Rejection type="LegacyProofing"/>
    </int:Content>
    <int:Content id="MwYrkZGj">
      <int:Rejection type="LegacyProofing"/>
    </int:Content>
    <int:Content id="0PlrrcBI">
      <int:Rejection type="LegacyProofing"/>
    </int:Content>
    <int:Content id="IxlEFKu/">
      <int:Rejection type="LegacyProofing"/>
    </int:Content>
    <int:Content id="C9vKVyBc">
      <int:Rejection type="LegacyProofing"/>
    </int:Content>
    <int:Content id="HTpaiTb1">
      <int:Rejection type="LegacyProofing"/>
    </int:Content>
    <int:Content id="R5JV1twE">
      <int:Rejection type="LegacyProofing"/>
    </int:Content>
    <int:Content id="yUAlqeyb">
      <int:Rejection type="LegacyProofing"/>
    </int:Content>
    <int:Content id="Oto8GlG1">
      <int:Rejection type="LegacyProofing"/>
    </int:Content>
    <int:Content id="SpcIh1i1">
      <int:Rejection type="LegacyProofing"/>
    </int:Content>
    <int:Content id="JXEwspTc">
      <int:Rejection type="LegacyProofing"/>
    </int:Content>
    <int:Content id="kAo+TjSz">
      <int:Rejection type="LegacyProofing"/>
    </int:Content>
    <int:Content id="MIzqXo+L">
      <int:Rejection type="LegacyProofing"/>
    </int:Content>
    <int:Content id="yKV3LJuy">
      <int:Rejection type="LegacyProofing"/>
    </int:Content>
    <int:Content id="e4DI7CWa">
      <int:Rejection type="LegacyProofing"/>
    </int:Content>
    <int:Content id="vi+lIbok">
      <int:Rejection type="LegacyProofing"/>
    </int:Content>
    <int:Content id="B2LvfGA4">
      <int:Rejection type="LegacyProofing"/>
    </int:Content>
    <int:Content id="WKfaf6Cp">
      <int:Rejection type="LegacyProofing"/>
    </int:Content>
    <int:Content id="7XLVs6eu">
      <int:Rejection type="LegacyProofing"/>
    </int:Content>
    <int:Content id="9lTVobdN">
      <int:Rejection type="LegacyProofing"/>
    </int:Content>
    <int:Content id="muHN1eSh">
      <int:Rejection type="LegacyProofing"/>
    </int:Content>
    <int:Content id="Rgy421cG">
      <int:Rejection type="LegacyProofing"/>
    </int:Content>
    <int:Content id="6PtYy/BA">
      <int:Rejection type="LegacyProofing"/>
    </int:Content>
    <int:Content id="FtyrNPWY">
      <int:Rejection type="LegacyProofing"/>
    </int:Content>
    <int:Content id="UQqkbJeF">
      <int:Rejection type="LegacyProofing"/>
    </int:Content>
    <int:Content id="hnZSM8AS">
      <int:Rejection type="LegacyProofing"/>
    </int:Content>
    <int:Content id="7DEkHC3j">
      <int:Rejection type="LegacyProofing"/>
    </int:Content>
    <int:Content id="lPt23KxU">
      <int:Rejection type="LegacyProofing"/>
    </int:Content>
    <int:Content id="8txyqln5">
      <int:Rejection type="LegacyProofing"/>
    </int:Content>
    <int:Content id="FeNRp5Hl">
      <int:Rejection type="LegacyProofing"/>
    </int:Content>
    <int:Content id="c9wwI1Fn">
      <int:Rejection type="LegacyProofing"/>
    </int:Content>
    <int:Content id="OXZzDVNQ">
      <int:Rejection type="AugLoop_Text_Critique"/>
    </int:Content>
    <int:Content id="eB9TSAeS">
      <int:Rejection type="AugLoop_Text_Critique"/>
    </int:Content>
    <int:Content id="itoWglWN">
      <int:extLst>
        <oel:ext uri="426473B9-03D8-482F-96C9-C2C85392BACA">
          <int:SimilarityCritique Version="1" Context="Ghebrehewet, S., Thorrington, D., Farmer, S., Kearney, J., Blissett, D., McLeod, H. and Keenan, A., 2016." SourceType="Online" SourceTitle="The economic cost of measles: Healthcare, public health ..." SourceUrl="https://research-information.bris.ac.uk/en/publications/the-economic-cost-of-measles-healthcare-public-health-and-societa" SourceSnippet="Ghebrehewet, S., Thorrington, D., Farmer, S., Kearney, J., Blissett, D., McLeod, H., &amp; Keenan, A. (2016). The economic cost of measles: Healthcare, public health and ...">
            <int:Suggestions CitationType="Inline">
              <int:Suggestion CitationStyle="Mla" IsIdentical="0">
                <int:CitationText>(“The economic cost of measles: Healthcare, public health ...”)</int:CitationText>
              </int:Suggestion>
              <int:Suggestion CitationStyle="Apa" IsIdentical="0">
                <int:CitationText>(“The economic cost of measles: Healthcare, public health ...”)</int:CitationText>
              </int:Suggestion>
              <int:Suggestion CitationStyle="Chicago" IsIdentical="0">
                <int:CitationText>(“The economic cost of measles: Healthcare, public health ...”)</int:CitationText>
              </int:Suggestion>
            </int:Suggestions>
            <int:Suggestions CitationType="Full">
              <int:Suggestion CitationStyle="Mla" IsIdentical="0">
                <int:CitationText>&lt;i&gt;The economic cost of measles: Healthcare, public health ...&lt;/i&gt;, https://research-information.bris.ac.uk/en/publications/the-economic-cost-of-measles-healthcare-public-health-and-societa.</int:CitationText>
              </int:Suggestion>
              <int:Suggestion CitationStyle="Apa" IsIdentical="0">
                <int:CitationText>&lt;i&gt;The economic cost of measles: Healthcare, public health ...&lt;/i&gt;. (n.d.). Retrieved from https://research-information.bris.ac.uk/en/publications/the-economic-cost-of-measles-healthcare-public-health-and-societa</int:CitationText>
              </int:Suggestion>
              <int:Suggestion CitationStyle="Chicago" IsIdentical="0">
                <int:CitationText>“The economic cost of measles: Healthcare, public health ...” n.d., https://research-information.bris.ac.uk/en/publications/the-economic-cost-of-measles-healthcare-public-health-and-societa.</int:CitationText>
              </int:Suggestion>
            </int:Suggestions>
          </int:SimilarityCritique>
        </oel:ext>
      </int:extLst>
    </int:Content>
    <int:Content id="7J1m5Uif">
      <int:extLst>
        <oel:ext uri="E302BA01-7950-474C-9AD3-286E660C40A8">
          <int:SimilaritySummary Version="1" RunId="1637749408688" TilesCheckedInThisRun="37" TotalNumOfTiles="37" SimilarityAnnotationCount="1" NumWords="1961" NumFlaggedWords="16"/>
        </oel:ext>
      </int:extLst>
    </int:Content>
    <int:Content id="KPp2lX08">
      <int:Rejection type="AugLoop_Text_Critique"/>
    </int:Content>
    <int:Content id="qdT/Q+mz">
      <int:Rejection type="AugLoop_Text_Critique"/>
    </int:Content>
    <int:Content id="4bqepgfY">
      <int:Rejection type="AugLoop_Text_Critique"/>
    </int:Content>
    <int:Content id="DfbqxGnr">
      <int:Rejection type="AugLoop_Text_Critique"/>
    </int:Content>
    <int:Content id="4Aw9ioSi">
      <int:Rejection type="AugLoop_Text_Critique"/>
    </int:Content>
    <int:Content id="adC2M6QK">
      <int:Rejection type="AugLoop_Text_Critique"/>
    </int:Content>
    <int:Content id="QTjAFrFJ">
      <int:Rejection type="AugLoop_Text_Critique"/>
    </int:Content>
    <int:Content id="Wz/dfXV6">
      <int:Rejection type="AugLoop_Text_Critique"/>
    </int:Content>
    <int:Content id="BF1k0Htr">
      <int:Rejection type="LegacyProofing"/>
    </int:Content>
    <int:Content id="HR1deGY0">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148B"/>
    <w:rsid w:val="000F3044"/>
    <w:rsid w:val="001E22BB"/>
    <w:rsid w:val="001F4D9D"/>
    <w:rsid w:val="002A600D"/>
    <w:rsid w:val="002C4176"/>
    <w:rsid w:val="003D118F"/>
    <w:rsid w:val="003F14E8"/>
    <w:rsid w:val="00430C23"/>
    <w:rsid w:val="0046196F"/>
    <w:rsid w:val="00465D52"/>
    <w:rsid w:val="00501642"/>
    <w:rsid w:val="005F43BA"/>
    <w:rsid w:val="00745314"/>
    <w:rsid w:val="007B1F3C"/>
    <w:rsid w:val="00856D5D"/>
    <w:rsid w:val="009F5BDE"/>
    <w:rsid w:val="00B4148B"/>
    <w:rsid w:val="00BC1704"/>
    <w:rsid w:val="00D6192B"/>
    <w:rsid w:val="00D62C74"/>
    <w:rsid w:val="00E35396"/>
    <w:rsid w:val="00EA1BEB"/>
    <w:rsid w:val="00ED1955"/>
    <w:rsid w:val="00F00643"/>
    <w:rsid w:val="00F270DA"/>
    <w:rsid w:val="00F3455D"/>
    <w:rsid w:val="00FB772A"/>
    <w:rsid w:val="016423F5"/>
    <w:rsid w:val="061813C7"/>
    <w:rsid w:val="06300D34"/>
    <w:rsid w:val="070351BC"/>
    <w:rsid w:val="08A8A33A"/>
    <w:rsid w:val="09C89966"/>
    <w:rsid w:val="09F88C40"/>
    <w:rsid w:val="0CD2A52E"/>
    <w:rsid w:val="0E74B14D"/>
    <w:rsid w:val="0EAC7C12"/>
    <w:rsid w:val="0F97ECD8"/>
    <w:rsid w:val="11B687DA"/>
    <w:rsid w:val="12BFA07F"/>
    <w:rsid w:val="153A42C8"/>
    <w:rsid w:val="176DE1DF"/>
    <w:rsid w:val="1B1E677E"/>
    <w:rsid w:val="1BC09B74"/>
    <w:rsid w:val="1DE37C57"/>
    <w:rsid w:val="1E8BDFBF"/>
    <w:rsid w:val="20171B6E"/>
    <w:rsid w:val="22728E03"/>
    <w:rsid w:val="24B639FC"/>
    <w:rsid w:val="2A9CC3AD"/>
    <w:rsid w:val="30CFED0C"/>
    <w:rsid w:val="34326401"/>
    <w:rsid w:val="35C71125"/>
    <w:rsid w:val="37CDE58B"/>
    <w:rsid w:val="3BAB68AC"/>
    <w:rsid w:val="3C440F41"/>
    <w:rsid w:val="404A5469"/>
    <w:rsid w:val="4238FC91"/>
    <w:rsid w:val="43FBD627"/>
    <w:rsid w:val="498004B3"/>
    <w:rsid w:val="4ACD97AD"/>
    <w:rsid w:val="4ADF5370"/>
    <w:rsid w:val="4AFA625E"/>
    <w:rsid w:val="4B125BCB"/>
    <w:rsid w:val="4CD43942"/>
    <w:rsid w:val="4DF80F9D"/>
    <w:rsid w:val="528FC12C"/>
    <w:rsid w:val="535ED7CF"/>
    <w:rsid w:val="537331AA"/>
    <w:rsid w:val="538EFD7A"/>
    <w:rsid w:val="5550A820"/>
    <w:rsid w:val="5680DD04"/>
    <w:rsid w:val="572756DB"/>
    <w:rsid w:val="5B1FFB92"/>
    <w:rsid w:val="5E120DED"/>
    <w:rsid w:val="5F157820"/>
    <w:rsid w:val="6000B615"/>
    <w:rsid w:val="61042048"/>
    <w:rsid w:val="630253A4"/>
    <w:rsid w:val="639C6A70"/>
    <w:rsid w:val="658B1298"/>
    <w:rsid w:val="668E7CCB"/>
    <w:rsid w:val="68962C7E"/>
    <w:rsid w:val="6B5A660A"/>
    <w:rsid w:val="6BB8B5D4"/>
    <w:rsid w:val="6DE494BC"/>
    <w:rsid w:val="6E617C7A"/>
    <w:rsid w:val="6E739E46"/>
    <w:rsid w:val="702961EB"/>
    <w:rsid w:val="73BEDB7B"/>
    <w:rsid w:val="75C57D10"/>
    <w:rsid w:val="7800BC81"/>
    <w:rsid w:val="79D2F30B"/>
    <w:rsid w:val="7B94D082"/>
    <w:rsid w:val="7CAD3EB0"/>
    <w:rsid w:val="7E19B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44B2B9"/>
  <w15:docId w15:val="{BC277526-4B1F-4272-B898-E2ACE3F8B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character" w:styleId="CommentReference">
    <w:name w:val="annotation reference"/>
    <w:basedOn w:val="DefaultParagraphFont"/>
    <w:uiPriority w:val="99"/>
    <w:semiHidden/>
    <w:unhideWhenUsed/>
    <w:rsid w:val="003D118F"/>
    <w:rPr>
      <w:sz w:val="16"/>
      <w:szCs w:val="16"/>
    </w:rPr>
  </w:style>
  <w:style w:type="paragraph" w:styleId="CommentText">
    <w:name w:val="annotation text"/>
    <w:basedOn w:val="Normal"/>
    <w:link w:val="CommentTextChar"/>
    <w:uiPriority w:val="99"/>
    <w:unhideWhenUsed/>
    <w:rsid w:val="003D118F"/>
    <w:rPr>
      <w:sz w:val="20"/>
      <w:szCs w:val="20"/>
    </w:rPr>
  </w:style>
  <w:style w:type="character" w:customStyle="1" w:styleId="CommentTextChar">
    <w:name w:val="Comment Text Char"/>
    <w:basedOn w:val="DefaultParagraphFont"/>
    <w:link w:val="CommentText"/>
    <w:uiPriority w:val="99"/>
    <w:rsid w:val="003D118F"/>
  </w:style>
  <w:style w:type="paragraph" w:styleId="CommentSubject">
    <w:name w:val="annotation subject"/>
    <w:basedOn w:val="CommentText"/>
    <w:next w:val="CommentText"/>
    <w:link w:val="CommentSubjectChar"/>
    <w:uiPriority w:val="99"/>
    <w:semiHidden/>
    <w:unhideWhenUsed/>
    <w:rsid w:val="003D118F"/>
    <w:rPr>
      <w:b/>
      <w:bCs/>
    </w:rPr>
  </w:style>
  <w:style w:type="character" w:customStyle="1" w:styleId="CommentSubjectChar">
    <w:name w:val="Comment Subject Char"/>
    <w:basedOn w:val="CommentTextChar"/>
    <w:link w:val="CommentSubject"/>
    <w:uiPriority w:val="99"/>
    <w:semiHidden/>
    <w:rsid w:val="003D118F"/>
    <w:rPr>
      <w:b/>
      <w:bCs/>
    </w:rPr>
  </w:style>
  <w:style w:type="paragraph" w:styleId="BalloonText">
    <w:name w:val="Balloon Text"/>
    <w:basedOn w:val="Normal"/>
    <w:link w:val="BalloonTextChar"/>
    <w:uiPriority w:val="99"/>
    <w:semiHidden/>
    <w:unhideWhenUsed/>
    <w:rsid w:val="0074531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5314"/>
    <w:rPr>
      <w:rFonts w:ascii="Segoe UI" w:hAnsi="Segoe UI" w:cs="Segoe UI"/>
      <w:sz w:val="18"/>
      <w:szCs w:val="18"/>
    </w:rPr>
  </w:style>
  <w:style w:type="paragraph" w:styleId="Header">
    <w:name w:val="header"/>
    <w:basedOn w:val="Normal"/>
    <w:link w:val="HeaderChar"/>
    <w:uiPriority w:val="99"/>
    <w:unhideWhenUsed/>
    <w:rsid w:val="002A600D"/>
    <w:pPr>
      <w:tabs>
        <w:tab w:val="center" w:pos="4513"/>
        <w:tab w:val="right" w:pos="9026"/>
      </w:tabs>
    </w:pPr>
  </w:style>
  <w:style w:type="character" w:customStyle="1" w:styleId="HeaderChar">
    <w:name w:val="Header Char"/>
    <w:basedOn w:val="DefaultParagraphFont"/>
    <w:link w:val="Header"/>
    <w:uiPriority w:val="99"/>
    <w:rsid w:val="002A600D"/>
    <w:rPr>
      <w:sz w:val="24"/>
      <w:szCs w:val="24"/>
    </w:rPr>
  </w:style>
  <w:style w:type="paragraph" w:styleId="Footer">
    <w:name w:val="footer"/>
    <w:basedOn w:val="Normal"/>
    <w:link w:val="FooterChar"/>
    <w:uiPriority w:val="99"/>
    <w:unhideWhenUsed/>
    <w:rsid w:val="002A600D"/>
    <w:pPr>
      <w:tabs>
        <w:tab w:val="center" w:pos="4513"/>
        <w:tab w:val="right" w:pos="9026"/>
      </w:tabs>
    </w:pPr>
  </w:style>
  <w:style w:type="character" w:customStyle="1" w:styleId="FooterChar">
    <w:name w:val="Footer Char"/>
    <w:basedOn w:val="DefaultParagraphFont"/>
    <w:link w:val="Footer"/>
    <w:uiPriority w:val="99"/>
    <w:rsid w:val="002A600D"/>
    <w:rPr>
      <w:sz w:val="24"/>
      <w:szCs w:val="24"/>
    </w:rPr>
  </w:style>
  <w:style w:type="table" w:styleId="TableGrid">
    <w:name w:val="Table Grid"/>
    <w:basedOn w:val="TableNormal"/>
    <w:uiPriority w:val="59"/>
    <w:rsid w:val="002A600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ce512c92abd14a24" Type="http://schemas.microsoft.com/office/2019/09/relationships/intelligence" Target="intelligence.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1878</Words>
  <Characters>10710</Characters>
  <Application>Microsoft Office Word</Application>
  <DocSecurity>4</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Felicity.page</dc:creator>
  <cp:keywords/>
  <cp:lastModifiedBy>sharon roberts</cp:lastModifiedBy>
  <cp:revision>5</cp:revision>
  <dcterms:created xsi:type="dcterms:W3CDTF">2021-11-19T05:01:00Z</dcterms:created>
  <dcterms:modified xsi:type="dcterms:W3CDTF">2021-11-24T18:32:00Z</dcterms:modified>
</cp:coreProperties>
</file>