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9BDE8D" w14:textId="77777777" w:rsidR="006E57E8" w:rsidRDefault="00147D16">
      <w:pPr>
        <w:spacing w:after="121" w:line="358" w:lineRule="auto"/>
        <w:ind w:left="10"/>
        <w:jc w:val="center"/>
      </w:pPr>
      <w:r>
        <w:rPr>
          <w:b/>
        </w:rPr>
        <w:t>CYBERSECURITY AND DATA GOVERNANCE SOLUTION FOR STEELFORM MANUFACTURING LTD</w:t>
      </w:r>
      <w:r>
        <w:t xml:space="preserve"> </w:t>
      </w:r>
    </w:p>
    <w:p w14:paraId="11B59992" w14:textId="77777777" w:rsidR="006E57E8" w:rsidRDefault="00147D16">
      <w:pPr>
        <w:spacing w:line="259" w:lineRule="auto"/>
        <w:ind w:left="58" w:firstLine="0"/>
        <w:jc w:val="center"/>
      </w:pPr>
      <w:r>
        <w:rPr>
          <w:b/>
        </w:rPr>
        <w:t xml:space="preserve"> </w:t>
      </w:r>
    </w:p>
    <w:p w14:paraId="7ED1416A" w14:textId="77777777" w:rsidR="006E57E8" w:rsidRDefault="00147D16">
      <w:pPr>
        <w:spacing w:after="1" w:line="358" w:lineRule="auto"/>
        <w:ind w:left="1773" w:right="1705"/>
        <w:jc w:val="center"/>
      </w:pPr>
      <w:r>
        <w:rPr>
          <w:b/>
        </w:rPr>
        <w:t>Networks and Cyber Security Essentials – ACCA4024</w:t>
      </w:r>
      <w:r>
        <w:t xml:space="preserve"> </w:t>
      </w:r>
      <w:proofErr w:type="spellStart"/>
      <w:r>
        <w:t>CertHE</w:t>
      </w:r>
      <w:proofErr w:type="spellEnd"/>
      <w:r>
        <w:t xml:space="preserve"> Computing Skills for Workplace </w:t>
      </w:r>
    </w:p>
    <w:p w14:paraId="3CC7755F" w14:textId="77777777" w:rsidR="006E57E8" w:rsidRDefault="00147D16">
      <w:pPr>
        <w:spacing w:after="115" w:line="259" w:lineRule="auto"/>
        <w:ind w:left="58" w:firstLine="0"/>
        <w:jc w:val="center"/>
      </w:pPr>
      <w:r>
        <w:t xml:space="preserve"> </w:t>
      </w:r>
    </w:p>
    <w:p w14:paraId="4AEE8CB6" w14:textId="137B3CF8" w:rsidR="006E57E8" w:rsidRDefault="00147D16">
      <w:pPr>
        <w:spacing w:line="259" w:lineRule="auto"/>
      </w:pPr>
      <w:r>
        <w:t xml:space="preserve">Student Name: </w:t>
      </w:r>
      <w:r w:rsidR="00764E5F">
        <w:t>Nafisa Anjum Athay</w:t>
      </w:r>
    </w:p>
    <w:p w14:paraId="3C98FBBB" w14:textId="5B52F660" w:rsidR="006E57E8" w:rsidRDefault="00147D16">
      <w:pPr>
        <w:spacing w:line="259" w:lineRule="auto"/>
        <w:ind w:left="2338"/>
      </w:pPr>
      <w:r>
        <w:t xml:space="preserve">Student ID: </w:t>
      </w:r>
      <w:r w:rsidR="00764E5F">
        <w:t>2510700@student.uwtsd.ac.uk</w:t>
      </w:r>
    </w:p>
    <w:p w14:paraId="53FE1810" w14:textId="77777777" w:rsidR="006E57E8" w:rsidRDefault="00147D16">
      <w:pPr>
        <w:spacing w:after="113" w:line="259" w:lineRule="auto"/>
        <w:ind w:left="58" w:firstLine="0"/>
        <w:jc w:val="center"/>
      </w:pPr>
      <w:r>
        <w:t xml:space="preserve"> </w:t>
      </w:r>
    </w:p>
    <w:p w14:paraId="55EE0390" w14:textId="77777777" w:rsidR="006E57E8" w:rsidRDefault="00147D16">
      <w:pPr>
        <w:spacing w:after="235" w:line="259" w:lineRule="auto"/>
        <w:ind w:left="58" w:firstLine="0"/>
        <w:jc w:val="center"/>
      </w:pPr>
      <w:r>
        <w:t xml:space="preserve"> </w:t>
      </w:r>
    </w:p>
    <w:p w14:paraId="270B9EC7" w14:textId="77777777" w:rsidR="006E57E8" w:rsidRDefault="00147D16">
      <w:pPr>
        <w:spacing w:after="0" w:line="259" w:lineRule="auto"/>
        <w:ind w:left="0" w:firstLine="0"/>
        <w:jc w:val="left"/>
      </w:pPr>
      <w:r>
        <w:t xml:space="preserve"> </w:t>
      </w:r>
      <w:r>
        <w:tab/>
        <w:t xml:space="preserve"> </w:t>
      </w:r>
      <w:r>
        <w:br w:type="page"/>
      </w:r>
    </w:p>
    <w:p w14:paraId="03D70E9D" w14:textId="77777777" w:rsidR="006E57E8" w:rsidRDefault="00147D16">
      <w:pPr>
        <w:pStyle w:val="Heading1"/>
        <w:numPr>
          <w:ilvl w:val="0"/>
          <w:numId w:val="0"/>
        </w:numPr>
        <w:ind w:left="-5"/>
      </w:pPr>
      <w:r>
        <w:lastRenderedPageBreak/>
        <w:t xml:space="preserve">Abstract </w:t>
      </w:r>
    </w:p>
    <w:p w14:paraId="6C585A19" w14:textId="77777777" w:rsidR="006E57E8" w:rsidRDefault="00147D16">
      <w:pPr>
        <w:ind w:left="-5"/>
      </w:pPr>
      <w:proofErr w:type="spellStart"/>
      <w:r>
        <w:t>SteelForm</w:t>
      </w:r>
      <w:proofErr w:type="spellEnd"/>
      <w:r>
        <w:t xml:space="preserve"> Manufacturing Ltd (SFM) has expanded its use of IoT sensors, automated machinery and a cloud-based production management system, increasing both operational capability and cyber exposure. This report proposes a risk-</w:t>
      </w:r>
      <w:r>
        <w:t>based cybersecurity and data governance solution focused on confidentiality, integrity and availability. The assessment identifies external threats such as ransomware, phishing, credential attacks and supply-chain compromise, together with internal risks including excessive privilege, accidental disclosure and malicious misuse. The proposed controls combine governance, least-privilege access, multi-</w:t>
      </w:r>
      <w:r>
        <w:t>factor authentication, IT/OT/IoT segmentation, endpoint protection, vulnerability management, encryption, resilient backups and centralised monitoring. NIST Cybersecurity Framework 2.0 is used as the operational structure, while ISO/IEC 27001 provides a reference for an information security management system. An incident-response process and role-based staff training programme are also proposed. The solution is designed to be achievable for a medium-</w:t>
      </w:r>
      <w:r>
        <w:t xml:space="preserve">sized manufacturer and to reduce the probability and business impact of cyber incidents while supporting production continuity and data-protection responsibilities. </w:t>
      </w:r>
    </w:p>
    <w:p w14:paraId="148572B6" w14:textId="77777777" w:rsidR="006E57E8" w:rsidRDefault="00147D16">
      <w:pPr>
        <w:spacing w:after="0" w:line="259" w:lineRule="auto"/>
        <w:ind w:left="0" w:firstLine="0"/>
        <w:jc w:val="left"/>
      </w:pPr>
      <w:r>
        <w:t xml:space="preserve"> </w:t>
      </w:r>
      <w:r>
        <w:tab/>
        <w:t xml:space="preserve"> </w:t>
      </w:r>
      <w:r>
        <w:br w:type="page"/>
      </w:r>
    </w:p>
    <w:p w14:paraId="5E8E6CE2" w14:textId="77777777" w:rsidR="006E57E8" w:rsidRDefault="00147D16">
      <w:pPr>
        <w:pStyle w:val="Heading1"/>
        <w:ind w:left="225" w:hanging="240"/>
      </w:pPr>
      <w:r>
        <w:lastRenderedPageBreak/>
        <w:t xml:space="preserve">Introduction </w:t>
      </w:r>
    </w:p>
    <w:p w14:paraId="18F3FFDB" w14:textId="77777777" w:rsidR="006E57E8" w:rsidRDefault="00147D16">
      <w:pPr>
        <w:ind w:left="-5"/>
      </w:pPr>
      <w:r>
        <w:t>SFM's move towards smart manufacturing creates a connected environment in which information technology, operational technology and cloud services support production. This connectivity can improve efficiency, but it also increases the number of systems, accounts, devices and suppliers that could become attack paths. The company has already experienced malware, procurement-</w:t>
      </w:r>
      <w:r>
        <w:t xml:space="preserve">focused phishing and unauthorised access attempts. The board's concerns about industrial espionage, data breaches and downtime therefore require a coordinated security programme rather than isolated technical controls. </w:t>
      </w:r>
    </w:p>
    <w:p w14:paraId="63AB41A8" w14:textId="77777777" w:rsidR="006E57E8" w:rsidRDefault="00147D16">
      <w:pPr>
        <w:spacing w:after="474"/>
        <w:ind w:left="-5"/>
      </w:pPr>
      <w:r>
        <w:t>The recommended approach uses the CIA triad as a simple way to assess consequences. Confidentiality protects engineering information, employee and supplier information and commercially sensitive data. Integrity is important because unauthorised changes to production information or machine configurations could affect quality and safety. Availability is particularly critical because a ransomware incident or network outage could interrupt production. NIST CSF 2.0 provides a suitable framework because it is des</w:t>
      </w:r>
      <w:r>
        <w:t>igned for organisations of different sizes and sectors and organises cybersecurity outcomes around Govern, Identify, Protect, Detect, Respond and Recover [1]. ISO/IEC 27001:2022 is used as the management</w:t>
      </w:r>
      <w:r>
        <w:t xml:space="preserve">-system reference because it specifies requirements for an information security management system and continual risk management [2]. </w:t>
      </w:r>
    </w:p>
    <w:p w14:paraId="3C02C6B6" w14:textId="77777777" w:rsidR="006E57E8" w:rsidRDefault="00147D16">
      <w:pPr>
        <w:pStyle w:val="Heading1"/>
        <w:spacing w:after="316"/>
        <w:ind w:left="225" w:hanging="240"/>
      </w:pPr>
      <w:r>
        <w:t xml:space="preserve">Threat Identification </w:t>
      </w:r>
    </w:p>
    <w:p w14:paraId="518E178C" w14:textId="77777777" w:rsidR="006E57E8" w:rsidRDefault="00147D16">
      <w:pPr>
        <w:pStyle w:val="Heading2"/>
        <w:ind w:left="345" w:hanging="360"/>
      </w:pPr>
      <w:r>
        <w:t xml:space="preserve">External threats </w:t>
      </w:r>
    </w:p>
    <w:p w14:paraId="532A311F" w14:textId="77777777" w:rsidR="006E57E8" w:rsidRDefault="00147D16">
      <w:pPr>
        <w:ind w:left="-5"/>
      </w:pPr>
      <w:r>
        <w:t>Ransomware is a major threat because an attacker who obtains access to business systems may encrypt files and disrupt production while demanding payment. In SFM's environment, the effect could extend from office systems into production if network boundaries are weak. Phishing is also significant because procurement staff may receive messages designed to steal credentials, deliver malware or redirect payments. Credential attacks against remote access, cloud services and privileged accounts can provide attack</w:t>
      </w:r>
      <w:r>
        <w:t>ers with a route into sensitive systems. Unpatched internet</w:t>
      </w:r>
      <w:r>
        <w:t xml:space="preserve">-facing applications and network equipment can create additional entry points. Supply-chain compromise is another concern because manufacturers depend on technology vendors, maintenance providers and connected suppliers. A compromised supplier account or software update could therefore introduce risk into SFM. </w:t>
      </w:r>
    </w:p>
    <w:p w14:paraId="14AB553F" w14:textId="77777777" w:rsidR="006E57E8" w:rsidRDefault="00147D16">
      <w:pPr>
        <w:pStyle w:val="Heading2"/>
        <w:ind w:left="345" w:hanging="360"/>
      </w:pPr>
      <w:r>
        <w:lastRenderedPageBreak/>
        <w:t xml:space="preserve">Internal and OT/IoT threats </w:t>
      </w:r>
    </w:p>
    <w:p w14:paraId="0BF20358" w14:textId="77777777" w:rsidR="006E57E8" w:rsidRDefault="00147D16">
      <w:pPr>
        <w:spacing w:after="474"/>
        <w:ind w:left="-5"/>
      </w:pPr>
      <w:r>
        <w:t>Internal threats include excessive privileges, accidental disclosure, deliberate misuse of information, unsafe use of removable media and employees bypassing controls to complete work quickly. These risks are not necessarily malicious; poor awareness can be enough to create a security incident. OT and IoT environments add further complexity. Sensors and industrial devices may have long lifecycles, limited security features or patching restrictions. Default credentials, weak management interfaces and flat ne</w:t>
      </w:r>
      <w:r>
        <w:t xml:space="preserve">tworks can allow an attacker who compromises one device to move towards more important systems. The risk should therefore be assessed by asset and business impact rather than by assuming that every device can be secured in </w:t>
      </w:r>
      <w:proofErr w:type="gramStart"/>
      <w:r>
        <w:t>exactly the same</w:t>
      </w:r>
      <w:proofErr w:type="gramEnd"/>
      <w:r>
        <w:t xml:space="preserve"> way.</w:t>
      </w:r>
      <w:r>
        <w:t xml:space="preserve"> </w:t>
      </w:r>
    </w:p>
    <w:p w14:paraId="5E76F5F2" w14:textId="77777777" w:rsidR="006E57E8" w:rsidRDefault="00147D16">
      <w:pPr>
        <w:pStyle w:val="Heading1"/>
        <w:ind w:left="225" w:hanging="240"/>
      </w:pPr>
      <w:r>
        <w:t xml:space="preserve">Security Policies </w:t>
      </w:r>
    </w:p>
    <w:p w14:paraId="14C640D9" w14:textId="77777777" w:rsidR="006E57E8" w:rsidRDefault="00147D16">
      <w:pPr>
        <w:ind w:left="-5"/>
      </w:pPr>
      <w:r>
        <w:t>SFM should adopt a small, connected set of policies rather than a long collection of documents that staff do not use. The first is an access-control policy based on least privilege and role-</w:t>
      </w:r>
      <w:r>
        <w:t xml:space="preserve">based access. Privileged accounts should use MFA, administrator access should be separated from normal user accounts, and access should be reviewed at least quarterly. The ICO's current guidance also emphasises limiting access, strong authentication for privileged users and removal or suspension of unused accounts [3]. </w:t>
      </w:r>
    </w:p>
    <w:p w14:paraId="14B288F2" w14:textId="77777777" w:rsidR="006E57E8" w:rsidRDefault="00147D16">
      <w:pPr>
        <w:ind w:left="-5"/>
      </w:pPr>
      <w:r>
        <w:t>A network and OT security policy should require separation of corporate IT, IoT and production networks, with controlled gateways between zones. Remote engineering access should use approved VPN or equivalent secure access, MFA and time-limited privileges. A data-</w:t>
      </w:r>
      <w:r>
        <w:t xml:space="preserve">security policy should classify engineering, production, employee and supplier information and define encryption, retention and secure disposal requirements. The UK GDPR requires appropriate technical and organisational measures for personal data, including protection of confidentiality, integrity and availability and the ability to restore access following an incident [3]. </w:t>
      </w:r>
    </w:p>
    <w:p w14:paraId="203C63AA" w14:textId="77777777" w:rsidR="006E57E8" w:rsidRDefault="00147D16">
      <w:pPr>
        <w:ind w:left="-5"/>
      </w:pPr>
      <w:r>
        <w:t>A vulnerability-</w:t>
      </w:r>
      <w:r>
        <w:t xml:space="preserve">management policy should maintain an asset inventory, scan appropriate systems, prioritise critical vulnerabilities and document compensating controls where legacy production equipment cannot be patched immediately. A backup and incident-response policy should require regular, tested backups with copies protected from ransomware and clear recovery priorities. Finally, a supplier-security policy should require due diligence, minimum security clauses, controlled </w:t>
      </w:r>
      <w:proofErr w:type="spellStart"/>
      <w:r>
        <w:t>third</w:t>
      </w:r>
      <w:r>
        <w:t>party</w:t>
      </w:r>
      <w:proofErr w:type="spellEnd"/>
      <w:r>
        <w:t xml:space="preserve"> access and prompt notification of security incidents. </w:t>
      </w:r>
    </w:p>
    <w:p w14:paraId="47C829A1" w14:textId="77777777" w:rsidR="006E57E8" w:rsidRDefault="00147D16">
      <w:pPr>
        <w:pStyle w:val="Heading1"/>
        <w:ind w:left="225" w:hanging="240"/>
      </w:pPr>
      <w:r>
        <w:lastRenderedPageBreak/>
        <w:t xml:space="preserve">Mitigation Measures and Implementation </w:t>
      </w:r>
    </w:p>
    <w:p w14:paraId="64F1DA28" w14:textId="77777777" w:rsidR="006E57E8" w:rsidRDefault="00147D16">
      <w:pPr>
        <w:ind w:left="-5"/>
      </w:pPr>
      <w:r>
        <w:t>The first implementation priority should be identity. SFM should enable MFA for cloud services, remote access and privileged accounts, remove dormant accounts and use role-</w:t>
      </w:r>
      <w:r>
        <w:t xml:space="preserve">based access. This directly reduces the value of stolen passwords. Endpoint detection and response should be deployed to supported workstations and servers, while email filtering should block known malicious attachments, links and spoofing attempts. </w:t>
      </w:r>
    </w:p>
    <w:p w14:paraId="2D4B141D" w14:textId="77777777" w:rsidR="006E57E8" w:rsidRDefault="00147D16">
      <w:pPr>
        <w:ind w:left="-5"/>
      </w:pPr>
      <w:r>
        <w:t>Network segmentation is particularly important because SFM operates both IT and production systems. Firewalls and access-</w:t>
      </w:r>
      <w:r>
        <w:t xml:space="preserve">control rules should create separate enterprise, IoT and OT zones. Only required communication should be permitted between zones. Engineering workstations should not have unrestricted access to the internet or production controllers. Where older machinery cannot support modern agents, controls should be applied at the network boundary and through secure jump hosts. </w:t>
      </w:r>
    </w:p>
    <w:p w14:paraId="344F5F5F" w14:textId="77777777" w:rsidR="006E57E8" w:rsidRDefault="00147D16">
      <w:pPr>
        <w:ind w:left="-5"/>
      </w:pPr>
      <w:r>
        <w:t xml:space="preserve">Backups should follow a resilient design in which important production and business data are copied regularly, protected against unauthorised alteration and tested through restoration exercises. Encryption should protect sensitive information at rest and in transit where appropriate. The ICO identifies encryption as a suitable technical measure depending on the nature and risk of the processing [4]. </w:t>
      </w:r>
    </w:p>
    <w:p w14:paraId="640A9A3F" w14:textId="77777777" w:rsidR="006E57E8" w:rsidRDefault="00147D16">
      <w:pPr>
        <w:spacing w:after="0"/>
        <w:ind w:left="-5"/>
      </w:pPr>
      <w:r>
        <w:t xml:space="preserve">The implementation should follow a staged approach. During the first 30 days, SFM should complete an asset inventory, establish a risk register, enable MFA for high-risk accounts, verify backups and address critical vulnerabilities. During months two to three, the organisation should implement network segmentation, EDR, centralised logging and a formal incident-response process. Over six to twelve months, SFM should mature governance, supplier assurance, exercises and internal audits. </w:t>
      </w:r>
    </w:p>
    <w:p w14:paraId="05CC61D2" w14:textId="77777777" w:rsidR="006E57E8" w:rsidRDefault="00147D16">
      <w:pPr>
        <w:spacing w:line="259" w:lineRule="auto"/>
        <w:ind w:left="-5"/>
      </w:pPr>
      <w:r>
        <w:t xml:space="preserve">This staged approach is more feasible than attempting a complete transformation at once. </w:t>
      </w:r>
    </w:p>
    <w:p w14:paraId="0CD15D3B" w14:textId="77777777" w:rsidR="006E57E8" w:rsidRDefault="00147D16">
      <w:pPr>
        <w:spacing w:after="180" w:line="259" w:lineRule="auto"/>
        <w:ind w:left="0" w:right="825" w:firstLine="0"/>
        <w:jc w:val="right"/>
      </w:pPr>
      <w:r>
        <w:rPr>
          <w:noProof/>
        </w:rPr>
        <w:lastRenderedPageBreak/>
        <w:drawing>
          <wp:inline distT="0" distB="0" distL="0" distR="0" wp14:anchorId="5D26D644" wp14:editId="35F6E730">
            <wp:extent cx="5650230" cy="4521835"/>
            <wp:effectExtent l="0" t="0" r="0" b="0"/>
            <wp:docPr id="241" name="Picture 241"/>
            <wp:cNvGraphicFramePr/>
            <a:graphic xmlns:a="http://schemas.openxmlformats.org/drawingml/2006/main">
              <a:graphicData uri="http://schemas.openxmlformats.org/drawingml/2006/picture">
                <pic:pic xmlns:pic="http://schemas.openxmlformats.org/drawingml/2006/picture">
                  <pic:nvPicPr>
                    <pic:cNvPr id="241" name="Picture 241"/>
                    <pic:cNvPicPr/>
                  </pic:nvPicPr>
                  <pic:blipFill>
                    <a:blip r:embed="rId5"/>
                    <a:stretch>
                      <a:fillRect/>
                    </a:stretch>
                  </pic:blipFill>
                  <pic:spPr>
                    <a:xfrm>
                      <a:off x="0" y="0"/>
                      <a:ext cx="5650230" cy="4521835"/>
                    </a:xfrm>
                    <a:prstGeom prst="rect">
                      <a:avLst/>
                    </a:prstGeom>
                  </pic:spPr>
                </pic:pic>
              </a:graphicData>
            </a:graphic>
          </wp:inline>
        </w:drawing>
      </w:r>
      <w:r>
        <w:t xml:space="preserve"> </w:t>
      </w:r>
    </w:p>
    <w:p w14:paraId="56F24CCA" w14:textId="77777777" w:rsidR="006E57E8" w:rsidRDefault="00147D16">
      <w:pPr>
        <w:spacing w:after="586" w:line="265" w:lineRule="auto"/>
        <w:ind w:left="10" w:right="6"/>
        <w:jc w:val="center"/>
      </w:pPr>
      <w:r>
        <w:t xml:space="preserve">Figure 1. Illustrative cyber risk matrix for SFM. </w:t>
      </w:r>
    </w:p>
    <w:p w14:paraId="2878CF9B" w14:textId="77777777" w:rsidR="006E57E8" w:rsidRDefault="00147D16">
      <w:pPr>
        <w:pStyle w:val="Heading1"/>
        <w:ind w:left="225" w:hanging="240"/>
      </w:pPr>
      <w:r>
        <w:t xml:space="preserve">Monitoring and Incident Response </w:t>
      </w:r>
    </w:p>
    <w:p w14:paraId="3DC12834" w14:textId="77777777" w:rsidR="006E57E8" w:rsidRDefault="00147D16">
      <w:pPr>
        <w:ind w:left="-5"/>
      </w:pPr>
      <w:r>
        <w:t>SFM should centralise security logs from firewalls, endpoints, identity systems, cloud services and important OT gateways. A SIEM can correlate alerts, while EDR provides additional visibility into endpoint behaviour. Monitoring should focus on suspicious authentication, privilege escalation, unusual data transfers, malware indicators, repeated failed logins and unexpected changes to production-</w:t>
      </w:r>
      <w:r>
        <w:t xml:space="preserve">network traffic. The NCSC's 10 Steps guidance includes logging and monitoring, incident management, identity and access management and supply-chain security as core components of an organisational security programme [5]. </w:t>
      </w:r>
    </w:p>
    <w:p w14:paraId="363023E4" w14:textId="77777777" w:rsidR="006E57E8" w:rsidRDefault="00147D16">
      <w:pPr>
        <w:ind w:left="-5"/>
      </w:pPr>
      <w:r>
        <w:t>When an alert is generated, the incident-</w:t>
      </w:r>
      <w:r>
        <w:t xml:space="preserve">response process should begin with detection and triage. The security or IT team should classify the incident by severity and identify affected assets. For a suspected ransomware infection, the affected device or network segment should be isolated quickly while preserving relevant evidence. Eradication should remove the cause, credentials should be reset where </w:t>
      </w:r>
      <w:r>
        <w:lastRenderedPageBreak/>
        <w:t>necessary, and systems should only be restored after they are confirmed safe. Recovery should prioritise production-</w:t>
      </w:r>
      <w:r>
        <w:t xml:space="preserve">critical services and verify that backups are clean. </w:t>
      </w:r>
    </w:p>
    <w:p w14:paraId="6FDDA2DD" w14:textId="77777777" w:rsidR="006E57E8" w:rsidRDefault="00147D16">
      <w:pPr>
        <w:spacing w:after="0" w:line="259" w:lineRule="auto"/>
        <w:ind w:left="0" w:right="1024" w:firstLine="0"/>
        <w:jc w:val="left"/>
      </w:pPr>
      <w:r>
        <w:t xml:space="preserve"> </w:t>
      </w:r>
    </w:p>
    <w:p w14:paraId="24BDEB9A" w14:textId="77777777" w:rsidR="006E57E8" w:rsidRDefault="00147D16">
      <w:pPr>
        <w:spacing w:after="0" w:line="259" w:lineRule="auto"/>
        <w:ind w:left="816" w:firstLine="0"/>
        <w:jc w:val="left"/>
      </w:pPr>
      <w:r>
        <w:rPr>
          <w:noProof/>
        </w:rPr>
        <w:drawing>
          <wp:inline distT="0" distB="0" distL="0" distR="0" wp14:anchorId="5C0FF946" wp14:editId="6BDACE4A">
            <wp:extent cx="5052060" cy="3368040"/>
            <wp:effectExtent l="0" t="0" r="0" b="0"/>
            <wp:docPr id="293" name="Picture 293"/>
            <wp:cNvGraphicFramePr/>
            <a:graphic xmlns:a="http://schemas.openxmlformats.org/drawingml/2006/main">
              <a:graphicData uri="http://schemas.openxmlformats.org/drawingml/2006/picture">
                <pic:pic xmlns:pic="http://schemas.openxmlformats.org/drawingml/2006/picture">
                  <pic:nvPicPr>
                    <pic:cNvPr id="293" name="Picture 293"/>
                    <pic:cNvPicPr/>
                  </pic:nvPicPr>
                  <pic:blipFill>
                    <a:blip r:embed="rId6"/>
                    <a:stretch>
                      <a:fillRect/>
                    </a:stretch>
                  </pic:blipFill>
                  <pic:spPr>
                    <a:xfrm>
                      <a:off x="0" y="0"/>
                      <a:ext cx="5052060" cy="3368040"/>
                    </a:xfrm>
                    <a:prstGeom prst="rect">
                      <a:avLst/>
                    </a:prstGeom>
                  </pic:spPr>
                </pic:pic>
              </a:graphicData>
            </a:graphic>
          </wp:inline>
        </w:drawing>
      </w:r>
    </w:p>
    <w:p w14:paraId="25043B67" w14:textId="77777777" w:rsidR="006E57E8" w:rsidRDefault="00147D16">
      <w:pPr>
        <w:spacing w:after="232" w:line="259" w:lineRule="auto"/>
        <w:ind w:left="0" w:right="1024" w:firstLine="0"/>
        <w:jc w:val="left"/>
      </w:pPr>
      <w:r>
        <w:t xml:space="preserve"> </w:t>
      </w:r>
    </w:p>
    <w:p w14:paraId="2E67AAB2" w14:textId="77777777" w:rsidR="006E57E8" w:rsidRDefault="00147D16">
      <w:pPr>
        <w:spacing w:after="229" w:line="265" w:lineRule="auto"/>
        <w:ind w:left="10" w:right="5"/>
        <w:jc w:val="center"/>
      </w:pPr>
      <w:r>
        <w:t xml:space="preserve">Figure 2. Proposed SFM incident-response flow. </w:t>
      </w:r>
    </w:p>
    <w:p w14:paraId="5A0C450E" w14:textId="77777777" w:rsidR="006E57E8" w:rsidRDefault="00147D16">
      <w:pPr>
        <w:spacing w:after="474"/>
        <w:ind w:left="-5"/>
      </w:pPr>
      <w:r>
        <w:t>NIST SP 800-61 Revision 3, published in 2025, integrates incident-response recommendations with CSF 2.0 and stresses preparation, detection, response and recovery across cybersecurity risk management [6]. Where a personal-data breach creates a legal reporting obligation, SFM should involve its data-</w:t>
      </w:r>
      <w:r>
        <w:t xml:space="preserve">protection lead and follow current ICO requirements. Incident records should be retained so that management can review root causes, response times and lessons learned. </w:t>
      </w:r>
    </w:p>
    <w:p w14:paraId="23C2147C" w14:textId="77777777" w:rsidR="006E57E8" w:rsidRDefault="00147D16">
      <w:pPr>
        <w:pStyle w:val="Heading1"/>
        <w:ind w:left="225" w:hanging="240"/>
      </w:pPr>
      <w:r>
        <w:t xml:space="preserve">Training and Awareness </w:t>
      </w:r>
    </w:p>
    <w:p w14:paraId="6798B030" w14:textId="77777777" w:rsidR="006E57E8" w:rsidRDefault="00147D16">
      <w:pPr>
        <w:ind w:left="-5"/>
      </w:pPr>
      <w:r>
        <w:t>Technology will not fully address SFM's risk because employees interact with email, cloud systems, suppliers and production equipment every day. The training programme should begin with induction training covering phishing, password and MFA practices, safe data handling, removable media, remote access and incident reporting. Procurement staff should receive additional training on invoice fraud and supplier impersonation, while engineers should receive practical guidance on OT access, portable devices and re</w:t>
      </w:r>
      <w:r>
        <w:t>porting unusual machine behaviour.</w:t>
      </w:r>
      <w:r>
        <w:t xml:space="preserve"> </w:t>
      </w:r>
    </w:p>
    <w:p w14:paraId="67AC04CA" w14:textId="77777777" w:rsidR="006E57E8" w:rsidRDefault="00147D16">
      <w:pPr>
        <w:spacing w:after="473"/>
        <w:ind w:left="-5"/>
      </w:pPr>
      <w:r>
        <w:lastRenderedPageBreak/>
        <w:t xml:space="preserve">Training should be reinforced quarterly through short sessions and controlled phishing simulations. Staff who repeatedly fail simulations should receive targeted coaching rather than a purely punitive </w:t>
      </w:r>
      <w:r>
        <w:t xml:space="preserve">response. An annual exercise should test whether employees know how to report an incident and whether managers understand escalation responsibilities. The NCSC states that people should be at the heart of cybersecurity and that a positive culture can encourage employees to speak up when something is wrong [7]. Training effectiveness should be measured using completion rates, </w:t>
      </w:r>
      <w:proofErr w:type="spellStart"/>
      <w:r>
        <w:t>phishingreporting</w:t>
      </w:r>
      <w:proofErr w:type="spellEnd"/>
      <w:r>
        <w:t xml:space="preserve"> rates, repeat failures and incident-reporting time. </w:t>
      </w:r>
    </w:p>
    <w:p w14:paraId="4D40B40A" w14:textId="77777777" w:rsidR="006E57E8" w:rsidRDefault="00147D16">
      <w:pPr>
        <w:pStyle w:val="Heading1"/>
        <w:ind w:left="225" w:hanging="240"/>
      </w:pPr>
      <w:r>
        <w:t xml:space="preserve">Governance and Data Protection </w:t>
      </w:r>
    </w:p>
    <w:p w14:paraId="4647CABC" w14:textId="77777777" w:rsidR="006E57E8" w:rsidRDefault="00147D16">
      <w:pPr>
        <w:ind w:left="-5"/>
      </w:pPr>
      <w:r>
        <w:t>Governance should sit with senior management, with clear ownership for cybersecurity, data protection and operational technology. The board should receive a concise dashboard covering critical vulnerabilities, MFA coverage, backup-test results, security incidents, phishing performance and supplier-risk reviews. NIST CSF 2.0's addition of the Govern function makes governance and organisational context explicit within the framework [1]. ISO/IEC 27001 can provide a longer-</w:t>
      </w:r>
      <w:r>
        <w:t xml:space="preserve">term route for formalising policies, risk treatment, responsibilities, internal review and continual improvement [2]. </w:t>
      </w:r>
    </w:p>
    <w:p w14:paraId="4B3965BD" w14:textId="77777777" w:rsidR="006E57E8" w:rsidRDefault="00147D16">
      <w:pPr>
        <w:spacing w:after="476"/>
        <w:ind w:left="-5"/>
      </w:pPr>
      <w:r>
        <w:t>Where SFM processes employee, customer or supplier personal data, the UK GDPR requires security appropriate to the risk. The ICO guidance emphasises governance, access control, data security, system security and regular testing [3]. SFM should therefore maintain appropriate records, review processors and suppliers, minimise unnecessary personal data and assess high-</w:t>
      </w:r>
      <w:r>
        <w:t xml:space="preserve">risk processing where a DPIA is required. </w:t>
      </w:r>
    </w:p>
    <w:p w14:paraId="7400DC86" w14:textId="77777777" w:rsidR="006E57E8" w:rsidRDefault="00147D16">
      <w:pPr>
        <w:pStyle w:val="Heading1"/>
        <w:ind w:left="225" w:hanging="240"/>
      </w:pPr>
      <w:r>
        <w:t xml:space="preserve">Conclusion </w:t>
      </w:r>
    </w:p>
    <w:p w14:paraId="6018EADA" w14:textId="77777777" w:rsidR="006E57E8" w:rsidRDefault="00147D16">
      <w:pPr>
        <w:ind w:left="-5"/>
      </w:pPr>
      <w:r>
        <w:t>SFM's smart manufacturing environment creates a strong business case for integrated cybersecurity because an attack could affect information, production and operational continuity at the same time. The most important risks are ransomware, phishing, credential compromise, supply-</w:t>
      </w:r>
      <w:r>
        <w:t xml:space="preserve">chain attacks and weaknesses in connected OT/IoT environments. The recommended solution combines governance with practical controls: MFA, least privilege, segmentation, EDR, secure configuration, vulnerability management, encryption, resilient backups, central monitoring and a tested incident-response process. </w:t>
      </w:r>
    </w:p>
    <w:p w14:paraId="36F695DF" w14:textId="77777777" w:rsidR="006E57E8" w:rsidRDefault="00147D16">
      <w:pPr>
        <w:ind w:left="-5"/>
      </w:pPr>
      <w:r>
        <w:t xml:space="preserve">The proposal is deliberately phased so that SFM can reduce its highest risks first without attempting to replace every production technology immediately. NIST CSF 2.0 provides a practical structure for risk </w:t>
      </w:r>
      <w:r>
        <w:lastRenderedPageBreak/>
        <w:t xml:space="preserve">management, while ISO/IEC 27001 supports longer-term governance and continual improvement. Staff training completes the approach by making security part of everyday work. </w:t>
      </w:r>
    </w:p>
    <w:p w14:paraId="2CE05C56" w14:textId="77777777" w:rsidR="006E57E8" w:rsidRDefault="00147D16">
      <w:pPr>
        <w:spacing w:after="476"/>
        <w:ind w:left="-5"/>
      </w:pPr>
      <w:r>
        <w:t xml:space="preserve">Together, these measures should reduce the likelihood of successful attacks, limit their spread and improve SFM's ability to recover production and data safely. </w:t>
      </w:r>
    </w:p>
    <w:p w14:paraId="36431E4B" w14:textId="77777777" w:rsidR="006E57E8" w:rsidRDefault="00147D16">
      <w:pPr>
        <w:pStyle w:val="Heading1"/>
        <w:numPr>
          <w:ilvl w:val="0"/>
          <w:numId w:val="0"/>
        </w:numPr>
        <w:ind w:left="-5"/>
      </w:pPr>
      <w:r>
        <w:t xml:space="preserve">References </w:t>
      </w:r>
    </w:p>
    <w:p w14:paraId="47EDEEEC" w14:textId="77777777" w:rsidR="006E57E8" w:rsidRDefault="00147D16">
      <w:pPr>
        <w:numPr>
          <w:ilvl w:val="0"/>
          <w:numId w:val="1"/>
        </w:numPr>
        <w:spacing w:after="163"/>
        <w:ind w:hanging="422"/>
      </w:pPr>
      <w:r>
        <w:t xml:space="preserve">C. Pascoe, S. Quinn and K. Scarfone, “The NIST Cybersecurity Framework (CSF) 2.0,” NIST Cybersecurity White Paper 29, National Institute of Standards and Technology, 2024. [Online]. Available: https://doi.org/10.6028/NIST.CSWP.29 </w:t>
      </w:r>
    </w:p>
    <w:p w14:paraId="0DF3BF1C" w14:textId="77777777" w:rsidR="006E57E8" w:rsidRDefault="00147D16">
      <w:pPr>
        <w:numPr>
          <w:ilvl w:val="0"/>
          <w:numId w:val="1"/>
        </w:numPr>
        <w:ind w:hanging="422"/>
      </w:pPr>
      <w:r>
        <w:t xml:space="preserve">ISO/IEC, “ISO/IEC 27001:2022 Information security, cybersecurity and privacy protection — </w:t>
      </w:r>
      <w:r>
        <w:t xml:space="preserve">Information security management systems — Requirements,” International Organization for Standardization, 2022. [Online]. Available: https://www.iso.org/standard/27001.html </w:t>
      </w:r>
    </w:p>
    <w:p w14:paraId="5AF753D0" w14:textId="77777777" w:rsidR="006E57E8" w:rsidRDefault="00147D16">
      <w:pPr>
        <w:numPr>
          <w:ilvl w:val="0"/>
          <w:numId w:val="1"/>
        </w:numPr>
        <w:spacing w:line="259" w:lineRule="auto"/>
        <w:ind w:hanging="422"/>
      </w:pPr>
      <w:r>
        <w:t xml:space="preserve">Information Commissioner's Office, “Security outcomes,” ICO, 2026. [Online]. Available: </w:t>
      </w:r>
    </w:p>
    <w:p w14:paraId="5D5726B5" w14:textId="77777777" w:rsidR="006E57E8" w:rsidRDefault="00147D16">
      <w:pPr>
        <w:ind w:left="-5"/>
      </w:pPr>
      <w:r>
        <w:t xml:space="preserve">https://ico.org.uk/for-organisations/uk-gdpr-guidance-and-resources/security/a-guide-to-datasecurity/security-outcomes/ </w:t>
      </w:r>
    </w:p>
    <w:p w14:paraId="7374C6EA" w14:textId="77777777" w:rsidR="006E57E8" w:rsidRDefault="00147D16">
      <w:pPr>
        <w:numPr>
          <w:ilvl w:val="0"/>
          <w:numId w:val="1"/>
        </w:numPr>
        <w:ind w:hanging="422"/>
      </w:pPr>
      <w:r>
        <w:t xml:space="preserve">Information Commissioner's Office, “Encryption and data protection,” ICO, 2026. [Online]. Available:  </w:t>
      </w:r>
    </w:p>
    <w:p w14:paraId="6200050E" w14:textId="77777777" w:rsidR="006E57E8" w:rsidRDefault="00147D16">
      <w:pPr>
        <w:ind w:left="-5"/>
      </w:pPr>
      <w:r>
        <w:t>https://ico.org.uk/for-</w:t>
      </w:r>
      <w:r>
        <w:t xml:space="preserve">organisations/uk-gdpr-guidance-and-resources/security/encryption/encryptionand-data-protection/ </w:t>
      </w:r>
    </w:p>
    <w:p w14:paraId="35CEC247" w14:textId="77777777" w:rsidR="006E57E8" w:rsidRDefault="00147D16">
      <w:pPr>
        <w:numPr>
          <w:ilvl w:val="0"/>
          <w:numId w:val="1"/>
        </w:numPr>
        <w:ind w:hanging="422"/>
      </w:pPr>
      <w:r>
        <w:t xml:space="preserve">National Cyber Security Centre, “10 Steps to Cyber Security,” NCSC, 2021. [Online]. Available: https://www.ncsc.gov.uk/collection/10-steps </w:t>
      </w:r>
    </w:p>
    <w:p w14:paraId="57FFEF9D" w14:textId="77777777" w:rsidR="006E57E8" w:rsidRDefault="00147D16">
      <w:pPr>
        <w:numPr>
          <w:ilvl w:val="0"/>
          <w:numId w:val="1"/>
        </w:numPr>
        <w:spacing w:after="151" w:line="259" w:lineRule="auto"/>
        <w:ind w:hanging="422"/>
      </w:pPr>
      <w:r>
        <w:t xml:space="preserve">A. Nelson, S. Rekhi, M. </w:t>
      </w:r>
      <w:proofErr w:type="spellStart"/>
      <w:r>
        <w:t>Souppaya</w:t>
      </w:r>
      <w:proofErr w:type="spellEnd"/>
      <w:r>
        <w:t xml:space="preserve"> and K. Scarfone, “Incident Response Recommendations and </w:t>
      </w:r>
    </w:p>
    <w:p w14:paraId="1098415D" w14:textId="77777777" w:rsidR="006E57E8" w:rsidRDefault="00147D16">
      <w:pPr>
        <w:spacing w:line="259" w:lineRule="auto"/>
        <w:ind w:left="-5"/>
      </w:pPr>
      <w:r>
        <w:t>Considerations for Cybersecurity Risk Management: A CSF 2.0 Community Profile,” NIST SP 800-</w:t>
      </w:r>
    </w:p>
    <w:p w14:paraId="3C1052C5" w14:textId="77777777" w:rsidR="006E57E8" w:rsidRDefault="00147D16">
      <w:pPr>
        <w:spacing w:after="232" w:line="259" w:lineRule="auto"/>
        <w:ind w:left="-5"/>
      </w:pPr>
      <w:r>
        <w:t xml:space="preserve">61 Rev. 3, 2025. [Online]. Available: https://doi.org/10.6028/NIST.SP.800-61r3 </w:t>
      </w:r>
    </w:p>
    <w:p w14:paraId="59441C11" w14:textId="77777777" w:rsidR="006E57E8" w:rsidRDefault="00147D16">
      <w:pPr>
        <w:ind w:left="-5"/>
      </w:pPr>
      <w:r>
        <w:t xml:space="preserve">[7] National Cyber Security Centre, “10 Steps to Cyber Security: Engagement and training,” NCSC, 2021. [Online]. Available: https://www.ncsc.gov.uk/collection/10-steps/engagement-and-training </w:t>
      </w:r>
      <w:r>
        <w:rPr>
          <w:b/>
          <w:color w:val="365F91"/>
        </w:rPr>
        <w:t xml:space="preserve">Appendix A – Supporting Diagrams </w:t>
      </w:r>
    </w:p>
    <w:p w14:paraId="24F5A37A" w14:textId="77777777" w:rsidR="006E57E8" w:rsidRDefault="00147D16">
      <w:pPr>
        <w:spacing w:after="182" w:line="259" w:lineRule="auto"/>
        <w:ind w:left="0" w:right="374" w:firstLine="0"/>
        <w:jc w:val="right"/>
      </w:pPr>
      <w:r>
        <w:rPr>
          <w:noProof/>
        </w:rPr>
        <w:lastRenderedPageBreak/>
        <w:drawing>
          <wp:inline distT="0" distB="0" distL="0" distR="0" wp14:anchorId="4428E13F" wp14:editId="6F560B2B">
            <wp:extent cx="5943600" cy="3566160"/>
            <wp:effectExtent l="0" t="0" r="0" b="0"/>
            <wp:docPr id="486" name="Picture 486"/>
            <wp:cNvGraphicFramePr/>
            <a:graphic xmlns:a="http://schemas.openxmlformats.org/drawingml/2006/main">
              <a:graphicData uri="http://schemas.openxmlformats.org/drawingml/2006/picture">
                <pic:pic xmlns:pic="http://schemas.openxmlformats.org/drawingml/2006/picture">
                  <pic:nvPicPr>
                    <pic:cNvPr id="486" name="Picture 486"/>
                    <pic:cNvPicPr/>
                  </pic:nvPicPr>
                  <pic:blipFill>
                    <a:blip r:embed="rId7"/>
                    <a:stretch>
                      <a:fillRect/>
                    </a:stretch>
                  </pic:blipFill>
                  <pic:spPr>
                    <a:xfrm>
                      <a:off x="0" y="0"/>
                      <a:ext cx="5943600" cy="3566160"/>
                    </a:xfrm>
                    <a:prstGeom prst="rect">
                      <a:avLst/>
                    </a:prstGeom>
                  </pic:spPr>
                </pic:pic>
              </a:graphicData>
            </a:graphic>
          </wp:inline>
        </w:drawing>
      </w:r>
      <w:r>
        <w:t xml:space="preserve"> </w:t>
      </w:r>
    </w:p>
    <w:p w14:paraId="7E8D36FD" w14:textId="77777777" w:rsidR="006E57E8" w:rsidRDefault="00147D16">
      <w:pPr>
        <w:spacing w:after="223" w:line="259" w:lineRule="auto"/>
        <w:ind w:left="-5"/>
      </w:pPr>
      <w:r>
        <w:t xml:space="preserve">Figure A1. Proposed SFM defence architecture. </w:t>
      </w:r>
    </w:p>
    <w:p w14:paraId="0A83868B" w14:textId="77777777" w:rsidR="006E57E8" w:rsidRDefault="00147D16">
      <w:pPr>
        <w:spacing w:after="180" w:line="259" w:lineRule="auto"/>
        <w:ind w:left="0" w:right="1778" w:firstLine="0"/>
        <w:jc w:val="right"/>
      </w:pPr>
      <w:r>
        <w:rPr>
          <w:noProof/>
        </w:rPr>
        <w:drawing>
          <wp:inline distT="0" distB="0" distL="0" distR="0" wp14:anchorId="52F7764B" wp14:editId="7A81F6E1">
            <wp:extent cx="5052060" cy="3368040"/>
            <wp:effectExtent l="0" t="0" r="0" b="0"/>
            <wp:docPr id="488" name="Picture 488"/>
            <wp:cNvGraphicFramePr/>
            <a:graphic xmlns:a="http://schemas.openxmlformats.org/drawingml/2006/main">
              <a:graphicData uri="http://schemas.openxmlformats.org/drawingml/2006/picture">
                <pic:pic xmlns:pic="http://schemas.openxmlformats.org/drawingml/2006/picture">
                  <pic:nvPicPr>
                    <pic:cNvPr id="488" name="Picture 488"/>
                    <pic:cNvPicPr/>
                  </pic:nvPicPr>
                  <pic:blipFill>
                    <a:blip r:embed="rId6"/>
                    <a:stretch>
                      <a:fillRect/>
                    </a:stretch>
                  </pic:blipFill>
                  <pic:spPr>
                    <a:xfrm>
                      <a:off x="0" y="0"/>
                      <a:ext cx="5052060" cy="3368040"/>
                    </a:xfrm>
                    <a:prstGeom prst="rect">
                      <a:avLst/>
                    </a:prstGeom>
                  </pic:spPr>
                </pic:pic>
              </a:graphicData>
            </a:graphic>
          </wp:inline>
        </w:drawing>
      </w:r>
      <w:r>
        <w:t xml:space="preserve"> </w:t>
      </w:r>
    </w:p>
    <w:p w14:paraId="72CD3512" w14:textId="77777777" w:rsidR="006E57E8" w:rsidRDefault="00147D16">
      <w:pPr>
        <w:spacing w:after="235" w:line="259" w:lineRule="auto"/>
        <w:ind w:left="-5"/>
      </w:pPr>
      <w:r>
        <w:t xml:space="preserve">Figure A2. Incident-response flow. </w:t>
      </w:r>
    </w:p>
    <w:p w14:paraId="4579E4AE" w14:textId="77777777" w:rsidR="006E57E8" w:rsidRDefault="00147D16">
      <w:pPr>
        <w:spacing w:after="0" w:line="259" w:lineRule="auto"/>
        <w:ind w:left="0" w:firstLine="0"/>
        <w:jc w:val="left"/>
      </w:pPr>
      <w:r>
        <w:t xml:space="preserve"> </w:t>
      </w:r>
      <w:r>
        <w:tab/>
        <w:t xml:space="preserve"> </w:t>
      </w:r>
    </w:p>
    <w:p w14:paraId="7046CBD6" w14:textId="77777777" w:rsidR="006E57E8" w:rsidRDefault="00147D16">
      <w:pPr>
        <w:pStyle w:val="Heading1"/>
        <w:numPr>
          <w:ilvl w:val="0"/>
          <w:numId w:val="0"/>
        </w:numPr>
        <w:ind w:left="-5"/>
      </w:pPr>
      <w:r>
        <w:lastRenderedPageBreak/>
        <w:t xml:space="preserve">Appendix B – Board Presentation </w:t>
      </w:r>
    </w:p>
    <w:p w14:paraId="6706CEC5" w14:textId="77777777" w:rsidR="006E57E8" w:rsidRDefault="00147D16">
      <w:pPr>
        <w:ind w:left="-5"/>
      </w:pPr>
      <w:r>
        <w:t>The following section corresponds to the 10-</w:t>
      </w:r>
      <w:r>
        <w:t xml:space="preserve">minute Board of Directors presentation supplied as a separate PowerPoint file. The presentation summarises the main threats, policy recommendations, mitigation architecture, monitoring plan, training programme and implementation roadmap. </w:t>
      </w:r>
    </w:p>
    <w:p w14:paraId="0B37497D" w14:textId="77777777" w:rsidR="006E57E8" w:rsidRDefault="00147D16">
      <w:pPr>
        <w:spacing w:after="180" w:line="259" w:lineRule="auto"/>
        <w:ind w:left="0" w:right="662" w:firstLine="0"/>
        <w:jc w:val="right"/>
      </w:pPr>
      <w:r>
        <w:rPr>
          <w:noProof/>
        </w:rPr>
        <w:drawing>
          <wp:inline distT="0" distB="0" distL="0" distR="0" wp14:anchorId="66E91B8F" wp14:editId="17D326AD">
            <wp:extent cx="5760720" cy="3360420"/>
            <wp:effectExtent l="0" t="0" r="0" b="0"/>
            <wp:docPr id="508" name="Picture 508"/>
            <wp:cNvGraphicFramePr/>
            <a:graphic xmlns:a="http://schemas.openxmlformats.org/drawingml/2006/main">
              <a:graphicData uri="http://schemas.openxmlformats.org/drawingml/2006/picture">
                <pic:pic xmlns:pic="http://schemas.openxmlformats.org/drawingml/2006/picture">
                  <pic:nvPicPr>
                    <pic:cNvPr id="508" name="Picture 508"/>
                    <pic:cNvPicPr/>
                  </pic:nvPicPr>
                  <pic:blipFill>
                    <a:blip r:embed="rId8"/>
                    <a:stretch>
                      <a:fillRect/>
                    </a:stretch>
                  </pic:blipFill>
                  <pic:spPr>
                    <a:xfrm>
                      <a:off x="0" y="0"/>
                      <a:ext cx="5760720" cy="3360420"/>
                    </a:xfrm>
                    <a:prstGeom prst="rect">
                      <a:avLst/>
                    </a:prstGeom>
                  </pic:spPr>
                </pic:pic>
              </a:graphicData>
            </a:graphic>
          </wp:inline>
        </w:drawing>
      </w:r>
      <w:r>
        <w:t xml:space="preserve"> </w:t>
      </w:r>
    </w:p>
    <w:p w14:paraId="630B05CB" w14:textId="77777777" w:rsidR="006E57E8" w:rsidRDefault="00147D16">
      <w:pPr>
        <w:spacing w:after="224" w:line="259" w:lineRule="auto"/>
        <w:ind w:left="-5"/>
      </w:pPr>
      <w:r>
        <w:t xml:space="preserve">Appendix B Figure 1. Board presentation </w:t>
      </w:r>
      <w:proofErr w:type="gramStart"/>
      <w:r>
        <w:t>slide</w:t>
      </w:r>
      <w:proofErr w:type="gramEnd"/>
      <w:r>
        <w:t xml:space="preserve"> 1. </w:t>
      </w:r>
    </w:p>
    <w:p w14:paraId="38EA1E3B" w14:textId="77777777" w:rsidR="006E57E8" w:rsidRDefault="00147D16">
      <w:pPr>
        <w:spacing w:after="0" w:line="259" w:lineRule="auto"/>
        <w:ind w:left="0" w:right="662" w:firstLine="0"/>
        <w:jc w:val="right"/>
      </w:pPr>
      <w:r>
        <w:rPr>
          <w:noProof/>
        </w:rPr>
        <w:drawing>
          <wp:inline distT="0" distB="0" distL="0" distR="0" wp14:anchorId="1A7F79A4" wp14:editId="276A444C">
            <wp:extent cx="5760720" cy="3360420"/>
            <wp:effectExtent l="0" t="0" r="0" b="0"/>
            <wp:docPr id="510" name="Picture 510"/>
            <wp:cNvGraphicFramePr/>
            <a:graphic xmlns:a="http://schemas.openxmlformats.org/drawingml/2006/main">
              <a:graphicData uri="http://schemas.openxmlformats.org/drawingml/2006/picture">
                <pic:pic xmlns:pic="http://schemas.openxmlformats.org/drawingml/2006/picture">
                  <pic:nvPicPr>
                    <pic:cNvPr id="510" name="Picture 510"/>
                    <pic:cNvPicPr/>
                  </pic:nvPicPr>
                  <pic:blipFill>
                    <a:blip r:embed="rId9"/>
                    <a:stretch>
                      <a:fillRect/>
                    </a:stretch>
                  </pic:blipFill>
                  <pic:spPr>
                    <a:xfrm>
                      <a:off x="0" y="0"/>
                      <a:ext cx="5760720" cy="3360420"/>
                    </a:xfrm>
                    <a:prstGeom prst="rect">
                      <a:avLst/>
                    </a:prstGeom>
                  </pic:spPr>
                </pic:pic>
              </a:graphicData>
            </a:graphic>
          </wp:inline>
        </w:drawing>
      </w:r>
      <w:r>
        <w:t xml:space="preserve"> </w:t>
      </w:r>
    </w:p>
    <w:p w14:paraId="08967CFA" w14:textId="77777777" w:rsidR="006E57E8" w:rsidRDefault="00147D16">
      <w:pPr>
        <w:spacing w:after="224" w:line="259" w:lineRule="auto"/>
        <w:ind w:left="-5"/>
      </w:pPr>
      <w:r>
        <w:t xml:space="preserve">Appendix B Figure 2. Board presentation </w:t>
      </w:r>
      <w:proofErr w:type="gramStart"/>
      <w:r>
        <w:t>slide</w:t>
      </w:r>
      <w:proofErr w:type="gramEnd"/>
      <w:r>
        <w:t xml:space="preserve"> 2. </w:t>
      </w:r>
    </w:p>
    <w:p w14:paraId="10453780" w14:textId="77777777" w:rsidR="006E57E8" w:rsidRDefault="00147D16">
      <w:pPr>
        <w:spacing w:after="182" w:line="259" w:lineRule="auto"/>
        <w:ind w:left="0" w:right="662" w:firstLine="0"/>
        <w:jc w:val="right"/>
      </w:pPr>
      <w:r>
        <w:rPr>
          <w:noProof/>
        </w:rPr>
        <w:lastRenderedPageBreak/>
        <w:drawing>
          <wp:inline distT="0" distB="0" distL="0" distR="0" wp14:anchorId="32CAE888" wp14:editId="2D4789D7">
            <wp:extent cx="5760720" cy="3360421"/>
            <wp:effectExtent l="0" t="0" r="0" b="0"/>
            <wp:docPr id="522" name="Picture 522"/>
            <wp:cNvGraphicFramePr/>
            <a:graphic xmlns:a="http://schemas.openxmlformats.org/drawingml/2006/main">
              <a:graphicData uri="http://schemas.openxmlformats.org/drawingml/2006/picture">
                <pic:pic xmlns:pic="http://schemas.openxmlformats.org/drawingml/2006/picture">
                  <pic:nvPicPr>
                    <pic:cNvPr id="522" name="Picture 522"/>
                    <pic:cNvPicPr/>
                  </pic:nvPicPr>
                  <pic:blipFill>
                    <a:blip r:embed="rId10"/>
                    <a:stretch>
                      <a:fillRect/>
                    </a:stretch>
                  </pic:blipFill>
                  <pic:spPr>
                    <a:xfrm>
                      <a:off x="0" y="0"/>
                      <a:ext cx="5760720" cy="3360421"/>
                    </a:xfrm>
                    <a:prstGeom prst="rect">
                      <a:avLst/>
                    </a:prstGeom>
                  </pic:spPr>
                </pic:pic>
              </a:graphicData>
            </a:graphic>
          </wp:inline>
        </w:drawing>
      </w:r>
      <w:r>
        <w:t xml:space="preserve"> </w:t>
      </w:r>
    </w:p>
    <w:p w14:paraId="4A6ED136" w14:textId="77777777" w:rsidR="006E57E8" w:rsidRDefault="00147D16">
      <w:pPr>
        <w:spacing w:after="223" w:line="259" w:lineRule="auto"/>
        <w:ind w:left="-5"/>
      </w:pPr>
      <w:r>
        <w:t xml:space="preserve">Appendix B Figure 3. Board presentation </w:t>
      </w:r>
      <w:proofErr w:type="gramStart"/>
      <w:r>
        <w:t>slide</w:t>
      </w:r>
      <w:proofErr w:type="gramEnd"/>
      <w:r>
        <w:t xml:space="preserve"> 3. </w:t>
      </w:r>
    </w:p>
    <w:p w14:paraId="185CE8CD" w14:textId="77777777" w:rsidR="006E57E8" w:rsidRDefault="00147D16">
      <w:pPr>
        <w:spacing w:after="182" w:line="259" w:lineRule="auto"/>
        <w:ind w:left="0" w:right="662" w:firstLine="0"/>
        <w:jc w:val="right"/>
      </w:pPr>
      <w:r>
        <w:rPr>
          <w:noProof/>
        </w:rPr>
        <w:drawing>
          <wp:inline distT="0" distB="0" distL="0" distR="0" wp14:anchorId="2C7FCE2E" wp14:editId="3E1582B8">
            <wp:extent cx="5760720" cy="3360420"/>
            <wp:effectExtent l="0" t="0" r="0" b="0"/>
            <wp:docPr id="524" name="Picture 524"/>
            <wp:cNvGraphicFramePr/>
            <a:graphic xmlns:a="http://schemas.openxmlformats.org/drawingml/2006/main">
              <a:graphicData uri="http://schemas.openxmlformats.org/drawingml/2006/picture">
                <pic:pic xmlns:pic="http://schemas.openxmlformats.org/drawingml/2006/picture">
                  <pic:nvPicPr>
                    <pic:cNvPr id="524" name="Picture 524"/>
                    <pic:cNvPicPr/>
                  </pic:nvPicPr>
                  <pic:blipFill>
                    <a:blip r:embed="rId11"/>
                    <a:stretch>
                      <a:fillRect/>
                    </a:stretch>
                  </pic:blipFill>
                  <pic:spPr>
                    <a:xfrm>
                      <a:off x="0" y="0"/>
                      <a:ext cx="5760720" cy="3360420"/>
                    </a:xfrm>
                    <a:prstGeom prst="rect">
                      <a:avLst/>
                    </a:prstGeom>
                  </pic:spPr>
                </pic:pic>
              </a:graphicData>
            </a:graphic>
          </wp:inline>
        </w:drawing>
      </w:r>
      <w:r>
        <w:t xml:space="preserve"> </w:t>
      </w:r>
    </w:p>
    <w:p w14:paraId="3F5BAE54" w14:textId="77777777" w:rsidR="006E57E8" w:rsidRDefault="00147D16">
      <w:pPr>
        <w:spacing w:line="259" w:lineRule="auto"/>
        <w:ind w:left="-5"/>
      </w:pPr>
      <w:r>
        <w:t xml:space="preserve">Appendix B Figure 4. Board presentation </w:t>
      </w:r>
      <w:proofErr w:type="gramStart"/>
      <w:r>
        <w:t>slide</w:t>
      </w:r>
      <w:proofErr w:type="gramEnd"/>
      <w:r>
        <w:t xml:space="preserve"> 4. </w:t>
      </w:r>
    </w:p>
    <w:p w14:paraId="3B3BACA6" w14:textId="77777777" w:rsidR="006E57E8" w:rsidRDefault="00147D16">
      <w:pPr>
        <w:spacing w:after="180" w:line="259" w:lineRule="auto"/>
        <w:ind w:left="0" w:right="662" w:firstLine="0"/>
        <w:jc w:val="right"/>
      </w:pPr>
      <w:r>
        <w:rPr>
          <w:noProof/>
        </w:rPr>
        <w:lastRenderedPageBreak/>
        <w:drawing>
          <wp:inline distT="0" distB="0" distL="0" distR="0" wp14:anchorId="5A4495AC" wp14:editId="142ED69B">
            <wp:extent cx="5760720" cy="3360420"/>
            <wp:effectExtent l="0" t="0" r="0" b="0"/>
            <wp:docPr id="534" name="Picture 534"/>
            <wp:cNvGraphicFramePr/>
            <a:graphic xmlns:a="http://schemas.openxmlformats.org/drawingml/2006/main">
              <a:graphicData uri="http://schemas.openxmlformats.org/drawingml/2006/picture">
                <pic:pic xmlns:pic="http://schemas.openxmlformats.org/drawingml/2006/picture">
                  <pic:nvPicPr>
                    <pic:cNvPr id="534" name="Picture 534"/>
                    <pic:cNvPicPr/>
                  </pic:nvPicPr>
                  <pic:blipFill>
                    <a:blip r:embed="rId12"/>
                    <a:stretch>
                      <a:fillRect/>
                    </a:stretch>
                  </pic:blipFill>
                  <pic:spPr>
                    <a:xfrm>
                      <a:off x="0" y="0"/>
                      <a:ext cx="5760720" cy="3360420"/>
                    </a:xfrm>
                    <a:prstGeom prst="rect">
                      <a:avLst/>
                    </a:prstGeom>
                  </pic:spPr>
                </pic:pic>
              </a:graphicData>
            </a:graphic>
          </wp:inline>
        </w:drawing>
      </w:r>
      <w:r>
        <w:t xml:space="preserve"> </w:t>
      </w:r>
    </w:p>
    <w:p w14:paraId="7B5B37DD" w14:textId="77777777" w:rsidR="006E57E8" w:rsidRDefault="00147D16">
      <w:pPr>
        <w:spacing w:after="0" w:line="259" w:lineRule="auto"/>
        <w:ind w:left="-5"/>
      </w:pPr>
      <w:r>
        <w:t xml:space="preserve">Appendix B Figure 5. Board presentation </w:t>
      </w:r>
      <w:proofErr w:type="gramStart"/>
      <w:r>
        <w:t>slide</w:t>
      </w:r>
      <w:proofErr w:type="gramEnd"/>
      <w:r>
        <w:t xml:space="preserve"> 5. </w:t>
      </w:r>
    </w:p>
    <w:p w14:paraId="757B1823" w14:textId="77777777" w:rsidR="006E57E8" w:rsidRDefault="00147D16">
      <w:pPr>
        <w:spacing w:after="268" w:line="259" w:lineRule="auto"/>
        <w:ind w:left="0" w:firstLine="0"/>
        <w:jc w:val="left"/>
      </w:pPr>
      <w:r>
        <w:rPr>
          <w:noProof/>
        </w:rPr>
        <w:drawing>
          <wp:inline distT="0" distB="0" distL="0" distR="0" wp14:anchorId="63EBBA18" wp14:editId="654F16FD">
            <wp:extent cx="5760720" cy="3360420"/>
            <wp:effectExtent l="0" t="0" r="0" b="0"/>
            <wp:docPr id="536" name="Picture 536"/>
            <wp:cNvGraphicFramePr/>
            <a:graphic xmlns:a="http://schemas.openxmlformats.org/drawingml/2006/main">
              <a:graphicData uri="http://schemas.openxmlformats.org/drawingml/2006/picture">
                <pic:pic xmlns:pic="http://schemas.openxmlformats.org/drawingml/2006/picture">
                  <pic:nvPicPr>
                    <pic:cNvPr id="536" name="Picture 536"/>
                    <pic:cNvPicPr/>
                  </pic:nvPicPr>
                  <pic:blipFill>
                    <a:blip r:embed="rId13"/>
                    <a:stretch>
                      <a:fillRect/>
                    </a:stretch>
                  </pic:blipFill>
                  <pic:spPr>
                    <a:xfrm>
                      <a:off x="0" y="0"/>
                      <a:ext cx="5760720" cy="3360420"/>
                    </a:xfrm>
                    <a:prstGeom prst="rect">
                      <a:avLst/>
                    </a:prstGeom>
                  </pic:spPr>
                </pic:pic>
              </a:graphicData>
            </a:graphic>
          </wp:inline>
        </w:drawing>
      </w:r>
    </w:p>
    <w:p w14:paraId="0E59E47D" w14:textId="77777777" w:rsidR="006E57E8" w:rsidRDefault="00147D16">
      <w:pPr>
        <w:spacing w:line="259" w:lineRule="auto"/>
        <w:ind w:left="-5"/>
      </w:pPr>
      <w:r>
        <w:t xml:space="preserve">Appendix B Figure 6. Board presentation </w:t>
      </w:r>
      <w:proofErr w:type="gramStart"/>
      <w:r>
        <w:t>slide</w:t>
      </w:r>
      <w:proofErr w:type="gramEnd"/>
      <w:r>
        <w:t xml:space="preserve"> 6. </w:t>
      </w:r>
    </w:p>
    <w:p w14:paraId="299F46EF" w14:textId="77777777" w:rsidR="006E57E8" w:rsidRDefault="00147D16">
      <w:pPr>
        <w:spacing w:after="180" w:line="259" w:lineRule="auto"/>
        <w:ind w:left="0" w:right="662" w:firstLine="0"/>
        <w:jc w:val="right"/>
      </w:pPr>
      <w:r>
        <w:rPr>
          <w:noProof/>
        </w:rPr>
        <w:lastRenderedPageBreak/>
        <w:drawing>
          <wp:inline distT="0" distB="0" distL="0" distR="0" wp14:anchorId="2631D3CF" wp14:editId="60977541">
            <wp:extent cx="5760720" cy="3360420"/>
            <wp:effectExtent l="0" t="0" r="0" b="0"/>
            <wp:docPr id="546" name="Picture 546"/>
            <wp:cNvGraphicFramePr/>
            <a:graphic xmlns:a="http://schemas.openxmlformats.org/drawingml/2006/main">
              <a:graphicData uri="http://schemas.openxmlformats.org/drawingml/2006/picture">
                <pic:pic xmlns:pic="http://schemas.openxmlformats.org/drawingml/2006/picture">
                  <pic:nvPicPr>
                    <pic:cNvPr id="546" name="Picture 546"/>
                    <pic:cNvPicPr/>
                  </pic:nvPicPr>
                  <pic:blipFill>
                    <a:blip r:embed="rId14"/>
                    <a:stretch>
                      <a:fillRect/>
                    </a:stretch>
                  </pic:blipFill>
                  <pic:spPr>
                    <a:xfrm>
                      <a:off x="0" y="0"/>
                      <a:ext cx="5760720" cy="3360420"/>
                    </a:xfrm>
                    <a:prstGeom prst="rect">
                      <a:avLst/>
                    </a:prstGeom>
                  </pic:spPr>
                </pic:pic>
              </a:graphicData>
            </a:graphic>
          </wp:inline>
        </w:drawing>
      </w:r>
      <w:r>
        <w:t xml:space="preserve"> </w:t>
      </w:r>
    </w:p>
    <w:p w14:paraId="5E710927" w14:textId="77777777" w:rsidR="006E57E8" w:rsidRDefault="00147D16">
      <w:pPr>
        <w:spacing w:after="0" w:line="259" w:lineRule="auto"/>
        <w:ind w:left="-5"/>
      </w:pPr>
      <w:r>
        <w:t xml:space="preserve">Appendix B Figure 7. Board presentation </w:t>
      </w:r>
      <w:proofErr w:type="gramStart"/>
      <w:r>
        <w:t>slide</w:t>
      </w:r>
      <w:proofErr w:type="gramEnd"/>
      <w:r>
        <w:t xml:space="preserve"> 7. </w:t>
      </w:r>
    </w:p>
    <w:p w14:paraId="3178FE34" w14:textId="77777777" w:rsidR="006E57E8" w:rsidRDefault="00147D16">
      <w:pPr>
        <w:spacing w:after="268" w:line="259" w:lineRule="auto"/>
        <w:ind w:left="0" w:firstLine="0"/>
        <w:jc w:val="left"/>
      </w:pPr>
      <w:r>
        <w:rPr>
          <w:noProof/>
        </w:rPr>
        <w:drawing>
          <wp:inline distT="0" distB="0" distL="0" distR="0" wp14:anchorId="2D7A1C46" wp14:editId="409B8538">
            <wp:extent cx="5760720" cy="3360420"/>
            <wp:effectExtent l="0" t="0" r="0" b="0"/>
            <wp:docPr id="548" name="Picture 548"/>
            <wp:cNvGraphicFramePr/>
            <a:graphic xmlns:a="http://schemas.openxmlformats.org/drawingml/2006/main">
              <a:graphicData uri="http://schemas.openxmlformats.org/drawingml/2006/picture">
                <pic:pic xmlns:pic="http://schemas.openxmlformats.org/drawingml/2006/picture">
                  <pic:nvPicPr>
                    <pic:cNvPr id="548" name="Picture 548"/>
                    <pic:cNvPicPr/>
                  </pic:nvPicPr>
                  <pic:blipFill>
                    <a:blip r:embed="rId15"/>
                    <a:stretch>
                      <a:fillRect/>
                    </a:stretch>
                  </pic:blipFill>
                  <pic:spPr>
                    <a:xfrm>
                      <a:off x="0" y="0"/>
                      <a:ext cx="5760720" cy="3360420"/>
                    </a:xfrm>
                    <a:prstGeom prst="rect">
                      <a:avLst/>
                    </a:prstGeom>
                  </pic:spPr>
                </pic:pic>
              </a:graphicData>
            </a:graphic>
          </wp:inline>
        </w:drawing>
      </w:r>
    </w:p>
    <w:p w14:paraId="09BCCCFD" w14:textId="77777777" w:rsidR="006E57E8" w:rsidRDefault="00147D16">
      <w:pPr>
        <w:spacing w:line="259" w:lineRule="auto"/>
        <w:ind w:left="-5"/>
      </w:pPr>
      <w:r>
        <w:t xml:space="preserve">Appendix B Figure 8. Board presentation </w:t>
      </w:r>
      <w:proofErr w:type="gramStart"/>
      <w:r>
        <w:t>slide</w:t>
      </w:r>
      <w:proofErr w:type="gramEnd"/>
      <w:r>
        <w:t xml:space="preserve"> 8. </w:t>
      </w:r>
    </w:p>
    <w:p w14:paraId="2B10ACF3" w14:textId="77777777" w:rsidR="006E57E8" w:rsidRDefault="00147D16">
      <w:pPr>
        <w:spacing w:after="180" w:line="259" w:lineRule="auto"/>
        <w:ind w:left="0" w:right="662" w:firstLine="0"/>
        <w:jc w:val="right"/>
      </w:pPr>
      <w:r>
        <w:rPr>
          <w:noProof/>
        </w:rPr>
        <w:lastRenderedPageBreak/>
        <w:drawing>
          <wp:inline distT="0" distB="0" distL="0" distR="0" wp14:anchorId="29527C61" wp14:editId="5C7A5035">
            <wp:extent cx="5760720" cy="3360420"/>
            <wp:effectExtent l="0" t="0" r="0" b="0"/>
            <wp:docPr id="558" name="Picture 558"/>
            <wp:cNvGraphicFramePr/>
            <a:graphic xmlns:a="http://schemas.openxmlformats.org/drawingml/2006/main">
              <a:graphicData uri="http://schemas.openxmlformats.org/drawingml/2006/picture">
                <pic:pic xmlns:pic="http://schemas.openxmlformats.org/drawingml/2006/picture">
                  <pic:nvPicPr>
                    <pic:cNvPr id="558" name="Picture 558"/>
                    <pic:cNvPicPr/>
                  </pic:nvPicPr>
                  <pic:blipFill>
                    <a:blip r:embed="rId16"/>
                    <a:stretch>
                      <a:fillRect/>
                    </a:stretch>
                  </pic:blipFill>
                  <pic:spPr>
                    <a:xfrm>
                      <a:off x="0" y="0"/>
                      <a:ext cx="5760720" cy="3360420"/>
                    </a:xfrm>
                    <a:prstGeom prst="rect">
                      <a:avLst/>
                    </a:prstGeom>
                  </pic:spPr>
                </pic:pic>
              </a:graphicData>
            </a:graphic>
          </wp:inline>
        </w:drawing>
      </w:r>
      <w:r>
        <w:t xml:space="preserve"> </w:t>
      </w:r>
    </w:p>
    <w:p w14:paraId="39C7B21B" w14:textId="77777777" w:rsidR="006E57E8" w:rsidRDefault="00147D16">
      <w:pPr>
        <w:spacing w:after="0" w:line="259" w:lineRule="auto"/>
        <w:ind w:left="-5"/>
      </w:pPr>
      <w:r>
        <w:t xml:space="preserve">Appendix B Figure 9. Board presentation </w:t>
      </w:r>
      <w:proofErr w:type="gramStart"/>
      <w:r>
        <w:t>slide</w:t>
      </w:r>
      <w:proofErr w:type="gramEnd"/>
      <w:r>
        <w:t xml:space="preserve"> 9. </w:t>
      </w:r>
    </w:p>
    <w:p w14:paraId="3D0888C1" w14:textId="77777777" w:rsidR="006E57E8" w:rsidRDefault="00147D16">
      <w:pPr>
        <w:spacing w:after="268" w:line="259" w:lineRule="auto"/>
        <w:ind w:left="0" w:firstLine="0"/>
        <w:jc w:val="left"/>
      </w:pPr>
      <w:r>
        <w:rPr>
          <w:noProof/>
        </w:rPr>
        <w:drawing>
          <wp:inline distT="0" distB="0" distL="0" distR="0" wp14:anchorId="5B63D938" wp14:editId="20911CA0">
            <wp:extent cx="5760720" cy="3360420"/>
            <wp:effectExtent l="0" t="0" r="0" b="0"/>
            <wp:docPr id="560" name="Picture 560"/>
            <wp:cNvGraphicFramePr/>
            <a:graphic xmlns:a="http://schemas.openxmlformats.org/drawingml/2006/main">
              <a:graphicData uri="http://schemas.openxmlformats.org/drawingml/2006/picture">
                <pic:pic xmlns:pic="http://schemas.openxmlformats.org/drawingml/2006/picture">
                  <pic:nvPicPr>
                    <pic:cNvPr id="560" name="Picture 560"/>
                    <pic:cNvPicPr/>
                  </pic:nvPicPr>
                  <pic:blipFill>
                    <a:blip r:embed="rId17"/>
                    <a:stretch>
                      <a:fillRect/>
                    </a:stretch>
                  </pic:blipFill>
                  <pic:spPr>
                    <a:xfrm>
                      <a:off x="0" y="0"/>
                      <a:ext cx="5760720" cy="3360420"/>
                    </a:xfrm>
                    <a:prstGeom prst="rect">
                      <a:avLst/>
                    </a:prstGeom>
                  </pic:spPr>
                </pic:pic>
              </a:graphicData>
            </a:graphic>
          </wp:inline>
        </w:drawing>
      </w:r>
    </w:p>
    <w:p w14:paraId="0B7330E1" w14:textId="77777777" w:rsidR="006E57E8" w:rsidRDefault="00147D16">
      <w:pPr>
        <w:spacing w:line="259" w:lineRule="auto"/>
        <w:ind w:left="-5"/>
      </w:pPr>
      <w:r>
        <w:t xml:space="preserve">Appendix B Figure 10. Board presentation </w:t>
      </w:r>
      <w:proofErr w:type="gramStart"/>
      <w:r>
        <w:t>slide</w:t>
      </w:r>
      <w:proofErr w:type="gramEnd"/>
      <w:r>
        <w:t xml:space="preserve"> 10. </w:t>
      </w:r>
    </w:p>
    <w:sectPr w:rsidR="006E57E8">
      <w:pgSz w:w="12240" w:h="15840"/>
      <w:pgMar w:top="1080" w:right="1220" w:bottom="1146" w:left="1224"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2E2264C"/>
    <w:multiLevelType w:val="hybridMultilevel"/>
    <w:tmpl w:val="46DE43A0"/>
    <w:lvl w:ilvl="0" w:tplc="B59A5AFC">
      <w:start w:val="1"/>
      <w:numFmt w:val="decimal"/>
      <w:lvlText w:val="[%1]"/>
      <w:lvlJc w:val="left"/>
      <w:pPr>
        <w:ind w:left="422"/>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06483CD4">
      <w:start w:val="1"/>
      <w:numFmt w:val="lowerLetter"/>
      <w:lvlText w:val="%2"/>
      <w:lvlJc w:val="left"/>
      <w:pPr>
        <w:ind w:left="10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F816FC48">
      <w:start w:val="1"/>
      <w:numFmt w:val="lowerRoman"/>
      <w:lvlText w:val="%3"/>
      <w:lvlJc w:val="left"/>
      <w:pPr>
        <w:ind w:left="18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F24E2768">
      <w:start w:val="1"/>
      <w:numFmt w:val="decimal"/>
      <w:lvlText w:val="%4"/>
      <w:lvlJc w:val="left"/>
      <w:pPr>
        <w:ind w:left="25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2D08178E">
      <w:start w:val="1"/>
      <w:numFmt w:val="lowerLetter"/>
      <w:lvlText w:val="%5"/>
      <w:lvlJc w:val="left"/>
      <w:pPr>
        <w:ind w:left="32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17346A04">
      <w:start w:val="1"/>
      <w:numFmt w:val="lowerRoman"/>
      <w:lvlText w:val="%6"/>
      <w:lvlJc w:val="left"/>
      <w:pPr>
        <w:ind w:left="39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821A8DDC">
      <w:start w:val="1"/>
      <w:numFmt w:val="decimal"/>
      <w:lvlText w:val="%7"/>
      <w:lvlJc w:val="left"/>
      <w:pPr>
        <w:ind w:left="46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DAF204B0">
      <w:start w:val="1"/>
      <w:numFmt w:val="lowerLetter"/>
      <w:lvlText w:val="%8"/>
      <w:lvlJc w:val="left"/>
      <w:pPr>
        <w:ind w:left="54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34340AC6">
      <w:start w:val="1"/>
      <w:numFmt w:val="lowerRoman"/>
      <w:lvlText w:val="%9"/>
      <w:lvlJc w:val="left"/>
      <w:pPr>
        <w:ind w:left="61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7BC62451"/>
    <w:multiLevelType w:val="multilevel"/>
    <w:tmpl w:val="04604374"/>
    <w:lvl w:ilvl="0">
      <w:start w:val="1"/>
      <w:numFmt w:val="decimal"/>
      <w:pStyle w:val="Heading1"/>
      <w:lvlText w:val="%1."/>
      <w:lvlJc w:val="left"/>
      <w:pPr>
        <w:ind w:left="0"/>
      </w:pPr>
      <w:rPr>
        <w:rFonts w:ascii="Times New Roman" w:eastAsia="Times New Roman" w:hAnsi="Times New Roman" w:cs="Times New Roman"/>
        <w:b/>
        <w:bCs/>
        <w:i w:val="0"/>
        <w:strike w:val="0"/>
        <w:dstrike w:val="0"/>
        <w:color w:val="365F91"/>
        <w:sz w:val="24"/>
        <w:szCs w:val="24"/>
        <w:u w:val="none" w:color="000000"/>
        <w:bdr w:val="none" w:sz="0" w:space="0" w:color="auto"/>
        <w:shd w:val="clear" w:color="auto" w:fill="auto"/>
        <w:vertAlign w:val="baseline"/>
      </w:rPr>
    </w:lvl>
    <w:lvl w:ilvl="1">
      <w:start w:val="1"/>
      <w:numFmt w:val="decimal"/>
      <w:pStyle w:val="Heading2"/>
      <w:lvlText w:val="%1.%2"/>
      <w:lvlJc w:val="left"/>
      <w:pPr>
        <w:ind w:left="0"/>
      </w:pPr>
      <w:rPr>
        <w:rFonts w:ascii="Times New Roman" w:eastAsia="Times New Roman" w:hAnsi="Times New Roman" w:cs="Times New Roman"/>
        <w:b/>
        <w:bCs/>
        <w:i w:val="0"/>
        <w:strike w:val="0"/>
        <w:dstrike w:val="0"/>
        <w:color w:val="4F81BD"/>
        <w:sz w:val="24"/>
        <w:szCs w:val="24"/>
        <w:u w:val="none" w:color="000000"/>
        <w:bdr w:val="none" w:sz="0" w:space="0" w:color="auto"/>
        <w:shd w:val="clear" w:color="auto" w:fill="auto"/>
        <w:vertAlign w:val="baseline"/>
      </w:rPr>
    </w:lvl>
    <w:lvl w:ilvl="2">
      <w:start w:val="1"/>
      <w:numFmt w:val="lowerRoman"/>
      <w:lvlText w:val="%3"/>
      <w:lvlJc w:val="left"/>
      <w:pPr>
        <w:ind w:left="1080"/>
      </w:pPr>
      <w:rPr>
        <w:rFonts w:ascii="Times New Roman" w:eastAsia="Times New Roman" w:hAnsi="Times New Roman" w:cs="Times New Roman"/>
        <w:b/>
        <w:bCs/>
        <w:i w:val="0"/>
        <w:strike w:val="0"/>
        <w:dstrike w:val="0"/>
        <w:color w:val="4F81BD"/>
        <w:sz w:val="24"/>
        <w:szCs w:val="24"/>
        <w:u w:val="none" w:color="000000"/>
        <w:bdr w:val="none" w:sz="0" w:space="0" w:color="auto"/>
        <w:shd w:val="clear" w:color="auto" w:fill="auto"/>
        <w:vertAlign w:val="baseline"/>
      </w:rPr>
    </w:lvl>
    <w:lvl w:ilvl="3">
      <w:start w:val="1"/>
      <w:numFmt w:val="decimal"/>
      <w:lvlText w:val="%4"/>
      <w:lvlJc w:val="left"/>
      <w:pPr>
        <w:ind w:left="1800"/>
      </w:pPr>
      <w:rPr>
        <w:rFonts w:ascii="Times New Roman" w:eastAsia="Times New Roman" w:hAnsi="Times New Roman" w:cs="Times New Roman"/>
        <w:b/>
        <w:bCs/>
        <w:i w:val="0"/>
        <w:strike w:val="0"/>
        <w:dstrike w:val="0"/>
        <w:color w:val="4F81BD"/>
        <w:sz w:val="24"/>
        <w:szCs w:val="24"/>
        <w:u w:val="none" w:color="000000"/>
        <w:bdr w:val="none" w:sz="0" w:space="0" w:color="auto"/>
        <w:shd w:val="clear" w:color="auto" w:fill="auto"/>
        <w:vertAlign w:val="baseline"/>
      </w:rPr>
    </w:lvl>
    <w:lvl w:ilvl="4">
      <w:start w:val="1"/>
      <w:numFmt w:val="lowerLetter"/>
      <w:lvlText w:val="%5"/>
      <w:lvlJc w:val="left"/>
      <w:pPr>
        <w:ind w:left="2520"/>
      </w:pPr>
      <w:rPr>
        <w:rFonts w:ascii="Times New Roman" w:eastAsia="Times New Roman" w:hAnsi="Times New Roman" w:cs="Times New Roman"/>
        <w:b/>
        <w:bCs/>
        <w:i w:val="0"/>
        <w:strike w:val="0"/>
        <w:dstrike w:val="0"/>
        <w:color w:val="4F81BD"/>
        <w:sz w:val="24"/>
        <w:szCs w:val="24"/>
        <w:u w:val="none" w:color="000000"/>
        <w:bdr w:val="none" w:sz="0" w:space="0" w:color="auto"/>
        <w:shd w:val="clear" w:color="auto" w:fill="auto"/>
        <w:vertAlign w:val="baseline"/>
      </w:rPr>
    </w:lvl>
    <w:lvl w:ilvl="5">
      <w:start w:val="1"/>
      <w:numFmt w:val="lowerRoman"/>
      <w:lvlText w:val="%6"/>
      <w:lvlJc w:val="left"/>
      <w:pPr>
        <w:ind w:left="3240"/>
      </w:pPr>
      <w:rPr>
        <w:rFonts w:ascii="Times New Roman" w:eastAsia="Times New Roman" w:hAnsi="Times New Roman" w:cs="Times New Roman"/>
        <w:b/>
        <w:bCs/>
        <w:i w:val="0"/>
        <w:strike w:val="0"/>
        <w:dstrike w:val="0"/>
        <w:color w:val="4F81BD"/>
        <w:sz w:val="24"/>
        <w:szCs w:val="24"/>
        <w:u w:val="none" w:color="000000"/>
        <w:bdr w:val="none" w:sz="0" w:space="0" w:color="auto"/>
        <w:shd w:val="clear" w:color="auto" w:fill="auto"/>
        <w:vertAlign w:val="baseline"/>
      </w:rPr>
    </w:lvl>
    <w:lvl w:ilvl="6">
      <w:start w:val="1"/>
      <w:numFmt w:val="decimal"/>
      <w:lvlText w:val="%7"/>
      <w:lvlJc w:val="left"/>
      <w:pPr>
        <w:ind w:left="3960"/>
      </w:pPr>
      <w:rPr>
        <w:rFonts w:ascii="Times New Roman" w:eastAsia="Times New Roman" w:hAnsi="Times New Roman" w:cs="Times New Roman"/>
        <w:b/>
        <w:bCs/>
        <w:i w:val="0"/>
        <w:strike w:val="0"/>
        <w:dstrike w:val="0"/>
        <w:color w:val="4F81BD"/>
        <w:sz w:val="24"/>
        <w:szCs w:val="24"/>
        <w:u w:val="none" w:color="000000"/>
        <w:bdr w:val="none" w:sz="0" w:space="0" w:color="auto"/>
        <w:shd w:val="clear" w:color="auto" w:fill="auto"/>
        <w:vertAlign w:val="baseline"/>
      </w:rPr>
    </w:lvl>
    <w:lvl w:ilvl="7">
      <w:start w:val="1"/>
      <w:numFmt w:val="lowerLetter"/>
      <w:lvlText w:val="%8"/>
      <w:lvlJc w:val="left"/>
      <w:pPr>
        <w:ind w:left="4680"/>
      </w:pPr>
      <w:rPr>
        <w:rFonts w:ascii="Times New Roman" w:eastAsia="Times New Roman" w:hAnsi="Times New Roman" w:cs="Times New Roman"/>
        <w:b/>
        <w:bCs/>
        <w:i w:val="0"/>
        <w:strike w:val="0"/>
        <w:dstrike w:val="0"/>
        <w:color w:val="4F81BD"/>
        <w:sz w:val="24"/>
        <w:szCs w:val="24"/>
        <w:u w:val="none" w:color="000000"/>
        <w:bdr w:val="none" w:sz="0" w:space="0" w:color="auto"/>
        <w:shd w:val="clear" w:color="auto" w:fill="auto"/>
        <w:vertAlign w:val="baseline"/>
      </w:rPr>
    </w:lvl>
    <w:lvl w:ilvl="8">
      <w:start w:val="1"/>
      <w:numFmt w:val="lowerRoman"/>
      <w:lvlText w:val="%9"/>
      <w:lvlJc w:val="left"/>
      <w:pPr>
        <w:ind w:left="5400"/>
      </w:pPr>
      <w:rPr>
        <w:rFonts w:ascii="Times New Roman" w:eastAsia="Times New Roman" w:hAnsi="Times New Roman" w:cs="Times New Roman"/>
        <w:b/>
        <w:bCs/>
        <w:i w:val="0"/>
        <w:strike w:val="0"/>
        <w:dstrike w:val="0"/>
        <w:color w:val="4F81BD"/>
        <w:sz w:val="24"/>
        <w:szCs w:val="24"/>
        <w:u w:val="none" w:color="000000"/>
        <w:bdr w:val="none" w:sz="0" w:space="0" w:color="auto"/>
        <w:shd w:val="clear" w:color="auto" w:fill="auto"/>
        <w:vertAlign w:val="baseline"/>
      </w:rPr>
    </w:lvl>
  </w:abstractNum>
  <w:num w:numId="1" w16cid:durableId="2091152443">
    <w:abstractNumId w:val="0"/>
  </w:num>
  <w:num w:numId="2" w16cid:durableId="18638566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57E8"/>
    <w:rsid w:val="00147D16"/>
    <w:rsid w:val="006E57E8"/>
    <w:rsid w:val="00764E5F"/>
    <w:rsid w:val="00FC01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87BB3E"/>
  <w15:docId w15:val="{9452F642-D261-40F1-A3DC-DC5C4BEF33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14" w:line="362" w:lineRule="auto"/>
      <w:ind w:left="2360" w:hanging="10"/>
      <w:jc w:val="both"/>
    </w:pPr>
    <w:rPr>
      <w:rFonts w:ascii="Times New Roman" w:eastAsia="Times New Roman" w:hAnsi="Times New Roman" w:cs="Times New Roman"/>
      <w:color w:val="000000"/>
    </w:rPr>
  </w:style>
  <w:style w:type="paragraph" w:styleId="Heading1">
    <w:name w:val="heading 1"/>
    <w:next w:val="Normal"/>
    <w:link w:val="Heading1Char"/>
    <w:uiPriority w:val="9"/>
    <w:qFormat/>
    <w:pPr>
      <w:keepNext/>
      <w:keepLines/>
      <w:numPr>
        <w:numId w:val="2"/>
      </w:numPr>
      <w:spacing w:after="114" w:line="259" w:lineRule="auto"/>
      <w:ind w:left="10" w:hanging="10"/>
      <w:outlineLvl w:val="0"/>
    </w:pPr>
    <w:rPr>
      <w:rFonts w:ascii="Times New Roman" w:eastAsia="Times New Roman" w:hAnsi="Times New Roman" w:cs="Times New Roman"/>
      <w:b/>
      <w:color w:val="365F91"/>
    </w:rPr>
  </w:style>
  <w:style w:type="paragraph" w:styleId="Heading2">
    <w:name w:val="heading 2"/>
    <w:next w:val="Normal"/>
    <w:link w:val="Heading2Char"/>
    <w:uiPriority w:val="9"/>
    <w:unhideWhenUsed/>
    <w:qFormat/>
    <w:pPr>
      <w:keepNext/>
      <w:keepLines/>
      <w:numPr>
        <w:ilvl w:val="1"/>
        <w:numId w:val="2"/>
      </w:numPr>
      <w:spacing w:after="111" w:line="259" w:lineRule="auto"/>
      <w:ind w:left="10" w:hanging="10"/>
      <w:outlineLvl w:val="1"/>
    </w:pPr>
    <w:rPr>
      <w:rFonts w:ascii="Times New Roman" w:eastAsia="Times New Roman" w:hAnsi="Times New Roman" w:cs="Times New Roman"/>
      <w:b/>
      <w:color w:val="4F81BD"/>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Times New Roman" w:eastAsia="Times New Roman" w:hAnsi="Times New Roman" w:cs="Times New Roman"/>
      <w:b/>
      <w:color w:val="4F81BD"/>
      <w:sz w:val="24"/>
    </w:rPr>
  </w:style>
  <w:style w:type="character" w:customStyle="1" w:styleId="Heading1Char">
    <w:name w:val="Heading 1 Char"/>
    <w:link w:val="Heading1"/>
    <w:rPr>
      <w:rFonts w:ascii="Times New Roman" w:eastAsia="Times New Roman" w:hAnsi="Times New Roman" w:cs="Times New Roman"/>
      <w:b/>
      <w:color w:val="365F9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4.jpg"/><Relationship Id="rId13" Type="http://schemas.openxmlformats.org/officeDocument/2006/relationships/image" Target="media/image9.jp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g"/><Relationship Id="rId12" Type="http://schemas.openxmlformats.org/officeDocument/2006/relationships/image" Target="media/image8.jpg"/><Relationship Id="rId17" Type="http://schemas.openxmlformats.org/officeDocument/2006/relationships/image" Target="media/image13.jpg"/><Relationship Id="rId2" Type="http://schemas.openxmlformats.org/officeDocument/2006/relationships/styles" Target="styles.xml"/><Relationship Id="rId16" Type="http://schemas.openxmlformats.org/officeDocument/2006/relationships/image" Target="media/image12.jpg"/><Relationship Id="rId1" Type="http://schemas.openxmlformats.org/officeDocument/2006/relationships/numbering" Target="numbering.xml"/><Relationship Id="rId6" Type="http://schemas.openxmlformats.org/officeDocument/2006/relationships/image" Target="media/image2.jpg"/><Relationship Id="rId11" Type="http://schemas.openxmlformats.org/officeDocument/2006/relationships/image" Target="media/image7.jpg"/><Relationship Id="rId5" Type="http://schemas.openxmlformats.org/officeDocument/2006/relationships/image" Target="media/image1.jpg"/><Relationship Id="rId15" Type="http://schemas.openxmlformats.org/officeDocument/2006/relationships/image" Target="media/image11.jpg"/><Relationship Id="rId10" Type="http://schemas.openxmlformats.org/officeDocument/2006/relationships/image" Target="media/image6.jp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5.jpg"/><Relationship Id="rId14" Type="http://schemas.openxmlformats.org/officeDocument/2006/relationships/image" Target="media/image10.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2396</Words>
  <Characters>13659</Characters>
  <Application>Microsoft Office Word</Application>
  <DocSecurity>0</DocSecurity>
  <Lines>113</Lines>
  <Paragraphs>32</Paragraphs>
  <ScaleCrop>false</ScaleCrop>
  <Company/>
  <LinksUpToDate>false</LinksUpToDate>
  <CharactersWithSpaces>16023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cp:lastModifiedBy>Athay Nafisa Anjum (2510700)</cp:lastModifiedBy>
  <cp:revision>2</cp:revision>
  <dcterms:created xsi:type="dcterms:W3CDTF">2026-08-25T15:40:00Z</dcterms:created>
  <dcterms:modified xsi:type="dcterms:W3CDTF">2026-08-25T15:40:00Z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e94bd6ee-ae7b-4c9f-a380-1b7fe37fb024</vt:lpwstr>
  </property>
</Properties>
</file>