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910450"/>
        <w:docPartObj>
          <w:docPartGallery w:val="Cover Pages"/>
          <w:docPartUnique/>
        </w:docPartObj>
      </w:sdtPr>
      <w:sdtEndPr>
        <w:rPr>
          <w:rFonts w:ascii="Times New Roman" w:hAnsi="Times New Roman" w:cs="Times New Roman"/>
        </w:rPr>
      </w:sdtEndPr>
      <w:sdtContent>
        <w:p w14:paraId="5DE66E39" w14:textId="0EA8EEA6" w:rsidR="008038D3" w:rsidRDefault="008038D3">
          <w:r>
            <w:rPr>
              <w:noProof/>
            </w:rPr>
            <mc:AlternateContent>
              <mc:Choice Requires="wps">
                <w:drawing>
                  <wp:anchor distT="0" distB="0" distL="114300" distR="114300" simplePos="0" relativeHeight="251665408" behindDoc="0" locked="0" layoutInCell="1" allowOverlap="1" wp14:anchorId="6C1F79CA" wp14:editId="0E90289B">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FB4551D" w14:textId="1BEBE051" w:rsidR="008038D3" w:rsidRDefault="008038D3">
                                    <w:pPr>
                                      <w:pStyle w:val="NoSpacing"/>
                                      <w:spacing w:after="480"/>
                                      <w:rPr>
                                        <w:i/>
                                        <w:color w:val="262626" w:themeColor="text1" w:themeTint="D9"/>
                                        <w:sz w:val="32"/>
                                        <w:szCs w:val="32"/>
                                      </w:rPr>
                                    </w:pPr>
                                    <w:r>
                                      <w:rPr>
                                        <w:i/>
                                        <w:color w:val="262626" w:themeColor="text1" w:themeTint="D9"/>
                                        <w:sz w:val="32"/>
                                        <w:szCs w:val="32"/>
                                      </w:rPr>
                                      <w:t>Student ID Number: 1815431</w:t>
                                    </w:r>
                                  </w:p>
                                </w:sdtContent>
                              </w:sdt>
                              <w:p w14:paraId="1431FC60" w14:textId="03567BE6" w:rsidR="008038D3"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8038D3">
                                      <w:rPr>
                                        <w:i/>
                                        <w:color w:val="262626" w:themeColor="text1" w:themeTint="D9"/>
                                        <w:sz w:val="26"/>
                                        <w:szCs w:val="26"/>
                                      </w:rPr>
                                      <w:t>Word Count: 2150</w:t>
                                    </w:r>
                                  </w:sdtContent>
                                </w:sdt>
                                <w:r w:rsidR="008038D3">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C1F79CA"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5408;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FB4551D" w14:textId="1BEBE051" w:rsidR="008038D3" w:rsidRDefault="008038D3">
                              <w:pPr>
                                <w:pStyle w:val="NoSpacing"/>
                                <w:spacing w:after="480"/>
                                <w:rPr>
                                  <w:i/>
                                  <w:color w:val="262626" w:themeColor="text1" w:themeTint="D9"/>
                                  <w:sz w:val="32"/>
                                  <w:szCs w:val="32"/>
                                </w:rPr>
                              </w:pPr>
                              <w:r>
                                <w:rPr>
                                  <w:i/>
                                  <w:color w:val="262626" w:themeColor="text1" w:themeTint="D9"/>
                                  <w:sz w:val="32"/>
                                  <w:szCs w:val="32"/>
                                </w:rPr>
                                <w:t>Student ID Number: 1815431</w:t>
                              </w:r>
                            </w:p>
                          </w:sdtContent>
                        </w:sdt>
                        <w:p w14:paraId="1431FC60" w14:textId="03567BE6" w:rsidR="008038D3"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8038D3">
                                <w:rPr>
                                  <w:i/>
                                  <w:color w:val="262626" w:themeColor="text1" w:themeTint="D9"/>
                                  <w:sz w:val="26"/>
                                  <w:szCs w:val="26"/>
                                </w:rPr>
                                <w:t>Word Count: 2150</w:t>
                              </w:r>
                            </w:sdtContent>
                          </w:sdt>
                          <w:r w:rsidR="008038D3">
                            <w:rPr>
                              <w:i/>
                              <w:color w:val="262626" w:themeColor="text1" w:themeTint="D9"/>
                              <w:sz w:val="26"/>
                              <w:szCs w:val="2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4B727D47" wp14:editId="023CE4C3">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CB377D2" id="Straight Connector 43" o:spid="_x0000_s1026" style="position:absolute;z-index:-25165209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3360" behindDoc="0" locked="0" layoutInCell="1" allowOverlap="1" wp14:anchorId="7520C9C1" wp14:editId="05E8E4CF">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CABA340" w14:textId="76B35884" w:rsidR="008038D3" w:rsidRDefault="008038D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urban heights hotel: causes of financial decline and turnaround plan</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FA2A6D1" w14:textId="7B15E222" w:rsidR="008038D3" w:rsidRDefault="008038D3">
                                    <w:pPr>
                                      <w:pStyle w:val="NoSpacing"/>
                                      <w:rPr>
                                        <w:i/>
                                        <w:color w:val="262626" w:themeColor="text1" w:themeTint="D9"/>
                                        <w:sz w:val="36"/>
                                        <w:szCs w:val="36"/>
                                      </w:rPr>
                                    </w:pPr>
                                    <w:r>
                                      <w:rPr>
                                        <w:rFonts w:ascii="Times New Roman" w:hAnsi="Times New Roman" w:cs="Times New Roman"/>
                                        <w:color w:val="262626" w:themeColor="text1" w:themeTint="D9"/>
                                        <w:sz w:val="36"/>
                                        <w:szCs w:val="36"/>
                                      </w:rPr>
                                      <w:t>BMIH5007 Financial Management for the Hotel Industry</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520C9C1" id="Text Box 44" o:spid="_x0000_s1027" type="#_x0000_t202" alt="Title: Title and subtitle" style="position:absolute;margin-left:0;margin-top:0;width:435.75pt;height:214.55pt;z-index:25166336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CABA340" w14:textId="76B35884" w:rsidR="008038D3" w:rsidRDefault="008038D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urban heights hotel: causes of financial decline and turnaround plan</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FA2A6D1" w14:textId="7B15E222" w:rsidR="008038D3" w:rsidRDefault="008038D3">
                              <w:pPr>
                                <w:pStyle w:val="NoSpacing"/>
                                <w:rPr>
                                  <w:i/>
                                  <w:color w:val="262626" w:themeColor="text1" w:themeTint="D9"/>
                                  <w:sz w:val="36"/>
                                  <w:szCs w:val="36"/>
                                </w:rPr>
                              </w:pPr>
                              <w:r>
                                <w:rPr>
                                  <w:rFonts w:ascii="Times New Roman" w:hAnsi="Times New Roman" w:cs="Times New Roman"/>
                                  <w:color w:val="262626" w:themeColor="text1" w:themeTint="D9"/>
                                  <w:sz w:val="36"/>
                                  <w:szCs w:val="36"/>
                                </w:rPr>
                                <w:t>BMIH5007 Financial Management for the Hotel Industry</w:t>
                              </w:r>
                            </w:p>
                          </w:sdtContent>
                        </w:sdt>
                      </w:txbxContent>
                    </v:textbox>
                    <w10:wrap anchorx="page" anchory="page"/>
                  </v:shape>
                </w:pict>
              </mc:Fallback>
            </mc:AlternateContent>
          </w:r>
        </w:p>
        <w:p w14:paraId="11CA0F29" w14:textId="6DDA0B3D" w:rsidR="008038D3" w:rsidRDefault="008038D3">
          <w:pPr>
            <w:rPr>
              <w:rFonts w:ascii="Times New Roman" w:hAnsi="Times New Roman" w:cs="Times New Roman"/>
            </w:rPr>
          </w:pPr>
          <w:r>
            <w:rPr>
              <w:rFonts w:ascii="Times New Roman" w:hAnsi="Times New Roman" w:cs="Times New Roman"/>
            </w:rPr>
            <w:br w:type="page"/>
          </w:r>
        </w:p>
      </w:sdtContent>
    </w:sdt>
    <w:p w14:paraId="5957B31E" w14:textId="77777777" w:rsidR="008038D3" w:rsidRDefault="008038D3" w:rsidP="003E66F8">
      <w:pPr>
        <w:spacing w:line="360" w:lineRule="auto"/>
        <w:jc w:val="both"/>
        <w:rPr>
          <w:rFonts w:ascii="Times New Roman" w:hAnsi="Times New Roman" w:cs="Times New Roman"/>
        </w:rPr>
        <w:sectPr w:rsidR="008038D3" w:rsidSect="008038D3">
          <w:footerReference w:type="even" r:id="rId8"/>
          <w:footerReference w:type="default" r:id="rId9"/>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b w:val="0"/>
          <w:bCs w:val="0"/>
          <w:color w:val="auto"/>
          <w:kern w:val="2"/>
          <w:sz w:val="24"/>
          <w:szCs w:val="24"/>
          <w:lang w:val="en-GB"/>
          <w14:ligatures w14:val="standardContextual"/>
        </w:rPr>
        <w:id w:val="2016348354"/>
        <w:docPartObj>
          <w:docPartGallery w:val="Table of Contents"/>
          <w:docPartUnique/>
        </w:docPartObj>
      </w:sdtPr>
      <w:sdtEndPr>
        <w:rPr>
          <w:noProof/>
        </w:rPr>
      </w:sdtEndPr>
      <w:sdtContent>
        <w:p w14:paraId="328E7B4F" w14:textId="013DD4C4" w:rsidR="008521E5" w:rsidRDefault="008521E5">
          <w:pPr>
            <w:pStyle w:val="TOCHeading"/>
          </w:pPr>
          <w:r>
            <w:t>Table of Contents</w:t>
          </w:r>
        </w:p>
        <w:p w14:paraId="2ACE87D6" w14:textId="5F07751F" w:rsidR="008521E5" w:rsidRDefault="008521E5">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68480806" w:history="1">
            <w:r w:rsidRPr="001776F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_Toc168480806 \h </w:instrText>
            </w:r>
            <w:r>
              <w:rPr>
                <w:noProof/>
                <w:webHidden/>
              </w:rPr>
            </w:r>
            <w:r>
              <w:rPr>
                <w:noProof/>
                <w:webHidden/>
              </w:rPr>
              <w:fldChar w:fldCharType="separate"/>
            </w:r>
            <w:r w:rsidR="009B2E25">
              <w:rPr>
                <w:noProof/>
                <w:webHidden/>
              </w:rPr>
              <w:t>1</w:t>
            </w:r>
            <w:r>
              <w:rPr>
                <w:noProof/>
                <w:webHidden/>
              </w:rPr>
              <w:fldChar w:fldCharType="end"/>
            </w:r>
          </w:hyperlink>
        </w:p>
        <w:p w14:paraId="503DDA42" w14:textId="7475E09D" w:rsidR="008521E5" w:rsidRDefault="00000000">
          <w:pPr>
            <w:pStyle w:val="TOC1"/>
            <w:tabs>
              <w:tab w:val="right" w:leader="dot" w:pos="9016"/>
            </w:tabs>
            <w:rPr>
              <w:noProof/>
            </w:rPr>
          </w:pPr>
          <w:hyperlink w:anchor="_Toc168480807" w:history="1">
            <w:r w:rsidR="008521E5" w:rsidRPr="001776FF">
              <w:rPr>
                <w:rStyle w:val="Hyperlink"/>
                <w:rFonts w:ascii="Times New Roman" w:hAnsi="Times New Roman" w:cs="Times New Roman"/>
                <w:noProof/>
              </w:rPr>
              <w:t>Identification of Problems</w:t>
            </w:r>
            <w:r w:rsidR="008521E5">
              <w:rPr>
                <w:noProof/>
                <w:webHidden/>
              </w:rPr>
              <w:tab/>
            </w:r>
            <w:r w:rsidR="008521E5">
              <w:rPr>
                <w:noProof/>
                <w:webHidden/>
              </w:rPr>
              <w:fldChar w:fldCharType="begin"/>
            </w:r>
            <w:r w:rsidR="008521E5">
              <w:rPr>
                <w:noProof/>
                <w:webHidden/>
              </w:rPr>
              <w:instrText xml:space="preserve"> PAGEREF _Toc168480807 \h </w:instrText>
            </w:r>
            <w:r w:rsidR="008521E5">
              <w:rPr>
                <w:noProof/>
                <w:webHidden/>
              </w:rPr>
            </w:r>
            <w:r w:rsidR="008521E5">
              <w:rPr>
                <w:noProof/>
                <w:webHidden/>
              </w:rPr>
              <w:fldChar w:fldCharType="separate"/>
            </w:r>
            <w:r w:rsidR="009B2E25">
              <w:rPr>
                <w:noProof/>
                <w:webHidden/>
              </w:rPr>
              <w:t>3</w:t>
            </w:r>
            <w:r w:rsidR="008521E5">
              <w:rPr>
                <w:noProof/>
                <w:webHidden/>
              </w:rPr>
              <w:fldChar w:fldCharType="end"/>
            </w:r>
          </w:hyperlink>
        </w:p>
        <w:p w14:paraId="6FEAF4AF" w14:textId="76470F76" w:rsidR="008521E5" w:rsidRDefault="00000000">
          <w:pPr>
            <w:pStyle w:val="TOC1"/>
            <w:tabs>
              <w:tab w:val="right" w:leader="dot" w:pos="9016"/>
            </w:tabs>
            <w:rPr>
              <w:noProof/>
            </w:rPr>
          </w:pPr>
          <w:hyperlink w:anchor="_Toc168480808" w:history="1">
            <w:r w:rsidR="008521E5" w:rsidRPr="001776FF">
              <w:rPr>
                <w:rStyle w:val="Hyperlink"/>
                <w:rFonts w:ascii="Times New Roman" w:hAnsi="Times New Roman" w:cs="Times New Roman"/>
                <w:noProof/>
              </w:rPr>
              <w:t>Market and Competitor Analysis</w:t>
            </w:r>
            <w:r w:rsidR="008521E5">
              <w:rPr>
                <w:noProof/>
                <w:webHidden/>
              </w:rPr>
              <w:tab/>
            </w:r>
            <w:r w:rsidR="008521E5">
              <w:rPr>
                <w:noProof/>
                <w:webHidden/>
              </w:rPr>
              <w:fldChar w:fldCharType="begin"/>
            </w:r>
            <w:r w:rsidR="008521E5">
              <w:rPr>
                <w:noProof/>
                <w:webHidden/>
              </w:rPr>
              <w:instrText xml:space="preserve"> PAGEREF _Toc168480808 \h </w:instrText>
            </w:r>
            <w:r w:rsidR="008521E5">
              <w:rPr>
                <w:noProof/>
                <w:webHidden/>
              </w:rPr>
            </w:r>
            <w:r w:rsidR="008521E5">
              <w:rPr>
                <w:noProof/>
                <w:webHidden/>
              </w:rPr>
              <w:fldChar w:fldCharType="separate"/>
            </w:r>
            <w:r w:rsidR="009B2E25">
              <w:rPr>
                <w:noProof/>
                <w:webHidden/>
              </w:rPr>
              <w:t>5</w:t>
            </w:r>
            <w:r w:rsidR="008521E5">
              <w:rPr>
                <w:noProof/>
                <w:webHidden/>
              </w:rPr>
              <w:fldChar w:fldCharType="end"/>
            </w:r>
          </w:hyperlink>
        </w:p>
        <w:p w14:paraId="23B9CE32" w14:textId="072408B1" w:rsidR="008521E5" w:rsidRDefault="00000000">
          <w:pPr>
            <w:pStyle w:val="TOC1"/>
            <w:tabs>
              <w:tab w:val="right" w:leader="dot" w:pos="9016"/>
            </w:tabs>
            <w:rPr>
              <w:noProof/>
            </w:rPr>
          </w:pPr>
          <w:hyperlink w:anchor="_Toc168480809" w:history="1">
            <w:r w:rsidR="008521E5" w:rsidRPr="001776FF">
              <w:rPr>
                <w:rStyle w:val="Hyperlink"/>
                <w:rFonts w:ascii="Times New Roman" w:hAnsi="Times New Roman" w:cs="Times New Roman"/>
                <w:noProof/>
              </w:rPr>
              <w:t>Turnaround Strategy</w:t>
            </w:r>
            <w:r w:rsidR="008521E5">
              <w:rPr>
                <w:noProof/>
                <w:webHidden/>
              </w:rPr>
              <w:tab/>
            </w:r>
            <w:r w:rsidR="008521E5">
              <w:rPr>
                <w:noProof/>
                <w:webHidden/>
              </w:rPr>
              <w:fldChar w:fldCharType="begin"/>
            </w:r>
            <w:r w:rsidR="008521E5">
              <w:rPr>
                <w:noProof/>
                <w:webHidden/>
              </w:rPr>
              <w:instrText xml:space="preserve"> PAGEREF _Toc168480809 \h </w:instrText>
            </w:r>
            <w:r w:rsidR="008521E5">
              <w:rPr>
                <w:noProof/>
                <w:webHidden/>
              </w:rPr>
            </w:r>
            <w:r w:rsidR="008521E5">
              <w:rPr>
                <w:noProof/>
                <w:webHidden/>
              </w:rPr>
              <w:fldChar w:fldCharType="separate"/>
            </w:r>
            <w:r w:rsidR="009B2E25">
              <w:rPr>
                <w:noProof/>
                <w:webHidden/>
              </w:rPr>
              <w:t>6</w:t>
            </w:r>
            <w:r w:rsidR="008521E5">
              <w:rPr>
                <w:noProof/>
                <w:webHidden/>
              </w:rPr>
              <w:fldChar w:fldCharType="end"/>
            </w:r>
          </w:hyperlink>
        </w:p>
        <w:p w14:paraId="2A2807F1" w14:textId="76499586" w:rsidR="008521E5" w:rsidRDefault="00000000">
          <w:pPr>
            <w:pStyle w:val="TOC1"/>
            <w:tabs>
              <w:tab w:val="right" w:leader="dot" w:pos="9016"/>
            </w:tabs>
            <w:rPr>
              <w:noProof/>
            </w:rPr>
          </w:pPr>
          <w:hyperlink w:anchor="_Toc168480810" w:history="1">
            <w:r w:rsidR="008521E5" w:rsidRPr="001776FF">
              <w:rPr>
                <w:rStyle w:val="Hyperlink"/>
                <w:rFonts w:ascii="Times New Roman" w:hAnsi="Times New Roman" w:cs="Times New Roman"/>
                <w:noProof/>
              </w:rPr>
              <w:t>Conclusions</w:t>
            </w:r>
            <w:r w:rsidR="008521E5">
              <w:rPr>
                <w:noProof/>
                <w:webHidden/>
              </w:rPr>
              <w:tab/>
            </w:r>
            <w:r w:rsidR="008521E5">
              <w:rPr>
                <w:noProof/>
                <w:webHidden/>
              </w:rPr>
              <w:fldChar w:fldCharType="begin"/>
            </w:r>
            <w:r w:rsidR="008521E5">
              <w:rPr>
                <w:noProof/>
                <w:webHidden/>
              </w:rPr>
              <w:instrText xml:space="preserve"> PAGEREF _Toc168480810 \h </w:instrText>
            </w:r>
            <w:r w:rsidR="008521E5">
              <w:rPr>
                <w:noProof/>
                <w:webHidden/>
              </w:rPr>
            </w:r>
            <w:r w:rsidR="008521E5">
              <w:rPr>
                <w:noProof/>
                <w:webHidden/>
              </w:rPr>
              <w:fldChar w:fldCharType="separate"/>
            </w:r>
            <w:r w:rsidR="009B2E25">
              <w:rPr>
                <w:noProof/>
                <w:webHidden/>
              </w:rPr>
              <w:t>7</w:t>
            </w:r>
            <w:r w:rsidR="008521E5">
              <w:rPr>
                <w:noProof/>
                <w:webHidden/>
              </w:rPr>
              <w:fldChar w:fldCharType="end"/>
            </w:r>
          </w:hyperlink>
        </w:p>
        <w:p w14:paraId="5CC56FBB" w14:textId="3D568C3F" w:rsidR="008521E5" w:rsidRDefault="00000000">
          <w:pPr>
            <w:pStyle w:val="TOC1"/>
            <w:tabs>
              <w:tab w:val="right" w:leader="dot" w:pos="9016"/>
            </w:tabs>
            <w:rPr>
              <w:noProof/>
            </w:rPr>
          </w:pPr>
          <w:hyperlink w:anchor="_Toc168480811" w:history="1">
            <w:r w:rsidR="008521E5" w:rsidRPr="001776FF">
              <w:rPr>
                <w:rStyle w:val="Hyperlink"/>
                <w:rFonts w:ascii="Times New Roman" w:hAnsi="Times New Roman" w:cs="Times New Roman"/>
                <w:noProof/>
              </w:rPr>
              <w:t>References</w:t>
            </w:r>
            <w:r w:rsidR="008521E5">
              <w:rPr>
                <w:noProof/>
                <w:webHidden/>
              </w:rPr>
              <w:tab/>
            </w:r>
            <w:r w:rsidR="008521E5">
              <w:rPr>
                <w:noProof/>
                <w:webHidden/>
              </w:rPr>
              <w:fldChar w:fldCharType="begin"/>
            </w:r>
            <w:r w:rsidR="008521E5">
              <w:rPr>
                <w:noProof/>
                <w:webHidden/>
              </w:rPr>
              <w:instrText xml:space="preserve"> PAGEREF _Toc168480811 \h </w:instrText>
            </w:r>
            <w:r w:rsidR="008521E5">
              <w:rPr>
                <w:noProof/>
                <w:webHidden/>
              </w:rPr>
            </w:r>
            <w:r w:rsidR="008521E5">
              <w:rPr>
                <w:noProof/>
                <w:webHidden/>
              </w:rPr>
              <w:fldChar w:fldCharType="separate"/>
            </w:r>
            <w:r w:rsidR="009B2E25">
              <w:rPr>
                <w:noProof/>
                <w:webHidden/>
              </w:rPr>
              <w:t>8</w:t>
            </w:r>
            <w:r w:rsidR="008521E5">
              <w:rPr>
                <w:noProof/>
                <w:webHidden/>
              </w:rPr>
              <w:fldChar w:fldCharType="end"/>
            </w:r>
          </w:hyperlink>
        </w:p>
        <w:p w14:paraId="1D5C4834" w14:textId="44E0AFFB" w:rsidR="008521E5" w:rsidRDefault="00000000">
          <w:pPr>
            <w:pStyle w:val="TOC1"/>
            <w:tabs>
              <w:tab w:val="right" w:leader="dot" w:pos="9016"/>
            </w:tabs>
            <w:rPr>
              <w:noProof/>
            </w:rPr>
          </w:pPr>
          <w:hyperlink w:anchor="_Toc168480812" w:history="1">
            <w:r w:rsidR="008521E5" w:rsidRPr="001776FF">
              <w:rPr>
                <w:rStyle w:val="Hyperlink"/>
                <w:rFonts w:ascii="Times New Roman" w:hAnsi="Times New Roman" w:cs="Times New Roman"/>
                <w:noProof/>
              </w:rPr>
              <w:t>APPENDIX</w:t>
            </w:r>
            <w:r w:rsidR="008521E5">
              <w:rPr>
                <w:noProof/>
                <w:webHidden/>
              </w:rPr>
              <w:tab/>
            </w:r>
            <w:r w:rsidR="008521E5">
              <w:rPr>
                <w:noProof/>
                <w:webHidden/>
              </w:rPr>
              <w:fldChar w:fldCharType="begin"/>
            </w:r>
            <w:r w:rsidR="008521E5">
              <w:rPr>
                <w:noProof/>
                <w:webHidden/>
              </w:rPr>
              <w:instrText xml:space="preserve"> PAGEREF _Toc168480812 \h </w:instrText>
            </w:r>
            <w:r w:rsidR="008521E5">
              <w:rPr>
                <w:noProof/>
                <w:webHidden/>
              </w:rPr>
            </w:r>
            <w:r w:rsidR="008521E5">
              <w:rPr>
                <w:noProof/>
                <w:webHidden/>
              </w:rPr>
              <w:fldChar w:fldCharType="separate"/>
            </w:r>
            <w:r w:rsidR="009B2E25">
              <w:rPr>
                <w:noProof/>
                <w:webHidden/>
              </w:rPr>
              <w:t>10</w:t>
            </w:r>
            <w:r w:rsidR="008521E5">
              <w:rPr>
                <w:noProof/>
                <w:webHidden/>
              </w:rPr>
              <w:fldChar w:fldCharType="end"/>
            </w:r>
          </w:hyperlink>
        </w:p>
        <w:p w14:paraId="2DF2257D" w14:textId="324F7EE6" w:rsidR="008521E5" w:rsidRPr="008521E5" w:rsidRDefault="008521E5" w:rsidP="008521E5">
          <w:r>
            <w:rPr>
              <w:b/>
              <w:bCs/>
              <w:noProof/>
            </w:rPr>
            <w:fldChar w:fldCharType="end"/>
          </w:r>
        </w:p>
      </w:sdtContent>
    </w:sdt>
    <w:bookmarkStart w:id="0" w:name="_Toc168480806" w:displacedByCustomXml="prev"/>
    <w:p w14:paraId="32C1C29E" w14:textId="77777777" w:rsidR="009B2E25" w:rsidRDefault="009B2E25" w:rsidP="008521E5">
      <w:pPr>
        <w:pStyle w:val="Heading1"/>
        <w:rPr>
          <w:rFonts w:ascii="Times New Roman" w:hAnsi="Times New Roman" w:cs="Times New Roman"/>
          <w:color w:val="000000" w:themeColor="text1"/>
          <w:sz w:val="28"/>
          <w:szCs w:val="28"/>
        </w:rPr>
        <w:sectPr w:rsidR="009B2E25" w:rsidSect="008521E5">
          <w:pgSz w:w="11906" w:h="16838"/>
          <w:pgMar w:top="1440" w:right="1440" w:bottom="1440" w:left="1440" w:header="708" w:footer="708" w:gutter="0"/>
          <w:pgNumType w:start="1"/>
          <w:cols w:space="708"/>
          <w:docGrid w:linePitch="360"/>
        </w:sectPr>
      </w:pPr>
    </w:p>
    <w:p w14:paraId="1734ECE9" w14:textId="77777777" w:rsidR="008521E5" w:rsidRDefault="008521E5" w:rsidP="008521E5">
      <w:pPr>
        <w:pStyle w:val="Heading1"/>
        <w:rPr>
          <w:rFonts w:ascii="Times New Roman" w:hAnsi="Times New Roman" w:cs="Times New Roman"/>
          <w:color w:val="000000" w:themeColor="text1"/>
          <w:sz w:val="28"/>
          <w:szCs w:val="28"/>
        </w:rPr>
      </w:pPr>
    </w:p>
    <w:p w14:paraId="6D0B1861" w14:textId="77777777" w:rsidR="008521E5" w:rsidRDefault="008521E5" w:rsidP="008521E5">
      <w:pPr>
        <w:pStyle w:val="Heading1"/>
        <w:rPr>
          <w:rFonts w:ascii="Times New Roman" w:hAnsi="Times New Roman" w:cs="Times New Roman"/>
          <w:color w:val="000000" w:themeColor="text1"/>
          <w:sz w:val="28"/>
          <w:szCs w:val="28"/>
        </w:rPr>
      </w:pPr>
    </w:p>
    <w:p w14:paraId="3C81503C" w14:textId="77777777" w:rsidR="008521E5" w:rsidRDefault="008521E5" w:rsidP="008521E5">
      <w:pPr>
        <w:pStyle w:val="Heading1"/>
        <w:rPr>
          <w:rFonts w:ascii="Times New Roman" w:hAnsi="Times New Roman" w:cs="Times New Roman"/>
          <w:color w:val="000000" w:themeColor="text1"/>
          <w:sz w:val="28"/>
          <w:szCs w:val="28"/>
        </w:rPr>
      </w:pPr>
    </w:p>
    <w:p w14:paraId="59F5059E" w14:textId="77777777" w:rsidR="008521E5" w:rsidRDefault="008521E5" w:rsidP="008521E5">
      <w:pPr>
        <w:pStyle w:val="Heading1"/>
        <w:rPr>
          <w:rFonts w:ascii="Times New Roman" w:hAnsi="Times New Roman" w:cs="Times New Roman"/>
          <w:color w:val="000000" w:themeColor="text1"/>
          <w:sz w:val="28"/>
          <w:szCs w:val="28"/>
        </w:rPr>
      </w:pPr>
    </w:p>
    <w:p w14:paraId="2703707A" w14:textId="77777777" w:rsidR="008521E5" w:rsidRDefault="008521E5" w:rsidP="008521E5">
      <w:pPr>
        <w:pStyle w:val="Heading1"/>
        <w:rPr>
          <w:rFonts w:ascii="Times New Roman" w:hAnsi="Times New Roman" w:cs="Times New Roman"/>
          <w:color w:val="000000" w:themeColor="text1"/>
          <w:sz w:val="28"/>
          <w:szCs w:val="28"/>
        </w:rPr>
      </w:pPr>
    </w:p>
    <w:p w14:paraId="4D89BAD2" w14:textId="77777777" w:rsidR="008521E5" w:rsidRDefault="008521E5" w:rsidP="008521E5">
      <w:pPr>
        <w:pStyle w:val="Heading1"/>
        <w:rPr>
          <w:rFonts w:ascii="Times New Roman" w:hAnsi="Times New Roman" w:cs="Times New Roman"/>
          <w:color w:val="000000" w:themeColor="text1"/>
          <w:sz w:val="28"/>
          <w:szCs w:val="28"/>
        </w:rPr>
      </w:pPr>
    </w:p>
    <w:p w14:paraId="304A1754" w14:textId="77777777" w:rsidR="008521E5" w:rsidRDefault="008521E5" w:rsidP="008521E5"/>
    <w:p w14:paraId="7B6AC9EA" w14:textId="77777777" w:rsidR="008521E5" w:rsidRDefault="008521E5" w:rsidP="008521E5"/>
    <w:p w14:paraId="524B076B" w14:textId="77777777" w:rsidR="008521E5" w:rsidRDefault="008521E5" w:rsidP="008521E5"/>
    <w:p w14:paraId="78D28A73" w14:textId="77777777" w:rsidR="008521E5" w:rsidRDefault="008521E5" w:rsidP="008521E5"/>
    <w:p w14:paraId="338AEA17" w14:textId="77777777" w:rsidR="008521E5" w:rsidRDefault="008521E5" w:rsidP="008521E5"/>
    <w:p w14:paraId="78E1FCE9" w14:textId="77777777" w:rsidR="008521E5" w:rsidRDefault="008521E5" w:rsidP="008521E5"/>
    <w:p w14:paraId="5A5F5083" w14:textId="77777777" w:rsidR="008521E5" w:rsidRDefault="008521E5" w:rsidP="008521E5"/>
    <w:p w14:paraId="4D36D3EE" w14:textId="77777777" w:rsidR="008521E5" w:rsidRDefault="008521E5" w:rsidP="008521E5"/>
    <w:p w14:paraId="38D7BB7A" w14:textId="77777777" w:rsidR="008521E5" w:rsidRDefault="008521E5" w:rsidP="008521E5"/>
    <w:p w14:paraId="0071BCFA" w14:textId="77777777" w:rsidR="008521E5" w:rsidRDefault="008521E5" w:rsidP="008521E5"/>
    <w:p w14:paraId="00D493BF" w14:textId="77777777" w:rsidR="008521E5" w:rsidRDefault="008521E5" w:rsidP="008521E5"/>
    <w:p w14:paraId="613C8457" w14:textId="77777777" w:rsidR="008521E5" w:rsidRDefault="008521E5" w:rsidP="008521E5"/>
    <w:p w14:paraId="586192F4" w14:textId="77777777" w:rsidR="008521E5" w:rsidRDefault="008521E5" w:rsidP="008521E5">
      <w:pPr>
        <w:pStyle w:val="Heading1"/>
        <w:rPr>
          <w:rFonts w:ascii="Times New Roman" w:hAnsi="Times New Roman" w:cs="Times New Roman"/>
          <w:color w:val="000000" w:themeColor="text1"/>
          <w:sz w:val="28"/>
          <w:szCs w:val="28"/>
        </w:rPr>
      </w:pPr>
    </w:p>
    <w:p w14:paraId="0776FF35" w14:textId="77777777" w:rsidR="008521E5" w:rsidRPr="008521E5" w:rsidRDefault="008521E5" w:rsidP="008521E5"/>
    <w:p w14:paraId="3D71E00B" w14:textId="00019945" w:rsidR="008521E5" w:rsidRPr="008521E5" w:rsidRDefault="008521E5" w:rsidP="008521E5">
      <w:pPr>
        <w:pStyle w:val="Heading1"/>
        <w:rPr>
          <w:rFonts w:ascii="Times New Roman" w:hAnsi="Times New Roman" w:cs="Times New Roman"/>
          <w:color w:val="000000" w:themeColor="text1"/>
          <w:sz w:val="28"/>
          <w:szCs w:val="28"/>
        </w:rPr>
      </w:pPr>
      <w:r w:rsidRPr="008521E5">
        <w:rPr>
          <w:rFonts w:ascii="Times New Roman" w:hAnsi="Times New Roman" w:cs="Times New Roman"/>
          <w:color w:val="000000" w:themeColor="text1"/>
          <w:sz w:val="28"/>
          <w:szCs w:val="28"/>
        </w:rPr>
        <w:lastRenderedPageBreak/>
        <w:t>Introduction</w:t>
      </w:r>
      <w:bookmarkEnd w:id="0"/>
    </w:p>
    <w:p w14:paraId="5FB6D18F" w14:textId="2E6395AD" w:rsidR="007E22CA" w:rsidRPr="007E22CA" w:rsidRDefault="007E22CA" w:rsidP="007E22CA">
      <w:pPr>
        <w:spacing w:line="360" w:lineRule="auto"/>
        <w:jc w:val="both"/>
        <w:rPr>
          <w:rFonts w:ascii="Times New Roman" w:hAnsi="Times New Roman" w:cs="Times New Roman"/>
        </w:rPr>
      </w:pPr>
      <w:r w:rsidRPr="007E22CA">
        <w:rPr>
          <w:rFonts w:ascii="Times New Roman" w:hAnsi="Times New Roman" w:cs="Times New Roman"/>
        </w:rPr>
        <w:t>Urban Heights Hotel is situated in the heart of the city and has a wide range of facilities, including a well-appointed restaurant, vibrant bar, and versatile event space. This establishment was once recognised for its exceptional service and boasting atmosphere. However, it has recently encountered significant challenges. Over the past few years, the hotel has seen a noticeable decline in revenue, a drop in occupancy rates, and a concerning dip in customer satisfaction levels. These troubling trends have raised serious doubts about the hotel's continued viability and profitability. Given these issues, the owner has decided the company needs a comprehensive review and revitalisation.</w:t>
      </w:r>
    </w:p>
    <w:p w14:paraId="7084BC2C" w14:textId="77777777" w:rsidR="00C55819" w:rsidRDefault="007E22CA" w:rsidP="008521E5">
      <w:pPr>
        <w:spacing w:line="360" w:lineRule="auto"/>
        <w:jc w:val="both"/>
        <w:rPr>
          <w:rFonts w:ascii="Times New Roman" w:hAnsi="Times New Roman" w:cs="Times New Roman"/>
        </w:rPr>
      </w:pPr>
      <w:r w:rsidRPr="007E22CA">
        <w:rPr>
          <w:rFonts w:ascii="Times New Roman" w:hAnsi="Times New Roman" w:cs="Times New Roman"/>
        </w:rPr>
        <w:t xml:space="preserve">As such, this case study aims to explore the feasibility of a turnaround strategy that could potentially restore Urban Heights Hotel to its former success. Firstly, a financial analysis will be presented to understand the financial position of the company. This will include trend and ratio analyses. Secondly, various internal and external problems will be analysed to understand the causes of the decline of the company. Thirdly, a market and competitor analysis will be presented to understand the key trends in the industry as well as successful strategies implemented by other similar businesses. Finally, a </w:t>
      </w:r>
      <w:r w:rsidR="00755A5C">
        <w:rPr>
          <w:rFonts w:ascii="Times New Roman" w:hAnsi="Times New Roman" w:cs="Times New Roman"/>
        </w:rPr>
        <w:t xml:space="preserve">brief </w:t>
      </w:r>
      <w:r w:rsidRPr="007E22CA">
        <w:rPr>
          <w:rFonts w:ascii="Times New Roman" w:hAnsi="Times New Roman" w:cs="Times New Roman"/>
        </w:rPr>
        <w:t xml:space="preserve">turnaround strategy will be outlined. </w:t>
      </w:r>
    </w:p>
    <w:p w14:paraId="7313CAA2" w14:textId="77777777" w:rsidR="00C55819" w:rsidRDefault="00C55819" w:rsidP="008521E5">
      <w:pPr>
        <w:spacing w:line="360" w:lineRule="auto"/>
        <w:jc w:val="both"/>
        <w:rPr>
          <w:rFonts w:ascii="Times New Roman" w:hAnsi="Times New Roman" w:cs="Times New Roman"/>
        </w:rPr>
      </w:pPr>
    </w:p>
    <w:p w14:paraId="6CA8CA70" w14:textId="2F33D8E0" w:rsidR="007E22CA" w:rsidRPr="008521E5" w:rsidRDefault="008521E5" w:rsidP="008521E5">
      <w:pPr>
        <w:spacing w:line="360" w:lineRule="auto"/>
        <w:jc w:val="both"/>
        <w:rPr>
          <w:rFonts w:ascii="Times New Roman" w:hAnsi="Times New Roman" w:cs="Times New Roman"/>
        </w:rPr>
      </w:pPr>
      <w:r>
        <w:rPr>
          <w:rFonts w:ascii="Times New Roman" w:hAnsi="Times New Roman" w:cs="Times New Roman"/>
          <w:color w:val="000000" w:themeColor="text1"/>
          <w:sz w:val="28"/>
          <w:szCs w:val="28"/>
        </w:rPr>
        <w:t xml:space="preserve">Analysis of Financial Performance </w:t>
      </w:r>
    </w:p>
    <w:p w14:paraId="384D2421" w14:textId="15CCCB87" w:rsidR="007E22CA" w:rsidRPr="007E22CA" w:rsidRDefault="007E22CA" w:rsidP="007E22CA">
      <w:pPr>
        <w:spacing w:line="360" w:lineRule="auto"/>
        <w:jc w:val="both"/>
        <w:rPr>
          <w:rFonts w:ascii="Times New Roman" w:hAnsi="Times New Roman" w:cs="Times New Roman"/>
        </w:rPr>
      </w:pPr>
      <w:r w:rsidRPr="007E22CA">
        <w:rPr>
          <w:rFonts w:ascii="Times New Roman" w:hAnsi="Times New Roman" w:cs="Times New Roman"/>
        </w:rPr>
        <w:t>Urban Heights Hotel has experienced a declining financial trajectory over the past three years. By analysing the financial statements from 2021 to 2023, a clear downturn in the economic health of the company can be noticed. This is due to diminishing revenues and higher expenses.</w:t>
      </w:r>
    </w:p>
    <w:p w14:paraId="026FCD2D" w14:textId="77777777" w:rsidR="007E22CA" w:rsidRPr="007E22CA" w:rsidRDefault="007E22CA" w:rsidP="007E22CA">
      <w:pPr>
        <w:spacing w:line="360" w:lineRule="auto"/>
        <w:jc w:val="both"/>
        <w:rPr>
          <w:rFonts w:ascii="Times New Roman" w:hAnsi="Times New Roman" w:cs="Times New Roman"/>
        </w:rPr>
      </w:pPr>
      <w:r w:rsidRPr="007E22CA">
        <w:rPr>
          <w:rFonts w:ascii="Times New Roman" w:hAnsi="Times New Roman" w:cs="Times New Roman"/>
        </w:rPr>
        <w:t>In 2021, the hotel reported revenues of £2.5 million, but this figure declined to £2.2 million in 2022 and further plummeted to £1.8 million in 2023. This steady drop in revenue, amounting to a 28% reduction over three years, highlights significant challenges in attracting and retaining guests. On the other hand, operating expenses have moved in the opposite direction, rising from £1.8 million in 2021 to £2.3 million in 2023. This increase in expenses, despite falling revenues, suggests rising costs and potential inefficiencies within the hotel's operational framework. The net income trend presents similar challenges: the profit has declined by £200,000 from 2021 to 2023, from £700,000 to £500,000.</w:t>
      </w:r>
    </w:p>
    <w:p w14:paraId="51D12FD0" w14:textId="77777777" w:rsidR="007E22CA" w:rsidRPr="008038D3" w:rsidRDefault="007E22CA" w:rsidP="003E66F8">
      <w:pPr>
        <w:spacing w:line="360" w:lineRule="auto"/>
        <w:jc w:val="both"/>
        <w:rPr>
          <w:rFonts w:ascii="Times New Roman" w:hAnsi="Times New Roman" w:cs="Times New Roman"/>
        </w:rPr>
      </w:pPr>
    </w:p>
    <w:p w14:paraId="27E1B0F0" w14:textId="1E21DDA2" w:rsidR="009F04A3" w:rsidRPr="008038D3" w:rsidRDefault="00C33FA8" w:rsidP="003E66F8">
      <w:pPr>
        <w:spacing w:line="360" w:lineRule="auto"/>
        <w:jc w:val="both"/>
        <w:rPr>
          <w:rFonts w:ascii="Times New Roman" w:hAnsi="Times New Roman" w:cs="Times New Roman"/>
        </w:rPr>
      </w:pPr>
      <w:r w:rsidRPr="008038D3">
        <w:rPr>
          <w:rFonts w:ascii="Times New Roman" w:hAnsi="Times New Roman" w:cs="Times New Roman"/>
          <w:noProof/>
        </w:rPr>
        <w:lastRenderedPageBreak/>
        <mc:AlternateContent>
          <mc:Choice Requires="wps">
            <w:drawing>
              <wp:anchor distT="0" distB="0" distL="114300" distR="114300" simplePos="0" relativeHeight="251661312" behindDoc="0" locked="0" layoutInCell="1" allowOverlap="1" wp14:anchorId="144059CF" wp14:editId="6C5B443A">
                <wp:simplePos x="0" y="0"/>
                <wp:positionH relativeFrom="column">
                  <wp:posOffset>2743200</wp:posOffset>
                </wp:positionH>
                <wp:positionV relativeFrom="paragraph">
                  <wp:posOffset>697117</wp:posOffset>
                </wp:positionV>
                <wp:extent cx="697117" cy="307535"/>
                <wp:effectExtent l="0" t="25400" r="40005" b="22860"/>
                <wp:wrapNone/>
                <wp:docPr id="2137316188" name="Straight Arrow Connector 6"/>
                <wp:cNvGraphicFramePr/>
                <a:graphic xmlns:a="http://schemas.openxmlformats.org/drawingml/2006/main">
                  <a:graphicData uri="http://schemas.microsoft.com/office/word/2010/wordprocessingShape">
                    <wps:wsp>
                      <wps:cNvCnPr/>
                      <wps:spPr>
                        <a:xfrm flipV="1">
                          <a:off x="0" y="0"/>
                          <a:ext cx="697117" cy="307535"/>
                        </a:xfrm>
                        <a:prstGeom prst="straightConnector1">
                          <a:avLst/>
                        </a:prstGeom>
                        <a:ln w="1270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9CD51BC" id="_x0000_t32" coordsize="21600,21600" o:spt="32" o:oned="t" path="m,l21600,21600e" filled="f">
                <v:path arrowok="t" fillok="f" o:connecttype="none"/>
                <o:lock v:ext="edit" shapetype="t"/>
              </v:shapetype>
              <v:shape id="Straight Arrow Connector 6" o:spid="_x0000_s1026" type="#_x0000_t32" style="position:absolute;margin-left:3in;margin-top:54.9pt;width:54.9pt;height:24.2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" strokecolor="#3a7c22 [2409]" strokeweight="1pt">
                <v:stroke endarrow="block" joinstyle="miter"/>
              </v:shape>
            </w:pict>
          </mc:Fallback>
        </mc:AlternateContent>
      </w:r>
      <w:r w:rsidRPr="008038D3">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CE1BCA0" wp14:editId="0687845F">
                <wp:simplePos x="0" y="0"/>
                <wp:positionH relativeFrom="column">
                  <wp:posOffset>4499572</wp:posOffset>
                </wp:positionH>
                <wp:positionV relativeFrom="paragraph">
                  <wp:posOffset>1683945</wp:posOffset>
                </wp:positionV>
                <wp:extent cx="669957" cy="452673"/>
                <wp:effectExtent l="0" t="0" r="28575" b="30480"/>
                <wp:wrapNone/>
                <wp:docPr id="1043400158" name="Straight Arrow Connector 5"/>
                <wp:cNvGraphicFramePr/>
                <a:graphic xmlns:a="http://schemas.openxmlformats.org/drawingml/2006/main">
                  <a:graphicData uri="http://schemas.microsoft.com/office/word/2010/wordprocessingShape">
                    <wps:wsp>
                      <wps:cNvCnPr/>
                      <wps:spPr>
                        <a:xfrm>
                          <a:off x="0" y="0"/>
                          <a:ext cx="669957" cy="452673"/>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B47F45" id="Straight Arrow Connector 5" o:spid="_x0000_s1026" type="#_x0000_t32" style="position:absolute;margin-left:354.3pt;margin-top:132.6pt;width:52.75pt;height:35.6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" strokecolor="red" strokeweight="1pt">
                <v:stroke endarrow="block" joinstyle="miter"/>
              </v:shape>
            </w:pict>
          </mc:Fallback>
        </mc:AlternateContent>
      </w:r>
      <w:r w:rsidRPr="008038D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68A9CE4" wp14:editId="368B884F">
                <wp:simplePos x="0" y="0"/>
                <wp:positionH relativeFrom="column">
                  <wp:posOffset>1376127</wp:posOffset>
                </wp:positionH>
                <wp:positionV relativeFrom="paragraph">
                  <wp:posOffset>461727</wp:posOffset>
                </wp:positionV>
                <wp:extent cx="787651" cy="543208"/>
                <wp:effectExtent l="0" t="0" r="50800" b="41275"/>
                <wp:wrapNone/>
                <wp:docPr id="401551078" name="Straight Arrow Connector 4"/>
                <wp:cNvGraphicFramePr/>
                <a:graphic xmlns:a="http://schemas.openxmlformats.org/drawingml/2006/main">
                  <a:graphicData uri="http://schemas.microsoft.com/office/word/2010/wordprocessingShape">
                    <wps:wsp>
                      <wps:cNvCnPr/>
                      <wps:spPr>
                        <a:xfrm>
                          <a:off x="0" y="0"/>
                          <a:ext cx="787651" cy="543208"/>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4FFEAC" id="Straight Arrow Connector 4" o:spid="_x0000_s1026" type="#_x0000_t32" style="position:absolute;margin-left:108.35pt;margin-top:36.35pt;width:62pt;height:42.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" strokecolor="red" strokeweight="1pt">
                <v:stroke endarrow="block" joinstyle="miter"/>
              </v:shape>
            </w:pict>
          </mc:Fallback>
        </mc:AlternateContent>
      </w:r>
      <w:r w:rsidR="00AC253B" w:rsidRPr="008038D3">
        <w:rPr>
          <w:rFonts w:ascii="Times New Roman" w:hAnsi="Times New Roman" w:cs="Times New Roman"/>
          <w:noProof/>
        </w:rPr>
        <w:drawing>
          <wp:inline distT="0" distB="0" distL="0" distR="0" wp14:anchorId="508FEFB3" wp14:editId="73E8C400">
            <wp:extent cx="5649362" cy="3402101"/>
            <wp:effectExtent l="0" t="0" r="2540" b="1905"/>
            <wp:docPr id="1480044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044953" name=""/>
                    <pic:cNvPicPr/>
                  </pic:nvPicPr>
                  <pic:blipFill>
                    <a:blip r:embed="rId10"/>
                    <a:stretch>
                      <a:fillRect/>
                    </a:stretch>
                  </pic:blipFill>
                  <pic:spPr>
                    <a:xfrm>
                      <a:off x="0" y="0"/>
                      <a:ext cx="5727892" cy="3449393"/>
                    </a:xfrm>
                    <a:prstGeom prst="rect">
                      <a:avLst/>
                    </a:prstGeom>
                  </pic:spPr>
                </pic:pic>
              </a:graphicData>
            </a:graphic>
          </wp:inline>
        </w:drawing>
      </w:r>
      <w:r w:rsidR="00AC253B" w:rsidRPr="008038D3">
        <w:rPr>
          <w:rFonts w:ascii="Times New Roman" w:hAnsi="Times New Roman" w:cs="Times New Roman"/>
          <w:noProof/>
        </w:rPr>
        <w:t xml:space="preserve"> </w:t>
      </w:r>
    </w:p>
    <w:p w14:paraId="676FBC0E" w14:textId="72CE7C9B" w:rsidR="0098339E" w:rsidRPr="008038D3" w:rsidRDefault="0098339E" w:rsidP="003E66F8">
      <w:pPr>
        <w:spacing w:line="360" w:lineRule="auto"/>
        <w:jc w:val="both"/>
        <w:rPr>
          <w:rFonts w:ascii="Times New Roman" w:hAnsi="Times New Roman" w:cs="Times New Roman"/>
        </w:rPr>
      </w:pPr>
      <w:r w:rsidRPr="008038D3">
        <w:rPr>
          <w:rFonts w:ascii="Times New Roman" w:hAnsi="Times New Roman" w:cs="Times New Roman"/>
          <w:b/>
          <w:bCs/>
        </w:rPr>
        <w:t>Figure 1.</w:t>
      </w:r>
      <w:r w:rsidRPr="008038D3">
        <w:rPr>
          <w:rFonts w:ascii="Times New Roman" w:hAnsi="Times New Roman" w:cs="Times New Roman"/>
        </w:rPr>
        <w:t xml:space="preserve"> </w:t>
      </w:r>
      <w:r w:rsidR="002516DA" w:rsidRPr="008038D3">
        <w:rPr>
          <w:rFonts w:ascii="Times New Roman" w:hAnsi="Times New Roman" w:cs="Times New Roman"/>
        </w:rPr>
        <w:t>Trends in Revenue, Expenses, and Net Income at Urban Heights Hotel: 2021-2023.</w:t>
      </w:r>
    </w:p>
    <w:p w14:paraId="547E4B5E" w14:textId="77777777" w:rsidR="007E22CA" w:rsidRPr="007E22CA" w:rsidRDefault="007E22CA" w:rsidP="007E22CA">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E22CA">
        <w:rPr>
          <w:rFonts w:ascii="Times New Roman" w:eastAsia="Times New Roman" w:hAnsi="Times New Roman" w:cs="Times New Roman"/>
          <w:kern w:val="0"/>
          <w:lang w:eastAsia="en-GB"/>
          <w14:ligatures w14:val="none"/>
        </w:rPr>
        <w:t>The profit margin is a metric showing the ability of a company to generate profit from its activities (</w:t>
      </w:r>
      <w:proofErr w:type="spellStart"/>
      <w:r w:rsidRPr="007E22CA">
        <w:rPr>
          <w:rFonts w:ascii="Times New Roman" w:eastAsia="Times New Roman" w:hAnsi="Times New Roman" w:cs="Times New Roman"/>
          <w:kern w:val="0"/>
          <w:lang w:eastAsia="en-GB"/>
          <w14:ligatures w14:val="none"/>
        </w:rPr>
        <w:t>Asdullah</w:t>
      </w:r>
      <w:proofErr w:type="spellEnd"/>
      <w:r w:rsidRPr="007E22CA">
        <w:rPr>
          <w:rFonts w:ascii="Times New Roman" w:eastAsia="Times New Roman" w:hAnsi="Times New Roman" w:cs="Times New Roman"/>
          <w:kern w:val="0"/>
          <w:lang w:eastAsia="en-GB"/>
          <w14:ligatures w14:val="none"/>
        </w:rPr>
        <w:t xml:space="preserve"> and Rehman, 2015). In other words, it represents the percentage of sales that has turned into profits. The profit margin ratio has deteriorated sharply for Urban Heights Hotel. It changed from 28% in 2021 to -27.8% in 2023. This indicates diminishing profitability, highlighting potential problems with the hotel's operational efficiency and pricing strategies.</w:t>
      </w:r>
    </w:p>
    <w:p w14:paraId="0C1E313D" w14:textId="77777777" w:rsidR="007E22CA" w:rsidRPr="007E22CA" w:rsidRDefault="007E22CA" w:rsidP="007E22CA">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E22CA">
        <w:rPr>
          <w:rFonts w:ascii="Times New Roman" w:eastAsia="Times New Roman" w:hAnsi="Times New Roman" w:cs="Times New Roman"/>
          <w:kern w:val="0"/>
          <w:lang w:eastAsia="en-GB"/>
          <w14:ligatures w14:val="none"/>
        </w:rPr>
        <w:t>The current ratio reflects short-term liquidity. It is calculated by dividing the total short-term assets by the total short-term liabilities. Assuming other current liabilities are consistent, the ratio has dropped from 1.2 in 2021 (considering cash, equivalents, and receivables against accounts payable) to 0.6 in 2023. This shift suggests the company is in a more difficult financial position and may not be able to cover short-term obligations using short-term assets in case of liquidation (</w:t>
      </w:r>
      <w:proofErr w:type="spellStart"/>
      <w:r w:rsidRPr="007E22CA">
        <w:rPr>
          <w:rFonts w:ascii="Times New Roman" w:eastAsia="Times New Roman" w:hAnsi="Times New Roman" w:cs="Times New Roman"/>
          <w:kern w:val="0"/>
          <w:lang w:eastAsia="en-GB"/>
          <w14:ligatures w14:val="none"/>
        </w:rPr>
        <w:t>Asdullah</w:t>
      </w:r>
      <w:proofErr w:type="spellEnd"/>
      <w:r w:rsidRPr="007E22CA">
        <w:rPr>
          <w:rFonts w:ascii="Times New Roman" w:eastAsia="Times New Roman" w:hAnsi="Times New Roman" w:cs="Times New Roman"/>
          <w:kern w:val="0"/>
          <w:lang w:eastAsia="en-GB"/>
          <w14:ligatures w14:val="none"/>
        </w:rPr>
        <w:t xml:space="preserve"> and Rehman, 2015).</w:t>
      </w:r>
    </w:p>
    <w:p w14:paraId="34892718" w14:textId="613A188C" w:rsidR="007E22CA" w:rsidRPr="008038D3" w:rsidRDefault="007E22CA" w:rsidP="00D347C1">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E22CA">
        <w:rPr>
          <w:rFonts w:ascii="Times New Roman" w:eastAsia="Times New Roman" w:hAnsi="Times New Roman" w:cs="Times New Roman"/>
          <w:kern w:val="0"/>
          <w:lang w:eastAsia="en-GB"/>
          <w14:ligatures w14:val="none"/>
        </w:rPr>
        <w:t xml:space="preserve">The debt-to-equity (D/E) ratio compares a company’s leverage to its shareholders’ equity and is used to measure reliance on debt. Debt-to-equity ratios vary by industry. A high D/E ratio may suggest the company takes more risk, while a much lower D/E ratio may suggest the company is not taking full advantage of the benefits of debt. In 2023, Urban Heights Hotel had £3.3 million liabilities against £1.38 million equity, resulting in a debt-to-equity ratio of 2.39. </w:t>
      </w:r>
      <w:r w:rsidRPr="007E22CA">
        <w:rPr>
          <w:rFonts w:ascii="Times New Roman" w:eastAsia="Times New Roman" w:hAnsi="Times New Roman" w:cs="Times New Roman"/>
          <w:kern w:val="0"/>
          <w:lang w:eastAsia="en-GB"/>
          <w14:ligatures w14:val="none"/>
        </w:rPr>
        <w:lastRenderedPageBreak/>
        <w:t>This has been a significant increase from 1.48 in 2021. This increased ratio signals a riskier financial structure and potentially higher financial distress.</w:t>
      </w:r>
    </w:p>
    <w:tbl>
      <w:tblPr>
        <w:tblStyle w:val="PlainTable5"/>
        <w:tblW w:w="0" w:type="auto"/>
        <w:tblInd w:w="5" w:type="dxa"/>
        <w:tblLook w:val="04A0" w:firstRow="1" w:lastRow="0" w:firstColumn="1" w:lastColumn="0" w:noHBand="0" w:noVBand="1"/>
      </w:tblPr>
      <w:tblGrid>
        <w:gridCol w:w="2254"/>
        <w:gridCol w:w="2254"/>
        <w:gridCol w:w="2254"/>
        <w:gridCol w:w="2254"/>
      </w:tblGrid>
      <w:tr w:rsidR="00B66F2D" w14:paraId="54F9A167" w14:textId="77777777" w:rsidTr="00AF608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4" w:type="dxa"/>
          </w:tcPr>
          <w:p w14:paraId="1118450F" w14:textId="322DD5DC" w:rsidR="00E2240A" w:rsidRDefault="00E2240A" w:rsidP="00D347C1">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Year</w:t>
            </w:r>
          </w:p>
        </w:tc>
        <w:tc>
          <w:tcPr>
            <w:tcW w:w="2254" w:type="dxa"/>
          </w:tcPr>
          <w:p w14:paraId="6B1DFBD5" w14:textId="6B6F4A77" w:rsidR="00E2240A" w:rsidRDefault="00E2240A" w:rsidP="00D347C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Profit Margin</w:t>
            </w:r>
          </w:p>
        </w:tc>
        <w:tc>
          <w:tcPr>
            <w:tcW w:w="2254" w:type="dxa"/>
          </w:tcPr>
          <w:p w14:paraId="7852FABC" w14:textId="2F806D9C" w:rsidR="00E2240A" w:rsidRDefault="00E2240A" w:rsidP="00D347C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Current Ratio</w:t>
            </w:r>
          </w:p>
        </w:tc>
        <w:tc>
          <w:tcPr>
            <w:tcW w:w="2254" w:type="dxa"/>
          </w:tcPr>
          <w:p w14:paraId="2269EEC4" w14:textId="45DEE9E3" w:rsidR="00E2240A" w:rsidRDefault="00E2240A" w:rsidP="00D347C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Debt-to-Equity (D/E) Ratio</w:t>
            </w:r>
          </w:p>
        </w:tc>
      </w:tr>
      <w:tr w:rsidR="00B66F2D" w14:paraId="30D58538" w14:textId="77777777" w:rsidTr="00AF6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7B1E236" w14:textId="4D089C96" w:rsidR="00E2240A" w:rsidRDefault="00E2240A" w:rsidP="00D347C1">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2021</w:t>
            </w:r>
          </w:p>
        </w:tc>
        <w:tc>
          <w:tcPr>
            <w:tcW w:w="2254" w:type="dxa"/>
          </w:tcPr>
          <w:p w14:paraId="4E3FD369" w14:textId="0D97507F" w:rsidR="00E2240A" w:rsidRPr="001F0162" w:rsidRDefault="00E2240A" w:rsidP="00D347C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28%</w:t>
            </w:r>
          </w:p>
        </w:tc>
        <w:tc>
          <w:tcPr>
            <w:tcW w:w="2254" w:type="dxa"/>
          </w:tcPr>
          <w:p w14:paraId="019E39EA" w14:textId="5B01B7B9" w:rsidR="00E2240A" w:rsidRPr="001F0162" w:rsidRDefault="00E2240A" w:rsidP="00D347C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1.8</w:t>
            </w:r>
          </w:p>
        </w:tc>
        <w:tc>
          <w:tcPr>
            <w:tcW w:w="2254" w:type="dxa"/>
          </w:tcPr>
          <w:p w14:paraId="2E208686" w14:textId="48994882" w:rsidR="00E2240A" w:rsidRPr="001F0162" w:rsidRDefault="00E2240A" w:rsidP="00D347C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1.48</w:t>
            </w:r>
          </w:p>
        </w:tc>
      </w:tr>
      <w:tr w:rsidR="00E2240A" w14:paraId="1EACD34F" w14:textId="77777777" w:rsidTr="00AF608B">
        <w:tc>
          <w:tcPr>
            <w:cnfStyle w:val="001000000000" w:firstRow="0" w:lastRow="0" w:firstColumn="1" w:lastColumn="0" w:oddVBand="0" w:evenVBand="0" w:oddHBand="0" w:evenHBand="0" w:firstRowFirstColumn="0" w:firstRowLastColumn="0" w:lastRowFirstColumn="0" w:lastRowLastColumn="0"/>
            <w:tcW w:w="2254" w:type="dxa"/>
          </w:tcPr>
          <w:p w14:paraId="0A647FB7" w14:textId="6E767AEF" w:rsidR="00E2240A" w:rsidRDefault="00E2240A" w:rsidP="00D347C1">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2022</w:t>
            </w:r>
          </w:p>
        </w:tc>
        <w:tc>
          <w:tcPr>
            <w:tcW w:w="2254" w:type="dxa"/>
          </w:tcPr>
          <w:p w14:paraId="4C843A74" w14:textId="7B7FBD6A" w:rsidR="00E2240A" w:rsidRPr="001F0162" w:rsidRDefault="00E2240A" w:rsidP="00D347C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9.09%</w:t>
            </w:r>
          </w:p>
        </w:tc>
        <w:tc>
          <w:tcPr>
            <w:tcW w:w="2254" w:type="dxa"/>
          </w:tcPr>
          <w:p w14:paraId="07C3415C" w14:textId="25E947FE" w:rsidR="00E2240A" w:rsidRPr="001F0162" w:rsidRDefault="00E2240A" w:rsidP="00D347C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1.11</w:t>
            </w:r>
          </w:p>
        </w:tc>
        <w:tc>
          <w:tcPr>
            <w:tcW w:w="2254" w:type="dxa"/>
          </w:tcPr>
          <w:p w14:paraId="68AF0DAF" w14:textId="5A7D0A0E" w:rsidR="00E2240A" w:rsidRPr="001F0162" w:rsidRDefault="00E2240A" w:rsidP="00D347C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1.79</w:t>
            </w:r>
          </w:p>
        </w:tc>
      </w:tr>
      <w:tr w:rsidR="00B66F2D" w14:paraId="083F1689" w14:textId="77777777" w:rsidTr="00AF6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7334448" w14:textId="0BE2E04A" w:rsidR="00E2240A" w:rsidRDefault="00E2240A" w:rsidP="00D347C1">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2023</w:t>
            </w:r>
          </w:p>
        </w:tc>
        <w:tc>
          <w:tcPr>
            <w:tcW w:w="2254" w:type="dxa"/>
          </w:tcPr>
          <w:p w14:paraId="34CF5C0B" w14:textId="14610509" w:rsidR="00E2240A" w:rsidRPr="001F0162" w:rsidRDefault="00E2240A" w:rsidP="00D347C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-27.78%</w:t>
            </w:r>
          </w:p>
        </w:tc>
        <w:tc>
          <w:tcPr>
            <w:tcW w:w="2254" w:type="dxa"/>
          </w:tcPr>
          <w:p w14:paraId="120ADC54" w14:textId="3EAE9180" w:rsidR="00E2240A" w:rsidRPr="001F0162" w:rsidRDefault="00E2240A" w:rsidP="00D347C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0.6</w:t>
            </w:r>
          </w:p>
        </w:tc>
        <w:tc>
          <w:tcPr>
            <w:tcW w:w="2254" w:type="dxa"/>
          </w:tcPr>
          <w:p w14:paraId="45B33D2F" w14:textId="2688A8BB" w:rsidR="00E2240A" w:rsidRPr="001F0162" w:rsidRDefault="00E2240A" w:rsidP="00D347C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F0162">
              <w:rPr>
                <w:rFonts w:ascii="Times New Roman" w:eastAsia="Times New Roman" w:hAnsi="Times New Roman" w:cs="Times New Roman"/>
                <w:b/>
                <w:bCs/>
                <w:kern w:val="0"/>
                <w:lang w:eastAsia="en-GB"/>
                <w14:ligatures w14:val="none"/>
              </w:rPr>
              <w:t>2.39</w:t>
            </w:r>
          </w:p>
        </w:tc>
      </w:tr>
    </w:tbl>
    <w:p w14:paraId="441DD1D3" w14:textId="287D20C1" w:rsidR="00E2240A" w:rsidRPr="008038D3" w:rsidRDefault="00AF608B" w:rsidP="00D347C1">
      <w:pPr>
        <w:spacing w:before="100" w:beforeAutospacing="1" w:after="100" w:afterAutospacing="1" w:line="360" w:lineRule="auto"/>
        <w:jc w:val="both"/>
        <w:rPr>
          <w:rFonts w:ascii="Times New Roman" w:eastAsia="Times New Roman" w:hAnsi="Times New Roman" w:cs="Times New Roman"/>
          <w:i/>
          <w:iCs/>
          <w:kern w:val="0"/>
          <w:lang w:eastAsia="en-GB"/>
          <w14:ligatures w14:val="none"/>
        </w:rPr>
      </w:pPr>
      <w:r w:rsidRPr="008038D3">
        <w:rPr>
          <w:rFonts w:ascii="Times New Roman" w:hAnsi="Times New Roman" w:cs="Times New Roman"/>
          <w:b/>
          <w:bCs/>
        </w:rPr>
        <w:t>Table 1</w:t>
      </w:r>
      <w:r w:rsidRPr="008038D3">
        <w:rPr>
          <w:rFonts w:ascii="Times New Roman" w:hAnsi="Times New Roman" w:cs="Times New Roman"/>
        </w:rPr>
        <w:t>. Financial Ratios Analysis of Urban Heights Hotel: 2021-2023.</w:t>
      </w:r>
      <w:r w:rsidR="00145FAB" w:rsidRPr="008038D3">
        <w:rPr>
          <w:rFonts w:ascii="Times New Roman" w:hAnsi="Times New Roman" w:cs="Times New Roman"/>
        </w:rPr>
        <w:t xml:space="preserve"> (</w:t>
      </w:r>
      <w:r w:rsidR="00145FAB" w:rsidRPr="008038D3">
        <w:rPr>
          <w:rFonts w:ascii="Times New Roman" w:hAnsi="Times New Roman" w:cs="Times New Roman"/>
          <w:i/>
          <w:iCs/>
        </w:rPr>
        <w:t>Note: Calculations are shown in the appendi</w:t>
      </w:r>
      <w:r w:rsidR="008521E5">
        <w:rPr>
          <w:rFonts w:ascii="Times New Roman" w:hAnsi="Times New Roman" w:cs="Times New Roman"/>
          <w:i/>
          <w:iCs/>
        </w:rPr>
        <w:t>x</w:t>
      </w:r>
      <w:r w:rsidR="00145FAB" w:rsidRPr="008038D3">
        <w:rPr>
          <w:rFonts w:ascii="Times New Roman" w:hAnsi="Times New Roman" w:cs="Times New Roman"/>
          <w:i/>
          <w:iCs/>
        </w:rPr>
        <w:t>).</w:t>
      </w:r>
    </w:p>
    <w:p w14:paraId="422BEA5E" w14:textId="77777777" w:rsidR="007E22CA" w:rsidRDefault="007E22CA" w:rsidP="007E22CA">
      <w:pPr>
        <w:pStyle w:val="NormalWeb"/>
        <w:spacing w:line="360" w:lineRule="auto"/>
        <w:jc w:val="both"/>
      </w:pPr>
      <w:r w:rsidRPr="007E22CA">
        <w:t>The analysis shows the business has been struggling to control costs in the face of declining sales, leading to operational inefficiencies and financial instability. The declining profit margins and liquidity ratios point towards the need for a strategic change. Furthermore, the escalating debt-to-equity ratio underscores the need to reassess financial management and possibly restructure debt to ensure long-term sustainability.</w:t>
      </w:r>
    </w:p>
    <w:p w14:paraId="1716783F" w14:textId="52F17DB1" w:rsidR="008521E5" w:rsidRPr="008521E5" w:rsidRDefault="008521E5" w:rsidP="008521E5">
      <w:pPr>
        <w:pStyle w:val="Heading1"/>
        <w:rPr>
          <w:rFonts w:ascii="Times New Roman" w:hAnsi="Times New Roman" w:cs="Times New Roman"/>
          <w:color w:val="000000" w:themeColor="text1"/>
          <w:sz w:val="28"/>
          <w:szCs w:val="28"/>
        </w:rPr>
      </w:pPr>
      <w:bookmarkStart w:id="1" w:name="_Toc168480807"/>
      <w:r w:rsidRPr="008521E5">
        <w:rPr>
          <w:rFonts w:ascii="Times New Roman" w:hAnsi="Times New Roman" w:cs="Times New Roman"/>
          <w:color w:val="000000" w:themeColor="text1"/>
          <w:sz w:val="28"/>
          <w:szCs w:val="28"/>
        </w:rPr>
        <w:t>Identification of Problems</w:t>
      </w:r>
      <w:bookmarkEnd w:id="1"/>
    </w:p>
    <w:p w14:paraId="7786EDE0" w14:textId="14FDB852" w:rsidR="007E22CA" w:rsidRPr="008038D3" w:rsidRDefault="007E22CA" w:rsidP="000307C1">
      <w:pPr>
        <w:pStyle w:val="NormalWeb"/>
        <w:spacing w:line="360" w:lineRule="auto"/>
        <w:jc w:val="both"/>
      </w:pPr>
      <w:r w:rsidRPr="007E22CA">
        <w:t>According to Barros (2005), when looking at hotel efficiency, competitiveness, operational efficiency, and economic efficiency should be considered. Competitiveness is about pursuing the correct strategy and aligning with government goals. Economic efficiency refers to the appropriate use of technology to increase returns. Operational efficiency refers to decisions taken by the management and is a vital component in the survival of the business since it relates to earnings and profits. Unlike the first two, operational efficiency is internal since it is dependent on the management team’s abilities and not on the macroeconomic or technological development outlook. The positive side of operational efficiency is that it is easier to control and manage with the right strategic plan.</w:t>
      </w:r>
    </w:p>
    <w:p w14:paraId="74E0207D" w14:textId="77777777" w:rsidR="007E22CA" w:rsidRPr="007E22CA" w:rsidRDefault="007E22CA" w:rsidP="007E22CA">
      <w:pPr>
        <w:pStyle w:val="NormalWeb"/>
        <w:spacing w:line="360" w:lineRule="auto"/>
        <w:jc w:val="both"/>
      </w:pPr>
      <w:r w:rsidRPr="007E22CA">
        <w:t xml:space="preserve">From the earlier analysis, it is evident that Urban Heights Hotel has experienced increasing operating expenses coupled with a simultaneous decline in revenue. Additionally, net income has also decreased significantly, from £700,000 in 2021 to a loss of £500,000 in 2023. These trends suggest notable operational inefficiencies, likely due to potential mismanagement or outdated practices. Epsilon (2023) refers to this as the "we've always done it this way" mentality </w:t>
      </w:r>
      <w:r w:rsidRPr="007E22CA">
        <w:lastRenderedPageBreak/>
        <w:t>of managers who want to continue the same practices without improvement or innovation. This approach is wrong. If a strategy worked in the past, it does not mean it will always work because the hotel industry is constantly changing. To address the operational inefficiencies, the management team at Urban Heights Hotel should implement various strategies, as suggested by Epsilon (2023).</w:t>
      </w:r>
    </w:p>
    <w:p w14:paraId="554B5445" w14:textId="77777777" w:rsidR="007E22CA" w:rsidRPr="007E22CA" w:rsidRDefault="007E22CA" w:rsidP="007E22CA">
      <w:pPr>
        <w:pStyle w:val="NormalWeb"/>
        <w:spacing w:line="360" w:lineRule="auto"/>
        <w:jc w:val="both"/>
      </w:pPr>
      <w:r w:rsidRPr="007E22CA">
        <w:t>Firstly, the management team should focus on quality control. This is key in the hotel industry where one’s reputation depends on the quality of services offered. For instance, they could track customer feedback about facilities and experiences and address underlying issues to prevent them from happening in the future. Secondly, they should aim to reduce expenses by diligently tracking unnecessary expenses and managing variable costs by using an appropriate financial system with budget forecasts. Finally, they should measure efficiency in labour and asset allocation by implementing a key performance indicator (KPI) system. Some useful metrics could include labour utilisation, guest satisfaction, occupancy rate, and cost of goods.</w:t>
      </w:r>
    </w:p>
    <w:p w14:paraId="45ECB475" w14:textId="77777777" w:rsidR="007E22CA" w:rsidRPr="007E22CA" w:rsidRDefault="007E22CA" w:rsidP="007E22CA">
      <w:pPr>
        <w:pStyle w:val="NormalWeb"/>
        <w:spacing w:line="360" w:lineRule="auto"/>
        <w:jc w:val="both"/>
      </w:pPr>
      <w:r w:rsidRPr="007E22CA">
        <w:t>Implementing efficiency methods can be difficult in practice, especially if they require change. However, by starting with small steps, the management team can gain more experience and implement adaptable solutions to minimise risks and decrease operational inefficiencies.</w:t>
      </w:r>
    </w:p>
    <w:p w14:paraId="68F617CA" w14:textId="77777777" w:rsidR="007E22CA" w:rsidRPr="007E22CA" w:rsidRDefault="007E22CA" w:rsidP="007E22CA">
      <w:pPr>
        <w:pStyle w:val="NormalWeb"/>
        <w:spacing w:line="360" w:lineRule="auto"/>
        <w:jc w:val="both"/>
      </w:pPr>
      <w:r w:rsidRPr="007E22CA">
        <w:t xml:space="preserve">The hotel’s financial performance can also be contextualised externally within the broader economic outlook. Firstly, the global pandemic has been devastating for the hospitality and tourism industry. The pandemic started at the end of 2019 and continued until the beginning of 2022. It encompassed a series of bans on travel and tourism, </w:t>
      </w:r>
      <w:proofErr w:type="gramStart"/>
      <w:r w:rsidRPr="007E22CA">
        <w:t>short-notice</w:t>
      </w:r>
      <w:proofErr w:type="gramEnd"/>
      <w:r w:rsidRPr="007E22CA">
        <w:t xml:space="preserve"> changes in policies, and a lack of appropriate medical equipment (Demir </w:t>
      </w:r>
      <w:r w:rsidRPr="007E22CA">
        <w:rPr>
          <w:i/>
          <w:iCs/>
        </w:rPr>
        <w:t>et al</w:t>
      </w:r>
      <w:r w:rsidRPr="007E22CA">
        <w:t xml:space="preserve">., 2021). Additionally, it has had a negative economic impact on individuals. Since many people lost their jobs, their disposable income decreased substantially, making them less likely to travel and book hotels even after travel bans were lifted. Demir </w:t>
      </w:r>
      <w:r w:rsidRPr="007E22CA">
        <w:rPr>
          <w:i/>
          <w:iCs/>
        </w:rPr>
        <w:t>et al</w:t>
      </w:r>
      <w:r w:rsidRPr="007E22CA">
        <w:t xml:space="preserve">. (2021) found that the pandemic had more devastating and long-lasting effects that go beyond economic factors. The authors conducted an empirical study in the Bodrum area of Turkey, utilising face-to-face interviews with hotel managers between July and September 2020. It affected individuals socially and psychologically by making them more cautious about travel. Lim and </w:t>
      </w:r>
      <w:proofErr w:type="gramStart"/>
      <w:r w:rsidRPr="007E22CA">
        <w:t>To</w:t>
      </w:r>
      <w:proofErr w:type="gramEnd"/>
      <w:r w:rsidRPr="007E22CA">
        <w:t xml:space="preserve"> (2021) found similar results. Using regression analysis on data from the Macao region in China, they showed the pandemic not only affected the hotel and tourism industry but also adjacent industries like the gambling industry, which relies heavily on tourism. They demonstrated that the negative impact of the pandemic on the hotel </w:t>
      </w:r>
      <w:r w:rsidRPr="007E22CA">
        <w:lastRenderedPageBreak/>
        <w:t>and tourism industry was due to a decrease in economic indicators such as employment, median salary, and GDP.</w:t>
      </w:r>
    </w:p>
    <w:p w14:paraId="197F6410" w14:textId="037B0E7A" w:rsidR="007E22CA" w:rsidRDefault="007E22CA" w:rsidP="000307C1">
      <w:pPr>
        <w:pStyle w:val="NormalWeb"/>
        <w:spacing w:line="360" w:lineRule="auto"/>
        <w:jc w:val="both"/>
      </w:pPr>
      <w:r w:rsidRPr="007E22CA">
        <w:t>Although these studies present useful insights about the effect of the pandemic on the hotel and travel industry using comprehensive quantitative methodologies, the results are not fully representative of the current trends in the industry. As shown by recent data, the global travel and tourism industry has returned to 88% of pre-pandemic levels (Richter, 2023). This means that Urban Heights Hotel may have been affected by the pandemic</w:t>
      </w:r>
      <w:r w:rsidR="00C64E76">
        <w:t xml:space="preserve"> in a more indirect way</w:t>
      </w:r>
      <w:r w:rsidRPr="007E22CA">
        <w:t xml:space="preserve">. </w:t>
      </w:r>
      <w:r w:rsidR="00C64E76">
        <w:t>I</w:t>
      </w:r>
      <w:r w:rsidRPr="007E22CA">
        <w:t>t is likely that competitive pressure and the company’s ability to adapt to market trends have also been critical external factors in shaping Urban Heights Hotel’s financial position.</w:t>
      </w:r>
    </w:p>
    <w:p w14:paraId="7768C709" w14:textId="29486393" w:rsidR="008521E5" w:rsidRPr="008521E5" w:rsidRDefault="008521E5" w:rsidP="008521E5">
      <w:pPr>
        <w:pStyle w:val="Heading1"/>
        <w:rPr>
          <w:rFonts w:ascii="Times New Roman" w:hAnsi="Times New Roman" w:cs="Times New Roman"/>
          <w:color w:val="000000" w:themeColor="text1"/>
          <w:sz w:val="28"/>
          <w:szCs w:val="28"/>
        </w:rPr>
      </w:pPr>
      <w:bookmarkStart w:id="2" w:name="_Toc168480808"/>
      <w:r w:rsidRPr="008521E5">
        <w:rPr>
          <w:rFonts w:ascii="Times New Roman" w:hAnsi="Times New Roman" w:cs="Times New Roman"/>
          <w:color w:val="000000" w:themeColor="text1"/>
          <w:sz w:val="28"/>
          <w:szCs w:val="28"/>
        </w:rPr>
        <w:t>Market and Competitor Analysis</w:t>
      </w:r>
      <w:bookmarkEnd w:id="2"/>
    </w:p>
    <w:p w14:paraId="1D027BB6" w14:textId="0744E908" w:rsidR="00C64E76" w:rsidRPr="008038D3" w:rsidRDefault="00C64E76" w:rsidP="000307C1">
      <w:pPr>
        <w:pStyle w:val="NormalWeb"/>
        <w:spacing w:line="360" w:lineRule="auto"/>
        <w:jc w:val="both"/>
      </w:pPr>
      <w:r w:rsidRPr="00C64E76">
        <w:t xml:space="preserve">The hospitality industry has witnessed significant transformations. In response to the pandemic, consumer preferences have </w:t>
      </w:r>
      <w:proofErr w:type="gramStart"/>
      <w:r w:rsidRPr="00C64E76">
        <w:t>changed</w:t>
      </w:r>
      <w:proofErr w:type="gramEnd"/>
      <w:r w:rsidRPr="00C64E76">
        <w:t xml:space="preserve"> and technologies have adapted. A recent study by Al-</w:t>
      </w:r>
      <w:proofErr w:type="spellStart"/>
      <w:r w:rsidRPr="00C64E76">
        <w:t>Kumaim</w:t>
      </w:r>
      <w:proofErr w:type="spellEnd"/>
      <w:r w:rsidRPr="00C64E76">
        <w:t xml:space="preserve"> </w:t>
      </w:r>
      <w:r w:rsidRPr="00C64E76">
        <w:rPr>
          <w:i/>
          <w:iCs/>
        </w:rPr>
        <w:t>et al</w:t>
      </w:r>
      <w:r w:rsidRPr="00C64E76">
        <w:t xml:space="preserve">. (2023) showed that post-pandemic travellers demand more personalised experiences, digital integration, and proven sustainability practices. They collected data from 458 respondents of travellers and hotel customers in Malaysia and analysed it using regression analysis methods. The paper presents a strong methodological framework and a comprehensive and innovative data set. However, the results could be limited by the small sample size and focus on one country only. Nonetheless, results from other countries suggest similar trends. </w:t>
      </w:r>
      <w:proofErr w:type="spellStart"/>
      <w:r w:rsidRPr="00C64E76">
        <w:t>Assaker</w:t>
      </w:r>
      <w:proofErr w:type="spellEnd"/>
      <w:r w:rsidRPr="00C64E76">
        <w:t xml:space="preserve"> and O’Connor (2023) demonstrated that post-pandemic, 40% more consumers from the US are more likely to pay a higher price for hotels that have a green certification. They have also shown that almost 80% of customers book their hotels online and via mobile apps. Their results align with those of </w:t>
      </w:r>
      <w:proofErr w:type="spellStart"/>
      <w:r w:rsidRPr="00C64E76">
        <w:t>Damigos</w:t>
      </w:r>
      <w:proofErr w:type="spellEnd"/>
      <w:r w:rsidRPr="00C64E76">
        <w:t xml:space="preserve"> (2023), who conducted a systematic literature review of 22 articles from 13 countries and found that consumers are willing to accept a premium of 5% to stay at </w:t>
      </w:r>
      <w:r>
        <w:t xml:space="preserve">sustainable </w:t>
      </w:r>
      <w:r w:rsidRPr="00C64E76">
        <w:t>hotels. To remain competitive, hotels need to respond to these preferences by incorporating technology to enhance the guest experience, from mobile check-in and digital room keys to smart room amenities. This integration responds to customers’ needs, streamlines operations, and reduces costs.</w:t>
      </w:r>
    </w:p>
    <w:p w14:paraId="733632CB" w14:textId="6D291721" w:rsidR="000307C1" w:rsidRDefault="00E537AC" w:rsidP="000307C1">
      <w:pPr>
        <w:pStyle w:val="NormalWeb"/>
        <w:spacing w:line="360" w:lineRule="auto"/>
        <w:jc w:val="both"/>
      </w:pPr>
      <w:r w:rsidRPr="008038D3">
        <w:t xml:space="preserve">When comparing Urban Heights Hotel to competitors like Travelodge, it seems the company </w:t>
      </w:r>
      <w:proofErr w:type="gramStart"/>
      <w:r w:rsidR="00420918" w:rsidRPr="008038D3">
        <w:t>lags</w:t>
      </w:r>
      <w:r w:rsidRPr="008038D3">
        <w:t xml:space="preserve"> </w:t>
      </w:r>
      <w:r w:rsidR="00420918" w:rsidRPr="008038D3">
        <w:t>behind</w:t>
      </w:r>
      <w:proofErr w:type="gramEnd"/>
      <w:r w:rsidR="00420918" w:rsidRPr="008038D3">
        <w:t xml:space="preserve"> in several areas. Travelodge has increased its revenue by over 20% and occupancy rates by 80% since 2020 (Travelodge, 2024). Its success is attributed to its commitment to sustainability, refurbishments and improvements of hotel facilities, digitalisation, and debt </w:t>
      </w:r>
      <w:r w:rsidR="00420918" w:rsidRPr="008038D3">
        <w:lastRenderedPageBreak/>
        <w:t xml:space="preserve">refinancing. Conversely, </w:t>
      </w:r>
      <w:r w:rsidR="000307C1" w:rsidRPr="008038D3">
        <w:t xml:space="preserve">Urban Heights has experienced a decline in both revenue and occupancy rates. This underperformance </w:t>
      </w:r>
      <w:r w:rsidR="00420918" w:rsidRPr="008038D3">
        <w:t>could</w:t>
      </w:r>
      <w:r w:rsidR="000307C1" w:rsidRPr="008038D3">
        <w:t xml:space="preserve"> be attributed to outdated facilities or insufficient adaptation to market demands</w:t>
      </w:r>
      <w:r w:rsidR="00420918" w:rsidRPr="008038D3">
        <w:t xml:space="preserve">. </w:t>
      </w:r>
    </w:p>
    <w:p w14:paraId="54F4EA6E" w14:textId="77777777" w:rsidR="008521E5" w:rsidRPr="008521E5" w:rsidRDefault="008521E5" w:rsidP="008521E5">
      <w:pPr>
        <w:pStyle w:val="Heading1"/>
        <w:rPr>
          <w:rFonts w:ascii="Times New Roman" w:hAnsi="Times New Roman" w:cs="Times New Roman"/>
          <w:color w:val="000000" w:themeColor="text1"/>
          <w:sz w:val="28"/>
          <w:szCs w:val="28"/>
        </w:rPr>
      </w:pPr>
      <w:bookmarkStart w:id="3" w:name="_Toc168480809"/>
      <w:r w:rsidRPr="008521E5">
        <w:rPr>
          <w:rFonts w:ascii="Times New Roman" w:hAnsi="Times New Roman" w:cs="Times New Roman"/>
          <w:color w:val="000000" w:themeColor="text1"/>
          <w:sz w:val="28"/>
          <w:szCs w:val="28"/>
        </w:rPr>
        <w:t>Turnaround Strategy</w:t>
      </w:r>
      <w:bookmarkEnd w:id="3"/>
    </w:p>
    <w:p w14:paraId="37030719" w14:textId="3B94C276" w:rsidR="006B549D" w:rsidRDefault="00012FC3" w:rsidP="00012FC3">
      <w:pPr>
        <w:pStyle w:val="NormalWeb"/>
        <w:spacing w:line="360" w:lineRule="auto"/>
        <w:jc w:val="both"/>
      </w:pPr>
      <w:r w:rsidRPr="008038D3">
        <w:t xml:space="preserve">To revitalise the Urban Heights Hotel and bring it back to profitability, a comprehensive turnaround strategy is essential. </w:t>
      </w:r>
      <w:proofErr w:type="spellStart"/>
      <w:r w:rsidR="006B549D" w:rsidRPr="008038D3">
        <w:t>Lazimi</w:t>
      </w:r>
      <w:proofErr w:type="spellEnd"/>
      <w:r w:rsidR="006B549D" w:rsidRPr="008038D3">
        <w:t xml:space="preserve"> and </w:t>
      </w:r>
      <w:proofErr w:type="spellStart"/>
      <w:r w:rsidR="006B549D" w:rsidRPr="008038D3">
        <w:t>Skendaj</w:t>
      </w:r>
      <w:proofErr w:type="spellEnd"/>
      <w:r w:rsidR="006B549D" w:rsidRPr="008038D3">
        <w:t xml:space="preserve"> (2022) have analysed the strategic post-pandemic responses of hotels in Albanian. They found short and medium solutions were chosen by most hotels. The fo</w:t>
      </w:r>
      <w:r w:rsidR="008A56A2" w:rsidRPr="008038D3">
        <w:t>und retrenchment was the most implemented strategy followed by preserving, exiting, and innovating. Retrenchment refers to focusing on core activities by reducing costs, assets, and number of staff.  Some pragmatic solutions to increase operational efficiency and cut costs have been mentioned earlier. The preserving strategy means focusing on existing activities and reduce innovation. Although some hotels may have adopted this strategy at the beginning, it may no longer be suitable for Urban Heights Hotel in current times. The consumer preferences and technologies have changed since then and by not adapting, Urban Heights would be at a disadvantage. As such, a better strategy would be to innovate</w:t>
      </w:r>
      <w:r w:rsidR="003A08D7" w:rsidRPr="008038D3">
        <w:t xml:space="preserve">. The company could explore relevant technologies like boking via mobile apps and energy-efficient systems that would appeal to customers’ preferences and help cut costs. Finally, if the company’s financial situation is still not improving, it should consider exiting trough a mergers process. </w:t>
      </w:r>
      <w:r w:rsidR="00585968" w:rsidRPr="008038D3">
        <w:t xml:space="preserve">Both </w:t>
      </w:r>
      <w:proofErr w:type="spellStart"/>
      <w:r w:rsidR="007F3785" w:rsidRPr="008038D3">
        <w:t>Lazimi</w:t>
      </w:r>
      <w:proofErr w:type="spellEnd"/>
      <w:r w:rsidR="007F3785" w:rsidRPr="008038D3">
        <w:t xml:space="preserve"> </w:t>
      </w:r>
      <w:r w:rsidR="00B6711F" w:rsidRPr="008038D3">
        <w:t xml:space="preserve">and </w:t>
      </w:r>
      <w:proofErr w:type="spellStart"/>
      <w:r w:rsidR="00B6711F" w:rsidRPr="008038D3">
        <w:t>Skendaj</w:t>
      </w:r>
      <w:proofErr w:type="spellEnd"/>
      <w:r w:rsidR="00B6711F" w:rsidRPr="008038D3">
        <w:t xml:space="preserve"> (2022) and </w:t>
      </w:r>
      <w:r w:rsidR="00847DC2" w:rsidRPr="008038D3">
        <w:t xml:space="preserve">Lee and Phi (2020) have found that larger hotels are more likely </w:t>
      </w:r>
      <w:r w:rsidR="00454AF1" w:rsidRPr="008038D3">
        <w:t xml:space="preserve">to recover from the pandemic. </w:t>
      </w:r>
      <w:r w:rsidR="003817E6" w:rsidRPr="008038D3">
        <w:t xml:space="preserve">Therefore, it may be suitable for Urban Heights to explore </w:t>
      </w:r>
      <w:r w:rsidR="00ED5401" w:rsidRPr="008038D3">
        <w:t xml:space="preserve">selling the business if </w:t>
      </w:r>
      <w:r w:rsidR="00E27A35" w:rsidRPr="008038D3">
        <w:t xml:space="preserve">other strategies fail. </w:t>
      </w:r>
    </w:p>
    <w:p w14:paraId="4A102D2B" w14:textId="77777777" w:rsidR="00C64E76" w:rsidRPr="00C64E76" w:rsidRDefault="00C64E76" w:rsidP="00C64E76">
      <w:pPr>
        <w:pStyle w:val="NormalWeb"/>
        <w:spacing w:line="360" w:lineRule="auto"/>
        <w:jc w:val="both"/>
      </w:pPr>
      <w:r w:rsidRPr="00C64E76">
        <w:t xml:space="preserve">When comparing Urban Heights Hotel to competitors like Travelodge, it seems the company </w:t>
      </w:r>
      <w:proofErr w:type="gramStart"/>
      <w:r w:rsidRPr="00C64E76">
        <w:t>lags behind</w:t>
      </w:r>
      <w:proofErr w:type="gramEnd"/>
      <w:r w:rsidRPr="00C64E76">
        <w:t xml:space="preserve"> in several areas. Travelodge has increased its revenue by over 20% and occupancy rates by 80% since 2020 (Travelodge, 2024). Its success is attributed to its commitment to sustainability, refurbishments and improvements of hotel facilities, digitalisation, and debt refinancing. Conversely, Urban Heights has experienced a decline in both revenue and occupancy rates. This underperformance could be attributed to outdated facilities or insufficient adaptation to market demands.</w:t>
      </w:r>
    </w:p>
    <w:p w14:paraId="22496751" w14:textId="39A44117" w:rsidR="00C64E76" w:rsidRDefault="00C64E76" w:rsidP="00012FC3">
      <w:pPr>
        <w:pStyle w:val="NormalWeb"/>
        <w:spacing w:line="360" w:lineRule="auto"/>
        <w:jc w:val="both"/>
      </w:pPr>
      <w:r w:rsidRPr="00C64E76">
        <w:t xml:space="preserve">To revitalise Urban Heights Hotel and bring it back to profitability, a comprehensive turnaround strategy is essential. </w:t>
      </w:r>
      <w:proofErr w:type="spellStart"/>
      <w:r w:rsidRPr="00C64E76">
        <w:t>Lazimi</w:t>
      </w:r>
      <w:proofErr w:type="spellEnd"/>
      <w:r w:rsidRPr="00C64E76">
        <w:t xml:space="preserve"> and </w:t>
      </w:r>
      <w:proofErr w:type="spellStart"/>
      <w:r w:rsidRPr="00C64E76">
        <w:t>Skendaj</w:t>
      </w:r>
      <w:proofErr w:type="spellEnd"/>
      <w:r w:rsidRPr="00C64E76">
        <w:t xml:space="preserve"> (2022) have analysed the strategic post-pandemic responses of hotels in Albania. They found that short- and medium-term solutions </w:t>
      </w:r>
      <w:r w:rsidRPr="00C64E76">
        <w:lastRenderedPageBreak/>
        <w:t xml:space="preserve">were chosen by most hotels. They found retrenchment to be the most implemented strategy, followed by preserving, exiting, and innovating. Retrenchment refers to focusing on core activities by reducing costs, assets, and the number of staff. Some pragmatic solutions to increase operational efficiency and cut costs have been mentioned earlier. The preserving strategy means focusing on existing activities and reducing innovation. Although some hotels may have adopted this strategy initially, it may no longer be suitable for Urban Heights Hotel in the current climate. Consumer preferences and technologies have changed since then, and by not adapting, Urban Heights would be at a disadvantage. As such, a better strategy would be to innovate. The company could explore relevant technologies like booking via mobile apps and energy-efficient systems that would appeal to customers’ preferences and help cut costs. Finally, if the company’s financial situation does not improve, it should consider exiting through a merger process. Both </w:t>
      </w:r>
      <w:proofErr w:type="spellStart"/>
      <w:r w:rsidRPr="00C64E76">
        <w:t>Lazimi</w:t>
      </w:r>
      <w:proofErr w:type="spellEnd"/>
      <w:r w:rsidRPr="00C64E76">
        <w:t xml:space="preserve"> and </w:t>
      </w:r>
      <w:proofErr w:type="spellStart"/>
      <w:r w:rsidRPr="00C64E76">
        <w:t>Skendaj</w:t>
      </w:r>
      <w:proofErr w:type="spellEnd"/>
      <w:r w:rsidRPr="00C64E76">
        <w:t xml:space="preserve"> (2022) and Lee and Phi (2020) have found that larger hotels are more likely to recover from the pandemic. Therefore, it may be suitable for Urban Heights to explore selling the business if other strategies fail.</w:t>
      </w:r>
    </w:p>
    <w:p w14:paraId="798D2A17" w14:textId="436B0D52" w:rsidR="008521E5" w:rsidRPr="008521E5" w:rsidRDefault="008521E5" w:rsidP="008521E5">
      <w:pPr>
        <w:pStyle w:val="Heading1"/>
        <w:rPr>
          <w:rFonts w:ascii="Times New Roman" w:hAnsi="Times New Roman" w:cs="Times New Roman"/>
          <w:color w:val="000000" w:themeColor="text1"/>
          <w:sz w:val="28"/>
          <w:szCs w:val="28"/>
        </w:rPr>
      </w:pPr>
      <w:bookmarkStart w:id="4" w:name="_Toc168480810"/>
      <w:r w:rsidRPr="008521E5">
        <w:rPr>
          <w:rFonts w:ascii="Times New Roman" w:hAnsi="Times New Roman" w:cs="Times New Roman"/>
          <w:color w:val="000000" w:themeColor="text1"/>
          <w:sz w:val="28"/>
          <w:szCs w:val="28"/>
        </w:rPr>
        <w:t>Conclusions</w:t>
      </w:r>
      <w:bookmarkEnd w:id="4"/>
    </w:p>
    <w:p w14:paraId="1F1EA6B4" w14:textId="77777777" w:rsidR="00C64E76" w:rsidRPr="00C64E76" w:rsidRDefault="00C64E76" w:rsidP="00C64E76">
      <w:pPr>
        <w:pStyle w:val="NormalWeb"/>
        <w:spacing w:line="360" w:lineRule="auto"/>
        <w:jc w:val="both"/>
      </w:pPr>
      <w:r w:rsidRPr="00C64E76">
        <w:t>In conclusion, Urban Heights Hotel has experienced a financial downturn from 2021 to 2023. Its revenue has decreased by 28% while operating expenses have increased. Net income has fallen to negative £500,000. The ratio analysis points to a similar trend. Profitability, measured by the profit margin, has fallen by 27%. The current ratio has decreased from 1.8 to 0.6, suggesting potential liquidity issues. Solvency is also concerning – the debt-to-equity ratio has increased by almost one point over the three years. These issues may be due to internal inefficiencies, such as inappropriate management decisions. However, it is very likely that external shocks like the global pandemic and its aftermath, including changing customer preferences and technologies, have also played a significant role.</w:t>
      </w:r>
    </w:p>
    <w:p w14:paraId="60F85280" w14:textId="02476C43" w:rsidR="00C64E76" w:rsidRDefault="00C64E76" w:rsidP="00012FC3">
      <w:pPr>
        <w:pStyle w:val="NormalWeb"/>
        <w:spacing w:line="360" w:lineRule="auto"/>
        <w:jc w:val="both"/>
      </w:pPr>
      <w:r w:rsidRPr="00C64E76">
        <w:t>By analysing research findings, it is evident Urban Heights Hotel should focus on retrenchment strategies by cutting costs. Additionally, they should focus on innovation to respond to market trends. Unlike responses from previous research, it is not advisable for the company to focus on preserving strategies as it may make it less competitive in the current market. Finally, if the financial situation does not improve, the management should consider selling the business.</w:t>
      </w:r>
    </w:p>
    <w:p w14:paraId="68475B63" w14:textId="77777777" w:rsidR="008521E5" w:rsidRDefault="008521E5" w:rsidP="00012FC3">
      <w:pPr>
        <w:pStyle w:val="NormalWeb"/>
        <w:spacing w:line="360" w:lineRule="auto"/>
        <w:jc w:val="both"/>
      </w:pPr>
    </w:p>
    <w:p w14:paraId="2CCB59FC" w14:textId="0408D388" w:rsidR="00CD1472" w:rsidRPr="008521E5" w:rsidRDefault="00CD1472" w:rsidP="008521E5">
      <w:pPr>
        <w:pStyle w:val="Heading1"/>
        <w:rPr>
          <w:rFonts w:ascii="Times New Roman" w:hAnsi="Times New Roman" w:cs="Times New Roman"/>
          <w:color w:val="000000" w:themeColor="text1"/>
          <w:sz w:val="28"/>
          <w:szCs w:val="28"/>
        </w:rPr>
      </w:pPr>
      <w:bookmarkStart w:id="5" w:name="_Toc168480811"/>
      <w:r w:rsidRPr="008521E5">
        <w:rPr>
          <w:rFonts w:ascii="Times New Roman" w:hAnsi="Times New Roman" w:cs="Times New Roman"/>
          <w:color w:val="000000" w:themeColor="text1"/>
          <w:sz w:val="28"/>
          <w:szCs w:val="28"/>
        </w:rPr>
        <w:lastRenderedPageBreak/>
        <w:t>References</w:t>
      </w:r>
      <w:bookmarkEnd w:id="5"/>
    </w:p>
    <w:p w14:paraId="3B687588" w14:textId="77777777" w:rsidR="00902391" w:rsidRDefault="00902391" w:rsidP="00902391">
      <w:pPr>
        <w:pStyle w:val="NormalWeb"/>
        <w:spacing w:before="0" w:beforeAutospacing="0" w:after="240" w:afterAutospacing="0" w:line="360" w:lineRule="auto"/>
        <w:jc w:val="both"/>
      </w:pPr>
      <w:r>
        <w:t>Al-</w:t>
      </w:r>
      <w:proofErr w:type="spellStart"/>
      <w:r>
        <w:t>Kumaim</w:t>
      </w:r>
      <w:proofErr w:type="spellEnd"/>
      <w:r>
        <w:t>, N.H., Samer, M., Hassan, S.H., Shabbir, M.S., Mohammed, F. and Al–</w:t>
      </w:r>
      <w:proofErr w:type="spellStart"/>
      <w:r>
        <w:t>Shami</w:t>
      </w:r>
      <w:proofErr w:type="spellEnd"/>
      <w:r>
        <w:t xml:space="preserve">, S.A. (2023). New demands by hotel customers post COVID-19 era. </w:t>
      </w:r>
      <w:r>
        <w:rPr>
          <w:i/>
          <w:iCs/>
        </w:rPr>
        <w:t>Foresight</w:t>
      </w:r>
      <w:r>
        <w:t xml:space="preserve">. </w:t>
      </w:r>
      <w:proofErr w:type="spellStart"/>
      <w:proofErr w:type="gramStart"/>
      <w:r>
        <w:t>doi:https</w:t>
      </w:r>
      <w:proofErr w:type="spellEnd"/>
      <w:r>
        <w:t>://doi.org/10.1108/fs-05-2023-0082</w:t>
      </w:r>
      <w:proofErr w:type="gramEnd"/>
      <w:r>
        <w:t>.</w:t>
      </w:r>
    </w:p>
    <w:p w14:paraId="3171AD30" w14:textId="77777777" w:rsidR="00902391" w:rsidRDefault="00902391" w:rsidP="00902391">
      <w:pPr>
        <w:pStyle w:val="NormalWeb"/>
        <w:spacing w:before="0" w:beforeAutospacing="0" w:after="240" w:afterAutospacing="0" w:line="360" w:lineRule="auto"/>
        <w:jc w:val="both"/>
      </w:pPr>
      <w:proofErr w:type="spellStart"/>
      <w:r>
        <w:t>Asdullah</w:t>
      </w:r>
      <w:proofErr w:type="spellEnd"/>
      <w:r>
        <w:t xml:space="preserve">, M.A. and Rehman, Z. (2015). A comparative study on financial performance of hotel industry in Pakistan (Sarena Hotel &amp; Marriott Hotel). </w:t>
      </w:r>
      <w:r>
        <w:rPr>
          <w:i/>
          <w:iCs/>
        </w:rPr>
        <w:t>Journal of Tourism, Hospitality and Sports</w:t>
      </w:r>
      <w:r>
        <w:t>, 8, pp.42–54.</w:t>
      </w:r>
    </w:p>
    <w:p w14:paraId="710DC88D" w14:textId="77777777" w:rsidR="00902391" w:rsidRDefault="00902391" w:rsidP="00902391">
      <w:pPr>
        <w:pStyle w:val="NormalWeb"/>
        <w:spacing w:before="0" w:beforeAutospacing="0" w:after="240" w:afterAutospacing="0" w:line="360" w:lineRule="auto"/>
        <w:jc w:val="both"/>
      </w:pPr>
      <w:proofErr w:type="spellStart"/>
      <w:r>
        <w:t>Assaker</w:t>
      </w:r>
      <w:proofErr w:type="spellEnd"/>
      <w:r>
        <w:t xml:space="preserve">, G. and O’Connor, P. (2023). The Importance of Green Certification Labels/Badges in Online Hotel Booking Choice: A Conjoint Investigation of Consumers’ Preferences Pre- and Post-COVID-19. </w:t>
      </w:r>
      <w:r>
        <w:rPr>
          <w:i/>
          <w:iCs/>
        </w:rPr>
        <w:t>Cornell Hospitality Quarterly</w:t>
      </w:r>
      <w:r>
        <w:t xml:space="preserve">, 64(4). </w:t>
      </w:r>
      <w:proofErr w:type="spellStart"/>
      <w:proofErr w:type="gramStart"/>
      <w:r>
        <w:t>doi:https</w:t>
      </w:r>
      <w:proofErr w:type="spellEnd"/>
      <w:r>
        <w:t>://doi.org/10.1177/19389655231184474</w:t>
      </w:r>
      <w:proofErr w:type="gramEnd"/>
      <w:r>
        <w:t>.</w:t>
      </w:r>
    </w:p>
    <w:p w14:paraId="38D3B951" w14:textId="77777777" w:rsidR="00902391" w:rsidRDefault="00902391" w:rsidP="00902391">
      <w:pPr>
        <w:pStyle w:val="NormalWeb"/>
        <w:spacing w:before="0" w:beforeAutospacing="0" w:after="240" w:afterAutospacing="0" w:line="360" w:lineRule="auto"/>
        <w:jc w:val="both"/>
      </w:pPr>
      <w:r>
        <w:t xml:space="preserve">Barros, C.P. (2005). Measuring efficiency in the hotel sector. </w:t>
      </w:r>
      <w:r>
        <w:rPr>
          <w:i/>
          <w:iCs/>
        </w:rPr>
        <w:t>Annals of Tourism Research</w:t>
      </w:r>
      <w:r>
        <w:t xml:space="preserve">, 32(2), pp.456–477. </w:t>
      </w:r>
      <w:proofErr w:type="spellStart"/>
      <w:proofErr w:type="gramStart"/>
      <w:r>
        <w:t>doi:https</w:t>
      </w:r>
      <w:proofErr w:type="spellEnd"/>
      <w:r>
        <w:t>://doi.org/10.1016/j.annals.2004.07.011</w:t>
      </w:r>
      <w:proofErr w:type="gramEnd"/>
      <w:r>
        <w:t>.</w:t>
      </w:r>
    </w:p>
    <w:p w14:paraId="2D792813" w14:textId="61EEFBA8" w:rsidR="00902391" w:rsidRDefault="00902391" w:rsidP="00902391">
      <w:pPr>
        <w:pStyle w:val="NormalWeb"/>
        <w:spacing w:before="0" w:beforeAutospacing="0" w:after="240" w:afterAutospacing="0" w:line="360" w:lineRule="auto"/>
        <w:jc w:val="both"/>
      </w:pPr>
      <w:proofErr w:type="spellStart"/>
      <w:r>
        <w:t>Damigos</w:t>
      </w:r>
      <w:proofErr w:type="spellEnd"/>
      <w:r>
        <w:t xml:space="preserve">, D. (2023). How Much Are Consumers Willing to Pay for a Greener Hotel Industry? A Systematic Literature Review. </w:t>
      </w:r>
      <w:r>
        <w:rPr>
          <w:i/>
          <w:iCs/>
        </w:rPr>
        <w:t>Sustainability</w:t>
      </w:r>
      <w:r>
        <w:t>,</w:t>
      </w:r>
      <w:r w:rsidR="00FF26EF">
        <w:t xml:space="preserve"> </w:t>
      </w:r>
      <w:r>
        <w:t xml:space="preserve">15(11), p.8775. </w:t>
      </w:r>
      <w:proofErr w:type="spellStart"/>
      <w:proofErr w:type="gramStart"/>
      <w:r>
        <w:t>doi:https</w:t>
      </w:r>
      <w:proofErr w:type="spellEnd"/>
      <w:r>
        <w:t>://doi.org/10.3390/su15118775</w:t>
      </w:r>
      <w:proofErr w:type="gramEnd"/>
      <w:r>
        <w:t>.</w:t>
      </w:r>
    </w:p>
    <w:p w14:paraId="1C033DF7" w14:textId="77777777" w:rsidR="00902391" w:rsidRDefault="00902391" w:rsidP="00902391">
      <w:pPr>
        <w:pStyle w:val="NormalWeb"/>
        <w:spacing w:before="0" w:beforeAutospacing="0" w:after="240" w:afterAutospacing="0" w:line="360" w:lineRule="auto"/>
        <w:jc w:val="both"/>
      </w:pPr>
      <w:r>
        <w:t xml:space="preserve">Demir, M., Demir, Ş.Ş., </w:t>
      </w:r>
      <w:proofErr w:type="spellStart"/>
      <w:r>
        <w:t>Dalgic</w:t>
      </w:r>
      <w:proofErr w:type="spellEnd"/>
      <w:r>
        <w:t xml:space="preserve">, A. and </w:t>
      </w:r>
      <w:proofErr w:type="spellStart"/>
      <w:r>
        <w:t>Ergen</w:t>
      </w:r>
      <w:proofErr w:type="spellEnd"/>
      <w:r>
        <w:t xml:space="preserve">, F.D. (2021). Impact of COVID-19 pandemic on the tourism industry: An evaluation from the hotel managers’ perspective. </w:t>
      </w:r>
      <w:r>
        <w:rPr>
          <w:i/>
          <w:iCs/>
        </w:rPr>
        <w:t>Journal of Tourism Theory and Research</w:t>
      </w:r>
      <w:r>
        <w:t xml:space="preserve">, 7(1), pp.51–68. </w:t>
      </w:r>
      <w:proofErr w:type="spellStart"/>
      <w:proofErr w:type="gramStart"/>
      <w:r>
        <w:t>doi:https</w:t>
      </w:r>
      <w:proofErr w:type="spellEnd"/>
      <w:r>
        <w:t>://doi.org/10.24288/jttr.857610</w:t>
      </w:r>
      <w:proofErr w:type="gramEnd"/>
      <w:r>
        <w:t>.</w:t>
      </w:r>
    </w:p>
    <w:p w14:paraId="436CF722" w14:textId="77777777" w:rsidR="00902391" w:rsidRDefault="00902391" w:rsidP="00902391">
      <w:pPr>
        <w:pStyle w:val="NormalWeb"/>
        <w:spacing w:before="0" w:beforeAutospacing="0" w:after="240" w:afterAutospacing="0" w:line="360" w:lineRule="auto"/>
        <w:jc w:val="both"/>
      </w:pPr>
      <w:r>
        <w:t xml:space="preserve">Epsilon, R. (2023). </w:t>
      </w:r>
      <w:r>
        <w:rPr>
          <w:i/>
          <w:iCs/>
        </w:rPr>
        <w:t xml:space="preserve">Council Post: Efficiency </w:t>
      </w:r>
      <w:proofErr w:type="gramStart"/>
      <w:r>
        <w:rPr>
          <w:i/>
          <w:iCs/>
        </w:rPr>
        <w:t>And</w:t>
      </w:r>
      <w:proofErr w:type="gramEnd"/>
      <w:r>
        <w:rPr>
          <w:i/>
          <w:iCs/>
        </w:rPr>
        <w:t xml:space="preserve"> Profitability In The Hotel Industry</w:t>
      </w:r>
      <w:r>
        <w:t>. [online] Forbes. Available at: https://www.forbes.com/sites/forbestechcouncil/2023/04/03/efficiency-and-profitability-in-the-hotel-industry/.</w:t>
      </w:r>
    </w:p>
    <w:p w14:paraId="4651BB5A" w14:textId="77777777" w:rsidR="00902391" w:rsidRDefault="00902391" w:rsidP="00902391">
      <w:pPr>
        <w:pStyle w:val="NormalWeb"/>
        <w:spacing w:before="0" w:beforeAutospacing="0" w:after="240" w:afterAutospacing="0" w:line="360" w:lineRule="auto"/>
        <w:jc w:val="both"/>
      </w:pPr>
      <w:proofErr w:type="spellStart"/>
      <w:r>
        <w:t>Lazimi</w:t>
      </w:r>
      <w:proofErr w:type="spellEnd"/>
      <w:r>
        <w:t xml:space="preserve">, L. and </w:t>
      </w:r>
      <w:proofErr w:type="spellStart"/>
      <w:r>
        <w:t>Skendaj</w:t>
      </w:r>
      <w:proofErr w:type="spellEnd"/>
      <w:r>
        <w:t xml:space="preserve">, A. (2022). Strategic responses to COVID-19: An evaluation from the hotel managers’ perspective. </w:t>
      </w:r>
      <w:r>
        <w:rPr>
          <w:i/>
          <w:iCs/>
        </w:rPr>
        <w:t>The Albanian Journal of Economy &amp; Business</w:t>
      </w:r>
      <w:r>
        <w:t>, (34).</w:t>
      </w:r>
    </w:p>
    <w:p w14:paraId="488D4A08" w14:textId="77777777" w:rsidR="00902391" w:rsidRDefault="00902391" w:rsidP="00902391">
      <w:pPr>
        <w:pStyle w:val="NormalWeb"/>
        <w:spacing w:before="0" w:beforeAutospacing="0" w:after="240" w:afterAutospacing="0" w:line="360" w:lineRule="auto"/>
        <w:jc w:val="both"/>
      </w:pPr>
      <w:r>
        <w:t xml:space="preserve">Le, D. and Phi, G. (2020). Strategic responses of the hotel sector to COVID-19: Toward a refined pandemic crisis management framework. </w:t>
      </w:r>
      <w:r>
        <w:rPr>
          <w:i/>
          <w:iCs/>
        </w:rPr>
        <w:t>International Journal of Hospitality Management</w:t>
      </w:r>
      <w:r>
        <w:t xml:space="preserve">, 94, p.102808. </w:t>
      </w:r>
      <w:proofErr w:type="spellStart"/>
      <w:proofErr w:type="gramStart"/>
      <w:r>
        <w:t>doi:https</w:t>
      </w:r>
      <w:proofErr w:type="spellEnd"/>
      <w:r>
        <w:t>://doi.org/10.1016/j.ijhm.2020.102808</w:t>
      </w:r>
      <w:proofErr w:type="gramEnd"/>
      <w:r>
        <w:t>.</w:t>
      </w:r>
    </w:p>
    <w:p w14:paraId="6F5DE2AE" w14:textId="77777777" w:rsidR="00902391" w:rsidRDefault="00902391" w:rsidP="00902391">
      <w:pPr>
        <w:pStyle w:val="NormalWeb"/>
        <w:spacing w:before="0" w:beforeAutospacing="0" w:after="240" w:afterAutospacing="0" w:line="360" w:lineRule="auto"/>
        <w:jc w:val="both"/>
      </w:pPr>
      <w:r>
        <w:lastRenderedPageBreak/>
        <w:t xml:space="preserve">Lim, W.M. and To, W.-M. (2021). The economic impact of a global pandemic on the tourism economy: the case of COVID-19 and Macao’s destination- and gambling-dependent economy. </w:t>
      </w:r>
      <w:r>
        <w:rPr>
          <w:i/>
          <w:iCs/>
        </w:rPr>
        <w:t>Current Issues in Tourism</w:t>
      </w:r>
      <w:r>
        <w:t>, 25(8), pp.1–12.</w:t>
      </w:r>
    </w:p>
    <w:p w14:paraId="7FCE1BE0" w14:textId="5F380534" w:rsidR="00902391" w:rsidRDefault="00902391" w:rsidP="00902391">
      <w:pPr>
        <w:pStyle w:val="NormalWeb"/>
        <w:spacing w:before="0" w:beforeAutospacing="0" w:after="240" w:afterAutospacing="0" w:line="360" w:lineRule="auto"/>
        <w:jc w:val="both"/>
      </w:pPr>
      <w:r>
        <w:t xml:space="preserve">Richter, F. (2023). </w:t>
      </w:r>
      <w:r>
        <w:rPr>
          <w:i/>
          <w:iCs/>
        </w:rPr>
        <w:t>Infographic: Global Tourism to Suffer Crushing Blow in 2020</w:t>
      </w:r>
      <w:r>
        <w:t>. [online] Statista Infographics. Available at: https://www.statista.com/chart/21793/international-tourist-arrivals-worldwide/.</w:t>
      </w:r>
      <w:r w:rsidR="00C64E76">
        <w:t xml:space="preserve"> </w:t>
      </w:r>
    </w:p>
    <w:p w14:paraId="21106B85" w14:textId="77777777" w:rsidR="00902391" w:rsidRDefault="00902391" w:rsidP="00902391">
      <w:pPr>
        <w:pStyle w:val="NormalWeb"/>
        <w:spacing w:before="0" w:beforeAutospacing="0" w:after="240" w:afterAutospacing="0" w:line="360" w:lineRule="auto"/>
        <w:jc w:val="both"/>
      </w:pPr>
      <w:r>
        <w:t xml:space="preserve">Travelodge (2024). </w:t>
      </w:r>
      <w:r>
        <w:rPr>
          <w:i/>
          <w:iCs/>
        </w:rPr>
        <w:t>Financial Results Presentation Q1 2024</w:t>
      </w:r>
      <w:r>
        <w:t>. [online] Available at: https://www.travelodge.co.uk/nw/sites/default/files/2024-Q1-Financial-Results-Presentation-FINAL.pdf [Accessed 4 Jun. 2024].</w:t>
      </w:r>
    </w:p>
    <w:p w14:paraId="62650923" w14:textId="77777777" w:rsidR="00F96D4D" w:rsidRDefault="00F96D4D" w:rsidP="00902391">
      <w:pPr>
        <w:pStyle w:val="NormalWeb"/>
        <w:spacing w:before="0" w:beforeAutospacing="0" w:after="240" w:afterAutospacing="0" w:line="360" w:lineRule="auto"/>
        <w:jc w:val="both"/>
      </w:pPr>
    </w:p>
    <w:p w14:paraId="31ADD1B5" w14:textId="77777777" w:rsidR="00F96D4D" w:rsidRDefault="00F96D4D" w:rsidP="00902391">
      <w:pPr>
        <w:pStyle w:val="NormalWeb"/>
        <w:spacing w:before="0" w:beforeAutospacing="0" w:after="240" w:afterAutospacing="0" w:line="360" w:lineRule="auto"/>
        <w:jc w:val="both"/>
      </w:pPr>
    </w:p>
    <w:p w14:paraId="27041954" w14:textId="77777777" w:rsidR="00F96D4D" w:rsidRDefault="00F96D4D" w:rsidP="00902391">
      <w:pPr>
        <w:pStyle w:val="NormalWeb"/>
        <w:spacing w:before="0" w:beforeAutospacing="0" w:after="240" w:afterAutospacing="0" w:line="360" w:lineRule="auto"/>
        <w:jc w:val="both"/>
      </w:pPr>
    </w:p>
    <w:p w14:paraId="08F84D7E" w14:textId="77777777" w:rsidR="00F96D4D" w:rsidRDefault="00F96D4D" w:rsidP="00902391">
      <w:pPr>
        <w:pStyle w:val="NormalWeb"/>
        <w:spacing w:before="0" w:beforeAutospacing="0" w:after="240" w:afterAutospacing="0" w:line="360" w:lineRule="auto"/>
        <w:jc w:val="both"/>
      </w:pPr>
    </w:p>
    <w:p w14:paraId="76F92235" w14:textId="77777777" w:rsidR="00F96D4D" w:rsidRDefault="00F96D4D" w:rsidP="00902391">
      <w:pPr>
        <w:pStyle w:val="NormalWeb"/>
        <w:spacing w:before="0" w:beforeAutospacing="0" w:after="240" w:afterAutospacing="0" w:line="360" w:lineRule="auto"/>
        <w:jc w:val="both"/>
      </w:pPr>
    </w:p>
    <w:p w14:paraId="44048FF0" w14:textId="77777777" w:rsidR="00F96D4D" w:rsidRDefault="00F96D4D" w:rsidP="00902391">
      <w:pPr>
        <w:pStyle w:val="NormalWeb"/>
        <w:spacing w:before="0" w:beforeAutospacing="0" w:after="240" w:afterAutospacing="0" w:line="360" w:lineRule="auto"/>
        <w:jc w:val="both"/>
      </w:pPr>
    </w:p>
    <w:p w14:paraId="33781560" w14:textId="77777777" w:rsidR="00F96D4D" w:rsidRDefault="00F96D4D" w:rsidP="00902391">
      <w:pPr>
        <w:pStyle w:val="NormalWeb"/>
        <w:spacing w:before="0" w:beforeAutospacing="0" w:after="240" w:afterAutospacing="0" w:line="360" w:lineRule="auto"/>
        <w:jc w:val="both"/>
      </w:pPr>
    </w:p>
    <w:p w14:paraId="3AF244D3" w14:textId="77777777" w:rsidR="00F96D4D" w:rsidRDefault="00F96D4D" w:rsidP="00902391">
      <w:pPr>
        <w:pStyle w:val="NormalWeb"/>
        <w:spacing w:before="0" w:beforeAutospacing="0" w:after="240" w:afterAutospacing="0" w:line="360" w:lineRule="auto"/>
        <w:jc w:val="both"/>
      </w:pPr>
    </w:p>
    <w:p w14:paraId="74D32BD2" w14:textId="77777777" w:rsidR="00F96D4D" w:rsidRDefault="00F96D4D" w:rsidP="00902391">
      <w:pPr>
        <w:pStyle w:val="NormalWeb"/>
        <w:spacing w:before="0" w:beforeAutospacing="0" w:after="240" w:afterAutospacing="0" w:line="360" w:lineRule="auto"/>
        <w:jc w:val="both"/>
      </w:pPr>
    </w:p>
    <w:p w14:paraId="49864FD0" w14:textId="77777777" w:rsidR="00F96D4D" w:rsidRDefault="00F96D4D" w:rsidP="00902391">
      <w:pPr>
        <w:pStyle w:val="NormalWeb"/>
        <w:spacing w:before="0" w:beforeAutospacing="0" w:after="240" w:afterAutospacing="0" w:line="360" w:lineRule="auto"/>
        <w:jc w:val="both"/>
      </w:pPr>
    </w:p>
    <w:p w14:paraId="580668EC" w14:textId="77777777" w:rsidR="00F96D4D" w:rsidRDefault="00F96D4D" w:rsidP="00902391">
      <w:pPr>
        <w:pStyle w:val="NormalWeb"/>
        <w:spacing w:before="0" w:beforeAutospacing="0" w:after="240" w:afterAutospacing="0" w:line="360" w:lineRule="auto"/>
        <w:jc w:val="both"/>
      </w:pPr>
    </w:p>
    <w:p w14:paraId="16D976F6" w14:textId="77777777" w:rsidR="00F96D4D" w:rsidRDefault="00F96D4D" w:rsidP="00902391">
      <w:pPr>
        <w:pStyle w:val="NormalWeb"/>
        <w:spacing w:before="0" w:beforeAutospacing="0" w:after="240" w:afterAutospacing="0" w:line="360" w:lineRule="auto"/>
        <w:jc w:val="both"/>
      </w:pPr>
    </w:p>
    <w:p w14:paraId="5F52FBAA" w14:textId="77777777" w:rsidR="00F96D4D" w:rsidRDefault="00F96D4D" w:rsidP="00902391">
      <w:pPr>
        <w:pStyle w:val="NormalWeb"/>
        <w:spacing w:before="0" w:beforeAutospacing="0" w:after="240" w:afterAutospacing="0" w:line="360" w:lineRule="auto"/>
        <w:jc w:val="both"/>
      </w:pPr>
    </w:p>
    <w:p w14:paraId="0A7E863F" w14:textId="77777777" w:rsidR="00F96D4D" w:rsidRDefault="00F96D4D" w:rsidP="00902391">
      <w:pPr>
        <w:pStyle w:val="NormalWeb"/>
        <w:spacing w:before="0" w:beforeAutospacing="0" w:after="240" w:afterAutospacing="0" w:line="360" w:lineRule="auto"/>
        <w:jc w:val="both"/>
      </w:pPr>
    </w:p>
    <w:p w14:paraId="5CE55E65" w14:textId="77777777" w:rsidR="00F96D4D" w:rsidRDefault="00F96D4D" w:rsidP="00902391">
      <w:pPr>
        <w:pStyle w:val="NormalWeb"/>
        <w:spacing w:before="0" w:beforeAutospacing="0" w:after="240" w:afterAutospacing="0" w:line="360" w:lineRule="auto"/>
        <w:jc w:val="both"/>
      </w:pPr>
    </w:p>
    <w:p w14:paraId="095966A8" w14:textId="56BC77D8" w:rsidR="00F96D4D" w:rsidRPr="008521E5" w:rsidRDefault="00F96D4D" w:rsidP="008521E5">
      <w:pPr>
        <w:pStyle w:val="Heading1"/>
        <w:rPr>
          <w:rFonts w:ascii="Times New Roman" w:hAnsi="Times New Roman" w:cs="Times New Roman"/>
          <w:color w:val="000000" w:themeColor="text1"/>
          <w:sz w:val="28"/>
          <w:szCs w:val="28"/>
        </w:rPr>
      </w:pPr>
      <w:bookmarkStart w:id="6" w:name="_Toc168480812"/>
      <w:r w:rsidRPr="008521E5">
        <w:rPr>
          <w:rFonts w:ascii="Times New Roman" w:hAnsi="Times New Roman" w:cs="Times New Roman"/>
          <w:color w:val="000000" w:themeColor="text1"/>
          <w:sz w:val="28"/>
          <w:szCs w:val="28"/>
        </w:rPr>
        <w:lastRenderedPageBreak/>
        <w:t>APPENDI</w:t>
      </w:r>
      <w:r w:rsidR="008521E5">
        <w:rPr>
          <w:rFonts w:ascii="Times New Roman" w:hAnsi="Times New Roman" w:cs="Times New Roman"/>
          <w:color w:val="000000" w:themeColor="text1"/>
          <w:sz w:val="28"/>
          <w:szCs w:val="28"/>
        </w:rPr>
        <w:t>X</w:t>
      </w:r>
      <w:bookmarkEnd w:id="6"/>
    </w:p>
    <w:p w14:paraId="4CA654E7" w14:textId="73C8CC43" w:rsidR="006673F8" w:rsidRPr="00AF6B7D" w:rsidRDefault="006673F8" w:rsidP="00AF6B7D">
      <w:pPr>
        <w:spacing w:before="100" w:beforeAutospacing="1" w:after="100" w:afterAutospacing="1" w:line="360" w:lineRule="auto"/>
        <w:rPr>
          <w:rFonts w:ascii="Times New Roman" w:eastAsia="Times New Roman" w:hAnsi="Times New Roman" w:cs="Times New Roman"/>
          <w:b/>
          <w:bCs/>
          <w:kern w:val="0"/>
          <w:lang w:eastAsia="en-GB"/>
          <w14:ligatures w14:val="none"/>
        </w:rPr>
      </w:pPr>
      <w:r w:rsidRPr="00AF6B7D">
        <w:rPr>
          <w:rFonts w:ascii="Times New Roman" w:eastAsia="Times New Roman" w:hAnsi="Times New Roman" w:cs="Times New Roman"/>
          <w:b/>
          <w:bCs/>
          <w:kern w:val="0"/>
          <w:lang w:eastAsia="en-GB"/>
          <w14:ligatures w14:val="none"/>
        </w:rPr>
        <w:t>Ratio Calculations</w:t>
      </w:r>
    </w:p>
    <w:p w14:paraId="388E3C43" w14:textId="3181E4EC" w:rsidR="006673F8" w:rsidRPr="00AF6B7D" w:rsidRDefault="006673F8" w:rsidP="00AF6B7D">
      <w:pPr>
        <w:spacing w:before="100" w:beforeAutospacing="1" w:after="100" w:afterAutospacing="1" w:line="360" w:lineRule="auto"/>
        <w:rPr>
          <w:rFonts w:ascii="Times New Roman" w:eastAsia="Times New Roman" w:hAnsi="Times New Roman" w:cs="Times New Roman"/>
          <w:b/>
          <w:bCs/>
          <w:kern w:val="0"/>
          <w:lang w:eastAsia="en-GB"/>
          <w14:ligatures w14:val="none"/>
        </w:rPr>
      </w:pPr>
      <w:r w:rsidRPr="00AF6B7D">
        <w:rPr>
          <w:rFonts w:ascii="Times New Roman" w:eastAsia="Times New Roman" w:hAnsi="Times New Roman" w:cs="Times New Roman"/>
          <w:b/>
          <w:bCs/>
          <w:kern w:val="0"/>
          <w:lang w:eastAsia="en-GB"/>
          <w14:ligatures w14:val="none"/>
        </w:rPr>
        <w:t>Formulas</w:t>
      </w:r>
    </w:p>
    <w:p w14:paraId="17583336" w14:textId="77777777" w:rsidR="00AF6B7D" w:rsidRDefault="006673F8" w:rsidP="00AF6B7D">
      <w:pPr>
        <w:spacing w:before="100" w:beforeAutospacing="1" w:after="100" w:afterAutospacing="1" w:line="360" w:lineRule="auto"/>
        <w:rPr>
          <w:rFonts w:ascii="Times New Roman" w:eastAsia="Times New Roman" w:hAnsi="Times New Roman" w:cs="Times New Roman"/>
          <w:kern w:val="0"/>
          <w:lang w:eastAsia="en-GB"/>
          <w14:ligatures w14:val="none"/>
        </w:rPr>
      </w:pPr>
      <w:r w:rsidRPr="00AF6B7D">
        <w:rPr>
          <w:rFonts w:ascii="Times New Roman" w:eastAsia="Times New Roman" w:hAnsi="Times New Roman" w:cs="Times New Roman"/>
          <w:kern w:val="0"/>
          <w:lang w:eastAsia="en-GB"/>
          <w14:ligatures w14:val="none"/>
        </w:rPr>
        <w:t xml:space="preserve">Profit Margin = </w:t>
      </w:r>
      <m:oMath>
        <m:f>
          <m:fPr>
            <m:ctrlPr>
              <w:rPr>
                <w:rFonts w:ascii="Cambria Math" w:eastAsia="Times New Roman" w:hAnsi="Cambria Math" w:cs="Times New Roman"/>
                <w:i/>
                <w:kern w:val="0"/>
                <w:lang w:eastAsia="en-GB"/>
                <w14:ligatures w14:val="none"/>
              </w:rPr>
            </m:ctrlPr>
          </m:fPr>
          <m:num>
            <m:r>
              <w:rPr>
                <w:rFonts w:ascii="Cambria Math" w:eastAsia="Times New Roman" w:hAnsi="Cambria Math" w:cs="Times New Roman"/>
                <w:kern w:val="0"/>
                <w:lang w:eastAsia="en-GB"/>
                <w14:ligatures w14:val="none"/>
              </w:rPr>
              <m:t>Net Income</m:t>
            </m:r>
          </m:num>
          <m:den>
            <m:r>
              <w:rPr>
                <w:rFonts w:ascii="Cambria Math" w:eastAsia="Times New Roman" w:hAnsi="Cambria Math" w:cs="Times New Roman"/>
                <w:kern w:val="0"/>
                <w:lang w:eastAsia="en-GB"/>
                <w14:ligatures w14:val="none"/>
              </w:rPr>
              <m:t>Revenue</m:t>
            </m:r>
          </m:den>
        </m:f>
      </m:oMath>
      <w:r w:rsidRPr="00AF6B7D">
        <w:rPr>
          <w:rFonts w:ascii="Times New Roman" w:eastAsia="Times New Roman" w:hAnsi="Times New Roman" w:cs="Times New Roman"/>
          <w:kern w:val="0"/>
          <w:lang w:eastAsia="en-GB"/>
          <w14:ligatures w14:val="none"/>
        </w:rPr>
        <w:t xml:space="preserve"> x 100</w:t>
      </w:r>
    </w:p>
    <w:p w14:paraId="2A3DD800" w14:textId="3F75700B" w:rsidR="006673F8" w:rsidRPr="00AF6B7D" w:rsidRDefault="006673F8" w:rsidP="00AF6B7D">
      <w:pPr>
        <w:spacing w:before="100" w:beforeAutospacing="1" w:after="100" w:afterAutospacing="1" w:line="360" w:lineRule="auto"/>
        <w:rPr>
          <w:rFonts w:ascii="Times New Roman" w:eastAsia="Times New Roman" w:hAnsi="Times New Roman" w:cs="Times New Roman"/>
          <w:kern w:val="0"/>
          <w:lang w:eastAsia="en-GB"/>
          <w14:ligatures w14:val="none"/>
        </w:rPr>
      </w:pPr>
      <w:r w:rsidRPr="00AF6B7D">
        <w:rPr>
          <w:rFonts w:ascii="Times New Roman" w:eastAsia="Times New Roman" w:hAnsi="Times New Roman" w:cs="Times New Roman"/>
          <w:kern w:val="0"/>
          <w:lang w:eastAsia="en-GB"/>
          <w14:ligatures w14:val="none"/>
        </w:rPr>
        <w:t xml:space="preserve">Current Ratio = </w:t>
      </w:r>
      <m:oMath>
        <m:f>
          <m:fPr>
            <m:ctrlPr>
              <w:rPr>
                <w:rFonts w:ascii="Cambria Math" w:eastAsia="Times New Roman" w:hAnsi="Cambria Math" w:cs="Times New Roman"/>
                <w:i/>
                <w:kern w:val="0"/>
                <w:lang w:eastAsia="en-GB"/>
                <w14:ligatures w14:val="none"/>
              </w:rPr>
            </m:ctrlPr>
          </m:fPr>
          <m:num>
            <m:r>
              <w:rPr>
                <w:rFonts w:ascii="Cambria Math" w:eastAsia="Times New Roman" w:hAnsi="Cambria Math" w:cs="Times New Roman"/>
                <w:kern w:val="0"/>
                <w:lang w:eastAsia="en-GB"/>
                <w14:ligatures w14:val="none"/>
              </w:rPr>
              <m:t>Current Assets</m:t>
            </m:r>
          </m:num>
          <m:den>
            <m:r>
              <w:rPr>
                <w:rFonts w:ascii="Cambria Math" w:eastAsia="Times New Roman" w:hAnsi="Cambria Math" w:cs="Times New Roman"/>
                <w:kern w:val="0"/>
                <w:lang w:eastAsia="en-GB"/>
                <w14:ligatures w14:val="none"/>
              </w:rPr>
              <m:t>Cuurent Liabilities</m:t>
            </m:r>
          </m:den>
        </m:f>
      </m:oMath>
      <w:r w:rsidR="00AF6B7D" w:rsidRPr="00AF6B7D">
        <w:rPr>
          <w:rFonts w:ascii="Times New Roman" w:eastAsia="Times New Roman" w:hAnsi="Times New Roman" w:cs="Times New Roman"/>
          <w:kern w:val="0"/>
          <w:lang w:eastAsia="en-GB"/>
          <w14:ligatures w14:val="none"/>
        </w:rPr>
        <w:t xml:space="preserve"> </w:t>
      </w:r>
    </w:p>
    <w:p w14:paraId="125CDA43" w14:textId="29189D5C" w:rsidR="006673F8" w:rsidRPr="00AF6B7D" w:rsidRDefault="006673F8" w:rsidP="00AF6B7D">
      <w:pPr>
        <w:spacing w:before="100" w:beforeAutospacing="1" w:after="100" w:afterAutospacing="1" w:line="360" w:lineRule="auto"/>
        <w:rPr>
          <w:rFonts w:ascii="Times New Roman" w:eastAsia="Times New Roman" w:hAnsi="Times New Roman" w:cs="Times New Roman"/>
          <w:kern w:val="0"/>
          <w:lang w:eastAsia="en-GB"/>
          <w14:ligatures w14:val="none"/>
        </w:rPr>
      </w:pPr>
      <w:r w:rsidRPr="00AF6B7D">
        <w:rPr>
          <w:rFonts w:ascii="Times New Roman" w:eastAsia="Times New Roman" w:hAnsi="Times New Roman" w:cs="Times New Roman"/>
          <w:kern w:val="0"/>
          <w:lang w:eastAsia="en-GB"/>
          <w14:ligatures w14:val="none"/>
        </w:rPr>
        <w:t xml:space="preserve">Debt-to-Equity Ratio = </w:t>
      </w:r>
      <m:oMath>
        <m:f>
          <m:fPr>
            <m:ctrlPr>
              <w:rPr>
                <w:rFonts w:ascii="Cambria Math" w:eastAsia="Times New Roman" w:hAnsi="Cambria Math" w:cs="Times New Roman"/>
                <w:i/>
                <w:kern w:val="0"/>
                <w:lang w:eastAsia="en-GB"/>
                <w14:ligatures w14:val="none"/>
              </w:rPr>
            </m:ctrlPr>
          </m:fPr>
          <m:num>
            <m:r>
              <w:rPr>
                <w:rFonts w:ascii="Cambria Math" w:eastAsia="Times New Roman" w:hAnsi="Cambria Math" w:cs="Times New Roman"/>
                <w:kern w:val="0"/>
                <w:lang w:eastAsia="en-GB"/>
                <w14:ligatures w14:val="none"/>
              </w:rPr>
              <m:t>Total Liabilities</m:t>
            </m:r>
          </m:num>
          <m:den>
            <m:r>
              <w:rPr>
                <w:rFonts w:ascii="Cambria Math" w:eastAsia="Times New Roman" w:hAnsi="Cambria Math" w:cs="Times New Roman"/>
                <w:kern w:val="0"/>
                <w:lang w:eastAsia="en-GB"/>
                <w14:ligatures w14:val="none"/>
              </w:rPr>
              <m:t>Equity</m:t>
            </m:r>
          </m:den>
        </m:f>
      </m:oMath>
    </w:p>
    <w:p w14:paraId="7D49A2F7" w14:textId="7297DF31" w:rsidR="00CD1472" w:rsidRPr="00AF6B7D" w:rsidRDefault="006673F8" w:rsidP="00AF6B7D">
      <w:pPr>
        <w:pStyle w:val="NormalWeb"/>
        <w:spacing w:line="360" w:lineRule="auto"/>
        <w:jc w:val="both"/>
        <w:rPr>
          <w:b/>
          <w:bCs/>
        </w:rPr>
      </w:pPr>
      <w:r w:rsidRPr="00AF6B7D">
        <w:rPr>
          <w:b/>
          <w:bCs/>
        </w:rPr>
        <w:t xml:space="preserve">Applying the formulas </w:t>
      </w:r>
    </w:p>
    <w:p w14:paraId="70EC00E6" w14:textId="7771BCEA" w:rsidR="006673F8" w:rsidRDefault="006673F8" w:rsidP="00AF6B7D">
      <w:pPr>
        <w:pStyle w:val="NormalWeb"/>
        <w:numPr>
          <w:ilvl w:val="0"/>
          <w:numId w:val="5"/>
        </w:numPr>
        <w:spacing w:line="360" w:lineRule="auto"/>
        <w:jc w:val="both"/>
      </w:pPr>
      <w:r>
        <w:t>2021 Calculations</w:t>
      </w:r>
    </w:p>
    <w:p w14:paraId="227D0E8A" w14:textId="71C85C39" w:rsidR="006673F8" w:rsidRDefault="006673F8" w:rsidP="00AF6B7D">
      <w:pPr>
        <w:pStyle w:val="NormalWeb"/>
        <w:spacing w:line="360" w:lineRule="auto"/>
        <w:jc w:val="both"/>
      </w:pPr>
      <w:r>
        <w:t>Profit Margin = (</w:t>
      </w:r>
      <m:oMath>
        <m:f>
          <m:fPr>
            <m:ctrlPr>
              <w:rPr>
                <w:rFonts w:ascii="Cambria Math" w:hAnsi="Cambria Math"/>
                <w:i/>
              </w:rPr>
            </m:ctrlPr>
          </m:fPr>
          <m:num>
            <m:r>
              <w:rPr>
                <w:rFonts w:ascii="Cambria Math" w:hAnsi="Cambria Math"/>
              </w:rPr>
              <m:t>£700,000</m:t>
            </m:r>
          </m:num>
          <m:den>
            <m:r>
              <w:rPr>
                <w:rFonts w:ascii="Cambria Math" w:hAnsi="Cambria Math"/>
              </w:rPr>
              <m:t>£2,500,000</m:t>
            </m:r>
          </m:den>
        </m:f>
      </m:oMath>
      <w:r>
        <w:t>) x 100 = 28%</w:t>
      </w:r>
    </w:p>
    <w:p w14:paraId="76D2F13B" w14:textId="6509D995" w:rsidR="00AF6B7D" w:rsidRDefault="00AF6B7D" w:rsidP="00AF6B7D">
      <w:pPr>
        <w:pStyle w:val="NormalWeb"/>
        <w:spacing w:line="360" w:lineRule="auto"/>
        <w:jc w:val="both"/>
      </w:pPr>
      <w:r>
        <w:t xml:space="preserve">Current Ratio = </w:t>
      </w:r>
      <m:oMath>
        <m:f>
          <m:fPr>
            <m:ctrlPr>
              <w:rPr>
                <w:rFonts w:ascii="Cambria Math" w:hAnsi="Cambria Math"/>
                <w:i/>
              </w:rPr>
            </m:ctrlPr>
          </m:fPr>
          <m:num>
            <m:r>
              <w:rPr>
                <w:rFonts w:ascii="Cambria Math" w:hAnsi="Cambria Math"/>
              </w:rPr>
              <m:t>£300,000 cash+£100,000 receivables</m:t>
            </m:r>
          </m:num>
          <m:den>
            <m:r>
              <w:rPr>
                <w:rFonts w:ascii="Cambria Math" w:hAnsi="Cambria Math"/>
              </w:rPr>
              <m:t>£250,000</m:t>
            </m:r>
          </m:den>
        </m:f>
      </m:oMath>
      <w:r>
        <w:t xml:space="preserve"> = 1.8</w:t>
      </w:r>
    </w:p>
    <w:p w14:paraId="3097B5C4" w14:textId="4F4E58F9" w:rsidR="00AF6B7D" w:rsidRDefault="00AF6B7D" w:rsidP="00AF6B7D">
      <w:pPr>
        <w:pStyle w:val="NormalWeb"/>
        <w:spacing w:line="360" w:lineRule="auto"/>
        <w:jc w:val="both"/>
      </w:pPr>
      <w:r>
        <w:t xml:space="preserve">Debt-to-Equity Ratio = </w:t>
      </w:r>
      <m:oMath>
        <m:f>
          <m:fPr>
            <m:ctrlPr>
              <w:rPr>
                <w:rFonts w:ascii="Cambria Math" w:hAnsi="Cambria Math"/>
                <w:i/>
              </w:rPr>
            </m:ctrlPr>
          </m:fPr>
          <m:num>
            <m:r>
              <w:rPr>
                <w:rFonts w:ascii="Cambria Math" w:hAnsi="Cambria Math"/>
              </w:rPr>
              <m:t>£2,250,000</m:t>
            </m:r>
          </m:num>
          <m:den>
            <m:r>
              <w:rPr>
                <w:rFonts w:ascii="Cambria Math" w:hAnsi="Cambria Math"/>
              </w:rPr>
              <m:t>£2,200,000</m:t>
            </m:r>
          </m:den>
        </m:f>
      </m:oMath>
      <w:r>
        <w:t xml:space="preserve"> = 1.48</w:t>
      </w:r>
    </w:p>
    <w:p w14:paraId="332AE238" w14:textId="2B2C8154" w:rsidR="00AF6B7D" w:rsidRDefault="00AF6B7D" w:rsidP="00AF6B7D">
      <w:pPr>
        <w:pStyle w:val="NormalWeb"/>
        <w:numPr>
          <w:ilvl w:val="0"/>
          <w:numId w:val="5"/>
        </w:numPr>
        <w:spacing w:line="360" w:lineRule="auto"/>
        <w:jc w:val="both"/>
      </w:pPr>
      <w:r>
        <w:t>2022 Calculations</w:t>
      </w:r>
    </w:p>
    <w:p w14:paraId="35ED9E5C" w14:textId="2B352365" w:rsidR="00AF6B7D" w:rsidRDefault="00AF6B7D" w:rsidP="00AF6B7D">
      <w:pPr>
        <w:pStyle w:val="NormalWeb"/>
        <w:spacing w:line="360" w:lineRule="auto"/>
        <w:jc w:val="both"/>
      </w:pPr>
      <w:r>
        <w:t>Profit Margin = (</w:t>
      </w:r>
      <m:oMath>
        <m:f>
          <m:fPr>
            <m:ctrlPr>
              <w:rPr>
                <w:rFonts w:ascii="Cambria Math" w:hAnsi="Cambria Math"/>
                <w:i/>
              </w:rPr>
            </m:ctrlPr>
          </m:fPr>
          <m:num>
            <m:r>
              <w:rPr>
                <w:rFonts w:ascii="Cambria Math" w:hAnsi="Cambria Math"/>
              </w:rPr>
              <m:t>£200,000</m:t>
            </m:r>
          </m:num>
          <m:den>
            <m:r>
              <w:rPr>
                <w:rFonts w:ascii="Cambria Math" w:hAnsi="Cambria Math"/>
              </w:rPr>
              <m:t>£2,200,000</m:t>
            </m:r>
          </m:den>
        </m:f>
      </m:oMath>
      <w:r>
        <w:t>) x 100 = 9.09%</w:t>
      </w:r>
    </w:p>
    <w:p w14:paraId="5E3531BE" w14:textId="0C2A9481" w:rsidR="00AF6B7D" w:rsidRDefault="00AF6B7D" w:rsidP="00AF6B7D">
      <w:pPr>
        <w:pStyle w:val="NormalWeb"/>
        <w:spacing w:line="360" w:lineRule="auto"/>
        <w:jc w:val="both"/>
      </w:pPr>
      <w:r>
        <w:t xml:space="preserve">Current Ratio = </w:t>
      </w:r>
      <m:oMath>
        <m:f>
          <m:fPr>
            <m:ctrlPr>
              <w:rPr>
                <w:rFonts w:ascii="Cambria Math" w:hAnsi="Cambria Math"/>
                <w:i/>
              </w:rPr>
            </m:ctrlPr>
          </m:fPr>
          <m:num>
            <m:r>
              <w:rPr>
                <w:rFonts w:ascii="Cambria Math" w:hAnsi="Cambria Math"/>
              </w:rPr>
              <m:t>£300,000</m:t>
            </m:r>
          </m:num>
          <m:den>
            <m:r>
              <w:rPr>
                <w:rFonts w:ascii="Cambria Math" w:hAnsi="Cambria Math"/>
              </w:rPr>
              <m:t>£270,000</m:t>
            </m:r>
          </m:den>
        </m:f>
      </m:oMath>
      <w:r>
        <w:t xml:space="preserve"> = 1.11</w:t>
      </w:r>
    </w:p>
    <w:p w14:paraId="228D3586" w14:textId="40E03B28" w:rsidR="00AF6B7D" w:rsidRDefault="00AF6B7D" w:rsidP="00AF6B7D">
      <w:pPr>
        <w:pStyle w:val="NormalWeb"/>
        <w:spacing w:line="360" w:lineRule="auto"/>
        <w:jc w:val="both"/>
      </w:pPr>
      <w:r>
        <w:t xml:space="preserve">Debt-to-Equity Ratio = </w:t>
      </w:r>
      <m:oMath>
        <m:f>
          <m:fPr>
            <m:ctrlPr>
              <w:rPr>
                <w:rFonts w:ascii="Cambria Math" w:hAnsi="Cambria Math"/>
                <w:i/>
              </w:rPr>
            </m:ctrlPr>
          </m:fPr>
          <m:num>
            <m:r>
              <w:rPr>
                <w:rFonts w:ascii="Cambria Math" w:hAnsi="Cambria Math"/>
              </w:rPr>
              <m:t>£2,370,000</m:t>
            </m:r>
          </m:num>
          <m:den>
            <m:r>
              <w:rPr>
                <w:rFonts w:ascii="Cambria Math" w:hAnsi="Cambria Math"/>
              </w:rPr>
              <m:t>£1,830,000</m:t>
            </m:r>
          </m:den>
        </m:f>
      </m:oMath>
      <w:r>
        <w:t xml:space="preserve"> = 1.79</w:t>
      </w:r>
    </w:p>
    <w:p w14:paraId="3DBAB805" w14:textId="1FB884C3" w:rsidR="00AF6B7D" w:rsidRDefault="00AF6B7D" w:rsidP="00AF6B7D">
      <w:pPr>
        <w:pStyle w:val="NormalWeb"/>
        <w:numPr>
          <w:ilvl w:val="0"/>
          <w:numId w:val="5"/>
        </w:numPr>
        <w:spacing w:line="360" w:lineRule="auto"/>
        <w:jc w:val="both"/>
      </w:pPr>
      <w:r>
        <w:t>2023 Calculations</w:t>
      </w:r>
    </w:p>
    <w:p w14:paraId="54697EA7" w14:textId="0D2A4236" w:rsidR="00AF6B7D" w:rsidRDefault="00AF6B7D" w:rsidP="00AF6B7D">
      <w:pPr>
        <w:pStyle w:val="NormalWeb"/>
        <w:spacing w:line="360" w:lineRule="auto"/>
        <w:jc w:val="both"/>
      </w:pPr>
      <w:r>
        <w:t>Profit Margin = (</w:t>
      </w:r>
      <m:oMath>
        <m:f>
          <m:fPr>
            <m:ctrlPr>
              <w:rPr>
                <w:rFonts w:ascii="Cambria Math" w:hAnsi="Cambria Math"/>
                <w:i/>
              </w:rPr>
            </m:ctrlPr>
          </m:fPr>
          <m:num>
            <m:r>
              <w:rPr>
                <w:rFonts w:ascii="Cambria Math" w:hAnsi="Cambria Math"/>
              </w:rPr>
              <m:t>-£500,000</m:t>
            </m:r>
          </m:num>
          <m:den>
            <m:r>
              <w:rPr>
                <w:rFonts w:ascii="Cambria Math" w:hAnsi="Cambria Math"/>
              </w:rPr>
              <m:t>£1,800,000</m:t>
            </m:r>
          </m:den>
        </m:f>
      </m:oMath>
      <w:r>
        <w:t>) x 100 = -27.78%</w:t>
      </w:r>
    </w:p>
    <w:p w14:paraId="4F48F426" w14:textId="51D11688" w:rsidR="00AF6B7D" w:rsidRDefault="00AF6B7D" w:rsidP="00AF6B7D">
      <w:pPr>
        <w:pStyle w:val="NormalWeb"/>
        <w:spacing w:line="360" w:lineRule="auto"/>
        <w:jc w:val="both"/>
      </w:pPr>
      <w:r>
        <w:t xml:space="preserve">Current Ratio = </w:t>
      </w:r>
      <m:oMath>
        <m:f>
          <m:fPr>
            <m:ctrlPr>
              <w:rPr>
                <w:rFonts w:ascii="Cambria Math" w:hAnsi="Cambria Math"/>
                <w:i/>
              </w:rPr>
            </m:ctrlPr>
          </m:fPr>
          <m:num>
            <m:r>
              <w:rPr>
                <w:rFonts w:ascii="Cambria Math" w:hAnsi="Cambria Math"/>
              </w:rPr>
              <m:t>£180,000</m:t>
            </m:r>
          </m:num>
          <m:den>
            <m:r>
              <w:rPr>
                <w:rFonts w:ascii="Cambria Math" w:hAnsi="Cambria Math"/>
              </w:rPr>
              <m:t>£300,000</m:t>
            </m:r>
          </m:den>
        </m:f>
      </m:oMath>
      <w:r>
        <w:t xml:space="preserve"> = 0.6</w:t>
      </w:r>
    </w:p>
    <w:p w14:paraId="6CB430A1" w14:textId="70F7FBA5" w:rsidR="00AF6B7D" w:rsidRDefault="00AF6B7D" w:rsidP="00AF6B7D">
      <w:pPr>
        <w:pStyle w:val="NormalWeb"/>
        <w:spacing w:line="360" w:lineRule="auto"/>
        <w:jc w:val="both"/>
      </w:pPr>
      <w:r>
        <w:lastRenderedPageBreak/>
        <w:t xml:space="preserve">Debt-to-Equity Ratio = </w:t>
      </w:r>
      <m:oMath>
        <m:f>
          <m:fPr>
            <m:ctrlPr>
              <w:rPr>
                <w:rFonts w:ascii="Cambria Math" w:hAnsi="Cambria Math"/>
                <w:i/>
              </w:rPr>
            </m:ctrlPr>
          </m:fPr>
          <m:num>
            <m:r>
              <w:rPr>
                <w:rFonts w:ascii="Cambria Math" w:hAnsi="Cambria Math"/>
              </w:rPr>
              <m:t>£3,300,000</m:t>
            </m:r>
          </m:num>
          <m:den>
            <m:r>
              <w:rPr>
                <w:rFonts w:ascii="Cambria Math" w:hAnsi="Cambria Math"/>
              </w:rPr>
              <m:t>£1,380,000</m:t>
            </m:r>
          </m:den>
        </m:f>
      </m:oMath>
      <w:r>
        <w:t xml:space="preserve"> = 2.39</w:t>
      </w:r>
    </w:p>
    <w:p w14:paraId="7E824166" w14:textId="77777777" w:rsidR="003B1E56" w:rsidRPr="00841494" w:rsidRDefault="003B1E56" w:rsidP="00AF6B7D">
      <w:pPr>
        <w:spacing w:line="360" w:lineRule="auto"/>
        <w:jc w:val="both"/>
        <w:rPr>
          <w:rFonts w:ascii="Times New Roman" w:hAnsi="Times New Roman" w:cs="Times New Roman"/>
        </w:rPr>
      </w:pPr>
    </w:p>
    <w:sectPr w:rsidR="003B1E56" w:rsidRPr="00841494" w:rsidSect="009B2E25">
      <w:footerReference w:type="default" r:id="rId11"/>
      <w:type w:val="continuous"/>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8AA6E" w14:textId="77777777" w:rsidR="00C30175" w:rsidRDefault="00C30175" w:rsidP="008038D3">
      <w:r>
        <w:separator/>
      </w:r>
    </w:p>
  </w:endnote>
  <w:endnote w:type="continuationSeparator" w:id="0">
    <w:p w14:paraId="06651F33" w14:textId="77777777" w:rsidR="00C30175" w:rsidRDefault="00C30175" w:rsidP="00803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1095549"/>
      <w:docPartObj>
        <w:docPartGallery w:val="Page Numbers (Bottom of Page)"/>
        <w:docPartUnique/>
      </w:docPartObj>
    </w:sdtPr>
    <w:sdtContent>
      <w:p w14:paraId="7E92DD38" w14:textId="4D18898F" w:rsidR="008038D3" w:rsidRDefault="008038D3" w:rsidP="009B2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9EC906" w14:textId="77777777" w:rsidR="008038D3" w:rsidRDefault="008038D3" w:rsidP="008038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49EFD" w14:textId="77777777" w:rsidR="008038D3" w:rsidRDefault="008038D3" w:rsidP="008038D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4738635"/>
      <w:docPartObj>
        <w:docPartGallery w:val="Page Numbers (Bottom of Page)"/>
        <w:docPartUnique/>
      </w:docPartObj>
    </w:sdtPr>
    <w:sdtContent>
      <w:p w14:paraId="446E87E7" w14:textId="77777777" w:rsidR="009B2E25" w:rsidRDefault="009B2E25" w:rsidP="005C58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F608E4B" w14:textId="77777777" w:rsidR="009B2E25" w:rsidRDefault="009B2E25" w:rsidP="008038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4B131" w14:textId="77777777" w:rsidR="00C30175" w:rsidRDefault="00C30175" w:rsidP="008038D3">
      <w:r>
        <w:separator/>
      </w:r>
    </w:p>
  </w:footnote>
  <w:footnote w:type="continuationSeparator" w:id="0">
    <w:p w14:paraId="4F01F97C" w14:textId="77777777" w:rsidR="00C30175" w:rsidRDefault="00C30175" w:rsidP="00803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A3CC3"/>
    <w:multiLevelType w:val="hybridMultilevel"/>
    <w:tmpl w:val="851AC7D0"/>
    <w:lvl w:ilvl="0" w:tplc="FEFCC27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C1BC8"/>
    <w:multiLevelType w:val="hybridMultilevel"/>
    <w:tmpl w:val="2F3C7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6A3146"/>
    <w:multiLevelType w:val="multilevel"/>
    <w:tmpl w:val="EF0C3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453EEA"/>
    <w:multiLevelType w:val="hybridMultilevel"/>
    <w:tmpl w:val="5418744E"/>
    <w:lvl w:ilvl="0" w:tplc="09344A6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CE5E44"/>
    <w:multiLevelType w:val="hybridMultilevel"/>
    <w:tmpl w:val="FFF86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073859">
    <w:abstractNumId w:val="3"/>
  </w:num>
  <w:num w:numId="2" w16cid:durableId="1852376174">
    <w:abstractNumId w:val="2"/>
  </w:num>
  <w:num w:numId="3" w16cid:durableId="915087541">
    <w:abstractNumId w:val="0"/>
  </w:num>
  <w:num w:numId="4" w16cid:durableId="2083599833">
    <w:abstractNumId w:val="1"/>
  </w:num>
  <w:num w:numId="5" w16cid:durableId="16206027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494"/>
    <w:rsid w:val="00004A61"/>
    <w:rsid w:val="00007124"/>
    <w:rsid w:val="00012FC3"/>
    <w:rsid w:val="00025477"/>
    <w:rsid w:val="000275E4"/>
    <w:rsid w:val="00027614"/>
    <w:rsid w:val="000307C1"/>
    <w:rsid w:val="00032EB9"/>
    <w:rsid w:val="0003528E"/>
    <w:rsid w:val="000403D1"/>
    <w:rsid w:val="0004200C"/>
    <w:rsid w:val="00045A3A"/>
    <w:rsid w:val="000957D2"/>
    <w:rsid w:val="000A4CAE"/>
    <w:rsid w:val="000D045C"/>
    <w:rsid w:val="000E1CF2"/>
    <w:rsid w:val="001013DE"/>
    <w:rsid w:val="00141559"/>
    <w:rsid w:val="00145FAB"/>
    <w:rsid w:val="00146C6C"/>
    <w:rsid w:val="0015110F"/>
    <w:rsid w:val="00170ED3"/>
    <w:rsid w:val="00173BC7"/>
    <w:rsid w:val="0018657E"/>
    <w:rsid w:val="001A6377"/>
    <w:rsid w:val="001A6481"/>
    <w:rsid w:val="001B142C"/>
    <w:rsid w:val="001B646F"/>
    <w:rsid w:val="001F0162"/>
    <w:rsid w:val="001F0F7C"/>
    <w:rsid w:val="00230570"/>
    <w:rsid w:val="002437F8"/>
    <w:rsid w:val="002509E2"/>
    <w:rsid w:val="002516DA"/>
    <w:rsid w:val="002641DF"/>
    <w:rsid w:val="0026535C"/>
    <w:rsid w:val="00270BBF"/>
    <w:rsid w:val="0029533A"/>
    <w:rsid w:val="002E1AE4"/>
    <w:rsid w:val="003014CF"/>
    <w:rsid w:val="00322B0F"/>
    <w:rsid w:val="00323B04"/>
    <w:rsid w:val="0033445F"/>
    <w:rsid w:val="00347D0A"/>
    <w:rsid w:val="00353DAF"/>
    <w:rsid w:val="003610D5"/>
    <w:rsid w:val="00372B3A"/>
    <w:rsid w:val="003746DE"/>
    <w:rsid w:val="003817E6"/>
    <w:rsid w:val="003A08D7"/>
    <w:rsid w:val="003B1E56"/>
    <w:rsid w:val="003B2F6F"/>
    <w:rsid w:val="003C0CE1"/>
    <w:rsid w:val="003C2698"/>
    <w:rsid w:val="003C71A3"/>
    <w:rsid w:val="003E0469"/>
    <w:rsid w:val="003E52F9"/>
    <w:rsid w:val="003E66F8"/>
    <w:rsid w:val="00415FDF"/>
    <w:rsid w:val="00420918"/>
    <w:rsid w:val="004419C0"/>
    <w:rsid w:val="00443AAA"/>
    <w:rsid w:val="00454AF1"/>
    <w:rsid w:val="00455572"/>
    <w:rsid w:val="0048680B"/>
    <w:rsid w:val="004A23E7"/>
    <w:rsid w:val="004A75D3"/>
    <w:rsid w:val="004B5690"/>
    <w:rsid w:val="004C1D5B"/>
    <w:rsid w:val="005140EF"/>
    <w:rsid w:val="005154FE"/>
    <w:rsid w:val="00552880"/>
    <w:rsid w:val="00553D27"/>
    <w:rsid w:val="0057229C"/>
    <w:rsid w:val="00585968"/>
    <w:rsid w:val="005B3FC3"/>
    <w:rsid w:val="005D7343"/>
    <w:rsid w:val="005E10F4"/>
    <w:rsid w:val="00655657"/>
    <w:rsid w:val="00656FF7"/>
    <w:rsid w:val="006673F8"/>
    <w:rsid w:val="006755A6"/>
    <w:rsid w:val="006A4065"/>
    <w:rsid w:val="006A50A6"/>
    <w:rsid w:val="006B2CAC"/>
    <w:rsid w:val="006B549D"/>
    <w:rsid w:val="006C51C7"/>
    <w:rsid w:val="006D6EC0"/>
    <w:rsid w:val="0071756D"/>
    <w:rsid w:val="00754102"/>
    <w:rsid w:val="00755A5C"/>
    <w:rsid w:val="00760915"/>
    <w:rsid w:val="00781326"/>
    <w:rsid w:val="00781D15"/>
    <w:rsid w:val="007B74AF"/>
    <w:rsid w:val="007C09D2"/>
    <w:rsid w:val="007E22CA"/>
    <w:rsid w:val="007E4DDC"/>
    <w:rsid w:val="007E5325"/>
    <w:rsid w:val="007F3785"/>
    <w:rsid w:val="00801CA9"/>
    <w:rsid w:val="008038D3"/>
    <w:rsid w:val="00841494"/>
    <w:rsid w:val="00847DC2"/>
    <w:rsid w:val="008521E5"/>
    <w:rsid w:val="008758C7"/>
    <w:rsid w:val="0089437A"/>
    <w:rsid w:val="008A56A2"/>
    <w:rsid w:val="008D2701"/>
    <w:rsid w:val="008D27E9"/>
    <w:rsid w:val="008F694D"/>
    <w:rsid w:val="00902107"/>
    <w:rsid w:val="00902391"/>
    <w:rsid w:val="0090486C"/>
    <w:rsid w:val="00914050"/>
    <w:rsid w:val="00914F5D"/>
    <w:rsid w:val="0091693B"/>
    <w:rsid w:val="00924B35"/>
    <w:rsid w:val="00926B1A"/>
    <w:rsid w:val="0096254A"/>
    <w:rsid w:val="0098339E"/>
    <w:rsid w:val="009A4B57"/>
    <w:rsid w:val="009B2E25"/>
    <w:rsid w:val="009B300F"/>
    <w:rsid w:val="009D045E"/>
    <w:rsid w:val="009F04A3"/>
    <w:rsid w:val="00A03A16"/>
    <w:rsid w:val="00A1069F"/>
    <w:rsid w:val="00A119B7"/>
    <w:rsid w:val="00A23E05"/>
    <w:rsid w:val="00A2415A"/>
    <w:rsid w:val="00A32288"/>
    <w:rsid w:val="00A3349F"/>
    <w:rsid w:val="00A3576E"/>
    <w:rsid w:val="00A82D60"/>
    <w:rsid w:val="00A846DE"/>
    <w:rsid w:val="00AC0684"/>
    <w:rsid w:val="00AC253B"/>
    <w:rsid w:val="00AC6659"/>
    <w:rsid w:val="00AF5CC8"/>
    <w:rsid w:val="00AF608B"/>
    <w:rsid w:val="00AF6B7D"/>
    <w:rsid w:val="00B26228"/>
    <w:rsid w:val="00B45016"/>
    <w:rsid w:val="00B45B3B"/>
    <w:rsid w:val="00B60689"/>
    <w:rsid w:val="00B61FAD"/>
    <w:rsid w:val="00B66F2D"/>
    <w:rsid w:val="00B6711F"/>
    <w:rsid w:val="00B74EBB"/>
    <w:rsid w:val="00B76BD4"/>
    <w:rsid w:val="00B847D9"/>
    <w:rsid w:val="00BA092F"/>
    <w:rsid w:val="00BB51C7"/>
    <w:rsid w:val="00BC5A24"/>
    <w:rsid w:val="00C01AA5"/>
    <w:rsid w:val="00C22AF9"/>
    <w:rsid w:val="00C27A53"/>
    <w:rsid w:val="00C30175"/>
    <w:rsid w:val="00C33FA8"/>
    <w:rsid w:val="00C34DF6"/>
    <w:rsid w:val="00C47D0A"/>
    <w:rsid w:val="00C55819"/>
    <w:rsid w:val="00C64E76"/>
    <w:rsid w:val="00C83EA3"/>
    <w:rsid w:val="00CB5422"/>
    <w:rsid w:val="00CB5563"/>
    <w:rsid w:val="00CB6108"/>
    <w:rsid w:val="00CD1472"/>
    <w:rsid w:val="00CF2D4F"/>
    <w:rsid w:val="00CF3AFA"/>
    <w:rsid w:val="00D347C1"/>
    <w:rsid w:val="00DF3D80"/>
    <w:rsid w:val="00DF7CF1"/>
    <w:rsid w:val="00E04B63"/>
    <w:rsid w:val="00E1406A"/>
    <w:rsid w:val="00E2240A"/>
    <w:rsid w:val="00E27658"/>
    <w:rsid w:val="00E27A35"/>
    <w:rsid w:val="00E47B93"/>
    <w:rsid w:val="00E537AC"/>
    <w:rsid w:val="00E67823"/>
    <w:rsid w:val="00E858E3"/>
    <w:rsid w:val="00E878E0"/>
    <w:rsid w:val="00E9208D"/>
    <w:rsid w:val="00EC5007"/>
    <w:rsid w:val="00ED5401"/>
    <w:rsid w:val="00EE630B"/>
    <w:rsid w:val="00EF0BAB"/>
    <w:rsid w:val="00EF122C"/>
    <w:rsid w:val="00F21262"/>
    <w:rsid w:val="00F22A92"/>
    <w:rsid w:val="00F6648C"/>
    <w:rsid w:val="00F66AAB"/>
    <w:rsid w:val="00F94EA2"/>
    <w:rsid w:val="00F96D4D"/>
    <w:rsid w:val="00FA72F3"/>
    <w:rsid w:val="00FB13BE"/>
    <w:rsid w:val="00FC29FA"/>
    <w:rsid w:val="00FD18CB"/>
    <w:rsid w:val="00FF2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7C61F"/>
  <w15:docId w15:val="{6C89943D-95CF-5842-A042-09C487233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2CA"/>
  </w:style>
  <w:style w:type="paragraph" w:styleId="Heading1">
    <w:name w:val="heading 1"/>
    <w:basedOn w:val="Normal"/>
    <w:next w:val="Normal"/>
    <w:link w:val="Heading1Char"/>
    <w:uiPriority w:val="9"/>
    <w:qFormat/>
    <w:rsid w:val="008414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4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4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4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4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4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4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4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4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4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4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4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4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4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4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4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4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494"/>
    <w:rPr>
      <w:rFonts w:eastAsiaTheme="majorEastAsia" w:cstheme="majorBidi"/>
      <w:color w:val="272727" w:themeColor="text1" w:themeTint="D8"/>
    </w:rPr>
  </w:style>
  <w:style w:type="paragraph" w:styleId="Title">
    <w:name w:val="Title"/>
    <w:basedOn w:val="Normal"/>
    <w:next w:val="Normal"/>
    <w:link w:val="TitleChar"/>
    <w:uiPriority w:val="10"/>
    <w:qFormat/>
    <w:rsid w:val="008414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4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49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4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4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1494"/>
    <w:rPr>
      <w:i/>
      <w:iCs/>
      <w:color w:val="404040" w:themeColor="text1" w:themeTint="BF"/>
    </w:rPr>
  </w:style>
  <w:style w:type="paragraph" w:styleId="ListParagraph">
    <w:name w:val="List Paragraph"/>
    <w:basedOn w:val="Normal"/>
    <w:uiPriority w:val="34"/>
    <w:qFormat/>
    <w:rsid w:val="00841494"/>
    <w:pPr>
      <w:ind w:left="720"/>
      <w:contextualSpacing/>
    </w:pPr>
  </w:style>
  <w:style w:type="character" w:styleId="IntenseEmphasis">
    <w:name w:val="Intense Emphasis"/>
    <w:basedOn w:val="DefaultParagraphFont"/>
    <w:uiPriority w:val="21"/>
    <w:qFormat/>
    <w:rsid w:val="00841494"/>
    <w:rPr>
      <w:i/>
      <w:iCs/>
      <w:color w:val="0F4761" w:themeColor="accent1" w:themeShade="BF"/>
    </w:rPr>
  </w:style>
  <w:style w:type="paragraph" w:styleId="IntenseQuote">
    <w:name w:val="Intense Quote"/>
    <w:basedOn w:val="Normal"/>
    <w:next w:val="Normal"/>
    <w:link w:val="IntenseQuoteChar"/>
    <w:uiPriority w:val="30"/>
    <w:qFormat/>
    <w:rsid w:val="008414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494"/>
    <w:rPr>
      <w:i/>
      <w:iCs/>
      <w:color w:val="0F4761" w:themeColor="accent1" w:themeShade="BF"/>
    </w:rPr>
  </w:style>
  <w:style w:type="character" w:styleId="IntenseReference">
    <w:name w:val="Intense Reference"/>
    <w:basedOn w:val="DefaultParagraphFont"/>
    <w:uiPriority w:val="32"/>
    <w:qFormat/>
    <w:rsid w:val="00841494"/>
    <w:rPr>
      <w:b/>
      <w:bCs/>
      <w:smallCaps/>
      <w:color w:val="0F4761" w:themeColor="accent1" w:themeShade="BF"/>
      <w:spacing w:val="5"/>
    </w:rPr>
  </w:style>
  <w:style w:type="paragraph" w:styleId="NormalWeb">
    <w:name w:val="Normal (Web)"/>
    <w:basedOn w:val="Normal"/>
    <w:uiPriority w:val="99"/>
    <w:semiHidden/>
    <w:unhideWhenUsed/>
    <w:rsid w:val="003E66F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E66F8"/>
    <w:rPr>
      <w:b/>
      <w:bCs/>
    </w:rPr>
  </w:style>
  <w:style w:type="table" w:styleId="TableGrid">
    <w:name w:val="Table Grid"/>
    <w:basedOn w:val="TableNormal"/>
    <w:uiPriority w:val="39"/>
    <w:rsid w:val="00E224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2240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2240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4155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1415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7Colorful">
    <w:name w:val="Grid Table 7 Colorful"/>
    <w:basedOn w:val="TableNormal"/>
    <w:uiPriority w:val="52"/>
    <w:rsid w:val="001415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1">
    <w:name w:val="Grid Table 5 Dark Accent 1"/>
    <w:basedOn w:val="TableNormal"/>
    <w:uiPriority w:val="50"/>
    <w:rsid w:val="00B66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B66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customStyle="1" w:styleId="katex-mathml">
    <w:name w:val="katex-mathml"/>
    <w:basedOn w:val="DefaultParagraphFont"/>
    <w:rsid w:val="006673F8"/>
  </w:style>
  <w:style w:type="character" w:customStyle="1" w:styleId="mord">
    <w:name w:val="mord"/>
    <w:basedOn w:val="DefaultParagraphFont"/>
    <w:rsid w:val="006673F8"/>
  </w:style>
  <w:style w:type="character" w:customStyle="1" w:styleId="mrel">
    <w:name w:val="mrel"/>
    <w:basedOn w:val="DefaultParagraphFont"/>
    <w:rsid w:val="006673F8"/>
  </w:style>
  <w:style w:type="character" w:customStyle="1" w:styleId="delimsizing">
    <w:name w:val="delimsizing"/>
    <w:basedOn w:val="DefaultParagraphFont"/>
    <w:rsid w:val="006673F8"/>
  </w:style>
  <w:style w:type="character" w:customStyle="1" w:styleId="mbin">
    <w:name w:val="mbin"/>
    <w:basedOn w:val="DefaultParagraphFont"/>
    <w:rsid w:val="006673F8"/>
  </w:style>
  <w:style w:type="character" w:customStyle="1" w:styleId="vlist-s">
    <w:name w:val="vlist-s"/>
    <w:basedOn w:val="DefaultParagraphFont"/>
    <w:rsid w:val="006673F8"/>
  </w:style>
  <w:style w:type="character" w:customStyle="1" w:styleId="mpunct">
    <w:name w:val="mpunct"/>
    <w:basedOn w:val="DefaultParagraphFont"/>
    <w:rsid w:val="006673F8"/>
  </w:style>
  <w:style w:type="character" w:styleId="PlaceholderText">
    <w:name w:val="Placeholder Text"/>
    <w:basedOn w:val="DefaultParagraphFont"/>
    <w:uiPriority w:val="99"/>
    <w:semiHidden/>
    <w:rsid w:val="006673F8"/>
    <w:rPr>
      <w:color w:val="666666"/>
    </w:rPr>
  </w:style>
  <w:style w:type="paragraph" w:styleId="NoSpacing">
    <w:name w:val="No Spacing"/>
    <w:link w:val="NoSpacingChar"/>
    <w:uiPriority w:val="1"/>
    <w:qFormat/>
    <w:rsid w:val="008038D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038D3"/>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8038D3"/>
    <w:pPr>
      <w:tabs>
        <w:tab w:val="center" w:pos="4513"/>
        <w:tab w:val="right" w:pos="9026"/>
      </w:tabs>
    </w:pPr>
  </w:style>
  <w:style w:type="character" w:customStyle="1" w:styleId="FooterChar">
    <w:name w:val="Footer Char"/>
    <w:basedOn w:val="DefaultParagraphFont"/>
    <w:link w:val="Footer"/>
    <w:uiPriority w:val="99"/>
    <w:rsid w:val="008038D3"/>
  </w:style>
  <w:style w:type="character" w:styleId="PageNumber">
    <w:name w:val="page number"/>
    <w:basedOn w:val="DefaultParagraphFont"/>
    <w:uiPriority w:val="99"/>
    <w:semiHidden/>
    <w:unhideWhenUsed/>
    <w:rsid w:val="008038D3"/>
  </w:style>
  <w:style w:type="character" w:styleId="Hyperlink">
    <w:name w:val="Hyperlink"/>
    <w:basedOn w:val="DefaultParagraphFont"/>
    <w:uiPriority w:val="99"/>
    <w:unhideWhenUsed/>
    <w:rsid w:val="00C64E76"/>
    <w:rPr>
      <w:color w:val="467886" w:themeColor="hyperlink"/>
      <w:u w:val="single"/>
    </w:rPr>
  </w:style>
  <w:style w:type="character" w:styleId="UnresolvedMention">
    <w:name w:val="Unresolved Mention"/>
    <w:basedOn w:val="DefaultParagraphFont"/>
    <w:uiPriority w:val="99"/>
    <w:semiHidden/>
    <w:unhideWhenUsed/>
    <w:rsid w:val="00C64E76"/>
    <w:rPr>
      <w:color w:val="605E5C"/>
      <w:shd w:val="clear" w:color="auto" w:fill="E1DFDD"/>
    </w:rPr>
  </w:style>
  <w:style w:type="character" w:styleId="FollowedHyperlink">
    <w:name w:val="FollowedHyperlink"/>
    <w:basedOn w:val="DefaultParagraphFont"/>
    <w:uiPriority w:val="99"/>
    <w:semiHidden/>
    <w:unhideWhenUsed/>
    <w:rsid w:val="00C64E76"/>
    <w:rPr>
      <w:color w:val="96607D" w:themeColor="followedHyperlink"/>
      <w:u w:val="single"/>
    </w:rPr>
  </w:style>
  <w:style w:type="paragraph" w:styleId="TOCHeading">
    <w:name w:val="TOC Heading"/>
    <w:basedOn w:val="Heading1"/>
    <w:next w:val="Normal"/>
    <w:uiPriority w:val="39"/>
    <w:unhideWhenUsed/>
    <w:qFormat/>
    <w:rsid w:val="008521E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521E5"/>
    <w:pPr>
      <w:spacing w:before="120"/>
    </w:pPr>
    <w:rPr>
      <w:b/>
      <w:bCs/>
      <w:i/>
      <w:iCs/>
    </w:rPr>
  </w:style>
  <w:style w:type="paragraph" w:styleId="TOC2">
    <w:name w:val="toc 2"/>
    <w:basedOn w:val="Normal"/>
    <w:next w:val="Normal"/>
    <w:autoRedefine/>
    <w:uiPriority w:val="39"/>
    <w:semiHidden/>
    <w:unhideWhenUsed/>
    <w:rsid w:val="008521E5"/>
    <w:pPr>
      <w:spacing w:before="120"/>
      <w:ind w:left="240"/>
    </w:pPr>
    <w:rPr>
      <w:b/>
      <w:bCs/>
      <w:sz w:val="22"/>
      <w:szCs w:val="22"/>
    </w:rPr>
  </w:style>
  <w:style w:type="paragraph" w:styleId="TOC3">
    <w:name w:val="toc 3"/>
    <w:basedOn w:val="Normal"/>
    <w:next w:val="Normal"/>
    <w:autoRedefine/>
    <w:uiPriority w:val="39"/>
    <w:semiHidden/>
    <w:unhideWhenUsed/>
    <w:rsid w:val="008521E5"/>
    <w:pPr>
      <w:ind w:left="480"/>
    </w:pPr>
    <w:rPr>
      <w:sz w:val="20"/>
      <w:szCs w:val="20"/>
    </w:rPr>
  </w:style>
  <w:style w:type="paragraph" w:styleId="TOC4">
    <w:name w:val="toc 4"/>
    <w:basedOn w:val="Normal"/>
    <w:next w:val="Normal"/>
    <w:autoRedefine/>
    <w:uiPriority w:val="39"/>
    <w:semiHidden/>
    <w:unhideWhenUsed/>
    <w:rsid w:val="008521E5"/>
    <w:pPr>
      <w:ind w:left="720"/>
    </w:pPr>
    <w:rPr>
      <w:sz w:val="20"/>
      <w:szCs w:val="20"/>
    </w:rPr>
  </w:style>
  <w:style w:type="paragraph" w:styleId="TOC5">
    <w:name w:val="toc 5"/>
    <w:basedOn w:val="Normal"/>
    <w:next w:val="Normal"/>
    <w:autoRedefine/>
    <w:uiPriority w:val="39"/>
    <w:semiHidden/>
    <w:unhideWhenUsed/>
    <w:rsid w:val="008521E5"/>
    <w:pPr>
      <w:ind w:left="960"/>
    </w:pPr>
    <w:rPr>
      <w:sz w:val="20"/>
      <w:szCs w:val="20"/>
    </w:rPr>
  </w:style>
  <w:style w:type="paragraph" w:styleId="TOC6">
    <w:name w:val="toc 6"/>
    <w:basedOn w:val="Normal"/>
    <w:next w:val="Normal"/>
    <w:autoRedefine/>
    <w:uiPriority w:val="39"/>
    <w:semiHidden/>
    <w:unhideWhenUsed/>
    <w:rsid w:val="008521E5"/>
    <w:pPr>
      <w:ind w:left="1200"/>
    </w:pPr>
    <w:rPr>
      <w:sz w:val="20"/>
      <w:szCs w:val="20"/>
    </w:rPr>
  </w:style>
  <w:style w:type="paragraph" w:styleId="TOC7">
    <w:name w:val="toc 7"/>
    <w:basedOn w:val="Normal"/>
    <w:next w:val="Normal"/>
    <w:autoRedefine/>
    <w:uiPriority w:val="39"/>
    <w:semiHidden/>
    <w:unhideWhenUsed/>
    <w:rsid w:val="008521E5"/>
    <w:pPr>
      <w:ind w:left="1440"/>
    </w:pPr>
    <w:rPr>
      <w:sz w:val="20"/>
      <w:szCs w:val="20"/>
    </w:rPr>
  </w:style>
  <w:style w:type="paragraph" w:styleId="TOC8">
    <w:name w:val="toc 8"/>
    <w:basedOn w:val="Normal"/>
    <w:next w:val="Normal"/>
    <w:autoRedefine/>
    <w:uiPriority w:val="39"/>
    <w:semiHidden/>
    <w:unhideWhenUsed/>
    <w:rsid w:val="008521E5"/>
    <w:pPr>
      <w:ind w:left="1680"/>
    </w:pPr>
    <w:rPr>
      <w:sz w:val="20"/>
      <w:szCs w:val="20"/>
    </w:rPr>
  </w:style>
  <w:style w:type="paragraph" w:styleId="TOC9">
    <w:name w:val="toc 9"/>
    <w:basedOn w:val="Normal"/>
    <w:next w:val="Normal"/>
    <w:autoRedefine/>
    <w:uiPriority w:val="39"/>
    <w:semiHidden/>
    <w:unhideWhenUsed/>
    <w:rsid w:val="008521E5"/>
    <w:pPr>
      <w:ind w:left="1920"/>
    </w:pPr>
    <w:rPr>
      <w:sz w:val="20"/>
      <w:szCs w:val="20"/>
    </w:rPr>
  </w:style>
  <w:style w:type="paragraph" w:styleId="Header">
    <w:name w:val="header"/>
    <w:basedOn w:val="Normal"/>
    <w:link w:val="HeaderChar"/>
    <w:uiPriority w:val="99"/>
    <w:unhideWhenUsed/>
    <w:rsid w:val="009B2E25"/>
    <w:pPr>
      <w:tabs>
        <w:tab w:val="center" w:pos="4513"/>
        <w:tab w:val="right" w:pos="9026"/>
      </w:tabs>
    </w:pPr>
  </w:style>
  <w:style w:type="character" w:customStyle="1" w:styleId="HeaderChar">
    <w:name w:val="Header Char"/>
    <w:basedOn w:val="DefaultParagraphFont"/>
    <w:link w:val="Header"/>
    <w:uiPriority w:val="99"/>
    <w:rsid w:val="009B2E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5586">
      <w:bodyDiv w:val="1"/>
      <w:marLeft w:val="0"/>
      <w:marRight w:val="0"/>
      <w:marTop w:val="0"/>
      <w:marBottom w:val="0"/>
      <w:divBdr>
        <w:top w:val="none" w:sz="0" w:space="0" w:color="auto"/>
        <w:left w:val="none" w:sz="0" w:space="0" w:color="auto"/>
        <w:bottom w:val="none" w:sz="0" w:space="0" w:color="auto"/>
        <w:right w:val="none" w:sz="0" w:space="0" w:color="auto"/>
      </w:divBdr>
    </w:div>
    <w:div w:id="86654538">
      <w:bodyDiv w:val="1"/>
      <w:marLeft w:val="0"/>
      <w:marRight w:val="0"/>
      <w:marTop w:val="0"/>
      <w:marBottom w:val="0"/>
      <w:divBdr>
        <w:top w:val="none" w:sz="0" w:space="0" w:color="auto"/>
        <w:left w:val="none" w:sz="0" w:space="0" w:color="auto"/>
        <w:bottom w:val="none" w:sz="0" w:space="0" w:color="auto"/>
        <w:right w:val="none" w:sz="0" w:space="0" w:color="auto"/>
      </w:divBdr>
    </w:div>
    <w:div w:id="159080568">
      <w:bodyDiv w:val="1"/>
      <w:marLeft w:val="0"/>
      <w:marRight w:val="0"/>
      <w:marTop w:val="0"/>
      <w:marBottom w:val="0"/>
      <w:divBdr>
        <w:top w:val="none" w:sz="0" w:space="0" w:color="auto"/>
        <w:left w:val="none" w:sz="0" w:space="0" w:color="auto"/>
        <w:bottom w:val="none" w:sz="0" w:space="0" w:color="auto"/>
        <w:right w:val="none" w:sz="0" w:space="0" w:color="auto"/>
      </w:divBdr>
    </w:div>
    <w:div w:id="230048297">
      <w:bodyDiv w:val="1"/>
      <w:marLeft w:val="0"/>
      <w:marRight w:val="0"/>
      <w:marTop w:val="0"/>
      <w:marBottom w:val="0"/>
      <w:divBdr>
        <w:top w:val="none" w:sz="0" w:space="0" w:color="auto"/>
        <w:left w:val="none" w:sz="0" w:space="0" w:color="auto"/>
        <w:bottom w:val="none" w:sz="0" w:space="0" w:color="auto"/>
        <w:right w:val="none" w:sz="0" w:space="0" w:color="auto"/>
      </w:divBdr>
    </w:div>
    <w:div w:id="437873266">
      <w:bodyDiv w:val="1"/>
      <w:marLeft w:val="0"/>
      <w:marRight w:val="0"/>
      <w:marTop w:val="0"/>
      <w:marBottom w:val="0"/>
      <w:divBdr>
        <w:top w:val="none" w:sz="0" w:space="0" w:color="auto"/>
        <w:left w:val="none" w:sz="0" w:space="0" w:color="auto"/>
        <w:bottom w:val="none" w:sz="0" w:space="0" w:color="auto"/>
        <w:right w:val="none" w:sz="0" w:space="0" w:color="auto"/>
      </w:divBdr>
    </w:div>
    <w:div w:id="456533185">
      <w:bodyDiv w:val="1"/>
      <w:marLeft w:val="0"/>
      <w:marRight w:val="0"/>
      <w:marTop w:val="0"/>
      <w:marBottom w:val="0"/>
      <w:divBdr>
        <w:top w:val="none" w:sz="0" w:space="0" w:color="auto"/>
        <w:left w:val="none" w:sz="0" w:space="0" w:color="auto"/>
        <w:bottom w:val="none" w:sz="0" w:space="0" w:color="auto"/>
        <w:right w:val="none" w:sz="0" w:space="0" w:color="auto"/>
      </w:divBdr>
    </w:div>
    <w:div w:id="461001281">
      <w:bodyDiv w:val="1"/>
      <w:marLeft w:val="0"/>
      <w:marRight w:val="0"/>
      <w:marTop w:val="0"/>
      <w:marBottom w:val="0"/>
      <w:divBdr>
        <w:top w:val="none" w:sz="0" w:space="0" w:color="auto"/>
        <w:left w:val="none" w:sz="0" w:space="0" w:color="auto"/>
        <w:bottom w:val="none" w:sz="0" w:space="0" w:color="auto"/>
        <w:right w:val="none" w:sz="0" w:space="0" w:color="auto"/>
      </w:divBdr>
    </w:div>
    <w:div w:id="507401481">
      <w:bodyDiv w:val="1"/>
      <w:marLeft w:val="0"/>
      <w:marRight w:val="0"/>
      <w:marTop w:val="0"/>
      <w:marBottom w:val="0"/>
      <w:divBdr>
        <w:top w:val="none" w:sz="0" w:space="0" w:color="auto"/>
        <w:left w:val="none" w:sz="0" w:space="0" w:color="auto"/>
        <w:bottom w:val="none" w:sz="0" w:space="0" w:color="auto"/>
        <w:right w:val="none" w:sz="0" w:space="0" w:color="auto"/>
      </w:divBdr>
    </w:div>
    <w:div w:id="542182942">
      <w:bodyDiv w:val="1"/>
      <w:marLeft w:val="0"/>
      <w:marRight w:val="0"/>
      <w:marTop w:val="0"/>
      <w:marBottom w:val="0"/>
      <w:divBdr>
        <w:top w:val="none" w:sz="0" w:space="0" w:color="auto"/>
        <w:left w:val="none" w:sz="0" w:space="0" w:color="auto"/>
        <w:bottom w:val="none" w:sz="0" w:space="0" w:color="auto"/>
        <w:right w:val="none" w:sz="0" w:space="0" w:color="auto"/>
      </w:divBdr>
    </w:div>
    <w:div w:id="652830589">
      <w:bodyDiv w:val="1"/>
      <w:marLeft w:val="0"/>
      <w:marRight w:val="0"/>
      <w:marTop w:val="0"/>
      <w:marBottom w:val="0"/>
      <w:divBdr>
        <w:top w:val="none" w:sz="0" w:space="0" w:color="auto"/>
        <w:left w:val="none" w:sz="0" w:space="0" w:color="auto"/>
        <w:bottom w:val="none" w:sz="0" w:space="0" w:color="auto"/>
        <w:right w:val="none" w:sz="0" w:space="0" w:color="auto"/>
      </w:divBdr>
    </w:div>
    <w:div w:id="767970929">
      <w:bodyDiv w:val="1"/>
      <w:marLeft w:val="0"/>
      <w:marRight w:val="0"/>
      <w:marTop w:val="0"/>
      <w:marBottom w:val="0"/>
      <w:divBdr>
        <w:top w:val="none" w:sz="0" w:space="0" w:color="auto"/>
        <w:left w:val="none" w:sz="0" w:space="0" w:color="auto"/>
        <w:bottom w:val="none" w:sz="0" w:space="0" w:color="auto"/>
        <w:right w:val="none" w:sz="0" w:space="0" w:color="auto"/>
      </w:divBdr>
      <w:divsChild>
        <w:div w:id="1371956526">
          <w:marLeft w:val="0"/>
          <w:marRight w:val="0"/>
          <w:marTop w:val="0"/>
          <w:marBottom w:val="0"/>
          <w:divBdr>
            <w:top w:val="none" w:sz="0" w:space="0" w:color="auto"/>
            <w:left w:val="none" w:sz="0" w:space="0" w:color="auto"/>
            <w:bottom w:val="none" w:sz="0" w:space="0" w:color="auto"/>
            <w:right w:val="none" w:sz="0" w:space="0" w:color="auto"/>
          </w:divBdr>
        </w:div>
      </w:divsChild>
    </w:div>
    <w:div w:id="822549164">
      <w:bodyDiv w:val="1"/>
      <w:marLeft w:val="0"/>
      <w:marRight w:val="0"/>
      <w:marTop w:val="0"/>
      <w:marBottom w:val="0"/>
      <w:divBdr>
        <w:top w:val="none" w:sz="0" w:space="0" w:color="auto"/>
        <w:left w:val="none" w:sz="0" w:space="0" w:color="auto"/>
        <w:bottom w:val="none" w:sz="0" w:space="0" w:color="auto"/>
        <w:right w:val="none" w:sz="0" w:space="0" w:color="auto"/>
      </w:divBdr>
    </w:div>
    <w:div w:id="904953427">
      <w:bodyDiv w:val="1"/>
      <w:marLeft w:val="0"/>
      <w:marRight w:val="0"/>
      <w:marTop w:val="0"/>
      <w:marBottom w:val="0"/>
      <w:divBdr>
        <w:top w:val="none" w:sz="0" w:space="0" w:color="auto"/>
        <w:left w:val="none" w:sz="0" w:space="0" w:color="auto"/>
        <w:bottom w:val="none" w:sz="0" w:space="0" w:color="auto"/>
        <w:right w:val="none" w:sz="0" w:space="0" w:color="auto"/>
      </w:divBdr>
    </w:div>
    <w:div w:id="1032921009">
      <w:bodyDiv w:val="1"/>
      <w:marLeft w:val="0"/>
      <w:marRight w:val="0"/>
      <w:marTop w:val="0"/>
      <w:marBottom w:val="0"/>
      <w:divBdr>
        <w:top w:val="none" w:sz="0" w:space="0" w:color="auto"/>
        <w:left w:val="none" w:sz="0" w:space="0" w:color="auto"/>
        <w:bottom w:val="none" w:sz="0" w:space="0" w:color="auto"/>
        <w:right w:val="none" w:sz="0" w:space="0" w:color="auto"/>
      </w:divBdr>
    </w:div>
    <w:div w:id="1086924877">
      <w:bodyDiv w:val="1"/>
      <w:marLeft w:val="0"/>
      <w:marRight w:val="0"/>
      <w:marTop w:val="0"/>
      <w:marBottom w:val="0"/>
      <w:divBdr>
        <w:top w:val="none" w:sz="0" w:space="0" w:color="auto"/>
        <w:left w:val="none" w:sz="0" w:space="0" w:color="auto"/>
        <w:bottom w:val="none" w:sz="0" w:space="0" w:color="auto"/>
        <w:right w:val="none" w:sz="0" w:space="0" w:color="auto"/>
      </w:divBdr>
    </w:div>
    <w:div w:id="1089352777">
      <w:bodyDiv w:val="1"/>
      <w:marLeft w:val="0"/>
      <w:marRight w:val="0"/>
      <w:marTop w:val="0"/>
      <w:marBottom w:val="0"/>
      <w:divBdr>
        <w:top w:val="none" w:sz="0" w:space="0" w:color="auto"/>
        <w:left w:val="none" w:sz="0" w:space="0" w:color="auto"/>
        <w:bottom w:val="none" w:sz="0" w:space="0" w:color="auto"/>
        <w:right w:val="none" w:sz="0" w:space="0" w:color="auto"/>
      </w:divBdr>
    </w:div>
    <w:div w:id="1143156996">
      <w:bodyDiv w:val="1"/>
      <w:marLeft w:val="0"/>
      <w:marRight w:val="0"/>
      <w:marTop w:val="0"/>
      <w:marBottom w:val="0"/>
      <w:divBdr>
        <w:top w:val="none" w:sz="0" w:space="0" w:color="auto"/>
        <w:left w:val="none" w:sz="0" w:space="0" w:color="auto"/>
        <w:bottom w:val="none" w:sz="0" w:space="0" w:color="auto"/>
        <w:right w:val="none" w:sz="0" w:space="0" w:color="auto"/>
      </w:divBdr>
    </w:div>
    <w:div w:id="1250309275">
      <w:bodyDiv w:val="1"/>
      <w:marLeft w:val="0"/>
      <w:marRight w:val="0"/>
      <w:marTop w:val="0"/>
      <w:marBottom w:val="0"/>
      <w:divBdr>
        <w:top w:val="none" w:sz="0" w:space="0" w:color="auto"/>
        <w:left w:val="none" w:sz="0" w:space="0" w:color="auto"/>
        <w:bottom w:val="none" w:sz="0" w:space="0" w:color="auto"/>
        <w:right w:val="none" w:sz="0" w:space="0" w:color="auto"/>
      </w:divBdr>
      <w:divsChild>
        <w:div w:id="768429106">
          <w:marLeft w:val="0"/>
          <w:marRight w:val="0"/>
          <w:marTop w:val="0"/>
          <w:marBottom w:val="0"/>
          <w:divBdr>
            <w:top w:val="none" w:sz="0" w:space="0" w:color="auto"/>
            <w:left w:val="none" w:sz="0" w:space="0" w:color="auto"/>
            <w:bottom w:val="none" w:sz="0" w:space="0" w:color="auto"/>
            <w:right w:val="none" w:sz="0" w:space="0" w:color="auto"/>
          </w:divBdr>
          <w:divsChild>
            <w:div w:id="459343216">
              <w:marLeft w:val="0"/>
              <w:marRight w:val="0"/>
              <w:marTop w:val="0"/>
              <w:marBottom w:val="0"/>
              <w:divBdr>
                <w:top w:val="none" w:sz="0" w:space="0" w:color="auto"/>
                <w:left w:val="none" w:sz="0" w:space="0" w:color="auto"/>
                <w:bottom w:val="none" w:sz="0" w:space="0" w:color="auto"/>
                <w:right w:val="none" w:sz="0" w:space="0" w:color="auto"/>
              </w:divBdr>
              <w:divsChild>
                <w:div w:id="1865745819">
                  <w:marLeft w:val="0"/>
                  <w:marRight w:val="0"/>
                  <w:marTop w:val="0"/>
                  <w:marBottom w:val="0"/>
                  <w:divBdr>
                    <w:top w:val="none" w:sz="0" w:space="0" w:color="auto"/>
                    <w:left w:val="none" w:sz="0" w:space="0" w:color="auto"/>
                    <w:bottom w:val="none" w:sz="0" w:space="0" w:color="auto"/>
                    <w:right w:val="none" w:sz="0" w:space="0" w:color="auto"/>
                  </w:divBdr>
                  <w:divsChild>
                    <w:div w:id="44218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411342">
      <w:bodyDiv w:val="1"/>
      <w:marLeft w:val="0"/>
      <w:marRight w:val="0"/>
      <w:marTop w:val="0"/>
      <w:marBottom w:val="0"/>
      <w:divBdr>
        <w:top w:val="none" w:sz="0" w:space="0" w:color="auto"/>
        <w:left w:val="none" w:sz="0" w:space="0" w:color="auto"/>
        <w:bottom w:val="none" w:sz="0" w:space="0" w:color="auto"/>
        <w:right w:val="none" w:sz="0" w:space="0" w:color="auto"/>
      </w:divBdr>
    </w:div>
    <w:div w:id="1440031876">
      <w:bodyDiv w:val="1"/>
      <w:marLeft w:val="0"/>
      <w:marRight w:val="0"/>
      <w:marTop w:val="0"/>
      <w:marBottom w:val="0"/>
      <w:divBdr>
        <w:top w:val="none" w:sz="0" w:space="0" w:color="auto"/>
        <w:left w:val="none" w:sz="0" w:space="0" w:color="auto"/>
        <w:bottom w:val="none" w:sz="0" w:space="0" w:color="auto"/>
        <w:right w:val="none" w:sz="0" w:space="0" w:color="auto"/>
      </w:divBdr>
    </w:div>
    <w:div w:id="1579053307">
      <w:bodyDiv w:val="1"/>
      <w:marLeft w:val="0"/>
      <w:marRight w:val="0"/>
      <w:marTop w:val="0"/>
      <w:marBottom w:val="0"/>
      <w:divBdr>
        <w:top w:val="none" w:sz="0" w:space="0" w:color="auto"/>
        <w:left w:val="none" w:sz="0" w:space="0" w:color="auto"/>
        <w:bottom w:val="none" w:sz="0" w:space="0" w:color="auto"/>
        <w:right w:val="none" w:sz="0" w:space="0" w:color="auto"/>
      </w:divBdr>
    </w:div>
    <w:div w:id="1748529417">
      <w:bodyDiv w:val="1"/>
      <w:marLeft w:val="0"/>
      <w:marRight w:val="0"/>
      <w:marTop w:val="0"/>
      <w:marBottom w:val="0"/>
      <w:divBdr>
        <w:top w:val="none" w:sz="0" w:space="0" w:color="auto"/>
        <w:left w:val="none" w:sz="0" w:space="0" w:color="auto"/>
        <w:bottom w:val="none" w:sz="0" w:space="0" w:color="auto"/>
        <w:right w:val="none" w:sz="0" w:space="0" w:color="auto"/>
      </w:divBdr>
    </w:div>
    <w:div w:id="2116557201">
      <w:bodyDiv w:val="1"/>
      <w:marLeft w:val="0"/>
      <w:marRight w:val="0"/>
      <w:marTop w:val="0"/>
      <w:marBottom w:val="0"/>
      <w:divBdr>
        <w:top w:val="none" w:sz="0" w:space="0" w:color="auto"/>
        <w:left w:val="none" w:sz="0" w:space="0" w:color="auto"/>
        <w:bottom w:val="none" w:sz="0" w:space="0" w:color="auto"/>
        <w:right w:val="none" w:sz="0" w:space="0" w:color="auto"/>
      </w:divBdr>
    </w:div>
    <w:div w:id="2139488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C0BEA-5776-5244-A079-94D60B08A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3102</Words>
  <Characters>17685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urban heights hotel: causes of financial decline and turnaround plan</vt:lpstr>
    </vt:vector>
  </TitlesOfParts>
  <Company>Word Count: 2150</Company>
  <LinksUpToDate>false</LinksUpToDate>
  <CharactersWithSpaces>20746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heights hotel: causes of financial decline and turnaround plan</dc:title>
  <dc:subject>BMIH5007 Financial Management for the Hotel Industry</dc:subject>
  <dc:creator>Student ID Number: 1815431</dc:creator>
  <cp:keywords/>
  <dc:description/>
  <cp:lastModifiedBy>Andrei Vilceanu</cp:lastModifiedBy>
  <cp:revision>2</cp:revision>
  <dcterms:created xsi:type="dcterms:W3CDTF">2024-06-06T13:23:00Z</dcterms:created>
  <dcterms:modified xsi:type="dcterms:W3CDTF">2024-06-06T13:23:00Z</dcterms:modified>
</cp:coreProperties>
</file>