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6574644"/>
        <w:docPartObj>
          <w:docPartGallery w:val="Cover Pages"/>
          <w:docPartUnique/>
        </w:docPartObj>
      </w:sdtPr>
      <w:sdtEndPr>
        <w:rPr>
          <w:rFonts w:ascii="Arial" w:eastAsia="Times New Roman" w:hAnsi="Arial" w:cs="Arial"/>
          <w:i/>
          <w:sz w:val="24"/>
          <w:szCs w:val="24"/>
          <w:lang w:eastAsia="en-GB"/>
        </w:rPr>
      </w:sdtEndPr>
      <w:sdtContent>
        <w:p w14:paraId="6FF0A751" w14:textId="7781B0B1" w:rsidR="00552344" w:rsidRDefault="00552344">
          <w:r>
            <w:rPr>
              <w:noProof/>
            </w:rPr>
            <mc:AlternateContent>
              <mc:Choice Requires="wpg">
                <w:drawing>
                  <wp:anchor distT="0" distB="0" distL="114300" distR="114300" simplePos="0" relativeHeight="251662336" behindDoc="0" locked="0" layoutInCell="1" allowOverlap="1" wp14:anchorId="7E4FC8C8" wp14:editId="55D6925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6CCEF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B842C3" wp14:editId="6EE5E6B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7CBD8" w14:textId="007E82F9" w:rsidR="00552344" w:rsidRDefault="00B876F8" w:rsidP="00B876F8">
                                <w:pPr>
                                  <w:pStyle w:val="NoSpacing"/>
                                  <w:rPr>
                                    <w:color w:val="595959" w:themeColor="text1" w:themeTint="A6"/>
                                    <w:sz w:val="28"/>
                                    <w:szCs w:val="28"/>
                                  </w:rPr>
                                </w:pPr>
                                <w:r>
                                  <w:rPr>
                                    <w:color w:val="595959" w:themeColor="text1" w:themeTint="A6"/>
                                    <w:sz w:val="28"/>
                                    <w:szCs w:val="28"/>
                                  </w:rPr>
                                  <w:t xml:space="preserve">                                                                                          BY NAZIM AMIN</w:t>
                                </w:r>
                              </w:p>
                              <w:p w14:paraId="3863D464" w14:textId="2F443533" w:rsidR="00552344" w:rsidRDefault="00F5433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876F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B842C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" filled="f" stroked="f" strokeweight=".5pt">
                    <v:textbox inset="126pt,0,54pt,0">
                      <w:txbxContent>
                        <w:p w14:paraId="1747CBD8" w14:textId="007E82F9" w:rsidR="00552344" w:rsidRDefault="00B876F8" w:rsidP="00B876F8">
                          <w:pPr>
                            <w:pStyle w:val="NoSpacing"/>
                            <w:rPr>
                              <w:color w:val="595959" w:themeColor="text1" w:themeTint="A6"/>
                              <w:sz w:val="28"/>
                              <w:szCs w:val="28"/>
                            </w:rPr>
                          </w:pPr>
                          <w:r>
                            <w:rPr>
                              <w:color w:val="595959" w:themeColor="text1" w:themeTint="A6"/>
                              <w:sz w:val="28"/>
                              <w:szCs w:val="28"/>
                            </w:rPr>
                            <w:t xml:space="preserve">                                                                                          BY NAZIM AMIN</w:t>
                          </w:r>
                        </w:p>
                        <w:p w14:paraId="3863D464" w14:textId="2F443533" w:rsidR="00552344" w:rsidRDefault="00F5433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876F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4CFE274" wp14:editId="362F410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B4BDA" w14:textId="4E86402F" w:rsidR="00552344" w:rsidRDefault="00552344">
                                <w:pPr>
                                  <w:pStyle w:val="NoSpacing"/>
                                  <w:jc w:val="right"/>
                                  <w:rPr>
                                    <w:color w:val="4472C4" w:themeColor="accent1"/>
                                    <w:sz w:val="28"/>
                                    <w:szCs w:val="28"/>
                                  </w:rPr>
                                </w:pPr>
                                <w:r>
                                  <w:rPr>
                                    <w:color w:val="4472C4" w:themeColor="accent1"/>
                                    <w:sz w:val="28"/>
                                    <w:szCs w:val="28"/>
                                  </w:rPr>
                                  <w:t>MODULE CODE: BMLW4005</w:t>
                                </w:r>
                                <w:r w:rsidR="00B876F8">
                                  <w:rPr>
                                    <w:color w:val="4472C4" w:themeColor="accent1"/>
                                    <w:sz w:val="28"/>
                                    <w:szCs w:val="28"/>
                                  </w:rPr>
                                  <w:t>/BMPL4009</w:t>
                                </w:r>
                              </w:p>
                              <w:p w14:paraId="1289C9A8" w14:textId="6AFF412C" w:rsidR="00552344" w:rsidRDefault="00552344" w:rsidP="00552344">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4CFE27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" filled="f" stroked="f" strokeweight=".5pt">
                    <v:textbox style="mso-fit-shape-to-text:t" inset="126pt,0,54pt,0">
                      <w:txbxContent>
                        <w:p w14:paraId="3CAB4BDA" w14:textId="4E86402F" w:rsidR="00552344" w:rsidRDefault="00552344">
                          <w:pPr>
                            <w:pStyle w:val="NoSpacing"/>
                            <w:jc w:val="right"/>
                            <w:rPr>
                              <w:color w:val="4472C4" w:themeColor="accent1"/>
                              <w:sz w:val="28"/>
                              <w:szCs w:val="28"/>
                            </w:rPr>
                          </w:pPr>
                          <w:r>
                            <w:rPr>
                              <w:color w:val="4472C4" w:themeColor="accent1"/>
                              <w:sz w:val="28"/>
                              <w:szCs w:val="28"/>
                            </w:rPr>
                            <w:t>MODULE CODE: BMLW4005</w:t>
                          </w:r>
                          <w:r w:rsidR="00B876F8">
                            <w:rPr>
                              <w:color w:val="4472C4" w:themeColor="accent1"/>
                              <w:sz w:val="28"/>
                              <w:szCs w:val="28"/>
                            </w:rPr>
                            <w:t>/BMPL4009</w:t>
                          </w:r>
                        </w:p>
                        <w:p w14:paraId="1289C9A8" w14:textId="6AFF412C" w:rsidR="00552344" w:rsidRDefault="00552344" w:rsidP="00552344">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DD7411" wp14:editId="43BA8C9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1222BD" w14:textId="5338B3BF" w:rsidR="00552344" w:rsidRDefault="00F543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2344">
                                      <w:rPr>
                                        <w:caps/>
                                        <w:color w:val="4472C4" w:themeColor="accent1"/>
                                        <w:sz w:val="64"/>
                                        <w:szCs w:val="64"/>
                                      </w:rPr>
                                      <w:t>scenario question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CB96FC" w14:textId="6D34C795" w:rsidR="00552344" w:rsidRDefault="00B876F8">
                                    <w:pPr>
                                      <w:jc w:val="right"/>
                                      <w:rPr>
                                        <w:smallCaps/>
                                        <w:color w:val="404040" w:themeColor="text1" w:themeTint="BF"/>
                                        <w:sz w:val="36"/>
                                        <w:szCs w:val="36"/>
                                      </w:rPr>
                                    </w:pPr>
                                    <w:r>
                                      <w:rPr>
                                        <w:color w:val="404040" w:themeColor="text1" w:themeTint="BF"/>
                                        <w:sz w:val="36"/>
                                        <w:szCs w:val="36"/>
                                      </w:rPr>
                                      <w:t>MODULE: CRIMINAL</w:t>
                                    </w:r>
                                    <w:r w:rsidR="00552344">
                                      <w:rPr>
                                        <w:color w:val="404040" w:themeColor="text1" w:themeTint="BF"/>
                                        <w:sz w:val="36"/>
                                        <w:szCs w:val="36"/>
                                      </w:rPr>
                                      <w:t xml:space="preserve"> LAW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DD741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" filled="f" stroked="f" strokeweight=".5pt">
                    <v:textbox inset="126pt,0,54pt,0">
                      <w:txbxContent>
                        <w:p w14:paraId="581222BD" w14:textId="5338B3BF" w:rsidR="00552344" w:rsidRDefault="00F5433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2344">
                                <w:rPr>
                                  <w:caps/>
                                  <w:color w:val="4472C4" w:themeColor="accent1"/>
                                  <w:sz w:val="64"/>
                                  <w:szCs w:val="64"/>
                                </w:rPr>
                                <w:t>scenario question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CB96FC" w14:textId="6D34C795" w:rsidR="00552344" w:rsidRDefault="00B876F8">
                              <w:pPr>
                                <w:jc w:val="right"/>
                                <w:rPr>
                                  <w:smallCaps/>
                                  <w:color w:val="404040" w:themeColor="text1" w:themeTint="BF"/>
                                  <w:sz w:val="36"/>
                                  <w:szCs w:val="36"/>
                                </w:rPr>
                              </w:pPr>
                              <w:r>
                                <w:rPr>
                                  <w:color w:val="404040" w:themeColor="text1" w:themeTint="BF"/>
                                  <w:sz w:val="36"/>
                                  <w:szCs w:val="36"/>
                                </w:rPr>
                                <w:t>MODULE: CRIMINAL</w:t>
                              </w:r>
                              <w:r w:rsidR="00552344">
                                <w:rPr>
                                  <w:color w:val="404040" w:themeColor="text1" w:themeTint="BF"/>
                                  <w:sz w:val="36"/>
                                  <w:szCs w:val="36"/>
                                </w:rPr>
                                <w:t xml:space="preserve"> LAW</w:t>
                              </w:r>
                            </w:p>
                          </w:sdtContent>
                        </w:sdt>
                      </w:txbxContent>
                    </v:textbox>
                    <w10:wrap type="square" anchorx="page" anchory="page"/>
                  </v:shape>
                </w:pict>
              </mc:Fallback>
            </mc:AlternateContent>
          </w:r>
        </w:p>
        <w:p w14:paraId="39C48894" w14:textId="66AF48BA" w:rsidR="00552344" w:rsidRDefault="00552344">
          <w:pPr>
            <w:rPr>
              <w:rFonts w:ascii="Arial" w:eastAsia="Times New Roman" w:hAnsi="Arial" w:cs="Arial"/>
              <w:i/>
              <w:sz w:val="24"/>
              <w:szCs w:val="24"/>
              <w:lang w:eastAsia="en-GB"/>
            </w:rPr>
          </w:pPr>
          <w:r>
            <w:rPr>
              <w:rFonts w:ascii="Arial" w:eastAsia="Times New Roman" w:hAnsi="Arial" w:cs="Arial"/>
              <w:i/>
              <w:sz w:val="24"/>
              <w:szCs w:val="24"/>
              <w:lang w:eastAsia="en-GB"/>
            </w:rPr>
            <w:br w:type="page"/>
          </w:r>
        </w:p>
      </w:sdtContent>
    </w:sdt>
    <w:p w14:paraId="6517D691" w14:textId="66B9A63A" w:rsidR="00D62765" w:rsidRDefault="00D62765" w:rsidP="00D62765">
      <w:pPr>
        <w:spacing w:after="0" w:line="480" w:lineRule="auto"/>
        <w:ind w:firstLine="720"/>
        <w:jc w:val="center"/>
        <w:rPr>
          <w:rFonts w:ascii="Arial" w:eastAsia="Times New Roman" w:hAnsi="Arial" w:cs="Arial"/>
          <w:sz w:val="28"/>
          <w:szCs w:val="28"/>
          <w:u w:val="single"/>
          <w:lang w:eastAsia="en-GB"/>
        </w:rPr>
      </w:pPr>
      <w:r w:rsidRPr="00D62765">
        <w:rPr>
          <w:rFonts w:ascii="Arial" w:eastAsia="Times New Roman" w:hAnsi="Arial" w:cs="Arial"/>
          <w:sz w:val="28"/>
          <w:szCs w:val="28"/>
          <w:u w:val="single"/>
          <w:lang w:eastAsia="en-GB"/>
        </w:rPr>
        <w:t>Introduction</w:t>
      </w:r>
    </w:p>
    <w:p w14:paraId="7B2AE635" w14:textId="77777777" w:rsidR="00B876F8" w:rsidRPr="00D62765" w:rsidRDefault="00B876F8" w:rsidP="00D62765">
      <w:pPr>
        <w:spacing w:after="0" w:line="480" w:lineRule="auto"/>
        <w:ind w:firstLine="720"/>
        <w:jc w:val="center"/>
        <w:rPr>
          <w:rFonts w:ascii="Arial" w:eastAsia="Times New Roman" w:hAnsi="Arial" w:cs="Arial"/>
          <w:sz w:val="28"/>
          <w:szCs w:val="28"/>
          <w:u w:val="single"/>
          <w:lang w:eastAsia="en-GB"/>
        </w:rPr>
      </w:pPr>
    </w:p>
    <w:p w14:paraId="3E9EFE1F" w14:textId="421DB178" w:rsidR="00D62765" w:rsidRPr="00D62765" w:rsidRDefault="00D62765" w:rsidP="00D62765">
      <w:pPr>
        <w:spacing w:after="0" w:line="480" w:lineRule="auto"/>
        <w:rPr>
          <w:rFonts w:ascii="Arial" w:eastAsia="Times New Roman" w:hAnsi="Arial" w:cs="Arial"/>
          <w:sz w:val="24"/>
          <w:szCs w:val="24"/>
          <w:lang w:eastAsia="en-GB"/>
        </w:rPr>
      </w:pPr>
      <w:r w:rsidRPr="00D62765">
        <w:rPr>
          <w:rFonts w:ascii="Arial" w:eastAsia="Times New Roman" w:hAnsi="Arial" w:cs="Arial"/>
          <w:sz w:val="24"/>
          <w:szCs w:val="24"/>
          <w:lang w:eastAsia="en-GB"/>
        </w:rPr>
        <w:t>Criminal law aims at determining the accused person’s guilt and gives different perspectives towards judgement in a criminal case. This paper critically analyses Paula and Harriet’s criminal liability in the events at Christine’s birthday party, along with possible defences that could apply for each case. It demonstrates practical knowledge of general concepts in criminal liability and uses evidence from case laws, statutes, and relevant journals to arrive at logical and critically analysed arguments. Applying the ideas for and against Paula and Harriet utilises the court’s previous judgements to arrive at the appropriate conclusion for each case. Section 1 of the Theft Act 1968 looks at two concepts that define theft: dishonest appropriation of the property of someone with the intention of permanent deprivation. Section 3 of the Theft Act defines the meaning of appropriation as the intentional assumption of the owner’s rights by the accused.</w:t>
      </w:r>
    </w:p>
    <w:p w14:paraId="13538AE7" w14:textId="77777777" w:rsidR="00D62765" w:rsidRDefault="00D62765" w:rsidP="00D62765">
      <w:pPr>
        <w:spacing w:after="0" w:line="480" w:lineRule="auto"/>
        <w:rPr>
          <w:rFonts w:ascii="Arial" w:eastAsia="Times New Roman" w:hAnsi="Arial" w:cs="Arial"/>
          <w:sz w:val="24"/>
          <w:szCs w:val="24"/>
          <w:lang w:eastAsia="en-GB"/>
        </w:rPr>
      </w:pPr>
      <w:r w:rsidRPr="00D62765">
        <w:rPr>
          <w:rFonts w:ascii="Arial" w:eastAsia="Times New Roman" w:hAnsi="Arial" w:cs="Arial"/>
          <w:sz w:val="24"/>
          <w:szCs w:val="24"/>
          <w:lang w:eastAsia="en-GB"/>
        </w:rPr>
        <w:t>Paula’s act of putting the designer bag inside her coat amounts to dishonest appropriation. This observation is similar</w:t>
      </w:r>
      <w:r>
        <w:rPr>
          <w:rFonts w:ascii="Arial" w:eastAsia="Times New Roman" w:hAnsi="Arial" w:cs="Arial"/>
          <w:sz w:val="24"/>
          <w:szCs w:val="24"/>
          <w:lang w:eastAsia="en-GB"/>
        </w:rPr>
        <w:t xml:space="preserve"> </w:t>
      </w:r>
      <w:r w:rsidRPr="00D62765">
        <w:rPr>
          <w:rFonts w:ascii="Arial" w:eastAsia="Times New Roman" w:hAnsi="Arial" w:cs="Arial"/>
          <w:sz w:val="24"/>
          <w:szCs w:val="24"/>
          <w:lang w:eastAsia="en-GB"/>
        </w:rPr>
        <w:t xml:space="preserve">to the </w:t>
      </w:r>
      <w:r w:rsidRPr="00D62765">
        <w:rPr>
          <w:rFonts w:ascii="Arial" w:eastAsia="Times New Roman" w:hAnsi="Arial" w:cs="Arial"/>
          <w:i/>
          <w:sz w:val="24"/>
          <w:szCs w:val="24"/>
          <w:lang w:eastAsia="en-GB"/>
        </w:rPr>
        <w:t xml:space="preserve">R v Morris </w:t>
      </w:r>
      <w:r w:rsidRPr="00D62765">
        <w:rPr>
          <w:rFonts w:ascii="Arial" w:eastAsia="Times New Roman" w:hAnsi="Arial" w:cs="Arial"/>
          <w:sz w:val="24"/>
          <w:szCs w:val="24"/>
          <w:lang w:eastAsia="en-GB"/>
        </w:rPr>
        <w:t>(1984) case, where the defendants argued that the act of switching price labels to pay a lower price should not be considered an appropriation. Paula’s intent to deprive Christine of her handbag is motivated by extreme jealousy, which in this case, is immaterial. The court could use Paula’s immaterial jealousy as evidence to determine her acquittal as theft is only theft if there is dishonest appropriation and intent to deprive permanently. The theft argument does not count since extreme jealousy shall be regarded as material intent.</w:t>
      </w:r>
      <w:r>
        <w:rPr>
          <w:rFonts w:ascii="Arial" w:eastAsia="Times New Roman" w:hAnsi="Arial" w:cs="Arial"/>
          <w:sz w:val="24"/>
          <w:szCs w:val="24"/>
          <w:lang w:eastAsia="en-GB"/>
        </w:rPr>
        <w:t xml:space="preserve"> </w:t>
      </w:r>
    </w:p>
    <w:p w14:paraId="723DC19F" w14:textId="4E2B167D" w:rsidR="00D62765" w:rsidRPr="00D62765" w:rsidRDefault="00D62765" w:rsidP="00D62765">
      <w:pPr>
        <w:spacing w:after="0" w:line="480" w:lineRule="auto"/>
        <w:rPr>
          <w:rFonts w:ascii="Arial" w:eastAsia="Times New Roman" w:hAnsi="Arial" w:cs="Arial"/>
          <w:sz w:val="24"/>
          <w:szCs w:val="24"/>
          <w:lang w:eastAsia="en-GB"/>
        </w:rPr>
      </w:pPr>
      <w:r w:rsidRPr="00D62765">
        <w:rPr>
          <w:rFonts w:ascii="Arial" w:eastAsia="Times New Roman" w:hAnsi="Arial" w:cs="Arial"/>
          <w:sz w:val="24"/>
          <w:szCs w:val="24"/>
          <w:lang w:eastAsia="en-GB"/>
        </w:rPr>
        <w:t xml:space="preserve">According to the House of Lord’s judgement on </w:t>
      </w:r>
      <w:r w:rsidR="00F22519" w:rsidRPr="00D62765">
        <w:rPr>
          <w:rFonts w:ascii="Arial" w:eastAsia="Times New Roman" w:hAnsi="Arial" w:cs="Arial"/>
          <w:sz w:val="24"/>
          <w:szCs w:val="24"/>
          <w:lang w:eastAsia="en-GB"/>
        </w:rPr>
        <w:t>the R</w:t>
      </w:r>
      <w:r w:rsidRPr="00D62765">
        <w:rPr>
          <w:rFonts w:ascii="Arial" w:eastAsia="Times New Roman" w:hAnsi="Arial" w:cs="Arial"/>
          <w:i/>
          <w:sz w:val="24"/>
          <w:szCs w:val="24"/>
          <w:lang w:eastAsia="en-GB"/>
        </w:rPr>
        <w:t xml:space="preserve"> v Morris (1984) </w:t>
      </w:r>
      <w:r w:rsidRPr="00D62765">
        <w:rPr>
          <w:rFonts w:ascii="Arial" w:eastAsia="Times New Roman" w:hAnsi="Arial" w:cs="Arial"/>
          <w:sz w:val="24"/>
          <w:szCs w:val="24"/>
          <w:lang w:eastAsia="en-GB"/>
        </w:rPr>
        <w:t xml:space="preserve">case, Christine had the right to show her gifts to her guests, making Paula feel jealous. This jealousy was an assumption of Christine’s rights and therefore viewed as an appropriation. Paula is guilty of assuming Christine’s rights and dishonestly acquiring the handbag. By critically looking at Paula’s intent, the </w:t>
      </w:r>
      <w:r w:rsidRPr="00D62765">
        <w:rPr>
          <w:rFonts w:ascii="Arial" w:eastAsia="Times New Roman" w:hAnsi="Arial" w:cs="Arial"/>
          <w:i/>
          <w:sz w:val="24"/>
          <w:szCs w:val="24"/>
          <w:lang w:eastAsia="en-GB"/>
        </w:rPr>
        <w:t>actus reus</w:t>
      </w:r>
      <w:r w:rsidRPr="00D62765">
        <w:rPr>
          <w:rFonts w:ascii="Arial" w:eastAsia="Times New Roman" w:hAnsi="Arial" w:cs="Arial"/>
          <w:sz w:val="24"/>
          <w:szCs w:val="24"/>
          <w:lang w:eastAsia="en-GB"/>
        </w:rPr>
        <w:t xml:space="preserve"> for her actions was complete as soon as she put the bag inside her coat, regardless of the order in which she executed the act of theft. This action satisfied the first part of the crime. Section 15 of the Theft Act addresses Paula’s second part of the crime. It highlights the action of obtaining property by dishonest means. Section 1 and 15 of the Act finds Paula guilty of a theft offence that could be prosecuted in a court of law.</w:t>
      </w:r>
    </w:p>
    <w:p w14:paraId="4639D3D1" w14:textId="47ECA3F8" w:rsidR="00D62765" w:rsidRPr="00D62765" w:rsidRDefault="00D62765" w:rsidP="00D62765">
      <w:pPr>
        <w:spacing w:after="0" w:line="480" w:lineRule="auto"/>
        <w:rPr>
          <w:rFonts w:ascii="Times New Roman" w:eastAsia="Times New Roman" w:hAnsi="Times New Roman" w:cs="Times New Roman"/>
          <w:sz w:val="24"/>
          <w:szCs w:val="24"/>
          <w:lang w:eastAsia="en-GB"/>
        </w:rPr>
      </w:pPr>
      <w:r w:rsidRPr="00D62765">
        <w:rPr>
          <w:rFonts w:ascii="Arial" w:eastAsia="Times New Roman" w:hAnsi="Arial" w:cs="Arial"/>
          <w:sz w:val="24"/>
          <w:szCs w:val="24"/>
          <w:lang w:eastAsia="en-GB"/>
        </w:rPr>
        <w:t>To determine whether Paula’s actions were dishonest or not, it is vital to look at Paula’s state of mind at the time of the action rather than the prosecution’s view. This view applies common sense to determine Paula’s culpability (</w:t>
      </w:r>
      <w:dir w:val="ltr">
        <w:r w:rsidRPr="00D62765">
          <w:rPr>
            <w:rFonts w:ascii="Arial" w:eastAsia="Times New Roman" w:hAnsi="Arial" w:cs="Arial"/>
            <w:sz w:val="24"/>
            <w:szCs w:val="24"/>
            <w:lang w:eastAsia="en-GB"/>
          </w:rPr>
          <w:t>“All knowledge begins with the senses”: Towards a sensory criminology</w:t>
        </w:r>
        <w:r w:rsidRPr="00D62765">
          <w:rPr>
            <w:rFonts w:ascii="Arial" w:eastAsia="Times New Roman" w:hAnsi="Arial" w:cs="Arial"/>
            <w:sz w:val="24"/>
            <w:szCs w:val="24"/>
            <w:lang w:eastAsia="en-GB"/>
          </w:rPr>
          <w:t xml:space="preserve">‬’, 2019). The defence may argue that Paula was drunk at the time of the theft and that alcohol made her act autonomously. Her guilt is synonymous with Ghosh’s case, a surgeon convicted of obtaining wages by false pretence in the National Health Service. </w:t>
        </w:r>
        <w:r w:rsidRPr="00D62765">
          <w:rPr>
            <w:rFonts w:ascii="Arial" w:eastAsia="Arial" w:hAnsi="Arial" w:cs="Arial"/>
            <w:lang w:eastAsia="en-GB"/>
          </w:rPr>
          <w:t>‬</w:t>
        </w:r>
        <w:r w:rsidR="00F5433A">
          <w:t>‬</w:t>
        </w:r>
      </w:dir>
    </w:p>
    <w:p w14:paraId="337FD7DC" w14:textId="77777777" w:rsidR="00D62765" w:rsidRPr="00D62765" w:rsidRDefault="00D62765" w:rsidP="00590470">
      <w:pPr>
        <w:spacing w:after="0" w:line="480" w:lineRule="auto"/>
        <w:rPr>
          <w:rFonts w:ascii="Arial" w:eastAsia="Times New Roman" w:hAnsi="Arial" w:cs="Arial"/>
          <w:sz w:val="24"/>
          <w:szCs w:val="24"/>
          <w:lang w:eastAsia="en-GB"/>
        </w:rPr>
      </w:pPr>
      <w:r w:rsidRPr="00D62765">
        <w:rPr>
          <w:rFonts w:ascii="Arial" w:eastAsia="Times New Roman" w:hAnsi="Arial" w:cs="Arial"/>
          <w:sz w:val="24"/>
          <w:szCs w:val="24"/>
          <w:lang w:eastAsia="en-GB"/>
        </w:rPr>
        <w:t>Ghosh’s defence made an argument that the court should have directed the jury to define dishonesty in terms of the accused person's state of mind and the jury’s viewpoint (</w:t>
      </w:r>
      <w:r w:rsidRPr="00D62765">
        <w:rPr>
          <w:rFonts w:ascii="Arial" w:eastAsia="Times New Roman" w:hAnsi="Arial" w:cs="Arial"/>
          <w:i/>
          <w:sz w:val="24"/>
          <w:szCs w:val="24"/>
          <w:lang w:eastAsia="en-GB"/>
        </w:rPr>
        <w:t xml:space="preserve">R v Ghosh </w:t>
      </w:r>
      <w:r w:rsidRPr="00D62765">
        <w:rPr>
          <w:rFonts w:ascii="Arial" w:eastAsia="Times New Roman" w:hAnsi="Arial" w:cs="Arial"/>
          <w:sz w:val="24"/>
          <w:szCs w:val="24"/>
          <w:lang w:eastAsia="en-GB"/>
        </w:rPr>
        <w:t>1982)</w:t>
      </w:r>
      <w:r w:rsidRPr="00D62765">
        <w:rPr>
          <w:rFonts w:ascii="Arial" w:eastAsia="Times New Roman" w:hAnsi="Arial" w:cs="Arial"/>
          <w:i/>
          <w:sz w:val="24"/>
          <w:szCs w:val="24"/>
          <w:lang w:eastAsia="en-GB"/>
        </w:rPr>
        <w:t xml:space="preserve"> </w:t>
      </w:r>
      <w:r w:rsidRPr="00D62765">
        <w:rPr>
          <w:rFonts w:ascii="Arial" w:eastAsia="Times New Roman" w:hAnsi="Arial" w:cs="Arial"/>
          <w:sz w:val="24"/>
          <w:szCs w:val="24"/>
          <w:lang w:eastAsia="en-GB"/>
        </w:rPr>
        <w:t xml:space="preserve">. The accused state of mind would be the subjective state, and the jury’s point of view becomes the objective test. In dismissing Ghosh’s appeal, the court based the decision on the test for dishonesty and honest people’s standards. By referring to the argument, in this case, Paula’s actions would be dishonest by the standards of a fair and reasonable person. This dishonesty would then prompt the court to consider whether Paula was aware of her actions by the standards of deception as applied by a regular, honest and reasonable person. </w:t>
      </w:r>
    </w:p>
    <w:p w14:paraId="02BBDD55" w14:textId="5C11F4CA" w:rsidR="00D62765" w:rsidRPr="00D62765" w:rsidRDefault="00D62765" w:rsidP="00590470">
      <w:pPr>
        <w:spacing w:after="0" w:line="480" w:lineRule="auto"/>
        <w:rPr>
          <w:rFonts w:ascii="Arial" w:eastAsia="Times New Roman" w:hAnsi="Arial" w:cs="Arial"/>
          <w:sz w:val="24"/>
          <w:szCs w:val="24"/>
          <w:lang w:eastAsia="en-GB"/>
        </w:rPr>
      </w:pPr>
      <w:r w:rsidRPr="00D62765">
        <w:rPr>
          <w:rFonts w:ascii="Arial" w:eastAsia="Times New Roman" w:hAnsi="Arial" w:cs="Arial"/>
          <w:sz w:val="24"/>
          <w:szCs w:val="24"/>
          <w:lang w:eastAsia="en-GB"/>
        </w:rPr>
        <w:t>Therefore, Paula would be culpable in dishonest objective and subjective tests. The subjective test makes Paula guilty as she was consciously aware of what she was doing. Paula’s</w:t>
      </w:r>
      <w:r w:rsidRPr="00D62765">
        <w:rPr>
          <w:rFonts w:ascii="Times New Roman" w:eastAsia="Times New Roman" w:hAnsi="Times New Roman" w:cs="Times New Roman"/>
          <w:sz w:val="24"/>
          <w:szCs w:val="24"/>
          <w:lang w:eastAsia="en-GB"/>
        </w:rPr>
        <w:t xml:space="preserve"> admitting to dishonesty is not important in this case. She knew Christine and </w:t>
      </w:r>
      <w:r w:rsidRPr="00D62765">
        <w:rPr>
          <w:rFonts w:ascii="Arial" w:eastAsia="Times New Roman" w:hAnsi="Arial" w:cs="Arial"/>
          <w:sz w:val="24"/>
          <w:szCs w:val="24"/>
          <w:lang w:eastAsia="en-GB"/>
        </w:rPr>
        <w:t xml:space="preserve">other people at the party would think of her actions as dishonest; this makes her </w:t>
      </w:r>
      <w:r w:rsidR="0033236F" w:rsidRPr="00D62765">
        <w:rPr>
          <w:rFonts w:ascii="Arial" w:eastAsia="Times New Roman" w:hAnsi="Arial" w:cs="Arial"/>
          <w:sz w:val="24"/>
          <w:szCs w:val="24"/>
          <w:lang w:eastAsia="en-GB"/>
        </w:rPr>
        <w:t xml:space="preserve">guilty. </w:t>
      </w:r>
      <w:r w:rsidR="005924D2">
        <w:rPr>
          <w:rFonts w:ascii="Arial" w:eastAsia="Times New Roman" w:hAnsi="Arial" w:cs="Arial"/>
          <w:sz w:val="24"/>
          <w:szCs w:val="24"/>
          <w:lang w:eastAsia="en-GB"/>
        </w:rPr>
        <w:t>In</w:t>
      </w:r>
      <w:r w:rsidRPr="00D62765">
        <w:rPr>
          <w:rFonts w:ascii="Arial" w:eastAsia="Times New Roman" w:hAnsi="Arial" w:cs="Arial"/>
          <w:sz w:val="24"/>
          <w:szCs w:val="24"/>
          <w:lang w:eastAsia="en-GB"/>
        </w:rPr>
        <w:t xml:space="preserve"> deciding the case of </w:t>
      </w:r>
      <w:r w:rsidRPr="00D62765">
        <w:rPr>
          <w:rFonts w:ascii="Arial" w:eastAsia="Times New Roman" w:hAnsi="Arial" w:cs="Arial"/>
          <w:i/>
          <w:sz w:val="24"/>
          <w:szCs w:val="24"/>
          <w:lang w:eastAsia="en-GB"/>
        </w:rPr>
        <w:t xml:space="preserve">Ivey v Genting </w:t>
      </w:r>
      <w:r w:rsidR="00590470" w:rsidRPr="00590470">
        <w:rPr>
          <w:rFonts w:ascii="Arial" w:eastAsia="Times New Roman" w:hAnsi="Arial" w:cs="Arial"/>
          <w:i/>
          <w:sz w:val="24"/>
          <w:szCs w:val="24"/>
          <w:lang w:eastAsia="en-GB"/>
        </w:rPr>
        <w:t>Casinos</w:t>
      </w:r>
      <w:r w:rsidR="00590470" w:rsidRPr="00590470">
        <w:rPr>
          <w:rFonts w:ascii="Arial" w:eastAsia="Times New Roman" w:hAnsi="Arial" w:cs="Arial"/>
          <w:sz w:val="24"/>
          <w:szCs w:val="24"/>
          <w:lang w:eastAsia="en-GB"/>
        </w:rPr>
        <w:t xml:space="preserve"> (</w:t>
      </w:r>
      <w:r w:rsidRPr="00D62765">
        <w:rPr>
          <w:rFonts w:ascii="Arial" w:eastAsia="Times New Roman" w:hAnsi="Arial" w:cs="Arial"/>
          <w:sz w:val="24"/>
          <w:szCs w:val="24"/>
          <w:lang w:eastAsia="en-GB"/>
        </w:rPr>
        <w:t xml:space="preserve">2017), the court concluded that the subjective test could not be considered in judgements. The jury’s definition of dishonesty had to account for the objective test only. Paula’s act of theft would make her guilty by defining dishonesty and establishing her belief in the facts of the case. Contrary to the British Virgin Islands Criminal Code, Paula assumed ownership of Christine’s bag and intended to keep it as the owner; whether Christine had felt the loss or not, she is culpable on account of appropriation. </w:t>
      </w:r>
    </w:p>
    <w:p w14:paraId="29DBE11A" w14:textId="16FBE4EF" w:rsidR="00D62765" w:rsidRPr="00D62765" w:rsidRDefault="00D62765" w:rsidP="00590470">
      <w:pPr>
        <w:spacing w:after="0" w:line="480" w:lineRule="auto"/>
        <w:rPr>
          <w:rFonts w:ascii="Arial" w:eastAsia="Times New Roman" w:hAnsi="Arial" w:cs="Arial"/>
          <w:sz w:val="24"/>
          <w:szCs w:val="24"/>
          <w:lang w:eastAsia="en-GB"/>
        </w:rPr>
      </w:pPr>
      <w:r w:rsidRPr="00D62765">
        <w:rPr>
          <w:rFonts w:ascii="Arial" w:eastAsia="Times New Roman" w:hAnsi="Arial" w:cs="Arial"/>
          <w:sz w:val="24"/>
          <w:szCs w:val="24"/>
          <w:lang w:eastAsia="en-GB"/>
        </w:rPr>
        <w:t xml:space="preserve">In the counterargument, Paula may not have assumed the rights of Christine. This view looks at the details of the case that Paula may have been drunk and was not aware of her actions. Paula, in this view, is not culpable, as she had not assumed Christine’s rights to the bag, and therefore, there was no theft. The court could view her intent as lacking in the element of permanent deprivation of Christine’s designer bag. In deciding the case of </w:t>
      </w:r>
      <w:r w:rsidRPr="00D62765">
        <w:rPr>
          <w:rFonts w:ascii="Arial" w:eastAsia="Times New Roman" w:hAnsi="Arial" w:cs="Arial"/>
          <w:i/>
          <w:sz w:val="24"/>
          <w:szCs w:val="24"/>
          <w:lang w:eastAsia="en-GB"/>
        </w:rPr>
        <w:t xml:space="preserve">Wheatley v. </w:t>
      </w:r>
      <w:r w:rsidR="00F22519" w:rsidRPr="00D62765">
        <w:rPr>
          <w:rFonts w:ascii="Arial" w:eastAsia="Times New Roman" w:hAnsi="Arial" w:cs="Arial"/>
          <w:i/>
          <w:sz w:val="24"/>
          <w:szCs w:val="24"/>
          <w:lang w:eastAsia="en-GB"/>
        </w:rPr>
        <w:t>another</w:t>
      </w:r>
      <w:r w:rsidR="00F22519" w:rsidRPr="00D62765">
        <w:rPr>
          <w:rFonts w:ascii="Arial" w:eastAsia="Times New Roman" w:hAnsi="Arial" w:cs="Arial"/>
          <w:sz w:val="24"/>
          <w:szCs w:val="24"/>
          <w:lang w:eastAsia="en-GB"/>
        </w:rPr>
        <w:t xml:space="preserve"> (</w:t>
      </w:r>
      <w:r w:rsidRPr="00D62765">
        <w:rPr>
          <w:rFonts w:ascii="Arial" w:eastAsia="Times New Roman" w:hAnsi="Arial" w:cs="Arial"/>
          <w:sz w:val="24"/>
          <w:szCs w:val="24"/>
          <w:lang w:eastAsia="en-GB"/>
        </w:rPr>
        <w:t xml:space="preserve">2006), the House of Lords found that it was unnecessary to prosecute Allen Wheatley and Wesley Penn on account of theft since there was no assumption of the government’s rights. The prosecution had to prove dishonesty. Dishonesty is theft with the intent to benefit from the action. Dishonesty is a state of mind and not the accused conduct. In the scenario, Paula could have been drunk and should not be charged with dishonesty since she did not derive any benefit from the theft. The Theft Act 1968 highlights that the need to benefit is irrelevant, that guilt can only be decided if there is evidence of </w:t>
      </w:r>
      <w:proofErr w:type="spellStart"/>
      <w:r w:rsidRPr="00D62765">
        <w:rPr>
          <w:rFonts w:ascii="Arial" w:eastAsia="Times New Roman" w:hAnsi="Arial" w:cs="Arial"/>
          <w:i/>
          <w:sz w:val="24"/>
          <w:szCs w:val="24"/>
          <w:lang w:eastAsia="en-GB"/>
        </w:rPr>
        <w:t>actus</w:t>
      </w:r>
      <w:proofErr w:type="spellEnd"/>
      <w:r w:rsidRPr="00D62765">
        <w:rPr>
          <w:rFonts w:ascii="Arial" w:eastAsia="Times New Roman" w:hAnsi="Arial" w:cs="Arial"/>
          <w:i/>
          <w:sz w:val="24"/>
          <w:szCs w:val="24"/>
          <w:lang w:eastAsia="en-GB"/>
        </w:rPr>
        <w:t xml:space="preserve"> </w:t>
      </w:r>
      <w:proofErr w:type="spellStart"/>
      <w:r w:rsidRPr="00D62765">
        <w:rPr>
          <w:rFonts w:ascii="Arial" w:eastAsia="Times New Roman" w:hAnsi="Arial" w:cs="Arial"/>
          <w:i/>
          <w:sz w:val="24"/>
          <w:szCs w:val="24"/>
          <w:lang w:eastAsia="en-GB"/>
        </w:rPr>
        <w:t>reus</w:t>
      </w:r>
      <w:proofErr w:type="spellEnd"/>
      <w:r w:rsidRPr="00D62765">
        <w:rPr>
          <w:rFonts w:ascii="Arial" w:eastAsia="Times New Roman" w:hAnsi="Arial" w:cs="Arial"/>
          <w:sz w:val="24"/>
          <w:szCs w:val="24"/>
          <w:lang w:eastAsia="en-GB"/>
        </w:rPr>
        <w:t xml:space="preserve"> and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xml:space="preserve">. This view holds that appropriation may lack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xml:space="preserve"> of the theft </w:t>
      </w:r>
      <w:r w:rsidR="00F22519" w:rsidRPr="00D62765">
        <w:rPr>
          <w:rFonts w:ascii="Arial" w:eastAsia="Times New Roman" w:hAnsi="Arial" w:cs="Arial"/>
          <w:sz w:val="24"/>
          <w:szCs w:val="24"/>
          <w:lang w:eastAsia="en-GB"/>
        </w:rPr>
        <w:t>action. Theft</w:t>
      </w:r>
      <w:r w:rsidRPr="00D62765">
        <w:rPr>
          <w:rFonts w:ascii="Arial" w:eastAsia="Times New Roman" w:hAnsi="Arial" w:cs="Arial"/>
          <w:sz w:val="24"/>
          <w:szCs w:val="24"/>
          <w:lang w:eastAsia="en-GB"/>
        </w:rPr>
        <w:t xml:space="preserve"> Act states that where the accused appropriates another person’s property without the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xml:space="preserve"> element but takes the property as his to dispose of for a predetermined time, he shall be considered as having the intent to deprive permanently. The court acquitted the defendant in the case of </w:t>
      </w:r>
      <w:r w:rsidRPr="00D62765">
        <w:rPr>
          <w:rFonts w:ascii="Arial" w:eastAsia="Times New Roman" w:hAnsi="Arial" w:cs="Arial"/>
          <w:i/>
          <w:sz w:val="24"/>
          <w:szCs w:val="24"/>
          <w:lang w:eastAsia="en-GB"/>
        </w:rPr>
        <w:t xml:space="preserve">R v </w:t>
      </w:r>
      <w:r w:rsidR="00590470" w:rsidRPr="00590470">
        <w:rPr>
          <w:rFonts w:ascii="Arial" w:eastAsia="Times New Roman" w:hAnsi="Arial" w:cs="Arial"/>
          <w:i/>
          <w:sz w:val="24"/>
          <w:szCs w:val="24"/>
          <w:lang w:eastAsia="en-GB"/>
        </w:rPr>
        <w:t>Cahill</w:t>
      </w:r>
      <w:r w:rsidR="00590470" w:rsidRPr="00590470">
        <w:rPr>
          <w:rFonts w:ascii="Arial" w:eastAsia="Times New Roman" w:hAnsi="Arial" w:cs="Arial"/>
          <w:sz w:val="24"/>
          <w:szCs w:val="24"/>
          <w:lang w:eastAsia="en-GB"/>
        </w:rPr>
        <w:t xml:space="preserve"> (</w:t>
      </w:r>
      <w:r w:rsidRPr="00D62765">
        <w:rPr>
          <w:rFonts w:ascii="Arial" w:eastAsia="Times New Roman" w:hAnsi="Arial" w:cs="Arial"/>
          <w:sz w:val="24"/>
          <w:szCs w:val="24"/>
          <w:lang w:eastAsia="en-GB"/>
        </w:rPr>
        <w:t>1993)</w:t>
      </w:r>
      <w:r w:rsidRPr="00D62765">
        <w:rPr>
          <w:rFonts w:ascii="Arial" w:eastAsia="Times New Roman" w:hAnsi="Arial" w:cs="Arial"/>
          <w:i/>
          <w:sz w:val="24"/>
          <w:szCs w:val="24"/>
          <w:lang w:eastAsia="en-GB"/>
        </w:rPr>
        <w:t xml:space="preserve"> </w:t>
      </w:r>
      <w:r w:rsidRPr="00D62765">
        <w:rPr>
          <w:rFonts w:ascii="Arial" w:eastAsia="Times New Roman" w:hAnsi="Arial" w:cs="Arial"/>
          <w:sz w:val="24"/>
          <w:szCs w:val="24"/>
          <w:lang w:eastAsia="en-GB"/>
        </w:rPr>
        <w:t>after omitting the term disposal in the final judgement.</w:t>
      </w:r>
    </w:p>
    <w:p w14:paraId="73576042" w14:textId="77777777" w:rsidR="00D62765" w:rsidRPr="00D62765" w:rsidRDefault="00D62765" w:rsidP="00F22519">
      <w:pPr>
        <w:spacing w:after="0" w:line="480" w:lineRule="auto"/>
        <w:rPr>
          <w:rFonts w:ascii="Times New Roman" w:eastAsia="Times New Roman" w:hAnsi="Times New Roman" w:cs="Times New Roman"/>
          <w:sz w:val="28"/>
          <w:szCs w:val="28"/>
          <w:u w:val="single"/>
          <w:lang w:eastAsia="en-GB"/>
        </w:rPr>
      </w:pPr>
      <w:r w:rsidRPr="00D62765">
        <w:rPr>
          <w:rFonts w:ascii="Times New Roman" w:eastAsia="Times New Roman" w:hAnsi="Times New Roman" w:cs="Times New Roman"/>
          <w:sz w:val="28"/>
          <w:szCs w:val="28"/>
          <w:u w:val="single"/>
          <w:lang w:eastAsia="en-GB"/>
        </w:rPr>
        <w:t>Harriet</w:t>
      </w:r>
    </w:p>
    <w:p w14:paraId="7AA98543" w14:textId="4792EF4E" w:rsidR="00D62765" w:rsidRPr="00D62765" w:rsidRDefault="00D62765" w:rsidP="00590470">
      <w:pPr>
        <w:spacing w:after="0" w:line="480" w:lineRule="auto"/>
        <w:rPr>
          <w:rFonts w:ascii="Arial" w:eastAsia="Times New Roman" w:hAnsi="Arial" w:cs="Arial"/>
          <w:sz w:val="24"/>
          <w:szCs w:val="24"/>
          <w:lang w:eastAsia="en-GB"/>
        </w:rPr>
      </w:pPr>
      <w:r w:rsidRPr="00D62765">
        <w:rPr>
          <w:rFonts w:ascii="Arial" w:eastAsia="Times New Roman" w:hAnsi="Arial" w:cs="Arial"/>
          <w:sz w:val="24"/>
          <w:szCs w:val="24"/>
          <w:lang w:eastAsia="en-GB"/>
        </w:rPr>
        <w:t xml:space="preserve">In particular circumstances, intoxication may nullify the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xml:space="preserve"> However, whether voluntary or involuntary, intoxication does not eliminate the possibility of criminal liability. If Harriet’s intoxication can be successfully pleaded, the court may have to prove that her defence cannot be made out. Harriet could be absolved from liability if it can be proven that the involuntary consumption of alcohol negated the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xml:space="preserve"> The DPP v Beard case was a court decision nullifying the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xml:space="preserve"> by intoxication. The decision cited intoxication as a means that lessened the gravity of the offence. The court’s judgement on the defendant reduced his criminal liability to a lesser offence (</w:t>
      </w:r>
      <w:proofErr w:type="spellStart"/>
      <w:r w:rsidRPr="00D62765">
        <w:rPr>
          <w:rFonts w:ascii="Arial" w:eastAsia="Times New Roman" w:hAnsi="Arial" w:cs="Arial"/>
          <w:sz w:val="24"/>
          <w:szCs w:val="24"/>
          <w:lang w:eastAsia="en-GB"/>
        </w:rPr>
        <w:t>Lightowlers</w:t>
      </w:r>
      <w:proofErr w:type="spellEnd"/>
      <w:r w:rsidRPr="00D62765">
        <w:rPr>
          <w:rFonts w:ascii="Arial" w:eastAsia="Times New Roman" w:hAnsi="Arial" w:cs="Arial"/>
          <w:sz w:val="24"/>
          <w:szCs w:val="24"/>
          <w:lang w:eastAsia="en-GB"/>
        </w:rPr>
        <w:t xml:space="preserve">, 2018). The prosecution could charge Harriet with a lesser offence, such as </w:t>
      </w:r>
      <w:r w:rsidR="00F22519" w:rsidRPr="00D62765">
        <w:rPr>
          <w:rFonts w:ascii="Arial" w:eastAsia="Times New Roman" w:hAnsi="Arial" w:cs="Arial"/>
          <w:sz w:val="24"/>
          <w:szCs w:val="24"/>
          <w:lang w:eastAsia="en-GB"/>
        </w:rPr>
        <w:t>recklessness. The</w:t>
      </w:r>
      <w:r w:rsidRPr="00D62765">
        <w:rPr>
          <w:rFonts w:ascii="Arial" w:eastAsia="Times New Roman" w:hAnsi="Arial" w:cs="Arial"/>
          <w:sz w:val="24"/>
          <w:szCs w:val="24"/>
          <w:lang w:eastAsia="en-GB"/>
        </w:rPr>
        <w:t xml:space="preserve"> Criminal Damage Act 1971 states that intoxication cannot displace the guidelines of proving criminal culpability (</w:t>
      </w:r>
      <w:r w:rsidRPr="00D62765">
        <w:rPr>
          <w:rFonts w:ascii="Arial" w:eastAsia="Times New Roman" w:hAnsi="Arial" w:cs="Arial"/>
          <w:i/>
          <w:sz w:val="24"/>
          <w:szCs w:val="24"/>
          <w:lang w:eastAsia="en-GB"/>
        </w:rPr>
        <w:t>R v Hardie 1985)</w:t>
      </w:r>
      <w:r w:rsidRPr="00D62765">
        <w:rPr>
          <w:rFonts w:ascii="Arial" w:eastAsia="Times New Roman" w:hAnsi="Arial" w:cs="Arial"/>
          <w:sz w:val="24"/>
          <w:szCs w:val="24"/>
          <w:lang w:eastAsia="en-GB"/>
        </w:rPr>
        <w:t xml:space="preserve">. Harriet’s actions do not count as an offence guided by the fact that Leon spiked her drink without her knowledge, resulting in nullifying the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xml:space="preserve"> The court can acquit Harriet on this basis. The presence of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 </w:t>
      </w:r>
      <w:r w:rsidRPr="00D62765">
        <w:rPr>
          <w:rFonts w:ascii="Arial" w:eastAsia="Times New Roman" w:hAnsi="Arial" w:cs="Arial"/>
          <w:sz w:val="24"/>
          <w:szCs w:val="24"/>
          <w:lang w:eastAsia="en-GB"/>
        </w:rPr>
        <w:t xml:space="preserve">warrants culpability even though the accused is involuntarily intoxicated, as the judgement on </w:t>
      </w:r>
      <w:r w:rsidRPr="00D62765">
        <w:rPr>
          <w:rFonts w:ascii="Arial" w:eastAsia="Times New Roman" w:hAnsi="Arial" w:cs="Arial"/>
          <w:i/>
          <w:sz w:val="24"/>
          <w:szCs w:val="24"/>
          <w:lang w:eastAsia="en-GB"/>
        </w:rPr>
        <w:t xml:space="preserve">R v Kingston (1994) </w:t>
      </w:r>
      <w:r w:rsidRPr="00D62765">
        <w:rPr>
          <w:rFonts w:ascii="Arial" w:eastAsia="Times New Roman" w:hAnsi="Arial" w:cs="Arial"/>
          <w:sz w:val="24"/>
          <w:szCs w:val="24"/>
          <w:lang w:eastAsia="en-GB"/>
        </w:rPr>
        <w:t xml:space="preserve">applied. If she had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she would be culpable since a compromised intent remains an intent. In specific circumstances, intent could be eliminated when the accused does not bear moral responsibility for the events that happened. Harriet has a lawful excuse that her drink was spiked without her knowledge and that hallucinations led her into destroying property at Christine’s</w:t>
      </w:r>
      <w:r w:rsidR="00F22519">
        <w:rPr>
          <w:rFonts w:ascii="Arial" w:eastAsia="Times New Roman" w:hAnsi="Arial" w:cs="Arial"/>
          <w:sz w:val="24"/>
          <w:szCs w:val="24"/>
          <w:lang w:eastAsia="en-GB"/>
        </w:rPr>
        <w:t xml:space="preserve"> </w:t>
      </w:r>
      <w:r w:rsidRPr="00D62765">
        <w:rPr>
          <w:rFonts w:ascii="Arial" w:eastAsia="Times New Roman" w:hAnsi="Arial" w:cs="Arial"/>
          <w:sz w:val="24"/>
          <w:szCs w:val="24"/>
          <w:lang w:eastAsia="en-GB"/>
        </w:rPr>
        <w:t xml:space="preserve">home. She was not aware of the risks of the actions, and it would be unreasonable on her part to take the risk if she was aware of the consequences at the time. Under normal circumstances, a sane person’s actions would be considered an offence when intoxicated if he is unaware of his actions and lacks a mind at fault. Harriet’s state of automatism should be regarded as guilt-free, and it would be ethically and logically indefensible to convict her contrary to the Criminal Justice Act 1967. The act states that the court, in its judgement, shall not infer that the defendant was aware of the consequences of his actions but shall prove the intent of the accused by ascertaining facts of the case as drawn from the evidence.  The </w:t>
      </w:r>
      <w:r w:rsidRPr="00D62765">
        <w:rPr>
          <w:rFonts w:ascii="Arial" w:eastAsia="Times New Roman" w:hAnsi="Arial" w:cs="Arial"/>
          <w:i/>
          <w:sz w:val="24"/>
          <w:szCs w:val="24"/>
          <w:lang w:eastAsia="en-GB"/>
        </w:rPr>
        <w:t>R v Cunningham (1957</w:t>
      </w:r>
      <w:r w:rsidRPr="00D62765">
        <w:rPr>
          <w:rFonts w:ascii="Arial" w:eastAsia="Times New Roman" w:hAnsi="Arial" w:cs="Arial"/>
          <w:sz w:val="24"/>
          <w:szCs w:val="24"/>
          <w:lang w:eastAsia="en-GB"/>
        </w:rPr>
        <w:t>) case judgement considered the malicious intent related to the</w:t>
      </w:r>
      <w:r w:rsidRPr="00D62765">
        <w:rPr>
          <w:rFonts w:ascii="Arial" w:eastAsia="Times New Roman" w:hAnsi="Arial" w:cs="Arial"/>
          <w:i/>
          <w:sz w:val="24"/>
          <w:szCs w:val="24"/>
          <w:lang w:eastAsia="en-GB"/>
        </w:rPr>
        <w:t xml:space="preserve">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xml:space="preserve"> factor. The court of appeal defined malicious as meaning that the repercussions of the offence were foreseen by the accused and made the judgement on reasonable knowledge of consequences and malicious intent.</w:t>
      </w:r>
    </w:p>
    <w:p w14:paraId="546A6129" w14:textId="6AE5CE27" w:rsidR="00D62765" w:rsidRPr="00D62765" w:rsidRDefault="00D62765" w:rsidP="00997D8D">
      <w:pPr>
        <w:spacing w:after="0" w:line="480" w:lineRule="auto"/>
        <w:rPr>
          <w:rFonts w:ascii="Arial" w:eastAsia="Times New Roman" w:hAnsi="Arial" w:cs="Arial"/>
          <w:sz w:val="24"/>
          <w:szCs w:val="24"/>
          <w:lang w:eastAsia="en-GB"/>
        </w:rPr>
      </w:pPr>
      <w:r w:rsidRPr="00D62765">
        <w:rPr>
          <w:rFonts w:ascii="Arial" w:eastAsia="Times New Roman" w:hAnsi="Arial" w:cs="Arial"/>
          <w:sz w:val="24"/>
          <w:szCs w:val="24"/>
          <w:lang w:eastAsia="en-GB"/>
        </w:rPr>
        <w:t>However, Harriet is guilty of criminal damage to property by smashing the window</w:t>
      </w:r>
      <w:r w:rsidR="00997D8D" w:rsidRPr="00997D8D">
        <w:rPr>
          <w:rFonts w:ascii="Arial" w:eastAsia="Times New Roman" w:hAnsi="Arial" w:cs="Arial"/>
          <w:sz w:val="24"/>
          <w:szCs w:val="24"/>
          <w:lang w:eastAsia="en-GB"/>
        </w:rPr>
        <w:t xml:space="preserve">s </w:t>
      </w:r>
      <w:r w:rsidRPr="00D62765">
        <w:rPr>
          <w:rFonts w:ascii="Arial" w:eastAsia="Times New Roman" w:hAnsi="Arial" w:cs="Arial"/>
          <w:sz w:val="24"/>
          <w:szCs w:val="24"/>
          <w:lang w:eastAsia="en-GB"/>
        </w:rPr>
        <w:t xml:space="preserve">of Christine’s kitchen. The damage left a mark showing recklessness. The expense incurred in repairing and treating David’s broken cheekbone makes her guilty of an offence. The defence can argue their cases using different approaches to criminal liability to determine whether either of them can get an acquittal or not through logical and critical analysis of each scenario, the intent and the role of the </w:t>
      </w:r>
      <w:proofErr w:type="spellStart"/>
      <w:r w:rsidRPr="00D62765">
        <w:rPr>
          <w:rFonts w:ascii="Arial" w:eastAsia="Times New Roman" w:hAnsi="Arial" w:cs="Arial"/>
          <w:i/>
          <w:sz w:val="24"/>
          <w:szCs w:val="24"/>
          <w:lang w:eastAsia="en-GB"/>
        </w:rPr>
        <w:t>mens</w:t>
      </w:r>
      <w:proofErr w:type="spellEnd"/>
      <w:r w:rsidRPr="00D62765">
        <w:rPr>
          <w:rFonts w:ascii="Arial" w:eastAsia="Times New Roman" w:hAnsi="Arial" w:cs="Arial"/>
          <w:i/>
          <w:sz w:val="24"/>
          <w:szCs w:val="24"/>
          <w:lang w:eastAsia="en-GB"/>
        </w:rPr>
        <w:t xml:space="preserve"> rea</w:t>
      </w:r>
      <w:r w:rsidRPr="00D62765">
        <w:rPr>
          <w:rFonts w:ascii="Arial" w:eastAsia="Times New Roman" w:hAnsi="Arial" w:cs="Arial"/>
          <w:sz w:val="24"/>
          <w:szCs w:val="24"/>
          <w:lang w:eastAsia="en-GB"/>
        </w:rPr>
        <w:t xml:space="preserve"> in each case.</w:t>
      </w:r>
    </w:p>
    <w:p w14:paraId="101E4B9F" w14:textId="77777777" w:rsidR="00D62765" w:rsidRPr="00D62765" w:rsidRDefault="00D62765" w:rsidP="00D62765">
      <w:pPr>
        <w:spacing w:after="0" w:line="480" w:lineRule="auto"/>
        <w:ind w:firstLine="720"/>
        <w:rPr>
          <w:rFonts w:ascii="Times New Roman" w:eastAsia="Times New Roman" w:hAnsi="Times New Roman" w:cs="Times New Roman"/>
          <w:sz w:val="24"/>
          <w:szCs w:val="24"/>
          <w:lang w:eastAsia="en-GB"/>
        </w:rPr>
      </w:pPr>
    </w:p>
    <w:p w14:paraId="7547D18C" w14:textId="77777777" w:rsidR="00D62765" w:rsidRPr="00D62765" w:rsidRDefault="00D62765" w:rsidP="00D62765">
      <w:pPr>
        <w:spacing w:after="0" w:line="480" w:lineRule="auto"/>
        <w:ind w:firstLine="720"/>
        <w:rPr>
          <w:rFonts w:ascii="Times New Roman" w:eastAsia="Times New Roman" w:hAnsi="Times New Roman" w:cs="Times New Roman"/>
          <w:sz w:val="24"/>
          <w:szCs w:val="24"/>
          <w:lang w:eastAsia="en-GB"/>
        </w:rPr>
      </w:pPr>
    </w:p>
    <w:p w14:paraId="5F3EF04D" w14:textId="77777777" w:rsidR="00D62765" w:rsidRPr="00D62765" w:rsidRDefault="00D62765" w:rsidP="00D62765">
      <w:pPr>
        <w:spacing w:after="0" w:line="480" w:lineRule="auto"/>
        <w:ind w:firstLine="720"/>
        <w:rPr>
          <w:rFonts w:ascii="Times New Roman" w:eastAsia="Times New Roman" w:hAnsi="Times New Roman" w:cs="Times New Roman"/>
          <w:sz w:val="24"/>
          <w:szCs w:val="24"/>
          <w:lang w:eastAsia="en-GB"/>
        </w:rPr>
      </w:pPr>
    </w:p>
    <w:p w14:paraId="0C95B156" w14:textId="77777777" w:rsidR="00D62765" w:rsidRPr="00D62765" w:rsidRDefault="00D62765" w:rsidP="00D62765">
      <w:pPr>
        <w:spacing w:after="0" w:line="480" w:lineRule="auto"/>
        <w:ind w:firstLine="720"/>
        <w:rPr>
          <w:rFonts w:ascii="Times New Roman" w:eastAsia="Times New Roman" w:hAnsi="Times New Roman" w:cs="Times New Roman"/>
          <w:sz w:val="24"/>
          <w:szCs w:val="24"/>
          <w:lang w:eastAsia="en-GB"/>
        </w:rPr>
      </w:pPr>
    </w:p>
    <w:p w14:paraId="65C0F147" w14:textId="77777777" w:rsidR="00D62765" w:rsidRPr="00D62765" w:rsidRDefault="00D62765" w:rsidP="00D62765">
      <w:pPr>
        <w:spacing w:after="0" w:line="480" w:lineRule="auto"/>
        <w:ind w:firstLine="720"/>
        <w:rPr>
          <w:rFonts w:ascii="Times New Roman" w:eastAsia="Times New Roman" w:hAnsi="Times New Roman" w:cs="Times New Roman"/>
          <w:sz w:val="24"/>
          <w:szCs w:val="24"/>
          <w:lang w:eastAsia="en-GB"/>
        </w:rPr>
      </w:pPr>
    </w:p>
    <w:p w14:paraId="090CFA51" w14:textId="77777777" w:rsidR="00F22519" w:rsidRDefault="00F22519" w:rsidP="00F22519">
      <w:pPr>
        <w:spacing w:after="0" w:line="480" w:lineRule="auto"/>
        <w:rPr>
          <w:rFonts w:ascii="Times New Roman" w:eastAsia="Times New Roman" w:hAnsi="Times New Roman" w:cs="Times New Roman"/>
          <w:sz w:val="24"/>
          <w:szCs w:val="24"/>
          <w:lang w:eastAsia="en-GB"/>
        </w:rPr>
      </w:pPr>
    </w:p>
    <w:p w14:paraId="56A4CFA5" w14:textId="0BBEC596" w:rsidR="00F22519" w:rsidRPr="00D62765" w:rsidRDefault="00D62765" w:rsidP="00F22519">
      <w:pPr>
        <w:spacing w:after="0" w:line="480" w:lineRule="auto"/>
        <w:rPr>
          <w:rFonts w:ascii="Arial" w:eastAsia="Times New Roman" w:hAnsi="Arial" w:cs="Arial"/>
          <w:sz w:val="28"/>
          <w:szCs w:val="28"/>
          <w:u w:val="single"/>
          <w:lang w:eastAsia="en-GB"/>
        </w:rPr>
      </w:pPr>
      <w:r w:rsidRPr="00D62765">
        <w:rPr>
          <w:rFonts w:ascii="Arial" w:eastAsia="Times New Roman" w:hAnsi="Arial" w:cs="Arial"/>
          <w:sz w:val="28"/>
          <w:szCs w:val="28"/>
          <w:u w:val="single"/>
          <w:lang w:eastAsia="en-GB"/>
        </w:rPr>
        <w:t>References</w:t>
      </w:r>
    </w:p>
    <w:p w14:paraId="18770E8E"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 xml:space="preserve">A (a Juvenile) v R </w:t>
      </w:r>
      <w:r w:rsidRPr="00D62765">
        <w:rPr>
          <w:rFonts w:ascii="Arial" w:eastAsia="Times New Roman" w:hAnsi="Arial" w:cs="Arial"/>
          <w:sz w:val="24"/>
          <w:szCs w:val="24"/>
          <w:lang w:eastAsia="en-GB"/>
        </w:rPr>
        <w:t xml:space="preserve">[1978] Crim LR 689. </w:t>
      </w:r>
    </w:p>
    <w:p w14:paraId="2A7622E5" w14:textId="77777777" w:rsidR="00D62765" w:rsidRPr="00D62765" w:rsidRDefault="00D62765" w:rsidP="00D62765">
      <w:pPr>
        <w:spacing w:after="220" w:line="324" w:lineRule="auto"/>
        <w:ind w:left="720" w:hanging="720"/>
        <w:rPr>
          <w:rFonts w:ascii="Arial" w:eastAsia="Times New Roman" w:hAnsi="Arial" w:cs="Arial"/>
          <w:i/>
          <w:sz w:val="24"/>
          <w:szCs w:val="24"/>
          <w:lang w:eastAsia="en-GB"/>
        </w:rPr>
      </w:pPr>
      <w:r w:rsidRPr="00D62765">
        <w:rPr>
          <w:rFonts w:ascii="Arial" w:eastAsia="Times New Roman" w:hAnsi="Arial" w:cs="Arial"/>
          <w:i/>
          <w:sz w:val="24"/>
          <w:szCs w:val="24"/>
          <w:lang w:eastAsia="en-GB"/>
        </w:rPr>
        <w:t>British Virgin Island Criminal Code 1997.</w:t>
      </w:r>
    </w:p>
    <w:p w14:paraId="112585B5" w14:textId="47CCE6F8" w:rsidR="00D62765" w:rsidRPr="00D62765" w:rsidRDefault="00D62765" w:rsidP="00D62765">
      <w:pPr>
        <w:spacing w:after="220" w:line="324" w:lineRule="auto"/>
        <w:ind w:left="720" w:hanging="720"/>
        <w:rPr>
          <w:rFonts w:ascii="Arial" w:eastAsia="Times New Roman" w:hAnsi="Arial" w:cs="Arial"/>
          <w:sz w:val="24"/>
          <w:szCs w:val="24"/>
          <w:lang w:eastAsia="en-GB"/>
        </w:rPr>
      </w:pPr>
      <w:proofErr w:type="spellStart"/>
      <w:r w:rsidRPr="00D62765">
        <w:rPr>
          <w:rFonts w:ascii="Arial" w:eastAsia="Times New Roman" w:hAnsi="Arial" w:cs="Arial"/>
          <w:sz w:val="24"/>
          <w:szCs w:val="24"/>
          <w:lang w:eastAsia="en-GB"/>
        </w:rPr>
        <w:t>Cotterrell</w:t>
      </w:r>
      <w:proofErr w:type="spellEnd"/>
      <w:r w:rsidRPr="00D62765">
        <w:rPr>
          <w:rFonts w:ascii="Arial" w:eastAsia="Times New Roman" w:hAnsi="Arial" w:cs="Arial"/>
          <w:sz w:val="24"/>
          <w:szCs w:val="24"/>
          <w:lang w:eastAsia="en-GB"/>
        </w:rPr>
        <w:t xml:space="preserve">, R. (2006) </w:t>
      </w:r>
      <w:r w:rsidRPr="00D62765">
        <w:rPr>
          <w:rFonts w:ascii="Arial" w:eastAsia="Times New Roman" w:hAnsi="Arial" w:cs="Arial"/>
          <w:i/>
          <w:sz w:val="24"/>
          <w:szCs w:val="24"/>
          <w:lang w:eastAsia="en-GB"/>
        </w:rPr>
        <w:t xml:space="preserve">Law, Culture, and Society: Legal Ideas in the Mirror of Social </w:t>
      </w:r>
      <w:r w:rsidR="00997D8D" w:rsidRPr="00997D8D">
        <w:rPr>
          <w:rFonts w:ascii="Arial" w:eastAsia="Times New Roman" w:hAnsi="Arial" w:cs="Arial"/>
          <w:i/>
          <w:sz w:val="24"/>
          <w:szCs w:val="24"/>
          <w:lang w:eastAsia="en-GB"/>
        </w:rPr>
        <w:t>Theory (Law</w:t>
      </w:r>
      <w:r w:rsidRPr="00D62765">
        <w:rPr>
          <w:rFonts w:ascii="Arial" w:eastAsia="Times New Roman" w:hAnsi="Arial" w:cs="Arial"/>
          <w:i/>
          <w:sz w:val="24"/>
          <w:szCs w:val="24"/>
          <w:lang w:eastAsia="en-GB"/>
        </w:rPr>
        <w:t>, Justice, and Power)</w:t>
      </w:r>
      <w:r w:rsidRPr="00D62765">
        <w:rPr>
          <w:rFonts w:ascii="Arial" w:eastAsia="Times New Roman" w:hAnsi="Arial" w:cs="Arial"/>
          <w:sz w:val="24"/>
          <w:szCs w:val="24"/>
          <w:lang w:eastAsia="en-GB"/>
        </w:rPr>
        <w:t xml:space="preserve">. 2nd </w:t>
      </w:r>
      <w:r w:rsidR="00997D8D" w:rsidRPr="00D62765">
        <w:rPr>
          <w:rFonts w:ascii="Arial" w:eastAsia="Times New Roman" w:hAnsi="Arial" w:cs="Arial"/>
          <w:sz w:val="24"/>
          <w:szCs w:val="24"/>
          <w:lang w:eastAsia="en-GB"/>
        </w:rPr>
        <w:t>ed</w:t>
      </w:r>
      <w:r w:rsidR="00997D8D">
        <w:rPr>
          <w:rFonts w:ascii="Arial" w:eastAsia="Times New Roman" w:hAnsi="Arial" w:cs="Arial"/>
          <w:sz w:val="24"/>
          <w:szCs w:val="24"/>
          <w:lang w:eastAsia="en-GB"/>
        </w:rPr>
        <w:t>ition</w:t>
      </w:r>
      <w:r w:rsidR="00997D8D" w:rsidRPr="00D62765">
        <w:rPr>
          <w:rFonts w:ascii="Arial" w:eastAsia="Times New Roman" w:hAnsi="Arial" w:cs="Arial"/>
          <w:sz w:val="24"/>
          <w:szCs w:val="24"/>
          <w:lang w:eastAsia="en-GB"/>
        </w:rPr>
        <w:t>. (</w:t>
      </w:r>
      <w:proofErr w:type="spellStart"/>
      <w:r w:rsidRPr="00D62765">
        <w:rPr>
          <w:rFonts w:ascii="Arial" w:eastAsia="Times New Roman" w:hAnsi="Arial" w:cs="Arial"/>
          <w:sz w:val="24"/>
          <w:szCs w:val="24"/>
          <w:lang w:eastAsia="en-GB"/>
        </w:rPr>
        <w:t>epub</w:t>
      </w:r>
      <w:proofErr w:type="spellEnd"/>
      <w:r w:rsidRPr="00D62765">
        <w:rPr>
          <w:rFonts w:ascii="Arial" w:eastAsia="Times New Roman" w:hAnsi="Arial" w:cs="Arial"/>
          <w:sz w:val="24"/>
          <w:szCs w:val="24"/>
          <w:lang w:eastAsia="en-GB"/>
        </w:rPr>
        <w:t>).</w:t>
      </w:r>
    </w:p>
    <w:p w14:paraId="67873469"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Criminal Damage Act 1971</w:t>
      </w:r>
      <w:r w:rsidRPr="00D62765">
        <w:rPr>
          <w:rFonts w:ascii="Arial" w:eastAsia="Times New Roman" w:hAnsi="Arial" w:cs="Arial"/>
          <w:sz w:val="24"/>
          <w:szCs w:val="24"/>
          <w:lang w:eastAsia="en-GB"/>
        </w:rPr>
        <w:t>.</w:t>
      </w:r>
    </w:p>
    <w:p w14:paraId="48F2A12C"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Criminal Justice Act 1971</w:t>
      </w:r>
      <w:r w:rsidRPr="00D62765">
        <w:rPr>
          <w:rFonts w:ascii="Arial" w:eastAsia="Times New Roman" w:hAnsi="Arial" w:cs="Arial"/>
          <w:sz w:val="24"/>
          <w:szCs w:val="24"/>
          <w:lang w:eastAsia="en-GB"/>
        </w:rPr>
        <w:t>.</w:t>
      </w:r>
    </w:p>
    <w:p w14:paraId="1F1DE695"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Director of Public Prosecution v Beard</w:t>
      </w:r>
      <w:r w:rsidRPr="00D62765">
        <w:rPr>
          <w:rFonts w:ascii="Arial" w:eastAsia="Times New Roman" w:hAnsi="Arial" w:cs="Arial"/>
          <w:sz w:val="24"/>
          <w:szCs w:val="24"/>
          <w:lang w:eastAsia="en-GB"/>
        </w:rPr>
        <w:t xml:space="preserve"> [1920] AC 479.</w:t>
      </w:r>
    </w:p>
    <w:p w14:paraId="5923B48C"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DPP v Majewski</w:t>
      </w:r>
      <w:r w:rsidRPr="00D62765">
        <w:rPr>
          <w:rFonts w:ascii="Arial" w:eastAsia="Times New Roman" w:hAnsi="Arial" w:cs="Arial"/>
          <w:sz w:val="24"/>
          <w:szCs w:val="24"/>
          <w:lang w:eastAsia="en-GB"/>
        </w:rPr>
        <w:t xml:space="preserve"> [1977] AC 443.</w:t>
      </w:r>
    </w:p>
    <w:p w14:paraId="49D25792"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 xml:space="preserve">Hardman &amp; Others v Chief Constable of Avon &amp; Somerset </w:t>
      </w:r>
      <w:r w:rsidRPr="00D62765">
        <w:rPr>
          <w:rFonts w:ascii="Arial" w:eastAsia="Times New Roman" w:hAnsi="Arial" w:cs="Arial"/>
          <w:sz w:val="24"/>
          <w:szCs w:val="24"/>
          <w:lang w:eastAsia="en-GB"/>
        </w:rPr>
        <w:t>[1986] Crim LR 330.</w:t>
      </w:r>
    </w:p>
    <w:p w14:paraId="2576476B"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Ivey v Genting Casinos</w:t>
      </w:r>
      <w:r w:rsidRPr="00D62765">
        <w:rPr>
          <w:rFonts w:ascii="Arial" w:eastAsia="Times New Roman" w:hAnsi="Arial" w:cs="Arial"/>
          <w:sz w:val="24"/>
          <w:szCs w:val="24"/>
          <w:lang w:eastAsia="en-GB"/>
        </w:rPr>
        <w:t xml:space="preserve"> [2017] UKSC 67.</w:t>
      </w:r>
    </w:p>
    <w:p w14:paraId="459EA35F" w14:textId="77777777" w:rsidR="00D62765" w:rsidRPr="00D62765" w:rsidRDefault="00D62765" w:rsidP="00D62765">
      <w:pPr>
        <w:spacing w:after="220" w:line="324" w:lineRule="auto"/>
        <w:ind w:left="720" w:hanging="720"/>
        <w:rPr>
          <w:rFonts w:ascii="Times New Roman" w:eastAsia="Times New Roman" w:hAnsi="Times New Roman" w:cs="Times New Roman"/>
          <w:sz w:val="24"/>
          <w:szCs w:val="24"/>
          <w:lang w:eastAsia="en-GB"/>
        </w:rPr>
      </w:pPr>
      <w:proofErr w:type="spellStart"/>
      <w:r w:rsidRPr="00D62765">
        <w:rPr>
          <w:rFonts w:ascii="Arial" w:eastAsia="Times New Roman" w:hAnsi="Arial" w:cs="Arial"/>
          <w:sz w:val="24"/>
          <w:szCs w:val="24"/>
          <w:lang w:eastAsia="en-GB"/>
        </w:rPr>
        <w:t>Lightowlers</w:t>
      </w:r>
      <w:proofErr w:type="spellEnd"/>
      <w:r w:rsidRPr="00D62765">
        <w:rPr>
          <w:rFonts w:ascii="Arial" w:eastAsia="Times New Roman" w:hAnsi="Arial" w:cs="Arial"/>
          <w:sz w:val="24"/>
          <w:szCs w:val="24"/>
          <w:lang w:eastAsia="en-GB"/>
        </w:rPr>
        <w:t xml:space="preserve">, C. (2018) ‘Drunk and Doubly Deviant? The Role of Gender and Intoxication in Sentencing Assault Offences’, 59(3). </w:t>
      </w:r>
      <w:proofErr w:type="spellStart"/>
      <w:r w:rsidRPr="00D62765">
        <w:rPr>
          <w:rFonts w:ascii="Arial" w:eastAsia="Times New Roman" w:hAnsi="Arial" w:cs="Arial"/>
          <w:sz w:val="24"/>
          <w:szCs w:val="24"/>
          <w:lang w:eastAsia="en-GB"/>
        </w:rPr>
        <w:t>doi</w:t>
      </w:r>
      <w:r w:rsidRPr="00D62765">
        <w:rPr>
          <w:rFonts w:ascii="Times New Roman" w:eastAsia="Times New Roman" w:hAnsi="Times New Roman" w:cs="Times New Roman"/>
          <w:sz w:val="24"/>
          <w:szCs w:val="24"/>
          <w:lang w:eastAsia="en-GB"/>
        </w:rPr>
        <w:t>:</w:t>
      </w:r>
      <w:hyperlink r:id="rId6">
        <w:r w:rsidRPr="00D62765">
          <w:rPr>
            <w:rFonts w:ascii="Times New Roman" w:eastAsia="Times New Roman" w:hAnsi="Times New Roman" w:cs="Times New Roman"/>
            <w:color w:val="1155CC"/>
            <w:sz w:val="24"/>
            <w:szCs w:val="24"/>
            <w:u w:val="single"/>
            <w:lang w:eastAsia="en-GB"/>
          </w:rPr>
          <w:t>https</w:t>
        </w:r>
        <w:proofErr w:type="spellEnd"/>
        <w:r w:rsidRPr="00D62765">
          <w:rPr>
            <w:rFonts w:ascii="Times New Roman" w:eastAsia="Times New Roman" w:hAnsi="Times New Roman" w:cs="Times New Roman"/>
            <w:color w:val="1155CC"/>
            <w:sz w:val="24"/>
            <w:szCs w:val="24"/>
            <w:u w:val="single"/>
            <w:lang w:eastAsia="en-GB"/>
          </w:rPr>
          <w:t>://doi.org/10.1093/bjc/azy041</w:t>
        </w:r>
      </w:hyperlink>
      <w:r w:rsidRPr="00D62765">
        <w:rPr>
          <w:rFonts w:ascii="Times New Roman" w:eastAsia="Times New Roman" w:hAnsi="Times New Roman" w:cs="Times New Roman"/>
          <w:sz w:val="24"/>
          <w:szCs w:val="24"/>
          <w:lang w:eastAsia="en-GB"/>
        </w:rPr>
        <w:t>.</w:t>
      </w:r>
    </w:p>
    <w:p w14:paraId="71EE42A2" w14:textId="77777777" w:rsidR="00D62765" w:rsidRPr="00D62765" w:rsidRDefault="00D62765" w:rsidP="00D62765">
      <w:pPr>
        <w:spacing w:after="220" w:line="324" w:lineRule="auto"/>
        <w:ind w:left="720" w:hanging="720"/>
        <w:rPr>
          <w:rFonts w:ascii="Times New Roman" w:eastAsia="Times New Roman" w:hAnsi="Times New Roman" w:cs="Times New Roman"/>
          <w:sz w:val="24"/>
          <w:szCs w:val="24"/>
          <w:lang w:eastAsia="en-GB"/>
        </w:rPr>
      </w:pPr>
      <w:r w:rsidRPr="00D62765">
        <w:rPr>
          <w:rFonts w:ascii="Arial" w:eastAsia="Times New Roman" w:hAnsi="Arial" w:cs="Arial"/>
          <w:sz w:val="24"/>
          <w:szCs w:val="24"/>
          <w:lang w:eastAsia="en-GB"/>
        </w:rPr>
        <w:t xml:space="preserve">McClanahan, B. and South, N. (2019) ‘‘All Knowledge Begins with the Senses’1: Towards a Sensory Criminology’, </w:t>
      </w:r>
      <w:r w:rsidRPr="00D62765">
        <w:rPr>
          <w:rFonts w:ascii="Arial" w:eastAsia="Times New Roman" w:hAnsi="Arial" w:cs="Arial"/>
          <w:i/>
          <w:sz w:val="24"/>
          <w:szCs w:val="24"/>
          <w:lang w:eastAsia="en-GB"/>
        </w:rPr>
        <w:t>The British Journal of Criminology</w:t>
      </w:r>
      <w:r w:rsidRPr="00D62765">
        <w:rPr>
          <w:rFonts w:ascii="Arial" w:eastAsia="Times New Roman" w:hAnsi="Arial" w:cs="Arial"/>
          <w:sz w:val="24"/>
          <w:szCs w:val="24"/>
          <w:lang w:eastAsia="en-GB"/>
        </w:rPr>
        <w:t xml:space="preserve"> [Preprint]. doi</w:t>
      </w:r>
      <w:r w:rsidRPr="00D62765">
        <w:rPr>
          <w:rFonts w:ascii="Times New Roman" w:eastAsia="Times New Roman" w:hAnsi="Times New Roman" w:cs="Times New Roman"/>
          <w:sz w:val="24"/>
          <w:szCs w:val="24"/>
          <w:lang w:eastAsia="en-GB"/>
        </w:rPr>
        <w:t>:</w:t>
      </w:r>
      <w:hyperlink r:id="rId7">
        <w:r w:rsidRPr="00D62765">
          <w:rPr>
            <w:rFonts w:ascii="Times New Roman" w:eastAsia="Times New Roman" w:hAnsi="Times New Roman" w:cs="Times New Roman"/>
            <w:color w:val="1155CC"/>
            <w:sz w:val="24"/>
            <w:szCs w:val="24"/>
            <w:u w:val="single"/>
            <w:lang w:eastAsia="en-GB"/>
          </w:rPr>
          <w:t>10.1093/BJC/AZZ052</w:t>
        </w:r>
      </w:hyperlink>
      <w:r w:rsidRPr="00D62765">
        <w:rPr>
          <w:rFonts w:ascii="Times New Roman" w:eastAsia="Times New Roman" w:hAnsi="Times New Roman" w:cs="Times New Roman"/>
          <w:sz w:val="24"/>
          <w:szCs w:val="24"/>
          <w:lang w:eastAsia="en-GB"/>
        </w:rPr>
        <w:t>.</w:t>
      </w:r>
    </w:p>
    <w:p w14:paraId="5C7F39DC"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R v Cahill</w:t>
      </w:r>
      <w:r w:rsidRPr="00D62765">
        <w:rPr>
          <w:rFonts w:ascii="Arial" w:eastAsia="Times New Roman" w:hAnsi="Arial" w:cs="Arial"/>
          <w:sz w:val="24"/>
          <w:szCs w:val="24"/>
          <w:lang w:eastAsia="en-GB"/>
        </w:rPr>
        <w:t>(1993) LR141[18]</w:t>
      </w:r>
    </w:p>
    <w:p w14:paraId="17DB9440"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R v Cunningham</w:t>
      </w:r>
      <w:r w:rsidRPr="00D62765">
        <w:rPr>
          <w:rFonts w:ascii="Arial" w:eastAsia="Times New Roman" w:hAnsi="Arial" w:cs="Arial"/>
          <w:sz w:val="24"/>
          <w:szCs w:val="24"/>
          <w:lang w:eastAsia="en-GB"/>
        </w:rPr>
        <w:t xml:space="preserve"> [1957] 2 Q.B. 396 </w:t>
      </w:r>
    </w:p>
    <w:p w14:paraId="5DD3213B"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 xml:space="preserve">R v Ghosh </w:t>
      </w:r>
      <w:r w:rsidRPr="00D62765">
        <w:rPr>
          <w:rFonts w:ascii="Arial" w:eastAsia="Times New Roman" w:hAnsi="Arial" w:cs="Arial"/>
          <w:sz w:val="24"/>
          <w:szCs w:val="24"/>
          <w:lang w:eastAsia="en-GB"/>
        </w:rPr>
        <w:t xml:space="preserve">[1982] 3 WLR 110 </w:t>
      </w:r>
    </w:p>
    <w:p w14:paraId="07AEC74D"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 xml:space="preserve">R v Hardie </w:t>
      </w:r>
      <w:r w:rsidRPr="00D62765">
        <w:rPr>
          <w:rFonts w:ascii="Arial" w:eastAsia="Times New Roman" w:hAnsi="Arial" w:cs="Arial"/>
          <w:sz w:val="24"/>
          <w:szCs w:val="24"/>
          <w:lang w:eastAsia="en-GB"/>
        </w:rPr>
        <w:t>[1985] 1 WLR 64</w:t>
      </w:r>
    </w:p>
    <w:p w14:paraId="572099E8"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 xml:space="preserve">R v Kingston </w:t>
      </w:r>
      <w:r w:rsidRPr="00D62765">
        <w:rPr>
          <w:rFonts w:ascii="Arial" w:eastAsia="Times New Roman" w:hAnsi="Arial" w:cs="Arial"/>
          <w:sz w:val="24"/>
          <w:szCs w:val="24"/>
          <w:lang w:eastAsia="en-GB"/>
        </w:rPr>
        <w:t>[1994] 3 All ER 353</w:t>
      </w:r>
    </w:p>
    <w:p w14:paraId="18BD3752"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 xml:space="preserve">R v Morris </w:t>
      </w:r>
      <w:r w:rsidRPr="00D62765">
        <w:rPr>
          <w:rFonts w:ascii="Arial" w:eastAsia="Times New Roman" w:hAnsi="Arial" w:cs="Arial"/>
          <w:sz w:val="24"/>
          <w:szCs w:val="24"/>
          <w:lang w:eastAsia="en-GB"/>
        </w:rPr>
        <w:t>[1984] AC 320</w:t>
      </w:r>
    </w:p>
    <w:p w14:paraId="2DFFF6B1" w14:textId="77777777" w:rsidR="00D62765" w:rsidRPr="00D62765" w:rsidRDefault="00D62765" w:rsidP="00D62765">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 xml:space="preserve">R v </w:t>
      </w:r>
      <w:proofErr w:type="spellStart"/>
      <w:r w:rsidRPr="00D62765">
        <w:rPr>
          <w:rFonts w:ascii="Arial" w:eastAsia="Times New Roman" w:hAnsi="Arial" w:cs="Arial"/>
          <w:i/>
          <w:sz w:val="24"/>
          <w:szCs w:val="24"/>
          <w:lang w:eastAsia="en-GB"/>
        </w:rPr>
        <w:t>Woollin</w:t>
      </w:r>
      <w:proofErr w:type="spellEnd"/>
      <w:r w:rsidRPr="00D62765">
        <w:rPr>
          <w:rFonts w:ascii="Arial" w:eastAsia="Times New Roman" w:hAnsi="Arial" w:cs="Arial"/>
          <w:sz w:val="24"/>
          <w:szCs w:val="24"/>
          <w:lang w:eastAsia="en-GB"/>
        </w:rPr>
        <w:t xml:space="preserve"> [1999] AC 82 </w:t>
      </w:r>
    </w:p>
    <w:p w14:paraId="710DFE8F" w14:textId="30AEBA66" w:rsidR="00D62765" w:rsidRPr="00D62765" w:rsidRDefault="00D62765" w:rsidP="00F22519">
      <w:pPr>
        <w:spacing w:after="220" w:line="324" w:lineRule="auto"/>
        <w:ind w:left="720" w:hanging="720"/>
        <w:rPr>
          <w:rFonts w:ascii="Arial" w:eastAsia="Times New Roman" w:hAnsi="Arial" w:cs="Arial"/>
          <w:sz w:val="24"/>
          <w:szCs w:val="24"/>
          <w:lang w:eastAsia="en-GB"/>
        </w:rPr>
      </w:pPr>
      <w:r w:rsidRPr="00D62765">
        <w:rPr>
          <w:rFonts w:ascii="Arial" w:eastAsia="Times New Roman" w:hAnsi="Arial" w:cs="Arial"/>
          <w:i/>
          <w:sz w:val="24"/>
          <w:szCs w:val="24"/>
          <w:lang w:eastAsia="en-GB"/>
        </w:rPr>
        <w:t>Theft Act 1968</w:t>
      </w:r>
      <w:r w:rsidRPr="00D62765">
        <w:rPr>
          <w:rFonts w:ascii="Arial" w:eastAsia="Times New Roman" w:hAnsi="Arial" w:cs="Arial"/>
          <w:sz w:val="24"/>
          <w:szCs w:val="24"/>
          <w:lang w:eastAsia="en-GB"/>
        </w:rPr>
        <w:t xml:space="preserve"> </w:t>
      </w:r>
      <w:r w:rsidRPr="00D62765">
        <w:rPr>
          <w:rFonts w:ascii="Arial" w:eastAsia="Times New Roman" w:hAnsi="Arial" w:cs="Arial"/>
          <w:i/>
          <w:sz w:val="24"/>
          <w:szCs w:val="24"/>
          <w:lang w:eastAsia="en-GB"/>
        </w:rPr>
        <w:t xml:space="preserve">Wheatley v Another </w:t>
      </w:r>
      <w:r w:rsidRPr="00D62765">
        <w:rPr>
          <w:rFonts w:ascii="Arial" w:eastAsia="Times New Roman" w:hAnsi="Arial" w:cs="Arial"/>
          <w:sz w:val="24"/>
          <w:szCs w:val="24"/>
          <w:lang w:eastAsia="en-GB"/>
        </w:rPr>
        <w:t xml:space="preserve">[2006] UKPC 24 </w:t>
      </w:r>
    </w:p>
    <w:p w14:paraId="40EBA0AC" w14:textId="77777777" w:rsidR="00D62765" w:rsidRPr="00D62765" w:rsidRDefault="00D62765" w:rsidP="00D62765">
      <w:pPr>
        <w:spacing w:after="0" w:line="324" w:lineRule="auto"/>
        <w:rPr>
          <w:rFonts w:ascii="Times New Roman" w:eastAsia="Times New Roman" w:hAnsi="Times New Roman" w:cs="Times New Roman"/>
          <w:sz w:val="24"/>
          <w:szCs w:val="24"/>
          <w:lang w:eastAsia="en-GB"/>
        </w:rPr>
      </w:pPr>
    </w:p>
    <w:p w14:paraId="3FEB13FB" w14:textId="77777777" w:rsidR="004713F0" w:rsidRDefault="004713F0"/>
    <w:sectPr w:rsidR="004713F0" w:rsidSect="0055234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765"/>
    <w:rsid w:val="001A46D3"/>
    <w:rsid w:val="0033236F"/>
    <w:rsid w:val="004713F0"/>
    <w:rsid w:val="00552344"/>
    <w:rsid w:val="00590470"/>
    <w:rsid w:val="005924D2"/>
    <w:rsid w:val="00997D8D"/>
    <w:rsid w:val="00B876F8"/>
    <w:rsid w:val="00D62765"/>
    <w:rsid w:val="00F22519"/>
    <w:rsid w:val="00F54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3B66C"/>
  <w15:chartTrackingRefBased/>
  <w15:docId w15:val="{A8783D7D-64D6-42CC-AC5F-E9CE2325B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3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34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doi.org/10.1093/BJC/AZZ052"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doi.org/10.1093/bjc/azy041" TargetMode="External" /><Relationship Id="rId5" Type="http://schemas.openxmlformats.org/officeDocument/2006/relationships/image" Target="media/image2.png" /><Relationship Id="rId4" Type="http://schemas.openxmlformats.org/officeDocument/2006/relationships/image" Target="media/image1.png"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1587</Words>
  <Characters>9046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dc:title>
  <dc:subject>MODULE: CRIMINAL LAW</dc:subject>
  <dc:creator>na5imamin1@outlook.com</dc:creator>
  <cp:keywords/>
  <dc:description/>
  <cp:lastModifiedBy>nazimamin1980@gmail.com</cp:lastModifiedBy>
  <cp:revision>2</cp:revision>
  <dcterms:created xsi:type="dcterms:W3CDTF">2022-01-07T17:12:00Z</dcterms:created>
  <dcterms:modified xsi:type="dcterms:W3CDTF">2022-01-07T17:12:00Z</dcterms:modified>
</cp:coreProperties>
</file>