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C8DBD" w14:textId="77777777" w:rsidR="002D70B2" w:rsidRDefault="002D70B2" w:rsidP="002D70B2">
      <w:pPr>
        <w:jc w:val="center"/>
        <w:rPr>
          <w:rFonts w:ascii="Times New Roman" w:hAnsi="Times New Roman" w:cs="Times New Roman"/>
          <w:b/>
          <w:bCs/>
          <w:sz w:val="24"/>
          <w:szCs w:val="24"/>
        </w:rPr>
      </w:pPr>
      <w:r w:rsidRPr="00C55A56">
        <w:rPr>
          <w:rFonts w:ascii="Times New Roman" w:hAnsi="Times New Roman" w:cs="Times New Roman"/>
          <w:b/>
          <w:bCs/>
          <w:sz w:val="24"/>
          <w:szCs w:val="24"/>
        </w:rPr>
        <w:t>Obeisha Conliffe</w:t>
      </w:r>
    </w:p>
    <w:p w14:paraId="654D3E37" w14:textId="344562EF" w:rsidR="002D70B2" w:rsidRDefault="002D70B2" w:rsidP="002D70B2">
      <w:pPr>
        <w:jc w:val="center"/>
        <w:rPr>
          <w:rFonts w:ascii="Times New Roman" w:hAnsi="Times New Roman" w:cs="Times New Roman"/>
          <w:b/>
          <w:bCs/>
          <w:sz w:val="24"/>
          <w:szCs w:val="24"/>
        </w:rPr>
      </w:pPr>
      <w:r>
        <w:rPr>
          <w:rFonts w:ascii="Times New Roman" w:hAnsi="Times New Roman" w:cs="Times New Roman"/>
          <w:b/>
          <w:bCs/>
          <w:sz w:val="24"/>
          <w:szCs w:val="24"/>
        </w:rPr>
        <w:t>Assignment two</w:t>
      </w:r>
    </w:p>
    <w:p w14:paraId="1717BD1B" w14:textId="4B8C32FF" w:rsidR="002D70B2" w:rsidRDefault="00B2266C" w:rsidP="002D70B2">
      <w:pPr>
        <w:jc w:val="center"/>
        <w:rPr>
          <w:rFonts w:ascii="Times New Roman" w:hAnsi="Times New Roman" w:cs="Times New Roman"/>
          <w:b/>
          <w:bCs/>
          <w:sz w:val="24"/>
          <w:szCs w:val="24"/>
        </w:rPr>
      </w:pPr>
      <w:r>
        <w:rPr>
          <w:rFonts w:ascii="Times New Roman" w:hAnsi="Times New Roman" w:cs="Times New Roman"/>
          <w:b/>
          <w:bCs/>
          <w:sz w:val="24"/>
          <w:szCs w:val="24"/>
        </w:rPr>
        <w:t>Dr Peter Mitchell</w:t>
      </w:r>
    </w:p>
    <w:p w14:paraId="32AFB8FB" w14:textId="49956FAF" w:rsidR="00B2266C" w:rsidRDefault="00B2266C" w:rsidP="002D70B2">
      <w:pPr>
        <w:jc w:val="center"/>
        <w:rPr>
          <w:rFonts w:ascii="Times New Roman" w:hAnsi="Times New Roman" w:cs="Times New Roman"/>
          <w:b/>
          <w:bCs/>
          <w:sz w:val="24"/>
          <w:szCs w:val="24"/>
        </w:rPr>
      </w:pPr>
      <w:r>
        <w:rPr>
          <w:rFonts w:ascii="Times New Roman" w:hAnsi="Times New Roman" w:cs="Times New Roman"/>
          <w:b/>
          <w:bCs/>
          <w:sz w:val="24"/>
          <w:szCs w:val="24"/>
        </w:rPr>
        <w:t>The book, the body, and the World: Re</w:t>
      </w:r>
      <w:r w:rsidR="00A002E2">
        <w:rPr>
          <w:rFonts w:ascii="Times New Roman" w:hAnsi="Times New Roman" w:cs="Times New Roman"/>
          <w:b/>
          <w:bCs/>
          <w:sz w:val="24"/>
          <w:szCs w:val="24"/>
        </w:rPr>
        <w:t>naissance Humanism, Medicine, and Exploration</w:t>
      </w:r>
    </w:p>
    <w:p w14:paraId="2BAE4B33" w14:textId="155CE1D4" w:rsidR="00CE10BE" w:rsidRPr="00C55A56" w:rsidRDefault="00CE10BE" w:rsidP="002D70B2">
      <w:pPr>
        <w:jc w:val="center"/>
        <w:rPr>
          <w:rFonts w:ascii="Times New Roman" w:hAnsi="Times New Roman" w:cs="Times New Roman"/>
          <w:b/>
          <w:bCs/>
          <w:sz w:val="24"/>
          <w:szCs w:val="24"/>
        </w:rPr>
      </w:pPr>
      <w:r>
        <w:rPr>
          <w:rFonts w:ascii="Times New Roman" w:hAnsi="Times New Roman" w:cs="Times New Roman"/>
          <w:b/>
          <w:bCs/>
          <w:sz w:val="24"/>
          <w:szCs w:val="24"/>
        </w:rPr>
        <w:t xml:space="preserve">Bibliographical Exercise </w:t>
      </w:r>
    </w:p>
    <w:p w14:paraId="20F34B14" w14:textId="02E1D689" w:rsidR="005C3CE1" w:rsidRDefault="005C3CE1" w:rsidP="005C3CE1">
      <w:pPr>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b/>
          <w:bCs/>
          <w:kern w:val="0"/>
          <w:sz w:val="24"/>
          <w:szCs w:val="24"/>
          <w:lang w:val="en-US"/>
          <w14:ligatures w14:val="none"/>
        </w:rPr>
        <w:br w:type="page"/>
      </w:r>
    </w:p>
    <w:p w14:paraId="43323AEC" w14:textId="32F05487" w:rsidR="000A5633" w:rsidRPr="000A5633" w:rsidRDefault="000A5633" w:rsidP="000A5633">
      <w:pPr>
        <w:spacing w:after="0" w:line="600" w:lineRule="auto"/>
        <w:rPr>
          <w:rFonts w:ascii="Times New Roman" w:eastAsia="Times New Roman" w:hAnsi="Times New Roman" w:cs="Times New Roman"/>
          <w:b/>
          <w:bCs/>
          <w:kern w:val="0"/>
          <w:sz w:val="24"/>
          <w:szCs w:val="24"/>
          <w:lang w:val="en-US"/>
          <w14:ligatures w14:val="none"/>
        </w:rPr>
      </w:pPr>
      <w:r w:rsidRPr="000A5633">
        <w:rPr>
          <w:rFonts w:ascii="Times New Roman" w:eastAsia="Times New Roman" w:hAnsi="Times New Roman" w:cs="Times New Roman"/>
          <w:b/>
          <w:bCs/>
          <w:kern w:val="0"/>
          <w:sz w:val="24"/>
          <w:szCs w:val="24"/>
          <w:lang w:val="en-US"/>
          <w14:ligatures w14:val="none"/>
        </w:rPr>
        <w:lastRenderedPageBreak/>
        <w:t>The title page:</w:t>
      </w:r>
    </w:p>
    <w:p w14:paraId="790B587B" w14:textId="77777777" w:rsidR="000A5633" w:rsidRPr="000A5633" w:rsidRDefault="000A5633" w:rsidP="000A5633">
      <w:pPr>
        <w:spacing w:after="0" w:line="600" w:lineRule="auto"/>
        <w:rPr>
          <w:rFonts w:ascii="Times New Roman" w:eastAsia="Times New Roman" w:hAnsi="Times New Roman" w:cs="Times New Roman"/>
          <w:kern w:val="0"/>
          <w:sz w:val="24"/>
          <w:szCs w:val="24"/>
          <w:lang w:val="en-US"/>
          <w14:ligatures w14:val="none"/>
        </w:rPr>
      </w:pPr>
      <w:r w:rsidRPr="000A5633">
        <w:rPr>
          <w:rFonts w:ascii="Times New Roman" w:eastAsia="Times New Roman" w:hAnsi="Times New Roman" w:cs="Times New Roman"/>
          <w:kern w:val="0"/>
          <w:sz w:val="24"/>
          <w:szCs w:val="24"/>
          <w:lang w:val="en-US"/>
          <w14:ligatures w14:val="none"/>
        </w:rPr>
        <w:t xml:space="preserve">CLAVIS| SCRIPTVRAE| S| </w:t>
      </w:r>
      <w:proofErr w:type="spellStart"/>
      <w:r w:rsidRPr="000A5633">
        <w:rPr>
          <w:rFonts w:ascii="Times New Roman" w:eastAsia="Times New Roman" w:hAnsi="Times New Roman" w:cs="Times New Roman"/>
          <w:kern w:val="0"/>
          <w:sz w:val="24"/>
          <w:szCs w:val="24"/>
          <w:lang w:val="en-US"/>
          <w14:ligatures w14:val="none"/>
        </w:rPr>
        <w:t>fue</w:t>
      </w:r>
      <w:proofErr w:type="spellEnd"/>
      <w:r w:rsidRPr="000A5633">
        <w:rPr>
          <w:rFonts w:ascii="Times New Roman" w:eastAsia="Times New Roman" w:hAnsi="Times New Roman" w:cs="Times New Roman"/>
          <w:kern w:val="0"/>
          <w:sz w:val="24"/>
          <w:szCs w:val="24"/>
          <w:lang w:val="en-US"/>
          <w14:ligatures w14:val="none"/>
        </w:rPr>
        <w:t xml:space="preserve"> de Sermone Sacrarum| literarum,| Autore MATTHIA FLACIO| ILLYRICO| PARS PRIMA:| IN QVA SINGVLARVM </w:t>
      </w:r>
      <w:proofErr w:type="spellStart"/>
      <w:r w:rsidRPr="000A5633">
        <w:rPr>
          <w:rFonts w:ascii="Times New Roman" w:eastAsia="Times New Roman" w:hAnsi="Times New Roman" w:cs="Times New Roman"/>
          <w:kern w:val="0"/>
          <w:sz w:val="24"/>
          <w:szCs w:val="24"/>
          <w:lang w:val="en-US"/>
          <w14:ligatures w14:val="none"/>
        </w:rPr>
        <w:t>ufus</w:t>
      </w:r>
      <w:proofErr w:type="spellEnd"/>
      <w:r w:rsidRPr="000A5633">
        <w:rPr>
          <w:rFonts w:ascii="Times New Roman" w:eastAsia="Times New Roman" w:hAnsi="Times New Roman" w:cs="Times New Roman"/>
          <w:kern w:val="0"/>
          <w:sz w:val="24"/>
          <w:szCs w:val="24"/>
          <w:lang w:val="en-US"/>
          <w14:ligatures w14:val="none"/>
        </w:rPr>
        <w:t xml:space="preserve"> ac ratio </w:t>
      </w:r>
      <w:proofErr w:type="spellStart"/>
      <w:r w:rsidRPr="000A5633">
        <w:rPr>
          <w:rFonts w:ascii="Times New Roman" w:eastAsia="Times New Roman" w:hAnsi="Times New Roman" w:cs="Times New Roman"/>
          <w:kern w:val="0"/>
          <w:sz w:val="24"/>
          <w:szCs w:val="24"/>
          <w:lang w:val="en-US"/>
          <w14:ligatures w14:val="none"/>
        </w:rPr>
        <w:t>Alphabe</w:t>
      </w:r>
      <w:proofErr w:type="spellEnd"/>
      <w:r w:rsidRPr="000A5633">
        <w:rPr>
          <w:rFonts w:ascii="Times New Roman" w:eastAsia="Times New Roman" w:hAnsi="Times New Roman" w:cs="Times New Roman"/>
          <w:kern w:val="0"/>
          <w:sz w:val="24"/>
          <w:szCs w:val="24"/>
          <w:lang w:val="en-US"/>
          <w14:ligatures w14:val="none"/>
        </w:rPr>
        <w:t xml:space="preserve">,| </w:t>
      </w:r>
      <w:proofErr w:type="spellStart"/>
      <w:r w:rsidRPr="000A5633">
        <w:rPr>
          <w:rFonts w:ascii="Times New Roman" w:eastAsia="Times New Roman" w:hAnsi="Times New Roman" w:cs="Times New Roman"/>
          <w:kern w:val="0"/>
          <w:sz w:val="24"/>
          <w:szCs w:val="24"/>
          <w:lang w:val="en-US"/>
          <w14:ligatures w14:val="none"/>
        </w:rPr>
        <w:t>tico</w:t>
      </w:r>
      <w:proofErr w:type="spellEnd"/>
      <w:r w:rsidRPr="000A5633">
        <w:rPr>
          <w:rFonts w:ascii="Times New Roman" w:eastAsia="Times New Roman" w:hAnsi="Times New Roman" w:cs="Times New Roman"/>
          <w:kern w:val="0"/>
          <w:sz w:val="24"/>
          <w:szCs w:val="24"/>
          <w:lang w:val="en-US"/>
          <w14:ligatures w14:val="none"/>
        </w:rPr>
        <w:t xml:space="preserve"> </w:t>
      </w:r>
      <w:proofErr w:type="spellStart"/>
      <w:r w:rsidRPr="000A5633">
        <w:rPr>
          <w:rFonts w:ascii="Times New Roman" w:eastAsia="Times New Roman" w:hAnsi="Times New Roman" w:cs="Times New Roman"/>
          <w:kern w:val="0"/>
          <w:sz w:val="24"/>
          <w:szCs w:val="24"/>
          <w:lang w:val="en-US"/>
          <w14:ligatures w14:val="none"/>
        </w:rPr>
        <w:t>ordine</w:t>
      </w:r>
      <w:proofErr w:type="spellEnd"/>
      <w:r w:rsidRPr="000A5633">
        <w:rPr>
          <w:rFonts w:ascii="Times New Roman" w:eastAsia="Times New Roman" w:hAnsi="Times New Roman" w:cs="Times New Roman"/>
          <w:kern w:val="0"/>
          <w:sz w:val="24"/>
          <w:szCs w:val="24"/>
          <w:lang w:val="en-US"/>
          <w14:ligatures w14:val="none"/>
        </w:rPr>
        <w:t xml:space="preserve"> </w:t>
      </w:r>
      <w:proofErr w:type="spellStart"/>
      <w:r w:rsidRPr="000A5633">
        <w:rPr>
          <w:rFonts w:ascii="Times New Roman" w:eastAsia="Times New Roman" w:hAnsi="Times New Roman" w:cs="Times New Roman"/>
          <w:kern w:val="0"/>
          <w:sz w:val="24"/>
          <w:szCs w:val="24"/>
          <w:lang w:val="en-US"/>
          <w14:ligatures w14:val="none"/>
        </w:rPr>
        <w:t>explicatur</w:t>
      </w:r>
      <w:proofErr w:type="spellEnd"/>
      <w:r w:rsidRPr="000A5633">
        <w:rPr>
          <w:rFonts w:ascii="Times New Roman" w:eastAsia="Times New Roman" w:hAnsi="Times New Roman" w:cs="Times New Roman"/>
          <w:kern w:val="0"/>
          <w:sz w:val="24"/>
          <w:szCs w:val="24"/>
          <w:lang w:val="en-US"/>
          <w14:ligatures w14:val="none"/>
        </w:rPr>
        <w:t xml:space="preserve">.| </w:t>
      </w:r>
      <w:r w:rsidRPr="000A5633">
        <w:rPr>
          <w:rFonts w:ascii="Times New Roman" w:eastAsia="Times New Roman" w:hAnsi="Times New Roman" w:cs="Times New Roman"/>
          <w:i/>
          <w:iCs/>
          <w:kern w:val="0"/>
          <w:sz w:val="24"/>
          <w:szCs w:val="24"/>
          <w:lang w:val="en-US"/>
          <w14:ligatures w14:val="none"/>
        </w:rPr>
        <w:t xml:space="preserve">O P V S,| &amp; </w:t>
      </w:r>
      <w:proofErr w:type="spellStart"/>
      <w:r w:rsidRPr="000A5633">
        <w:rPr>
          <w:rFonts w:ascii="Times New Roman" w:eastAsia="Times New Roman" w:hAnsi="Times New Roman" w:cs="Times New Roman"/>
          <w:i/>
          <w:iCs/>
          <w:kern w:val="0"/>
          <w:sz w:val="24"/>
          <w:szCs w:val="24"/>
          <w:lang w:val="en-US"/>
          <w14:ligatures w14:val="none"/>
        </w:rPr>
        <w:t>maximo</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annorum</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aliuot</w:t>
      </w:r>
      <w:proofErr w:type="spellEnd"/>
      <w:r w:rsidRPr="000A5633">
        <w:rPr>
          <w:rFonts w:ascii="Times New Roman" w:eastAsia="Times New Roman" w:hAnsi="Times New Roman" w:cs="Times New Roman"/>
          <w:i/>
          <w:iCs/>
          <w:kern w:val="0"/>
          <w:sz w:val="24"/>
          <w:szCs w:val="24"/>
          <w:lang w:val="en-US"/>
          <w14:ligatures w14:val="none"/>
        </w:rPr>
        <w:t xml:space="preserve"> labore ac </w:t>
      </w:r>
      <w:proofErr w:type="spellStart"/>
      <w:r w:rsidRPr="000A5633">
        <w:rPr>
          <w:rFonts w:ascii="Times New Roman" w:eastAsia="Times New Roman" w:hAnsi="Times New Roman" w:cs="Times New Roman"/>
          <w:i/>
          <w:iCs/>
          <w:kern w:val="0"/>
          <w:sz w:val="24"/>
          <w:szCs w:val="24"/>
          <w:lang w:val="en-US"/>
          <w14:ligatures w14:val="none"/>
        </w:rPr>
        <w:t>fludio</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multisg</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uigilys</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atg</w:t>
      </w:r>
      <w:proofErr w:type="spellEnd"/>
      <w:r w:rsidRPr="000A5633">
        <w:rPr>
          <w:rFonts w:ascii="Times New Roman" w:eastAsia="Times New Roman" w:hAnsi="Times New Roman" w:cs="Times New Roman"/>
          <w:i/>
          <w:iCs/>
          <w:kern w:val="0"/>
          <w:sz w:val="24"/>
          <w:szCs w:val="24"/>
          <w:lang w:val="en-US"/>
          <w14:ligatures w14:val="none"/>
        </w:rPr>
        <w:t xml:space="preserve">,| fide </w:t>
      </w:r>
      <w:proofErr w:type="spellStart"/>
      <w:r w:rsidRPr="000A5633">
        <w:rPr>
          <w:rFonts w:ascii="Times New Roman" w:eastAsia="Times New Roman" w:hAnsi="Times New Roman" w:cs="Times New Roman"/>
          <w:i/>
          <w:iCs/>
          <w:kern w:val="0"/>
          <w:sz w:val="24"/>
          <w:szCs w:val="24"/>
          <w:lang w:val="en-US"/>
          <w14:ligatures w14:val="none"/>
        </w:rPr>
        <w:t>fingulari</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confectum</w:t>
      </w:r>
      <w:proofErr w:type="spellEnd"/>
      <w:r w:rsidRPr="000A5633">
        <w:rPr>
          <w:rFonts w:ascii="Times New Roman" w:eastAsia="Times New Roman" w:hAnsi="Times New Roman" w:cs="Times New Roman"/>
          <w:i/>
          <w:iCs/>
          <w:kern w:val="0"/>
          <w:sz w:val="24"/>
          <w:szCs w:val="24"/>
          <w:lang w:val="en-US"/>
          <w14:ligatures w14:val="none"/>
        </w:rPr>
        <w:t xml:space="preserve">:| &amp; </w:t>
      </w:r>
      <w:proofErr w:type="spellStart"/>
      <w:r w:rsidRPr="000A5633">
        <w:rPr>
          <w:rFonts w:ascii="Times New Roman" w:eastAsia="Times New Roman" w:hAnsi="Times New Roman" w:cs="Times New Roman"/>
          <w:i/>
          <w:iCs/>
          <w:kern w:val="0"/>
          <w:sz w:val="24"/>
          <w:szCs w:val="24"/>
          <w:lang w:val="en-US"/>
          <w14:ligatures w14:val="none"/>
        </w:rPr>
        <w:t>maximam</w:t>
      </w:r>
      <w:proofErr w:type="spellEnd"/>
      <w:r w:rsidRPr="000A5633">
        <w:rPr>
          <w:rFonts w:ascii="Times New Roman" w:eastAsia="Times New Roman" w:hAnsi="Times New Roman" w:cs="Times New Roman"/>
          <w:i/>
          <w:iCs/>
          <w:kern w:val="0"/>
          <w:sz w:val="24"/>
          <w:szCs w:val="24"/>
          <w:lang w:val="en-US"/>
          <w14:ligatures w14:val="none"/>
        </w:rPr>
        <w:t xml:space="preserve"> quog,| S.| </w:t>
      </w:r>
      <w:proofErr w:type="spellStart"/>
      <w:r w:rsidRPr="000A5633">
        <w:rPr>
          <w:rFonts w:ascii="Times New Roman" w:eastAsia="Times New Roman" w:hAnsi="Times New Roman" w:cs="Times New Roman"/>
          <w:i/>
          <w:iCs/>
          <w:kern w:val="0"/>
          <w:sz w:val="24"/>
          <w:szCs w:val="24"/>
          <w:lang w:val="en-US"/>
          <w14:ligatures w14:val="none"/>
        </w:rPr>
        <w:t>Theologia</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fludiofis</w:t>
      </w:r>
      <w:proofErr w:type="spellEnd"/>
      <w:r w:rsidRPr="000A5633">
        <w:rPr>
          <w:rFonts w:ascii="Times New Roman" w:eastAsia="Times New Roman" w:hAnsi="Times New Roman" w:cs="Times New Roman"/>
          <w:i/>
          <w:iCs/>
          <w:kern w:val="0"/>
          <w:sz w:val="24"/>
          <w:szCs w:val="24"/>
          <w:lang w:val="en-US"/>
          <w14:ligatures w14:val="none"/>
        </w:rPr>
        <w:t xml:space="preserve"> commo,| </w:t>
      </w:r>
      <w:proofErr w:type="spellStart"/>
      <w:r w:rsidRPr="000A5633">
        <w:rPr>
          <w:rFonts w:ascii="Times New Roman" w:eastAsia="Times New Roman" w:hAnsi="Times New Roman" w:cs="Times New Roman"/>
          <w:i/>
          <w:iCs/>
          <w:kern w:val="0"/>
          <w:sz w:val="24"/>
          <w:szCs w:val="24"/>
          <w:lang w:val="en-US"/>
          <w14:ligatures w14:val="none"/>
        </w:rPr>
        <w:t>ditatem</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quicung</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candide</w:t>
      </w:r>
      <w:proofErr w:type="spellEnd"/>
      <w:r w:rsidRPr="000A5633">
        <w:rPr>
          <w:rFonts w:ascii="Times New Roman" w:eastAsia="Times New Roman" w:hAnsi="Times New Roman" w:cs="Times New Roman"/>
          <w:i/>
          <w:iCs/>
          <w:kern w:val="0"/>
          <w:sz w:val="24"/>
          <w:szCs w:val="24"/>
          <w:lang w:val="en-US"/>
          <w14:ligatures w14:val="none"/>
        </w:rPr>
        <w:t xml:space="preserve"> ac </w:t>
      </w:r>
      <w:proofErr w:type="spellStart"/>
      <w:r w:rsidRPr="000A5633">
        <w:rPr>
          <w:rFonts w:ascii="Times New Roman" w:eastAsia="Times New Roman" w:hAnsi="Times New Roman" w:cs="Times New Roman"/>
          <w:i/>
          <w:iCs/>
          <w:kern w:val="0"/>
          <w:sz w:val="24"/>
          <w:szCs w:val="24"/>
          <w:lang w:val="en-US"/>
          <w14:ligatures w14:val="none"/>
        </w:rPr>
        <w:t>dextre</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utieodem</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uoluerint</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allaturum</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ut</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fimi</w:t>
      </w:r>
      <w:proofErr w:type="spellEnd"/>
      <w:r w:rsidRPr="000A5633">
        <w:rPr>
          <w:rFonts w:ascii="Times New Roman" w:eastAsia="Times New Roman" w:hAnsi="Times New Roman" w:cs="Times New Roman"/>
          <w:i/>
          <w:iCs/>
          <w:kern w:val="0"/>
          <w:sz w:val="24"/>
          <w:szCs w:val="24"/>
          <w:lang w:val="en-US"/>
          <w14:ligatures w14:val="none"/>
        </w:rPr>
        <w:t xml:space="preserve">| le,| in hoc </w:t>
      </w:r>
      <w:proofErr w:type="spellStart"/>
      <w:r w:rsidRPr="000A5633">
        <w:rPr>
          <w:rFonts w:ascii="Times New Roman" w:eastAsia="Times New Roman" w:hAnsi="Times New Roman" w:cs="Times New Roman"/>
          <w:i/>
          <w:iCs/>
          <w:kern w:val="0"/>
          <w:sz w:val="24"/>
          <w:szCs w:val="24"/>
          <w:lang w:val="en-US"/>
          <w14:ligatures w14:val="none"/>
        </w:rPr>
        <w:t>quidem</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argumenti</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genere</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nullum</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unquam</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effe</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editum</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reipfafacilefint</w:t>
      </w:r>
      <w:proofErr w:type="spellEnd"/>
      <w:r w:rsidRPr="000A5633">
        <w:rPr>
          <w:rFonts w:ascii="Times New Roman" w:eastAsia="Times New Roman" w:hAnsi="Times New Roman" w:cs="Times New Roman"/>
          <w:i/>
          <w:iCs/>
          <w:kern w:val="0"/>
          <w:sz w:val="24"/>
          <w:szCs w:val="24"/>
          <w:lang w:val="en-US"/>
          <w14:ligatures w14:val="none"/>
        </w:rPr>
        <w:t xml:space="preserve"> </w:t>
      </w:r>
      <w:proofErr w:type="spellStart"/>
      <w:r w:rsidRPr="000A5633">
        <w:rPr>
          <w:rFonts w:ascii="Times New Roman" w:eastAsia="Times New Roman" w:hAnsi="Times New Roman" w:cs="Times New Roman"/>
          <w:i/>
          <w:iCs/>
          <w:kern w:val="0"/>
          <w:sz w:val="24"/>
          <w:szCs w:val="24"/>
          <w:lang w:val="en-US"/>
          <w14:ligatures w14:val="none"/>
        </w:rPr>
        <w:t>deprehenfuri</w:t>
      </w:r>
      <w:proofErr w:type="spellEnd"/>
      <w:r w:rsidRPr="000A5633">
        <w:rPr>
          <w:rFonts w:ascii="Times New Roman" w:eastAsia="Times New Roman" w:hAnsi="Times New Roman" w:cs="Times New Roman"/>
          <w:i/>
          <w:iCs/>
          <w:kern w:val="0"/>
          <w:sz w:val="24"/>
          <w:szCs w:val="24"/>
          <w:lang w:val="en-US"/>
          <w14:ligatures w14:val="none"/>
        </w:rPr>
        <w:t>.|</w:t>
      </w:r>
      <w:r w:rsidRPr="000A5633">
        <w:rPr>
          <w:rFonts w:ascii="Times New Roman" w:eastAsia="Times New Roman" w:hAnsi="Times New Roman" w:cs="Times New Roman"/>
          <w:kern w:val="0"/>
          <w:sz w:val="24"/>
          <w:szCs w:val="24"/>
          <w:lang w:val="en-US"/>
          <w14:ligatures w14:val="none"/>
        </w:rPr>
        <w:t xml:space="preserve"> </w:t>
      </w:r>
      <w:proofErr w:type="spellStart"/>
      <w:r w:rsidRPr="000A5633">
        <w:rPr>
          <w:rFonts w:ascii="Times New Roman" w:eastAsia="Times New Roman" w:hAnsi="Times New Roman" w:cs="Times New Roman"/>
          <w:kern w:val="0"/>
          <w:sz w:val="24"/>
          <w:szCs w:val="24"/>
          <w:lang w:val="en-US"/>
          <w14:ligatures w14:val="none"/>
        </w:rPr>
        <w:t>Accefsit</w:t>
      </w:r>
      <w:proofErr w:type="spellEnd"/>
      <w:r w:rsidRPr="000A5633">
        <w:rPr>
          <w:rFonts w:ascii="Times New Roman" w:eastAsia="Times New Roman" w:hAnsi="Times New Roman" w:cs="Times New Roman"/>
          <w:kern w:val="0"/>
          <w:sz w:val="24"/>
          <w:szCs w:val="24"/>
          <w:lang w:val="en-US"/>
          <w14:ligatures w14:val="none"/>
        </w:rPr>
        <w:t xml:space="preserve"> </w:t>
      </w:r>
      <w:proofErr w:type="spellStart"/>
      <w:r w:rsidRPr="000A5633">
        <w:rPr>
          <w:rFonts w:ascii="Times New Roman" w:eastAsia="Times New Roman" w:hAnsi="Times New Roman" w:cs="Times New Roman"/>
          <w:kern w:val="0"/>
          <w:sz w:val="24"/>
          <w:szCs w:val="24"/>
          <w:lang w:val="en-US"/>
          <w14:ligatures w14:val="none"/>
        </w:rPr>
        <w:t>Vocuin</w:t>
      </w:r>
      <w:proofErr w:type="spellEnd"/>
      <w:r w:rsidRPr="000A5633">
        <w:rPr>
          <w:rFonts w:ascii="Times New Roman" w:eastAsia="Times New Roman" w:hAnsi="Times New Roman" w:cs="Times New Roman"/>
          <w:kern w:val="0"/>
          <w:sz w:val="24"/>
          <w:szCs w:val="24"/>
          <w:lang w:val="en-US"/>
          <w14:ligatures w14:val="none"/>
        </w:rPr>
        <w:t xml:space="preserve"> ac </w:t>
      </w:r>
      <w:proofErr w:type="spellStart"/>
      <w:r w:rsidRPr="000A5633">
        <w:rPr>
          <w:rFonts w:ascii="Times New Roman" w:eastAsia="Times New Roman" w:hAnsi="Times New Roman" w:cs="Times New Roman"/>
          <w:kern w:val="0"/>
          <w:sz w:val="24"/>
          <w:szCs w:val="24"/>
          <w:lang w:val="en-US"/>
          <w14:ligatures w14:val="none"/>
        </w:rPr>
        <w:t>phrafium</w:t>
      </w:r>
      <w:proofErr w:type="spellEnd"/>
      <w:r w:rsidRPr="000A5633">
        <w:rPr>
          <w:rFonts w:ascii="Times New Roman" w:eastAsia="Times New Roman" w:hAnsi="Times New Roman" w:cs="Times New Roman"/>
          <w:kern w:val="0"/>
          <w:sz w:val="24"/>
          <w:szCs w:val="24"/>
          <w:lang w:val="en-US"/>
          <w14:ligatures w14:val="none"/>
        </w:rPr>
        <w:t xml:space="preserve">,| item </w:t>
      </w:r>
      <w:proofErr w:type="spellStart"/>
      <w:r w:rsidRPr="000A5633">
        <w:rPr>
          <w:rFonts w:ascii="Times New Roman" w:eastAsia="Times New Roman" w:hAnsi="Times New Roman" w:cs="Times New Roman"/>
          <w:kern w:val="0"/>
          <w:sz w:val="24"/>
          <w:szCs w:val="24"/>
          <w:lang w:val="en-US"/>
          <w14:ligatures w14:val="none"/>
        </w:rPr>
        <w:t>Locorum</w:t>
      </w:r>
      <w:proofErr w:type="spellEnd"/>
      <w:r w:rsidRPr="000A5633">
        <w:rPr>
          <w:rFonts w:ascii="Times New Roman" w:eastAsia="Times New Roman" w:hAnsi="Times New Roman" w:cs="Times New Roman"/>
          <w:kern w:val="0"/>
          <w:sz w:val="24"/>
          <w:szCs w:val="24"/>
          <w:lang w:val="en-US"/>
          <w14:ligatures w14:val="none"/>
        </w:rPr>
        <w:t xml:space="preserve"> S. </w:t>
      </w:r>
      <w:proofErr w:type="spellStart"/>
      <w:r w:rsidRPr="000A5633">
        <w:rPr>
          <w:rFonts w:ascii="Times New Roman" w:eastAsia="Times New Roman" w:hAnsi="Times New Roman" w:cs="Times New Roman"/>
          <w:kern w:val="0"/>
          <w:sz w:val="24"/>
          <w:szCs w:val="24"/>
          <w:lang w:val="en-US"/>
          <w14:ligatures w14:val="none"/>
        </w:rPr>
        <w:t>Scripturae</w:t>
      </w:r>
      <w:proofErr w:type="spellEnd"/>
      <w:r w:rsidRPr="000A5633">
        <w:rPr>
          <w:rFonts w:ascii="Times New Roman" w:eastAsia="Times New Roman" w:hAnsi="Times New Roman" w:cs="Times New Roman"/>
          <w:kern w:val="0"/>
          <w:sz w:val="24"/>
          <w:szCs w:val="24"/>
          <w:lang w:val="en-US"/>
          <w14:ligatures w14:val="none"/>
        </w:rPr>
        <w:t xml:space="preserve"> obiter </w:t>
      </w:r>
      <w:proofErr w:type="spellStart"/>
      <w:r w:rsidRPr="000A5633">
        <w:rPr>
          <w:rFonts w:ascii="Times New Roman" w:eastAsia="Times New Roman" w:hAnsi="Times New Roman" w:cs="Times New Roman"/>
          <w:kern w:val="0"/>
          <w:sz w:val="24"/>
          <w:szCs w:val="24"/>
          <w:lang w:val="en-US"/>
          <w14:ligatures w14:val="none"/>
        </w:rPr>
        <w:t>explicatorum</w:t>
      </w:r>
      <w:proofErr w:type="spellEnd"/>
      <w:r w:rsidRPr="000A5633">
        <w:rPr>
          <w:rFonts w:ascii="Times New Roman" w:eastAsia="Times New Roman" w:hAnsi="Times New Roman" w:cs="Times New Roman"/>
          <w:kern w:val="0"/>
          <w:sz w:val="24"/>
          <w:szCs w:val="24"/>
          <w:lang w:val="en-US"/>
          <w14:ligatures w14:val="none"/>
        </w:rPr>
        <w:t xml:space="preserve">,| </w:t>
      </w:r>
      <w:proofErr w:type="spellStart"/>
      <w:r w:rsidRPr="000A5633">
        <w:rPr>
          <w:rFonts w:ascii="Times New Roman" w:eastAsia="Times New Roman" w:hAnsi="Times New Roman" w:cs="Times New Roman"/>
          <w:kern w:val="0"/>
          <w:sz w:val="24"/>
          <w:szCs w:val="24"/>
          <w:lang w:val="en-US"/>
          <w14:ligatures w14:val="none"/>
        </w:rPr>
        <w:t>deniq</w:t>
      </w:r>
      <w:proofErr w:type="spellEnd"/>
      <w:r w:rsidRPr="000A5633">
        <w:rPr>
          <w:rFonts w:ascii="Times New Roman" w:eastAsia="Times New Roman" w:hAnsi="Times New Roman" w:cs="Times New Roman"/>
          <w:kern w:val="0"/>
          <w:sz w:val="24"/>
          <w:szCs w:val="24"/>
          <w:lang w:val="en-US"/>
          <w14:ligatures w14:val="none"/>
        </w:rPr>
        <w:t xml:space="preserve">;| Rerum, &amp;c.| Trigeminus| I N D E X.| </w:t>
      </w:r>
      <w:bookmarkStart w:id="0" w:name="_Hlk157629314"/>
      <w:r w:rsidRPr="000A5633">
        <w:rPr>
          <w:rFonts w:ascii="Times New Roman" w:eastAsia="Times New Roman" w:hAnsi="Times New Roman" w:cs="Times New Roman"/>
          <w:kern w:val="0"/>
          <w:sz w:val="24"/>
          <w:szCs w:val="24"/>
          <w:lang w:val="en-US"/>
          <w14:ligatures w14:val="none"/>
        </w:rPr>
        <w:t>BASILE AE,| PER IO ANNE M OPORI,| NVM,| &amp; EVSEBIVM EPISCOPIVM.</w:t>
      </w:r>
      <w:bookmarkEnd w:id="0"/>
      <w:r w:rsidRPr="000A5633">
        <w:rPr>
          <w:rFonts w:ascii="Times New Roman" w:eastAsia="Times New Roman" w:hAnsi="Times New Roman" w:cs="Times New Roman"/>
          <w:kern w:val="0"/>
          <w:sz w:val="24"/>
          <w:szCs w:val="24"/>
          <w:lang w:val="en-US"/>
          <w14:ligatures w14:val="none"/>
        </w:rPr>
        <w:t xml:space="preserve">| Printed by Per </w:t>
      </w:r>
      <w:proofErr w:type="spellStart"/>
      <w:r w:rsidRPr="000A5633">
        <w:rPr>
          <w:rFonts w:ascii="Times New Roman" w:eastAsia="Times New Roman" w:hAnsi="Times New Roman" w:cs="Times New Roman"/>
          <w:kern w:val="0"/>
          <w:sz w:val="24"/>
          <w:szCs w:val="24"/>
          <w:lang w:val="en-US"/>
          <w14:ligatures w14:val="none"/>
        </w:rPr>
        <w:t>Loannem</w:t>
      </w:r>
      <w:proofErr w:type="spellEnd"/>
      <w:r w:rsidRPr="000A5633">
        <w:rPr>
          <w:rFonts w:ascii="Times New Roman" w:eastAsia="Times New Roman" w:hAnsi="Times New Roman" w:cs="Times New Roman"/>
          <w:kern w:val="0"/>
          <w:sz w:val="24"/>
          <w:szCs w:val="24"/>
          <w:lang w:val="en-US"/>
          <w14:ligatures w14:val="none"/>
        </w:rPr>
        <w:t xml:space="preserve"> </w:t>
      </w:r>
      <w:proofErr w:type="spellStart"/>
      <w:r w:rsidRPr="000A5633">
        <w:rPr>
          <w:rFonts w:ascii="Times New Roman" w:eastAsia="Times New Roman" w:hAnsi="Times New Roman" w:cs="Times New Roman"/>
          <w:kern w:val="0"/>
          <w:sz w:val="24"/>
          <w:szCs w:val="24"/>
          <w:lang w:val="en-US"/>
          <w14:ligatures w14:val="none"/>
        </w:rPr>
        <w:t>Oporiaum</w:t>
      </w:r>
      <w:proofErr w:type="spellEnd"/>
      <w:r w:rsidRPr="000A5633">
        <w:rPr>
          <w:rFonts w:ascii="Times New Roman" w:eastAsia="Times New Roman" w:hAnsi="Times New Roman" w:cs="Times New Roman"/>
          <w:kern w:val="0"/>
          <w:sz w:val="24"/>
          <w:szCs w:val="24"/>
          <w:lang w:val="en-US"/>
          <w14:ligatures w14:val="none"/>
        </w:rPr>
        <w:t xml:space="preserve">| and| </w:t>
      </w:r>
      <w:proofErr w:type="spellStart"/>
      <w:r w:rsidRPr="000A5633">
        <w:rPr>
          <w:rFonts w:ascii="Times New Roman" w:eastAsia="Times New Roman" w:hAnsi="Times New Roman" w:cs="Times New Roman"/>
          <w:kern w:val="0"/>
          <w:sz w:val="24"/>
          <w:szCs w:val="24"/>
          <w:lang w:val="en-US"/>
          <w14:ligatures w14:val="none"/>
        </w:rPr>
        <w:t>Eusebium</w:t>
      </w:r>
      <w:proofErr w:type="spellEnd"/>
      <w:r w:rsidRPr="000A5633">
        <w:rPr>
          <w:rFonts w:ascii="Times New Roman" w:eastAsia="Times New Roman" w:hAnsi="Times New Roman" w:cs="Times New Roman"/>
          <w:kern w:val="0"/>
          <w:sz w:val="24"/>
          <w:szCs w:val="24"/>
          <w:lang w:val="en-US"/>
          <w14:ligatures w14:val="none"/>
        </w:rPr>
        <w:t xml:space="preserve"> </w:t>
      </w:r>
      <w:proofErr w:type="spellStart"/>
      <w:r w:rsidRPr="000A5633">
        <w:rPr>
          <w:rFonts w:ascii="Times New Roman" w:eastAsia="Times New Roman" w:hAnsi="Times New Roman" w:cs="Times New Roman"/>
          <w:kern w:val="0"/>
          <w:sz w:val="24"/>
          <w:szCs w:val="24"/>
          <w:lang w:val="en-US"/>
          <w14:ligatures w14:val="none"/>
        </w:rPr>
        <w:t>Episcopium</w:t>
      </w:r>
      <w:proofErr w:type="spellEnd"/>
      <w:r w:rsidRPr="000A5633">
        <w:rPr>
          <w:rFonts w:ascii="Times New Roman" w:eastAsia="Times New Roman" w:hAnsi="Times New Roman" w:cs="Times New Roman"/>
          <w:kern w:val="0"/>
          <w:sz w:val="24"/>
          <w:szCs w:val="24"/>
          <w:lang w:val="en-US"/>
          <w14:ligatures w14:val="none"/>
        </w:rPr>
        <w:t>,| in 1567</w:t>
      </w:r>
    </w:p>
    <w:p w14:paraId="434E6457" w14:textId="77777777" w:rsidR="000A5633" w:rsidRPr="000A5633" w:rsidRDefault="000A5633" w:rsidP="000A5633">
      <w:pPr>
        <w:spacing w:after="0" w:line="600" w:lineRule="auto"/>
        <w:rPr>
          <w:rFonts w:ascii="Times New Roman" w:eastAsia="Times New Roman" w:hAnsi="Times New Roman" w:cs="Times New Roman"/>
          <w:b/>
          <w:bCs/>
          <w:kern w:val="0"/>
          <w:sz w:val="24"/>
          <w:szCs w:val="24"/>
          <w:lang w:val="en-US"/>
          <w14:ligatures w14:val="none"/>
        </w:rPr>
      </w:pPr>
      <w:r w:rsidRPr="000A5633">
        <w:rPr>
          <w:rFonts w:ascii="Times New Roman" w:eastAsia="Times New Roman" w:hAnsi="Times New Roman" w:cs="Times New Roman"/>
          <w:b/>
          <w:bCs/>
          <w:kern w:val="0"/>
          <w:sz w:val="24"/>
          <w:szCs w:val="24"/>
          <w:lang w:val="en-US"/>
          <w14:ligatures w14:val="none"/>
        </w:rPr>
        <w:t xml:space="preserve">The colophon: </w:t>
      </w:r>
    </w:p>
    <w:p w14:paraId="316C289C" w14:textId="023D5CC0" w:rsidR="000A5633" w:rsidRPr="000A5633" w:rsidRDefault="000A5633" w:rsidP="000A5633">
      <w:pPr>
        <w:spacing w:after="0" w:line="600" w:lineRule="auto"/>
        <w:rPr>
          <w:rFonts w:ascii="Times New Roman" w:eastAsia="Times New Roman" w:hAnsi="Times New Roman" w:cs="Times New Roman"/>
          <w:kern w:val="0"/>
          <w:sz w:val="24"/>
          <w:szCs w:val="24"/>
          <w:lang w:val="en-US"/>
          <w14:ligatures w14:val="none"/>
        </w:rPr>
      </w:pPr>
      <w:r w:rsidRPr="000A5633">
        <w:rPr>
          <w:rFonts w:ascii="Times New Roman" w:eastAsia="Times New Roman" w:hAnsi="Times New Roman" w:cs="Times New Roman"/>
          <w:kern w:val="0"/>
          <w:sz w:val="24"/>
          <w:szCs w:val="24"/>
          <w:lang w:val="en-US"/>
          <w14:ligatures w14:val="none"/>
        </w:rPr>
        <w:t xml:space="preserve">BASILE </w:t>
      </w:r>
      <w:r w:rsidR="003B2667" w:rsidRPr="000A5633">
        <w:rPr>
          <w:rFonts w:ascii="Times New Roman" w:eastAsia="Times New Roman" w:hAnsi="Times New Roman" w:cs="Times New Roman"/>
          <w:kern w:val="0"/>
          <w:sz w:val="24"/>
          <w:szCs w:val="24"/>
          <w:lang w:val="en-US"/>
          <w14:ligatures w14:val="none"/>
        </w:rPr>
        <w:t>AE, |</w:t>
      </w:r>
      <w:r w:rsidRPr="000A5633">
        <w:rPr>
          <w:rFonts w:ascii="Times New Roman" w:eastAsia="Times New Roman" w:hAnsi="Times New Roman" w:cs="Times New Roman"/>
          <w:kern w:val="0"/>
          <w:sz w:val="24"/>
          <w:szCs w:val="24"/>
          <w:lang w:val="en-US"/>
          <w14:ligatures w14:val="none"/>
        </w:rPr>
        <w:t xml:space="preserve"> PER IO ANNE M </w:t>
      </w:r>
      <w:proofErr w:type="gramStart"/>
      <w:r w:rsidRPr="000A5633">
        <w:rPr>
          <w:rFonts w:ascii="Times New Roman" w:eastAsia="Times New Roman" w:hAnsi="Times New Roman" w:cs="Times New Roman"/>
          <w:kern w:val="0"/>
          <w:sz w:val="24"/>
          <w:szCs w:val="24"/>
          <w:lang w:val="en-US"/>
          <w14:ligatures w14:val="none"/>
        </w:rPr>
        <w:t>OPORI,|</w:t>
      </w:r>
      <w:proofErr w:type="gramEnd"/>
      <w:r w:rsidRPr="000A5633">
        <w:rPr>
          <w:rFonts w:ascii="Times New Roman" w:eastAsia="Times New Roman" w:hAnsi="Times New Roman" w:cs="Times New Roman"/>
          <w:kern w:val="0"/>
          <w:sz w:val="24"/>
          <w:szCs w:val="24"/>
          <w:lang w:val="en-US"/>
          <w14:ligatures w14:val="none"/>
        </w:rPr>
        <w:t xml:space="preserve"> NVM,| &amp; EVSEBIVM EPISCOPIVM.</w:t>
      </w:r>
    </w:p>
    <w:p w14:paraId="1D5EBBB2" w14:textId="77777777" w:rsidR="000A5633" w:rsidRPr="000A5633" w:rsidRDefault="000A5633" w:rsidP="000A5633">
      <w:pPr>
        <w:spacing w:after="0" w:line="600" w:lineRule="auto"/>
        <w:rPr>
          <w:rFonts w:ascii="Times New Roman" w:eastAsia="Times New Roman" w:hAnsi="Times New Roman" w:cs="Times New Roman"/>
          <w:b/>
          <w:bCs/>
          <w:kern w:val="0"/>
          <w:sz w:val="24"/>
          <w:szCs w:val="24"/>
          <w:lang w:val="en-US"/>
          <w14:ligatures w14:val="none"/>
        </w:rPr>
      </w:pPr>
      <w:r w:rsidRPr="000A5633">
        <w:rPr>
          <w:rFonts w:ascii="Times New Roman" w:eastAsia="Times New Roman" w:hAnsi="Times New Roman" w:cs="Times New Roman"/>
          <w:b/>
          <w:bCs/>
          <w:kern w:val="0"/>
          <w:sz w:val="24"/>
          <w:szCs w:val="24"/>
          <w:lang w:val="en-US"/>
          <w14:ligatures w14:val="none"/>
        </w:rPr>
        <w:t xml:space="preserve">The format: </w:t>
      </w:r>
    </w:p>
    <w:p w14:paraId="56535908" w14:textId="27ADEBD8" w:rsidR="000A5633" w:rsidRPr="000A5633" w:rsidRDefault="000A5633" w:rsidP="000A5633">
      <w:pPr>
        <w:spacing w:after="0" w:line="600" w:lineRule="auto"/>
        <w:rPr>
          <w:rFonts w:ascii="Times New Roman" w:eastAsia="Times New Roman" w:hAnsi="Times New Roman" w:cs="Times New Roman"/>
          <w:kern w:val="0"/>
          <w:sz w:val="24"/>
          <w:szCs w:val="24"/>
          <w:lang w:val="en-US"/>
          <w14:ligatures w14:val="none"/>
        </w:rPr>
      </w:pPr>
      <w:r w:rsidRPr="000A5633">
        <w:rPr>
          <w:rFonts w:ascii="Times New Roman" w:eastAsia="Times New Roman" w:hAnsi="Times New Roman" w:cs="Times New Roman"/>
          <w:kern w:val="0"/>
          <w:sz w:val="24"/>
          <w:szCs w:val="24"/>
          <w:lang w:val="en-US"/>
          <w14:ligatures w14:val="none"/>
        </w:rPr>
        <w:t xml:space="preserve">The book Clavis Scriptvrae S. feu de Sermone Sacrarum literarum, </w:t>
      </w:r>
      <w:proofErr w:type="gramStart"/>
      <w:r w:rsidRPr="000A5633">
        <w:rPr>
          <w:rFonts w:ascii="Times New Roman" w:eastAsia="Times New Roman" w:hAnsi="Times New Roman" w:cs="Times New Roman"/>
          <w:kern w:val="0"/>
          <w:sz w:val="24"/>
          <w:szCs w:val="24"/>
          <w:lang w:val="en-US"/>
          <w14:ligatures w14:val="none"/>
        </w:rPr>
        <w:t>was printed</w:t>
      </w:r>
      <w:proofErr w:type="gramEnd"/>
      <w:r w:rsidRPr="000A5633">
        <w:rPr>
          <w:rFonts w:ascii="Times New Roman" w:eastAsia="Times New Roman" w:hAnsi="Times New Roman" w:cs="Times New Roman"/>
          <w:kern w:val="0"/>
          <w:sz w:val="24"/>
          <w:szCs w:val="24"/>
          <w:lang w:val="en-US"/>
          <w14:ligatures w14:val="none"/>
        </w:rPr>
        <w:t xml:space="preserve"> in a Folio format. This format consists of pages of four gatherings, with two blank </w:t>
      </w:r>
      <w:r w:rsidR="00141D72">
        <w:rPr>
          <w:rFonts w:ascii="Times New Roman" w:eastAsia="Times New Roman" w:hAnsi="Times New Roman" w:cs="Times New Roman"/>
          <w:kern w:val="0"/>
          <w:sz w:val="24"/>
          <w:szCs w:val="24"/>
          <w:lang w:val="en-US"/>
          <w14:ligatures w14:val="none"/>
        </w:rPr>
        <w:t>pages</w:t>
      </w:r>
      <w:r w:rsidRPr="000A5633">
        <w:rPr>
          <w:rFonts w:ascii="Times New Roman" w:eastAsia="Times New Roman" w:hAnsi="Times New Roman" w:cs="Times New Roman"/>
          <w:kern w:val="0"/>
          <w:sz w:val="24"/>
          <w:szCs w:val="24"/>
          <w:lang w:val="en-US"/>
          <w14:ligatures w14:val="none"/>
        </w:rPr>
        <w:t xml:space="preserve"> which makes up a total gathering of six pages. </w:t>
      </w:r>
    </w:p>
    <w:p w14:paraId="568B58AE" w14:textId="77777777" w:rsidR="000A5633" w:rsidRPr="000A5633" w:rsidRDefault="000A5633" w:rsidP="000A5633">
      <w:pPr>
        <w:spacing w:after="0" w:line="600" w:lineRule="auto"/>
        <w:rPr>
          <w:rFonts w:ascii="Times New Roman" w:eastAsia="Times New Roman" w:hAnsi="Times New Roman" w:cs="Times New Roman"/>
          <w:b/>
          <w:bCs/>
          <w:kern w:val="0"/>
          <w:sz w:val="24"/>
          <w:szCs w:val="24"/>
          <w:lang w:val="en-US"/>
          <w14:ligatures w14:val="none"/>
        </w:rPr>
      </w:pPr>
      <w:r w:rsidRPr="000A5633">
        <w:rPr>
          <w:rFonts w:ascii="Times New Roman" w:eastAsia="Times New Roman" w:hAnsi="Times New Roman" w:cs="Times New Roman"/>
          <w:b/>
          <w:bCs/>
          <w:kern w:val="0"/>
          <w:sz w:val="24"/>
          <w:szCs w:val="24"/>
          <w:lang w:val="en-US"/>
          <w14:ligatures w14:val="none"/>
        </w:rPr>
        <w:t>The collation or registration:</w:t>
      </w:r>
    </w:p>
    <w:p w14:paraId="3AD5DDB5" w14:textId="77777777" w:rsidR="000A5633" w:rsidRPr="000A5633" w:rsidRDefault="000A5633" w:rsidP="000A5633">
      <w:pPr>
        <w:spacing w:after="0" w:line="600" w:lineRule="auto"/>
        <w:rPr>
          <w:rFonts w:ascii="Times New Roman" w:eastAsia="Times New Roman" w:hAnsi="Times New Roman" w:cs="Times New Roman"/>
          <w:kern w:val="0"/>
          <w:sz w:val="24"/>
          <w:szCs w:val="24"/>
          <w:lang w:val="en-US"/>
          <w14:ligatures w14:val="none"/>
        </w:rPr>
      </w:pPr>
      <w:r w:rsidRPr="000A5633">
        <w:rPr>
          <w:rFonts w:ascii="Times New Roman" w:eastAsia="Times New Roman" w:hAnsi="Times New Roman" w:cs="Times New Roman"/>
          <w:kern w:val="0"/>
          <w:sz w:val="24"/>
          <w:szCs w:val="24"/>
          <w:lang w:val="en-US"/>
          <w14:ligatures w14:val="none"/>
        </w:rPr>
        <w:t xml:space="preserve">The sequence for this collation can </w:t>
      </w:r>
      <w:proofErr w:type="gramStart"/>
      <w:r w:rsidRPr="000A5633">
        <w:rPr>
          <w:rFonts w:ascii="Times New Roman" w:eastAsia="Times New Roman" w:hAnsi="Times New Roman" w:cs="Times New Roman"/>
          <w:kern w:val="0"/>
          <w:sz w:val="24"/>
          <w:szCs w:val="24"/>
          <w:lang w:val="en-US"/>
          <w14:ligatures w14:val="none"/>
        </w:rPr>
        <w:t>be identified</w:t>
      </w:r>
      <w:proofErr w:type="gramEnd"/>
      <w:r w:rsidRPr="000A5633">
        <w:rPr>
          <w:rFonts w:ascii="Times New Roman" w:eastAsia="Times New Roman" w:hAnsi="Times New Roman" w:cs="Times New Roman"/>
          <w:kern w:val="0"/>
          <w:sz w:val="24"/>
          <w:szCs w:val="24"/>
          <w:lang w:val="en-US"/>
          <w14:ligatures w14:val="none"/>
        </w:rPr>
        <w:t xml:space="preserve"> as:</w:t>
      </w:r>
    </w:p>
    <w:p w14:paraId="39A74212" w14:textId="277BD87C" w:rsidR="000A5633" w:rsidRPr="000A5633" w:rsidRDefault="000A5633" w:rsidP="000A5633">
      <w:pPr>
        <w:spacing w:after="0" w:line="600" w:lineRule="auto"/>
        <w:rPr>
          <w:rFonts w:ascii="Times New Roman" w:eastAsia="Times New Roman" w:hAnsi="Times New Roman" w:cs="Times New Roman"/>
          <w:kern w:val="0"/>
          <w:sz w:val="24"/>
          <w:szCs w:val="24"/>
          <w:lang w:val="en-US"/>
          <w14:ligatures w14:val="none"/>
        </w:rPr>
      </w:pPr>
      <w:r w:rsidRPr="000A5633">
        <w:rPr>
          <w:rFonts w:ascii="Times New Roman" w:eastAsia="Times New Roman" w:hAnsi="Times New Roman" w:cs="Times New Roman"/>
          <w:kern w:val="0"/>
          <w:sz w:val="24"/>
          <w:szCs w:val="24"/>
          <w:lang w:val="en-US"/>
          <w14:ligatures w14:val="none"/>
        </w:rPr>
        <w:t>**</w:t>
      </w:r>
      <w:r w:rsidRPr="000A5633">
        <w:rPr>
          <w:rFonts w:ascii="Times New Roman" w:eastAsia="Times New Roman" w:hAnsi="Times New Roman" w:cs="Times New Roman"/>
          <w:kern w:val="0"/>
          <w:sz w:val="24"/>
          <w:szCs w:val="24"/>
          <w:vertAlign w:val="superscript"/>
          <w:lang w:val="en-US"/>
          <w14:ligatures w14:val="none"/>
        </w:rPr>
        <w:t>4</w:t>
      </w:r>
      <w:r w:rsidRPr="000A5633">
        <w:rPr>
          <w:rFonts w:ascii="Times New Roman" w:eastAsia="Times New Roman" w:hAnsi="Times New Roman" w:cs="Times New Roman"/>
          <w:kern w:val="0"/>
          <w:sz w:val="24"/>
          <w:szCs w:val="24"/>
          <w:lang w:val="en-US"/>
          <w14:ligatures w14:val="none"/>
        </w:rPr>
        <w:t>, A-Z</w:t>
      </w:r>
      <w:proofErr w:type="gramStart"/>
      <w:r w:rsidRPr="000A5633">
        <w:rPr>
          <w:rFonts w:ascii="Times New Roman" w:eastAsia="Times New Roman" w:hAnsi="Times New Roman" w:cs="Times New Roman"/>
          <w:kern w:val="0"/>
          <w:sz w:val="24"/>
          <w:szCs w:val="24"/>
          <w:vertAlign w:val="superscript"/>
          <w:lang w:val="en-US"/>
          <w14:ligatures w14:val="none"/>
        </w:rPr>
        <w:t>6</w:t>
      </w:r>
      <w:r w:rsidR="005A4814">
        <w:rPr>
          <w:rFonts w:ascii="Times New Roman" w:eastAsia="Times New Roman" w:hAnsi="Times New Roman" w:cs="Times New Roman"/>
          <w:kern w:val="0"/>
          <w:sz w:val="24"/>
          <w:szCs w:val="24"/>
          <w:vertAlign w:val="superscript"/>
          <w:lang w:val="en-US"/>
          <w14:ligatures w14:val="none"/>
        </w:rPr>
        <w:t xml:space="preserve"> </w:t>
      </w:r>
      <w:r w:rsidR="005A4814">
        <w:rPr>
          <w:rFonts w:ascii="Times New Roman" w:eastAsia="Times New Roman" w:hAnsi="Times New Roman" w:cs="Times New Roman"/>
          <w:kern w:val="0"/>
          <w:sz w:val="24"/>
          <w:szCs w:val="24"/>
          <w:lang w:val="en-US"/>
          <w14:ligatures w14:val="none"/>
        </w:rPr>
        <w:t>,</w:t>
      </w:r>
      <w:proofErr w:type="gramEnd"/>
      <w:r w:rsidRPr="000A5633">
        <w:rPr>
          <w:rFonts w:ascii="Times New Roman" w:eastAsia="Times New Roman" w:hAnsi="Times New Roman" w:cs="Times New Roman"/>
          <w:kern w:val="0"/>
          <w:sz w:val="24"/>
          <w:szCs w:val="24"/>
          <w:vertAlign w:val="superscript"/>
          <w:lang w:val="en-US"/>
          <w14:ligatures w14:val="none"/>
        </w:rPr>
        <w:t xml:space="preserve"> </w:t>
      </w:r>
      <w:r w:rsidRPr="000A5633">
        <w:rPr>
          <w:rFonts w:ascii="Times New Roman" w:eastAsia="Times New Roman" w:hAnsi="Times New Roman" w:cs="Times New Roman"/>
          <w:kern w:val="0"/>
          <w:sz w:val="24"/>
          <w:szCs w:val="24"/>
          <w:lang w:val="en-US"/>
          <w14:ligatures w14:val="none"/>
        </w:rPr>
        <w:t>Aa- Zz</w:t>
      </w:r>
      <w:r w:rsidRPr="000A5633">
        <w:rPr>
          <w:rFonts w:ascii="Times New Roman" w:eastAsia="Times New Roman" w:hAnsi="Times New Roman" w:cs="Times New Roman"/>
          <w:kern w:val="0"/>
          <w:sz w:val="24"/>
          <w:szCs w:val="24"/>
          <w:vertAlign w:val="superscript"/>
          <w:lang w:val="en-US"/>
          <w14:ligatures w14:val="none"/>
        </w:rPr>
        <w:t>6</w:t>
      </w:r>
      <w:r w:rsidRPr="000A5633">
        <w:rPr>
          <w:rFonts w:ascii="Times New Roman" w:eastAsia="Times New Roman" w:hAnsi="Times New Roman" w:cs="Times New Roman"/>
          <w:kern w:val="0"/>
          <w:sz w:val="24"/>
          <w:szCs w:val="24"/>
          <w:lang w:val="en-US"/>
          <w14:ligatures w14:val="none"/>
        </w:rPr>
        <w:t>, Aa- Mn</w:t>
      </w:r>
      <w:r w:rsidRPr="000A5633">
        <w:rPr>
          <w:rFonts w:ascii="Times New Roman" w:eastAsia="Times New Roman" w:hAnsi="Times New Roman" w:cs="Times New Roman"/>
          <w:kern w:val="0"/>
          <w:sz w:val="24"/>
          <w:szCs w:val="24"/>
          <w:vertAlign w:val="superscript"/>
          <w:lang w:val="en-US"/>
          <w14:ligatures w14:val="none"/>
        </w:rPr>
        <w:t>6</w:t>
      </w:r>
      <w:r w:rsidRPr="000A5633">
        <w:rPr>
          <w:rFonts w:ascii="Times New Roman" w:eastAsia="Times New Roman" w:hAnsi="Times New Roman" w:cs="Times New Roman"/>
          <w:kern w:val="0"/>
          <w:sz w:val="24"/>
          <w:szCs w:val="24"/>
          <w:lang w:val="en-US"/>
          <w14:ligatures w14:val="none"/>
        </w:rPr>
        <w:t>, Nn</w:t>
      </w:r>
      <w:r w:rsidRPr="000A5633">
        <w:rPr>
          <w:rFonts w:ascii="Times New Roman" w:eastAsia="Times New Roman" w:hAnsi="Times New Roman" w:cs="Times New Roman"/>
          <w:kern w:val="0"/>
          <w:sz w:val="24"/>
          <w:szCs w:val="24"/>
          <w:vertAlign w:val="superscript"/>
          <w:lang w:val="en-US"/>
          <w14:ligatures w14:val="none"/>
        </w:rPr>
        <w:t>3</w:t>
      </w:r>
      <w:r w:rsidRPr="000A5633">
        <w:rPr>
          <w:rFonts w:ascii="Times New Roman" w:eastAsia="Times New Roman" w:hAnsi="Times New Roman" w:cs="Times New Roman"/>
          <w:kern w:val="0"/>
          <w:sz w:val="24"/>
          <w:szCs w:val="24"/>
          <w:lang w:val="en-US"/>
          <w14:ligatures w14:val="none"/>
        </w:rPr>
        <w:t xml:space="preserve">. </w:t>
      </w:r>
    </w:p>
    <w:p w14:paraId="609E73CB" w14:textId="77777777" w:rsidR="000A5633" w:rsidRPr="000A5633" w:rsidRDefault="000A5633" w:rsidP="000A5633">
      <w:pPr>
        <w:spacing w:after="0" w:line="600" w:lineRule="auto"/>
        <w:rPr>
          <w:rFonts w:ascii="Times New Roman" w:eastAsia="Times New Roman" w:hAnsi="Times New Roman" w:cs="Times New Roman"/>
          <w:kern w:val="0"/>
          <w:sz w:val="24"/>
          <w:szCs w:val="24"/>
          <w:lang w:val="en-US"/>
          <w14:ligatures w14:val="none"/>
        </w:rPr>
      </w:pPr>
    </w:p>
    <w:p w14:paraId="39CD28FC" w14:textId="77777777" w:rsidR="000A5633" w:rsidRPr="000A5633" w:rsidRDefault="000A5633" w:rsidP="000A5633">
      <w:pPr>
        <w:spacing w:after="0" w:line="600" w:lineRule="auto"/>
        <w:rPr>
          <w:rFonts w:ascii="Times New Roman" w:eastAsia="Times New Roman" w:hAnsi="Times New Roman" w:cs="Times New Roman"/>
          <w:b/>
          <w:bCs/>
          <w:kern w:val="0"/>
          <w:sz w:val="24"/>
          <w:szCs w:val="24"/>
          <w:lang w:val="en-US"/>
          <w14:ligatures w14:val="none"/>
        </w:rPr>
      </w:pPr>
      <w:r w:rsidRPr="000A5633">
        <w:rPr>
          <w:rFonts w:ascii="Times New Roman" w:eastAsia="Times New Roman" w:hAnsi="Times New Roman" w:cs="Times New Roman"/>
          <w:b/>
          <w:bCs/>
          <w:kern w:val="0"/>
          <w:sz w:val="24"/>
          <w:szCs w:val="24"/>
          <w:lang w:val="en-US"/>
          <w14:ligatures w14:val="none"/>
        </w:rPr>
        <w:lastRenderedPageBreak/>
        <w:t xml:space="preserve">Pagination and page numbering: </w:t>
      </w:r>
    </w:p>
    <w:p w14:paraId="0EAA1727" w14:textId="77777777" w:rsidR="000A5633" w:rsidRPr="000A5633" w:rsidRDefault="000A5633" w:rsidP="000A5633">
      <w:pPr>
        <w:spacing w:after="0" w:line="600" w:lineRule="auto"/>
        <w:rPr>
          <w:rFonts w:ascii="Times New Roman" w:eastAsia="Times New Roman" w:hAnsi="Times New Roman" w:cs="Times New Roman"/>
          <w:kern w:val="0"/>
          <w:sz w:val="24"/>
          <w:szCs w:val="24"/>
          <w:lang w:val="en-US"/>
          <w14:ligatures w14:val="none"/>
        </w:rPr>
      </w:pPr>
      <w:r w:rsidRPr="000A5633">
        <w:rPr>
          <w:rFonts w:ascii="Times New Roman" w:eastAsia="Times New Roman" w:hAnsi="Times New Roman" w:cs="Times New Roman"/>
          <w:kern w:val="0"/>
          <w:sz w:val="24"/>
          <w:szCs w:val="24"/>
          <w:lang w:val="en-US"/>
          <w14:ligatures w14:val="none"/>
        </w:rPr>
        <w:t xml:space="preserve">The pagination for this book </w:t>
      </w:r>
      <w:proofErr w:type="gramStart"/>
      <w:r w:rsidRPr="000A5633">
        <w:rPr>
          <w:rFonts w:ascii="Times New Roman" w:eastAsia="Times New Roman" w:hAnsi="Times New Roman" w:cs="Times New Roman"/>
          <w:kern w:val="0"/>
          <w:sz w:val="24"/>
          <w:szCs w:val="24"/>
          <w:lang w:val="en-US"/>
          <w14:ligatures w14:val="none"/>
        </w:rPr>
        <w:t>is shown</w:t>
      </w:r>
      <w:proofErr w:type="gramEnd"/>
      <w:r w:rsidRPr="000A5633">
        <w:rPr>
          <w:rFonts w:ascii="Times New Roman" w:eastAsia="Times New Roman" w:hAnsi="Times New Roman" w:cs="Times New Roman"/>
          <w:kern w:val="0"/>
          <w:sz w:val="24"/>
          <w:szCs w:val="24"/>
          <w:lang w:val="en-US"/>
          <w14:ligatures w14:val="none"/>
        </w:rPr>
        <w:t xml:space="preserve"> as:</w:t>
      </w:r>
    </w:p>
    <w:p w14:paraId="2E46F136" w14:textId="77777777" w:rsidR="000A5633" w:rsidRPr="000A5633" w:rsidRDefault="000A5633" w:rsidP="000A5633">
      <w:pPr>
        <w:spacing w:after="0" w:line="600" w:lineRule="auto"/>
        <w:rPr>
          <w:rFonts w:ascii="Times New Roman" w:eastAsia="Times New Roman" w:hAnsi="Times New Roman" w:cs="Times New Roman"/>
          <w:kern w:val="0"/>
          <w:sz w:val="24"/>
          <w:szCs w:val="24"/>
          <w:lang w:val="en-US"/>
          <w14:ligatures w14:val="none"/>
        </w:rPr>
      </w:pPr>
      <w:r w:rsidRPr="000A5633">
        <w:rPr>
          <w:rFonts w:ascii="Times New Roman" w:eastAsia="Times New Roman" w:hAnsi="Times New Roman" w:cs="Times New Roman"/>
          <w:kern w:val="0"/>
          <w:sz w:val="24"/>
          <w:szCs w:val="24"/>
          <w:lang w:val="en-US"/>
          <w14:ligatures w14:val="none"/>
        </w:rPr>
        <w:t xml:space="preserve">2-1782+ index. </w:t>
      </w:r>
    </w:p>
    <w:p w14:paraId="208CA56C" w14:textId="4EB2EFE2" w:rsidR="001D293F" w:rsidRDefault="001D293F">
      <w:pPr>
        <w:rPr>
          <w:rFonts w:ascii="Times New Roman" w:hAnsi="Times New Roman" w:cs="Times New Roman"/>
          <w:sz w:val="24"/>
          <w:szCs w:val="24"/>
        </w:rPr>
      </w:pPr>
      <w:r>
        <w:rPr>
          <w:rFonts w:ascii="Times New Roman" w:hAnsi="Times New Roman" w:cs="Times New Roman"/>
          <w:sz w:val="24"/>
          <w:szCs w:val="24"/>
        </w:rPr>
        <w:br w:type="page"/>
      </w:r>
    </w:p>
    <w:p w14:paraId="41A98E2A" w14:textId="26FCC5FB" w:rsidR="001D293F" w:rsidRPr="001F2EC0" w:rsidRDefault="001F2EC0" w:rsidP="001D4797">
      <w:pPr>
        <w:spacing w:line="600" w:lineRule="auto"/>
        <w:rPr>
          <w:rFonts w:ascii="Times New Roman" w:hAnsi="Times New Roman" w:cs="Times New Roman"/>
          <w:b/>
          <w:bCs/>
          <w:sz w:val="24"/>
          <w:szCs w:val="24"/>
        </w:rPr>
      </w:pPr>
      <w:r w:rsidRPr="001F2EC0">
        <w:rPr>
          <w:rFonts w:ascii="Times New Roman" w:hAnsi="Times New Roman" w:cs="Times New Roman"/>
          <w:b/>
          <w:bCs/>
          <w:sz w:val="24"/>
          <w:szCs w:val="24"/>
        </w:rPr>
        <w:lastRenderedPageBreak/>
        <w:t>Part 2:</w:t>
      </w:r>
    </w:p>
    <w:p w14:paraId="0307EA37" w14:textId="3A61BE06" w:rsidR="005963A2" w:rsidRPr="005963A2" w:rsidRDefault="005963A2" w:rsidP="005963A2">
      <w:pPr>
        <w:spacing w:line="600" w:lineRule="auto"/>
        <w:ind w:firstLine="720"/>
        <w:rPr>
          <w:rFonts w:ascii="Times New Roman" w:hAnsi="Times New Roman" w:cs="Times New Roman"/>
          <w:sz w:val="24"/>
          <w:szCs w:val="24"/>
        </w:rPr>
      </w:pPr>
      <w:r w:rsidRPr="005963A2">
        <w:rPr>
          <w:rFonts w:ascii="Times New Roman" w:hAnsi="Times New Roman" w:cs="Times New Roman"/>
          <w:sz w:val="24"/>
          <w:szCs w:val="24"/>
        </w:rPr>
        <w:t>Matthias Flacius Illyricus' "Clavis Scripturae" is a notable example of intellectual rigour and biblical scholarship in the history of</w:t>
      </w:r>
      <w:r w:rsidR="00F10FB1">
        <w:rPr>
          <w:rFonts w:ascii="Times New Roman" w:hAnsi="Times New Roman" w:cs="Times New Roman"/>
          <w:sz w:val="24"/>
          <w:szCs w:val="24"/>
        </w:rPr>
        <w:t xml:space="preserve"> Lutheran</w:t>
      </w:r>
      <w:r w:rsidRPr="005963A2">
        <w:rPr>
          <w:rFonts w:ascii="Times New Roman" w:hAnsi="Times New Roman" w:cs="Times New Roman"/>
          <w:sz w:val="24"/>
          <w:szCs w:val="24"/>
        </w:rPr>
        <w:t xml:space="preserve"> Reformation-era writing</w:t>
      </w:r>
      <w:r w:rsidR="00AB07DC">
        <w:rPr>
          <w:rFonts w:ascii="Times New Roman" w:hAnsi="Times New Roman" w:cs="Times New Roman"/>
          <w:sz w:val="24"/>
          <w:szCs w:val="24"/>
        </w:rPr>
        <w:t xml:space="preserve"> in the 16</w:t>
      </w:r>
      <w:r w:rsidR="00AB07DC" w:rsidRPr="00AB07DC">
        <w:rPr>
          <w:rFonts w:ascii="Times New Roman" w:hAnsi="Times New Roman" w:cs="Times New Roman"/>
          <w:sz w:val="24"/>
          <w:szCs w:val="24"/>
          <w:vertAlign w:val="superscript"/>
        </w:rPr>
        <w:t>th</w:t>
      </w:r>
      <w:r w:rsidR="00AB07DC">
        <w:rPr>
          <w:rFonts w:ascii="Times New Roman" w:hAnsi="Times New Roman" w:cs="Times New Roman"/>
          <w:sz w:val="24"/>
          <w:szCs w:val="24"/>
        </w:rPr>
        <w:t xml:space="preserve"> century</w:t>
      </w:r>
      <w:r w:rsidRPr="005963A2">
        <w:rPr>
          <w:rFonts w:ascii="Times New Roman" w:hAnsi="Times New Roman" w:cs="Times New Roman"/>
          <w:sz w:val="24"/>
          <w:szCs w:val="24"/>
        </w:rPr>
        <w:t xml:space="preserve">. "Clavis Scripturae" serves as a comprehensive concordance that goes beyond being a mere compilation of biblical words and references. It represents a systematic endeavour to decipher the contents of the Bible, offering a well-organized reference for both scholars and theologians. This analytical article seeks to explore the biography of Matthias Flacius Illyricus, focusing on his renowned work "Clavis Scripturae." It intends to illuminate the biblical content of his </w:t>
      </w:r>
      <w:proofErr w:type="gramStart"/>
      <w:r w:rsidRPr="005963A2">
        <w:rPr>
          <w:rFonts w:ascii="Times New Roman" w:hAnsi="Times New Roman" w:cs="Times New Roman"/>
          <w:sz w:val="24"/>
          <w:szCs w:val="24"/>
        </w:rPr>
        <w:t>writing</w:t>
      </w:r>
      <w:r w:rsidR="00117D2F">
        <w:rPr>
          <w:rFonts w:ascii="Times New Roman" w:hAnsi="Times New Roman" w:cs="Times New Roman"/>
          <w:sz w:val="24"/>
          <w:szCs w:val="24"/>
        </w:rPr>
        <w:t>,</w:t>
      </w:r>
      <w:r w:rsidRPr="005963A2">
        <w:rPr>
          <w:rFonts w:ascii="Times New Roman" w:hAnsi="Times New Roman" w:cs="Times New Roman"/>
          <w:sz w:val="24"/>
          <w:szCs w:val="24"/>
        </w:rPr>
        <w:t xml:space="preserve"> and</w:t>
      </w:r>
      <w:proofErr w:type="gramEnd"/>
      <w:r w:rsidRPr="005963A2">
        <w:rPr>
          <w:rFonts w:ascii="Times New Roman" w:hAnsi="Times New Roman" w:cs="Times New Roman"/>
          <w:sz w:val="24"/>
          <w:szCs w:val="24"/>
        </w:rPr>
        <w:t xml:space="preserve"> provide insights into his writing style during that period. </w:t>
      </w:r>
    </w:p>
    <w:p w14:paraId="61B0F5A1" w14:textId="1860A8F6" w:rsidR="005963A2" w:rsidRPr="005963A2" w:rsidRDefault="005963A2" w:rsidP="005963A2">
      <w:pPr>
        <w:spacing w:line="600" w:lineRule="auto"/>
        <w:ind w:firstLine="720"/>
        <w:rPr>
          <w:rFonts w:ascii="Times New Roman" w:hAnsi="Times New Roman" w:cs="Times New Roman"/>
          <w:sz w:val="24"/>
          <w:szCs w:val="24"/>
        </w:rPr>
      </w:pPr>
      <w:r w:rsidRPr="005963A2">
        <w:rPr>
          <w:rFonts w:ascii="Times New Roman" w:hAnsi="Times New Roman" w:cs="Times New Roman"/>
          <w:sz w:val="24"/>
          <w:szCs w:val="24"/>
        </w:rPr>
        <w:t xml:space="preserve">Matthias Flacius Illyricus, formerly known as Matija Vlačić, was a prominent figure in the Lutheran Reformation of the 16th century. He was born in Albona, which </w:t>
      </w:r>
      <w:proofErr w:type="gramStart"/>
      <w:r w:rsidRPr="005963A2">
        <w:rPr>
          <w:rFonts w:ascii="Times New Roman" w:hAnsi="Times New Roman" w:cs="Times New Roman"/>
          <w:sz w:val="24"/>
          <w:szCs w:val="24"/>
        </w:rPr>
        <w:t>is located in</w:t>
      </w:r>
      <w:proofErr w:type="gramEnd"/>
      <w:r w:rsidRPr="005963A2">
        <w:rPr>
          <w:rFonts w:ascii="Times New Roman" w:hAnsi="Times New Roman" w:cs="Times New Roman"/>
          <w:sz w:val="24"/>
          <w:szCs w:val="24"/>
        </w:rPr>
        <w:t xml:space="preserve"> present-day Croatia, specifically in the region of Istria. After gaining recognition in intellectual and theological circles, Matthias Flacius chose to adopt the Latinized name "Matthias Flacius Illyricus." He was the youngest among his father Andrija Valacic and mother Jacobea Luciani's six children. Matthias registered at the University of Basel in 1539, where he received a scholarship in Theology and biblical study. Throughout his academic tenure, he encountered a diverse range of theological ideologies that shaped his intellectual growth and contributed to the formation of his theological perspectives.</w:t>
      </w:r>
      <w:r w:rsidR="002344D0">
        <w:rPr>
          <w:rStyle w:val="FootnoteReference"/>
          <w:rFonts w:ascii="Times New Roman" w:hAnsi="Times New Roman" w:cs="Times New Roman"/>
          <w:sz w:val="24"/>
          <w:szCs w:val="24"/>
        </w:rPr>
        <w:footnoteReference w:id="1"/>
      </w:r>
      <w:r w:rsidRPr="005963A2">
        <w:rPr>
          <w:rFonts w:ascii="Times New Roman" w:hAnsi="Times New Roman" w:cs="Times New Roman"/>
          <w:sz w:val="24"/>
          <w:szCs w:val="24"/>
        </w:rPr>
        <w:t xml:space="preserve">  Flacius was </w:t>
      </w:r>
      <w:r w:rsidRPr="005963A2">
        <w:rPr>
          <w:rFonts w:ascii="Times New Roman" w:hAnsi="Times New Roman" w:cs="Times New Roman"/>
          <w:sz w:val="24"/>
          <w:szCs w:val="24"/>
        </w:rPr>
        <w:lastRenderedPageBreak/>
        <w:t>renowned for his profound theological expertise and unwavering dedication to scriptural interpretation, which greatly influenced the prevailing doctrinal landscape of his era. At the beginning of his career, he was called by the name of his birthplace, a reference that he subsequently embraced, as evidenced by his signature on his published works.</w:t>
      </w:r>
      <w:r w:rsidR="00117D2F">
        <w:rPr>
          <w:rFonts w:ascii="Times New Roman" w:hAnsi="Times New Roman" w:cs="Times New Roman"/>
          <w:sz w:val="24"/>
          <w:szCs w:val="24"/>
        </w:rPr>
        <w:t xml:space="preserve"> For example</w:t>
      </w:r>
      <w:r w:rsidRPr="005963A2">
        <w:rPr>
          <w:rFonts w:ascii="Times New Roman" w:hAnsi="Times New Roman" w:cs="Times New Roman"/>
          <w:sz w:val="24"/>
          <w:szCs w:val="24"/>
        </w:rPr>
        <w:t xml:space="preserve">, in one of his initial publications, he stated his occupation as "reader of Hebrew at Wittenberg." </w:t>
      </w:r>
    </w:p>
    <w:p w14:paraId="5CCBFD6D" w14:textId="2921A9E0" w:rsidR="005963A2" w:rsidRPr="005963A2" w:rsidRDefault="005963A2" w:rsidP="00760973">
      <w:pPr>
        <w:spacing w:line="600" w:lineRule="auto"/>
        <w:ind w:firstLine="720"/>
        <w:rPr>
          <w:rFonts w:ascii="Times New Roman" w:hAnsi="Times New Roman" w:cs="Times New Roman"/>
          <w:sz w:val="24"/>
          <w:szCs w:val="24"/>
        </w:rPr>
      </w:pPr>
      <w:r w:rsidRPr="005963A2">
        <w:rPr>
          <w:rFonts w:ascii="Times New Roman" w:hAnsi="Times New Roman" w:cs="Times New Roman"/>
          <w:sz w:val="24"/>
          <w:szCs w:val="24"/>
        </w:rPr>
        <w:t xml:space="preserve">Matthia made several notable contributions, including the publication of several biblical publications such as "Catalogus </w:t>
      </w:r>
      <w:proofErr w:type="spellStart"/>
      <w:r w:rsidRPr="005963A2">
        <w:rPr>
          <w:rFonts w:ascii="Times New Roman" w:hAnsi="Times New Roman" w:cs="Times New Roman"/>
          <w:sz w:val="24"/>
          <w:szCs w:val="24"/>
        </w:rPr>
        <w:t>Testium</w:t>
      </w:r>
      <w:proofErr w:type="spellEnd"/>
      <w:r w:rsidRPr="005963A2">
        <w:rPr>
          <w:rFonts w:ascii="Times New Roman" w:hAnsi="Times New Roman" w:cs="Times New Roman"/>
          <w:sz w:val="24"/>
          <w:szCs w:val="24"/>
        </w:rPr>
        <w:t xml:space="preserve"> Veritatis" in 1556 and "De Regno Christi" in 1557. However, he gained recognition for his most significant work, "Clavis Scripturae" (The Key of Scripture), which was completed in February 1567. The extensive concordance served as both a tool for biblical study and a demonstration of his commitment to a literal understanding of the Bible, while rejecting allegorical methods.</w:t>
      </w:r>
      <w:r w:rsidR="00BB5CF5">
        <w:rPr>
          <w:rStyle w:val="FootnoteReference"/>
          <w:rFonts w:ascii="Times New Roman" w:hAnsi="Times New Roman" w:cs="Times New Roman"/>
          <w:sz w:val="24"/>
          <w:szCs w:val="24"/>
        </w:rPr>
        <w:footnoteReference w:id="2"/>
      </w:r>
      <w:r w:rsidR="00BB5CF5">
        <w:rPr>
          <w:rFonts w:ascii="Times New Roman" w:hAnsi="Times New Roman" w:cs="Times New Roman"/>
          <w:sz w:val="24"/>
          <w:szCs w:val="24"/>
        </w:rPr>
        <w:t xml:space="preserve"> </w:t>
      </w:r>
      <w:r w:rsidRPr="005963A2">
        <w:rPr>
          <w:rFonts w:ascii="Times New Roman" w:hAnsi="Times New Roman" w:cs="Times New Roman"/>
          <w:sz w:val="24"/>
          <w:szCs w:val="24"/>
        </w:rPr>
        <w:t xml:space="preserve">The primary objective of Matthias Flacius Illyricus' seminal work, "Clavis Scripturae," is to function as a crucial tool for elucidating the contents of the Bible. Flacius' meticulous concordance, composed in the 16th-century Reformation period, showcases his unwavering commitment to crafting a comprehensive and methodical examination of the scriptures. "Clavis Scripturae" is a highly valuable tool for academics, theologians, and students as it systematically compiles and categorises every word found in the Bible, along with relevant references. In addition to </w:t>
      </w:r>
      <w:r w:rsidRPr="005963A2">
        <w:rPr>
          <w:rFonts w:ascii="Times New Roman" w:hAnsi="Times New Roman" w:cs="Times New Roman"/>
          <w:sz w:val="24"/>
          <w:szCs w:val="24"/>
        </w:rPr>
        <w:lastRenderedPageBreak/>
        <w:t xml:space="preserve">serving as a concordance, the work incorporates elements of biblical chronology, offering historical perspectives that enable readers to comprehend the chronological order of events in the biblical narrative. </w:t>
      </w:r>
    </w:p>
    <w:p w14:paraId="18C62A92" w14:textId="314093B5" w:rsidR="005963A2" w:rsidRDefault="005963A2" w:rsidP="00CF2BA7">
      <w:pPr>
        <w:spacing w:line="600" w:lineRule="auto"/>
        <w:ind w:firstLine="720"/>
        <w:rPr>
          <w:rFonts w:ascii="Times New Roman" w:hAnsi="Times New Roman" w:cs="Times New Roman"/>
          <w:sz w:val="24"/>
          <w:szCs w:val="24"/>
        </w:rPr>
      </w:pPr>
      <w:r w:rsidRPr="005963A2">
        <w:rPr>
          <w:rFonts w:ascii="Times New Roman" w:hAnsi="Times New Roman" w:cs="Times New Roman"/>
          <w:sz w:val="24"/>
          <w:szCs w:val="24"/>
        </w:rPr>
        <w:t>Matthias Flacius Illyricus presents a distinctive method of interpreting and dating biblical texts in his work "Clavis Scripturae," which significantly contributes to biblical studies throughout the Reformation period. The text clearly demonstrates Flacius' unwavering commitment to interpreting the Scriptures in a strictly literal manner. He promotes a direct interpretation of the Bible, focusing on historical and linguistic contexts. The "Clavis Scripturae" is a precisely organised reference book that arranges information in alphabetical order. It serves as both a comprehensive concordance and a tool for critical analysis of biblical texts. This approach allows academics to examine the frequency and context of every word in the Bible, leading to a more thorough analysis of the text. In addition, Flacius incorporates segments of biblical chronology into his work "Clavis Scripturae," offering readers a systematic history of significant occurrences.</w:t>
      </w:r>
      <w:r w:rsidR="00F1454D">
        <w:rPr>
          <w:rStyle w:val="FootnoteReference"/>
          <w:rFonts w:ascii="Times New Roman" w:hAnsi="Times New Roman" w:cs="Times New Roman"/>
          <w:sz w:val="24"/>
          <w:szCs w:val="24"/>
        </w:rPr>
        <w:footnoteReference w:id="3"/>
      </w:r>
      <w:r w:rsidRPr="005963A2">
        <w:rPr>
          <w:rFonts w:ascii="Times New Roman" w:hAnsi="Times New Roman" w:cs="Times New Roman"/>
          <w:sz w:val="24"/>
          <w:szCs w:val="24"/>
        </w:rPr>
        <w:t xml:space="preserve"> The utilisation of this chronological framework</w:t>
      </w:r>
      <w:r w:rsidR="00117D2F">
        <w:rPr>
          <w:rFonts w:ascii="Times New Roman" w:hAnsi="Times New Roman" w:cs="Times New Roman"/>
          <w:sz w:val="24"/>
          <w:szCs w:val="24"/>
        </w:rPr>
        <w:t>,</w:t>
      </w:r>
      <w:r w:rsidRPr="005963A2">
        <w:rPr>
          <w:rFonts w:ascii="Times New Roman" w:hAnsi="Times New Roman" w:cs="Times New Roman"/>
          <w:sz w:val="24"/>
          <w:szCs w:val="24"/>
        </w:rPr>
        <w:t xml:space="preserve"> enhances the understanding of historical aspects within the Scriptures</w:t>
      </w:r>
      <w:r w:rsidR="00117D2F">
        <w:rPr>
          <w:rFonts w:ascii="Times New Roman" w:hAnsi="Times New Roman" w:cs="Times New Roman"/>
          <w:sz w:val="24"/>
          <w:szCs w:val="24"/>
        </w:rPr>
        <w:t>,</w:t>
      </w:r>
      <w:r w:rsidRPr="005963A2">
        <w:rPr>
          <w:rFonts w:ascii="Times New Roman" w:hAnsi="Times New Roman" w:cs="Times New Roman"/>
          <w:sz w:val="24"/>
          <w:szCs w:val="24"/>
        </w:rPr>
        <w:t xml:space="preserve"> by offering a contextual backdrop for biblical texts and promoting a more comprehensive perspective of the progressive divine scheme. In "Clavis Scripturae," Flacius exhibits a </w:t>
      </w:r>
      <w:r w:rsidRPr="005963A2">
        <w:rPr>
          <w:rFonts w:ascii="Times New Roman" w:hAnsi="Times New Roman" w:cs="Times New Roman"/>
          <w:sz w:val="24"/>
          <w:szCs w:val="24"/>
        </w:rPr>
        <w:lastRenderedPageBreak/>
        <w:t>commitment to methodical analysis, precision in interpretation, and reverence for the historical development of the biblical account.</w:t>
      </w:r>
    </w:p>
    <w:p w14:paraId="07B9BC15" w14:textId="31ECB723" w:rsidR="004A23E5" w:rsidRPr="005963A2" w:rsidRDefault="004A23E5" w:rsidP="004A23E5">
      <w:pPr>
        <w:spacing w:line="600" w:lineRule="auto"/>
        <w:rPr>
          <w:rFonts w:ascii="Times New Roman" w:hAnsi="Times New Roman" w:cs="Times New Roman"/>
          <w:sz w:val="24"/>
          <w:szCs w:val="24"/>
        </w:rPr>
      </w:pPr>
      <w:r w:rsidRPr="004A23E5">
        <w:rPr>
          <w:rFonts w:ascii="Times New Roman" w:hAnsi="Times New Roman" w:cs="Times New Roman"/>
          <w:sz w:val="24"/>
          <w:szCs w:val="24"/>
        </w:rPr>
        <w:t xml:space="preserve">Flacius continually upheld the authority of Scripture and strove to explain its contents by literal interpretation, rejecting the allegorical methods popular at his time. His theological approach focused on direct engagement with the biblical </w:t>
      </w:r>
      <w:r w:rsidR="00787B85" w:rsidRPr="004A23E5">
        <w:rPr>
          <w:rFonts w:ascii="Times New Roman" w:hAnsi="Times New Roman" w:cs="Times New Roman"/>
          <w:sz w:val="24"/>
          <w:szCs w:val="24"/>
        </w:rPr>
        <w:t>texts</w:t>
      </w:r>
      <w:r w:rsidR="00241DAA">
        <w:rPr>
          <w:rFonts w:ascii="Times New Roman" w:hAnsi="Times New Roman" w:cs="Times New Roman"/>
          <w:sz w:val="24"/>
          <w:szCs w:val="24"/>
        </w:rPr>
        <w:t>,</w:t>
      </w:r>
      <w:r w:rsidRPr="004A23E5">
        <w:rPr>
          <w:rFonts w:ascii="Times New Roman" w:hAnsi="Times New Roman" w:cs="Times New Roman"/>
          <w:sz w:val="24"/>
          <w:szCs w:val="24"/>
        </w:rPr>
        <w:t xml:space="preserve"> </w:t>
      </w:r>
      <w:proofErr w:type="gramStart"/>
      <w:r w:rsidRPr="004A23E5">
        <w:rPr>
          <w:rFonts w:ascii="Times New Roman" w:hAnsi="Times New Roman" w:cs="Times New Roman"/>
          <w:sz w:val="24"/>
          <w:szCs w:val="24"/>
        </w:rPr>
        <w:t>histor</w:t>
      </w:r>
      <w:r w:rsidR="00241DAA">
        <w:rPr>
          <w:rFonts w:ascii="Times New Roman" w:hAnsi="Times New Roman" w:cs="Times New Roman"/>
          <w:sz w:val="24"/>
          <w:szCs w:val="24"/>
        </w:rPr>
        <w:t>y</w:t>
      </w:r>
      <w:proofErr w:type="gramEnd"/>
      <w:r w:rsidRPr="004A23E5">
        <w:rPr>
          <w:rFonts w:ascii="Times New Roman" w:hAnsi="Times New Roman" w:cs="Times New Roman"/>
          <w:sz w:val="24"/>
          <w:szCs w:val="24"/>
        </w:rPr>
        <w:t xml:space="preserve"> and linguistic circumstances. "Clavis Scripturae" is a physical reflection of Flacius' religious convictions, providing not only a thorough concordance but also a guide for scholars and theologians to explore the Scriptures with accuracy. His commitment to a literal understanding of the Bible, as well as the meticulous organisation of "Clavis Scripturae," contribute to a broader theological landscape that prioritises the straightforward and unambiguous interpretation of sacred scripture, which is consistent with the foundational tenets of Reformation theology.</w:t>
      </w:r>
      <w:r w:rsidR="009438F3">
        <w:rPr>
          <w:rStyle w:val="FootnoteReference"/>
          <w:rFonts w:ascii="Times New Roman" w:hAnsi="Times New Roman" w:cs="Times New Roman"/>
          <w:sz w:val="24"/>
          <w:szCs w:val="24"/>
        </w:rPr>
        <w:footnoteReference w:id="4"/>
      </w:r>
    </w:p>
    <w:p w14:paraId="055BF311" w14:textId="393BF243" w:rsidR="005963A2" w:rsidRPr="005963A2" w:rsidRDefault="005963A2" w:rsidP="00CF2BA7">
      <w:pPr>
        <w:spacing w:line="600" w:lineRule="auto"/>
        <w:ind w:firstLine="720"/>
        <w:rPr>
          <w:rFonts w:ascii="Times New Roman" w:hAnsi="Times New Roman" w:cs="Times New Roman"/>
          <w:sz w:val="24"/>
          <w:szCs w:val="24"/>
        </w:rPr>
      </w:pPr>
      <w:r w:rsidRPr="005963A2">
        <w:rPr>
          <w:rFonts w:ascii="Times New Roman" w:hAnsi="Times New Roman" w:cs="Times New Roman"/>
          <w:sz w:val="24"/>
          <w:szCs w:val="24"/>
        </w:rPr>
        <w:t xml:space="preserve">The writing style of Matthias Flacius Illyricus in "Clavis Scripturae" demonstrates a comprehensive and intellectual approach that is characteristic of the Reformation era. Flacius arranges the content in alphabetical order, guaranteeing accessibility and ease of use for readers. His writing is characterised by meticulousness, as he diligently catalogues every word in the Bible and provides numerous references, demonstrating a strong emphasis on precision. Flacius employs straightforward and unambiguous language, which mirrors his commitment to interpreting Scripture in a literal manner. Although the writing is </w:t>
      </w:r>
      <w:r w:rsidRPr="005963A2">
        <w:rPr>
          <w:rFonts w:ascii="Times New Roman" w:hAnsi="Times New Roman" w:cs="Times New Roman"/>
          <w:sz w:val="24"/>
          <w:szCs w:val="24"/>
        </w:rPr>
        <w:lastRenderedPageBreak/>
        <w:t>academically rigorous and scholarly in nature, it also has practical utility by serving as a valuable reference tool for scholars engaged in biblical research.</w:t>
      </w:r>
      <w:r w:rsidR="001A595F">
        <w:rPr>
          <w:rStyle w:val="FootnoteReference"/>
          <w:rFonts w:ascii="Times New Roman" w:hAnsi="Times New Roman" w:cs="Times New Roman"/>
          <w:sz w:val="24"/>
          <w:szCs w:val="24"/>
        </w:rPr>
        <w:footnoteReference w:id="5"/>
      </w:r>
      <w:r w:rsidRPr="005963A2">
        <w:rPr>
          <w:rFonts w:ascii="Times New Roman" w:hAnsi="Times New Roman" w:cs="Times New Roman"/>
          <w:sz w:val="24"/>
          <w:szCs w:val="24"/>
        </w:rPr>
        <w:t xml:space="preserve"> The author's opposition to allegory is clearly demonstrated by the deliberate avoidance of </w:t>
      </w:r>
      <w:r w:rsidR="00787B85">
        <w:rPr>
          <w:rFonts w:ascii="Times New Roman" w:hAnsi="Times New Roman" w:cs="Times New Roman"/>
          <w:sz w:val="24"/>
          <w:szCs w:val="24"/>
        </w:rPr>
        <w:t>unnecessary dif</w:t>
      </w:r>
      <w:r w:rsidR="00242F0C">
        <w:rPr>
          <w:rFonts w:ascii="Times New Roman" w:hAnsi="Times New Roman" w:cs="Times New Roman"/>
          <w:sz w:val="24"/>
          <w:szCs w:val="24"/>
        </w:rPr>
        <w:t>ficulty</w:t>
      </w:r>
      <w:r w:rsidRPr="005963A2">
        <w:rPr>
          <w:rFonts w:ascii="Times New Roman" w:hAnsi="Times New Roman" w:cs="Times New Roman"/>
          <w:sz w:val="24"/>
          <w:szCs w:val="24"/>
        </w:rPr>
        <w:t>, thus ensuring the work's accessibility to a broad range of readers. Flacius frequently advocated for a strict and exact reading of the Bible. He believed that the Scriptures should be comprehended in a straightforward and unambiguous manner, giving importance to the historical and linguistic context.</w:t>
      </w:r>
    </w:p>
    <w:p w14:paraId="7B069EE7" w14:textId="7999C32D" w:rsidR="00C763E8" w:rsidRDefault="005963A2" w:rsidP="00CF2BA7">
      <w:pPr>
        <w:spacing w:line="600" w:lineRule="auto"/>
        <w:ind w:firstLine="720"/>
        <w:rPr>
          <w:rFonts w:ascii="Times New Roman" w:hAnsi="Times New Roman" w:cs="Times New Roman"/>
          <w:sz w:val="24"/>
          <w:szCs w:val="24"/>
        </w:rPr>
      </w:pPr>
      <w:r w:rsidRPr="005963A2">
        <w:rPr>
          <w:rFonts w:ascii="Times New Roman" w:hAnsi="Times New Roman" w:cs="Times New Roman"/>
          <w:sz w:val="24"/>
          <w:szCs w:val="24"/>
        </w:rPr>
        <w:t xml:space="preserve"> </w:t>
      </w:r>
      <w:r w:rsidR="001D6606">
        <w:rPr>
          <w:rFonts w:ascii="Times New Roman" w:hAnsi="Times New Roman" w:cs="Times New Roman"/>
          <w:sz w:val="24"/>
          <w:szCs w:val="24"/>
        </w:rPr>
        <w:t xml:space="preserve">In conclusion, Matthias </w:t>
      </w:r>
      <w:r w:rsidRPr="005963A2">
        <w:rPr>
          <w:rFonts w:ascii="Times New Roman" w:hAnsi="Times New Roman" w:cs="Times New Roman"/>
          <w:sz w:val="24"/>
          <w:szCs w:val="24"/>
        </w:rPr>
        <w:t xml:space="preserve">Flacius </w:t>
      </w:r>
      <w:r w:rsidR="001D6606">
        <w:rPr>
          <w:rFonts w:ascii="Times New Roman" w:hAnsi="Times New Roman" w:cs="Times New Roman"/>
          <w:sz w:val="24"/>
          <w:szCs w:val="24"/>
        </w:rPr>
        <w:t>Illyricus</w:t>
      </w:r>
      <w:r w:rsidR="00226853">
        <w:rPr>
          <w:rFonts w:ascii="Times New Roman" w:hAnsi="Times New Roman" w:cs="Times New Roman"/>
          <w:sz w:val="24"/>
          <w:szCs w:val="24"/>
        </w:rPr>
        <w:t xml:space="preserve"> </w:t>
      </w:r>
      <w:r w:rsidRPr="005963A2">
        <w:rPr>
          <w:rFonts w:ascii="Times New Roman" w:hAnsi="Times New Roman" w:cs="Times New Roman"/>
          <w:sz w:val="24"/>
          <w:szCs w:val="24"/>
        </w:rPr>
        <w:t xml:space="preserve">made significant contributions to theological discussions during his time, actively engaging in debates on topics such as the </w:t>
      </w:r>
      <w:proofErr w:type="spellStart"/>
      <w:r w:rsidRPr="005963A2">
        <w:rPr>
          <w:rFonts w:ascii="Times New Roman" w:hAnsi="Times New Roman" w:cs="Times New Roman"/>
          <w:sz w:val="24"/>
          <w:szCs w:val="24"/>
        </w:rPr>
        <w:t>Adiaphoristic</w:t>
      </w:r>
      <w:proofErr w:type="spellEnd"/>
      <w:r w:rsidRPr="005963A2">
        <w:rPr>
          <w:rFonts w:ascii="Times New Roman" w:hAnsi="Times New Roman" w:cs="Times New Roman"/>
          <w:sz w:val="24"/>
          <w:szCs w:val="24"/>
        </w:rPr>
        <w:t xml:space="preserve"> and synergistic controversies. His steadfast endorsement of Reformation theology and endeavours to construct a methodical comprehension of Scripture left an enduring impact on Reformation thought.</w:t>
      </w:r>
      <w:r w:rsidR="009432D4">
        <w:rPr>
          <w:rStyle w:val="FootnoteReference"/>
          <w:rFonts w:ascii="Times New Roman" w:hAnsi="Times New Roman" w:cs="Times New Roman"/>
          <w:sz w:val="24"/>
          <w:szCs w:val="24"/>
        </w:rPr>
        <w:footnoteReference w:id="6"/>
      </w:r>
      <w:r w:rsidRPr="005963A2">
        <w:rPr>
          <w:rFonts w:ascii="Times New Roman" w:hAnsi="Times New Roman" w:cs="Times New Roman"/>
          <w:sz w:val="24"/>
          <w:szCs w:val="24"/>
        </w:rPr>
        <w:t xml:space="preserve">  Flacius' primary objective is to promote a meticulous and literal understanding of the Bible, advocating for an approach that prioritises the straightforward and explicit meaning of the text while eschewing allegorical interpretations. Essentially, "Clavis Scripturae" functions as a fundamental tool that unlocks the vastness of the Scriptures, providing a structured framework for scholars to go into a more comprehensive and methodical examination of God's Word. The concordance's utility is greatly enhanced by </w:t>
      </w:r>
      <w:r w:rsidRPr="005963A2">
        <w:rPr>
          <w:rFonts w:ascii="Times New Roman" w:hAnsi="Times New Roman" w:cs="Times New Roman"/>
          <w:sz w:val="24"/>
          <w:szCs w:val="24"/>
        </w:rPr>
        <w:lastRenderedPageBreak/>
        <w:t>Flacius' meticulous writing style, which is distinguished by its alphabetical arrangement, clarity, and ease of understanding. The enduring impact of Flacius' writing style in this work is evident in its perpetual significance, rendering "Clavis Scripturae" a significant addition to biblical scholarship and an essential companion for those exploring the intricate fabric of sacred literature. The author's lucid methodology enables readers to easily navigate the extensive content of the Bible, promoting effective cross-referencing and facilitating a deeper comprehension of certain passages and subjects. Moreover, the incorporation of a chronological framework enhances the work's utility by providing scholars with crucial perspectives on the historical context of biblical texts.</w:t>
      </w:r>
    </w:p>
    <w:p w14:paraId="4BD7FA75" w14:textId="37B03B16" w:rsidR="000C3C0C" w:rsidRDefault="000C3C0C">
      <w:pPr>
        <w:rPr>
          <w:rFonts w:ascii="Times New Roman" w:hAnsi="Times New Roman" w:cs="Times New Roman"/>
          <w:sz w:val="24"/>
          <w:szCs w:val="24"/>
        </w:rPr>
      </w:pPr>
      <w:r>
        <w:rPr>
          <w:rFonts w:ascii="Times New Roman" w:hAnsi="Times New Roman" w:cs="Times New Roman"/>
          <w:sz w:val="24"/>
          <w:szCs w:val="24"/>
        </w:rPr>
        <w:br w:type="page"/>
      </w:r>
    </w:p>
    <w:p w14:paraId="7ED799FF" w14:textId="4B08B403" w:rsidR="000C3C0C" w:rsidRPr="00C04412" w:rsidRDefault="000C3C0C" w:rsidP="000C3C0C">
      <w:pPr>
        <w:spacing w:line="600" w:lineRule="auto"/>
        <w:rPr>
          <w:rFonts w:ascii="Times New Roman" w:hAnsi="Times New Roman" w:cs="Times New Roman"/>
          <w:b/>
          <w:bCs/>
          <w:sz w:val="28"/>
          <w:szCs w:val="28"/>
        </w:rPr>
      </w:pPr>
      <w:r w:rsidRPr="00C04412">
        <w:rPr>
          <w:rFonts w:ascii="Times New Roman" w:hAnsi="Times New Roman" w:cs="Times New Roman"/>
          <w:b/>
          <w:bCs/>
          <w:sz w:val="28"/>
          <w:szCs w:val="28"/>
        </w:rPr>
        <w:lastRenderedPageBreak/>
        <w:t>R</w:t>
      </w:r>
      <w:r w:rsidR="005E5B4A" w:rsidRPr="00C04412">
        <w:rPr>
          <w:rFonts w:ascii="Times New Roman" w:hAnsi="Times New Roman" w:cs="Times New Roman"/>
          <w:b/>
          <w:bCs/>
          <w:sz w:val="28"/>
          <w:szCs w:val="28"/>
        </w:rPr>
        <w:t xml:space="preserve">eferences </w:t>
      </w:r>
    </w:p>
    <w:p w14:paraId="1FC226B3" w14:textId="77777777" w:rsidR="005E5B4A" w:rsidRDefault="005E5B4A" w:rsidP="005E5B4A">
      <w:pPr>
        <w:pStyle w:val="NormalWeb"/>
        <w:spacing w:before="0" w:beforeAutospacing="0" w:after="240" w:afterAutospacing="0" w:line="360" w:lineRule="auto"/>
        <w:ind w:left="720" w:hanging="720"/>
      </w:pPr>
      <w:r w:rsidRPr="00AB5B5A">
        <w:t xml:space="preserve">Ilic, Luka, </w:t>
      </w:r>
      <w:r w:rsidRPr="00AB5B5A">
        <w:rPr>
          <w:i/>
          <w:iCs/>
        </w:rPr>
        <w:t>Theologian of Sin and Grace: The Process of Radicalization in the Theology of Matthias Flacius Illyricus (Volume 225, Edition 1)</w:t>
      </w:r>
      <w:r w:rsidRPr="00AB5B5A">
        <w:t xml:space="preserve">, </w:t>
      </w:r>
      <w:r w:rsidRPr="00AB5B5A">
        <w:rPr>
          <w:i/>
          <w:iCs/>
        </w:rPr>
        <w:t>Library.oapen.org</w:t>
      </w:r>
      <w:r w:rsidRPr="00AB5B5A">
        <w:t xml:space="preserve"> (</w:t>
      </w:r>
      <w:proofErr w:type="spellStart"/>
      <w:r w:rsidRPr="00AB5B5A">
        <w:t>Vandenhoeck</w:t>
      </w:r>
      <w:proofErr w:type="spellEnd"/>
      <w:r w:rsidRPr="00AB5B5A">
        <w:t xml:space="preserve"> &amp; Ruprecht GmbH &amp; Co. KG, Göttingen, 2014) &lt;https://library.oapen.org/handle/20.500.12657/48666&gt; [accessed 1 February 2024]</w:t>
      </w:r>
    </w:p>
    <w:p w14:paraId="75631625" w14:textId="1DDD4025" w:rsidR="00C04412" w:rsidRPr="00AB5B5A" w:rsidRDefault="00C04412" w:rsidP="005E5B4A">
      <w:pPr>
        <w:pStyle w:val="NormalWeb"/>
        <w:spacing w:before="0" w:beforeAutospacing="0" w:after="240" w:afterAutospacing="0" w:line="360" w:lineRule="auto"/>
        <w:ind w:left="720" w:hanging="720"/>
      </w:pPr>
      <w:r w:rsidRPr="00B5165A">
        <w:t xml:space="preserve">Jill Raitt, </w:t>
      </w:r>
      <w:r w:rsidRPr="00C04412">
        <w:rPr>
          <w:i/>
          <w:iCs/>
        </w:rPr>
        <w:t>Shapers of Religious Traditions in Germany, Switzerland, and Poland, 1560-1600</w:t>
      </w:r>
      <w:r w:rsidRPr="00B5165A">
        <w:t>, JSTOR (Yale University Press, 1981) &lt;https://www.jstor.org/stable/j.ctt211qw0c.5?searchText=Matthia+Flacius&amp;searchUri=%2Faction%2FdoBasicSearch</w:t>
      </w:r>
    </w:p>
    <w:p w14:paraId="76535E64" w14:textId="77777777" w:rsidR="005E5B4A" w:rsidRPr="00AB5B5A" w:rsidRDefault="005E5B4A" w:rsidP="005E5B4A">
      <w:pPr>
        <w:pStyle w:val="NormalWeb"/>
        <w:spacing w:before="0" w:beforeAutospacing="0" w:after="240" w:afterAutospacing="0" w:line="360" w:lineRule="auto"/>
        <w:ind w:left="720" w:hanging="720"/>
      </w:pPr>
      <w:r w:rsidRPr="00AB5B5A">
        <w:t xml:space="preserve">Johnston, Wade, </w:t>
      </w:r>
      <w:r w:rsidRPr="00C04412">
        <w:rPr>
          <w:i/>
          <w:iCs/>
        </w:rPr>
        <w:t>‘THESE ADIAPHORISTIC DEVILS: MATTHIAS FLACIUS ILLYRICUS in STATU CONFESSIONIS, 1548-1552’</w:t>
      </w:r>
      <w:r w:rsidRPr="00AB5B5A">
        <w:t xml:space="preserve"> (Erasmus University, Rotterdam, 2013) &lt;file:///C:/Users/obeis/Downloads/Johnston-W.pdf&gt;</w:t>
      </w:r>
    </w:p>
    <w:p w14:paraId="6395F8AB" w14:textId="54B24ABD" w:rsidR="00C04412" w:rsidRDefault="005E5B4A" w:rsidP="00C04412">
      <w:pPr>
        <w:pStyle w:val="NormalWeb"/>
        <w:spacing w:before="0" w:beforeAutospacing="0" w:after="240" w:afterAutospacing="0" w:line="360" w:lineRule="auto"/>
        <w:ind w:left="720" w:hanging="720"/>
      </w:pPr>
      <w:r w:rsidRPr="00AB5B5A">
        <w:t xml:space="preserve">McGrath, Alister E., </w:t>
      </w:r>
      <w:r w:rsidRPr="00AB5B5A">
        <w:rPr>
          <w:i/>
          <w:iCs/>
        </w:rPr>
        <w:t>Reformation Thought: An Introduction</w:t>
      </w:r>
      <w:r w:rsidRPr="00AB5B5A">
        <w:t xml:space="preserve">, </w:t>
      </w:r>
      <w:r w:rsidRPr="00AB5B5A">
        <w:rPr>
          <w:i/>
          <w:iCs/>
        </w:rPr>
        <w:t>Google Books</w:t>
      </w:r>
      <w:r w:rsidRPr="00AB5B5A">
        <w:t xml:space="preserve"> (John Wiley &amp; Sons, 2012) &lt;https://www.google.co.uk/books/edition/Reformation_Thought/Zk6MhgGl2MEC?hl=en&amp;gbpv=1&gt; [accessed 1 February 2024]</w:t>
      </w:r>
    </w:p>
    <w:p w14:paraId="61930B99" w14:textId="11AC96DC" w:rsidR="00C04412" w:rsidRDefault="00C04412" w:rsidP="00C04412">
      <w:pPr>
        <w:rPr>
          <w:rFonts w:ascii="Times New Roman" w:eastAsia="Times New Roman" w:hAnsi="Times New Roman" w:cs="Times New Roman"/>
          <w:kern w:val="0"/>
          <w:sz w:val="24"/>
          <w:szCs w:val="24"/>
          <w:lang w:eastAsia="en-GB"/>
          <w14:ligatures w14:val="none"/>
        </w:rPr>
      </w:pPr>
      <w:r w:rsidRPr="0037326F">
        <w:rPr>
          <w:rFonts w:ascii="Times New Roman" w:eastAsia="Times New Roman" w:hAnsi="Times New Roman" w:cs="Times New Roman"/>
          <w:kern w:val="0"/>
          <w:sz w:val="24"/>
          <w:szCs w:val="24"/>
          <w:lang w:eastAsia="en-GB"/>
          <w14:ligatures w14:val="none"/>
        </w:rPr>
        <w:t xml:space="preserve">Murdock, Graeme, ‘Book Review: Matija </w:t>
      </w:r>
      <w:proofErr w:type="spellStart"/>
      <w:r w:rsidRPr="0037326F">
        <w:rPr>
          <w:rFonts w:ascii="Times New Roman" w:eastAsia="Times New Roman" w:hAnsi="Times New Roman" w:cs="Times New Roman"/>
          <w:kern w:val="0"/>
          <w:sz w:val="24"/>
          <w:szCs w:val="24"/>
          <w:lang w:eastAsia="en-GB"/>
          <w14:ligatures w14:val="none"/>
        </w:rPr>
        <w:t>VlaÄic</w:t>
      </w:r>
      <w:proofErr w:type="spellEnd"/>
      <w:r w:rsidRPr="0037326F">
        <w:rPr>
          <w:rFonts w:ascii="Times New Roman" w:eastAsia="Times New Roman" w:hAnsi="Times New Roman" w:cs="Times New Roman"/>
          <w:kern w:val="0"/>
          <w:sz w:val="24"/>
          <w:szCs w:val="24"/>
          <w:lang w:eastAsia="en-GB"/>
          <w14:ligatures w14:val="none"/>
        </w:rPr>
        <w:t xml:space="preserve"> </w:t>
      </w:r>
      <w:proofErr w:type="spellStart"/>
      <w:r w:rsidRPr="0037326F">
        <w:rPr>
          <w:rFonts w:ascii="Times New Roman" w:eastAsia="Times New Roman" w:hAnsi="Times New Roman" w:cs="Times New Roman"/>
          <w:kern w:val="0"/>
          <w:sz w:val="24"/>
          <w:szCs w:val="24"/>
          <w:lang w:eastAsia="en-GB"/>
          <w14:ligatures w14:val="none"/>
        </w:rPr>
        <w:t>Ilirik</w:t>
      </w:r>
      <w:proofErr w:type="spellEnd"/>
      <w:r w:rsidRPr="0037326F">
        <w:rPr>
          <w:rFonts w:ascii="Times New Roman" w:eastAsia="Times New Roman" w:hAnsi="Times New Roman" w:cs="Times New Roman"/>
          <w:kern w:val="0"/>
          <w:sz w:val="24"/>
          <w:szCs w:val="24"/>
          <w:lang w:eastAsia="en-GB"/>
          <w14:ligatures w14:val="none"/>
        </w:rPr>
        <w:t xml:space="preserve"> (III). Proceedings of the Third International Conference on Matthias Flacius Illyricus, Labin, Croatia, 2010’, </w:t>
      </w:r>
      <w:r w:rsidRPr="0037326F">
        <w:rPr>
          <w:rFonts w:ascii="Times New Roman" w:eastAsia="Times New Roman" w:hAnsi="Times New Roman" w:cs="Times New Roman"/>
          <w:i/>
          <w:iCs/>
          <w:kern w:val="0"/>
          <w:sz w:val="24"/>
          <w:szCs w:val="24"/>
          <w:lang w:eastAsia="en-GB"/>
          <w14:ligatures w14:val="none"/>
        </w:rPr>
        <w:t>The Journal of Ecclesiastical History</w:t>
      </w:r>
      <w:r w:rsidRPr="0037326F">
        <w:rPr>
          <w:rFonts w:ascii="Times New Roman" w:eastAsia="Times New Roman" w:hAnsi="Times New Roman" w:cs="Times New Roman"/>
          <w:kern w:val="0"/>
          <w:sz w:val="24"/>
          <w:szCs w:val="24"/>
          <w:lang w:eastAsia="en-GB"/>
          <w14:ligatures w14:val="none"/>
        </w:rPr>
        <w:t xml:space="preserve"> (Cambridge: Cambridge University Press, 2014), 191- </w:t>
      </w:r>
    </w:p>
    <w:p w14:paraId="7C57202D" w14:textId="77777777" w:rsidR="0037326F" w:rsidRPr="0037326F" w:rsidRDefault="0037326F" w:rsidP="00C04412">
      <w:pPr>
        <w:rPr>
          <w:rFonts w:ascii="Times New Roman" w:eastAsia="Times New Roman" w:hAnsi="Times New Roman" w:cs="Times New Roman"/>
          <w:kern w:val="0"/>
          <w:sz w:val="24"/>
          <w:szCs w:val="24"/>
          <w:lang w:eastAsia="en-GB"/>
          <w14:ligatures w14:val="none"/>
        </w:rPr>
      </w:pPr>
    </w:p>
    <w:p w14:paraId="3032BCE1" w14:textId="0A103A81" w:rsidR="005E5B4A" w:rsidRPr="00AB5B5A" w:rsidRDefault="005E5B4A" w:rsidP="005E5B4A">
      <w:pPr>
        <w:pStyle w:val="NormalWeb"/>
        <w:spacing w:before="0" w:beforeAutospacing="0" w:after="240" w:afterAutospacing="0" w:line="360" w:lineRule="auto"/>
        <w:ind w:left="720" w:hanging="720"/>
      </w:pPr>
      <w:r w:rsidRPr="00AB5B5A">
        <w:t xml:space="preserve">Raitt, Jill, </w:t>
      </w:r>
      <w:r w:rsidRPr="00AB5B5A">
        <w:rPr>
          <w:i/>
          <w:iCs/>
        </w:rPr>
        <w:t>Shapers of Religious Traditions in Germany, Switzerland, and Poland, 1560-1600</w:t>
      </w:r>
      <w:r w:rsidRPr="00AB5B5A">
        <w:t xml:space="preserve">, </w:t>
      </w:r>
      <w:r w:rsidRPr="00AB5B5A">
        <w:rPr>
          <w:i/>
          <w:iCs/>
        </w:rPr>
        <w:t>JSTOR</w:t>
      </w:r>
      <w:r w:rsidRPr="00AB5B5A">
        <w:t xml:space="preserve"> (</w:t>
      </w:r>
      <w:r w:rsidR="0037326F">
        <w:t xml:space="preserve">USA: </w:t>
      </w:r>
      <w:r w:rsidRPr="00AB5B5A">
        <w:t xml:space="preserve">Yale University Press, 1981) &lt;https://www.jstor.org/stable/j.ctt211qw0c.5?searchText=Matthia+Flacius&amp;searchUri=%2Faction%2FdoBasicSearch%3FQuery%3DMatthia%2BFlacius&amp;ab_segments=0%2Fbasic_search_gsv2%2Fcontrol&amp;refreqid=fastly-default%3Ab4a65a64daedbfe4aa670132c42d4771&amp;seq=1&gt; </w:t>
      </w:r>
    </w:p>
    <w:p w14:paraId="2584C4B4" w14:textId="77777777" w:rsidR="005E5B4A" w:rsidRPr="00AB5B5A" w:rsidRDefault="005E5B4A" w:rsidP="005E5B4A">
      <w:pPr>
        <w:pStyle w:val="NormalWeb"/>
        <w:spacing w:before="0" w:beforeAutospacing="0" w:after="240" w:afterAutospacing="0" w:line="360" w:lineRule="auto"/>
        <w:ind w:left="720" w:hanging="720"/>
      </w:pPr>
      <w:proofErr w:type="spellStart"/>
      <w:r w:rsidRPr="00AB5B5A">
        <w:t>Twesten</w:t>
      </w:r>
      <w:proofErr w:type="spellEnd"/>
      <w:r w:rsidRPr="00AB5B5A">
        <w:t xml:space="preserve">, August, and Hermann Rossel, </w:t>
      </w:r>
      <w:r w:rsidRPr="00AB5B5A">
        <w:rPr>
          <w:i/>
          <w:iCs/>
        </w:rPr>
        <w:t>Matthias Flacius Illyricus</w:t>
      </w:r>
      <w:r w:rsidRPr="00AB5B5A">
        <w:t xml:space="preserve"> (Nabu Press, 2013)</w:t>
      </w:r>
    </w:p>
    <w:p w14:paraId="646CC02E" w14:textId="04724B5A" w:rsidR="005865ED" w:rsidRPr="007E0797" w:rsidRDefault="00AB5B5A" w:rsidP="007E0797">
      <w:pPr>
        <w:pStyle w:val="FootnoteText"/>
      </w:pPr>
      <w:r w:rsidRPr="00AB5B5A">
        <w:rPr>
          <w:rFonts w:ascii="Times New Roman" w:hAnsi="Times New Roman" w:cs="Times New Roman"/>
          <w:sz w:val="24"/>
          <w:szCs w:val="24"/>
        </w:rPr>
        <w:t>Wade Johnston, ‘</w:t>
      </w:r>
      <w:r w:rsidRPr="00AB5B5A">
        <w:rPr>
          <w:rFonts w:ascii="Times New Roman" w:hAnsi="Times New Roman" w:cs="Times New Roman"/>
          <w:i/>
          <w:iCs/>
          <w:sz w:val="24"/>
          <w:szCs w:val="24"/>
        </w:rPr>
        <w:t>THESE ADIAPHORISTIC DEVILS: MATTHIAS FLACIUS ILLYRICUS in STATU CONFESSIONIS, 1548-1552’</w:t>
      </w:r>
      <w:r w:rsidRPr="00AB5B5A">
        <w:rPr>
          <w:rFonts w:ascii="Times New Roman" w:hAnsi="Times New Roman" w:cs="Times New Roman"/>
          <w:sz w:val="24"/>
          <w:szCs w:val="24"/>
        </w:rPr>
        <w:t xml:space="preserve"> (Erasmus University, Rotterdam, 2013) &lt;file:///C:/Users/obeis/Downloads/Johnston-W.pdf&gt;.</w:t>
      </w:r>
    </w:p>
    <w:sectPr w:rsidR="005865ED" w:rsidRPr="007E07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72712" w14:textId="77777777" w:rsidR="001E6057" w:rsidRDefault="001E6057" w:rsidP="00F9278E">
      <w:pPr>
        <w:spacing w:after="0" w:line="240" w:lineRule="auto"/>
      </w:pPr>
      <w:r>
        <w:separator/>
      </w:r>
    </w:p>
  </w:endnote>
  <w:endnote w:type="continuationSeparator" w:id="0">
    <w:p w14:paraId="6B4CA940" w14:textId="77777777" w:rsidR="001E6057" w:rsidRDefault="001E6057" w:rsidP="00F92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6D7CC" w14:textId="77777777" w:rsidR="001E6057" w:rsidRDefault="001E6057" w:rsidP="00F9278E">
      <w:pPr>
        <w:spacing w:after="0" w:line="240" w:lineRule="auto"/>
      </w:pPr>
      <w:r>
        <w:separator/>
      </w:r>
    </w:p>
  </w:footnote>
  <w:footnote w:type="continuationSeparator" w:id="0">
    <w:p w14:paraId="6C855DFE" w14:textId="77777777" w:rsidR="001E6057" w:rsidRDefault="001E6057" w:rsidP="00F9278E">
      <w:pPr>
        <w:spacing w:after="0" w:line="240" w:lineRule="auto"/>
      </w:pPr>
      <w:r>
        <w:continuationSeparator/>
      </w:r>
    </w:p>
  </w:footnote>
  <w:footnote w:id="1">
    <w:p w14:paraId="5EF4D919" w14:textId="28147642" w:rsidR="002344D0" w:rsidRDefault="002344D0">
      <w:pPr>
        <w:pStyle w:val="FootnoteText"/>
      </w:pPr>
      <w:r>
        <w:rPr>
          <w:rStyle w:val="FootnoteReference"/>
        </w:rPr>
        <w:footnoteRef/>
      </w:r>
      <w:r>
        <w:t xml:space="preserve"> </w:t>
      </w:r>
      <w:r w:rsidR="00B5165A">
        <w:t xml:space="preserve"> </w:t>
      </w:r>
      <w:bookmarkStart w:id="1" w:name="_Hlk157717770"/>
      <w:r w:rsidR="00B5165A" w:rsidRPr="00B5165A">
        <w:rPr>
          <w:rFonts w:ascii="Times New Roman" w:hAnsi="Times New Roman" w:cs="Times New Roman"/>
        </w:rPr>
        <w:t>Jill Raitt, Shapers of Religious Traditions in Germany, Switzerland, and Poland, 1560-1600, JSTOR (Yale University Press, 1981) &lt;https://www.jstor.org/stable/j.ctt211qw0c.5?searchText=Matthia+Flacius&amp;searchUri=%2Faction%2FdoBasicSearch</w:t>
      </w:r>
      <w:bookmarkEnd w:id="1"/>
      <w:r w:rsidR="00B5165A" w:rsidRPr="00B5165A">
        <w:rPr>
          <w:rFonts w:ascii="Times New Roman" w:hAnsi="Times New Roman" w:cs="Times New Roman"/>
        </w:rPr>
        <w:t>%3FQuery%3DMatthia%2BFlacius&amp;ab_segments=0%2Fbasic_search_gsv2%2Fcontrol&amp;refr</w:t>
      </w:r>
      <w:r w:rsidR="00B5165A" w:rsidRPr="00B5165A">
        <w:t xml:space="preserve">eqid=fastly-default%3Ab4a65a64daedbfe4aa670132c42d4771&amp;seq=1&gt; </w:t>
      </w:r>
    </w:p>
  </w:footnote>
  <w:footnote w:id="2">
    <w:p w14:paraId="48A9D502" w14:textId="7809C042" w:rsidR="00BB5CF5" w:rsidRDefault="00BB5CF5">
      <w:pPr>
        <w:pStyle w:val="FootnoteText"/>
      </w:pPr>
      <w:r>
        <w:rPr>
          <w:rStyle w:val="FootnoteReference"/>
        </w:rPr>
        <w:footnoteRef/>
      </w:r>
      <w:r>
        <w:t xml:space="preserve"> </w:t>
      </w:r>
      <w:r w:rsidRPr="00B5165A">
        <w:rPr>
          <w:rFonts w:ascii="Times New Roman" w:hAnsi="Times New Roman" w:cs="Times New Roman"/>
        </w:rPr>
        <w:t xml:space="preserve">Jill Raitt, </w:t>
      </w:r>
      <w:r w:rsidRPr="00C04412">
        <w:rPr>
          <w:rFonts w:ascii="Times New Roman" w:hAnsi="Times New Roman" w:cs="Times New Roman"/>
          <w:i/>
          <w:iCs/>
        </w:rPr>
        <w:t>Shapers of Religious Traditions in Germany, Switzerland, and Poland, 1560-1600</w:t>
      </w:r>
      <w:r w:rsidRPr="00B5165A">
        <w:rPr>
          <w:rFonts w:ascii="Times New Roman" w:hAnsi="Times New Roman" w:cs="Times New Roman"/>
        </w:rPr>
        <w:t>, JSTOR (Yale University Press, 1981)</w:t>
      </w:r>
    </w:p>
  </w:footnote>
  <w:footnote w:id="3">
    <w:p w14:paraId="441215C3" w14:textId="77777777" w:rsidR="00F1454D" w:rsidRPr="00F1454D" w:rsidRDefault="00F1454D" w:rsidP="00F1454D">
      <w:pPr>
        <w:rPr>
          <w:rFonts w:ascii="Times New Roman" w:eastAsia="Times New Roman" w:hAnsi="Times New Roman" w:cs="Times New Roman"/>
          <w:kern w:val="0"/>
          <w:sz w:val="24"/>
          <w:szCs w:val="24"/>
          <w:lang w:eastAsia="en-GB"/>
          <w14:ligatures w14:val="none"/>
        </w:rPr>
      </w:pPr>
      <w:r>
        <w:rPr>
          <w:rStyle w:val="FootnoteReference"/>
        </w:rPr>
        <w:footnoteRef/>
      </w:r>
      <w:r>
        <w:t xml:space="preserve"> </w:t>
      </w:r>
      <w:bookmarkStart w:id="2" w:name="_Hlk157717723"/>
      <w:r w:rsidRPr="00916D94">
        <w:rPr>
          <w:rFonts w:ascii="Times New Roman" w:eastAsia="Times New Roman" w:hAnsi="Times New Roman" w:cs="Times New Roman"/>
          <w:kern w:val="0"/>
          <w:sz w:val="20"/>
          <w:szCs w:val="20"/>
          <w:lang w:eastAsia="en-GB"/>
          <w14:ligatures w14:val="none"/>
        </w:rPr>
        <w:t xml:space="preserve">Murdock, Graeme, ‘Book Review: Matija </w:t>
      </w:r>
      <w:proofErr w:type="spellStart"/>
      <w:r w:rsidRPr="00916D94">
        <w:rPr>
          <w:rFonts w:ascii="Times New Roman" w:eastAsia="Times New Roman" w:hAnsi="Times New Roman" w:cs="Times New Roman"/>
          <w:kern w:val="0"/>
          <w:sz w:val="20"/>
          <w:szCs w:val="20"/>
          <w:lang w:eastAsia="en-GB"/>
          <w14:ligatures w14:val="none"/>
        </w:rPr>
        <w:t>VlaÄic</w:t>
      </w:r>
      <w:proofErr w:type="spellEnd"/>
      <w:r w:rsidRPr="00916D94">
        <w:rPr>
          <w:rFonts w:ascii="Times New Roman" w:eastAsia="Times New Roman" w:hAnsi="Times New Roman" w:cs="Times New Roman"/>
          <w:kern w:val="0"/>
          <w:sz w:val="20"/>
          <w:szCs w:val="20"/>
          <w:lang w:eastAsia="en-GB"/>
          <w14:ligatures w14:val="none"/>
        </w:rPr>
        <w:t xml:space="preserve"> </w:t>
      </w:r>
      <w:proofErr w:type="spellStart"/>
      <w:r w:rsidRPr="00916D94">
        <w:rPr>
          <w:rFonts w:ascii="Times New Roman" w:eastAsia="Times New Roman" w:hAnsi="Times New Roman" w:cs="Times New Roman"/>
          <w:kern w:val="0"/>
          <w:sz w:val="20"/>
          <w:szCs w:val="20"/>
          <w:lang w:eastAsia="en-GB"/>
          <w14:ligatures w14:val="none"/>
        </w:rPr>
        <w:t>Ilirik</w:t>
      </w:r>
      <w:proofErr w:type="spellEnd"/>
      <w:r w:rsidRPr="00916D94">
        <w:rPr>
          <w:rFonts w:ascii="Times New Roman" w:eastAsia="Times New Roman" w:hAnsi="Times New Roman" w:cs="Times New Roman"/>
          <w:kern w:val="0"/>
          <w:sz w:val="20"/>
          <w:szCs w:val="20"/>
          <w:lang w:eastAsia="en-GB"/>
          <w14:ligatures w14:val="none"/>
        </w:rPr>
        <w:t xml:space="preserve"> (III). Proceedings of the Third International Conference on Matthias Flacius Illyricus, Labin, Croatia, 2010’, </w:t>
      </w:r>
      <w:r w:rsidRPr="00916D94">
        <w:rPr>
          <w:rFonts w:ascii="Times New Roman" w:eastAsia="Times New Roman" w:hAnsi="Times New Roman" w:cs="Times New Roman"/>
          <w:i/>
          <w:iCs/>
          <w:kern w:val="0"/>
          <w:sz w:val="20"/>
          <w:szCs w:val="20"/>
          <w:lang w:eastAsia="en-GB"/>
          <w14:ligatures w14:val="none"/>
        </w:rPr>
        <w:t>The Journal of Ecclesiastical History</w:t>
      </w:r>
      <w:r w:rsidRPr="00916D94">
        <w:rPr>
          <w:rFonts w:ascii="Times New Roman" w:eastAsia="Times New Roman" w:hAnsi="Times New Roman" w:cs="Times New Roman"/>
          <w:kern w:val="0"/>
          <w:sz w:val="20"/>
          <w:szCs w:val="20"/>
          <w:lang w:eastAsia="en-GB"/>
          <w14:ligatures w14:val="none"/>
        </w:rPr>
        <w:t xml:space="preserve"> (Cambridge: Cambridge University Press, 2014), 191-</w:t>
      </w:r>
      <w:r w:rsidRPr="00F1454D">
        <w:rPr>
          <w:rFonts w:ascii="Times New Roman" w:eastAsia="Times New Roman" w:hAnsi="Times New Roman" w:cs="Times New Roman"/>
          <w:kern w:val="0"/>
          <w:sz w:val="24"/>
          <w:szCs w:val="24"/>
          <w:lang w:eastAsia="en-GB"/>
          <w14:ligatures w14:val="none"/>
        </w:rPr>
        <w:t xml:space="preserve"> </w:t>
      </w:r>
    </w:p>
    <w:bookmarkEnd w:id="2"/>
    <w:p w14:paraId="6FB5F832" w14:textId="04D9C1C5" w:rsidR="00F1454D" w:rsidRDefault="00F1454D">
      <w:pPr>
        <w:pStyle w:val="FootnoteText"/>
      </w:pPr>
    </w:p>
  </w:footnote>
  <w:footnote w:id="4">
    <w:p w14:paraId="43AF6BF6" w14:textId="00022003" w:rsidR="009438F3" w:rsidRDefault="009438F3">
      <w:pPr>
        <w:pStyle w:val="FootnoteText"/>
      </w:pPr>
      <w:r>
        <w:rPr>
          <w:rStyle w:val="FootnoteReference"/>
        </w:rPr>
        <w:footnoteRef/>
      </w:r>
      <w:r>
        <w:t xml:space="preserve"> </w:t>
      </w:r>
      <w:r w:rsidR="00F86823" w:rsidRPr="00F86823">
        <w:t xml:space="preserve">Luka Ilic, </w:t>
      </w:r>
      <w:r w:rsidR="00F86823" w:rsidRPr="00F86823">
        <w:rPr>
          <w:i/>
          <w:iCs/>
        </w:rPr>
        <w:t>Theologian of Sin and Grace: The Process of Radicalization in the Theology of Matthias Flacius Illyricus (Volume 225, Edition 1)</w:t>
      </w:r>
      <w:r w:rsidR="00F86823" w:rsidRPr="00F86823">
        <w:t xml:space="preserve">, </w:t>
      </w:r>
      <w:r w:rsidR="00F86823" w:rsidRPr="00F86823">
        <w:rPr>
          <w:i/>
          <w:iCs/>
        </w:rPr>
        <w:t>Library.oapen.org</w:t>
      </w:r>
      <w:r w:rsidR="00F86823" w:rsidRPr="00F86823">
        <w:t xml:space="preserve"> (</w:t>
      </w:r>
      <w:proofErr w:type="spellStart"/>
      <w:r w:rsidR="00F86823" w:rsidRPr="00F86823">
        <w:t>Vandenhoeck</w:t>
      </w:r>
      <w:proofErr w:type="spellEnd"/>
      <w:r w:rsidR="00F86823" w:rsidRPr="00F86823">
        <w:t xml:space="preserve"> &amp; Ruprecht GmbH &amp; Co. KG, Göttingen, 2014) &lt;</w:t>
      </w:r>
      <w:hyperlink r:id="rId1" w:history="1">
        <w:r w:rsidR="00F86823" w:rsidRPr="00F86823">
          <w:rPr>
            <w:color w:val="0000FF"/>
            <w:u w:val="single"/>
          </w:rPr>
          <w:t>https://library.oapen.org/handle/20.500.12657/48666</w:t>
        </w:r>
      </w:hyperlink>
      <w:r w:rsidR="00F86823" w:rsidRPr="00F86823">
        <w:t>&gt;</w:t>
      </w:r>
      <w:r w:rsidR="00F86823" w:rsidRPr="00F86823">
        <w:rPr>
          <w:sz w:val="22"/>
          <w:szCs w:val="22"/>
        </w:rPr>
        <w:t xml:space="preserve"> </w:t>
      </w:r>
    </w:p>
  </w:footnote>
  <w:footnote w:id="5">
    <w:p w14:paraId="3A605B7F" w14:textId="6C68777A" w:rsidR="001A595F" w:rsidRDefault="001A595F">
      <w:pPr>
        <w:pStyle w:val="FootnoteText"/>
      </w:pPr>
      <w:r>
        <w:rPr>
          <w:rStyle w:val="FootnoteReference"/>
        </w:rPr>
        <w:footnoteRef/>
      </w:r>
      <w:r>
        <w:t xml:space="preserve"> </w:t>
      </w:r>
      <w:bookmarkStart w:id="3" w:name="_Hlk157717662"/>
      <w:r w:rsidRPr="001A595F">
        <w:rPr>
          <w:rFonts w:ascii="Times New Roman" w:hAnsi="Times New Roman" w:cs="Times New Roman"/>
        </w:rPr>
        <w:t>Wade Johnston, ‘</w:t>
      </w:r>
      <w:r w:rsidRPr="001A595F">
        <w:rPr>
          <w:rFonts w:ascii="Times New Roman" w:hAnsi="Times New Roman" w:cs="Times New Roman"/>
          <w:i/>
          <w:iCs/>
        </w:rPr>
        <w:t>THESE ADIAPHORISTIC DEVILS: MATTHIAS FLACIUS ILLYRICUS in STATU CONFESSIONIS, 1548-1552’</w:t>
      </w:r>
      <w:r w:rsidRPr="001A595F">
        <w:rPr>
          <w:rFonts w:ascii="Times New Roman" w:hAnsi="Times New Roman" w:cs="Times New Roman"/>
        </w:rPr>
        <w:t xml:space="preserve"> (Erasmus University, Rotterdam, 2013) &lt;file:///C:/Users/obeis/Downloads/Johnston-W.pdf&gt;.</w:t>
      </w:r>
    </w:p>
    <w:bookmarkEnd w:id="3"/>
  </w:footnote>
  <w:footnote w:id="6">
    <w:p w14:paraId="68E28C00" w14:textId="77777777" w:rsidR="003B2667" w:rsidRPr="003B2667" w:rsidRDefault="009432D4" w:rsidP="003B2667">
      <w:pPr>
        <w:pStyle w:val="FootnoteText"/>
        <w:rPr>
          <w:rFonts w:ascii="Times New Roman" w:eastAsia="Times New Roman" w:hAnsi="Times New Roman" w:cs="Times New Roman"/>
          <w:kern w:val="0"/>
          <w14:ligatures w14:val="none"/>
        </w:rPr>
      </w:pPr>
      <w:r>
        <w:rPr>
          <w:rStyle w:val="FootnoteReference"/>
        </w:rPr>
        <w:footnoteRef/>
      </w:r>
      <w:r>
        <w:t xml:space="preserve"> </w:t>
      </w:r>
      <w:r w:rsidR="003B2667" w:rsidRPr="003B2667">
        <w:rPr>
          <w:rFonts w:ascii="Times New Roman" w:eastAsia="Times New Roman" w:hAnsi="Times New Roman" w:cs="Times New Roman"/>
          <w:kern w:val="0"/>
          <w14:ligatures w14:val="none"/>
        </w:rPr>
        <w:t xml:space="preserve">Ilic, Luka, </w:t>
      </w:r>
      <w:r w:rsidR="003B2667" w:rsidRPr="003B2667">
        <w:rPr>
          <w:rFonts w:ascii="Times New Roman" w:eastAsia="Times New Roman" w:hAnsi="Times New Roman" w:cs="Times New Roman"/>
          <w:i/>
          <w:iCs/>
          <w:kern w:val="0"/>
          <w14:ligatures w14:val="none"/>
        </w:rPr>
        <w:t>Theologian of Sin and Grace: The Process of Radicalization in the Theology of Matthias Flacius Illyricus (Volume 225, Edition 1)</w:t>
      </w:r>
      <w:r w:rsidR="003B2667" w:rsidRPr="003B2667">
        <w:rPr>
          <w:rFonts w:ascii="Times New Roman" w:eastAsia="Times New Roman" w:hAnsi="Times New Roman" w:cs="Times New Roman"/>
          <w:kern w:val="0"/>
          <w14:ligatures w14:val="none"/>
        </w:rPr>
        <w:t xml:space="preserve">, 1st </w:t>
      </w:r>
      <w:proofErr w:type="spellStart"/>
      <w:r w:rsidR="003B2667" w:rsidRPr="003B2667">
        <w:rPr>
          <w:rFonts w:ascii="Times New Roman" w:eastAsia="Times New Roman" w:hAnsi="Times New Roman" w:cs="Times New Roman"/>
          <w:kern w:val="0"/>
          <w14:ligatures w14:val="none"/>
        </w:rPr>
        <w:t>edn</w:t>
      </w:r>
      <w:proofErr w:type="spellEnd"/>
      <w:r w:rsidR="003B2667" w:rsidRPr="003B2667">
        <w:rPr>
          <w:rFonts w:ascii="Times New Roman" w:eastAsia="Times New Roman" w:hAnsi="Times New Roman" w:cs="Times New Roman"/>
          <w:kern w:val="0"/>
          <w14:ligatures w14:val="none"/>
        </w:rPr>
        <w:t xml:space="preserve"> (Gottingen: </w:t>
      </w:r>
      <w:proofErr w:type="spellStart"/>
      <w:r w:rsidR="003B2667" w:rsidRPr="003B2667">
        <w:rPr>
          <w:rFonts w:ascii="Times New Roman" w:eastAsia="Times New Roman" w:hAnsi="Times New Roman" w:cs="Times New Roman"/>
          <w:kern w:val="0"/>
          <w14:ligatures w14:val="none"/>
        </w:rPr>
        <w:t>Vandenhoeck</w:t>
      </w:r>
      <w:proofErr w:type="spellEnd"/>
      <w:r w:rsidR="003B2667" w:rsidRPr="003B2667">
        <w:rPr>
          <w:rFonts w:ascii="Times New Roman" w:eastAsia="Times New Roman" w:hAnsi="Times New Roman" w:cs="Times New Roman"/>
          <w:kern w:val="0"/>
          <w14:ligatures w14:val="none"/>
        </w:rPr>
        <w:t xml:space="preserve"> &amp; Ruprecht, 2014), ccxxv </w:t>
      </w:r>
    </w:p>
    <w:p w14:paraId="5621D455" w14:textId="77777777" w:rsidR="003B2667" w:rsidRPr="003B2667" w:rsidRDefault="003B2667" w:rsidP="003B2667">
      <w:pPr>
        <w:spacing w:after="0" w:line="240" w:lineRule="auto"/>
        <w:rPr>
          <w:rFonts w:ascii="Times New Roman" w:eastAsia="Times New Roman" w:hAnsi="Times New Roman" w:cs="Times New Roman"/>
          <w:kern w:val="0"/>
          <w:sz w:val="20"/>
          <w:szCs w:val="20"/>
          <w14:ligatures w14:val="none"/>
        </w:rPr>
      </w:pPr>
    </w:p>
    <w:p w14:paraId="426B45A0" w14:textId="6ADBB624" w:rsidR="009432D4" w:rsidRDefault="009432D4">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656"/>
    <w:rsid w:val="00017C65"/>
    <w:rsid w:val="000A5633"/>
    <w:rsid w:val="000A6656"/>
    <w:rsid w:val="000C3C0C"/>
    <w:rsid w:val="00117D2F"/>
    <w:rsid w:val="00141D72"/>
    <w:rsid w:val="001A595F"/>
    <w:rsid w:val="001C126B"/>
    <w:rsid w:val="001D293F"/>
    <w:rsid w:val="001D4797"/>
    <w:rsid w:val="001D6606"/>
    <w:rsid w:val="001E6057"/>
    <w:rsid w:val="001F2EC0"/>
    <w:rsid w:val="00226853"/>
    <w:rsid w:val="002344D0"/>
    <w:rsid w:val="00241DAA"/>
    <w:rsid w:val="00242F0C"/>
    <w:rsid w:val="002D70B2"/>
    <w:rsid w:val="0032355B"/>
    <w:rsid w:val="003257DA"/>
    <w:rsid w:val="0037326F"/>
    <w:rsid w:val="003B2667"/>
    <w:rsid w:val="00431C27"/>
    <w:rsid w:val="004A23E5"/>
    <w:rsid w:val="00536585"/>
    <w:rsid w:val="005865ED"/>
    <w:rsid w:val="005963A2"/>
    <w:rsid w:val="005A4814"/>
    <w:rsid w:val="005C3CE1"/>
    <w:rsid w:val="005E5B4A"/>
    <w:rsid w:val="00633341"/>
    <w:rsid w:val="00760973"/>
    <w:rsid w:val="00787B85"/>
    <w:rsid w:val="00793D57"/>
    <w:rsid w:val="007B3F8A"/>
    <w:rsid w:val="007D6BFF"/>
    <w:rsid w:val="007E0797"/>
    <w:rsid w:val="00916D94"/>
    <w:rsid w:val="009432D4"/>
    <w:rsid w:val="009438F3"/>
    <w:rsid w:val="00A002E2"/>
    <w:rsid w:val="00AB07DC"/>
    <w:rsid w:val="00AB5B5A"/>
    <w:rsid w:val="00B2266C"/>
    <w:rsid w:val="00B5165A"/>
    <w:rsid w:val="00BA2B4B"/>
    <w:rsid w:val="00BB5CF5"/>
    <w:rsid w:val="00C04412"/>
    <w:rsid w:val="00C763E8"/>
    <w:rsid w:val="00CE10BE"/>
    <w:rsid w:val="00CF2BA7"/>
    <w:rsid w:val="00F10FB1"/>
    <w:rsid w:val="00F1454D"/>
    <w:rsid w:val="00F86823"/>
    <w:rsid w:val="00F9278E"/>
    <w:rsid w:val="00F94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96AF37"/>
  <w15:chartTrackingRefBased/>
  <w15:docId w15:val="{5FE0B6EF-2907-4B34-B665-DE6F9EE16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6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6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6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6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6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6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6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6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6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6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6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6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6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6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6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6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6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656"/>
    <w:rPr>
      <w:rFonts w:eastAsiaTheme="majorEastAsia" w:cstheme="majorBidi"/>
      <w:color w:val="272727" w:themeColor="text1" w:themeTint="D8"/>
    </w:rPr>
  </w:style>
  <w:style w:type="paragraph" w:styleId="Title">
    <w:name w:val="Title"/>
    <w:basedOn w:val="Normal"/>
    <w:next w:val="Normal"/>
    <w:link w:val="TitleChar"/>
    <w:uiPriority w:val="10"/>
    <w:qFormat/>
    <w:rsid w:val="000A66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6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6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6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656"/>
    <w:pPr>
      <w:spacing w:before="160"/>
      <w:jc w:val="center"/>
    </w:pPr>
    <w:rPr>
      <w:i/>
      <w:iCs/>
      <w:color w:val="404040" w:themeColor="text1" w:themeTint="BF"/>
    </w:rPr>
  </w:style>
  <w:style w:type="character" w:customStyle="1" w:styleId="QuoteChar">
    <w:name w:val="Quote Char"/>
    <w:basedOn w:val="DefaultParagraphFont"/>
    <w:link w:val="Quote"/>
    <w:uiPriority w:val="29"/>
    <w:rsid w:val="000A6656"/>
    <w:rPr>
      <w:i/>
      <w:iCs/>
      <w:color w:val="404040" w:themeColor="text1" w:themeTint="BF"/>
    </w:rPr>
  </w:style>
  <w:style w:type="paragraph" w:styleId="ListParagraph">
    <w:name w:val="List Paragraph"/>
    <w:basedOn w:val="Normal"/>
    <w:uiPriority w:val="34"/>
    <w:qFormat/>
    <w:rsid w:val="000A6656"/>
    <w:pPr>
      <w:ind w:left="720"/>
      <w:contextualSpacing/>
    </w:pPr>
  </w:style>
  <w:style w:type="character" w:styleId="IntenseEmphasis">
    <w:name w:val="Intense Emphasis"/>
    <w:basedOn w:val="DefaultParagraphFont"/>
    <w:uiPriority w:val="21"/>
    <w:qFormat/>
    <w:rsid w:val="000A6656"/>
    <w:rPr>
      <w:i/>
      <w:iCs/>
      <w:color w:val="0F4761" w:themeColor="accent1" w:themeShade="BF"/>
    </w:rPr>
  </w:style>
  <w:style w:type="paragraph" w:styleId="IntenseQuote">
    <w:name w:val="Intense Quote"/>
    <w:basedOn w:val="Normal"/>
    <w:next w:val="Normal"/>
    <w:link w:val="IntenseQuoteChar"/>
    <w:uiPriority w:val="30"/>
    <w:qFormat/>
    <w:rsid w:val="000A66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656"/>
    <w:rPr>
      <w:i/>
      <w:iCs/>
      <w:color w:val="0F4761" w:themeColor="accent1" w:themeShade="BF"/>
    </w:rPr>
  </w:style>
  <w:style w:type="character" w:styleId="IntenseReference">
    <w:name w:val="Intense Reference"/>
    <w:basedOn w:val="DefaultParagraphFont"/>
    <w:uiPriority w:val="32"/>
    <w:qFormat/>
    <w:rsid w:val="000A6656"/>
    <w:rPr>
      <w:b/>
      <w:bCs/>
      <w:smallCaps/>
      <w:color w:val="0F4761" w:themeColor="accent1" w:themeShade="BF"/>
      <w:spacing w:val="5"/>
    </w:rPr>
  </w:style>
  <w:style w:type="paragraph" w:styleId="FootnoteText">
    <w:name w:val="footnote text"/>
    <w:basedOn w:val="Normal"/>
    <w:link w:val="FootnoteTextChar"/>
    <w:uiPriority w:val="99"/>
    <w:unhideWhenUsed/>
    <w:rsid w:val="002344D0"/>
    <w:pPr>
      <w:spacing w:after="0" w:line="240" w:lineRule="auto"/>
    </w:pPr>
    <w:rPr>
      <w:sz w:val="20"/>
      <w:szCs w:val="20"/>
    </w:rPr>
  </w:style>
  <w:style w:type="character" w:customStyle="1" w:styleId="FootnoteTextChar">
    <w:name w:val="Footnote Text Char"/>
    <w:basedOn w:val="DefaultParagraphFont"/>
    <w:link w:val="FootnoteText"/>
    <w:uiPriority w:val="99"/>
    <w:rsid w:val="002344D0"/>
    <w:rPr>
      <w:sz w:val="20"/>
      <w:szCs w:val="20"/>
    </w:rPr>
  </w:style>
  <w:style w:type="character" w:styleId="FootnoteReference">
    <w:name w:val="footnote reference"/>
    <w:basedOn w:val="DefaultParagraphFont"/>
    <w:uiPriority w:val="99"/>
    <w:semiHidden/>
    <w:unhideWhenUsed/>
    <w:rsid w:val="002344D0"/>
    <w:rPr>
      <w:vertAlign w:val="superscript"/>
    </w:rPr>
  </w:style>
  <w:style w:type="character" w:styleId="Hyperlink">
    <w:name w:val="Hyperlink"/>
    <w:basedOn w:val="DefaultParagraphFont"/>
    <w:uiPriority w:val="99"/>
    <w:unhideWhenUsed/>
    <w:rsid w:val="00B5165A"/>
    <w:rPr>
      <w:color w:val="467886" w:themeColor="hyperlink"/>
      <w:u w:val="single"/>
    </w:rPr>
  </w:style>
  <w:style w:type="character" w:styleId="UnresolvedMention">
    <w:name w:val="Unresolved Mention"/>
    <w:basedOn w:val="DefaultParagraphFont"/>
    <w:uiPriority w:val="99"/>
    <w:semiHidden/>
    <w:unhideWhenUsed/>
    <w:rsid w:val="00B5165A"/>
    <w:rPr>
      <w:color w:val="605E5C"/>
      <w:shd w:val="clear" w:color="auto" w:fill="E1DFDD"/>
    </w:rPr>
  </w:style>
  <w:style w:type="paragraph" w:styleId="NormalWeb">
    <w:name w:val="Normal (Web)"/>
    <w:basedOn w:val="Normal"/>
    <w:uiPriority w:val="99"/>
    <w:semiHidden/>
    <w:unhideWhenUsed/>
    <w:rsid w:val="005E5B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470375">
      <w:bodyDiv w:val="1"/>
      <w:marLeft w:val="0"/>
      <w:marRight w:val="0"/>
      <w:marTop w:val="0"/>
      <w:marBottom w:val="0"/>
      <w:divBdr>
        <w:top w:val="none" w:sz="0" w:space="0" w:color="auto"/>
        <w:left w:val="none" w:sz="0" w:space="0" w:color="auto"/>
        <w:bottom w:val="none" w:sz="0" w:space="0" w:color="auto"/>
        <w:right w:val="none" w:sz="0" w:space="0" w:color="auto"/>
      </w:divBdr>
      <w:divsChild>
        <w:div w:id="1387533568">
          <w:marLeft w:val="-720"/>
          <w:marRight w:val="0"/>
          <w:marTop w:val="0"/>
          <w:marBottom w:val="0"/>
          <w:divBdr>
            <w:top w:val="none" w:sz="0" w:space="0" w:color="auto"/>
            <w:left w:val="none" w:sz="0" w:space="0" w:color="auto"/>
            <w:bottom w:val="none" w:sz="0" w:space="0" w:color="auto"/>
            <w:right w:val="none" w:sz="0" w:space="0" w:color="auto"/>
          </w:divBdr>
        </w:div>
      </w:divsChild>
    </w:div>
    <w:div w:id="1368796657">
      <w:bodyDiv w:val="1"/>
      <w:marLeft w:val="0"/>
      <w:marRight w:val="0"/>
      <w:marTop w:val="0"/>
      <w:marBottom w:val="0"/>
      <w:divBdr>
        <w:top w:val="none" w:sz="0" w:space="0" w:color="auto"/>
        <w:left w:val="none" w:sz="0" w:space="0" w:color="auto"/>
        <w:bottom w:val="none" w:sz="0" w:space="0" w:color="auto"/>
        <w:right w:val="none" w:sz="0" w:space="0" w:color="auto"/>
      </w:divBdr>
      <w:divsChild>
        <w:div w:id="989595324">
          <w:marLeft w:val="0"/>
          <w:marRight w:val="0"/>
          <w:marTop w:val="0"/>
          <w:marBottom w:val="0"/>
          <w:divBdr>
            <w:top w:val="none" w:sz="0" w:space="0" w:color="auto"/>
            <w:left w:val="none" w:sz="0" w:space="0" w:color="auto"/>
            <w:bottom w:val="none" w:sz="0" w:space="0" w:color="auto"/>
            <w:right w:val="none" w:sz="0" w:space="0" w:color="auto"/>
          </w:divBdr>
          <w:divsChild>
            <w:div w:id="20271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library.oapen.org/handle/20.500.12657/486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04F22-1C35-4625-90EB-278E5EB5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10</Pages>
  <Words>1569</Words>
  <Characters>10154</Characters>
  <Application>Microsoft Office Word</Application>
  <DocSecurity>0</DocSecurity>
  <Lines>327</Lines>
  <Paragraphs>84</Paragraphs>
  <ScaleCrop>false</ScaleCrop>
  <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Obeisha Conliffe</dc:creator>
  <cp:keywords/>
  <dc:description/>
  <cp:lastModifiedBy>Obeisha Conliffe</cp:lastModifiedBy>
  <cp:revision>53</cp:revision>
  <dcterms:created xsi:type="dcterms:W3CDTF">2024-02-01T18:29:00Z</dcterms:created>
  <dcterms:modified xsi:type="dcterms:W3CDTF">2024-02-01T22:49:00Z</dcterms:modified>
</cp:coreProperties>
</file>